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3BE40" w14:textId="1227FCEC" w:rsidR="00CE7B55" w:rsidRDefault="00CE7B55" w:rsidP="006A5137">
      <w:pPr>
        <w:pStyle w:val="Heading2"/>
        <w:spacing w:line="480" w:lineRule="auto"/>
      </w:pPr>
      <w:r>
        <w:t xml:space="preserve">Tables </w:t>
      </w:r>
      <w:r w:rsidR="006A5137">
        <w:t>1</w:t>
      </w:r>
      <w:r>
        <w:t>:</w:t>
      </w:r>
    </w:p>
    <w:p w14:paraId="393668EE" w14:textId="77777777" w:rsidR="00CE7B55" w:rsidRDefault="00CE7B55" w:rsidP="00CE7B55">
      <w:pPr>
        <w:spacing w:line="480" w:lineRule="auto"/>
      </w:pPr>
    </w:p>
    <w:tbl>
      <w:tblPr>
        <w:tblW w:w="5893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1964"/>
        <w:gridCol w:w="1965"/>
      </w:tblGrid>
      <w:tr w:rsidR="00CE7B55" w:rsidRPr="00233FFF" w14:paraId="295FB3FB" w14:textId="77777777" w:rsidTr="006A5137">
        <w:trPr>
          <w:trHeight w:val="170"/>
        </w:trPr>
        <w:tc>
          <w:tcPr>
            <w:tcW w:w="196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3778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b/>
                <w:bCs/>
                <w:color w:val="000000"/>
                <w:lang w:eastAsia="en-GB"/>
              </w:rPr>
            </w:pPr>
            <w:r w:rsidRPr="00233FFF">
              <w:rPr>
                <w:rFonts w:ascii="Calibri Light" w:hAnsi="Calibri Light"/>
                <w:b/>
                <w:i/>
              </w:rPr>
              <w:br w:type="page"/>
            </w:r>
          </w:p>
        </w:tc>
        <w:tc>
          <w:tcPr>
            <w:tcW w:w="1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DB99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b/>
                <w:bCs/>
                <w:color w:val="000000"/>
                <w:lang w:eastAsia="en-GB"/>
              </w:rPr>
              <w:t>Valid</w:t>
            </w:r>
          </w:p>
          <w:p w14:paraId="4DE550BA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b/>
                <w:bCs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b/>
                <w:bCs/>
                <w:color w:val="000000"/>
                <w:lang w:eastAsia="en-GB"/>
              </w:rPr>
              <w:t>N</w:t>
            </w:r>
          </w:p>
        </w:tc>
        <w:tc>
          <w:tcPr>
            <w:tcW w:w="19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56C8BB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b/>
                <w:bCs/>
                <w:lang w:eastAsia="en-GB"/>
              </w:rPr>
            </w:pPr>
            <w:r w:rsidRPr="00233FFF">
              <w:rPr>
                <w:rFonts w:ascii="Calibri Light" w:hAnsi="Calibri Light" w:cs="Arial"/>
                <w:b/>
                <w:bCs/>
                <w:lang w:eastAsia="en-GB"/>
              </w:rPr>
              <w:t>Statistic</w:t>
            </w:r>
          </w:p>
        </w:tc>
      </w:tr>
      <w:tr w:rsidR="00CE7B55" w:rsidRPr="00233FFF" w14:paraId="2A1840B3" w14:textId="77777777" w:rsidTr="006A5137">
        <w:trPr>
          <w:trHeight w:val="170"/>
        </w:trPr>
        <w:tc>
          <w:tcPr>
            <w:tcW w:w="5893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  <w:hideMark/>
          </w:tcPr>
          <w:p w14:paraId="57887C60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b/>
                <w:bCs/>
                <w:i/>
                <w:iCs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b/>
                <w:bCs/>
                <w:i/>
                <w:iCs/>
                <w:color w:val="000000"/>
                <w:lang w:eastAsia="en-GB"/>
              </w:rPr>
              <w:t>Patient Demographics and Treatment</w:t>
            </w:r>
          </w:p>
        </w:tc>
      </w:tr>
      <w:tr w:rsidR="00CE7B55" w:rsidRPr="00233FFF" w14:paraId="1895085D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6D3FD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/>
                <w:color w:val="000000"/>
                <w:lang w:eastAsia="en-GB"/>
              </w:rPr>
            </w:pPr>
            <w:r w:rsidRPr="00233FFF">
              <w:rPr>
                <w:rFonts w:ascii="Calibri Light" w:hAnsi="Calibri Light"/>
                <w:color w:val="000000"/>
                <w:lang w:eastAsia="en-GB"/>
              </w:rPr>
              <w:t>Age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7D43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/>
                <w:color w:val="000000"/>
                <w:lang w:eastAsia="en-GB"/>
              </w:rPr>
            </w:pPr>
            <w:r w:rsidRPr="00233FFF">
              <w:rPr>
                <w:rFonts w:ascii="Calibri Light" w:hAnsi="Calibri Light"/>
                <w:color w:val="000000"/>
                <w:lang w:eastAsia="en-GB"/>
              </w:rPr>
              <w:t>25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19A1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/>
                <w:color w:val="000000"/>
                <w:lang w:eastAsia="en-GB"/>
              </w:rPr>
            </w:pPr>
            <w:r w:rsidRPr="00233FFF">
              <w:rPr>
                <w:rFonts w:ascii="Calibri Light" w:hAnsi="Calibri Light"/>
                <w:color w:val="000000"/>
                <w:lang w:eastAsia="en-GB"/>
              </w:rPr>
              <w:t>55 ± 15</w:t>
            </w:r>
          </w:p>
        </w:tc>
      </w:tr>
      <w:tr w:rsidR="00CE7B55" w:rsidRPr="00233FFF" w14:paraId="374260F6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8737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Gender (Female)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21FF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25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0563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21 (84%)</w:t>
            </w:r>
          </w:p>
        </w:tc>
      </w:tr>
      <w:tr w:rsidR="00CE7B55" w:rsidRPr="00233FFF" w14:paraId="4F2CCD0E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877A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Number of Antibiotics Tried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F915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25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338973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</w:p>
        </w:tc>
      </w:tr>
      <w:tr w:rsidR="00CE7B55" w:rsidRPr="00233FFF" w14:paraId="12F015E8" w14:textId="77777777" w:rsidTr="006A5137">
        <w:trPr>
          <w:trHeight w:val="170"/>
        </w:trPr>
        <w:tc>
          <w:tcPr>
            <w:tcW w:w="1964" w:type="dxa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687B" w14:textId="77777777" w:rsidR="00CE7B55" w:rsidRPr="00233FFF" w:rsidRDefault="00CE7B55" w:rsidP="006A5137">
            <w:pPr>
              <w:spacing w:line="480" w:lineRule="auto"/>
              <w:ind w:firstLineChars="200" w:firstLine="480"/>
              <w:rPr>
                <w:rFonts w:ascii="Calibri Light" w:hAnsi="Calibri Light" w:cs="Arial"/>
                <w:i/>
                <w:iCs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i/>
                <w:iCs/>
                <w:color w:val="000000"/>
                <w:lang w:eastAsia="en-GB"/>
              </w:rPr>
              <w:t>0</w:t>
            </w:r>
          </w:p>
        </w:tc>
        <w:tc>
          <w:tcPr>
            <w:tcW w:w="1964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FAB8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/>
                <w:color w:val="000000"/>
                <w:lang w:eastAsia="en-GB"/>
              </w:rPr>
            </w:pPr>
          </w:p>
        </w:tc>
        <w:tc>
          <w:tcPr>
            <w:tcW w:w="1965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3BFD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13 (52%)</w:t>
            </w:r>
          </w:p>
        </w:tc>
      </w:tr>
      <w:tr w:rsidR="00CE7B55" w:rsidRPr="00233FFF" w14:paraId="7AF51862" w14:textId="77777777" w:rsidTr="006A5137">
        <w:trPr>
          <w:trHeight w:val="170"/>
        </w:trPr>
        <w:tc>
          <w:tcPr>
            <w:tcW w:w="19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1337" w14:textId="77777777" w:rsidR="00CE7B55" w:rsidRPr="00233FFF" w:rsidRDefault="00CE7B55" w:rsidP="006A5137">
            <w:pPr>
              <w:spacing w:line="480" w:lineRule="auto"/>
              <w:ind w:firstLineChars="200" w:firstLine="480"/>
              <w:rPr>
                <w:rFonts w:ascii="Calibri Light" w:hAnsi="Calibri Light" w:cs="Arial"/>
                <w:i/>
                <w:iCs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i/>
                <w:iCs/>
                <w:color w:val="000000"/>
                <w:lang w:eastAsia="en-GB"/>
              </w:rPr>
              <w:t>1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E5B8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/>
                <w:color w:val="000000"/>
                <w:lang w:eastAsia="en-GB"/>
              </w:rPr>
            </w:pPr>
          </w:p>
        </w:tc>
        <w:tc>
          <w:tcPr>
            <w:tcW w:w="196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9B49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6 (24%)</w:t>
            </w:r>
          </w:p>
        </w:tc>
      </w:tr>
      <w:tr w:rsidR="00CE7B55" w:rsidRPr="00233FFF" w14:paraId="313D80E7" w14:textId="77777777" w:rsidTr="006A5137">
        <w:trPr>
          <w:trHeight w:val="170"/>
        </w:trPr>
        <w:tc>
          <w:tcPr>
            <w:tcW w:w="19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51C7" w14:textId="77777777" w:rsidR="00CE7B55" w:rsidRPr="00233FFF" w:rsidRDefault="00CE7B55" w:rsidP="006A5137">
            <w:pPr>
              <w:spacing w:line="480" w:lineRule="auto"/>
              <w:ind w:firstLineChars="200" w:firstLine="480"/>
              <w:rPr>
                <w:rFonts w:ascii="Calibri Light" w:hAnsi="Calibri Light" w:cs="Arial"/>
                <w:i/>
                <w:iCs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i/>
                <w:iCs/>
                <w:color w:val="000000"/>
                <w:lang w:eastAsia="en-GB"/>
              </w:rPr>
              <w:t>2</w:t>
            </w:r>
          </w:p>
        </w:tc>
        <w:tc>
          <w:tcPr>
            <w:tcW w:w="1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019A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/>
                <w:color w:val="000000"/>
                <w:lang w:eastAsia="en-GB"/>
              </w:rPr>
            </w:pPr>
          </w:p>
        </w:tc>
        <w:tc>
          <w:tcPr>
            <w:tcW w:w="196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67A2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4 (16%)</w:t>
            </w:r>
          </w:p>
        </w:tc>
      </w:tr>
      <w:tr w:rsidR="00CE7B55" w:rsidRPr="00233FFF" w14:paraId="42EE6C11" w14:textId="77777777" w:rsidTr="006A5137">
        <w:trPr>
          <w:trHeight w:val="170"/>
        </w:trPr>
        <w:tc>
          <w:tcPr>
            <w:tcW w:w="19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E999" w14:textId="77777777" w:rsidR="00CE7B55" w:rsidRPr="00233FFF" w:rsidRDefault="00CE7B55" w:rsidP="006A5137">
            <w:pPr>
              <w:spacing w:line="480" w:lineRule="auto"/>
              <w:ind w:firstLineChars="200" w:firstLine="480"/>
              <w:rPr>
                <w:rFonts w:ascii="Calibri Light" w:hAnsi="Calibri Light" w:cs="Arial"/>
                <w:i/>
                <w:iCs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i/>
                <w:iCs/>
                <w:color w:val="000000"/>
                <w:lang w:eastAsia="en-GB"/>
              </w:rPr>
              <w:t>3</w:t>
            </w:r>
          </w:p>
        </w:tc>
        <w:tc>
          <w:tcPr>
            <w:tcW w:w="1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5798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/>
                <w:color w:val="000000"/>
                <w:lang w:eastAsia="en-GB"/>
              </w:rPr>
            </w:pPr>
          </w:p>
        </w:tc>
        <w:tc>
          <w:tcPr>
            <w:tcW w:w="19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920DB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2 (8%)</w:t>
            </w:r>
          </w:p>
        </w:tc>
      </w:tr>
      <w:tr w:rsidR="00CE7B55" w:rsidRPr="00233FFF" w14:paraId="2231040F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A16A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Steroids Tried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4628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25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66E4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6 (24%)</w:t>
            </w:r>
          </w:p>
        </w:tc>
      </w:tr>
      <w:tr w:rsidR="00CE7B55" w:rsidRPr="00233FFF" w14:paraId="6F434C59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7503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Others Medications Tried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CB75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25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1967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2 (8%)</w:t>
            </w:r>
          </w:p>
        </w:tc>
      </w:tr>
      <w:tr w:rsidR="00CE7B55" w:rsidRPr="00233FFF" w14:paraId="689E2947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DA90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Diagnosis to Flixonase (Months)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6CE7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22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A24C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5 (0 - 54)</w:t>
            </w:r>
          </w:p>
        </w:tc>
      </w:tr>
      <w:tr w:rsidR="00CE7B55" w:rsidRPr="00233FFF" w14:paraId="3E3CF28E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89AC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Treatment Length (Months)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4F24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23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191B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3 (1 - 18)</w:t>
            </w:r>
          </w:p>
        </w:tc>
      </w:tr>
      <w:tr w:rsidR="00CE7B55" w:rsidRPr="00233FFF" w14:paraId="72E73B04" w14:textId="77777777" w:rsidTr="006A5137">
        <w:trPr>
          <w:trHeight w:val="170"/>
        </w:trPr>
        <w:tc>
          <w:tcPr>
            <w:tcW w:w="58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3211F2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b/>
                <w:bCs/>
                <w:i/>
                <w:iCs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b/>
                <w:bCs/>
                <w:i/>
                <w:iCs/>
                <w:color w:val="000000"/>
                <w:lang w:eastAsia="en-GB"/>
              </w:rPr>
              <w:t>Pre-Flixonase Signs/Symptoms</w:t>
            </w:r>
          </w:p>
        </w:tc>
      </w:tr>
      <w:tr w:rsidR="00CE7B55" w:rsidRPr="00233FFF" w14:paraId="5EEB51C6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FAF2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Otalgia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DE5E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 w:rsidRPr="00D81820">
              <w:rPr>
                <w:rFonts w:ascii="Calibri Light" w:hAnsi="Calibri Light" w:cs="Arial"/>
                <w:color w:val="000000"/>
                <w:lang w:eastAsia="en-GB"/>
              </w:rPr>
              <w:t>25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AECA" w14:textId="231E9951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6</w:t>
            </w:r>
          </w:p>
        </w:tc>
      </w:tr>
      <w:tr w:rsidR="00CE7B55" w:rsidRPr="00233FFF" w14:paraId="38781E69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0355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lastRenderedPageBreak/>
              <w:t>Tenderness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84A7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 w:rsidRPr="00D81820">
              <w:rPr>
                <w:rFonts w:ascii="Calibri Light" w:hAnsi="Calibri Light" w:cs="Arial"/>
                <w:color w:val="000000"/>
                <w:lang w:eastAsia="en-GB"/>
              </w:rPr>
              <w:t>25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0462" w14:textId="67EC7903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2</w:t>
            </w:r>
          </w:p>
        </w:tc>
      </w:tr>
      <w:tr w:rsidR="00CE7B55" w:rsidRPr="00233FFF" w14:paraId="6457B92E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70D1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Otorrhoea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F77E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 w:rsidRPr="00D81820">
              <w:rPr>
                <w:rFonts w:ascii="Calibri Light" w:hAnsi="Calibri Light" w:cs="Arial"/>
                <w:color w:val="000000"/>
                <w:lang w:eastAsia="en-GB"/>
              </w:rPr>
              <w:t>25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501A" w14:textId="75EB57F4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15</w:t>
            </w:r>
          </w:p>
        </w:tc>
      </w:tr>
      <w:tr w:rsidR="00CE7B55" w:rsidRPr="00233FFF" w14:paraId="22B2BA85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FB58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Itching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2C71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 w:rsidRPr="00D81820">
              <w:rPr>
                <w:rFonts w:ascii="Calibri Light" w:hAnsi="Calibri Light" w:cs="Arial"/>
                <w:color w:val="000000"/>
                <w:lang w:eastAsia="en-GB"/>
              </w:rPr>
              <w:t>25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E435" w14:textId="609A331C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20</w:t>
            </w:r>
          </w:p>
        </w:tc>
      </w:tr>
      <w:tr w:rsidR="00CE7B55" w:rsidRPr="00233FFF" w14:paraId="7B1EC257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3E0F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Oedema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92B3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 w:rsidRPr="00D81820">
              <w:rPr>
                <w:rFonts w:ascii="Calibri Light" w:hAnsi="Calibri Light" w:cs="Arial"/>
                <w:color w:val="000000"/>
                <w:lang w:eastAsia="en-GB"/>
              </w:rPr>
              <w:t>25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7C149" w14:textId="16A7A299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5</w:t>
            </w:r>
          </w:p>
        </w:tc>
      </w:tr>
      <w:tr w:rsidR="00CE7B55" w:rsidRPr="00233FFF" w14:paraId="02C59CAD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85FB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Mucosal Changes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ACA1E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 w:rsidRPr="00D81820">
              <w:rPr>
                <w:rFonts w:ascii="Calibri Light" w:hAnsi="Calibri Light" w:cs="Arial"/>
                <w:color w:val="000000"/>
                <w:lang w:eastAsia="en-GB"/>
              </w:rPr>
              <w:t>25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DC3C" w14:textId="381590DD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16</w:t>
            </w:r>
          </w:p>
        </w:tc>
      </w:tr>
      <w:tr w:rsidR="00CE7B55" w:rsidRPr="00233FFF" w14:paraId="2B2067B7" w14:textId="77777777" w:rsidTr="006A5137">
        <w:trPr>
          <w:trHeight w:val="170"/>
        </w:trPr>
        <w:tc>
          <w:tcPr>
            <w:tcW w:w="58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185922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b/>
                <w:bCs/>
                <w:i/>
                <w:iCs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b/>
                <w:bCs/>
                <w:i/>
                <w:iCs/>
                <w:color w:val="000000"/>
                <w:lang w:eastAsia="en-GB"/>
              </w:rPr>
              <w:t>Post-Flixonase Signs/Symptoms</w:t>
            </w:r>
          </w:p>
        </w:tc>
      </w:tr>
      <w:tr w:rsidR="00CE7B55" w:rsidRPr="00233FFF" w14:paraId="1A247119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935A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Returned for FU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9C32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>
              <w:rPr>
                <w:rFonts w:ascii="Calibri Light" w:hAnsi="Calibri Light" w:cs="Arial"/>
                <w:color w:val="000000"/>
                <w:lang w:eastAsia="en-GB"/>
              </w:rPr>
              <w:t>25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DBFE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>
              <w:rPr>
                <w:rFonts w:ascii="Calibri Light" w:hAnsi="Calibri Light" w:cs="Arial"/>
                <w:lang w:eastAsia="en-GB"/>
              </w:rPr>
              <w:t>20</w:t>
            </w:r>
          </w:p>
        </w:tc>
      </w:tr>
      <w:tr w:rsidR="00CE7B55" w:rsidRPr="00233FFF" w14:paraId="49BBECE5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8D0D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Otalgia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CB58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 w:rsidRPr="00477323">
              <w:rPr>
                <w:rFonts w:ascii="Calibri Light" w:hAnsi="Calibri Light" w:cs="Arial"/>
                <w:lang w:eastAsia="en-GB"/>
              </w:rPr>
              <w:t>20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3BB7A" w14:textId="2E633A7D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0</w:t>
            </w:r>
          </w:p>
        </w:tc>
      </w:tr>
      <w:tr w:rsidR="00CE7B55" w:rsidRPr="00233FFF" w14:paraId="074EA195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E229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Tenderness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17FC" w14:textId="77777777" w:rsidR="00CE7B55" w:rsidRDefault="00CE7B55" w:rsidP="006A5137">
            <w:pPr>
              <w:spacing w:line="480" w:lineRule="auto"/>
              <w:jc w:val="center"/>
            </w:pPr>
            <w:r w:rsidRPr="00477323">
              <w:rPr>
                <w:rFonts w:ascii="Calibri Light" w:hAnsi="Calibri Light" w:cs="Arial"/>
                <w:lang w:eastAsia="en-GB"/>
              </w:rPr>
              <w:t>20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F744" w14:textId="2FC79CD6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0</w:t>
            </w:r>
          </w:p>
        </w:tc>
      </w:tr>
      <w:tr w:rsidR="00CE7B55" w:rsidRPr="00233FFF" w14:paraId="5A6D90EE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753E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Itching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BA7F" w14:textId="77777777" w:rsidR="00CE7B55" w:rsidRDefault="00CE7B55" w:rsidP="006A5137">
            <w:pPr>
              <w:spacing w:line="480" w:lineRule="auto"/>
              <w:jc w:val="center"/>
            </w:pPr>
            <w:r w:rsidRPr="00477323">
              <w:rPr>
                <w:rFonts w:ascii="Calibri Light" w:hAnsi="Calibri Light" w:cs="Arial"/>
                <w:lang w:eastAsia="en-GB"/>
              </w:rPr>
              <w:t>20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4E10" w14:textId="17D885E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1</w:t>
            </w:r>
          </w:p>
        </w:tc>
      </w:tr>
      <w:tr w:rsidR="00CE7B55" w:rsidRPr="00233FFF" w14:paraId="19CCACCB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E17D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Oedema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48E3" w14:textId="77777777" w:rsidR="00CE7B55" w:rsidRDefault="00CE7B55" w:rsidP="006A5137">
            <w:pPr>
              <w:spacing w:line="480" w:lineRule="auto"/>
              <w:jc w:val="center"/>
            </w:pPr>
            <w:r w:rsidRPr="00477323">
              <w:rPr>
                <w:rFonts w:ascii="Calibri Light" w:hAnsi="Calibri Light" w:cs="Arial"/>
                <w:lang w:eastAsia="en-GB"/>
              </w:rPr>
              <w:t>20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E317" w14:textId="68959F52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0</w:t>
            </w:r>
          </w:p>
        </w:tc>
      </w:tr>
      <w:tr w:rsidR="00CE7B55" w:rsidRPr="00233FFF" w14:paraId="046D3D31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AD81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Mucosal Changes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0BD4" w14:textId="77777777" w:rsidR="00CE7B55" w:rsidRDefault="00CE7B55" w:rsidP="006A5137">
            <w:pPr>
              <w:spacing w:line="480" w:lineRule="auto"/>
              <w:jc w:val="center"/>
            </w:pPr>
            <w:r w:rsidRPr="00477323">
              <w:rPr>
                <w:rFonts w:ascii="Calibri Light" w:hAnsi="Calibri Light" w:cs="Arial"/>
                <w:lang w:eastAsia="en-GB"/>
              </w:rPr>
              <w:t>20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6EF3" w14:textId="4F0DF3AA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 w:rsidRPr="00233FFF">
              <w:rPr>
                <w:rFonts w:ascii="Calibri Light" w:hAnsi="Calibri Light" w:cs="Arial"/>
                <w:lang w:eastAsia="en-GB"/>
              </w:rPr>
              <w:t>0</w:t>
            </w:r>
          </w:p>
        </w:tc>
      </w:tr>
      <w:tr w:rsidR="00CE7B55" w:rsidRPr="00233FFF" w14:paraId="626B110F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3D44" w14:textId="77777777" w:rsidR="00CE7B55" w:rsidRPr="00233FFF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>
              <w:rPr>
                <w:rFonts w:ascii="Calibri Light" w:hAnsi="Calibri Light" w:cs="Arial"/>
                <w:color w:val="000000"/>
                <w:lang w:eastAsia="en-GB"/>
              </w:rPr>
              <w:t xml:space="preserve">Symptom </w:t>
            </w:r>
            <w:r w:rsidRPr="00233FFF">
              <w:rPr>
                <w:rFonts w:ascii="Calibri Light" w:hAnsi="Calibri Light" w:cs="Arial"/>
                <w:color w:val="000000"/>
                <w:lang w:eastAsia="en-GB"/>
              </w:rPr>
              <w:t>re</w:t>
            </w:r>
            <w:r>
              <w:rPr>
                <w:rFonts w:ascii="Calibri Light" w:hAnsi="Calibri Light" w:cs="Arial"/>
                <w:color w:val="000000"/>
                <w:lang w:eastAsia="en-GB"/>
              </w:rPr>
              <w:t>solution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49F3" w14:textId="77777777" w:rsidR="00CE7B55" w:rsidRDefault="00CE7B55" w:rsidP="006A5137">
            <w:pPr>
              <w:spacing w:line="480" w:lineRule="auto"/>
              <w:jc w:val="center"/>
            </w:pPr>
            <w:r w:rsidRPr="00477323">
              <w:rPr>
                <w:rFonts w:ascii="Calibri Light" w:hAnsi="Calibri Light" w:cs="Arial"/>
                <w:lang w:eastAsia="en-GB"/>
              </w:rPr>
              <w:t>20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A6A7" w14:textId="77777777" w:rsidR="00CE7B55" w:rsidRPr="00233FFF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>
              <w:rPr>
                <w:rFonts w:ascii="Calibri Light" w:hAnsi="Calibri Light" w:cs="Arial"/>
                <w:lang w:eastAsia="en-GB"/>
              </w:rPr>
              <w:t>20</w:t>
            </w:r>
          </w:p>
        </w:tc>
      </w:tr>
      <w:tr w:rsidR="00CE7B55" w:rsidRPr="00233FFF" w14:paraId="30377BEA" w14:textId="77777777" w:rsidTr="006A5137">
        <w:trPr>
          <w:trHeight w:val="170"/>
        </w:trPr>
        <w:tc>
          <w:tcPr>
            <w:tcW w:w="58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7A55B9" w14:textId="77777777" w:rsidR="00CE7B55" w:rsidRPr="006A5137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b/>
                <w:bCs/>
                <w:lang w:eastAsia="en-GB"/>
              </w:rPr>
            </w:pPr>
            <w:r w:rsidRPr="006A5137">
              <w:rPr>
                <w:b/>
                <w:bCs/>
              </w:rPr>
              <w:t>Treatment modalities used before the Flixonase</w:t>
            </w:r>
          </w:p>
        </w:tc>
      </w:tr>
      <w:tr w:rsidR="00CE7B55" w:rsidRPr="00233FFF" w14:paraId="2CC3363E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9473" w14:textId="77777777" w:rsidR="00CE7B55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>
              <w:rPr>
                <w:rFonts w:ascii="Calibri Light" w:hAnsi="Calibri Light" w:cs="Arial"/>
                <w:color w:val="000000"/>
                <w:lang w:eastAsia="en-GB"/>
              </w:rPr>
              <w:t>Antibiotic + Steroid drops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0F4D1" w14:textId="77777777" w:rsidR="00CE7B55" w:rsidRPr="00CC46DE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>
              <w:rPr>
                <w:rFonts w:ascii="Calibri Light" w:hAnsi="Calibri Light" w:cs="Arial"/>
                <w:color w:val="000000"/>
                <w:lang w:eastAsia="en-GB"/>
              </w:rPr>
              <w:t>11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1CC520" w14:textId="77777777" w:rsidR="00CE7B55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>
              <w:rPr>
                <w:rFonts w:ascii="Calibri Light" w:hAnsi="Calibri Light" w:cs="Arial"/>
                <w:lang w:eastAsia="en-GB"/>
              </w:rPr>
              <w:t>25</w:t>
            </w:r>
          </w:p>
        </w:tc>
      </w:tr>
      <w:tr w:rsidR="00CE7B55" w:rsidRPr="00233FFF" w14:paraId="551B20BE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A54A" w14:textId="77777777" w:rsidR="00CE7B55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>
              <w:rPr>
                <w:rFonts w:ascii="Calibri Light" w:hAnsi="Calibri Light" w:cs="Arial"/>
                <w:color w:val="000000"/>
                <w:lang w:eastAsia="en-GB"/>
              </w:rPr>
              <w:t>Antibiotic only drops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5EDA3" w14:textId="77777777" w:rsidR="00CE7B55" w:rsidRPr="00CC46DE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>
              <w:rPr>
                <w:rFonts w:ascii="Calibri Light" w:hAnsi="Calibri Light" w:cs="Arial"/>
                <w:color w:val="000000"/>
                <w:lang w:eastAsia="en-GB"/>
              </w:rPr>
              <w:t>4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BA5351" w14:textId="77777777" w:rsidR="00CE7B55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>
              <w:rPr>
                <w:rFonts w:ascii="Calibri Light" w:hAnsi="Calibri Light" w:cs="Arial"/>
                <w:lang w:eastAsia="en-GB"/>
              </w:rPr>
              <w:t>25</w:t>
            </w:r>
          </w:p>
        </w:tc>
      </w:tr>
      <w:tr w:rsidR="00CE7B55" w:rsidRPr="00233FFF" w14:paraId="5A0CBBDF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3FC75" w14:textId="77777777" w:rsidR="00CE7B55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>
              <w:rPr>
                <w:rFonts w:ascii="Calibri Light" w:hAnsi="Calibri Light" w:cs="Arial"/>
                <w:color w:val="000000"/>
                <w:lang w:eastAsia="en-GB"/>
              </w:rPr>
              <w:t>Topical Steroids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8C967" w14:textId="77777777" w:rsidR="00CE7B55" w:rsidRPr="00CC46DE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>
              <w:rPr>
                <w:rFonts w:ascii="Calibri Light" w:hAnsi="Calibri Light" w:cs="Arial"/>
                <w:color w:val="000000"/>
                <w:lang w:eastAsia="en-GB"/>
              </w:rPr>
              <w:t>7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135766" w14:textId="77777777" w:rsidR="00CE7B55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>
              <w:rPr>
                <w:rFonts w:ascii="Calibri Light" w:hAnsi="Calibri Light" w:cs="Arial"/>
                <w:lang w:eastAsia="en-GB"/>
              </w:rPr>
              <w:t>25</w:t>
            </w:r>
          </w:p>
        </w:tc>
      </w:tr>
      <w:tr w:rsidR="00CE7B55" w:rsidRPr="00233FFF" w14:paraId="394BC2C5" w14:textId="77777777" w:rsidTr="006A5137">
        <w:trPr>
          <w:trHeight w:val="170"/>
        </w:trPr>
        <w:tc>
          <w:tcPr>
            <w:tcW w:w="19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02F5B" w14:textId="77777777" w:rsidR="00CE7B55" w:rsidRDefault="00CE7B55" w:rsidP="006A5137">
            <w:pPr>
              <w:spacing w:line="480" w:lineRule="auto"/>
              <w:rPr>
                <w:rFonts w:ascii="Calibri Light" w:hAnsi="Calibri Light" w:cs="Arial"/>
                <w:color w:val="000000"/>
                <w:lang w:eastAsia="en-GB"/>
              </w:rPr>
            </w:pPr>
            <w:r>
              <w:rPr>
                <w:rFonts w:ascii="Calibri Light" w:hAnsi="Calibri Light" w:cs="Arial"/>
                <w:color w:val="000000"/>
                <w:lang w:eastAsia="en-GB"/>
              </w:rPr>
              <w:t>Oral antibiotics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58BA0" w14:textId="77777777" w:rsidR="00CE7B55" w:rsidRPr="00CC46DE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color w:val="000000"/>
                <w:lang w:eastAsia="en-GB"/>
              </w:rPr>
            </w:pPr>
            <w:r>
              <w:rPr>
                <w:rFonts w:ascii="Calibri Light" w:hAnsi="Calibri Light" w:cs="Arial"/>
                <w:color w:val="000000"/>
                <w:lang w:eastAsia="en-GB"/>
              </w:rPr>
              <w:t>3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14:paraId="737A6398" w14:textId="77777777" w:rsidR="00CE7B55" w:rsidRDefault="00CE7B55" w:rsidP="006A5137">
            <w:pPr>
              <w:spacing w:line="480" w:lineRule="auto"/>
              <w:jc w:val="center"/>
              <w:rPr>
                <w:rFonts w:ascii="Calibri Light" w:hAnsi="Calibri Light" w:cs="Arial"/>
                <w:lang w:eastAsia="en-GB"/>
              </w:rPr>
            </w:pPr>
            <w:r>
              <w:rPr>
                <w:rFonts w:ascii="Calibri Light" w:hAnsi="Calibri Light" w:cs="Arial"/>
                <w:lang w:eastAsia="en-GB"/>
              </w:rPr>
              <w:t>25</w:t>
            </w:r>
          </w:p>
        </w:tc>
      </w:tr>
    </w:tbl>
    <w:p w14:paraId="1E320807" w14:textId="77777777" w:rsidR="006A5137" w:rsidRDefault="006A5137" w:rsidP="006A5137">
      <w:pPr>
        <w:spacing w:line="480" w:lineRule="auto"/>
        <w:rPr>
          <w:i/>
        </w:rPr>
      </w:pPr>
      <w:r w:rsidRPr="000652C6">
        <w:rPr>
          <w:i/>
        </w:rPr>
        <w:t xml:space="preserve">Data are reported as N (%), </w:t>
      </w:r>
      <w:proofErr w:type="spellStart"/>
      <w:r w:rsidRPr="000652C6">
        <w:rPr>
          <w:i/>
        </w:rPr>
        <w:t>mean±SD</w:t>
      </w:r>
      <w:proofErr w:type="spellEnd"/>
      <w:r w:rsidRPr="000652C6">
        <w:rPr>
          <w:i/>
        </w:rPr>
        <w:t>, or median (range), as applicable. Valid N: the number of patients for whom data for the stated variable were recorded.</w:t>
      </w:r>
    </w:p>
    <w:p w14:paraId="686DA933" w14:textId="13E32C4F" w:rsidR="00CE7B55" w:rsidRDefault="00CE7B55" w:rsidP="00CE7B55">
      <w:pPr>
        <w:spacing w:line="480" w:lineRule="auto"/>
      </w:pPr>
      <w:bookmarkStart w:id="0" w:name="_GoBack"/>
      <w:bookmarkEnd w:id="0"/>
    </w:p>
    <w:p w14:paraId="0D27A0DA" w14:textId="44528FFB" w:rsidR="00CE7B55" w:rsidRDefault="00CE7B55" w:rsidP="00CE7B55">
      <w:pPr>
        <w:spacing w:line="480" w:lineRule="auto"/>
      </w:pPr>
    </w:p>
    <w:p w14:paraId="2E6A6049" w14:textId="41FC8AAA" w:rsidR="00CE7B55" w:rsidRDefault="00CE7B55" w:rsidP="00CE7B55">
      <w:pPr>
        <w:spacing w:line="480" w:lineRule="auto"/>
      </w:pPr>
    </w:p>
    <w:p w14:paraId="106073CD" w14:textId="5F47435B" w:rsidR="00CE7B55" w:rsidRDefault="00CE7B55" w:rsidP="00CE7B55">
      <w:pPr>
        <w:spacing w:line="480" w:lineRule="auto"/>
      </w:pPr>
    </w:p>
    <w:p w14:paraId="4BEFE9A0" w14:textId="4DE28AB9" w:rsidR="00CE7B55" w:rsidRDefault="00CE7B55" w:rsidP="00CE7B55">
      <w:pPr>
        <w:spacing w:line="480" w:lineRule="auto"/>
      </w:pPr>
    </w:p>
    <w:p w14:paraId="06F0AEC2" w14:textId="5A6CE9E5" w:rsidR="00CE7B55" w:rsidRDefault="00CE7B55" w:rsidP="00CE7B55">
      <w:pPr>
        <w:spacing w:line="480" w:lineRule="auto"/>
      </w:pPr>
    </w:p>
    <w:p w14:paraId="1F55D07B" w14:textId="3A2BD3CE" w:rsidR="00CE7B55" w:rsidRDefault="00CE7B55" w:rsidP="00CE7B55">
      <w:pPr>
        <w:spacing w:line="480" w:lineRule="auto"/>
      </w:pPr>
    </w:p>
    <w:p w14:paraId="3E694680" w14:textId="67C26CF9" w:rsidR="00CE7B55" w:rsidRDefault="00CE7B55" w:rsidP="00CE7B55">
      <w:pPr>
        <w:spacing w:line="480" w:lineRule="auto"/>
      </w:pPr>
    </w:p>
    <w:p w14:paraId="28DB6972" w14:textId="77777777" w:rsidR="00CE7B55" w:rsidRDefault="00CE7B55" w:rsidP="00CE7B55">
      <w:pPr>
        <w:spacing w:line="480" w:lineRule="auto"/>
      </w:pPr>
    </w:p>
    <w:p w14:paraId="1387E188" w14:textId="77777777" w:rsidR="00636224" w:rsidRDefault="006A5137"/>
    <w:sectPr w:rsidR="00636224" w:rsidSect="005F101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B55"/>
    <w:rsid w:val="002A2DD4"/>
    <w:rsid w:val="0039596C"/>
    <w:rsid w:val="0048546A"/>
    <w:rsid w:val="004C6DAC"/>
    <w:rsid w:val="005F1014"/>
    <w:rsid w:val="006A5137"/>
    <w:rsid w:val="00973B46"/>
    <w:rsid w:val="00A33ED7"/>
    <w:rsid w:val="00AE6D73"/>
    <w:rsid w:val="00AF7587"/>
    <w:rsid w:val="00BB42C6"/>
    <w:rsid w:val="00CE7B55"/>
    <w:rsid w:val="00DF077D"/>
    <w:rsid w:val="00EB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E95808"/>
  <w14:defaultImageDpi w14:val="32767"/>
  <w15:chartTrackingRefBased/>
  <w15:docId w15:val="{C0446F5E-BEAE-5B4F-8400-234453F88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7B55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CE7B55"/>
    <w:pPr>
      <w:keepNext/>
      <w:outlineLvl w:val="1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E7B55"/>
    <w:rPr>
      <w:rFonts w:ascii="Times New Roman" w:eastAsia="Times New Roman" w:hAnsi="Times New Roman" w:cs="Times New Roman"/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2020-05-17T11:40:00Z</dcterms:created>
  <dcterms:modified xsi:type="dcterms:W3CDTF">2020-05-17T11:53:00Z</dcterms:modified>
</cp:coreProperties>
</file>