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FF0" w:rsidRPr="00A92E71" w:rsidRDefault="00224FF0" w:rsidP="00224FF0">
      <w:pPr>
        <w:pStyle w:val="HTMLconformatoprevio"/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51F7D">
        <w:rPr>
          <w:rFonts w:ascii="Times New Roman" w:hAnsi="Times New Roman"/>
          <w:b/>
          <w:sz w:val="24"/>
          <w:szCs w:val="24"/>
          <w:lang w:val="en-US"/>
        </w:rPr>
        <w:t xml:space="preserve">TABLE 1. </w:t>
      </w:r>
      <w:r>
        <w:rPr>
          <w:rFonts w:ascii="Times New Roman" w:hAnsi="Times New Roman"/>
          <w:b/>
          <w:sz w:val="24"/>
          <w:szCs w:val="24"/>
          <w:lang w:val="en-US"/>
        </w:rPr>
        <w:t>Baseline c</w:t>
      </w:r>
      <w:r w:rsidRPr="00551F7D">
        <w:rPr>
          <w:rFonts w:ascii="Times New Roman" w:hAnsi="Times New Roman"/>
          <w:b/>
          <w:sz w:val="24"/>
          <w:szCs w:val="24"/>
          <w:lang w:val="en-US"/>
        </w:rPr>
        <w:t xml:space="preserve">haracteristics of patients </w:t>
      </w:r>
    </w:p>
    <w:tbl>
      <w:tblPr>
        <w:tblpPr w:leftFromText="141" w:rightFromText="141" w:vertAnchor="page" w:horzAnchor="page" w:tblpX="370" w:tblpY="2434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1842"/>
        <w:gridCol w:w="1985"/>
        <w:gridCol w:w="2268"/>
        <w:gridCol w:w="1559"/>
      </w:tblGrid>
      <w:tr w:rsidR="00224FF0" w:rsidRPr="007544F2" w:rsidTr="00132944">
        <w:tc>
          <w:tcPr>
            <w:tcW w:w="3369" w:type="dxa"/>
            <w:shd w:val="clear" w:color="auto" w:fill="auto"/>
          </w:tcPr>
          <w:p w:rsidR="00224FF0" w:rsidRPr="007544F2" w:rsidRDefault="00224FF0" w:rsidP="00132944">
            <w:pPr>
              <w:spacing w:line="480" w:lineRule="auto"/>
              <w:ind w:left="284" w:hanging="284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>Characteristic</w:t>
            </w:r>
          </w:p>
        </w:tc>
        <w:tc>
          <w:tcPr>
            <w:tcW w:w="1842" w:type="dxa"/>
            <w:shd w:val="clear" w:color="auto" w:fill="auto"/>
          </w:tcPr>
          <w:p w:rsidR="00224FF0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>Patients without  cancer</w:t>
            </w:r>
          </w:p>
          <w:p w:rsidR="00224FF0" w:rsidRPr="007544F2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>(N=903)</w:t>
            </w:r>
          </w:p>
        </w:tc>
        <w:tc>
          <w:tcPr>
            <w:tcW w:w="1985" w:type="dxa"/>
            <w:shd w:val="clear" w:color="auto" w:fill="auto"/>
          </w:tcPr>
          <w:p w:rsidR="00224FF0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 xml:space="preserve">Patients with cancer in 3 years </w:t>
            </w:r>
          </w:p>
          <w:p w:rsidR="00224FF0" w:rsidRPr="007544F2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>
              <w:rPr>
                <w:rFonts w:ascii="Times Roman" w:hAnsi="Times Roman"/>
                <w:b/>
                <w:sz w:val="20"/>
                <w:szCs w:val="20"/>
                <w:lang w:val="en-US"/>
              </w:rPr>
              <w:t>(N=30</w:t>
            </w: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</w:tcPr>
          <w:p w:rsidR="00224FF0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 xml:space="preserve">Patients with cancer beyond 3 years </w:t>
            </w:r>
          </w:p>
          <w:p w:rsidR="00224FF0" w:rsidRPr="007544F2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>
              <w:rPr>
                <w:rFonts w:ascii="Times Roman" w:hAnsi="Times Roman"/>
                <w:b/>
                <w:sz w:val="20"/>
                <w:szCs w:val="20"/>
                <w:lang w:val="en-US"/>
              </w:rPr>
              <w:t>(N=29</w:t>
            </w: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224FF0" w:rsidRPr="007544F2" w:rsidRDefault="00224FF0" w:rsidP="00132944">
            <w:pPr>
              <w:spacing w:line="480" w:lineRule="auto"/>
              <w:jc w:val="center"/>
              <w:rPr>
                <w:rFonts w:ascii="Times Roman" w:hAnsi="Times Roman"/>
                <w:b/>
                <w:sz w:val="20"/>
                <w:szCs w:val="20"/>
                <w:lang w:val="en-US"/>
              </w:rPr>
            </w:pPr>
            <w:r w:rsidRPr="007544F2">
              <w:rPr>
                <w:rFonts w:ascii="Times Roman" w:hAnsi="Times Roman"/>
                <w:b/>
                <w:sz w:val="20"/>
                <w:szCs w:val="20"/>
                <w:lang w:val="en-US"/>
              </w:rPr>
              <w:t>P Value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Age (yr)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61.1 ± 12.0</w:t>
            </w: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66.0 ± 11.6</w:t>
            </w: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62.2 ± 12.3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0.083</w:t>
            </w:r>
          </w:p>
        </w:tc>
      </w:tr>
      <w:tr w:rsidR="00224FF0" w:rsidRPr="00551F7D" w:rsidTr="00132944">
        <w:trPr>
          <w:trHeight w:val="388"/>
        </w:trPr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Male sex (%)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23.5</w:t>
            </w: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30.0</w:t>
            </w: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27.6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0.632</w:t>
            </w:r>
          </w:p>
        </w:tc>
      </w:tr>
      <w:tr w:rsidR="00224FF0" w:rsidRPr="00551F7D" w:rsidTr="00132944">
        <w:trPr>
          <w:trHeight w:val="338"/>
        </w:trPr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Body-mass index (Kg/m</w:t>
            </w:r>
            <w:r w:rsidRPr="00551F7D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n-US"/>
              </w:rPr>
              <w:t>2</w:t>
            </w: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28.5 ± 4.35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27.8 ± 4.71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28.8 ± 3.78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0.621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Diabetes (%)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24.0</w:t>
            </w: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16.7</w:t>
            </w: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31.0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0.434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Present Smoker (%)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14.0</w:t>
            </w: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13.3</w:t>
            </w: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10.3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0.955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Present or past smoker (%)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75.6</w:t>
            </w: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86.7</w:t>
            </w: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75.9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0.380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Hypertension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63.5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80.0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72.4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0.115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Previous heart failure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0.036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Peripheral artery disease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1.000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Cerebrovascular events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0.660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Ejection fraction &lt; 40%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0.585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Present or past atrial fibrillation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16.7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6.9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0.064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MEDICAL THERAPY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Acetylsalicylic acid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92.6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96.7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89.7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0.556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AntiP2Y12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75.7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76.7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51.7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0.013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Acenocumarol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1.000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Statins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94.5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93.1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0.567</w:t>
            </w:r>
          </w:p>
        </w:tc>
      </w:tr>
      <w:tr w:rsidR="00224FF0" w:rsidRPr="00551F7D" w:rsidTr="00132944">
        <w:trPr>
          <w:trHeight w:val="71"/>
        </w:trPr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Oral antidiabetic drugs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10.0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0.351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Insulin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0.150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ACEI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62.5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44.8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0.155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Angiotensin receptor blockers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15.0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0.370</w:t>
            </w:r>
          </w:p>
        </w:tc>
      </w:tr>
      <w:tr w:rsidR="00224FF0" w:rsidRPr="00551F7D" w:rsidTr="00132944">
        <w:trPr>
          <w:trHeight w:val="337"/>
        </w:trPr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Aldosterone receptor blockers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6.7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0.919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Betablockers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78.8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65.5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0.184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lastRenderedPageBreak/>
              <w:t>Diuretics (%)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18.8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27.6</w:t>
            </w: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0.422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FFFFFF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Amiodarone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559" w:type="dxa"/>
            <w:shd w:val="clear" w:color="auto" w:fill="FFFFFF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1.000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FFFFFF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Digoxine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985" w:type="dxa"/>
            <w:shd w:val="clear" w:color="auto" w:fill="FFFFFF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2268" w:type="dxa"/>
            <w:shd w:val="clear" w:color="auto" w:fill="FFFFFF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559" w:type="dxa"/>
            <w:shd w:val="clear" w:color="auto" w:fill="FFFFFF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sz w:val="20"/>
                <w:szCs w:val="20"/>
                <w:lang w:val="en-US"/>
              </w:rPr>
              <w:t>1.000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ANALYTICAL DATA</w:t>
            </w:r>
          </w:p>
        </w:tc>
        <w:tc>
          <w:tcPr>
            <w:tcW w:w="1842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LDL cholesterol (mg/dl)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80.5 ± 25.0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78.1 ± 25.2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85.3 ± 22.5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0.518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HDL cholesterol (mg/dl)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42.0 ± 10.8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43.4 ± 10.7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44.5 ± 13.6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0.397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Non-HDL cholesterol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104 ± 30.5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98.4 ± 27.1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111 ± 28.2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0.291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Triglycerides (mg/dl)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 (66.0)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92.5 (66.2)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121 (56.0)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0.135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Glycemia (mg/dl)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101 (24.0)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98.0 (17.8)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99.0 (19.0)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0.792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eGFR (CKD-EPI) (ml/min/1.73 m</w:t>
            </w:r>
            <w:r w:rsidRPr="00551F7D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78.6 ± 19.4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74.4 ± 19.2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73.1 ± 17.8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0.171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Hs </w:t>
            </w: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C-reactive protein (mg/l)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1.08 (2.72)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2.68 (4.63)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1.49 (2.81)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0.004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NT-ProBNP (pg/ml)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176 (2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97)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272 (8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155 (2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0.324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MCP-1 (pg/ml)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135 (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74)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151 (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58)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133 (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43)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0.725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Galectin-3 (ng/ml)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7.86 (3.89)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7.85 (4.13)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7.50 (2.89)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0.253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Hs </w:t>
            </w: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troponin I (ng/ml)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(0.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(0.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16)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03 (0.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09)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0.837</w:t>
            </w:r>
          </w:p>
        </w:tc>
      </w:tr>
      <w:tr w:rsidR="00224FF0" w:rsidRPr="00551F7D" w:rsidTr="00132944">
        <w:tc>
          <w:tcPr>
            <w:tcW w:w="3369" w:type="dxa"/>
            <w:shd w:val="clear" w:color="auto" w:fill="auto"/>
          </w:tcPr>
          <w:p w:rsidR="00224FF0" w:rsidRPr="00551F7D" w:rsidRDefault="00224FF0" w:rsidP="00132944">
            <w:pPr>
              <w:spacing w:line="48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551F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Calcidiol (ng/ml)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20.4 ± 8.55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21.4 ± 9.8</w:t>
            </w:r>
          </w:p>
        </w:tc>
        <w:tc>
          <w:tcPr>
            <w:tcW w:w="2268" w:type="dxa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17.6 ± 6.93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24FF0" w:rsidRPr="00551F7D" w:rsidRDefault="00224FF0" w:rsidP="00132944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551F7D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0.175</w:t>
            </w:r>
          </w:p>
        </w:tc>
      </w:tr>
    </w:tbl>
    <w:p w:rsidR="00224FF0" w:rsidRPr="00551F7D" w:rsidRDefault="00224FF0" w:rsidP="00224FF0">
      <w:pPr>
        <w:pStyle w:val="HTMLconformatoprevio"/>
        <w:spacing w:line="48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51F7D">
        <w:rPr>
          <w:rFonts w:ascii="Times New Roman" w:hAnsi="Times New Roman"/>
          <w:sz w:val="24"/>
          <w:szCs w:val="24"/>
          <w:lang w:val="en-US"/>
        </w:rPr>
        <w:t>Values are presented as mean</w:t>
      </w:r>
      <w:r w:rsidRPr="00D73215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±Standard deviation and median (Interquartile range)</w:t>
      </w:r>
    </w:p>
    <w:p w:rsidR="00224FF0" w:rsidRPr="005722D1" w:rsidRDefault="00224FF0" w:rsidP="00224FF0">
      <w:pPr>
        <w:pStyle w:val="Ttulo1"/>
        <w:spacing w:before="2" w:after="2" w:line="480" w:lineRule="auto"/>
        <w:jc w:val="both"/>
        <w:rPr>
          <w:rFonts w:ascii="Times Roman" w:hAnsi="Times Roman"/>
          <w:b w:val="0"/>
          <w:sz w:val="24"/>
          <w:szCs w:val="24"/>
          <w:lang w:val="en-US"/>
        </w:rPr>
      </w:pPr>
      <w:r>
        <w:rPr>
          <w:rFonts w:ascii="Times Roman" w:hAnsi="Times Roman"/>
          <w:sz w:val="24"/>
          <w:szCs w:val="24"/>
          <w:lang w:val="en-US"/>
        </w:rPr>
        <w:t xml:space="preserve">ACEI: </w:t>
      </w:r>
      <w:r w:rsidRPr="00700329">
        <w:rPr>
          <w:rFonts w:ascii="Times Roman" w:hAnsi="Times Roman"/>
          <w:b w:val="0"/>
          <w:sz w:val="24"/>
          <w:szCs w:val="24"/>
          <w:lang w:val="en-US"/>
        </w:rPr>
        <w:t>Angiotensin-converting inhibitors;</w:t>
      </w:r>
      <w:r>
        <w:rPr>
          <w:rFonts w:ascii="Times Roman" w:hAnsi="Times Roman"/>
          <w:sz w:val="24"/>
          <w:szCs w:val="24"/>
          <w:lang w:val="en-US"/>
        </w:rPr>
        <w:t xml:space="preserve"> </w:t>
      </w:r>
      <w:r w:rsidRPr="005722D1">
        <w:rPr>
          <w:rFonts w:ascii="Times Roman" w:hAnsi="Times Roman"/>
          <w:sz w:val="24"/>
          <w:szCs w:val="24"/>
          <w:lang w:val="en-US"/>
        </w:rPr>
        <w:t>CKD-EPI:</w:t>
      </w:r>
      <w:r w:rsidRPr="005722D1">
        <w:rPr>
          <w:rFonts w:ascii="Times Roman" w:hAnsi="Times Roman"/>
          <w:b w:val="0"/>
          <w:sz w:val="24"/>
          <w:szCs w:val="24"/>
          <w:lang w:val="en-US"/>
        </w:rPr>
        <w:t xml:space="preserve"> </w:t>
      </w:r>
      <w:r w:rsidRPr="005722D1">
        <w:rPr>
          <w:rStyle w:val="st"/>
          <w:rFonts w:ascii="Times Roman" w:hAnsi="Times Roman"/>
          <w:b w:val="0"/>
          <w:sz w:val="24"/>
          <w:szCs w:val="24"/>
          <w:lang w:val="en-US"/>
        </w:rPr>
        <w:t>Chronic Kidney Disease Epidemiology Collaboration;</w:t>
      </w:r>
      <w:r w:rsidRPr="005722D1">
        <w:rPr>
          <w:rStyle w:val="st"/>
          <w:rFonts w:ascii="Times Roman" w:hAnsi="Times Roman"/>
          <w:sz w:val="24"/>
          <w:szCs w:val="24"/>
          <w:lang w:val="en-US"/>
        </w:rPr>
        <w:t xml:space="preserve"> </w:t>
      </w:r>
      <w:r>
        <w:rPr>
          <w:rStyle w:val="st"/>
          <w:rFonts w:ascii="Times Roman" w:hAnsi="Times Roman"/>
          <w:sz w:val="24"/>
          <w:szCs w:val="24"/>
          <w:lang w:val="en-US"/>
        </w:rPr>
        <w:t>e</w:t>
      </w:r>
      <w:r w:rsidRPr="005722D1">
        <w:rPr>
          <w:rStyle w:val="st"/>
          <w:rFonts w:ascii="Times Roman" w:hAnsi="Times Roman"/>
          <w:sz w:val="24"/>
          <w:szCs w:val="24"/>
          <w:lang w:val="en-US"/>
        </w:rPr>
        <w:t xml:space="preserve">GFR: </w:t>
      </w:r>
      <w:r w:rsidRPr="006E688A">
        <w:rPr>
          <w:rStyle w:val="st"/>
          <w:rFonts w:ascii="Times Roman" w:hAnsi="Times Roman"/>
          <w:b w:val="0"/>
          <w:sz w:val="24"/>
          <w:szCs w:val="24"/>
          <w:lang w:val="en-US"/>
        </w:rPr>
        <w:t>Estimated</w:t>
      </w:r>
      <w:r>
        <w:rPr>
          <w:rStyle w:val="st"/>
          <w:rFonts w:ascii="Times Roman" w:hAnsi="Times Roman"/>
          <w:sz w:val="24"/>
          <w:szCs w:val="24"/>
          <w:lang w:val="en-US"/>
        </w:rPr>
        <w:t xml:space="preserve"> </w:t>
      </w:r>
      <w:r w:rsidRPr="005722D1">
        <w:rPr>
          <w:rStyle w:val="st"/>
          <w:rFonts w:ascii="Times Roman" w:hAnsi="Times Roman"/>
          <w:b w:val="0"/>
          <w:sz w:val="24"/>
          <w:szCs w:val="24"/>
          <w:lang w:val="en-US"/>
        </w:rPr>
        <w:t xml:space="preserve">glomerular filtration rate; </w:t>
      </w:r>
      <w:r w:rsidRPr="005722D1">
        <w:rPr>
          <w:rStyle w:val="st"/>
          <w:rFonts w:ascii="Times Roman" w:hAnsi="Times Roman"/>
          <w:sz w:val="24"/>
          <w:szCs w:val="24"/>
          <w:lang w:val="en-US"/>
        </w:rPr>
        <w:t>HDL:</w:t>
      </w:r>
      <w:r w:rsidRPr="005722D1">
        <w:rPr>
          <w:rStyle w:val="st"/>
          <w:rFonts w:ascii="Times Roman" w:hAnsi="Times Roman"/>
          <w:b w:val="0"/>
          <w:sz w:val="24"/>
          <w:szCs w:val="24"/>
          <w:lang w:val="en-US"/>
        </w:rPr>
        <w:t xml:space="preserve"> high-density lipoprotein; </w:t>
      </w:r>
      <w:r w:rsidRPr="00F84EDF">
        <w:rPr>
          <w:rStyle w:val="st"/>
          <w:rFonts w:ascii="Times Roman" w:hAnsi="Times Roman"/>
          <w:sz w:val="24"/>
          <w:szCs w:val="24"/>
          <w:lang w:val="en-US"/>
        </w:rPr>
        <w:t>Hs:</w:t>
      </w:r>
      <w:r>
        <w:rPr>
          <w:rStyle w:val="st"/>
          <w:rFonts w:ascii="Times Roman" w:hAnsi="Times Roman"/>
          <w:b w:val="0"/>
          <w:sz w:val="24"/>
          <w:szCs w:val="24"/>
          <w:lang w:val="en-US"/>
        </w:rPr>
        <w:t xml:space="preserve"> High-sensitivity; </w:t>
      </w:r>
      <w:r w:rsidRPr="005722D1">
        <w:rPr>
          <w:rStyle w:val="st"/>
          <w:rFonts w:ascii="Times Roman" w:hAnsi="Times Roman"/>
          <w:sz w:val="24"/>
          <w:szCs w:val="24"/>
          <w:lang w:val="en-US"/>
        </w:rPr>
        <w:t>LDL:</w:t>
      </w:r>
      <w:r w:rsidRPr="005722D1">
        <w:rPr>
          <w:rStyle w:val="st"/>
          <w:rFonts w:ascii="Times Roman" w:hAnsi="Times Roman"/>
          <w:b w:val="0"/>
          <w:sz w:val="24"/>
          <w:szCs w:val="24"/>
          <w:lang w:val="en-US"/>
        </w:rPr>
        <w:t xml:space="preserve"> low-density lipoprotein </w:t>
      </w:r>
      <w:r w:rsidRPr="005722D1">
        <w:rPr>
          <w:rFonts w:ascii="Times Roman" w:hAnsi="Times Roman"/>
          <w:sz w:val="24"/>
          <w:szCs w:val="24"/>
          <w:lang w:val="en-US"/>
        </w:rPr>
        <w:t>MCP-1:</w:t>
      </w:r>
      <w:r w:rsidRPr="005722D1">
        <w:rPr>
          <w:rFonts w:ascii="Times Roman" w:hAnsi="Times Roman"/>
          <w:b w:val="0"/>
          <w:sz w:val="24"/>
          <w:szCs w:val="24"/>
          <w:lang w:val="en-US"/>
        </w:rPr>
        <w:t xml:space="preserve"> monocyte chemoattractant protein-1; </w:t>
      </w:r>
      <w:r w:rsidRPr="005722D1">
        <w:rPr>
          <w:rFonts w:ascii="Times Roman" w:hAnsi="Times Roman"/>
          <w:sz w:val="24"/>
          <w:szCs w:val="24"/>
          <w:lang w:val="en-US"/>
        </w:rPr>
        <w:t>NT-Pro-BNP:</w:t>
      </w:r>
      <w:r w:rsidRPr="005722D1">
        <w:rPr>
          <w:rFonts w:ascii="Times Roman" w:hAnsi="Times Roman"/>
          <w:b w:val="0"/>
          <w:sz w:val="24"/>
          <w:szCs w:val="24"/>
          <w:lang w:val="en-US"/>
        </w:rPr>
        <w:t xml:space="preserve"> </w:t>
      </w:r>
      <w:r>
        <w:rPr>
          <w:rFonts w:ascii="Times Roman" w:hAnsi="Times Roman"/>
          <w:b w:val="0"/>
          <w:sz w:val="24"/>
          <w:szCs w:val="24"/>
          <w:lang w:val="en-US"/>
        </w:rPr>
        <w:t>N-terminal pr</w:t>
      </w:r>
      <w:r w:rsidRPr="005722D1">
        <w:rPr>
          <w:rFonts w:ascii="Times Roman" w:hAnsi="Times Roman"/>
          <w:b w:val="0"/>
          <w:sz w:val="24"/>
          <w:szCs w:val="24"/>
          <w:lang w:val="en-US"/>
        </w:rPr>
        <w:t xml:space="preserve">o-Brain natriuretic peptide. </w:t>
      </w:r>
    </w:p>
    <w:p w:rsidR="004E0813" w:rsidRDefault="00224FF0" w:rsidP="00224FF0">
      <w:r w:rsidRPr="005722D1">
        <w:rPr>
          <w:rFonts w:ascii="Times Roman" w:hAnsi="Times Roman"/>
          <w:lang w:val="en-US"/>
        </w:rPr>
        <w:br w:type="page"/>
      </w:r>
      <w:bookmarkStart w:id="0" w:name="_GoBack"/>
      <w:bookmarkEnd w:id="0"/>
    </w:p>
    <w:sectPr w:rsidR="004E0813" w:rsidSect="006926B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FF0"/>
    <w:rsid w:val="00224FF0"/>
    <w:rsid w:val="006926B7"/>
    <w:rsid w:val="00712B1B"/>
    <w:rsid w:val="00C41019"/>
    <w:rsid w:val="00C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B74E2-D4E5-D04C-A4DD-43E4D9BB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FF0"/>
    <w:rPr>
      <w:rFonts w:ascii="Cambria" w:eastAsia="MS Mincho" w:hAnsi="Cambria" w:cs="Times New Roman"/>
      <w:lang w:val="es-ES_tradnl" w:eastAsia="ja-JP"/>
    </w:rPr>
  </w:style>
  <w:style w:type="paragraph" w:styleId="Ttulo1">
    <w:name w:val="heading 1"/>
    <w:basedOn w:val="Normal"/>
    <w:next w:val="Normal"/>
    <w:link w:val="Ttulo1Car"/>
    <w:qFormat/>
    <w:rsid w:val="00224FF0"/>
    <w:pPr>
      <w:keepNext/>
      <w:jc w:val="center"/>
      <w:outlineLvl w:val="0"/>
    </w:pPr>
    <w:rPr>
      <w:rFonts w:ascii="Times New Roman" w:hAnsi="Times New Roman"/>
      <w:b/>
      <w:bCs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24FF0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character" w:customStyle="1" w:styleId="st">
    <w:name w:val="st"/>
    <w:rsid w:val="00224FF0"/>
  </w:style>
  <w:style w:type="paragraph" w:styleId="HTMLconformatoprevio">
    <w:name w:val="HTML Preformatted"/>
    <w:basedOn w:val="Normal"/>
    <w:link w:val="HTMLconformatoprevioCar"/>
    <w:uiPriority w:val="99"/>
    <w:rsid w:val="00224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24FF0"/>
    <w:rPr>
      <w:rFonts w:ascii="Courier New" w:eastAsia="MS Mincho" w:hAnsi="Courier New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382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Martínez Milla</dc:creator>
  <cp:keywords/>
  <dc:description/>
  <cp:lastModifiedBy>Juan Martínez Milla</cp:lastModifiedBy>
  <cp:revision>1</cp:revision>
  <dcterms:created xsi:type="dcterms:W3CDTF">2020-03-05T08:19:00Z</dcterms:created>
  <dcterms:modified xsi:type="dcterms:W3CDTF">2020-03-05T08:20:00Z</dcterms:modified>
</cp:coreProperties>
</file>