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697" w:rsidRPr="00A7396D" w:rsidRDefault="00404440">
      <w:pPr>
        <w:rPr>
          <w:rFonts w:ascii="Times New Roman" w:hAnsi="Times New Roman" w:cs="Times New Roman"/>
          <w:b/>
        </w:rPr>
      </w:pPr>
      <w:r w:rsidRPr="00A7396D">
        <w:rPr>
          <w:rFonts w:ascii="Times New Roman" w:hAnsi="Times New Roman" w:cs="Times New Roman"/>
          <w:b/>
        </w:rPr>
        <w:t>FIGURES</w:t>
      </w:r>
    </w:p>
    <w:p w:rsidR="004F1793" w:rsidRDefault="00524812" w:rsidP="004F1793">
      <w:r w:rsidRPr="00FD7A84">
        <w:rPr>
          <w:rFonts w:ascii="Times New Roman" w:hAnsi="Times New Roman" w:cs="Times New Roman"/>
          <w:b/>
        </w:rPr>
        <w:t>Fig. 1</w:t>
      </w:r>
      <w:r w:rsidRPr="00FD7A84">
        <w:rPr>
          <w:rFonts w:ascii="Times New Roman" w:hAnsi="Times New Roman" w:cs="Times New Roman"/>
        </w:rPr>
        <w:t xml:space="preserve"> </w:t>
      </w:r>
      <w:proofErr w:type="spellStart"/>
      <w:r w:rsidR="00FD7A84" w:rsidRPr="00FD7A84">
        <w:rPr>
          <w:rFonts w:ascii="Times New Roman" w:hAnsi="Times New Roman" w:cs="Times New Roman"/>
        </w:rPr>
        <w:t>The</w:t>
      </w:r>
      <w:proofErr w:type="spellEnd"/>
      <w:r w:rsidR="00FD7A84" w:rsidRPr="00FD7A84">
        <w:rPr>
          <w:rFonts w:ascii="Times New Roman" w:hAnsi="Times New Roman" w:cs="Times New Roman"/>
        </w:rPr>
        <w:t xml:space="preserve"> río La Antigua </w:t>
      </w:r>
      <w:proofErr w:type="spellStart"/>
      <w:r w:rsidR="00FD7A84" w:rsidRPr="00FD7A84">
        <w:rPr>
          <w:rFonts w:ascii="Times New Roman" w:hAnsi="Times New Roman" w:cs="Times New Roman"/>
        </w:rPr>
        <w:t>basin</w:t>
      </w:r>
      <w:proofErr w:type="spellEnd"/>
      <w:r w:rsidR="00FD7A84" w:rsidRPr="00FD7A84">
        <w:rPr>
          <w:rFonts w:ascii="Times New Roman" w:hAnsi="Times New Roman" w:cs="Times New Roman"/>
        </w:rPr>
        <w:t xml:space="preserve"> at Veracruz, </w:t>
      </w:r>
      <w:proofErr w:type="spellStart"/>
      <w:r w:rsidR="00FD7A84" w:rsidRPr="00FD7A84">
        <w:rPr>
          <w:rFonts w:ascii="Times New Roman" w:hAnsi="Times New Roman" w:cs="Times New Roman"/>
        </w:rPr>
        <w:t>Mexico</w:t>
      </w:r>
      <w:proofErr w:type="spellEnd"/>
      <w:r w:rsidR="00FD7A84" w:rsidRPr="00FD7A84">
        <w:rPr>
          <w:rFonts w:ascii="Times New Roman" w:hAnsi="Times New Roman" w:cs="Times New Roman"/>
        </w:rPr>
        <w:t xml:space="preserve">. </w:t>
      </w:r>
      <w:r w:rsidR="00966ECF" w:rsidRPr="009540BD">
        <w:rPr>
          <w:rFonts w:ascii="Times New Roman" w:hAnsi="Times New Roman" w:cs="Times New Roman"/>
          <w:lang w:val="en-IN"/>
        </w:rPr>
        <w:t>Sample</w:t>
      </w:r>
      <w:r w:rsidR="00FD7A84" w:rsidRPr="009540BD">
        <w:rPr>
          <w:rFonts w:ascii="Times New Roman" w:hAnsi="Times New Roman" w:cs="Times New Roman"/>
          <w:lang w:val="en-IN"/>
        </w:rPr>
        <w:t>d</w:t>
      </w:r>
      <w:r w:rsidR="00966ECF" w:rsidRPr="009540BD">
        <w:rPr>
          <w:rFonts w:ascii="Times New Roman" w:hAnsi="Times New Roman" w:cs="Times New Roman"/>
          <w:lang w:val="en-IN"/>
        </w:rPr>
        <w:t xml:space="preserve"> localities </w:t>
      </w:r>
      <w:r w:rsidR="00FD7A84" w:rsidRPr="009540BD">
        <w:rPr>
          <w:rFonts w:ascii="Times New Roman" w:hAnsi="Times New Roman" w:cs="Times New Roman"/>
          <w:lang w:val="en-IN"/>
        </w:rPr>
        <w:t xml:space="preserve">are: </w:t>
      </w:r>
      <w:r w:rsidR="004F1793" w:rsidRPr="009540BD">
        <w:rPr>
          <w:lang w:val="en-IN"/>
        </w:rPr>
        <w:t xml:space="preserve">1, </w:t>
      </w:r>
      <w:proofErr w:type="spellStart"/>
      <w:r w:rsidR="004F1793" w:rsidRPr="009540BD">
        <w:rPr>
          <w:lang w:val="en-IN"/>
        </w:rPr>
        <w:t>Pixquiac</w:t>
      </w:r>
      <w:proofErr w:type="spellEnd"/>
      <w:r w:rsidR="00A93B38" w:rsidRPr="009540BD">
        <w:rPr>
          <w:lang w:val="en-IN"/>
        </w:rPr>
        <w:t xml:space="preserve"> (</w:t>
      </w:r>
      <w:r w:rsidR="009540BD" w:rsidRPr="009540BD">
        <w:rPr>
          <w:lang w:val="en-IN"/>
        </w:rPr>
        <w:t xml:space="preserve">Coord: UTM  14Q  0715115, 2154905; </w:t>
      </w:r>
      <w:r w:rsidR="00A93B38" w:rsidRPr="009540BD">
        <w:rPr>
          <w:lang w:val="en-IN"/>
        </w:rPr>
        <w:t xml:space="preserve">altitude 1245 m </w:t>
      </w:r>
      <w:proofErr w:type="spellStart"/>
      <w:r w:rsidR="00A93B38" w:rsidRPr="009540BD">
        <w:rPr>
          <w:lang w:val="en-IN"/>
        </w:rPr>
        <w:t>a.s.l</w:t>
      </w:r>
      <w:proofErr w:type="spellEnd"/>
      <w:r w:rsidR="00A93B38" w:rsidRPr="009540BD">
        <w:rPr>
          <w:lang w:val="en-IN"/>
        </w:rPr>
        <w:t>.)</w:t>
      </w:r>
      <w:r w:rsidR="004F1793" w:rsidRPr="009540BD">
        <w:rPr>
          <w:lang w:val="en-IN"/>
        </w:rPr>
        <w:t xml:space="preserve">, 2. </w:t>
      </w:r>
      <w:r w:rsidR="004F1793" w:rsidRPr="00A93B38">
        <w:t>Xico</w:t>
      </w:r>
      <w:r w:rsidR="00A93B38" w:rsidRPr="00A93B38">
        <w:t xml:space="preserve"> (</w:t>
      </w:r>
      <w:r w:rsidR="009540BD" w:rsidRPr="009540BD">
        <w:t>0709328</w:t>
      </w:r>
      <w:r w:rsidR="009540BD">
        <w:t>,</w:t>
      </w:r>
      <w:r w:rsidR="009540BD" w:rsidRPr="009540BD">
        <w:t xml:space="preserve"> 2148062</w:t>
      </w:r>
      <w:r w:rsidR="009540BD">
        <w:t xml:space="preserve">; </w:t>
      </w:r>
      <w:r w:rsidR="00A93B38" w:rsidRPr="00A93B38">
        <w:t>1438 m)</w:t>
      </w:r>
      <w:r w:rsidR="004F1793" w:rsidRPr="00A93B38">
        <w:t xml:space="preserve">, 3. </w:t>
      </w:r>
      <w:r w:rsidR="004F1793">
        <w:t>Agua Bendita</w:t>
      </w:r>
      <w:r w:rsidR="00A93B38">
        <w:t xml:space="preserve"> (</w:t>
      </w:r>
      <w:r w:rsidR="009540BD" w:rsidRPr="009540BD">
        <w:t>0708849</w:t>
      </w:r>
      <w:r w:rsidR="009540BD">
        <w:t>,</w:t>
      </w:r>
      <w:r w:rsidR="009540BD" w:rsidRPr="009540BD">
        <w:t xml:space="preserve"> 2147130</w:t>
      </w:r>
      <w:r w:rsidR="009540BD">
        <w:t xml:space="preserve">; </w:t>
      </w:r>
      <w:r w:rsidR="00A93B38">
        <w:t>1278 m)</w:t>
      </w:r>
      <w:r w:rsidR="004F1793">
        <w:t>, 4. Teocelo</w:t>
      </w:r>
      <w:r w:rsidR="00A93B38">
        <w:t xml:space="preserve"> (</w:t>
      </w:r>
      <w:r w:rsidR="009540BD" w:rsidRPr="009540BD">
        <w:t>0712295</w:t>
      </w:r>
      <w:r w:rsidR="009540BD">
        <w:t>,</w:t>
      </w:r>
      <w:r w:rsidR="009540BD" w:rsidRPr="009540BD">
        <w:t xml:space="preserve"> 2143510</w:t>
      </w:r>
      <w:r w:rsidR="009540BD">
        <w:t xml:space="preserve">; </w:t>
      </w:r>
      <w:r w:rsidR="00A93B38">
        <w:t>1115 m)</w:t>
      </w:r>
      <w:r w:rsidR="004F1793">
        <w:t xml:space="preserve">, 5. </w:t>
      </w:r>
      <w:proofErr w:type="spellStart"/>
      <w:r w:rsidR="004F1793">
        <w:t>Baxtla</w:t>
      </w:r>
      <w:proofErr w:type="spellEnd"/>
      <w:r w:rsidR="00A93B38">
        <w:t xml:space="preserve"> (</w:t>
      </w:r>
      <w:r w:rsidR="009540BD" w:rsidRPr="009540BD">
        <w:t>0712154</w:t>
      </w:r>
      <w:r w:rsidR="009540BD">
        <w:t>,</w:t>
      </w:r>
      <w:r w:rsidR="009540BD" w:rsidRPr="009540BD">
        <w:t xml:space="preserve"> 2142160</w:t>
      </w:r>
      <w:r w:rsidR="009540BD">
        <w:t xml:space="preserve">; </w:t>
      </w:r>
      <w:r w:rsidR="00A93B38">
        <w:t>1105 m)</w:t>
      </w:r>
      <w:r w:rsidR="004F1793">
        <w:t>, 6. Jalcomulco</w:t>
      </w:r>
      <w:r w:rsidR="00A93B38">
        <w:t xml:space="preserve"> (</w:t>
      </w:r>
      <w:r w:rsidR="009540BD" w:rsidRPr="009540BD">
        <w:t>0725770</w:t>
      </w:r>
      <w:r w:rsidR="009540BD">
        <w:t xml:space="preserve">, </w:t>
      </w:r>
      <w:r w:rsidR="009540BD" w:rsidRPr="009540BD">
        <w:t>2144871</w:t>
      </w:r>
      <w:r w:rsidR="009540BD">
        <w:t xml:space="preserve">; </w:t>
      </w:r>
      <w:r w:rsidR="00A93B38">
        <w:t>617 m)</w:t>
      </w:r>
      <w:r w:rsidR="004F1793">
        <w:t xml:space="preserve">, 7. </w:t>
      </w:r>
      <w:proofErr w:type="spellStart"/>
      <w:r w:rsidR="004F1793">
        <w:t>Apazapan</w:t>
      </w:r>
      <w:proofErr w:type="spellEnd"/>
      <w:r w:rsidR="00A93B38">
        <w:t xml:space="preserve"> (</w:t>
      </w:r>
      <w:r w:rsidR="009540BD" w:rsidRPr="009540BD">
        <w:t>0738583</w:t>
      </w:r>
      <w:r w:rsidR="009540BD">
        <w:t xml:space="preserve">, </w:t>
      </w:r>
      <w:r w:rsidR="009540BD" w:rsidRPr="009540BD">
        <w:t>2139350</w:t>
      </w:r>
      <w:r w:rsidR="009540BD">
        <w:t xml:space="preserve">; </w:t>
      </w:r>
      <w:r w:rsidR="00A93B38">
        <w:t>328 m)</w:t>
      </w:r>
      <w:r w:rsidR="004F1793">
        <w:t>, 8. Río de Los Pescados</w:t>
      </w:r>
      <w:r w:rsidR="00A93B38">
        <w:t xml:space="preserve"> (</w:t>
      </w:r>
      <w:r w:rsidR="009540BD" w:rsidRPr="009540BD">
        <w:t>0741490</w:t>
      </w:r>
      <w:r w:rsidR="009540BD">
        <w:t xml:space="preserve">, </w:t>
      </w:r>
      <w:r w:rsidR="009540BD" w:rsidRPr="009540BD">
        <w:t>2137128</w:t>
      </w:r>
      <w:r w:rsidR="009540BD">
        <w:t xml:space="preserve">; </w:t>
      </w:r>
      <w:r w:rsidR="00A93B38">
        <w:t>282 m)</w:t>
      </w:r>
      <w:r w:rsidR="004F1793">
        <w:t>, 9. El Carrizal</w:t>
      </w:r>
      <w:r w:rsidR="00A93B38">
        <w:t xml:space="preserve"> (</w:t>
      </w:r>
      <w:r w:rsidR="009540BD" w:rsidRPr="009540BD">
        <w:t>0748702</w:t>
      </w:r>
      <w:r w:rsidR="009540BD">
        <w:t xml:space="preserve">, </w:t>
      </w:r>
      <w:r w:rsidR="009540BD" w:rsidRPr="009540BD">
        <w:t>2138013</w:t>
      </w:r>
      <w:r w:rsidR="009540BD">
        <w:t xml:space="preserve">; </w:t>
      </w:r>
      <w:r w:rsidR="00A93B38">
        <w:t>211 m)</w:t>
      </w:r>
      <w:r w:rsidR="004F1793">
        <w:t>, 10. Puente Nacional</w:t>
      </w:r>
      <w:r w:rsidR="00A93B38">
        <w:t xml:space="preserve"> (</w:t>
      </w:r>
      <w:r w:rsidR="009540BD" w:rsidRPr="009540BD">
        <w:t>0764574</w:t>
      </w:r>
      <w:r w:rsidR="00C46410">
        <w:t xml:space="preserve">, </w:t>
      </w:r>
      <w:r w:rsidR="009540BD" w:rsidRPr="009540BD">
        <w:t>2138651</w:t>
      </w:r>
      <w:r w:rsidR="009540BD">
        <w:t xml:space="preserve">; </w:t>
      </w:r>
      <w:r w:rsidR="00A93B38">
        <w:t>78 m)</w:t>
      </w:r>
      <w:r w:rsidR="004F1793">
        <w:t>, 11. Antigua Presa</w:t>
      </w:r>
      <w:r w:rsidR="00A93B38">
        <w:t xml:space="preserve"> (</w:t>
      </w:r>
      <w:r w:rsidR="00C46410" w:rsidRPr="00C46410">
        <w:t>770702</w:t>
      </w:r>
      <w:r w:rsidR="00C46410">
        <w:t xml:space="preserve">, </w:t>
      </w:r>
      <w:r w:rsidR="00C46410" w:rsidRPr="00C46410">
        <w:t>2140755</w:t>
      </w:r>
      <w:r w:rsidR="00C46410">
        <w:t xml:space="preserve">; </w:t>
      </w:r>
      <w:r w:rsidR="00A93B38">
        <w:t>42 m)</w:t>
      </w:r>
    </w:p>
    <w:p w:rsidR="00AB4329" w:rsidRDefault="00524812" w:rsidP="005A774D">
      <w:pPr>
        <w:rPr>
          <w:rFonts w:ascii="Times New Roman" w:hAnsi="Times New Roman" w:cs="Times New Roman"/>
          <w:b/>
          <w:lang w:val="en-IN"/>
        </w:rPr>
        <w:sectPr w:rsidR="00AB4329" w:rsidSect="00524812"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  <w:bookmarkStart w:id="0" w:name="_GoBack"/>
      <w:r w:rsidRPr="00524812">
        <w:rPr>
          <w:rFonts w:ascii="Times New Roman" w:hAnsi="Times New Roman" w:cs="Times New Roman"/>
          <w:b/>
          <w:noProof/>
          <w:lang w:val="en-IN"/>
        </w:rPr>
        <w:drawing>
          <wp:inline distT="0" distB="0" distL="0" distR="0">
            <wp:extent cx="8008620" cy="4269768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0034" cy="4270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A774D" w:rsidRPr="00056701" w:rsidRDefault="004F1793" w:rsidP="005A774D">
      <w:pPr>
        <w:rPr>
          <w:rFonts w:ascii="Times New Roman" w:hAnsi="Times New Roman" w:cs="Times New Roman"/>
          <w:lang w:val="en-IN"/>
        </w:rPr>
      </w:pPr>
      <w:r>
        <w:rPr>
          <w:rFonts w:ascii="Times New Roman" w:hAnsi="Times New Roman" w:cs="Times New Roman"/>
          <w:b/>
          <w:lang w:val="en-IN"/>
        </w:rPr>
        <w:lastRenderedPageBreak/>
        <w:t xml:space="preserve">Fig. </w:t>
      </w:r>
      <w:r w:rsidR="0075350E">
        <w:rPr>
          <w:rFonts w:ascii="Times New Roman" w:hAnsi="Times New Roman" w:cs="Times New Roman"/>
          <w:b/>
          <w:lang w:val="en-IN"/>
        </w:rPr>
        <w:t>2</w:t>
      </w:r>
      <w:r w:rsidR="00404440" w:rsidRPr="005A774D">
        <w:rPr>
          <w:rFonts w:ascii="Times New Roman" w:hAnsi="Times New Roman" w:cs="Times New Roman"/>
          <w:b/>
          <w:lang w:val="en-IN"/>
        </w:rPr>
        <w:t xml:space="preserve"> </w:t>
      </w:r>
      <w:r w:rsidR="005A774D" w:rsidRPr="00056701">
        <w:rPr>
          <w:rFonts w:ascii="Times New Roman" w:hAnsi="Times New Roman" w:cs="Times New Roman"/>
          <w:lang w:val="en-IN"/>
        </w:rPr>
        <w:t>Relationship between component communit</w:t>
      </w:r>
      <w:r w:rsidR="005A774D">
        <w:rPr>
          <w:rFonts w:ascii="Times New Roman" w:hAnsi="Times New Roman" w:cs="Times New Roman"/>
          <w:lang w:val="en-IN"/>
        </w:rPr>
        <w:t>y</w:t>
      </w:r>
      <w:r w:rsidR="005A774D" w:rsidRPr="00056701">
        <w:rPr>
          <w:rFonts w:ascii="Times New Roman" w:hAnsi="Times New Roman" w:cs="Times New Roman"/>
          <w:lang w:val="en-IN"/>
        </w:rPr>
        <w:t xml:space="preserve"> species richness</w:t>
      </w:r>
      <w:r w:rsidR="005A774D">
        <w:rPr>
          <w:rFonts w:ascii="Times New Roman" w:hAnsi="Times New Roman" w:cs="Times New Roman"/>
          <w:lang w:val="en-IN"/>
        </w:rPr>
        <w:t xml:space="preserve"> (S</w:t>
      </w:r>
      <w:r w:rsidR="005A774D" w:rsidRPr="005A774D">
        <w:rPr>
          <w:rFonts w:ascii="Times New Roman" w:hAnsi="Times New Roman" w:cs="Times New Roman"/>
          <w:vertAlign w:val="subscript"/>
          <w:lang w:val="en-IN"/>
        </w:rPr>
        <w:t>O</w:t>
      </w:r>
      <w:r w:rsidR="005A774D">
        <w:rPr>
          <w:rFonts w:ascii="Times New Roman" w:hAnsi="Times New Roman" w:cs="Times New Roman"/>
          <w:lang w:val="en-IN"/>
        </w:rPr>
        <w:t>)</w:t>
      </w:r>
      <w:r w:rsidR="005A774D" w:rsidRPr="00056701">
        <w:rPr>
          <w:rFonts w:ascii="Times New Roman" w:hAnsi="Times New Roman" w:cs="Times New Roman"/>
          <w:lang w:val="en-IN"/>
        </w:rPr>
        <w:t xml:space="preserve"> and m</w:t>
      </w:r>
      <w:r w:rsidR="00094CC7">
        <w:rPr>
          <w:rFonts w:ascii="Times New Roman" w:hAnsi="Times New Roman" w:cs="Times New Roman"/>
          <w:lang w:val="en-IN"/>
        </w:rPr>
        <w:t xml:space="preserve">ean </w:t>
      </w:r>
      <w:proofErr w:type="spellStart"/>
      <w:r w:rsidR="005A774D" w:rsidRPr="00056701">
        <w:rPr>
          <w:rFonts w:ascii="Times New Roman" w:hAnsi="Times New Roman" w:cs="Times New Roman"/>
          <w:lang w:val="en-IN"/>
        </w:rPr>
        <w:t>inf</w:t>
      </w:r>
      <w:r w:rsidR="005A774D">
        <w:rPr>
          <w:rFonts w:ascii="Times New Roman" w:hAnsi="Times New Roman" w:cs="Times New Roman"/>
          <w:lang w:val="en-IN"/>
        </w:rPr>
        <w:t>racommunity</w:t>
      </w:r>
      <w:proofErr w:type="spellEnd"/>
      <w:r w:rsidR="005A774D">
        <w:rPr>
          <w:rFonts w:ascii="Times New Roman" w:hAnsi="Times New Roman" w:cs="Times New Roman"/>
          <w:lang w:val="en-IN"/>
        </w:rPr>
        <w:t xml:space="preserve"> species richness; A) monogeneans; B) </w:t>
      </w:r>
      <w:proofErr w:type="spellStart"/>
      <w:r w:rsidR="005A774D">
        <w:rPr>
          <w:rFonts w:ascii="Times New Roman" w:hAnsi="Times New Roman" w:cs="Times New Roman"/>
          <w:lang w:val="en-IN"/>
        </w:rPr>
        <w:t>endohelminths</w:t>
      </w:r>
      <w:proofErr w:type="spellEnd"/>
      <w:r w:rsidR="005A774D">
        <w:rPr>
          <w:rFonts w:ascii="Times New Roman" w:hAnsi="Times New Roman" w:cs="Times New Roman"/>
          <w:lang w:val="en-IN"/>
        </w:rPr>
        <w:t>.</w:t>
      </w:r>
    </w:p>
    <w:p w:rsidR="00404440" w:rsidRPr="005A774D" w:rsidRDefault="00404440">
      <w:pPr>
        <w:rPr>
          <w:rFonts w:ascii="Times New Roman" w:hAnsi="Times New Roman" w:cs="Times New Roman"/>
          <w:b/>
          <w:lang w:val="en-IN"/>
        </w:rPr>
      </w:pPr>
    </w:p>
    <w:p w:rsidR="00404440" w:rsidRPr="00204A74" w:rsidRDefault="00204A74">
      <w:pPr>
        <w:rPr>
          <w:rFonts w:ascii="Times New Roman" w:hAnsi="Times New Roman" w:cs="Times New Roman"/>
          <w:b/>
          <w:lang w:val="en-IN"/>
        </w:rPr>
      </w:pPr>
      <w:r>
        <w:rPr>
          <w:noProof/>
        </w:rPr>
        <w:drawing>
          <wp:inline distT="0" distB="0" distL="0" distR="0" wp14:anchorId="3585F5CC" wp14:editId="6F3362D5">
            <wp:extent cx="4747260" cy="2712720"/>
            <wp:effectExtent l="0" t="0" r="0" b="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B611EE64-D3BE-4B50-901E-D71CDCCD71F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04440" w:rsidRPr="00524812" w:rsidRDefault="00404440">
      <w:pPr>
        <w:rPr>
          <w:rFonts w:ascii="Times New Roman" w:hAnsi="Times New Roman" w:cs="Times New Roman"/>
          <w:b/>
          <w:lang w:val="en-IN"/>
        </w:rPr>
      </w:pPr>
    </w:p>
    <w:p w:rsidR="00404440" w:rsidRDefault="00204A74">
      <w:pPr>
        <w:rPr>
          <w:rFonts w:ascii="Times New Roman" w:hAnsi="Times New Roman" w:cs="Times New Roman"/>
          <w:b/>
          <w:lang w:val="en-IN"/>
        </w:rPr>
      </w:pPr>
      <w:r>
        <w:rPr>
          <w:noProof/>
        </w:rPr>
        <w:drawing>
          <wp:inline distT="0" distB="0" distL="0" distR="0" wp14:anchorId="10E2F9A8" wp14:editId="6E905A00">
            <wp:extent cx="4747260" cy="2705100"/>
            <wp:effectExtent l="0" t="0" r="0" b="0"/>
            <wp:docPr id="3" name="Gráfico 3">
              <a:extLst xmlns:a="http://schemas.openxmlformats.org/drawingml/2006/main">
                <a:ext uri="{FF2B5EF4-FFF2-40B4-BE49-F238E27FC236}">
                  <a16:creationId xmlns:a16="http://schemas.microsoft.com/office/drawing/2014/main" id="{C7D714AF-C862-4BB7-A3C6-02876BE9880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7396D" w:rsidRDefault="00A7396D">
      <w:pPr>
        <w:rPr>
          <w:rFonts w:ascii="Times New Roman" w:hAnsi="Times New Roman" w:cs="Times New Roman"/>
          <w:b/>
          <w:lang w:val="en-IN"/>
        </w:rPr>
      </w:pPr>
    </w:p>
    <w:p w:rsidR="00A7396D" w:rsidRDefault="00A7396D">
      <w:pPr>
        <w:rPr>
          <w:rFonts w:ascii="Times New Roman" w:hAnsi="Times New Roman" w:cs="Times New Roman"/>
          <w:b/>
          <w:lang w:val="en-IN"/>
        </w:rPr>
      </w:pPr>
    </w:p>
    <w:p w:rsidR="00A7396D" w:rsidRDefault="00A7396D">
      <w:pPr>
        <w:rPr>
          <w:rFonts w:ascii="Times New Roman" w:hAnsi="Times New Roman" w:cs="Times New Roman"/>
          <w:b/>
          <w:lang w:val="en-IN"/>
        </w:rPr>
      </w:pPr>
    </w:p>
    <w:p w:rsidR="00A7396D" w:rsidRDefault="00A7396D">
      <w:pPr>
        <w:rPr>
          <w:rFonts w:ascii="Times New Roman" w:hAnsi="Times New Roman" w:cs="Times New Roman"/>
          <w:b/>
          <w:lang w:val="en-IN"/>
        </w:rPr>
      </w:pPr>
    </w:p>
    <w:p w:rsidR="00B17DBD" w:rsidRDefault="00B17DBD">
      <w:pPr>
        <w:rPr>
          <w:rFonts w:ascii="Times New Roman" w:hAnsi="Times New Roman" w:cs="Times New Roman"/>
          <w:b/>
          <w:lang w:val="en-IN"/>
        </w:rPr>
      </w:pPr>
    </w:p>
    <w:p w:rsidR="00A7396D" w:rsidRDefault="00A7396D">
      <w:pPr>
        <w:rPr>
          <w:rFonts w:ascii="Times New Roman" w:hAnsi="Times New Roman" w:cs="Times New Roman"/>
          <w:lang w:val="en-IN"/>
        </w:rPr>
      </w:pPr>
      <w:r>
        <w:rPr>
          <w:rFonts w:ascii="Times New Roman" w:hAnsi="Times New Roman" w:cs="Times New Roman"/>
          <w:b/>
          <w:lang w:val="en-IN"/>
        </w:rPr>
        <w:lastRenderedPageBreak/>
        <w:t xml:space="preserve">Fig. </w:t>
      </w:r>
      <w:r w:rsidR="0075350E">
        <w:rPr>
          <w:rFonts w:ascii="Times New Roman" w:hAnsi="Times New Roman" w:cs="Times New Roman"/>
          <w:b/>
          <w:lang w:val="en-IN"/>
        </w:rPr>
        <w:t>3</w:t>
      </w:r>
      <w:r>
        <w:rPr>
          <w:rFonts w:ascii="Times New Roman" w:hAnsi="Times New Roman" w:cs="Times New Roman"/>
          <w:b/>
          <w:lang w:val="en-IN"/>
        </w:rPr>
        <w:t>.</w:t>
      </w:r>
      <w:r>
        <w:rPr>
          <w:rFonts w:ascii="Times New Roman" w:hAnsi="Times New Roman" w:cs="Times New Roman"/>
          <w:lang w:val="en-IN"/>
        </w:rPr>
        <w:t xml:space="preserve"> Intraspecific aggregations. Eighty values of J calculated for each parasite species. Note 56 values J &gt; 0 (range 0.02 to 18.39), 9 values J &lt; 0 (range – 0.79 to – 0.01) and 15 values J = 0</w:t>
      </w:r>
    </w:p>
    <w:p w:rsidR="007F6FA8" w:rsidRDefault="007F6FA8">
      <w:pPr>
        <w:rPr>
          <w:rFonts w:ascii="Times New Roman" w:hAnsi="Times New Roman" w:cs="Times New Roman"/>
          <w:lang w:val="en-IN"/>
        </w:rPr>
      </w:pPr>
    </w:p>
    <w:p w:rsidR="007F6FA8" w:rsidRDefault="0008314A">
      <w:pPr>
        <w:rPr>
          <w:rFonts w:ascii="Times New Roman" w:hAnsi="Times New Roman" w:cs="Times New Roman"/>
          <w:lang w:val="en-IN"/>
        </w:rPr>
      </w:pPr>
      <w:r>
        <w:rPr>
          <w:noProof/>
        </w:rPr>
        <w:drawing>
          <wp:inline distT="0" distB="0" distL="0" distR="0" wp14:anchorId="28A89B2B" wp14:editId="67557BE3">
            <wp:extent cx="4572000" cy="2743200"/>
            <wp:effectExtent l="0" t="0" r="0" b="0"/>
            <wp:docPr id="8" name="Gráfico 8">
              <a:extLst xmlns:a="http://schemas.openxmlformats.org/drawingml/2006/main">
                <a:ext uri="{FF2B5EF4-FFF2-40B4-BE49-F238E27FC236}">
                  <a16:creationId xmlns:a16="http://schemas.microsoft.com/office/drawing/2014/main" id="{8DFBC51F-44ED-4604-B18A-05BC92EC0EA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7396D" w:rsidRDefault="00A7396D">
      <w:pPr>
        <w:rPr>
          <w:rFonts w:ascii="Times New Roman" w:hAnsi="Times New Roman" w:cs="Times New Roman"/>
          <w:lang w:val="en-IN"/>
        </w:rPr>
      </w:pPr>
    </w:p>
    <w:p w:rsidR="00A7396D" w:rsidRDefault="00A7396D">
      <w:pPr>
        <w:rPr>
          <w:rFonts w:ascii="Times New Roman" w:hAnsi="Times New Roman" w:cs="Times New Roman"/>
          <w:lang w:val="en-IN"/>
        </w:rPr>
      </w:pPr>
    </w:p>
    <w:p w:rsidR="00FB531D" w:rsidRDefault="00FB531D">
      <w:pPr>
        <w:rPr>
          <w:rFonts w:ascii="Times New Roman" w:hAnsi="Times New Roman" w:cs="Times New Roman"/>
          <w:lang w:val="en-IN"/>
        </w:rPr>
      </w:pPr>
    </w:p>
    <w:p w:rsidR="00C478DF" w:rsidRDefault="00C478DF" w:rsidP="00C478DF">
      <w:pPr>
        <w:rPr>
          <w:rFonts w:ascii="Times New Roman" w:hAnsi="Times New Roman" w:cs="Times New Roman"/>
          <w:lang w:val="en-IN"/>
        </w:rPr>
      </w:pPr>
      <w:r>
        <w:rPr>
          <w:rFonts w:ascii="Times New Roman" w:hAnsi="Times New Roman" w:cs="Times New Roman"/>
          <w:b/>
          <w:lang w:val="en-IN"/>
        </w:rPr>
        <w:t xml:space="preserve">Fig. </w:t>
      </w:r>
      <w:r w:rsidR="0075350E">
        <w:rPr>
          <w:rFonts w:ascii="Times New Roman" w:hAnsi="Times New Roman" w:cs="Times New Roman"/>
          <w:b/>
          <w:lang w:val="en-IN"/>
        </w:rPr>
        <w:t>4</w:t>
      </w:r>
      <w:r>
        <w:rPr>
          <w:rFonts w:ascii="Times New Roman" w:hAnsi="Times New Roman" w:cs="Times New Roman"/>
          <w:b/>
          <w:lang w:val="en-IN"/>
        </w:rPr>
        <w:t>.</w:t>
      </w:r>
      <w:r>
        <w:rPr>
          <w:rFonts w:ascii="Times New Roman" w:hAnsi="Times New Roman" w:cs="Times New Roman"/>
          <w:lang w:val="en-IN"/>
        </w:rPr>
        <w:t xml:space="preserve"> Interspecific aggregations. </w:t>
      </w:r>
      <w:proofErr w:type="gramStart"/>
      <w:r>
        <w:rPr>
          <w:rFonts w:ascii="Times New Roman" w:hAnsi="Times New Roman" w:cs="Times New Roman"/>
          <w:lang w:val="en-IN"/>
        </w:rPr>
        <w:t>Seventy seven</w:t>
      </w:r>
      <w:proofErr w:type="gramEnd"/>
      <w:r>
        <w:rPr>
          <w:rFonts w:ascii="Times New Roman" w:hAnsi="Times New Roman" w:cs="Times New Roman"/>
          <w:lang w:val="en-IN"/>
        </w:rPr>
        <w:t xml:space="preserve"> values of A</w:t>
      </w:r>
      <w:r w:rsidRPr="00C478DF">
        <w:rPr>
          <w:rFonts w:ascii="Times New Roman" w:hAnsi="Times New Roman" w:cs="Times New Roman"/>
          <w:vertAlign w:val="subscript"/>
          <w:lang w:val="en-IN"/>
        </w:rPr>
        <w:t>1,2</w:t>
      </w:r>
      <w:r>
        <w:rPr>
          <w:rFonts w:ascii="Times New Roman" w:hAnsi="Times New Roman" w:cs="Times New Roman"/>
          <w:lang w:val="en-IN"/>
        </w:rPr>
        <w:t xml:space="preserve"> calculated for each of 16 pair of parasite species. Note 64 values A</w:t>
      </w:r>
      <w:r w:rsidRPr="00C478DF">
        <w:rPr>
          <w:rFonts w:ascii="Times New Roman" w:hAnsi="Times New Roman" w:cs="Times New Roman"/>
          <w:vertAlign w:val="subscript"/>
          <w:lang w:val="en-IN"/>
        </w:rPr>
        <w:t>1,2</w:t>
      </w:r>
      <w:r>
        <w:rPr>
          <w:rFonts w:ascii="Times New Roman" w:hAnsi="Times New Roman" w:cs="Times New Roman"/>
          <w:lang w:val="en-IN"/>
        </w:rPr>
        <w:t xml:space="preserve"> &gt; 1 (range 1.1 to 52.8).</w:t>
      </w:r>
    </w:p>
    <w:p w:rsidR="00C478DF" w:rsidRDefault="00C478DF" w:rsidP="00C478DF">
      <w:pPr>
        <w:rPr>
          <w:rFonts w:ascii="Times New Roman" w:hAnsi="Times New Roman" w:cs="Times New Roman"/>
          <w:lang w:val="en-IN"/>
        </w:rPr>
      </w:pPr>
    </w:p>
    <w:p w:rsidR="00175DA9" w:rsidRPr="00A7396D" w:rsidRDefault="00C478DF" w:rsidP="00AB4329">
      <w:pPr>
        <w:rPr>
          <w:rFonts w:ascii="Times New Roman" w:hAnsi="Times New Roman" w:cs="Times New Roman"/>
          <w:lang w:val="en-IN"/>
        </w:rPr>
      </w:pPr>
      <w:r>
        <w:rPr>
          <w:noProof/>
        </w:rPr>
        <w:drawing>
          <wp:inline distT="0" distB="0" distL="0" distR="0" wp14:anchorId="13D9B41F" wp14:editId="21DFBBC4">
            <wp:extent cx="4572000" cy="2743200"/>
            <wp:effectExtent l="0" t="0" r="0" b="0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568BC9E3-2208-47EC-A070-D82802494EA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175DA9" w:rsidRPr="00A7396D" w:rsidSect="00AB432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440"/>
    <w:rsid w:val="00055645"/>
    <w:rsid w:val="00062537"/>
    <w:rsid w:val="0008314A"/>
    <w:rsid w:val="00094CC7"/>
    <w:rsid w:val="0014164E"/>
    <w:rsid w:val="001739E7"/>
    <w:rsid w:val="00175DA9"/>
    <w:rsid w:val="001B54CC"/>
    <w:rsid w:val="001D2705"/>
    <w:rsid w:val="001E5F23"/>
    <w:rsid w:val="00204A74"/>
    <w:rsid w:val="002440D8"/>
    <w:rsid w:val="00404440"/>
    <w:rsid w:val="004F1793"/>
    <w:rsid w:val="00504B92"/>
    <w:rsid w:val="00512412"/>
    <w:rsid w:val="00517C23"/>
    <w:rsid w:val="00517F73"/>
    <w:rsid w:val="00524812"/>
    <w:rsid w:val="005A774D"/>
    <w:rsid w:val="00614266"/>
    <w:rsid w:val="006C234A"/>
    <w:rsid w:val="006D7221"/>
    <w:rsid w:val="007078D7"/>
    <w:rsid w:val="0075350E"/>
    <w:rsid w:val="00772697"/>
    <w:rsid w:val="007F6FA8"/>
    <w:rsid w:val="008025CA"/>
    <w:rsid w:val="008C0848"/>
    <w:rsid w:val="00930AA2"/>
    <w:rsid w:val="00930D5B"/>
    <w:rsid w:val="009540BD"/>
    <w:rsid w:val="00966ECF"/>
    <w:rsid w:val="009A0FB2"/>
    <w:rsid w:val="009B07B9"/>
    <w:rsid w:val="009F2E4F"/>
    <w:rsid w:val="00A7396D"/>
    <w:rsid w:val="00A93B38"/>
    <w:rsid w:val="00AB4329"/>
    <w:rsid w:val="00B1511D"/>
    <w:rsid w:val="00B17DBD"/>
    <w:rsid w:val="00B609C5"/>
    <w:rsid w:val="00B76BEB"/>
    <w:rsid w:val="00B95440"/>
    <w:rsid w:val="00C1281F"/>
    <w:rsid w:val="00C31E60"/>
    <w:rsid w:val="00C46410"/>
    <w:rsid w:val="00C478DF"/>
    <w:rsid w:val="00C73EB0"/>
    <w:rsid w:val="00D55FC9"/>
    <w:rsid w:val="00E509E1"/>
    <w:rsid w:val="00FB531D"/>
    <w:rsid w:val="00FC2B20"/>
    <w:rsid w:val="00FD7A84"/>
    <w:rsid w:val="00FE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1087C5-7EFE-4C32-BF4D-72D507853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124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24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webSettings" Target="webSettings.xml"/><Relationship Id="rId7" Type="http://schemas.openxmlformats.org/officeDocument/2006/relationships/chart" Target="charts/chart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salgado\Desktop\2020\1%20PUBLICACIONES\COMUNIDADES%20Pseudoxiphophorus%20LA%20ANTIGUA\BASE%20DE%20DATOS\Base%20de%20datos%20Pseudoxiphohorus%20bimaculata%20La%20Antigua%20COMPLETA%20CON%20MONOG&#201;NEOS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salgado\Desktop\2020\1%20PUBLICACIONES\COMUNIDADES%20Pseudoxiphophorus%20LA%20ANTIGUA\BASE%20DE%20DATOS\Base%20de%20datos%20Pseudoxiphohorus%20bimaculata%20La%20Antigua%20COMPLETA%20CON%20MONOG&#201;NEOS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salgado\Desktop\2019\1%20PUBLICACIONES\COMUNIDADES%20Pseudoxiphophorus%20LA%20ANTIGUA\BASE%20DE%20DATOS\Base%20de%20datos%20Pseudoxiphohorus%20bimaculata%20La%20Antigua%20COMPLETA%20CON%20MONOG&#201;NEOS.xls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salgado\Desktop\2018\2018%20PUBLICACIONES\La%20Antigua%20Pseudoxiphophorus%202016\BASE%20DE%20DATOS\Base%20de%20datos%20Pseudoxiphohorus%20bimaculata%20La%20Antigua%20COMPLETA%20CON%20MONOG&#201;NEOS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A</a:t>
            </a:r>
          </a:p>
        </c:rich>
      </c:tx>
      <c:layout>
        <c:manualLayout>
          <c:xMode val="edge"/>
          <c:yMode val="edge"/>
          <c:x val="0.15200009328397765"/>
          <c:y val="0.18518514479318895"/>
        </c:manualLayout>
      </c:layout>
      <c:overlay val="0"/>
      <c:spPr>
        <a:noFill/>
        <a:ln w="25400">
          <a:noFill/>
        </a:ln>
      </c:sp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>
              <a:noFill/>
            </a:ln>
          </c:spPr>
          <c:marker>
            <c:symbol val="circle"/>
            <c:size val="4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 cmpd="sng">
                <a:solidFill>
                  <a:schemeClr val="tx1"/>
                </a:solidFill>
                <a:prstDash val="sysDot"/>
              </a:ln>
              <a:effectLst/>
            </c:spPr>
            <c:trendlineType val="log"/>
            <c:dispRSqr val="1"/>
            <c:dispEq val="0"/>
            <c:trendlineLbl>
              <c:layout>
                <c:manualLayout>
                  <c:x val="2.0705438879913839E-2"/>
                  <c:y val="5.9542972640885261E-2"/>
                </c:manualLayout>
              </c:layout>
              <c:numFmt formatCode="General" sourceLinked="0"/>
              <c:spPr>
                <a:noFill/>
                <a:ln w="25400">
                  <a:noFill/>
                </a:ln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es-MX"/>
                </a:p>
              </c:txPr>
            </c:trendlineLbl>
          </c:trendline>
          <c:trendline>
            <c:trendlineType val="linear"/>
            <c:dispRSqr val="1"/>
            <c:dispEq val="0"/>
            <c:trendlineLbl>
              <c:layout>
                <c:manualLayout>
                  <c:x val="2.6090468497576735E-2"/>
                  <c:y val="-3.3253357180767919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es-MX"/>
                </a:p>
              </c:txPr>
            </c:trendlineLbl>
          </c:trendline>
          <c:xVal>
            <c:numRef>
              <c:f>'GRÁFICAS SATURACIÓN'!$C$6:$C$16</c:f>
              <c:numCache>
                <c:formatCode>General</c:formatCode>
                <c:ptCount val="11"/>
                <c:pt idx="0">
                  <c:v>4</c:v>
                </c:pt>
                <c:pt idx="1">
                  <c:v>4</c:v>
                </c:pt>
                <c:pt idx="2">
                  <c:v>4</c:v>
                </c:pt>
                <c:pt idx="3">
                  <c:v>2</c:v>
                </c:pt>
                <c:pt idx="4">
                  <c:v>4</c:v>
                </c:pt>
                <c:pt idx="5">
                  <c:v>5</c:v>
                </c:pt>
                <c:pt idx="6">
                  <c:v>4</c:v>
                </c:pt>
                <c:pt idx="7">
                  <c:v>4</c:v>
                </c:pt>
                <c:pt idx="8">
                  <c:v>1</c:v>
                </c:pt>
                <c:pt idx="9">
                  <c:v>4</c:v>
                </c:pt>
                <c:pt idx="10">
                  <c:v>2</c:v>
                </c:pt>
              </c:numCache>
            </c:numRef>
          </c:xVal>
          <c:yVal>
            <c:numRef>
              <c:f>'GRÁFICAS SATURACIÓN'!$D$6:$D$16</c:f>
              <c:numCache>
                <c:formatCode>General</c:formatCode>
                <c:ptCount val="11"/>
                <c:pt idx="0">
                  <c:v>1.2</c:v>
                </c:pt>
                <c:pt idx="1">
                  <c:v>2.2000000000000002</c:v>
                </c:pt>
                <c:pt idx="2">
                  <c:v>2.4</c:v>
                </c:pt>
                <c:pt idx="3">
                  <c:v>0.5</c:v>
                </c:pt>
                <c:pt idx="4">
                  <c:v>1.2</c:v>
                </c:pt>
                <c:pt idx="5">
                  <c:v>0.6</c:v>
                </c:pt>
                <c:pt idx="6">
                  <c:v>0.9</c:v>
                </c:pt>
                <c:pt idx="7">
                  <c:v>1</c:v>
                </c:pt>
                <c:pt idx="8">
                  <c:v>0.7</c:v>
                </c:pt>
                <c:pt idx="9">
                  <c:v>0.6</c:v>
                </c:pt>
                <c:pt idx="10">
                  <c:v>0.3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E555-4F73-8A20-7BFF772AE3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01460864"/>
        <c:axId val="1"/>
      </c:scatterChart>
      <c:valAx>
        <c:axId val="1901460864"/>
        <c:scaling>
          <c:orientation val="minMax"/>
          <c:max val="5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S</a:t>
                </a:r>
                <a:r>
                  <a:rPr lang="es-MX" baseline="-25000"/>
                  <a:t>O</a:t>
                </a:r>
                <a:r>
                  <a:rPr lang="es-MX"/>
                  <a:t> component community</a:t>
                </a:r>
              </a:p>
            </c:rich>
          </c:tx>
          <c:overlay val="0"/>
          <c:spPr>
            <a:noFill/>
            <a:ln w="25400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s-MX"/>
          </a:p>
        </c:txPr>
        <c:crossAx val="1"/>
        <c:crosses val="autoZero"/>
        <c:crossBetween val="midCat"/>
      </c:valAx>
      <c:valAx>
        <c:axId val="1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Mean infracommunity richness</a:t>
                </a:r>
              </a:p>
            </c:rich>
          </c:tx>
          <c:overlay val="0"/>
          <c:spPr>
            <a:noFill/>
            <a:ln w="25400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901460864"/>
        <c:crosses val="autoZero"/>
        <c:crossBetween val="midCat"/>
        <c:majorUnit val="1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B</a:t>
            </a:r>
          </a:p>
        </c:rich>
      </c:tx>
      <c:layout>
        <c:manualLayout>
          <c:xMode val="edge"/>
          <c:yMode val="edge"/>
          <c:x val="0.17831935642191069"/>
          <c:y val="0.17592592592592593"/>
        </c:manualLayout>
      </c:layout>
      <c:overlay val="0"/>
      <c:spPr>
        <a:noFill/>
        <a:ln w="25400">
          <a:noFill/>
        </a:ln>
      </c:sp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>
              <a:noFill/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0"/>
            <c:trendlineLbl>
              <c:layout>
                <c:manualLayout>
                  <c:x val="-7.0971128608923887E-3"/>
                  <c:y val="-5.4518081073199186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es-MX"/>
                </a:p>
              </c:txPr>
            </c:trendlineLbl>
          </c:trendline>
          <c:trendline>
            <c:spPr>
              <a:ln w="6350" cap="flat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dispRSqr val="0"/>
            <c:dispEq val="0"/>
          </c:trendline>
          <c:xVal>
            <c:numRef>
              <c:f>'GRÁFICAS SATURACIÓN'!$F$6:$F$16</c:f>
              <c:numCache>
                <c:formatCode>General</c:formatCode>
                <c:ptCount val="11"/>
                <c:pt idx="0">
                  <c:v>1</c:v>
                </c:pt>
                <c:pt idx="1">
                  <c:v>3</c:v>
                </c:pt>
                <c:pt idx="2">
                  <c:v>2</c:v>
                </c:pt>
                <c:pt idx="3">
                  <c:v>2</c:v>
                </c:pt>
                <c:pt idx="4">
                  <c:v>3</c:v>
                </c:pt>
                <c:pt idx="5">
                  <c:v>0</c:v>
                </c:pt>
                <c:pt idx="6">
                  <c:v>0</c:v>
                </c:pt>
                <c:pt idx="7">
                  <c:v>4</c:v>
                </c:pt>
                <c:pt idx="8">
                  <c:v>3</c:v>
                </c:pt>
                <c:pt idx="9">
                  <c:v>0</c:v>
                </c:pt>
                <c:pt idx="10">
                  <c:v>0</c:v>
                </c:pt>
              </c:numCache>
            </c:numRef>
          </c:xVal>
          <c:yVal>
            <c:numRef>
              <c:f>'GRÁFICAS SATURACIÓN'!$G$6:$G$16</c:f>
              <c:numCache>
                <c:formatCode>General</c:formatCode>
                <c:ptCount val="11"/>
                <c:pt idx="0">
                  <c:v>0.1</c:v>
                </c:pt>
                <c:pt idx="1">
                  <c:v>0.8</c:v>
                </c:pt>
                <c:pt idx="2">
                  <c:v>0.35</c:v>
                </c:pt>
                <c:pt idx="3">
                  <c:v>0.3</c:v>
                </c:pt>
                <c:pt idx="4">
                  <c:v>1.36</c:v>
                </c:pt>
                <c:pt idx="5">
                  <c:v>0</c:v>
                </c:pt>
                <c:pt idx="6">
                  <c:v>0</c:v>
                </c:pt>
                <c:pt idx="7">
                  <c:v>1.55</c:v>
                </c:pt>
                <c:pt idx="8">
                  <c:v>1</c:v>
                </c:pt>
                <c:pt idx="9">
                  <c:v>0</c:v>
                </c:pt>
                <c:pt idx="10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D367-4EF2-A6CB-7BBA2C3C01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65362896"/>
        <c:axId val="1"/>
      </c:scatterChart>
      <c:valAx>
        <c:axId val="1965362896"/>
        <c:scaling>
          <c:orientation val="minMax"/>
          <c:max val="5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 sz="1100" b="0" i="0" baseline="0">
                    <a:effectLst/>
                  </a:rPr>
                  <a:t>S</a:t>
                </a:r>
                <a:r>
                  <a:rPr lang="es-MX" sz="1100" b="0" i="0" baseline="-25000">
                    <a:effectLst/>
                  </a:rPr>
                  <a:t>O</a:t>
                </a:r>
                <a:r>
                  <a:rPr lang="es-MX" sz="1100" b="0" i="0" baseline="0">
                    <a:effectLst/>
                  </a:rPr>
                  <a:t> component community</a:t>
                </a:r>
                <a:endParaRPr lang="es-MX" sz="1100">
                  <a:effectLst/>
                </a:endParaRPr>
              </a:p>
            </c:rich>
          </c:tx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s-MX"/>
          </a:p>
        </c:txPr>
        <c:crossAx val="1"/>
        <c:crossesAt val="0"/>
        <c:crossBetween val="midCat"/>
        <c:majorUnit val="1"/>
      </c:valAx>
      <c:valAx>
        <c:axId val="1"/>
        <c:scaling>
          <c:orientation val="minMax"/>
          <c:max val="3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 sz="1100" b="0" i="0" baseline="0">
                    <a:effectLst/>
                  </a:rPr>
                  <a:t>Mean infracommunity richness</a:t>
                </a:r>
                <a:endParaRPr lang="es-MX" sz="1100">
                  <a:effectLst/>
                </a:endParaRPr>
              </a:p>
            </c:rich>
          </c:tx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965362896"/>
        <c:crosses val="autoZero"/>
        <c:crossBetween val="midCat"/>
        <c:majorUnit val="1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tx1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val>
            <c:numRef>
              <c:f>'ANALISIS de J'!$B$426:$B$505</c:f>
              <c:numCache>
                <c:formatCode>General</c:formatCode>
                <c:ptCount val="80"/>
                <c:pt idx="0">
                  <c:v>-0.79166666666666652</c:v>
                </c:pt>
                <c:pt idx="1">
                  <c:v>-0.70370370370370405</c:v>
                </c:pt>
                <c:pt idx="2">
                  <c:v>-0.70175438596491224</c:v>
                </c:pt>
                <c:pt idx="3">
                  <c:v>-0.69999999999999907</c:v>
                </c:pt>
                <c:pt idx="4">
                  <c:v>-0.52777777777777801</c:v>
                </c:pt>
                <c:pt idx="5">
                  <c:v>-0.52631578947368474</c:v>
                </c:pt>
                <c:pt idx="6">
                  <c:v>-0.52631578947368474</c:v>
                </c:pt>
                <c:pt idx="7">
                  <c:v>-4.2964554242749413E-2</c:v>
                </c:pt>
                <c:pt idx="8">
                  <c:v>-1.8793263659048477E-2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2.9138590420688476E-2</c:v>
                </c:pt>
                <c:pt idx="25">
                  <c:v>0.27366255144032914</c:v>
                </c:pt>
                <c:pt idx="26">
                  <c:v>0.29239766081871366</c:v>
                </c:pt>
                <c:pt idx="27">
                  <c:v>0.29239766081871366</c:v>
                </c:pt>
                <c:pt idx="28">
                  <c:v>0.32986111111111155</c:v>
                </c:pt>
                <c:pt idx="29">
                  <c:v>0.35000000000000031</c:v>
                </c:pt>
                <c:pt idx="30">
                  <c:v>0.45196807330550665</c:v>
                </c:pt>
                <c:pt idx="31">
                  <c:v>0.58501641627698742</c:v>
                </c:pt>
                <c:pt idx="32">
                  <c:v>0.63157894736842102</c:v>
                </c:pt>
                <c:pt idx="33">
                  <c:v>0.71604938271604945</c:v>
                </c:pt>
                <c:pt idx="34">
                  <c:v>0.78947368421052655</c:v>
                </c:pt>
                <c:pt idx="35">
                  <c:v>0.81084198385236461</c:v>
                </c:pt>
                <c:pt idx="36">
                  <c:v>0.81632653061224525</c:v>
                </c:pt>
                <c:pt idx="37">
                  <c:v>0.81632653061224525</c:v>
                </c:pt>
                <c:pt idx="38">
                  <c:v>0.84210526315789469</c:v>
                </c:pt>
                <c:pt idx="39">
                  <c:v>0.89249525733413626</c:v>
                </c:pt>
                <c:pt idx="40">
                  <c:v>1.1026900584795321</c:v>
                </c:pt>
                <c:pt idx="41">
                  <c:v>1.2631578947368423</c:v>
                </c:pt>
                <c:pt idx="42">
                  <c:v>1.3742690058479534</c:v>
                </c:pt>
                <c:pt idx="43">
                  <c:v>1.4619883040935666</c:v>
                </c:pt>
                <c:pt idx="44">
                  <c:v>1.4947368421052634</c:v>
                </c:pt>
                <c:pt idx="45">
                  <c:v>1.5197757707879169</c:v>
                </c:pt>
                <c:pt idx="46">
                  <c:v>1.6447368421052633</c:v>
                </c:pt>
                <c:pt idx="47">
                  <c:v>1.6853768770957869</c:v>
                </c:pt>
                <c:pt idx="48">
                  <c:v>1.6872144689905504</c:v>
                </c:pt>
                <c:pt idx="49">
                  <c:v>1.8421052631578949</c:v>
                </c:pt>
                <c:pt idx="50">
                  <c:v>1.8585215401452593</c:v>
                </c:pt>
                <c:pt idx="51">
                  <c:v>1.9687500000000013</c:v>
                </c:pt>
                <c:pt idx="52">
                  <c:v>2</c:v>
                </c:pt>
                <c:pt idx="53">
                  <c:v>2.1482277121374866</c:v>
                </c:pt>
                <c:pt idx="54">
                  <c:v>2.1597633136094672</c:v>
                </c:pt>
                <c:pt idx="55">
                  <c:v>2.3026315789473681</c:v>
                </c:pt>
                <c:pt idx="56">
                  <c:v>2.7973046803860862</c:v>
                </c:pt>
                <c:pt idx="57">
                  <c:v>2.8227564796765572</c:v>
                </c:pt>
                <c:pt idx="58">
                  <c:v>3.3941997851772299</c:v>
                </c:pt>
                <c:pt idx="59">
                  <c:v>3.6716444444444445</c:v>
                </c:pt>
                <c:pt idx="60">
                  <c:v>3.7899743413229858</c:v>
                </c:pt>
                <c:pt idx="61">
                  <c:v>3.8418877772944748</c:v>
                </c:pt>
                <c:pt idx="62">
                  <c:v>3.9766081871345036</c:v>
                </c:pt>
                <c:pt idx="63">
                  <c:v>3.9766081871345036</c:v>
                </c:pt>
                <c:pt idx="64">
                  <c:v>3.9766081871345036</c:v>
                </c:pt>
                <c:pt idx="65">
                  <c:v>4.2000000000000011</c:v>
                </c:pt>
                <c:pt idx="66">
                  <c:v>4.3999271535239481</c:v>
                </c:pt>
                <c:pt idx="67">
                  <c:v>4.5062175438596492</c:v>
                </c:pt>
                <c:pt idx="68">
                  <c:v>4.6216132046091563</c:v>
                </c:pt>
                <c:pt idx="69">
                  <c:v>5.8947368421052637</c:v>
                </c:pt>
                <c:pt idx="70">
                  <c:v>6.0526315789473681</c:v>
                </c:pt>
                <c:pt idx="71">
                  <c:v>9.2631578947368425</c:v>
                </c:pt>
                <c:pt idx="72">
                  <c:v>9.9999999999999964</c:v>
                </c:pt>
                <c:pt idx="73">
                  <c:v>9.9999999999999964</c:v>
                </c:pt>
                <c:pt idx="74">
                  <c:v>9.9999999999999964</c:v>
                </c:pt>
                <c:pt idx="75">
                  <c:v>11.804927832045488</c:v>
                </c:pt>
                <c:pt idx="76">
                  <c:v>13.333333333333334</c:v>
                </c:pt>
                <c:pt idx="77">
                  <c:v>13.333333333333334</c:v>
                </c:pt>
                <c:pt idx="78">
                  <c:v>13.333333333333334</c:v>
                </c:pt>
                <c:pt idx="79">
                  <c:v>18.394809739029011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E74-4DE3-8218-1EC792C3111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167570767"/>
        <c:axId val="1"/>
      </c:barChart>
      <c:catAx>
        <c:axId val="1167570767"/>
        <c:scaling>
          <c:orientation val="minMax"/>
        </c:scaling>
        <c:delete val="0"/>
        <c:axPos val="b"/>
        <c:majorTickMark val="none"/>
        <c:minorTickMark val="none"/>
        <c:tickLblPos val="none"/>
        <c:spPr>
          <a:noFill/>
          <a:ln w="9525" cap="flat" cmpd="sng" algn="ctr">
            <a:solidFill>
              <a:schemeClr val="tx1">
                <a:lumMod val="95000"/>
                <a:lumOff val="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"/>
        <c:crosses val="autoZero"/>
        <c:auto val="0"/>
        <c:lblAlgn val="ctr"/>
        <c:lblOffset val="100"/>
        <c:noMultiLvlLbl val="0"/>
      </c:catAx>
      <c:valAx>
        <c:axId val="1"/>
        <c:scaling>
          <c:orientation val="minMax"/>
          <c:max val="19"/>
          <c:min val="-2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s-MX" sz="11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values</a:t>
                </a:r>
                <a:r>
                  <a:rPr lang="es-MX" sz="11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of J</a:t>
                </a:r>
                <a:endParaRPr lang="es-MX" sz="1100">
                  <a:solidFill>
                    <a:sysClr val="windowText" lastClr="000000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noFill/>
          <a:ln w="9525">
            <a:solidFill>
              <a:schemeClr val="tx1">
                <a:alpha val="58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67570767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noFill/>
            <a:ln w="12700">
              <a:solidFill>
                <a:schemeClr val="tx1"/>
              </a:solidFill>
            </a:ln>
            <a:effectLst/>
          </c:spPr>
          <c:invertIfNegative val="0"/>
          <c:val>
            <c:numRef>
              <c:f>'ANALISIS DE C y A'!$C$568:$C$639</c:f>
              <c:numCache>
                <c:formatCode>General</c:formatCode>
                <c:ptCount val="72"/>
                <c:pt idx="0">
                  <c:v>8.8888888888888837E-2</c:v>
                </c:pt>
                <c:pt idx="1">
                  <c:v>0.11029411764705885</c:v>
                </c:pt>
                <c:pt idx="2">
                  <c:v>0.24223977748138986</c:v>
                </c:pt>
                <c:pt idx="3">
                  <c:v>0.29824561403508776</c:v>
                </c:pt>
                <c:pt idx="4">
                  <c:v>0.38545193392838839</c:v>
                </c:pt>
                <c:pt idx="5">
                  <c:v>0.42234250356170755</c:v>
                </c:pt>
                <c:pt idx="6">
                  <c:v>0.61218836565096901</c:v>
                </c:pt>
                <c:pt idx="7">
                  <c:v>0.61284956495859866</c:v>
                </c:pt>
                <c:pt idx="8">
                  <c:v>0.70891394193644386</c:v>
                </c:pt>
                <c:pt idx="9">
                  <c:v>0.783029001074113</c:v>
                </c:pt>
                <c:pt idx="10">
                  <c:v>0.87257617728531756</c:v>
                </c:pt>
                <c:pt idx="11">
                  <c:v>0.99692512903902264</c:v>
                </c:pt>
                <c:pt idx="12">
                  <c:v>1.1617936164497773</c:v>
                </c:pt>
                <c:pt idx="13">
                  <c:v>1.2085239553911222</c:v>
                </c:pt>
                <c:pt idx="14">
                  <c:v>1.3625911128095878</c:v>
                </c:pt>
                <c:pt idx="15">
                  <c:v>1.3830652731710373</c:v>
                </c:pt>
                <c:pt idx="16">
                  <c:v>1.4447086801426876</c:v>
                </c:pt>
                <c:pt idx="17">
                  <c:v>1.5725150728374182</c:v>
                </c:pt>
                <c:pt idx="18">
                  <c:v>1.7429212990853826</c:v>
                </c:pt>
                <c:pt idx="19">
                  <c:v>1.8799131623209311</c:v>
                </c:pt>
                <c:pt idx="20">
                  <c:v>1.8834693085554235</c:v>
                </c:pt>
                <c:pt idx="21">
                  <c:v>2.0888471778241771</c:v>
                </c:pt>
                <c:pt idx="22">
                  <c:v>2.2097245413851065</c:v>
                </c:pt>
                <c:pt idx="23">
                  <c:v>2.3007287235356784</c:v>
                </c:pt>
                <c:pt idx="24">
                  <c:v>2.3369695725704855</c:v>
                </c:pt>
                <c:pt idx="25">
                  <c:v>2.4494892650088138</c:v>
                </c:pt>
                <c:pt idx="26">
                  <c:v>2.9679603440052902</c:v>
                </c:pt>
                <c:pt idx="27">
                  <c:v>3.3855303481789614</c:v>
                </c:pt>
                <c:pt idx="28">
                  <c:v>3.4512017338316476</c:v>
                </c:pt>
                <c:pt idx="29">
                  <c:v>3.4974410318349087</c:v>
                </c:pt>
                <c:pt idx="30">
                  <c:v>3.7040450037314661</c:v>
                </c:pt>
                <c:pt idx="31">
                  <c:v>3.7964847337007068</c:v>
                </c:pt>
                <c:pt idx="32">
                  <c:v>4.2158820336273006</c:v>
                </c:pt>
                <c:pt idx="33">
                  <c:v>4.2885983888873076</c:v>
                </c:pt>
                <c:pt idx="34">
                  <c:v>4.5873454865930778</c:v>
                </c:pt>
                <c:pt idx="35">
                  <c:v>4.5935583142674705</c:v>
                </c:pt>
                <c:pt idx="36">
                  <c:v>4.5963539478716129</c:v>
                </c:pt>
                <c:pt idx="37">
                  <c:v>4.8555001836701823</c:v>
                </c:pt>
                <c:pt idx="38">
                  <c:v>5.1210269154842525</c:v>
                </c:pt>
                <c:pt idx="39">
                  <c:v>5.2543653556108003</c:v>
                </c:pt>
                <c:pt idx="40">
                  <c:v>5.2978866356092436</c:v>
                </c:pt>
                <c:pt idx="41">
                  <c:v>5.7744996757558535</c:v>
                </c:pt>
                <c:pt idx="42">
                  <c:v>5.7971754930072175</c:v>
                </c:pt>
                <c:pt idx="43">
                  <c:v>5.8060941828254791</c:v>
                </c:pt>
                <c:pt idx="44">
                  <c:v>6.2809742625589697</c:v>
                </c:pt>
                <c:pt idx="45">
                  <c:v>6.3947368421052682</c:v>
                </c:pt>
                <c:pt idx="46">
                  <c:v>7.0841526764888592</c:v>
                </c:pt>
                <c:pt idx="47">
                  <c:v>7.1650079551852599</c:v>
                </c:pt>
                <c:pt idx="48">
                  <c:v>7.8996946131332768</c:v>
                </c:pt>
                <c:pt idx="49">
                  <c:v>8.3084871500194613</c:v>
                </c:pt>
                <c:pt idx="50">
                  <c:v>8.5133506567170034</c:v>
                </c:pt>
                <c:pt idx="51">
                  <c:v>8.5959183673469397</c:v>
                </c:pt>
                <c:pt idx="52">
                  <c:v>8.7416292970847582</c:v>
                </c:pt>
                <c:pt idx="53">
                  <c:v>9.013441077728281</c:v>
                </c:pt>
                <c:pt idx="54">
                  <c:v>9.2548549255872334</c:v>
                </c:pt>
                <c:pt idx="55">
                  <c:v>11.000277796281074</c:v>
                </c:pt>
                <c:pt idx="56">
                  <c:v>11.081538461538468</c:v>
                </c:pt>
                <c:pt idx="57">
                  <c:v>11.39742212674544</c:v>
                </c:pt>
                <c:pt idx="58">
                  <c:v>12.504375000000007</c:v>
                </c:pt>
                <c:pt idx="59">
                  <c:v>12.588437908576511</c:v>
                </c:pt>
                <c:pt idx="60">
                  <c:v>12.678853615520289</c:v>
                </c:pt>
                <c:pt idx="61">
                  <c:v>13.301931553156505</c:v>
                </c:pt>
                <c:pt idx="62">
                  <c:v>13.646608976041563</c:v>
                </c:pt>
                <c:pt idx="63">
                  <c:v>14.066200514030621</c:v>
                </c:pt>
                <c:pt idx="64">
                  <c:v>16.22408513209211</c:v>
                </c:pt>
                <c:pt idx="65">
                  <c:v>17.924114866787228</c:v>
                </c:pt>
                <c:pt idx="66">
                  <c:v>18.328029603424014</c:v>
                </c:pt>
                <c:pt idx="67">
                  <c:v>23.876026805962493</c:v>
                </c:pt>
                <c:pt idx="68">
                  <c:v>25.52466183229048</c:v>
                </c:pt>
                <c:pt idx="69">
                  <c:v>32.418689871392154</c:v>
                </c:pt>
                <c:pt idx="70">
                  <c:v>44.685465485872108</c:v>
                </c:pt>
                <c:pt idx="71">
                  <c:v>52.832958046425858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F19-42FB-8E8B-6993C8AB3A0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241621951"/>
        <c:axId val="1174003743"/>
      </c:barChart>
      <c:catAx>
        <c:axId val="124162195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74003743"/>
        <c:crosses val="autoZero"/>
        <c:auto val="1"/>
        <c:lblAlgn val="ctr"/>
        <c:lblOffset val="100"/>
        <c:tickMarkSkip val="10"/>
        <c:noMultiLvlLbl val="0"/>
      </c:catAx>
      <c:valAx>
        <c:axId val="1174003743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values of A</a:t>
                </a:r>
                <a:r>
                  <a:rPr lang="es-MX" sz="1200" baseline="-250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1,2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241621951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SALGADO MALDONADO</dc:creator>
  <cp:keywords/>
  <dc:description/>
  <cp:lastModifiedBy>GUILLERMO SALGADO MALDONADO</cp:lastModifiedBy>
  <cp:revision>3</cp:revision>
  <cp:lastPrinted>2019-02-01T16:33:00Z</cp:lastPrinted>
  <dcterms:created xsi:type="dcterms:W3CDTF">2020-03-18T22:17:00Z</dcterms:created>
  <dcterms:modified xsi:type="dcterms:W3CDTF">2020-03-29T16:24:00Z</dcterms:modified>
</cp:coreProperties>
</file>