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D2F75B" w14:textId="77777777" w:rsidR="001F7EBF" w:rsidRDefault="004D51E4" w:rsidP="001F7EBF">
      <w:pPr>
        <w:pStyle w:val="Heading1"/>
      </w:pPr>
      <w:r>
        <w:t>Title</w:t>
      </w:r>
    </w:p>
    <w:p w14:paraId="310A3947" w14:textId="5D824D0A" w:rsidR="001F7EBF" w:rsidRPr="001F7EBF" w:rsidRDefault="004D51E4" w:rsidP="001F7EBF">
      <w:pPr>
        <w:pStyle w:val="Noindent"/>
        <w:rPr>
          <w:sz w:val="28"/>
          <w:szCs w:val="28"/>
        </w:rPr>
      </w:pPr>
      <w:r w:rsidRPr="001F7EBF">
        <w:rPr>
          <w:sz w:val="28"/>
          <w:szCs w:val="28"/>
        </w:rPr>
        <w:t xml:space="preserve">Sample preparation for </w:t>
      </w:r>
      <w:r w:rsidR="00BA2942" w:rsidRPr="001F7EBF">
        <w:rPr>
          <w:sz w:val="28"/>
          <w:szCs w:val="28"/>
        </w:rPr>
        <w:t>the analysis</w:t>
      </w:r>
      <w:r w:rsidRPr="001F7EBF">
        <w:rPr>
          <w:sz w:val="28"/>
          <w:szCs w:val="28"/>
        </w:rPr>
        <w:t xml:space="preserve"> of key metabolites </w:t>
      </w:r>
      <w:r w:rsidR="00A047ED" w:rsidRPr="001F7EBF">
        <w:rPr>
          <w:sz w:val="28"/>
          <w:szCs w:val="28"/>
        </w:rPr>
        <w:t>from</w:t>
      </w:r>
      <w:r w:rsidRPr="001F7EBF">
        <w:rPr>
          <w:sz w:val="28"/>
          <w:szCs w:val="28"/>
        </w:rPr>
        <w:t xml:space="preserve"> cannabinoids biosynthesis in phytoplankton using GC-MS</w:t>
      </w:r>
    </w:p>
    <w:p w14:paraId="128B43CD" w14:textId="5226E6DD" w:rsidR="001F7EBF" w:rsidRPr="001F7EBF" w:rsidRDefault="001F7EBF" w:rsidP="001F7EBF">
      <w:pPr>
        <w:pStyle w:val="Heading1"/>
      </w:pPr>
      <w:r w:rsidRPr="001F7EBF">
        <w:t>Running title</w:t>
      </w:r>
    </w:p>
    <w:p w14:paraId="00ED3E55" w14:textId="287CF9A7" w:rsidR="001F7EBF" w:rsidRPr="001F7EBF" w:rsidRDefault="001F7EBF" w:rsidP="004D51E4">
      <w:pPr>
        <w:spacing w:after="0" w:line="240" w:lineRule="auto"/>
        <w:ind w:firstLine="0"/>
        <w:rPr>
          <w:sz w:val="28"/>
          <w:szCs w:val="28"/>
        </w:rPr>
      </w:pPr>
      <w:r w:rsidRPr="001F7EBF">
        <w:rPr>
          <w:sz w:val="28"/>
          <w:szCs w:val="28"/>
        </w:rPr>
        <w:t>sample preparation for cannabinoids analysis</w:t>
      </w:r>
    </w:p>
    <w:p w14:paraId="76BF5418" w14:textId="5009BA4F" w:rsidR="001F7EBF" w:rsidRDefault="001F7EBF" w:rsidP="001F7EBF">
      <w:pPr>
        <w:pStyle w:val="Heading1"/>
      </w:pPr>
      <w:r>
        <w:t xml:space="preserve">Authors </w:t>
      </w:r>
    </w:p>
    <w:p w14:paraId="221EB852" w14:textId="46B048CE" w:rsidR="004D51E4" w:rsidRPr="001F7EBF" w:rsidRDefault="004D51E4" w:rsidP="004D51E4">
      <w:pPr>
        <w:spacing w:after="0" w:line="240" w:lineRule="auto"/>
        <w:ind w:firstLine="0"/>
        <w:rPr>
          <w:rFonts w:cs="Times New Roman"/>
          <w:bCs/>
          <w:sz w:val="24"/>
          <w:szCs w:val="24"/>
          <w:vertAlign w:val="superscript"/>
        </w:rPr>
      </w:pPr>
      <w:proofErr w:type="spellStart"/>
      <w:r w:rsidRPr="001F7EBF">
        <w:rPr>
          <w:rFonts w:cs="Times New Roman"/>
          <w:bCs/>
          <w:sz w:val="24"/>
          <w:szCs w:val="24"/>
        </w:rPr>
        <w:t>Liyun</w:t>
      </w:r>
      <w:proofErr w:type="spellEnd"/>
      <w:r w:rsidRPr="001F7EBF">
        <w:rPr>
          <w:rFonts w:cs="Times New Roman"/>
          <w:bCs/>
          <w:sz w:val="24"/>
          <w:szCs w:val="24"/>
        </w:rPr>
        <w:t xml:space="preserve"> </w:t>
      </w:r>
      <w:proofErr w:type="gramStart"/>
      <w:r w:rsidRPr="001F7EBF">
        <w:rPr>
          <w:rFonts w:cs="Times New Roman"/>
          <w:bCs/>
          <w:sz w:val="24"/>
          <w:szCs w:val="24"/>
        </w:rPr>
        <w:t>Ye</w:t>
      </w:r>
      <w:r w:rsidRPr="001F7EBF">
        <w:rPr>
          <w:rFonts w:cs="Times New Roman"/>
          <w:bCs/>
          <w:sz w:val="24"/>
          <w:szCs w:val="24"/>
          <w:vertAlign w:val="superscript"/>
        </w:rPr>
        <w:t>a,*</w:t>
      </w:r>
      <w:proofErr w:type="gramEnd"/>
      <w:r w:rsidRPr="001F7EBF">
        <w:rPr>
          <w:rFonts w:cs="Times New Roman"/>
          <w:bCs/>
          <w:sz w:val="24"/>
          <w:szCs w:val="24"/>
        </w:rPr>
        <w:t xml:space="preserve">, Suzanne M. </w:t>
      </w:r>
      <w:proofErr w:type="spellStart"/>
      <w:r w:rsidRPr="001F7EBF">
        <w:rPr>
          <w:rFonts w:cs="Times New Roman"/>
          <w:bCs/>
          <w:sz w:val="24"/>
          <w:szCs w:val="24"/>
        </w:rPr>
        <w:t>Budge</w:t>
      </w:r>
      <w:r w:rsidRPr="001F7EBF">
        <w:rPr>
          <w:rFonts w:cs="Times New Roman"/>
          <w:bCs/>
          <w:sz w:val="24"/>
          <w:szCs w:val="24"/>
          <w:vertAlign w:val="superscript"/>
        </w:rPr>
        <w:t>a</w:t>
      </w:r>
      <w:proofErr w:type="spellEnd"/>
    </w:p>
    <w:p w14:paraId="6BC95BCC" w14:textId="1946A839" w:rsidR="001F7EBF" w:rsidRPr="004D51E4" w:rsidRDefault="001F7EBF" w:rsidP="001F7EBF">
      <w:pPr>
        <w:pStyle w:val="Heading1"/>
        <w:rPr>
          <w:rFonts w:cs="Times New Roman"/>
          <w:sz w:val="24"/>
          <w:szCs w:val="24"/>
        </w:rPr>
      </w:pPr>
      <w:r>
        <w:t>Author’s affiliations</w:t>
      </w:r>
    </w:p>
    <w:p w14:paraId="6A83EE4B" w14:textId="73E5E638" w:rsidR="004D51E4" w:rsidRPr="001F7EBF" w:rsidRDefault="004D51E4" w:rsidP="004D51E4">
      <w:pPr>
        <w:spacing w:after="0" w:line="240" w:lineRule="auto"/>
        <w:ind w:firstLine="0"/>
        <w:rPr>
          <w:rFonts w:cs="Times New Roman"/>
          <w:bCs/>
          <w:sz w:val="24"/>
          <w:szCs w:val="24"/>
        </w:rPr>
      </w:pPr>
      <w:proofErr w:type="spellStart"/>
      <w:r w:rsidRPr="004D51E4">
        <w:rPr>
          <w:rFonts w:cs="Times New Roman"/>
          <w:bCs/>
          <w:sz w:val="24"/>
          <w:szCs w:val="24"/>
          <w:vertAlign w:val="superscript"/>
        </w:rPr>
        <w:t>a</w:t>
      </w:r>
      <w:r w:rsidRPr="004D51E4">
        <w:rPr>
          <w:rFonts w:cs="Times New Roman"/>
          <w:bCs/>
          <w:sz w:val="24"/>
          <w:szCs w:val="24"/>
        </w:rPr>
        <w:t>Department</w:t>
      </w:r>
      <w:proofErr w:type="spellEnd"/>
      <w:r w:rsidRPr="004D51E4">
        <w:rPr>
          <w:rFonts w:cs="Times New Roman"/>
          <w:bCs/>
          <w:sz w:val="24"/>
          <w:szCs w:val="24"/>
        </w:rPr>
        <w:t xml:space="preserve"> of Process Engineering and Applied Science, Dalhousie University, </w:t>
      </w:r>
      <w:r w:rsidR="00882BD8">
        <w:rPr>
          <w:rFonts w:cs="Times New Roman"/>
          <w:bCs/>
          <w:sz w:val="24"/>
          <w:szCs w:val="24"/>
        </w:rPr>
        <w:t xml:space="preserve">1360 Barrington St, </w:t>
      </w:r>
      <w:r w:rsidRPr="004D51E4">
        <w:rPr>
          <w:rFonts w:cs="Times New Roman"/>
          <w:bCs/>
          <w:sz w:val="24"/>
          <w:szCs w:val="24"/>
        </w:rPr>
        <w:t>Halifax, NS</w:t>
      </w:r>
      <w:r w:rsidR="00882BD8">
        <w:rPr>
          <w:rFonts w:cs="Times New Roman"/>
          <w:bCs/>
          <w:sz w:val="24"/>
          <w:szCs w:val="24"/>
        </w:rPr>
        <w:t xml:space="preserve"> B3H 4R2</w:t>
      </w:r>
      <w:r w:rsidRPr="004D51E4">
        <w:rPr>
          <w:rFonts w:cs="Times New Roman"/>
          <w:bCs/>
          <w:sz w:val="24"/>
          <w:szCs w:val="24"/>
        </w:rPr>
        <w:t>, Canada</w:t>
      </w:r>
    </w:p>
    <w:p w14:paraId="32D42A05" w14:textId="77777777" w:rsidR="001F7EBF" w:rsidRPr="001F7EBF" w:rsidRDefault="001F7EBF" w:rsidP="001F7EBF">
      <w:pPr>
        <w:pStyle w:val="Heading1"/>
      </w:pPr>
      <w:r w:rsidRPr="001F7EBF">
        <w:t>Acknowledgments</w:t>
      </w:r>
    </w:p>
    <w:p w14:paraId="35445FCE" w14:textId="52F98982" w:rsidR="001F7EBF" w:rsidRDefault="001F7EBF" w:rsidP="001F7EBF">
      <w:pPr>
        <w:pStyle w:val="Noindent"/>
      </w:pPr>
      <w:r>
        <w:t>This work was supported</w:t>
      </w:r>
      <w:r w:rsidRPr="00542E3E">
        <w:t xml:space="preserve"> </w:t>
      </w:r>
      <w:r>
        <w:t xml:space="preserve">by </w:t>
      </w:r>
      <w:proofErr w:type="spellStart"/>
      <w:r>
        <w:t>Mitacs</w:t>
      </w:r>
      <w:proofErr w:type="spellEnd"/>
      <w:r>
        <w:t xml:space="preserve"> and the Natural Sciences and Engineering Research Council of Canada (NSERC) through </w:t>
      </w:r>
      <w:proofErr w:type="spellStart"/>
      <w:r>
        <w:t>Mitacs</w:t>
      </w:r>
      <w:proofErr w:type="spellEnd"/>
      <w:r>
        <w:t>’ Accelerate program and NSERC’s Collaborative Research and Development grants.</w:t>
      </w:r>
    </w:p>
    <w:p w14:paraId="234696FB" w14:textId="2BC4BAF0" w:rsidR="004D51E4" w:rsidRPr="004D51E4" w:rsidRDefault="004D51E4" w:rsidP="00384856">
      <w:pPr>
        <w:pStyle w:val="Heading1"/>
      </w:pPr>
      <w:r w:rsidRPr="004D51E4">
        <w:t>Abstract</w:t>
      </w:r>
    </w:p>
    <w:p w14:paraId="661AE85C" w14:textId="492FCB25" w:rsidR="004D51E4" w:rsidRPr="004D51E4" w:rsidRDefault="004D51E4" w:rsidP="004D51E4">
      <w:pPr>
        <w:spacing w:after="0" w:line="240" w:lineRule="auto"/>
        <w:ind w:firstLine="0"/>
      </w:pPr>
      <w:r w:rsidRPr="004D51E4">
        <w:t>Cannabinoids biosynthesis in phytoplankton has attracted much attention due to the rapid development of genetic tools and the optimization of genetic transformation methods in microalgae. To monitor the biosynthesis pro</w:t>
      </w:r>
      <w:r w:rsidR="00305C8E">
        <w:t>cess</w:t>
      </w:r>
      <w:r w:rsidRPr="004D51E4">
        <w:t xml:space="preserve">, proper sample preparation and practical instrumental methods are needed to </w:t>
      </w:r>
      <w:r w:rsidR="00305C8E">
        <w:t>measure</w:t>
      </w:r>
      <w:r w:rsidRPr="004D51E4">
        <w:t xml:space="preserve"> the various precursors, intermediates, cannabinoids, and their degradation products. The objective of this study was to develop </w:t>
      </w:r>
      <w:r w:rsidR="00592C76">
        <w:t xml:space="preserve">a </w:t>
      </w:r>
      <w:r w:rsidRPr="004D51E4">
        <w:t xml:space="preserve">sample preparation </w:t>
      </w:r>
      <w:r w:rsidR="00BA2942">
        <w:t>procedure</w:t>
      </w:r>
      <w:r w:rsidRPr="004D51E4">
        <w:t xml:space="preserve"> for the quantification of </w:t>
      </w:r>
      <w:proofErr w:type="spellStart"/>
      <w:r w:rsidRPr="004D51E4">
        <w:t>olivetolic</w:t>
      </w:r>
      <w:proofErr w:type="spellEnd"/>
      <w:r w:rsidRPr="004D51E4">
        <w:t xml:space="preserve"> acid (OA), </w:t>
      </w:r>
      <w:proofErr w:type="spellStart"/>
      <w:r w:rsidRPr="004D51E4">
        <w:t>cannabigerolic</w:t>
      </w:r>
      <w:proofErr w:type="spellEnd"/>
      <w:r w:rsidRPr="004D51E4">
        <w:t xml:space="preserve"> acid (CBGA), </w:t>
      </w:r>
      <w:proofErr w:type="spellStart"/>
      <w:r w:rsidRPr="004D51E4">
        <w:t>cannabidiolic</w:t>
      </w:r>
      <w:proofErr w:type="spellEnd"/>
      <w:r w:rsidRPr="004D51E4">
        <w:t xml:space="preserve"> acid (CBDA), </w:t>
      </w:r>
      <w:proofErr w:type="spellStart"/>
      <w:r w:rsidRPr="004D51E4">
        <w:t>tetrahydrocannabinolic</w:t>
      </w:r>
      <w:proofErr w:type="spellEnd"/>
      <w:r w:rsidRPr="004D51E4">
        <w:t xml:space="preserve"> acid (THCA), olivetol (OL), cannabidiol (CBD), and tetrahydrocannabinol (THC) using single</w:t>
      </w:r>
      <w:r w:rsidR="00B9665A">
        <w:t>-</w:t>
      </w:r>
      <w:r w:rsidRPr="004D51E4">
        <w:t>quadrup</w:t>
      </w:r>
      <w:r w:rsidR="00B9665A">
        <w:t>o</w:t>
      </w:r>
      <w:r w:rsidRPr="004D51E4">
        <w:t xml:space="preserve">le gas chromatography-mass spectrometry (GC-MS). </w:t>
      </w:r>
      <w:proofErr w:type="spellStart"/>
      <w:r w:rsidRPr="004D51E4">
        <w:rPr>
          <w:i/>
          <w:iCs/>
        </w:rPr>
        <w:t>Isochrysis</w:t>
      </w:r>
      <w:proofErr w:type="spellEnd"/>
      <w:r w:rsidRPr="004D51E4">
        <w:rPr>
          <w:i/>
          <w:iCs/>
        </w:rPr>
        <w:t xml:space="preserve"> </w:t>
      </w:r>
      <w:proofErr w:type="spellStart"/>
      <w:r w:rsidRPr="004D51E4">
        <w:rPr>
          <w:i/>
          <w:iCs/>
        </w:rPr>
        <w:t>galbana</w:t>
      </w:r>
      <w:proofErr w:type="spellEnd"/>
      <w:r w:rsidRPr="004D51E4">
        <w:t xml:space="preserve"> was used as the model matrix. After methanol extraction, samples were purified using solid phase extraction (SPE), </w:t>
      </w:r>
      <w:proofErr w:type="spellStart"/>
      <w:r w:rsidRPr="004D51E4">
        <w:t>silylated</w:t>
      </w:r>
      <w:proofErr w:type="spellEnd"/>
      <w:r w:rsidRPr="004D51E4">
        <w:t xml:space="preserve"> with N-methyl-N-(trimethylsilyl)</w:t>
      </w:r>
      <w:proofErr w:type="gramStart"/>
      <w:r w:rsidRPr="004D51E4">
        <w:t>trifluoroacetamide, and</w:t>
      </w:r>
      <w:proofErr w:type="gramEnd"/>
      <w:r w:rsidRPr="004D51E4">
        <w:t xml:space="preserve"> analyzed using </w:t>
      </w:r>
      <w:bookmarkStart w:id="0" w:name="_Hlk41313083"/>
      <w:r w:rsidRPr="004D51E4">
        <w:t xml:space="preserve">GC-MS </w:t>
      </w:r>
      <w:bookmarkEnd w:id="0"/>
      <w:r w:rsidRPr="004D51E4">
        <w:t xml:space="preserve">in electron ionization mode. A strong anion-exchange </w:t>
      </w:r>
      <w:r w:rsidR="00B774CE">
        <w:t>SPE</w:t>
      </w:r>
      <w:r w:rsidRPr="004D51E4">
        <w:t xml:space="preserve"> efficiently recovered OA, CBGA, CBDA, and THCA</w:t>
      </w:r>
      <w:r w:rsidRPr="001D7761">
        <w:t xml:space="preserve">. </w:t>
      </w:r>
      <w:r w:rsidRPr="00386A2E">
        <w:t>A graphitized carbon bl</w:t>
      </w:r>
      <w:r w:rsidRPr="001D7761">
        <w:t xml:space="preserve">ack </w:t>
      </w:r>
      <w:r w:rsidR="00B774CE" w:rsidRPr="001D7761">
        <w:t>SPE</w:t>
      </w:r>
      <w:r w:rsidRPr="001D7761">
        <w:t xml:space="preserve"> was necessary to purify OL, CBD, and THC. Both columns removed ami</w:t>
      </w:r>
      <w:r w:rsidRPr="00386A2E">
        <w:t xml:space="preserve">no acids, sugars, </w:t>
      </w:r>
      <w:r w:rsidR="00B774CE" w:rsidRPr="00386A2E">
        <w:t>polyols</w:t>
      </w:r>
      <w:r w:rsidR="00B774CE" w:rsidRPr="001D7761">
        <w:t xml:space="preserve">, </w:t>
      </w:r>
      <w:r w:rsidRPr="001D7761">
        <w:t xml:space="preserve">and pigments from the algae extract and prepared samples </w:t>
      </w:r>
      <w:r w:rsidR="00305C8E" w:rsidRPr="001D7761">
        <w:t xml:space="preserve">that are </w:t>
      </w:r>
      <w:r w:rsidRPr="001D7761">
        <w:t xml:space="preserve">suitable for </w:t>
      </w:r>
      <w:proofErr w:type="spellStart"/>
      <w:r w:rsidRPr="001D7761">
        <w:t>silylation</w:t>
      </w:r>
      <w:proofErr w:type="spellEnd"/>
      <w:r w:rsidRPr="001D7761">
        <w:t xml:space="preserve"> and GC-MS</w:t>
      </w:r>
      <w:r w:rsidRPr="004D51E4">
        <w:t xml:space="preserve"> analysis. </w:t>
      </w:r>
      <w:bookmarkStart w:id="1" w:name="_Hlk41313617"/>
      <w:r w:rsidRPr="004D51E4">
        <w:t xml:space="preserve">The total protocol, including solvent extraction, SPE, </w:t>
      </w:r>
      <w:proofErr w:type="spellStart"/>
      <w:r w:rsidRPr="004D51E4">
        <w:t>silylation</w:t>
      </w:r>
      <w:proofErr w:type="spellEnd"/>
      <w:r w:rsidRPr="004D51E4">
        <w:t>, and GC-MS analysis, was validated in accordance with the ICH guideline</w:t>
      </w:r>
      <w:bookmarkEnd w:id="1"/>
      <w:r w:rsidR="00C53E37">
        <w:t>s</w:t>
      </w:r>
      <w:r w:rsidRPr="004D51E4">
        <w:t xml:space="preserve">. Performance characteristics of our </w:t>
      </w:r>
      <w:r w:rsidR="00B774CE">
        <w:t>method</w:t>
      </w:r>
      <w:r w:rsidRPr="004D51E4">
        <w:t xml:space="preserve"> are </w:t>
      </w:r>
      <w:r w:rsidR="00B774CE">
        <w:t>superior to existing protocols with similar complexity</w:t>
      </w:r>
      <w:r w:rsidRPr="004D51E4">
        <w:t xml:space="preserve"> in the literature. </w:t>
      </w:r>
    </w:p>
    <w:p w14:paraId="3089FEF1" w14:textId="0D7B4F78" w:rsidR="004D51E4" w:rsidRDefault="004D51E4" w:rsidP="00384856">
      <w:pPr>
        <w:pStyle w:val="Heading1"/>
      </w:pPr>
      <w:r>
        <w:t>Key words</w:t>
      </w:r>
    </w:p>
    <w:p w14:paraId="3217E997" w14:textId="1C34B8E3" w:rsidR="00BF2679" w:rsidRDefault="003A58F1" w:rsidP="004D51E4">
      <w:pPr>
        <w:pStyle w:val="Noindent"/>
      </w:pPr>
      <w:r>
        <w:t>phytoplankton,</w:t>
      </w:r>
      <w:r w:rsidR="0013113E">
        <w:t xml:space="preserve"> cannabinoids biosynthesis, </w:t>
      </w:r>
      <w:proofErr w:type="spellStart"/>
      <w:r w:rsidR="0013113E">
        <w:t>olivetolic</w:t>
      </w:r>
      <w:proofErr w:type="spellEnd"/>
      <w:r w:rsidR="0013113E">
        <w:t xml:space="preserve"> acid, olivetol, SPE, method validation</w:t>
      </w:r>
    </w:p>
    <w:p w14:paraId="287D953D" w14:textId="77777777" w:rsidR="004D51E4" w:rsidRDefault="004D51E4">
      <w:pPr>
        <w:spacing w:after="160"/>
        <w:ind w:firstLine="0"/>
        <w:rPr>
          <w:rFonts w:eastAsiaTheme="majorEastAsia" w:cstheme="majorBidi"/>
          <w:b/>
          <w:sz w:val="28"/>
          <w:szCs w:val="32"/>
          <w:lang w:eastAsia="en-US"/>
        </w:rPr>
      </w:pPr>
      <w:r>
        <w:br w:type="page"/>
      </w:r>
    </w:p>
    <w:p w14:paraId="167D277B" w14:textId="72B1C272" w:rsidR="00555A5D" w:rsidRPr="006B3FE6" w:rsidRDefault="00555A5D" w:rsidP="00384856">
      <w:pPr>
        <w:pStyle w:val="Heading1"/>
      </w:pPr>
      <w:r w:rsidRPr="006B3FE6">
        <w:lastRenderedPageBreak/>
        <w:t>I</w:t>
      </w:r>
      <w:r w:rsidRPr="006B3FE6">
        <w:rPr>
          <w:rFonts w:hint="eastAsia"/>
        </w:rPr>
        <w:t>ntr</w:t>
      </w:r>
      <w:r w:rsidRPr="006B3FE6">
        <w:t xml:space="preserve">oduction </w:t>
      </w:r>
    </w:p>
    <w:p w14:paraId="49A10454" w14:textId="28B0506C" w:rsidR="00F258C9" w:rsidRDefault="00555A5D" w:rsidP="00C72F62">
      <w:pPr>
        <w:pStyle w:val="Noindent"/>
      </w:pPr>
      <w:r>
        <w:t>Cannabis has been known for centuries for its undeniable medicinal properties</w:t>
      </w:r>
      <w:r w:rsidR="00F70F80">
        <w:t xml:space="preserve"> by the general public</w:t>
      </w:r>
      <w:r>
        <w:t>. Cannabinoids, the hallmark constituents of cannabis, have been intensively investigated for their potential medical applications</w:t>
      </w:r>
      <w:r w:rsidR="00152478">
        <w:t xml:space="preserve"> </w:t>
      </w:r>
      <w:r w:rsidR="00E530F3" w:rsidRPr="00E530F3">
        <w:rPr>
          <w:rFonts w:ascii="Calibri" w:hAnsi="Calibri" w:cs="Calibri"/>
        </w:rPr>
        <w:t>(Whiting et al., 2015)</w:t>
      </w:r>
      <w:r w:rsidR="006D745C">
        <w:t xml:space="preserve">. </w:t>
      </w:r>
      <w:r w:rsidR="00F546DC">
        <w:t xml:space="preserve">Substantial evidence exists that cannabinoids are effective for treating pain, chemotherapy-induced nausea and vomiting, and spasticity associated with multiple sclerosis </w:t>
      </w:r>
      <w:r w:rsidR="00F546DC" w:rsidRPr="00F546DC">
        <w:rPr>
          <w:rFonts w:ascii="Calibri" w:hAnsi="Calibri" w:cs="Calibri"/>
        </w:rPr>
        <w:t>(Abrams, 2018)</w:t>
      </w:r>
      <w:r w:rsidR="00F546DC">
        <w:t>. Moderate evidence for secondary sleep disturbances and limited evidence for appetite improvement, Tourette syndrome, anxiety, posttraumatic stress disorder, cancer, irritable bowel syndrome, epilepsy, and a variety of neurodegenerative disorder</w:t>
      </w:r>
      <w:r w:rsidR="00291C60">
        <w:t>s</w:t>
      </w:r>
      <w:r w:rsidR="00F546DC">
        <w:t xml:space="preserve"> w</w:t>
      </w:r>
      <w:r w:rsidR="008F126C">
        <w:t>ere</w:t>
      </w:r>
      <w:r w:rsidR="00F546DC">
        <w:t xml:space="preserve"> </w:t>
      </w:r>
      <w:r w:rsidR="00AC6F54">
        <w:t>comprehensive</w:t>
      </w:r>
      <w:r w:rsidR="00291C60">
        <w:t>ly</w:t>
      </w:r>
      <w:r w:rsidR="00F546DC">
        <w:t xml:space="preserve"> review</w:t>
      </w:r>
      <w:r w:rsidR="00291C60">
        <w:t xml:space="preserve">ed </w:t>
      </w:r>
      <w:r w:rsidR="00F546DC">
        <w:t>by</w:t>
      </w:r>
      <w:r w:rsidR="00AC6F54">
        <w:t xml:space="preserve"> the National Academies of Sciences, Engineering and Medicine </w:t>
      </w:r>
      <w:r w:rsidR="00AC6F54" w:rsidRPr="00AC6F54">
        <w:rPr>
          <w:rFonts w:ascii="Calibri" w:hAnsi="Calibri" w:cs="Calibri"/>
        </w:rPr>
        <w:t>(Abrams, 2018)</w:t>
      </w:r>
      <w:r w:rsidR="00AC6F54">
        <w:t xml:space="preserve">. </w:t>
      </w:r>
      <w:r w:rsidR="00F70F80">
        <w:t>However, d</w:t>
      </w:r>
      <w:r w:rsidR="0069584B">
        <w:t xml:space="preserve">ue to the low </w:t>
      </w:r>
      <w:r w:rsidR="0069584B" w:rsidRPr="00A12D69">
        <w:rPr>
          <w:i/>
          <w:iCs/>
        </w:rPr>
        <w:t>in planta</w:t>
      </w:r>
      <w:r w:rsidR="0069584B">
        <w:t xml:space="preserve"> abundances of most cannabinoids</w:t>
      </w:r>
      <w:r w:rsidR="00BD57EC">
        <w:t xml:space="preserve"> and their </w:t>
      </w:r>
      <w:r w:rsidR="00916033">
        <w:t>compositional</w:t>
      </w:r>
      <w:r w:rsidR="00BD57EC">
        <w:t xml:space="preserve"> complexity, pharmacokinetic studies and new drug development has been hampered. </w:t>
      </w:r>
      <w:r w:rsidR="00916033">
        <w:t xml:space="preserve">Compounding this, the </w:t>
      </w:r>
      <w:r w:rsidR="00F70F80">
        <w:t xml:space="preserve">structural and stereochemical complexity of </w:t>
      </w:r>
      <w:r w:rsidR="00BA613B">
        <w:t xml:space="preserve">these </w:t>
      </w:r>
      <w:r w:rsidR="00AE71CD">
        <w:t>metabolites</w:t>
      </w:r>
      <w:r w:rsidR="00F70F80">
        <w:t xml:space="preserve"> hinders most attempts to </w:t>
      </w:r>
      <w:r w:rsidR="00291C60">
        <w:t>produce</w:t>
      </w:r>
      <w:r w:rsidR="00F70F80">
        <w:t xml:space="preserve"> these compounds </w:t>
      </w:r>
      <w:r w:rsidR="00AE71CD">
        <w:t>in large amount</w:t>
      </w:r>
      <w:r w:rsidR="003C7298">
        <w:t>s</w:t>
      </w:r>
      <w:r w:rsidR="00AE71CD">
        <w:t xml:space="preserve"> </w:t>
      </w:r>
      <w:r w:rsidR="00F70F80">
        <w:t xml:space="preserve">using </w:t>
      </w:r>
      <w:r w:rsidR="00AE71CD">
        <w:t xml:space="preserve">traditional </w:t>
      </w:r>
      <w:r w:rsidR="00F70F80">
        <w:t>chemical synthesis</w:t>
      </w:r>
      <w:r w:rsidR="00916033">
        <w:t xml:space="preserve"> </w:t>
      </w:r>
      <w:r w:rsidR="00AE71CD">
        <w:t>or metabolic engineering in plants</w:t>
      </w:r>
      <w:r w:rsidR="003C7298">
        <w:t xml:space="preserve"> </w:t>
      </w:r>
      <w:r w:rsidR="004700D3" w:rsidRPr="004700D3">
        <w:rPr>
          <w:rFonts w:ascii="Calibri" w:hAnsi="Calibri" w:cs="Calibri"/>
        </w:rPr>
        <w:t>(</w:t>
      </w:r>
      <w:proofErr w:type="spellStart"/>
      <w:r w:rsidR="004700D3" w:rsidRPr="004700D3">
        <w:rPr>
          <w:rFonts w:ascii="Calibri" w:hAnsi="Calibri" w:cs="Calibri"/>
        </w:rPr>
        <w:t>Pyne</w:t>
      </w:r>
      <w:proofErr w:type="spellEnd"/>
      <w:r w:rsidR="004700D3" w:rsidRPr="004700D3">
        <w:rPr>
          <w:rFonts w:ascii="Calibri" w:hAnsi="Calibri" w:cs="Calibri"/>
        </w:rPr>
        <w:t xml:space="preserve">, </w:t>
      </w:r>
      <w:proofErr w:type="spellStart"/>
      <w:r w:rsidR="004700D3" w:rsidRPr="004700D3">
        <w:rPr>
          <w:rFonts w:ascii="Calibri" w:hAnsi="Calibri" w:cs="Calibri"/>
        </w:rPr>
        <w:t>Narcross</w:t>
      </w:r>
      <w:proofErr w:type="spellEnd"/>
      <w:r w:rsidR="004700D3" w:rsidRPr="004700D3">
        <w:rPr>
          <w:rFonts w:ascii="Calibri" w:hAnsi="Calibri" w:cs="Calibri"/>
        </w:rPr>
        <w:t>, &amp; Martin, 2019)</w:t>
      </w:r>
      <w:r w:rsidR="00AE71CD">
        <w:t xml:space="preserve">. </w:t>
      </w:r>
      <w:r w:rsidR="00C72BBA">
        <w:t>Recent</w:t>
      </w:r>
      <w:r w:rsidR="003C7298">
        <w:t xml:space="preserve"> advances in </w:t>
      </w:r>
      <w:r w:rsidR="00AE71CD">
        <w:t>synthetic biology and synthetic biochemistry overcome many of the</w:t>
      </w:r>
      <w:r w:rsidR="008F126C">
        <w:t>se</w:t>
      </w:r>
      <w:r w:rsidR="00AE71CD">
        <w:t xml:space="preserve"> obstacles, thus providing an alternative avenue for</w:t>
      </w:r>
      <w:r w:rsidR="004700D3">
        <w:t xml:space="preserve"> cannabinoids research and development </w:t>
      </w:r>
      <w:r w:rsidR="004700D3" w:rsidRPr="004700D3">
        <w:rPr>
          <w:rFonts w:ascii="Calibri" w:hAnsi="Calibri" w:cs="Calibri"/>
        </w:rPr>
        <w:t>(</w:t>
      </w:r>
      <w:proofErr w:type="spellStart"/>
      <w:r w:rsidR="004700D3" w:rsidRPr="004700D3">
        <w:rPr>
          <w:rFonts w:ascii="Calibri" w:hAnsi="Calibri" w:cs="Calibri"/>
        </w:rPr>
        <w:t>Tauraa</w:t>
      </w:r>
      <w:proofErr w:type="spellEnd"/>
      <w:r w:rsidR="004700D3" w:rsidRPr="004700D3">
        <w:rPr>
          <w:rFonts w:ascii="Calibri" w:hAnsi="Calibri" w:cs="Calibri"/>
        </w:rPr>
        <w:t xml:space="preserve">, </w:t>
      </w:r>
      <w:proofErr w:type="spellStart"/>
      <w:r w:rsidR="004700D3" w:rsidRPr="004700D3">
        <w:rPr>
          <w:rFonts w:ascii="Calibri" w:hAnsi="Calibri" w:cs="Calibri"/>
        </w:rPr>
        <w:t>Tanayaa</w:t>
      </w:r>
      <w:proofErr w:type="spellEnd"/>
      <w:r w:rsidR="004700D3" w:rsidRPr="004700D3">
        <w:rPr>
          <w:rFonts w:ascii="Calibri" w:hAnsi="Calibri" w:cs="Calibri"/>
        </w:rPr>
        <w:t xml:space="preserve">, &amp; </w:t>
      </w:r>
      <w:proofErr w:type="spellStart"/>
      <w:r w:rsidR="004700D3" w:rsidRPr="004700D3">
        <w:rPr>
          <w:rFonts w:ascii="Calibri" w:hAnsi="Calibri" w:cs="Calibri"/>
        </w:rPr>
        <w:t>Sirikantaramasb</w:t>
      </w:r>
      <w:proofErr w:type="spellEnd"/>
      <w:r w:rsidR="004700D3" w:rsidRPr="004700D3">
        <w:rPr>
          <w:rFonts w:ascii="Calibri" w:hAnsi="Calibri" w:cs="Calibri"/>
        </w:rPr>
        <w:t>, 2019)</w:t>
      </w:r>
      <w:r w:rsidR="00A12D69">
        <w:t>.</w:t>
      </w:r>
      <w:r w:rsidR="004700D3">
        <w:t xml:space="preserve"> </w:t>
      </w:r>
    </w:p>
    <w:p w14:paraId="7B444D37" w14:textId="079337AD" w:rsidR="009763DF" w:rsidRDefault="00560A4F" w:rsidP="00D06B29">
      <w:r>
        <w:t>The most</w:t>
      </w:r>
      <w:r w:rsidR="00F73233">
        <w:t xml:space="preserve"> well-known</w:t>
      </w:r>
      <w:r>
        <w:t xml:space="preserve"> </w:t>
      </w:r>
      <w:r w:rsidR="00F73233">
        <w:t xml:space="preserve">cannabinoids </w:t>
      </w:r>
      <w:r>
        <w:t xml:space="preserve">biosynthesis pathway is composed of three </w:t>
      </w:r>
      <w:r w:rsidR="0095413B">
        <w:t>major stages</w:t>
      </w:r>
      <w:r>
        <w:t xml:space="preserve">: 1) </w:t>
      </w:r>
      <w:proofErr w:type="spellStart"/>
      <w:r w:rsidR="0095413B">
        <w:t>olivetolic</w:t>
      </w:r>
      <w:proofErr w:type="spellEnd"/>
      <w:r w:rsidR="0095413B">
        <w:t xml:space="preserve"> acid (OA) formation</w:t>
      </w:r>
      <w:r w:rsidR="00426063">
        <w:t xml:space="preserve"> from hexanoyl-CoA and malonyl-CoA</w:t>
      </w:r>
      <w:r w:rsidR="0095413B">
        <w:t xml:space="preserve">, 2) prenylation of OA to produce </w:t>
      </w:r>
      <w:proofErr w:type="spellStart"/>
      <w:r w:rsidR="0095413B">
        <w:t>cannabigerolic</w:t>
      </w:r>
      <w:proofErr w:type="spellEnd"/>
      <w:r w:rsidR="0095413B">
        <w:t xml:space="preserve"> acid (CBGA), and 3) oxidative cyclization of CBGA to </w:t>
      </w:r>
      <w:r w:rsidR="0095413B" w:rsidRPr="00426063">
        <w:t>form</w:t>
      </w:r>
      <w:r w:rsidR="00426063" w:rsidRPr="00426063">
        <w:t> Δ⁹-</w:t>
      </w:r>
      <w:proofErr w:type="spellStart"/>
      <w:r w:rsidR="00426063" w:rsidRPr="00426063">
        <w:t>tetrahydrocannabinol</w:t>
      </w:r>
      <w:r w:rsidR="00B528E1">
        <w:t>ic</w:t>
      </w:r>
      <w:proofErr w:type="spellEnd"/>
      <w:r w:rsidR="00B528E1">
        <w:t xml:space="preserve"> acid</w:t>
      </w:r>
      <w:r w:rsidR="00426063">
        <w:t xml:space="preserve"> </w:t>
      </w:r>
      <w:r w:rsidR="00114631">
        <w:t xml:space="preserve">A </w:t>
      </w:r>
      <w:r w:rsidR="00426063">
        <w:t>(</w:t>
      </w:r>
      <w:r w:rsidR="0095413B" w:rsidRPr="00426063">
        <w:t>THCA</w:t>
      </w:r>
      <w:r w:rsidR="00426063">
        <w:t>)</w:t>
      </w:r>
      <w:r w:rsidR="0095413B">
        <w:t xml:space="preserve"> and </w:t>
      </w:r>
      <w:proofErr w:type="spellStart"/>
      <w:r w:rsidR="00426063">
        <w:t>cannabidiolic</w:t>
      </w:r>
      <w:proofErr w:type="spellEnd"/>
      <w:r w:rsidR="00426063">
        <w:t xml:space="preserve"> acid (</w:t>
      </w:r>
      <w:r w:rsidR="0095413B">
        <w:t>CBDA</w:t>
      </w:r>
      <w:r w:rsidR="00426063">
        <w:t>)</w:t>
      </w:r>
      <w:r w:rsidR="009321AA">
        <w:t xml:space="preserve"> </w:t>
      </w:r>
      <w:r w:rsidR="009321AA" w:rsidRPr="009321AA">
        <w:rPr>
          <w:rFonts w:ascii="Calibri" w:hAnsi="Calibri" w:cs="Calibri"/>
        </w:rPr>
        <w:t>(</w:t>
      </w:r>
      <w:proofErr w:type="spellStart"/>
      <w:r w:rsidR="009321AA" w:rsidRPr="009321AA">
        <w:rPr>
          <w:rFonts w:ascii="Calibri" w:hAnsi="Calibri" w:cs="Calibri"/>
        </w:rPr>
        <w:t>Tauraa</w:t>
      </w:r>
      <w:proofErr w:type="spellEnd"/>
      <w:r w:rsidR="009321AA" w:rsidRPr="009321AA">
        <w:rPr>
          <w:rFonts w:ascii="Calibri" w:hAnsi="Calibri" w:cs="Calibri"/>
        </w:rPr>
        <w:t xml:space="preserve"> et al., 2019)</w:t>
      </w:r>
      <w:r w:rsidR="0095413B">
        <w:t xml:space="preserve">. </w:t>
      </w:r>
      <w:r w:rsidR="002D7DCF">
        <w:t xml:space="preserve">Pioneering work by </w:t>
      </w:r>
      <w:r w:rsidR="00A12D69">
        <w:t xml:space="preserve">Luo </w:t>
      </w:r>
      <w:r w:rsidR="00A12D69" w:rsidRPr="00A12D69">
        <w:rPr>
          <w:i/>
          <w:iCs/>
        </w:rPr>
        <w:t>et al.</w:t>
      </w:r>
      <w:r w:rsidR="00A12D69">
        <w:t xml:space="preserve"> </w:t>
      </w:r>
      <w:r w:rsidR="00A12D69" w:rsidRPr="00A12D69">
        <w:rPr>
          <w:rFonts w:ascii="Calibri" w:hAnsi="Calibri" w:cs="Calibri"/>
        </w:rPr>
        <w:t>(2019)</w:t>
      </w:r>
      <w:r w:rsidR="00A12D69">
        <w:t xml:space="preserve"> </w:t>
      </w:r>
      <w:r w:rsidR="00426063">
        <w:t>reported</w:t>
      </w:r>
      <w:r w:rsidR="00A12D69">
        <w:t xml:space="preserve"> the complete biosynthesis of the cannabinoids</w:t>
      </w:r>
      <w:r w:rsidR="00426063">
        <w:t xml:space="preserve"> following this pathway</w:t>
      </w:r>
      <w:r w:rsidR="00A12D69">
        <w:t xml:space="preserve"> in </w:t>
      </w:r>
      <w:r w:rsidR="00A12D69" w:rsidRPr="00A12D69">
        <w:rPr>
          <w:i/>
          <w:iCs/>
        </w:rPr>
        <w:t>Saccharomyces cerevisiae</w:t>
      </w:r>
      <w:r w:rsidR="00A12D69">
        <w:t xml:space="preserve">. </w:t>
      </w:r>
      <w:r w:rsidR="002D7DCF">
        <w:t xml:space="preserve">Currently, at least 18 companies are racing to produce cannabinoids </w:t>
      </w:r>
      <w:r w:rsidR="00DC5A3C">
        <w:t xml:space="preserve">in similar ways </w:t>
      </w:r>
      <w:r w:rsidR="002D7DCF">
        <w:t xml:space="preserve">in </w:t>
      </w:r>
      <w:r w:rsidR="00627C63">
        <w:t xml:space="preserve">various microbial hosts </w:t>
      </w:r>
      <w:r w:rsidR="00627C63" w:rsidRPr="00627C63">
        <w:rPr>
          <w:rFonts w:ascii="Calibri" w:hAnsi="Calibri" w:cs="Calibri"/>
        </w:rPr>
        <w:t>(</w:t>
      </w:r>
      <w:proofErr w:type="spellStart"/>
      <w:r w:rsidR="00627C63" w:rsidRPr="00627C63">
        <w:rPr>
          <w:rFonts w:ascii="Calibri" w:hAnsi="Calibri" w:cs="Calibri"/>
        </w:rPr>
        <w:t>Dolgin</w:t>
      </w:r>
      <w:proofErr w:type="spellEnd"/>
      <w:r w:rsidR="00627C63" w:rsidRPr="00627C63">
        <w:rPr>
          <w:rFonts w:ascii="Calibri" w:hAnsi="Calibri" w:cs="Calibri"/>
        </w:rPr>
        <w:t>, 2019)</w:t>
      </w:r>
      <w:r w:rsidR="00627C63">
        <w:t>. Among them, phytoplankton has attracted much attention</w:t>
      </w:r>
      <w:r w:rsidR="00DC5A3C">
        <w:t xml:space="preserve"> </w:t>
      </w:r>
      <w:r w:rsidR="00DC5A3C" w:rsidRPr="00DC5A3C">
        <w:rPr>
          <w:rFonts w:ascii="Calibri" w:hAnsi="Calibri" w:cs="Calibri"/>
          <w:szCs w:val="24"/>
        </w:rPr>
        <w:t>(</w:t>
      </w:r>
      <w:r w:rsidR="00BE1358">
        <w:rPr>
          <w:rFonts w:ascii="Calibri" w:hAnsi="Calibri" w:cs="Calibri"/>
          <w:szCs w:val="24"/>
        </w:rPr>
        <w:t>Castro,</w:t>
      </w:r>
      <w:r w:rsidR="00DC5A3C" w:rsidRPr="00DC5A3C">
        <w:rPr>
          <w:rFonts w:ascii="Calibri" w:hAnsi="Calibri" w:cs="Calibri"/>
          <w:szCs w:val="24"/>
        </w:rPr>
        <w:t xml:space="preserve"> 2019)</w:t>
      </w:r>
      <w:r w:rsidR="00627C63">
        <w:t xml:space="preserve"> due to </w:t>
      </w:r>
      <w:r w:rsidR="00F076A0">
        <w:t xml:space="preserve">the </w:t>
      </w:r>
      <w:r w:rsidR="00627C63">
        <w:t xml:space="preserve">rapid </w:t>
      </w:r>
      <w:r w:rsidR="00F076A0">
        <w:t>development</w:t>
      </w:r>
      <w:r w:rsidR="00627C63">
        <w:t xml:space="preserve"> of </w:t>
      </w:r>
      <w:r w:rsidR="00F076A0">
        <w:t xml:space="preserve">genetic tools and the optimization of genetic transformation methods in microalgae </w:t>
      </w:r>
      <w:r w:rsidR="00F076A0" w:rsidRPr="00F076A0">
        <w:rPr>
          <w:rFonts w:ascii="Calibri" w:hAnsi="Calibri" w:cs="Calibri"/>
        </w:rPr>
        <w:t>(</w:t>
      </w:r>
      <w:proofErr w:type="spellStart"/>
      <w:r w:rsidR="00F076A0" w:rsidRPr="00F076A0">
        <w:rPr>
          <w:rFonts w:ascii="Calibri" w:hAnsi="Calibri" w:cs="Calibri"/>
        </w:rPr>
        <w:t>Fabris</w:t>
      </w:r>
      <w:proofErr w:type="spellEnd"/>
      <w:r w:rsidR="00F076A0" w:rsidRPr="00F076A0">
        <w:rPr>
          <w:rFonts w:ascii="Calibri" w:hAnsi="Calibri" w:cs="Calibri"/>
        </w:rPr>
        <w:t xml:space="preserve"> et al., 2020)</w:t>
      </w:r>
      <w:r w:rsidR="00F076A0">
        <w:t xml:space="preserve">. </w:t>
      </w:r>
      <w:r w:rsidR="00254C9F">
        <w:t xml:space="preserve">To </w:t>
      </w:r>
      <w:r w:rsidR="00F258C9">
        <w:t>monitor the</w:t>
      </w:r>
      <w:r w:rsidR="00F73233">
        <w:t xml:space="preserve"> </w:t>
      </w:r>
      <w:r w:rsidR="00B9665A">
        <w:t xml:space="preserve">experimental </w:t>
      </w:r>
      <w:r w:rsidR="00F258C9">
        <w:t>progress of</w:t>
      </w:r>
      <w:r w:rsidR="00254C9F">
        <w:t xml:space="preserve"> </w:t>
      </w:r>
      <w:r w:rsidR="00F258C9">
        <w:t xml:space="preserve">cannabinoids </w:t>
      </w:r>
      <w:r w:rsidR="00254C9F">
        <w:t xml:space="preserve">biosynthesis in phytoplankton, </w:t>
      </w:r>
      <w:r w:rsidR="002664F0">
        <w:t xml:space="preserve">proper sample preparation and </w:t>
      </w:r>
      <w:r w:rsidR="00C72BBA">
        <w:t>reliable</w:t>
      </w:r>
      <w:r w:rsidR="00254C9F">
        <w:t xml:space="preserve"> </w:t>
      </w:r>
      <w:r w:rsidR="00CC3AEA">
        <w:t>instrumental</w:t>
      </w:r>
      <w:r w:rsidR="00254C9F">
        <w:t xml:space="preserve"> method</w:t>
      </w:r>
      <w:r w:rsidR="002664F0">
        <w:t xml:space="preserve">s </w:t>
      </w:r>
      <w:r w:rsidR="00BB6B74">
        <w:t xml:space="preserve">are </w:t>
      </w:r>
      <w:r w:rsidR="00254C9F">
        <w:t xml:space="preserve">needed to </w:t>
      </w:r>
      <w:r w:rsidR="00DF3FCA">
        <w:t>measure</w:t>
      </w:r>
      <w:r w:rsidR="00BB6B74">
        <w:t xml:space="preserve"> the</w:t>
      </w:r>
      <w:r w:rsidR="00254C9F">
        <w:t xml:space="preserve"> various precursors, intermediates, cannabinoids</w:t>
      </w:r>
      <w:r w:rsidR="0084219F">
        <w:t>, and their degradation products</w:t>
      </w:r>
      <w:r w:rsidR="006C5855">
        <w:t>.</w:t>
      </w:r>
      <w:r w:rsidR="00601E24">
        <w:t xml:space="preserve"> Following the </w:t>
      </w:r>
      <w:r w:rsidR="00425335">
        <w:t xml:space="preserve">abovementioned </w:t>
      </w:r>
      <w:r w:rsidR="00601E24">
        <w:t xml:space="preserve">biosynthesis pathway, </w:t>
      </w:r>
      <w:r w:rsidR="00425335">
        <w:t xml:space="preserve">we identified </w:t>
      </w:r>
      <w:r w:rsidR="00601E24">
        <w:t xml:space="preserve">OA, CBGA, THCA, </w:t>
      </w:r>
      <w:r w:rsidR="00425335">
        <w:t xml:space="preserve">and </w:t>
      </w:r>
      <w:r w:rsidR="00601E24">
        <w:t xml:space="preserve">CBDA </w:t>
      </w:r>
      <w:r w:rsidR="00425335">
        <w:t>as</w:t>
      </w:r>
      <w:r w:rsidR="00601E24">
        <w:t xml:space="preserve"> the most important metabolites to track. </w:t>
      </w:r>
      <w:r w:rsidR="00AB2FB3">
        <w:t>O</w:t>
      </w:r>
      <w:r w:rsidR="00DC189B">
        <w:t>livetol (O</w:t>
      </w:r>
      <w:r w:rsidR="00532ACD">
        <w:t>L</w:t>
      </w:r>
      <w:r w:rsidR="00DC189B">
        <w:t xml:space="preserve">), </w:t>
      </w:r>
      <w:r w:rsidR="00DC189B" w:rsidRPr="00426063">
        <w:t>Δ⁹-tetrahydrocannabinol</w:t>
      </w:r>
      <w:r w:rsidR="00DC189B">
        <w:t xml:space="preserve"> (THC), and cannabidiol (CBD)</w:t>
      </w:r>
      <w:r w:rsidR="00AB2FB3">
        <w:t>, as suspected byproducts generated through decarboxylation of the biosynthesized acids</w:t>
      </w:r>
      <w:r w:rsidR="000F79F3">
        <w:t xml:space="preserve"> </w:t>
      </w:r>
      <w:r w:rsidR="000F79F3" w:rsidRPr="000F79F3">
        <w:rPr>
          <w:rFonts w:ascii="Calibri" w:hAnsi="Calibri" w:cs="Calibri"/>
          <w:szCs w:val="24"/>
        </w:rPr>
        <w:t>(</w:t>
      </w:r>
      <w:proofErr w:type="spellStart"/>
      <w:r w:rsidR="000F79F3" w:rsidRPr="000F79F3">
        <w:rPr>
          <w:rFonts w:ascii="Calibri" w:hAnsi="Calibri" w:cs="Calibri"/>
          <w:szCs w:val="24"/>
        </w:rPr>
        <w:t>Hazekamp</w:t>
      </w:r>
      <w:proofErr w:type="spellEnd"/>
      <w:r w:rsidR="000F79F3" w:rsidRPr="000F79F3">
        <w:rPr>
          <w:rFonts w:ascii="Calibri" w:hAnsi="Calibri" w:cs="Calibri"/>
          <w:szCs w:val="24"/>
        </w:rPr>
        <w:t xml:space="preserve">, </w:t>
      </w:r>
      <w:proofErr w:type="spellStart"/>
      <w:r w:rsidR="000F79F3" w:rsidRPr="000F79F3">
        <w:rPr>
          <w:rFonts w:ascii="Calibri" w:hAnsi="Calibri" w:cs="Calibri"/>
          <w:szCs w:val="24"/>
        </w:rPr>
        <w:t>Fischedick</w:t>
      </w:r>
      <w:proofErr w:type="spellEnd"/>
      <w:r w:rsidR="000F79F3" w:rsidRPr="000F79F3">
        <w:rPr>
          <w:rFonts w:ascii="Calibri" w:hAnsi="Calibri" w:cs="Calibri"/>
          <w:szCs w:val="24"/>
        </w:rPr>
        <w:t xml:space="preserve">, </w:t>
      </w:r>
      <w:proofErr w:type="spellStart"/>
      <w:r w:rsidR="000F79F3" w:rsidRPr="000F79F3">
        <w:rPr>
          <w:rFonts w:ascii="Calibri" w:hAnsi="Calibri" w:cs="Calibri"/>
          <w:szCs w:val="24"/>
        </w:rPr>
        <w:t>Díez</w:t>
      </w:r>
      <w:proofErr w:type="spellEnd"/>
      <w:r w:rsidR="000F79F3" w:rsidRPr="000F79F3">
        <w:rPr>
          <w:rFonts w:ascii="Calibri" w:hAnsi="Calibri" w:cs="Calibri"/>
          <w:szCs w:val="24"/>
        </w:rPr>
        <w:t>, Lubbe, &amp; Ruhaak, 2010)</w:t>
      </w:r>
      <w:r w:rsidR="00AB2FB3">
        <w:t xml:space="preserve">, </w:t>
      </w:r>
      <w:r w:rsidR="007F5C26">
        <w:t>were also included in the method development</w:t>
      </w:r>
      <w:r w:rsidR="00DC189B">
        <w:t xml:space="preserve">. </w:t>
      </w:r>
      <w:r w:rsidR="006C5855">
        <w:t>The complex matri</w:t>
      </w:r>
      <w:r w:rsidR="0087739E">
        <w:t>x</w:t>
      </w:r>
      <w:r w:rsidR="006C5855">
        <w:t xml:space="preserve"> of phytoplankton contain</w:t>
      </w:r>
      <w:r w:rsidR="0087739E">
        <w:t>s</w:t>
      </w:r>
      <w:r w:rsidR="000C56A9">
        <w:t xml:space="preserve"> large amounts of interferences for chromatographic analysis. If not removed, these compounds may co-elute with target analytes, </w:t>
      </w:r>
      <w:r w:rsidR="002557B8">
        <w:t>leading to ion suppression or enhancement and reducing peak resolution</w:t>
      </w:r>
      <w:r w:rsidR="000C56A9">
        <w:t xml:space="preserve">, </w:t>
      </w:r>
      <w:r w:rsidR="002557B8">
        <w:t>or</w:t>
      </w:r>
      <w:r w:rsidR="000C56A9">
        <w:t xml:space="preserve"> contaminate analytical instruments, </w:t>
      </w:r>
      <w:r w:rsidR="002557B8">
        <w:t xml:space="preserve">shortening column life and </w:t>
      </w:r>
      <w:r w:rsidR="000C56A9">
        <w:t xml:space="preserve">causing unnecessary maintenance downtime. </w:t>
      </w:r>
      <w:r w:rsidR="00C72BBA">
        <w:t>R</w:t>
      </w:r>
      <w:r w:rsidR="00986ACF">
        <w:t xml:space="preserve">eduction </w:t>
      </w:r>
      <w:r w:rsidR="00DF3FCA">
        <w:t>of interferences also</w:t>
      </w:r>
      <w:r w:rsidR="00986ACF">
        <w:t xml:space="preserve"> lowers the requirements on the measurement instrument, making it possible to use a more affordable instrument, such as </w:t>
      </w:r>
      <w:r w:rsidR="002E3E0C">
        <w:t xml:space="preserve">a </w:t>
      </w:r>
      <w:r w:rsidR="0087739E">
        <w:t xml:space="preserve">single quadrupole </w:t>
      </w:r>
      <w:r w:rsidR="00986ACF">
        <w:t>gas chromatography-mass spectrometr</w:t>
      </w:r>
      <w:r w:rsidR="00DC5667">
        <w:t>y</w:t>
      </w:r>
      <w:r w:rsidR="0087739E">
        <w:t xml:space="preserve"> (GC-MS)</w:t>
      </w:r>
      <w:r w:rsidR="00DC5667">
        <w:t xml:space="preserve">, instead of two-dimensional </w:t>
      </w:r>
      <w:r w:rsidR="0087739E">
        <w:t>GC</w:t>
      </w:r>
      <w:r w:rsidR="00DC5667">
        <w:t xml:space="preserve"> or tandem</w:t>
      </w:r>
      <w:r w:rsidR="0087739E">
        <w:t xml:space="preserve"> MS</w:t>
      </w:r>
      <w:r w:rsidR="00986ACF">
        <w:t xml:space="preserve"> </w:t>
      </w:r>
      <w:r w:rsidR="00470618" w:rsidRPr="00470618">
        <w:rPr>
          <w:rFonts w:ascii="Calibri" w:hAnsi="Calibri" w:cs="Calibri"/>
          <w:szCs w:val="24"/>
        </w:rPr>
        <w:t>(</w:t>
      </w:r>
      <w:proofErr w:type="spellStart"/>
      <w:r w:rsidR="00470618" w:rsidRPr="00470618">
        <w:rPr>
          <w:rFonts w:ascii="Calibri" w:hAnsi="Calibri" w:cs="Calibri"/>
          <w:szCs w:val="24"/>
        </w:rPr>
        <w:t>Gasse</w:t>
      </w:r>
      <w:proofErr w:type="spellEnd"/>
      <w:r w:rsidR="00470618" w:rsidRPr="00470618">
        <w:rPr>
          <w:rFonts w:ascii="Calibri" w:hAnsi="Calibri" w:cs="Calibri"/>
          <w:szCs w:val="24"/>
        </w:rPr>
        <w:t>, Pfeiffer, Köhler, &amp; Schürenkamp, 2016)</w:t>
      </w:r>
      <w:r w:rsidR="00470618">
        <w:t>.</w:t>
      </w:r>
    </w:p>
    <w:p w14:paraId="6D2E3735" w14:textId="5432B2BC" w:rsidR="006474E2" w:rsidRDefault="009321AA" w:rsidP="00D06B29">
      <w:r>
        <w:t>Although many</w:t>
      </w:r>
      <w:r w:rsidR="006F3185">
        <w:t xml:space="preserve"> </w:t>
      </w:r>
      <w:r w:rsidR="0087739E">
        <w:t xml:space="preserve">sample preparation </w:t>
      </w:r>
      <w:r>
        <w:t>procedures</w:t>
      </w:r>
      <w:r w:rsidR="006F3185">
        <w:t xml:space="preserve"> exist in the literature for cannabinoids analysis in plant matrices</w:t>
      </w:r>
      <w:r w:rsidR="005C05BC">
        <w:t xml:space="preserve"> </w:t>
      </w:r>
      <w:r w:rsidR="005C05BC" w:rsidRPr="005C05BC">
        <w:rPr>
          <w:rFonts w:ascii="Calibri" w:hAnsi="Calibri" w:cs="Calibri"/>
        </w:rPr>
        <w:t>(</w:t>
      </w:r>
      <w:proofErr w:type="spellStart"/>
      <w:r w:rsidR="005C05BC" w:rsidRPr="005C05BC">
        <w:rPr>
          <w:rFonts w:ascii="Calibri" w:hAnsi="Calibri" w:cs="Calibri"/>
        </w:rPr>
        <w:t>Citti</w:t>
      </w:r>
      <w:proofErr w:type="spellEnd"/>
      <w:r w:rsidR="005C05BC" w:rsidRPr="005C05BC">
        <w:rPr>
          <w:rFonts w:ascii="Calibri" w:hAnsi="Calibri" w:cs="Calibri"/>
        </w:rPr>
        <w:t xml:space="preserve">, </w:t>
      </w:r>
      <w:proofErr w:type="spellStart"/>
      <w:r w:rsidR="005C05BC" w:rsidRPr="005C05BC">
        <w:rPr>
          <w:rFonts w:ascii="Calibri" w:hAnsi="Calibri" w:cs="Calibri"/>
        </w:rPr>
        <w:t>Braghiroli</w:t>
      </w:r>
      <w:proofErr w:type="spellEnd"/>
      <w:r w:rsidR="005C05BC" w:rsidRPr="005C05BC">
        <w:rPr>
          <w:rFonts w:ascii="Calibri" w:hAnsi="Calibri" w:cs="Calibri"/>
        </w:rPr>
        <w:t xml:space="preserve">, </w:t>
      </w:r>
      <w:proofErr w:type="spellStart"/>
      <w:r w:rsidR="005C05BC" w:rsidRPr="005C05BC">
        <w:rPr>
          <w:rFonts w:ascii="Calibri" w:hAnsi="Calibri" w:cs="Calibri"/>
        </w:rPr>
        <w:t>Vandelli</w:t>
      </w:r>
      <w:proofErr w:type="spellEnd"/>
      <w:r w:rsidR="005C05BC" w:rsidRPr="005C05BC">
        <w:rPr>
          <w:rFonts w:ascii="Calibri" w:hAnsi="Calibri" w:cs="Calibri"/>
        </w:rPr>
        <w:t>, &amp; Cannazza, 2018)</w:t>
      </w:r>
      <w:r w:rsidR="00FF29B8">
        <w:t xml:space="preserve">, biological samples </w:t>
      </w:r>
      <w:r w:rsidR="00FF29B8" w:rsidRPr="00FF29B8">
        <w:rPr>
          <w:rFonts w:ascii="Calibri" w:hAnsi="Calibri" w:cs="Calibri"/>
        </w:rPr>
        <w:t>(Battista et al., 2014)</w:t>
      </w:r>
      <w:r w:rsidR="00FF29B8">
        <w:t>,</w:t>
      </w:r>
      <w:r w:rsidR="001260B8">
        <w:t xml:space="preserve"> and cannabis edibles </w:t>
      </w:r>
      <w:r w:rsidR="001260B8" w:rsidRPr="001260B8">
        <w:rPr>
          <w:rFonts w:ascii="Calibri" w:hAnsi="Calibri" w:cs="Calibri"/>
        </w:rPr>
        <w:t>(</w:t>
      </w:r>
      <w:proofErr w:type="spellStart"/>
      <w:r w:rsidR="001260B8" w:rsidRPr="001260B8">
        <w:rPr>
          <w:rFonts w:ascii="Calibri" w:hAnsi="Calibri" w:cs="Calibri"/>
        </w:rPr>
        <w:t>Leghissa</w:t>
      </w:r>
      <w:proofErr w:type="spellEnd"/>
      <w:r w:rsidR="001260B8" w:rsidRPr="001260B8">
        <w:rPr>
          <w:rFonts w:ascii="Calibri" w:hAnsi="Calibri" w:cs="Calibri"/>
        </w:rPr>
        <w:t xml:space="preserve">, </w:t>
      </w:r>
      <w:proofErr w:type="spellStart"/>
      <w:r w:rsidR="001260B8" w:rsidRPr="001260B8">
        <w:rPr>
          <w:rFonts w:ascii="Calibri" w:hAnsi="Calibri" w:cs="Calibri"/>
        </w:rPr>
        <w:t>Hildenbrand</w:t>
      </w:r>
      <w:proofErr w:type="spellEnd"/>
      <w:r w:rsidR="001260B8" w:rsidRPr="001260B8">
        <w:rPr>
          <w:rFonts w:ascii="Calibri" w:hAnsi="Calibri" w:cs="Calibri"/>
        </w:rPr>
        <w:t xml:space="preserve">, &amp; </w:t>
      </w:r>
      <w:proofErr w:type="spellStart"/>
      <w:r w:rsidR="001260B8" w:rsidRPr="001260B8">
        <w:rPr>
          <w:rFonts w:ascii="Calibri" w:hAnsi="Calibri" w:cs="Calibri"/>
        </w:rPr>
        <w:t>Schug</w:t>
      </w:r>
      <w:proofErr w:type="spellEnd"/>
      <w:r w:rsidR="001260B8" w:rsidRPr="001260B8">
        <w:rPr>
          <w:rFonts w:ascii="Calibri" w:hAnsi="Calibri" w:cs="Calibri"/>
        </w:rPr>
        <w:t>, 2019)</w:t>
      </w:r>
      <w:r w:rsidR="00061B57">
        <w:t>,</w:t>
      </w:r>
      <w:r>
        <w:t xml:space="preserve"> none of the</w:t>
      </w:r>
      <w:r w:rsidR="00762C0C">
        <w:t>m meet our needs because of the dramatic difference</w:t>
      </w:r>
      <w:r w:rsidR="00CC3AEA">
        <w:t>s</w:t>
      </w:r>
      <w:r w:rsidR="00762C0C">
        <w:t xml:space="preserve"> in sample matrices and target analytes. </w:t>
      </w:r>
      <w:r w:rsidR="00CC3AEA">
        <w:t>Plant</w:t>
      </w:r>
      <w:r w:rsidR="00061B57">
        <w:t xml:space="preserve"> inflorescence is generally analyzed for </w:t>
      </w:r>
      <w:proofErr w:type="spellStart"/>
      <w:r w:rsidR="00061B57">
        <w:t>chemotyping</w:t>
      </w:r>
      <w:proofErr w:type="spellEnd"/>
      <w:r w:rsidR="00061B57">
        <w:t xml:space="preserve"> or quality control</w:t>
      </w:r>
      <w:r w:rsidR="00475764">
        <w:t>, with a focus on</w:t>
      </w:r>
      <w:r w:rsidR="00FF29B8">
        <w:t xml:space="preserve"> the active principles</w:t>
      </w:r>
      <w:r w:rsidR="002E3E0C">
        <w:t>,</w:t>
      </w:r>
      <w:r w:rsidR="00475764">
        <w:t xml:space="preserve"> </w:t>
      </w:r>
      <w:r w:rsidR="00B528E1">
        <w:t>THC</w:t>
      </w:r>
      <w:r w:rsidR="008F79EC">
        <w:t xml:space="preserve"> and </w:t>
      </w:r>
      <w:r w:rsidR="00B528E1">
        <w:t>CB</w:t>
      </w:r>
      <w:r w:rsidR="006474E2">
        <w:t>D</w:t>
      </w:r>
      <w:r w:rsidR="00061B57">
        <w:t xml:space="preserve">. The dry </w:t>
      </w:r>
      <w:r w:rsidR="00061B57">
        <w:lastRenderedPageBreak/>
        <w:t>matri</w:t>
      </w:r>
      <w:r w:rsidR="002E3E0C">
        <w:t>x</w:t>
      </w:r>
      <w:r w:rsidR="00061B57">
        <w:t xml:space="preserve"> and high c</w:t>
      </w:r>
      <w:r w:rsidR="00C07FC1">
        <w:t xml:space="preserve">annabinoids content </w:t>
      </w:r>
      <w:r w:rsidR="005C05BC">
        <w:t>afford</w:t>
      </w:r>
      <w:r w:rsidR="00061B57">
        <w:t xml:space="preserve"> a simple</w:t>
      </w:r>
      <w:r w:rsidR="005C05BC">
        <w:t xml:space="preserve"> </w:t>
      </w:r>
      <w:r w:rsidR="00061B57">
        <w:t xml:space="preserve">procedure, which includes </w:t>
      </w:r>
      <w:r w:rsidR="007353B4">
        <w:t>solvent</w:t>
      </w:r>
      <w:r w:rsidR="00061B57">
        <w:t xml:space="preserve"> extraction</w:t>
      </w:r>
      <w:r w:rsidR="00500F28">
        <w:t xml:space="preserve"> and decarboxylation</w:t>
      </w:r>
      <w:r w:rsidR="005C05BC">
        <w:t>, followed by</w:t>
      </w:r>
      <w:r w:rsidR="002557B8">
        <w:t xml:space="preserve"> </w:t>
      </w:r>
      <w:r w:rsidR="005C05BC">
        <w:t xml:space="preserve">chromatographic analysis </w:t>
      </w:r>
      <w:r w:rsidR="005C05BC" w:rsidRPr="005C05BC">
        <w:rPr>
          <w:rFonts w:ascii="Calibri" w:hAnsi="Calibri" w:cs="Calibri"/>
        </w:rPr>
        <w:t>(</w:t>
      </w:r>
      <w:proofErr w:type="spellStart"/>
      <w:r w:rsidR="005C05BC" w:rsidRPr="005C05BC">
        <w:rPr>
          <w:rFonts w:ascii="Calibri" w:hAnsi="Calibri" w:cs="Calibri"/>
        </w:rPr>
        <w:t>Citti</w:t>
      </w:r>
      <w:proofErr w:type="spellEnd"/>
      <w:r w:rsidR="005C05BC" w:rsidRPr="005C05BC">
        <w:rPr>
          <w:rFonts w:ascii="Calibri" w:hAnsi="Calibri" w:cs="Calibri"/>
        </w:rPr>
        <w:t xml:space="preserve"> et al., 2018)</w:t>
      </w:r>
      <w:r w:rsidR="005C05BC">
        <w:t xml:space="preserve">. </w:t>
      </w:r>
      <w:r w:rsidR="002557B8">
        <w:t>Because of the high concentration</w:t>
      </w:r>
      <w:r w:rsidR="002E3E0C">
        <w:t>s</w:t>
      </w:r>
      <w:r w:rsidR="002557B8">
        <w:t xml:space="preserve"> of cannabinoids in the plant matrix, matrix load </w:t>
      </w:r>
      <w:r w:rsidR="007353B4">
        <w:t xml:space="preserve">on the analytical instrument </w:t>
      </w:r>
      <w:r w:rsidR="002557B8">
        <w:t xml:space="preserve">can be largely reduced by proper dilution before injection. </w:t>
      </w:r>
      <w:r w:rsidR="00475764">
        <w:t>Biological samples</w:t>
      </w:r>
      <w:r w:rsidR="00500F28">
        <w:t>, such as urine, blood, and hair,</w:t>
      </w:r>
      <w:r w:rsidR="00475764">
        <w:t xml:space="preserve"> are mainly analyzed to provide evidence of drug abuse or for pharmacokinetics studies. The complex matrices and low levels of cannabinoids require </w:t>
      </w:r>
      <w:r w:rsidR="006474E2">
        <w:t xml:space="preserve">extra sample preparation steps, such as </w:t>
      </w:r>
      <w:r w:rsidR="008F79EC">
        <w:t>deproteination</w:t>
      </w:r>
      <w:r w:rsidR="00500F28">
        <w:t>,</w:t>
      </w:r>
      <w:r w:rsidR="00500F28" w:rsidRPr="00500F28">
        <w:t xml:space="preserve"> </w:t>
      </w:r>
      <w:r w:rsidR="00500F28">
        <w:t>digestion, saponification, and various forms of solid phase extraction (SPE)</w:t>
      </w:r>
      <w:r w:rsidR="00B528E1">
        <w:t xml:space="preserve"> </w:t>
      </w:r>
      <w:r w:rsidR="00500F28" w:rsidRPr="00500F28">
        <w:rPr>
          <w:rFonts w:ascii="Calibri" w:hAnsi="Calibri" w:cs="Calibri"/>
        </w:rPr>
        <w:t>(Battista et al., 2014)</w:t>
      </w:r>
      <w:r w:rsidR="008F79EC">
        <w:t xml:space="preserve">. </w:t>
      </w:r>
      <w:r w:rsidR="006474E2">
        <w:t xml:space="preserve">Although </w:t>
      </w:r>
      <w:r w:rsidR="008B5857">
        <w:t xml:space="preserve">published methods </w:t>
      </w:r>
      <w:r w:rsidR="00500F28">
        <w:t xml:space="preserve">for </w:t>
      </w:r>
      <w:r w:rsidR="008B5857">
        <w:t>complex biological samples</w:t>
      </w:r>
      <w:r w:rsidR="00981E0D">
        <w:t xml:space="preserve"> may seem to be </w:t>
      </w:r>
      <w:r w:rsidR="00A77017">
        <w:t xml:space="preserve">appropriate </w:t>
      </w:r>
      <w:r w:rsidR="00981E0D">
        <w:t xml:space="preserve">references for phytoplankton </w:t>
      </w:r>
      <w:r w:rsidR="008B5857">
        <w:t>matrices</w:t>
      </w:r>
      <w:r w:rsidR="00981E0D">
        <w:t xml:space="preserve">, </w:t>
      </w:r>
      <w:r w:rsidR="008110BF">
        <w:t>most</w:t>
      </w:r>
      <w:r w:rsidR="00981E0D">
        <w:t xml:space="preserve"> of these </w:t>
      </w:r>
      <w:r w:rsidR="007353B4">
        <w:t>procedure</w:t>
      </w:r>
      <w:r w:rsidR="008B5857">
        <w:t>s</w:t>
      </w:r>
      <w:r w:rsidR="00981E0D">
        <w:t xml:space="preserve"> focused solely on</w:t>
      </w:r>
      <w:r w:rsidR="008B5857">
        <w:t xml:space="preserve"> the recovery of</w:t>
      </w:r>
      <w:r w:rsidR="00981E0D">
        <w:t xml:space="preserve"> THC</w:t>
      </w:r>
      <w:r w:rsidR="00500F28">
        <w:t xml:space="preserve"> and its metabolites</w:t>
      </w:r>
      <w:r w:rsidR="00C07FC1">
        <w:t xml:space="preserve"> in human</w:t>
      </w:r>
      <w:r w:rsidR="00981E0D">
        <w:t>,</w:t>
      </w:r>
      <w:r w:rsidR="001260B8">
        <w:t xml:space="preserve"> </w:t>
      </w:r>
      <w:r w:rsidR="007353B4">
        <w:t xml:space="preserve">such as </w:t>
      </w:r>
      <w:r w:rsidR="001260B8">
        <w:t>11-hydroxy-</w:t>
      </w:r>
      <w:r w:rsidR="001260B8" w:rsidRPr="00426063">
        <w:t>Δ⁹-</w:t>
      </w:r>
      <w:r w:rsidR="001260B8">
        <w:t>THC (</w:t>
      </w:r>
      <w:r w:rsidR="00981E0D">
        <w:t>THC-OH</w:t>
      </w:r>
      <w:r w:rsidR="001260B8">
        <w:t>)</w:t>
      </w:r>
      <w:r w:rsidR="00981E0D">
        <w:t xml:space="preserve">, </w:t>
      </w:r>
      <w:r w:rsidR="001260B8">
        <w:t>11-nor-9-carboxy-</w:t>
      </w:r>
      <w:r w:rsidR="001260B8" w:rsidRPr="00426063">
        <w:t>Δ⁹-</w:t>
      </w:r>
      <w:r w:rsidR="001260B8">
        <w:t>THC</w:t>
      </w:r>
      <w:r w:rsidR="00981E0D">
        <w:t xml:space="preserve"> </w:t>
      </w:r>
      <w:r w:rsidR="001260B8">
        <w:t>(</w:t>
      </w:r>
      <w:r w:rsidR="00981E0D">
        <w:t>THC-COOH</w:t>
      </w:r>
      <w:r w:rsidR="001260B8">
        <w:t>)</w:t>
      </w:r>
      <w:r w:rsidR="008110BF">
        <w:t>, THC glucuronide (THC-</w:t>
      </w:r>
      <w:proofErr w:type="spellStart"/>
      <w:r w:rsidR="008110BF">
        <w:t>gluc</w:t>
      </w:r>
      <w:proofErr w:type="spellEnd"/>
      <w:r w:rsidR="008110BF">
        <w:t>), and THC-COOH glucuronide (THC-COOH-</w:t>
      </w:r>
      <w:proofErr w:type="spellStart"/>
      <w:r w:rsidR="008110BF">
        <w:t>gluc</w:t>
      </w:r>
      <w:proofErr w:type="spellEnd"/>
      <w:r w:rsidR="008110BF">
        <w:t>),</w:t>
      </w:r>
      <w:r w:rsidR="008B5857">
        <w:t xml:space="preserve"> and </w:t>
      </w:r>
      <w:r w:rsidR="0084219F">
        <w:t xml:space="preserve">were not designed </w:t>
      </w:r>
      <w:r w:rsidR="008B5857">
        <w:t>to remove large amounts of hydrophobic and hydrophilic pigments</w:t>
      </w:r>
      <w:r w:rsidR="008B19B7">
        <w:t xml:space="preserve"> such as chlorophylls</w:t>
      </w:r>
      <w:r w:rsidR="008B5857">
        <w:t>.</w:t>
      </w:r>
      <w:r w:rsidR="00016489">
        <w:t xml:space="preserve"> S</w:t>
      </w:r>
      <w:r w:rsidR="007353B4">
        <w:t>ample preparation</w:t>
      </w:r>
      <w:r w:rsidR="0045619F">
        <w:t xml:space="preserve"> procedures for cannabis edibles differ </w:t>
      </w:r>
      <w:r w:rsidR="008110BF">
        <w:t>case by case</w:t>
      </w:r>
      <w:r w:rsidR="00016489">
        <w:t>, due to large variations between food matrices</w:t>
      </w:r>
      <w:r w:rsidR="0045619F">
        <w:t xml:space="preserve">. </w:t>
      </w:r>
      <w:proofErr w:type="spellStart"/>
      <w:r w:rsidR="00A52AE6">
        <w:t>QuEChERS</w:t>
      </w:r>
      <w:proofErr w:type="spellEnd"/>
      <w:r w:rsidR="00A52AE6">
        <w:t xml:space="preserve"> (quick, easy, cheap, effective, rugged, and safe), which combines liquid-liquid extraction and dispersive solid-phase extraction (</w:t>
      </w:r>
      <w:proofErr w:type="spellStart"/>
      <w:r w:rsidR="00A52AE6">
        <w:t>dSPE</w:t>
      </w:r>
      <w:proofErr w:type="spellEnd"/>
      <w:r w:rsidR="00A52AE6">
        <w:t xml:space="preserve">), </w:t>
      </w:r>
      <w:r w:rsidR="006C5855">
        <w:t xml:space="preserve">has been </w:t>
      </w:r>
      <w:r w:rsidR="00A52AE6">
        <w:t>applied for cannabinoids recovery</w:t>
      </w:r>
      <w:r w:rsidR="000A6150">
        <w:t xml:space="preserve"> in gummy bears</w:t>
      </w:r>
      <w:r w:rsidR="008110BF">
        <w:t xml:space="preserve">, </w:t>
      </w:r>
      <w:r w:rsidR="000A6150">
        <w:t xml:space="preserve">brownies </w:t>
      </w:r>
      <w:r w:rsidR="000A6150" w:rsidRPr="000A6150">
        <w:rPr>
          <w:rFonts w:ascii="Calibri" w:hAnsi="Calibri" w:cs="Calibri"/>
        </w:rPr>
        <w:t>(</w:t>
      </w:r>
      <w:proofErr w:type="spellStart"/>
      <w:r w:rsidR="000A6150" w:rsidRPr="000A6150">
        <w:rPr>
          <w:rFonts w:ascii="Calibri" w:hAnsi="Calibri" w:cs="Calibri"/>
        </w:rPr>
        <w:t>Shimelis</w:t>
      </w:r>
      <w:proofErr w:type="spellEnd"/>
      <w:r w:rsidR="000A6150" w:rsidRPr="000A6150">
        <w:rPr>
          <w:rFonts w:ascii="Calibri" w:hAnsi="Calibri" w:cs="Calibri"/>
        </w:rPr>
        <w:t xml:space="preserve">, </w:t>
      </w:r>
      <w:proofErr w:type="spellStart"/>
      <w:r w:rsidR="000A6150" w:rsidRPr="000A6150">
        <w:rPr>
          <w:rFonts w:ascii="Calibri" w:hAnsi="Calibri" w:cs="Calibri"/>
        </w:rPr>
        <w:t>Stenerson</w:t>
      </w:r>
      <w:proofErr w:type="spellEnd"/>
      <w:r w:rsidR="000A6150" w:rsidRPr="000A6150">
        <w:rPr>
          <w:rFonts w:ascii="Calibri" w:hAnsi="Calibri" w:cs="Calibri"/>
        </w:rPr>
        <w:t>, &amp; Wesley, 2019)</w:t>
      </w:r>
      <w:r w:rsidR="000A6150">
        <w:t xml:space="preserve"> and chocolate </w:t>
      </w:r>
      <w:r w:rsidR="00FE7980" w:rsidRPr="00FE7980">
        <w:rPr>
          <w:rFonts w:ascii="Calibri" w:hAnsi="Calibri" w:cs="Calibri"/>
          <w:szCs w:val="24"/>
        </w:rPr>
        <w:t>(</w:t>
      </w:r>
      <w:proofErr w:type="spellStart"/>
      <w:r w:rsidR="00FE7980" w:rsidRPr="00FE7980">
        <w:rPr>
          <w:rFonts w:ascii="Calibri" w:hAnsi="Calibri" w:cs="Calibri"/>
          <w:szCs w:val="24"/>
        </w:rPr>
        <w:t>Yousefi‐Taemeh</w:t>
      </w:r>
      <w:proofErr w:type="spellEnd"/>
      <w:r w:rsidR="00FE7980" w:rsidRPr="00FE7980">
        <w:rPr>
          <w:rFonts w:ascii="Calibri" w:hAnsi="Calibri" w:cs="Calibri"/>
          <w:szCs w:val="24"/>
        </w:rPr>
        <w:t xml:space="preserve"> &amp; </w:t>
      </w:r>
      <w:proofErr w:type="spellStart"/>
      <w:r w:rsidR="00FE7980" w:rsidRPr="00FE7980">
        <w:rPr>
          <w:rFonts w:ascii="Calibri" w:hAnsi="Calibri" w:cs="Calibri"/>
          <w:szCs w:val="24"/>
        </w:rPr>
        <w:t>Ifa</w:t>
      </w:r>
      <w:proofErr w:type="spellEnd"/>
      <w:r w:rsidR="00FE7980" w:rsidRPr="00FE7980">
        <w:rPr>
          <w:rFonts w:ascii="Calibri" w:hAnsi="Calibri" w:cs="Calibri"/>
          <w:szCs w:val="24"/>
        </w:rPr>
        <w:t>, 2019)</w:t>
      </w:r>
      <w:r w:rsidR="006C5855">
        <w:t xml:space="preserve"> and show</w:t>
      </w:r>
      <w:r w:rsidR="008110BF">
        <w:t>s</w:t>
      </w:r>
      <w:r w:rsidR="006C5855">
        <w:t xml:space="preserve"> great potential for phytoplankton sample preparation.</w:t>
      </w:r>
    </w:p>
    <w:p w14:paraId="020B81B6" w14:textId="58636504" w:rsidR="00FA40B4" w:rsidRDefault="00A52AE6" w:rsidP="006C154E">
      <w:r>
        <w:t>In this study, we aim</w:t>
      </w:r>
      <w:r w:rsidR="0084219F">
        <w:t>ed</w:t>
      </w:r>
      <w:r>
        <w:t xml:space="preserve"> at </w:t>
      </w:r>
      <w:r w:rsidR="006C5855">
        <w:t xml:space="preserve">developing a </w:t>
      </w:r>
      <w:r w:rsidR="008B1E5B">
        <w:t>sample preparation</w:t>
      </w:r>
      <w:r w:rsidR="006C5855">
        <w:t xml:space="preserve"> </w:t>
      </w:r>
      <w:r w:rsidR="00592C76">
        <w:t xml:space="preserve">procedure </w:t>
      </w:r>
      <w:r w:rsidR="006C5855">
        <w:t xml:space="preserve">for </w:t>
      </w:r>
      <w:r w:rsidR="001E35F4">
        <w:t xml:space="preserve">the </w:t>
      </w:r>
      <w:r w:rsidR="005C4B97">
        <w:t xml:space="preserve">analysis </w:t>
      </w:r>
      <w:r w:rsidR="001E35F4">
        <w:t>of</w:t>
      </w:r>
      <w:r w:rsidR="00AB2FB3">
        <w:t xml:space="preserve"> </w:t>
      </w:r>
      <w:r w:rsidR="001E35F4">
        <w:t>OA, CBDA, THCA, CBGA, O</w:t>
      </w:r>
      <w:r w:rsidR="00532ACD">
        <w:t>L</w:t>
      </w:r>
      <w:r w:rsidR="001E35F4">
        <w:t xml:space="preserve">, CBD, and THC </w:t>
      </w:r>
      <w:r w:rsidR="00C53E37">
        <w:t xml:space="preserve">during their biosynthesis in phytoplankton </w:t>
      </w:r>
      <w:r w:rsidR="008B1E5B">
        <w:t>using single quadruple</w:t>
      </w:r>
      <w:r w:rsidR="00DC5667">
        <w:t xml:space="preserve"> GC-MS</w:t>
      </w:r>
      <w:r w:rsidR="001E35F4">
        <w:t xml:space="preserve">. </w:t>
      </w:r>
      <w:proofErr w:type="spellStart"/>
      <w:r w:rsidR="001E35F4" w:rsidRPr="001E35F4">
        <w:rPr>
          <w:i/>
          <w:iCs/>
        </w:rPr>
        <w:t>Isochrysis</w:t>
      </w:r>
      <w:proofErr w:type="spellEnd"/>
      <w:r w:rsidR="001E35F4" w:rsidRPr="001E35F4">
        <w:rPr>
          <w:i/>
          <w:iCs/>
        </w:rPr>
        <w:t xml:space="preserve"> </w:t>
      </w:r>
      <w:proofErr w:type="spellStart"/>
      <w:r w:rsidR="001E35F4" w:rsidRPr="001E35F4">
        <w:rPr>
          <w:i/>
          <w:iCs/>
        </w:rPr>
        <w:t>galbana</w:t>
      </w:r>
      <w:proofErr w:type="spellEnd"/>
      <w:r w:rsidR="001E35F4">
        <w:t xml:space="preserve"> was used as a sample matrix for method development and validation. </w:t>
      </w:r>
      <w:r w:rsidR="00C75B90">
        <w:t xml:space="preserve">A </w:t>
      </w:r>
      <w:r w:rsidR="00852A3D">
        <w:t xml:space="preserve">number of </w:t>
      </w:r>
      <w:r w:rsidR="00C72BBA">
        <w:t>common</w:t>
      </w:r>
      <w:r w:rsidR="00C75B90">
        <w:t xml:space="preserve"> organic </w:t>
      </w:r>
      <w:r w:rsidR="0084219F">
        <w:t>solvents</w:t>
      </w:r>
      <w:r w:rsidR="00C72BBA">
        <w:t xml:space="preserve"> </w:t>
      </w:r>
      <w:r w:rsidR="0048228C">
        <w:t>were compared</w:t>
      </w:r>
      <w:r w:rsidR="00DC5667">
        <w:t xml:space="preserve"> for </w:t>
      </w:r>
      <w:r w:rsidR="00262EC4">
        <w:t xml:space="preserve">the initial extraction of </w:t>
      </w:r>
      <w:r w:rsidR="00C72BBA">
        <w:t>cannabinoid</w:t>
      </w:r>
      <w:r w:rsidR="00262EC4">
        <w:t>s from the phytoplankton matrix</w:t>
      </w:r>
      <w:r w:rsidR="0048228C">
        <w:t>.</w:t>
      </w:r>
      <w:r w:rsidR="00C75B90">
        <w:t xml:space="preserve"> </w:t>
      </w:r>
      <w:r w:rsidR="006C154E">
        <w:t xml:space="preserve">Multiple </w:t>
      </w:r>
      <w:r w:rsidR="00C75B90">
        <w:t>SPE pro</w:t>
      </w:r>
      <w:r w:rsidR="00592C76">
        <w:t>cedure</w:t>
      </w:r>
      <w:r w:rsidR="00C75B90">
        <w:t>s were tested</w:t>
      </w:r>
      <w:r w:rsidR="002962A6">
        <w:t xml:space="preserve"> to remove</w:t>
      </w:r>
      <w:r w:rsidR="006C154E">
        <w:t xml:space="preserve"> instrument contaminants and </w:t>
      </w:r>
      <w:r w:rsidR="002962A6">
        <w:t>reduce matrix peaks in the chromatographs</w:t>
      </w:r>
      <w:r w:rsidR="00C75B90">
        <w:t xml:space="preserve">. </w:t>
      </w:r>
      <w:r w:rsidR="00016489">
        <w:t>Since</w:t>
      </w:r>
      <w:r w:rsidR="00C75B90">
        <w:t xml:space="preserve"> none of them w</w:t>
      </w:r>
      <w:r w:rsidR="002962A6">
        <w:t>as</w:t>
      </w:r>
      <w:r w:rsidR="00C75B90">
        <w:t xml:space="preserve"> able to</w:t>
      </w:r>
      <w:r w:rsidR="00C72BBA">
        <w:t xml:space="preserve"> </w:t>
      </w:r>
      <w:r w:rsidR="00C75B90">
        <w:t>recover all the seven compounds</w:t>
      </w:r>
      <w:r w:rsidR="00C72BBA" w:rsidRPr="00C72BBA">
        <w:t xml:space="preserve"> </w:t>
      </w:r>
      <w:r w:rsidR="00C72BBA">
        <w:t>simultaneously</w:t>
      </w:r>
      <w:r w:rsidR="002962A6">
        <w:t xml:space="preserve"> while eliminating the matrix </w:t>
      </w:r>
      <w:r w:rsidR="00B017FF">
        <w:t>peaks</w:t>
      </w:r>
      <w:r w:rsidR="002962A6">
        <w:t>, a two-step cleanup was developed: 1)</w:t>
      </w:r>
      <w:r w:rsidR="009D4AFD">
        <w:t xml:space="preserve"> recovery</w:t>
      </w:r>
      <w:r w:rsidR="0048228C">
        <w:t xml:space="preserve"> of OA, CBDA, THCA, and CBGA</w:t>
      </w:r>
      <w:r w:rsidR="009D4AFD">
        <w:t xml:space="preserve"> using a</w:t>
      </w:r>
      <w:r w:rsidR="003032AD" w:rsidRPr="003032AD">
        <w:rPr>
          <w:rFonts w:eastAsia="SimSun"/>
          <w:lang w:eastAsia="en-US"/>
        </w:rPr>
        <w:t xml:space="preserve"> </w:t>
      </w:r>
      <w:r w:rsidR="003032AD" w:rsidRPr="00542E3E">
        <w:rPr>
          <w:rFonts w:eastAsia="SimSun"/>
          <w:lang w:eastAsia="en-US"/>
        </w:rPr>
        <w:t>reverse phase strong anion-exchange SPE</w:t>
      </w:r>
      <w:r w:rsidR="00592C76">
        <w:t xml:space="preserve"> and</w:t>
      </w:r>
      <w:r w:rsidR="009D4AFD">
        <w:t xml:space="preserve"> 2)</w:t>
      </w:r>
      <w:r w:rsidR="009D4AFD" w:rsidRPr="009D4AFD">
        <w:t xml:space="preserve"> </w:t>
      </w:r>
      <w:r w:rsidR="009D4AFD">
        <w:t>recovery of O</w:t>
      </w:r>
      <w:r w:rsidR="00532ACD">
        <w:t>L</w:t>
      </w:r>
      <w:r w:rsidR="009D4AFD">
        <w:t>, CBD, and THC</w:t>
      </w:r>
      <w:r w:rsidR="0048228C">
        <w:t xml:space="preserve"> </w:t>
      </w:r>
      <w:r w:rsidR="009D4AFD">
        <w:t>using a</w:t>
      </w:r>
      <w:r w:rsidR="0048228C">
        <w:t xml:space="preserve"> graphitized carbon black SPE. </w:t>
      </w:r>
      <w:r w:rsidR="008552CA">
        <w:t xml:space="preserve">The total protocol, including solvent extraction, SPE cleanup, </w:t>
      </w:r>
      <w:proofErr w:type="spellStart"/>
      <w:r w:rsidR="008552CA">
        <w:t>silylation</w:t>
      </w:r>
      <w:proofErr w:type="spellEnd"/>
      <w:r w:rsidR="008552CA">
        <w:t xml:space="preserve">, and GC-MS analysis, was validated for specificity, linearity, range, accuracy, repeatability, </w:t>
      </w:r>
      <w:r w:rsidR="000821B2">
        <w:t xml:space="preserve">and </w:t>
      </w:r>
      <w:r w:rsidR="008552CA">
        <w:t>intermediate precision</w:t>
      </w:r>
      <w:r w:rsidR="000821B2">
        <w:t xml:space="preserve"> </w:t>
      </w:r>
      <w:r w:rsidR="008552CA">
        <w:t xml:space="preserve">in accordance with the ICH </w:t>
      </w:r>
      <w:proofErr w:type="spellStart"/>
      <w:r w:rsidR="009777CF">
        <w:t>Harmonised</w:t>
      </w:r>
      <w:proofErr w:type="spellEnd"/>
      <w:r w:rsidR="009777CF">
        <w:t xml:space="preserve"> Tripartite G</w:t>
      </w:r>
      <w:r w:rsidR="008552CA">
        <w:t xml:space="preserve">uideline </w:t>
      </w:r>
      <w:r w:rsidR="009777CF">
        <w:rPr>
          <w:rFonts w:ascii="Calibri" w:hAnsi="Calibri" w:cs="Times New Roman"/>
        </w:rPr>
        <w:t>(ICH Expert Working Group, 2005)</w:t>
      </w:r>
      <w:r w:rsidR="0048228C">
        <w:t>.</w:t>
      </w:r>
      <w:r w:rsidR="00ED7E35">
        <w:t xml:space="preserve"> </w:t>
      </w:r>
    </w:p>
    <w:p w14:paraId="2E559BAC" w14:textId="7C346B76" w:rsidR="00542E3E" w:rsidRPr="00542E3E" w:rsidRDefault="00542E3E" w:rsidP="00384856">
      <w:pPr>
        <w:pStyle w:val="Heading1"/>
      </w:pPr>
      <w:r w:rsidRPr="00542E3E">
        <w:t>Materials and Methods</w:t>
      </w:r>
    </w:p>
    <w:p w14:paraId="2541D94C" w14:textId="77777777" w:rsidR="00542E3E" w:rsidRPr="00542E3E" w:rsidRDefault="00542E3E" w:rsidP="00982500">
      <w:pPr>
        <w:pStyle w:val="Heading2"/>
      </w:pPr>
      <w:r w:rsidRPr="00542E3E">
        <w:t>Reagents</w:t>
      </w:r>
    </w:p>
    <w:p w14:paraId="6A39FAD8" w14:textId="0294C7F1" w:rsidR="00542E3E" w:rsidRPr="00542E3E" w:rsidRDefault="00542E3E" w:rsidP="00C72F62">
      <w:pPr>
        <w:pStyle w:val="Noindent"/>
      </w:pPr>
      <w:r w:rsidRPr="00542E3E">
        <w:t>Methanol and acetonitrile of HPLC grade, 2-propanol, hexanes, and chloroform of ACS grade, and anhydrous ethanol were purchased from Thermo Fisher Scientific (Waltham, MA, USA). Formic acid, ammonium acetate, anhydrous pyridine, n-methyl-n-</w:t>
      </w:r>
      <w:proofErr w:type="spellStart"/>
      <w:r w:rsidRPr="00542E3E">
        <w:t>trimethylsilyltrifluoroacetamide</w:t>
      </w:r>
      <w:proofErr w:type="spellEnd"/>
      <w:r w:rsidRPr="00542E3E">
        <w:t xml:space="preserve"> (MSTFA), and </w:t>
      </w:r>
      <w:proofErr w:type="spellStart"/>
      <w:r w:rsidRPr="00542E3E">
        <w:t>chlorotrimethylsilane</w:t>
      </w:r>
      <w:proofErr w:type="spellEnd"/>
      <w:r w:rsidRPr="00542E3E">
        <w:t xml:space="preserve"> (TMCS) were </w:t>
      </w:r>
      <w:r w:rsidR="009A3283">
        <w:t xml:space="preserve">purchased </w:t>
      </w:r>
      <w:r w:rsidRPr="00542E3E">
        <w:t xml:space="preserve">from Sigma Aldrich Canada Co. </w:t>
      </w:r>
    </w:p>
    <w:p w14:paraId="4D592030" w14:textId="77777777" w:rsidR="00542E3E" w:rsidRPr="00542E3E" w:rsidRDefault="00542E3E" w:rsidP="00982500">
      <w:pPr>
        <w:pStyle w:val="Heading2"/>
      </w:pPr>
      <w:r w:rsidRPr="00542E3E">
        <w:t>Standards</w:t>
      </w:r>
    </w:p>
    <w:p w14:paraId="6F34A49B" w14:textId="389F5A63" w:rsidR="00542E3E" w:rsidRPr="00542E3E" w:rsidRDefault="00542E3E" w:rsidP="00C72F62">
      <w:pPr>
        <w:pStyle w:val="Noindent"/>
      </w:pPr>
      <w:r w:rsidRPr="00542E3E">
        <w:t>OL</w:t>
      </w:r>
      <w:r w:rsidR="00442804">
        <w:t xml:space="preserve"> with &gt;95% purity</w:t>
      </w:r>
      <w:r w:rsidRPr="00542E3E">
        <w:t>, 1.0 mg/mL THCA in acetonitrile, 1.0 mg/mL CBDA in acetonitrile, 1.0 mg/mL CBGA in acetonitrile, THC Cannabinoids Mixture-3 solution containing 1.0 mg/mL each of CBD</w:t>
      </w:r>
      <w:r w:rsidR="00114631">
        <w:t xml:space="preserve">, </w:t>
      </w:r>
      <w:r w:rsidRPr="00542E3E">
        <w:t>THC, and</w:t>
      </w:r>
      <w:r w:rsidR="00442804">
        <w:t xml:space="preserve"> cannabinol</w:t>
      </w:r>
      <w:r w:rsidRPr="00542E3E">
        <w:t xml:space="preserve"> </w:t>
      </w:r>
      <w:r w:rsidR="00442804">
        <w:t>(</w:t>
      </w:r>
      <w:r w:rsidRPr="00542E3E">
        <w:t>CBN</w:t>
      </w:r>
      <w:r w:rsidR="00442804">
        <w:t>)</w:t>
      </w:r>
      <w:r w:rsidRPr="00542E3E">
        <w:t xml:space="preserve"> in methanol, and </w:t>
      </w:r>
      <w:proofErr w:type="spellStart"/>
      <w:r w:rsidRPr="00542E3E">
        <w:t>tribenzylamine</w:t>
      </w:r>
      <w:proofErr w:type="spellEnd"/>
      <w:r w:rsidRPr="00542E3E">
        <w:t xml:space="preserve"> (TBA)</w:t>
      </w:r>
      <w:r w:rsidR="00442804">
        <w:t xml:space="preserve"> with &gt;99% purity </w:t>
      </w:r>
      <w:r w:rsidRPr="00542E3E">
        <w:t xml:space="preserve">were purchased from Sigma Aldrich Canada Co. OA with purity &gt;90% was </w:t>
      </w:r>
      <w:r w:rsidR="009A3283">
        <w:t>supplied by</w:t>
      </w:r>
      <w:r w:rsidRPr="00542E3E">
        <w:t xml:space="preserve"> Cayman Chemical Company (Ann Arbor, MI, USA). One hundred microliter</w:t>
      </w:r>
      <w:r w:rsidR="00C53E37">
        <w:t>s</w:t>
      </w:r>
      <w:r w:rsidRPr="00542E3E">
        <w:t xml:space="preserve"> of 10 ppm TBA in acetonitrile was used as internal standard (I.S.) </w:t>
      </w:r>
      <w:r w:rsidRPr="00542E3E">
        <w:lastRenderedPageBreak/>
        <w:t xml:space="preserve">throughout this study. Standard stock solutions containing a combination of OL, OA, CBD, THC, </w:t>
      </w:r>
      <w:r w:rsidR="005A1E60">
        <w:t xml:space="preserve">CBN, </w:t>
      </w:r>
      <w:r w:rsidRPr="00542E3E">
        <w:t xml:space="preserve">CBDA, THCA, and CBGA at 20 ppm, 5 ppm, and 1 ppm </w:t>
      </w:r>
      <w:r w:rsidR="00C53E37">
        <w:t xml:space="preserve">in </w:t>
      </w:r>
      <w:r w:rsidR="00F63042">
        <w:t>acetonitrile</w:t>
      </w:r>
      <w:r w:rsidR="00C53E37">
        <w:t xml:space="preserve"> </w:t>
      </w:r>
      <w:r w:rsidRPr="00542E3E">
        <w:t>were prepared for future use.</w:t>
      </w:r>
      <w:r w:rsidR="005A1E60">
        <w:t xml:space="preserve"> Although CBN was not in our experimental plan, it was included in </w:t>
      </w:r>
      <w:r w:rsidR="00857E39">
        <w:t xml:space="preserve">some parts of </w:t>
      </w:r>
      <w:r w:rsidR="005A1E60">
        <w:t xml:space="preserve">this study as it </w:t>
      </w:r>
      <w:r w:rsidR="00C53E37">
        <w:t xml:space="preserve">was present </w:t>
      </w:r>
      <w:r w:rsidR="005A1E60">
        <w:t>in the THC Cannabinoids Mixture-3 solution</w:t>
      </w:r>
      <w:r w:rsidR="00A21635">
        <w:t xml:space="preserve"> from Sigma Aldrich</w:t>
      </w:r>
      <w:r w:rsidR="005A1E60">
        <w:t xml:space="preserve"> and it </w:t>
      </w:r>
      <w:r w:rsidR="009D5488">
        <w:t xml:space="preserve">did </w:t>
      </w:r>
      <w:r w:rsidR="005A1E60">
        <w:t xml:space="preserve">not interfere with our target analytes. </w:t>
      </w:r>
    </w:p>
    <w:p w14:paraId="020409D1" w14:textId="71B60AA7" w:rsidR="00542E3E" w:rsidRPr="00542E3E" w:rsidRDefault="00542E3E" w:rsidP="00982500">
      <w:pPr>
        <w:pStyle w:val="Heading2"/>
      </w:pPr>
      <w:r w:rsidRPr="00542E3E">
        <w:t>Algae sample</w:t>
      </w:r>
      <w:r w:rsidR="00FA3727">
        <w:t>s</w:t>
      </w:r>
    </w:p>
    <w:p w14:paraId="66B4BF95" w14:textId="1F7E527F" w:rsidR="00CF79F9" w:rsidRDefault="00542E3E" w:rsidP="00C72F62">
      <w:pPr>
        <w:pStyle w:val="Noindent"/>
      </w:pPr>
      <w:proofErr w:type="spellStart"/>
      <w:r w:rsidRPr="00542E3E">
        <w:rPr>
          <w:i/>
          <w:iCs/>
        </w:rPr>
        <w:t>Isochrysis</w:t>
      </w:r>
      <w:proofErr w:type="spellEnd"/>
      <w:r w:rsidRPr="00542E3E">
        <w:rPr>
          <w:i/>
          <w:iCs/>
        </w:rPr>
        <w:t xml:space="preserve"> </w:t>
      </w:r>
      <w:proofErr w:type="spellStart"/>
      <w:r w:rsidRPr="00542E3E">
        <w:rPr>
          <w:i/>
          <w:iCs/>
        </w:rPr>
        <w:t>galbana</w:t>
      </w:r>
      <w:proofErr w:type="spellEnd"/>
      <w:r w:rsidRPr="00542E3E">
        <w:t xml:space="preserve"> culture was donated by </w:t>
      </w:r>
      <w:r w:rsidR="008D791B">
        <w:t xml:space="preserve">the </w:t>
      </w:r>
      <w:proofErr w:type="spellStart"/>
      <w:r w:rsidRPr="00542E3E">
        <w:t>Aquatron</w:t>
      </w:r>
      <w:proofErr w:type="spellEnd"/>
      <w:r w:rsidRPr="00542E3E">
        <w:t xml:space="preserve"> Laboratory at Dalhousie University. The algae culture was centrifuged in weighed falcon tubes at 2000 RPM </w:t>
      </w:r>
      <w:r w:rsidR="00644D84">
        <w:t>(~200</w:t>
      </w:r>
      <w:r w:rsidRPr="00542E3E">
        <w:t xml:space="preserve"> g) to concentrate the biomass. After careful removal of supernatant, the falcon tubes were weighed to evaluate the amount of wet algae collected. More culture was added to the same tubes and centrifuged </w:t>
      </w:r>
      <w:r w:rsidR="00114631" w:rsidRPr="00542E3E">
        <w:t>to</w:t>
      </w:r>
      <w:r w:rsidRPr="00542E3E">
        <w:t xml:space="preserve"> remove the media. This step was repeated until the desired amount of algae biomass was obtained in each tube. </w:t>
      </w:r>
      <w:r w:rsidR="005D7818">
        <w:t>Three</w:t>
      </w:r>
      <w:r w:rsidR="00386A2E">
        <w:t xml:space="preserve"> aliquots of algae samples</w:t>
      </w:r>
      <w:r w:rsidRPr="00542E3E">
        <w:t xml:space="preserve"> were weighed before and after dr</w:t>
      </w:r>
      <w:r w:rsidR="00644D84">
        <w:t>ying</w:t>
      </w:r>
      <w:r w:rsidRPr="00542E3E">
        <w:t xml:space="preserve"> in a </w:t>
      </w:r>
      <w:r w:rsidR="00654A48">
        <w:t>4</w:t>
      </w:r>
      <w:r w:rsidRPr="00542E3E">
        <w:t>0</w:t>
      </w:r>
      <w:r w:rsidR="00384856">
        <w:rPr>
          <w:rFonts w:ascii="Calibri" w:hAnsi="Calibri"/>
        </w:rPr>
        <w:t>°</w:t>
      </w:r>
      <w:r w:rsidR="00384856">
        <w:t xml:space="preserve">C </w:t>
      </w:r>
      <w:r w:rsidRPr="00542E3E">
        <w:t>oven for 2 days</w:t>
      </w:r>
      <w:r w:rsidR="00114631">
        <w:t xml:space="preserve"> to</w:t>
      </w:r>
      <w:r w:rsidR="00675A5E" w:rsidRPr="00542E3E">
        <w:t xml:space="preserve"> </w:t>
      </w:r>
      <w:r w:rsidR="00644D84">
        <w:t>determine</w:t>
      </w:r>
      <w:r w:rsidR="00644D84" w:rsidRPr="00542E3E">
        <w:t xml:space="preserve"> </w:t>
      </w:r>
      <w:r w:rsidR="00675A5E" w:rsidRPr="00542E3E">
        <w:t>the dry biomass content</w:t>
      </w:r>
      <w:r w:rsidR="00675A5E">
        <w:t xml:space="preserve"> </w:t>
      </w:r>
      <w:r w:rsidR="003E1E76">
        <w:t xml:space="preserve">(~8%) </w:t>
      </w:r>
      <w:r w:rsidR="000C56D6">
        <w:rPr>
          <w:lang w:eastAsia="zh-CN"/>
        </w:rPr>
        <w:t xml:space="preserve">in order to estimate </w:t>
      </w:r>
      <w:r w:rsidR="004F42A9">
        <w:rPr>
          <w:lang w:eastAsia="zh-CN"/>
        </w:rPr>
        <w:t xml:space="preserve">the </w:t>
      </w:r>
      <w:r w:rsidR="000C56D6">
        <w:rPr>
          <w:lang w:eastAsia="zh-CN"/>
        </w:rPr>
        <w:t>calibration ranges on dry weight basis.</w:t>
      </w:r>
    </w:p>
    <w:p w14:paraId="1A3A3566" w14:textId="31A7E0EA" w:rsidR="00D06B29" w:rsidRDefault="00AF4420" w:rsidP="006E43A4">
      <w:pPr>
        <w:pStyle w:val="Heading3"/>
      </w:pPr>
      <w:r w:rsidRPr="00AF4420">
        <w:t xml:space="preserve">Preparation for </w:t>
      </w:r>
      <w:r w:rsidR="00982500">
        <w:t xml:space="preserve">solvent </w:t>
      </w:r>
      <w:r w:rsidRPr="00AF4420">
        <w:t>extraction comparison</w:t>
      </w:r>
    </w:p>
    <w:p w14:paraId="499C3D56" w14:textId="2F1DA62C" w:rsidR="00CF79F9" w:rsidRDefault="00542E3E" w:rsidP="00C72F62">
      <w:pPr>
        <w:pStyle w:val="Noindent"/>
      </w:pPr>
      <w:r w:rsidRPr="00542E3E">
        <w:t xml:space="preserve">To prepare one algae sample </w:t>
      </w:r>
      <w:r w:rsidR="00675A5E">
        <w:t>for solvent extraction</w:t>
      </w:r>
      <w:r w:rsidRPr="00542E3E">
        <w:t>, about 50 mg wet algae (co</w:t>
      </w:r>
      <w:r w:rsidR="009A3283">
        <w:t>ncentrated</w:t>
      </w:r>
      <w:r w:rsidRPr="00542E3E">
        <w:t xml:space="preserve"> from 50</w:t>
      </w:r>
      <w:r w:rsidR="005963E4">
        <w:t>.0</w:t>
      </w:r>
      <w:r w:rsidRPr="00542E3E">
        <w:t xml:space="preserve"> mL algae culture</w:t>
      </w:r>
      <w:r w:rsidR="000950DD">
        <w:t xml:space="preserve"> as described above</w:t>
      </w:r>
      <w:r w:rsidRPr="00542E3E">
        <w:t>) was spiked with 500 ng of each standard (</w:t>
      </w:r>
      <w:r w:rsidR="00654A48">
        <w:t xml:space="preserve">100 </w:t>
      </w:r>
      <w:r w:rsidR="00654A48">
        <w:rPr>
          <w:rFonts w:cstheme="minorHAnsi"/>
        </w:rPr>
        <w:t>µ</w:t>
      </w:r>
      <w:r w:rsidR="00654A48">
        <w:t xml:space="preserve">L of the </w:t>
      </w:r>
      <w:proofErr w:type="gramStart"/>
      <w:r w:rsidR="00654A48">
        <w:t>5 ppm</w:t>
      </w:r>
      <w:proofErr w:type="gramEnd"/>
      <w:r w:rsidR="00654A48">
        <w:t xml:space="preserve"> standard stock solution</w:t>
      </w:r>
      <w:r w:rsidRPr="00542E3E">
        <w:t>)</w:t>
      </w:r>
      <w:r w:rsidR="00AF1402">
        <w:t xml:space="preserve">. To minimize the impact of residual water on solvent </w:t>
      </w:r>
      <w:r w:rsidR="009D5488">
        <w:t xml:space="preserve">polarity and </w:t>
      </w:r>
      <w:r w:rsidR="00AF1402">
        <w:t>extraction efficiency</w:t>
      </w:r>
      <w:r w:rsidR="00A41FCE">
        <w:t>,</w:t>
      </w:r>
      <w:r w:rsidR="00AF1402">
        <w:t xml:space="preserve"> the spiked sample w</w:t>
      </w:r>
      <w:r w:rsidR="0031296D">
        <w:t>as</w:t>
      </w:r>
      <w:r w:rsidR="00A41FCE">
        <w:t xml:space="preserve"> </w:t>
      </w:r>
      <w:r w:rsidRPr="00542E3E">
        <w:t xml:space="preserve">dried under </w:t>
      </w:r>
      <w:r w:rsidR="000950DD">
        <w:t xml:space="preserve">a </w:t>
      </w:r>
      <w:r w:rsidRPr="00542E3E">
        <w:t>nitrogen stream</w:t>
      </w:r>
      <w:r w:rsidR="00654A48">
        <w:t xml:space="preserve"> at </w:t>
      </w:r>
      <w:r w:rsidR="0064056C">
        <w:t>3</w:t>
      </w:r>
      <w:r w:rsidR="00384856">
        <w:t>0</w:t>
      </w:r>
      <w:r w:rsidR="00052332">
        <w:t xml:space="preserve"> </w:t>
      </w:r>
      <w:r w:rsidR="00384856">
        <w:rPr>
          <w:rFonts w:ascii="Calibri" w:hAnsi="Calibri"/>
        </w:rPr>
        <w:t>°</w:t>
      </w:r>
      <w:r w:rsidR="00384856">
        <w:t xml:space="preserve">C </w:t>
      </w:r>
      <w:r w:rsidRPr="00542E3E">
        <w:t xml:space="preserve">for </w:t>
      </w:r>
      <w:r w:rsidR="00AF1402">
        <w:t xml:space="preserve">&gt; </w:t>
      </w:r>
      <w:r w:rsidRPr="00542E3E">
        <w:t>60 min</w:t>
      </w:r>
      <w:r w:rsidR="00A41FCE">
        <w:t>,</w:t>
      </w:r>
      <w:r w:rsidR="00AF1402">
        <w:t xml:space="preserve"> before</w:t>
      </w:r>
      <w:r w:rsidR="00A41FCE">
        <w:t xml:space="preserve"> extract</w:t>
      </w:r>
      <w:r w:rsidR="009D5488">
        <w:t>ion</w:t>
      </w:r>
      <w:r w:rsidR="00A41FCE">
        <w:t xml:space="preserve"> with 1</w:t>
      </w:r>
      <w:r w:rsidR="00667F4C">
        <w:t>.00</w:t>
      </w:r>
      <w:r w:rsidR="00A41FCE">
        <w:t xml:space="preserve"> mL organic solvent</w:t>
      </w:r>
      <w:r w:rsidRPr="00542E3E">
        <w:t xml:space="preserve">. </w:t>
      </w:r>
      <w:r w:rsidR="00664B24">
        <w:t xml:space="preserve">The final concentration </w:t>
      </w:r>
      <w:r w:rsidR="005963E4">
        <w:t xml:space="preserve">of each analyte was expected to be 0.5 ppm in </w:t>
      </w:r>
      <w:r w:rsidR="00F12A54">
        <w:t>extraction solvent</w:t>
      </w:r>
      <w:r w:rsidR="001056A4">
        <w:t xml:space="preserve"> (1</w:t>
      </w:r>
      <w:r w:rsidR="00667F4C">
        <w:t>.00 mL)</w:t>
      </w:r>
      <w:r w:rsidR="005963E4">
        <w:t xml:space="preserve">, which </w:t>
      </w:r>
      <w:r w:rsidR="00F12A54">
        <w:t>is</w:t>
      </w:r>
      <w:r w:rsidR="005963E4">
        <w:t xml:space="preserve"> equivalent to </w:t>
      </w:r>
      <w:r w:rsidR="00664B24">
        <w:t>10 ppb in the algae culture</w:t>
      </w:r>
      <w:r w:rsidR="00667F4C">
        <w:t xml:space="preserve"> (50.0 mL)</w:t>
      </w:r>
      <w:r w:rsidR="00664B24">
        <w:t>,</w:t>
      </w:r>
      <w:r w:rsidR="00F27215">
        <w:t xml:space="preserve"> about </w:t>
      </w:r>
      <w:r w:rsidR="00664B24">
        <w:t xml:space="preserve">10 ppm in </w:t>
      </w:r>
      <w:r w:rsidR="00675A5E">
        <w:t xml:space="preserve">concentrated </w:t>
      </w:r>
      <w:r w:rsidR="00664B24">
        <w:t>wet algae</w:t>
      </w:r>
      <w:r w:rsidR="00667F4C">
        <w:t xml:space="preserve"> (~50 mg)</w:t>
      </w:r>
      <w:r w:rsidR="00664B24">
        <w:t xml:space="preserve">, </w:t>
      </w:r>
      <w:r w:rsidR="00675A5E">
        <w:t xml:space="preserve">or </w:t>
      </w:r>
      <w:r w:rsidR="00F27215">
        <w:t xml:space="preserve">about </w:t>
      </w:r>
      <w:r w:rsidR="00664B24">
        <w:t>125 ppm in dry alga</w:t>
      </w:r>
      <w:r w:rsidR="009A3283">
        <w:t>e</w:t>
      </w:r>
      <w:r w:rsidR="00667F4C">
        <w:t xml:space="preserve"> (~4 mg)</w:t>
      </w:r>
      <w:r w:rsidR="00F27215">
        <w:t>.</w:t>
      </w:r>
      <w:r w:rsidR="00654A48">
        <w:t xml:space="preserve"> </w:t>
      </w:r>
    </w:p>
    <w:p w14:paraId="4C121278" w14:textId="3D86F949" w:rsidR="00D06B29" w:rsidRDefault="00AF4420" w:rsidP="006E43A4">
      <w:pPr>
        <w:pStyle w:val="Heading3"/>
      </w:pPr>
      <w:r w:rsidRPr="00AF4420">
        <w:t>Preparation for validation study</w:t>
      </w:r>
    </w:p>
    <w:p w14:paraId="6FF93EB6" w14:textId="1F7CB21D" w:rsidR="00542E3E" w:rsidRPr="00542E3E" w:rsidRDefault="00542E3E" w:rsidP="00C72F62">
      <w:pPr>
        <w:pStyle w:val="Noindent"/>
      </w:pPr>
      <w:r w:rsidRPr="00542E3E">
        <w:t>For</w:t>
      </w:r>
      <w:r w:rsidR="00A41FCE">
        <w:t xml:space="preserve"> the</w:t>
      </w:r>
      <w:r w:rsidRPr="00542E3E">
        <w:t xml:space="preserve"> recovery test of the total </w:t>
      </w:r>
      <w:r w:rsidR="009A3283">
        <w:t>protocol</w:t>
      </w:r>
      <w:r w:rsidRPr="00542E3E">
        <w:t>, each ~50 mg wet algae sample</w:t>
      </w:r>
      <w:r w:rsidR="00F27215">
        <w:t xml:space="preserve"> (collected from 50.0 mL algae culture)</w:t>
      </w:r>
      <w:r w:rsidRPr="00542E3E">
        <w:t xml:space="preserve"> was spiked with 100 ng, 300 ng, 500 ng, or 5000 ng of each standard</w:t>
      </w:r>
      <w:r w:rsidR="00584742">
        <w:t xml:space="preserve"> in acetonitrile</w:t>
      </w:r>
      <w:r w:rsidR="00FF381B">
        <w:t xml:space="preserve"> </w:t>
      </w:r>
      <w:r w:rsidRPr="00542E3E">
        <w:t>and dried with nitrogen</w:t>
      </w:r>
      <w:r w:rsidR="00654A48">
        <w:t xml:space="preserve"> at </w:t>
      </w:r>
      <w:r w:rsidR="003E1E76">
        <w:t>3</w:t>
      </w:r>
      <w:r w:rsidR="00654A48">
        <w:t>0</w:t>
      </w:r>
      <w:r w:rsidR="00052332">
        <w:t xml:space="preserve"> </w:t>
      </w:r>
      <w:r w:rsidR="003E1E76">
        <w:rPr>
          <w:rFonts w:ascii="Calibri" w:hAnsi="Calibri"/>
        </w:rPr>
        <w:t>°</w:t>
      </w:r>
      <w:r w:rsidR="003E1E76">
        <w:t xml:space="preserve">C </w:t>
      </w:r>
      <w:r w:rsidRPr="000D6172">
        <w:t>for</w:t>
      </w:r>
      <w:r w:rsidRPr="00542E3E">
        <w:t xml:space="preserve"> 60 min</w:t>
      </w:r>
      <w:r w:rsidR="00684A6C">
        <w:t xml:space="preserve"> before solvent extraction and SPE cleanup</w:t>
      </w:r>
      <w:r w:rsidRPr="00542E3E">
        <w:t>.</w:t>
      </w:r>
      <w:r w:rsidR="00E96ED3">
        <w:t xml:space="preserve"> This </w:t>
      </w:r>
      <w:r w:rsidR="00684A6C">
        <w:t>was</w:t>
      </w:r>
      <w:r w:rsidR="00E96ED3">
        <w:t xml:space="preserve"> equivalent to 2 ppb, 6 ppb, 10 ppb, </w:t>
      </w:r>
      <w:r w:rsidR="00000CB3">
        <w:t>or</w:t>
      </w:r>
      <w:r w:rsidR="00E96ED3">
        <w:t xml:space="preserve"> 100 ppb of each analyte in the algae culture</w:t>
      </w:r>
      <w:r w:rsidR="00201B00">
        <w:t xml:space="preserve"> (50.0 mL)</w:t>
      </w:r>
      <w:r w:rsidR="00000CB3">
        <w:rPr>
          <w:rFonts w:hint="eastAsia"/>
        </w:rPr>
        <w:t>.</w:t>
      </w:r>
      <w:r w:rsidR="00000CB3">
        <w:t xml:space="preserve"> </w:t>
      </w:r>
      <w:r w:rsidR="003E1E76">
        <w:t xml:space="preserve">Assuming </w:t>
      </w:r>
      <w:r w:rsidR="00000CB3">
        <w:t>analytes were fully extracted,</w:t>
      </w:r>
      <w:r w:rsidR="00E96ED3">
        <w:t xml:space="preserve"> 0.1 ppm, 0.3 ppm, 0.5 ppm, </w:t>
      </w:r>
      <w:r w:rsidR="00000CB3">
        <w:t>or</w:t>
      </w:r>
      <w:r w:rsidR="00E96ED3">
        <w:t xml:space="preserve"> 5 ppm</w:t>
      </w:r>
      <w:r w:rsidR="00000CB3">
        <w:t xml:space="preserve"> was expected</w:t>
      </w:r>
      <w:r w:rsidR="00E96ED3">
        <w:t xml:space="preserve"> in </w:t>
      </w:r>
      <w:r w:rsidR="00000CB3">
        <w:t xml:space="preserve">the </w:t>
      </w:r>
      <w:r w:rsidR="00E96ED3">
        <w:t>methanol</w:t>
      </w:r>
      <w:r w:rsidR="00201B00">
        <w:t xml:space="preserve"> (1.00 mL)</w:t>
      </w:r>
      <w:r w:rsidR="00000CB3">
        <w:t xml:space="preserve">. </w:t>
      </w:r>
    </w:p>
    <w:p w14:paraId="47E7B744" w14:textId="77777777" w:rsidR="00542E3E" w:rsidRPr="00542E3E" w:rsidRDefault="00542E3E" w:rsidP="00982500">
      <w:pPr>
        <w:pStyle w:val="Heading2"/>
      </w:pPr>
      <w:r w:rsidRPr="00542E3E">
        <w:t>Solvent extraction comparison</w:t>
      </w:r>
    </w:p>
    <w:p w14:paraId="1F6E92E2" w14:textId="0DC9CAFF" w:rsidR="00542E3E" w:rsidRPr="00542E3E" w:rsidRDefault="00542E3E" w:rsidP="00C72F62">
      <w:pPr>
        <w:pStyle w:val="Noindent"/>
      </w:pPr>
      <w:r w:rsidRPr="00542E3E">
        <w:t xml:space="preserve">Solvent extractions using methanol, ethanol, acetonitrile, and a mixture of methanol and </w:t>
      </w:r>
      <w:r w:rsidR="004321DC">
        <w:t>c</w:t>
      </w:r>
      <w:r w:rsidRPr="00542E3E">
        <w:t xml:space="preserve">hloroform (9:1) and a </w:t>
      </w:r>
      <w:proofErr w:type="spellStart"/>
      <w:r w:rsidRPr="00542E3E">
        <w:t>QuEChERS</w:t>
      </w:r>
      <w:proofErr w:type="spellEnd"/>
      <w:r w:rsidRPr="00542E3E">
        <w:t xml:space="preserve"> extraction procedure were performed in triplicate. Spiked </w:t>
      </w:r>
      <w:r w:rsidR="0031296D">
        <w:t xml:space="preserve">and dried </w:t>
      </w:r>
      <w:r w:rsidRPr="00542E3E">
        <w:t>algae samples were mixed with 1</w:t>
      </w:r>
      <w:r w:rsidR="000E11DC">
        <w:t>.00</w:t>
      </w:r>
      <w:r w:rsidRPr="00542E3E">
        <w:t xml:space="preserve"> mL organic solvent and sonicated for 15 min before centrifug</w:t>
      </w:r>
      <w:r w:rsidR="004321DC">
        <w:t>ing</w:t>
      </w:r>
      <w:r w:rsidRPr="00542E3E">
        <w:t xml:space="preserve"> at </w:t>
      </w:r>
      <w:r w:rsidR="000E11DC">
        <w:t>~</w:t>
      </w:r>
      <w:r w:rsidRPr="00542E3E">
        <w:t>200</w:t>
      </w:r>
      <w:r w:rsidR="000D6172">
        <w:t xml:space="preserve"> g</w:t>
      </w:r>
      <w:r w:rsidRPr="00542E3E">
        <w:t>. Four hundred microliter</w:t>
      </w:r>
      <w:r w:rsidR="00C62D3A">
        <w:t>s</w:t>
      </w:r>
      <w:r w:rsidRPr="00542E3E">
        <w:t xml:space="preserve"> of the supernatant </w:t>
      </w:r>
      <w:r w:rsidR="00052332" w:rsidRPr="00542E3E">
        <w:t>were</w:t>
      </w:r>
      <w:r w:rsidR="00052332">
        <w:t xml:space="preserve"> then</w:t>
      </w:r>
      <w:r w:rsidRPr="00542E3E">
        <w:t xml:space="preserve"> </w:t>
      </w:r>
      <w:bookmarkStart w:id="2" w:name="_Hlk41398057"/>
      <w:r w:rsidRPr="00542E3E">
        <w:t>collected</w:t>
      </w:r>
      <w:r w:rsidR="00584742">
        <w:t xml:space="preserve"> and</w:t>
      </w:r>
      <w:r w:rsidR="00133775">
        <w:t xml:space="preserve"> spiked with I.S.</w:t>
      </w:r>
      <w:r w:rsidR="00584742">
        <w:t xml:space="preserve"> Solvent was removed</w:t>
      </w:r>
      <w:r w:rsidR="00C62D3A">
        <w:t xml:space="preserve"> under </w:t>
      </w:r>
      <w:r w:rsidR="00A87559">
        <w:t xml:space="preserve">a </w:t>
      </w:r>
      <w:r w:rsidR="00C62D3A">
        <w:t>nitrogen stream</w:t>
      </w:r>
      <w:r w:rsidRPr="00542E3E">
        <w:t xml:space="preserve">, </w:t>
      </w:r>
      <w:r w:rsidR="00584742">
        <w:t xml:space="preserve">and samples were then </w:t>
      </w:r>
      <w:proofErr w:type="spellStart"/>
      <w:r w:rsidR="00133775">
        <w:t>silylated</w:t>
      </w:r>
      <w:proofErr w:type="spellEnd"/>
      <w:r w:rsidR="004321DC">
        <w:t xml:space="preserve"> (see below)</w:t>
      </w:r>
      <w:r w:rsidRPr="00542E3E">
        <w:t xml:space="preserve"> and</w:t>
      </w:r>
      <w:r w:rsidR="00133775">
        <w:t xml:space="preserve"> analyzed using</w:t>
      </w:r>
      <w:r w:rsidRPr="00542E3E">
        <w:t xml:space="preserve"> GC-MS. </w:t>
      </w:r>
      <w:bookmarkEnd w:id="2"/>
      <w:r w:rsidRPr="00542E3E">
        <w:t xml:space="preserve">For </w:t>
      </w:r>
      <w:r w:rsidR="008D791B">
        <w:t xml:space="preserve">the </w:t>
      </w:r>
      <w:proofErr w:type="spellStart"/>
      <w:r w:rsidRPr="00542E3E">
        <w:t>QuEChERS</w:t>
      </w:r>
      <w:proofErr w:type="spellEnd"/>
      <w:r w:rsidRPr="00542E3E">
        <w:t xml:space="preserve"> extraction, each spiked algae sample was rehydrated with 10</w:t>
      </w:r>
      <w:r w:rsidR="000E11DC">
        <w:t>.0</w:t>
      </w:r>
      <w:r w:rsidRPr="00542E3E">
        <w:t xml:space="preserve"> mL DI water for 30 min before mix</w:t>
      </w:r>
      <w:r w:rsidR="004321DC">
        <w:t>ing</w:t>
      </w:r>
      <w:r w:rsidRPr="00542E3E">
        <w:t xml:space="preserve"> with 10</w:t>
      </w:r>
      <w:r w:rsidR="000E11DC">
        <w:t>.0</w:t>
      </w:r>
      <w:r w:rsidRPr="00542E3E">
        <w:t xml:space="preserve"> mL acetonitrile, 1</w:t>
      </w:r>
      <w:r w:rsidR="00596419">
        <w:t>.0</w:t>
      </w:r>
      <w:r w:rsidRPr="00542E3E">
        <w:t xml:space="preserve"> g sodium chloride, and 4</w:t>
      </w:r>
      <w:r w:rsidR="00596419">
        <w:t>.0</w:t>
      </w:r>
      <w:r w:rsidRPr="00542E3E">
        <w:t xml:space="preserve"> g anhydrous magnesium sulfate. Immediately after salt addition, the mixture was vortexed for 1 min to avoid conglomerates. After centrifugation at </w:t>
      </w:r>
      <w:r w:rsidR="000E11DC">
        <w:t>~</w:t>
      </w:r>
      <w:r w:rsidRPr="00542E3E">
        <w:t>200</w:t>
      </w:r>
      <w:r w:rsidR="00052332">
        <w:t xml:space="preserve"> g</w:t>
      </w:r>
      <w:r w:rsidRPr="00542E3E">
        <w:t xml:space="preserve"> for 15 min, the top acetonitrile layer was carefully transferred to a new tube and dried over sodium sulfate. Four </w:t>
      </w:r>
      <w:r w:rsidR="00C62D3A" w:rsidRPr="00542E3E">
        <w:t>milliliters</w:t>
      </w:r>
      <w:r w:rsidRPr="00542E3E">
        <w:t xml:space="preserve"> of the acetonitrile extract </w:t>
      </w:r>
      <w:r w:rsidR="000950DD">
        <w:t>were</w:t>
      </w:r>
      <w:r w:rsidRPr="00542E3E">
        <w:t xml:space="preserve"> </w:t>
      </w:r>
      <w:r w:rsidR="00C62D3A" w:rsidRPr="00542E3E">
        <w:t>collected</w:t>
      </w:r>
      <w:r w:rsidR="00C62D3A">
        <w:t xml:space="preserve">, spiked with I.S., dried under </w:t>
      </w:r>
      <w:r w:rsidR="004321DC">
        <w:t xml:space="preserve">a </w:t>
      </w:r>
      <w:r w:rsidR="00C62D3A">
        <w:t>nitrogen stream</w:t>
      </w:r>
      <w:r w:rsidR="00C62D3A" w:rsidRPr="00542E3E">
        <w:t xml:space="preserve">, </w:t>
      </w:r>
      <w:proofErr w:type="spellStart"/>
      <w:r w:rsidR="00C62D3A">
        <w:t>silylated</w:t>
      </w:r>
      <w:proofErr w:type="spellEnd"/>
      <w:r w:rsidR="00C62D3A" w:rsidRPr="00542E3E">
        <w:t>, and</w:t>
      </w:r>
      <w:r w:rsidR="00C62D3A">
        <w:t xml:space="preserve"> analyzed using</w:t>
      </w:r>
      <w:r w:rsidR="00C62D3A" w:rsidRPr="00542E3E">
        <w:t xml:space="preserve"> GC-MS.</w:t>
      </w:r>
    </w:p>
    <w:p w14:paraId="7005A025" w14:textId="77777777" w:rsidR="00542E3E" w:rsidRPr="00542E3E" w:rsidRDefault="00542E3E" w:rsidP="00982500">
      <w:pPr>
        <w:pStyle w:val="Heading2"/>
      </w:pPr>
      <w:r w:rsidRPr="00542E3E">
        <w:lastRenderedPageBreak/>
        <w:t>SPE cleanup of methanol extract</w:t>
      </w:r>
    </w:p>
    <w:p w14:paraId="22DDA68D" w14:textId="776141B3" w:rsidR="00542E3E" w:rsidRPr="00542E3E" w:rsidRDefault="00542E3E" w:rsidP="00C72F62">
      <w:pPr>
        <w:pStyle w:val="Noindent"/>
      </w:pPr>
      <w:r w:rsidRPr="00542E3E">
        <w:t xml:space="preserve">After the solvent extraction comparison, </w:t>
      </w:r>
      <w:r w:rsidR="004321DC">
        <w:t xml:space="preserve">the </w:t>
      </w:r>
      <w:r w:rsidRPr="00542E3E">
        <w:t xml:space="preserve">methanol extract was selected for further cleanup and analysis. </w:t>
      </w:r>
      <w:r w:rsidR="00FA40B4" w:rsidRPr="00542E3E">
        <w:t>Graphitized carbon black SPE columns (</w:t>
      </w:r>
      <w:proofErr w:type="spellStart"/>
      <w:r w:rsidR="00FA40B4" w:rsidRPr="00542E3E">
        <w:t>Strata</w:t>
      </w:r>
      <w:r w:rsidR="00FA40B4" w:rsidRPr="001319D4">
        <w:rPr>
          <w:vertAlign w:val="superscript"/>
        </w:rPr>
        <w:t>TM</w:t>
      </w:r>
      <w:proofErr w:type="spellEnd"/>
      <w:r w:rsidR="00FA40B4" w:rsidRPr="00542E3E">
        <w:t xml:space="preserve"> GCB, 8B-S528-FCH) and reverse phase strong anion-exchange SPE columns (Strata™-X-A, 8B-S123-UBJ) were supplied by Phenomenex (Torrance, CA, USA). </w:t>
      </w:r>
      <w:r w:rsidR="00FA40B4">
        <w:t>They</w:t>
      </w:r>
      <w:r w:rsidRPr="00542E3E">
        <w:t xml:space="preserve"> were conditioned with 2 mL methanol and 2 mL </w:t>
      </w:r>
      <w:r w:rsidR="001319D4">
        <w:t xml:space="preserve">Milli-Q </w:t>
      </w:r>
      <w:r w:rsidRPr="00542E3E">
        <w:t xml:space="preserve">water </w:t>
      </w:r>
      <w:r w:rsidR="001A7361">
        <w:t xml:space="preserve">right </w:t>
      </w:r>
      <w:r w:rsidRPr="00542E3E">
        <w:t>before use. Four hundred microliter</w:t>
      </w:r>
      <w:r w:rsidR="005E5E78">
        <w:t>s</w:t>
      </w:r>
      <w:r w:rsidRPr="00542E3E">
        <w:t xml:space="preserve"> of the methanol extract </w:t>
      </w:r>
      <w:proofErr w:type="gramStart"/>
      <w:r w:rsidRPr="00542E3E">
        <w:t>was</w:t>
      </w:r>
      <w:proofErr w:type="gramEnd"/>
      <w:r w:rsidR="001319D4">
        <w:t xml:space="preserve"> mixed with 1 mL </w:t>
      </w:r>
      <w:r w:rsidR="001319D4" w:rsidRPr="00542E3E">
        <w:t xml:space="preserve">25 mM ammonium acetate </w:t>
      </w:r>
      <w:r w:rsidR="001319D4">
        <w:t xml:space="preserve">and </w:t>
      </w:r>
      <w:r w:rsidR="001319D4" w:rsidRPr="00542E3E">
        <w:t>loaded</w:t>
      </w:r>
      <w:r w:rsidRPr="00542E3E">
        <w:t xml:space="preserve"> on </w:t>
      </w:r>
      <w:r w:rsidR="004321DC">
        <w:t xml:space="preserve">a </w:t>
      </w:r>
      <w:r w:rsidR="001319D4" w:rsidRPr="00542E3E">
        <w:t>Strata™-X-A</w:t>
      </w:r>
      <w:r w:rsidR="001319D4">
        <w:t xml:space="preserve"> (XA)</w:t>
      </w:r>
      <w:r w:rsidRPr="00542E3E">
        <w:t xml:space="preserve"> </w:t>
      </w:r>
      <w:r w:rsidR="009D7624">
        <w:t xml:space="preserve">column </w:t>
      </w:r>
      <w:r w:rsidRPr="00542E3E">
        <w:t xml:space="preserve">to recover acids (OA, CBDA, THCA, and CBGA). After sample-loading, </w:t>
      </w:r>
      <w:r w:rsidR="009D7624">
        <w:t xml:space="preserve">the </w:t>
      </w:r>
      <w:r w:rsidRPr="00542E3E">
        <w:t xml:space="preserve">XA </w:t>
      </w:r>
      <w:r w:rsidR="009D7624">
        <w:t xml:space="preserve">column </w:t>
      </w:r>
      <w:r w:rsidRPr="00542E3E">
        <w:t xml:space="preserve">was washed twice with 1.5 mL 25 mM ammonium acetate and twice with 1.5 mL methanol. To collect the acids, the column was eluted three times with 1.5 mL methanol containing 5% formic acid. Another 400 </w:t>
      </w:r>
      <w:r w:rsidRPr="00542E3E">
        <w:sym w:font="Symbol" w:char="F06D"/>
      </w:r>
      <w:r w:rsidRPr="00542E3E">
        <w:t>L of the methanol extract was loaded on</w:t>
      </w:r>
      <w:r w:rsidR="0036703D">
        <w:t xml:space="preserve"> </w:t>
      </w:r>
      <w:r w:rsidR="00596419">
        <w:t xml:space="preserve">a </w:t>
      </w:r>
      <w:proofErr w:type="spellStart"/>
      <w:r w:rsidR="00FA3727" w:rsidRPr="00542E3E">
        <w:t>Strata</w:t>
      </w:r>
      <w:r w:rsidR="00FA3727" w:rsidRPr="001319D4">
        <w:rPr>
          <w:vertAlign w:val="superscript"/>
        </w:rPr>
        <w:t>TM</w:t>
      </w:r>
      <w:proofErr w:type="spellEnd"/>
      <w:r w:rsidR="00FA3727" w:rsidRPr="00542E3E">
        <w:t xml:space="preserve"> GCB</w:t>
      </w:r>
      <w:r w:rsidR="00FA3727">
        <w:t xml:space="preserve"> (GCB)</w:t>
      </w:r>
      <w:r w:rsidR="0036703D">
        <w:t xml:space="preserve"> </w:t>
      </w:r>
      <w:r w:rsidR="009D7624">
        <w:t xml:space="preserve">column </w:t>
      </w:r>
      <w:r w:rsidRPr="00542E3E">
        <w:t>to recover O</w:t>
      </w:r>
      <w:r w:rsidR="001716CB">
        <w:t>L</w:t>
      </w:r>
      <w:r w:rsidRPr="00542E3E">
        <w:t>, CBD,</w:t>
      </w:r>
      <w:r w:rsidR="00977F14">
        <w:t xml:space="preserve"> and</w:t>
      </w:r>
      <w:r w:rsidRPr="00542E3E">
        <w:t xml:space="preserve"> THC. After sample-loading, </w:t>
      </w:r>
      <w:r w:rsidR="009D7624">
        <w:t xml:space="preserve">the </w:t>
      </w:r>
      <w:r w:rsidR="00FA3727">
        <w:t>GCB</w:t>
      </w:r>
      <w:r w:rsidRPr="00542E3E">
        <w:t xml:space="preserve"> </w:t>
      </w:r>
      <w:r w:rsidR="009D7624">
        <w:t xml:space="preserve">column </w:t>
      </w:r>
      <w:r w:rsidRPr="00542E3E">
        <w:t>was washed twice with 1.5 mL</w:t>
      </w:r>
      <w:r w:rsidR="00A07C04">
        <w:t xml:space="preserve"> Milli-Q</w:t>
      </w:r>
      <w:r w:rsidRPr="00542E3E">
        <w:t xml:space="preserve"> water containing 5% methanol. To collect</w:t>
      </w:r>
      <w:r w:rsidR="00A87559">
        <w:t xml:space="preserve"> the neutral species,</w:t>
      </w:r>
      <w:r w:rsidRPr="00542E3E">
        <w:t xml:space="preserve"> </w:t>
      </w:r>
      <w:r w:rsidR="00A07C04" w:rsidRPr="00542E3E">
        <w:t>O</w:t>
      </w:r>
      <w:r w:rsidR="006D6370">
        <w:t>L</w:t>
      </w:r>
      <w:r w:rsidR="00A07C04" w:rsidRPr="00542E3E">
        <w:t>, CBD,</w:t>
      </w:r>
      <w:r w:rsidR="00A07C04">
        <w:t xml:space="preserve"> and</w:t>
      </w:r>
      <w:r w:rsidR="00A07C04" w:rsidRPr="00542E3E">
        <w:t xml:space="preserve"> THC</w:t>
      </w:r>
      <w:r w:rsidRPr="00542E3E">
        <w:t>, the column was rinsed three times with 1.5 mL 2-propanol</w:t>
      </w:r>
      <w:r w:rsidR="00977F14">
        <w:t xml:space="preserve"> containing 5% formic acid</w:t>
      </w:r>
      <w:r w:rsidRPr="00542E3E">
        <w:t>.</w:t>
      </w:r>
      <w:r w:rsidR="00A07C04">
        <w:t xml:space="preserve"> </w:t>
      </w:r>
    </w:p>
    <w:p w14:paraId="2C4B337C" w14:textId="5537F883" w:rsidR="00542E3E" w:rsidRPr="00542E3E" w:rsidRDefault="005E5E78" w:rsidP="00982500">
      <w:pPr>
        <w:pStyle w:val="Heading2"/>
      </w:pPr>
      <w:proofErr w:type="spellStart"/>
      <w:r>
        <w:t>Silylation</w:t>
      </w:r>
      <w:proofErr w:type="spellEnd"/>
    </w:p>
    <w:p w14:paraId="5C02E1BB" w14:textId="0D9C7439" w:rsidR="00542E3E" w:rsidRPr="00542E3E" w:rsidRDefault="00542E3E" w:rsidP="00C72F62">
      <w:pPr>
        <w:pStyle w:val="Noindent"/>
      </w:pPr>
      <w:r w:rsidRPr="00542E3E">
        <w:t>The collected</w:t>
      </w:r>
      <w:r w:rsidR="00FA3727">
        <w:t xml:space="preserve"> SPE</w:t>
      </w:r>
      <w:r w:rsidRPr="00542E3E">
        <w:t xml:space="preserve"> fractions containing target compounds</w:t>
      </w:r>
      <w:r w:rsidR="00DF6F75">
        <w:t xml:space="preserve"> were spiked with I.S. and </w:t>
      </w:r>
      <w:r w:rsidR="006B2DF5">
        <w:t xml:space="preserve">solvent was </w:t>
      </w:r>
      <w:r w:rsidR="00DF6F75">
        <w:t>evaporated</w:t>
      </w:r>
      <w:r w:rsidR="0031296D">
        <w:t xml:space="preserve"> </w:t>
      </w:r>
      <w:r w:rsidR="006B2DF5">
        <w:t>under</w:t>
      </w:r>
      <w:r w:rsidR="00A87559">
        <w:t xml:space="preserve"> a</w:t>
      </w:r>
      <w:r w:rsidR="00DF6F75">
        <w:t xml:space="preserve"> nitrogen </w:t>
      </w:r>
      <w:r w:rsidR="00A87559">
        <w:t xml:space="preserve">stream </w:t>
      </w:r>
      <w:r w:rsidR="00985361">
        <w:t xml:space="preserve">at </w:t>
      </w:r>
      <w:r w:rsidR="005A3A04">
        <w:t>3</w:t>
      </w:r>
      <w:r w:rsidR="00985361">
        <w:t>0</w:t>
      </w:r>
      <w:r w:rsidR="00602ADA">
        <w:t xml:space="preserve"> </w:t>
      </w:r>
      <w:r w:rsidR="00602ADA">
        <w:rPr>
          <w:rFonts w:ascii="Calibri" w:hAnsi="Calibri"/>
        </w:rPr>
        <w:t>°</w:t>
      </w:r>
      <w:r w:rsidR="00602ADA">
        <w:t xml:space="preserve">C. </w:t>
      </w:r>
      <w:r w:rsidRPr="00542E3E">
        <w:t xml:space="preserve">After evaporation, 75 </w:t>
      </w:r>
      <w:r w:rsidRPr="00542E3E">
        <w:sym w:font="Symbol" w:char="F06D"/>
      </w:r>
      <w:r w:rsidRPr="00542E3E">
        <w:t xml:space="preserve">L pyridine and 150 </w:t>
      </w:r>
      <w:r w:rsidRPr="00542E3E">
        <w:sym w:font="Symbol" w:char="F06D"/>
      </w:r>
      <w:r w:rsidRPr="00542E3E">
        <w:t>L MSTFA with 2% TMCS were added. The mixture was vortexed for 10 seconds and heated at 70</w:t>
      </w:r>
      <w:r w:rsidR="00052332">
        <w:t xml:space="preserve"> </w:t>
      </w:r>
      <w:r w:rsidR="00052332">
        <w:rPr>
          <w:rFonts w:ascii="Calibri" w:hAnsi="Calibri"/>
        </w:rPr>
        <w:t>°</w:t>
      </w:r>
      <w:r w:rsidR="00052332">
        <w:t xml:space="preserve">C </w:t>
      </w:r>
      <w:r w:rsidRPr="00542E3E">
        <w:t xml:space="preserve">for 45 min. After </w:t>
      </w:r>
      <w:proofErr w:type="spellStart"/>
      <w:r w:rsidR="005E5E78">
        <w:t>silylation</w:t>
      </w:r>
      <w:proofErr w:type="spellEnd"/>
      <w:r w:rsidRPr="00542E3E">
        <w:t>, samples were either directly injected for GC</w:t>
      </w:r>
      <w:r w:rsidR="006D6370">
        <w:t>-</w:t>
      </w:r>
      <w:r w:rsidRPr="00542E3E">
        <w:t xml:space="preserve">MS analysis or evaporated to dryness </w:t>
      </w:r>
      <w:r w:rsidR="00A774BD">
        <w:t xml:space="preserve">under nitrogen </w:t>
      </w:r>
      <w:r w:rsidRPr="00542E3E">
        <w:t xml:space="preserve">and dissolved in hexane before injection. </w:t>
      </w:r>
    </w:p>
    <w:p w14:paraId="759A99EC" w14:textId="1943F82A" w:rsidR="00542E3E" w:rsidRPr="00542E3E" w:rsidRDefault="00542E3E" w:rsidP="00982500">
      <w:pPr>
        <w:pStyle w:val="Heading2"/>
      </w:pPr>
      <w:r w:rsidRPr="00542E3E">
        <w:t>GC</w:t>
      </w:r>
      <w:r w:rsidR="00A20589">
        <w:t>-</w:t>
      </w:r>
      <w:r w:rsidRPr="00542E3E">
        <w:t>MS conditions</w:t>
      </w:r>
    </w:p>
    <w:p w14:paraId="19E5F477" w14:textId="0CD57D9E" w:rsidR="00542E3E" w:rsidRPr="00A5587E" w:rsidRDefault="00542E3E" w:rsidP="00C72F62">
      <w:pPr>
        <w:pStyle w:val="Noindent"/>
        <w:rPr>
          <w:rFonts w:cstheme="minorHAnsi"/>
        </w:rPr>
      </w:pPr>
      <w:r w:rsidRPr="00542E3E">
        <w:t xml:space="preserve">Analysis was performed on a Thermo Trace 1310 GC coupled with a Thermo ISQ 7000 single quadrupole mass spectrometer. One microliter of the </w:t>
      </w:r>
      <w:proofErr w:type="spellStart"/>
      <w:r w:rsidR="006D6370">
        <w:t>silylated</w:t>
      </w:r>
      <w:proofErr w:type="spellEnd"/>
      <w:r w:rsidRPr="00542E3E">
        <w:t xml:space="preserve"> sample was injected in </w:t>
      </w:r>
      <w:r w:rsidR="00596419">
        <w:t>s</w:t>
      </w:r>
      <w:r w:rsidRPr="00542E3E">
        <w:t xml:space="preserve">plit mode with a split ratio of 100:1 at 280 </w:t>
      </w:r>
      <w:r w:rsidRPr="00542E3E">
        <w:sym w:font="Symbol" w:char="F0B0"/>
      </w:r>
      <w:r w:rsidRPr="00542E3E">
        <w:t xml:space="preserve">C. Separation of compounds was achieved on a </w:t>
      </w:r>
      <w:proofErr w:type="spellStart"/>
      <w:r w:rsidRPr="00542E3E">
        <w:t>Zebron</w:t>
      </w:r>
      <w:proofErr w:type="spellEnd"/>
      <w:r w:rsidRPr="00542E3E">
        <w:t xml:space="preserve"> ZB-5 capillary column (5% </w:t>
      </w:r>
      <w:r w:rsidR="006B3FE6" w:rsidRPr="00542E3E">
        <w:t>phenyl</w:t>
      </w:r>
      <w:r w:rsidRPr="00542E3E">
        <w:t>, 95% dimethylpolysiloxane; 5 m Guardian; 30 m length, 0.25 mm I.D., 0.25</w:t>
      </w:r>
      <w:r w:rsidRPr="00542E3E">
        <w:sym w:font="Symbol" w:char="F06D"/>
      </w:r>
      <w:r w:rsidRPr="00542E3E">
        <w:t xml:space="preserve">m film thickness). The oven temperature was first held at 50 </w:t>
      </w:r>
      <w:r w:rsidRPr="00542E3E">
        <w:sym w:font="Symbol" w:char="F0B0"/>
      </w:r>
      <w:r w:rsidRPr="00542E3E">
        <w:t xml:space="preserve">C for 2 min, then increased to 90 </w:t>
      </w:r>
      <w:r w:rsidRPr="00542E3E">
        <w:sym w:font="Symbol" w:char="F0B0"/>
      </w:r>
      <w:r w:rsidRPr="00542E3E">
        <w:t xml:space="preserve">C at a rate of 5 </w:t>
      </w:r>
      <w:r w:rsidRPr="00542E3E">
        <w:sym w:font="Symbol" w:char="F0B0"/>
      </w:r>
      <w:r w:rsidRPr="00542E3E">
        <w:t xml:space="preserve">C/min, and then increased again to 300 </w:t>
      </w:r>
      <w:r w:rsidRPr="00542E3E">
        <w:sym w:font="Symbol" w:char="F0B0"/>
      </w:r>
      <w:r w:rsidRPr="00542E3E">
        <w:t xml:space="preserve">C at a rate of 10 </w:t>
      </w:r>
      <w:r w:rsidRPr="00542E3E">
        <w:sym w:font="Symbol" w:char="F0B0"/>
      </w:r>
      <w:r w:rsidRPr="00542E3E">
        <w:t xml:space="preserve">C/min, which was held for 7 min. For compound identification, </w:t>
      </w:r>
      <w:r w:rsidR="006B2DF5">
        <w:t xml:space="preserve">the </w:t>
      </w:r>
      <w:r w:rsidRPr="00542E3E">
        <w:t xml:space="preserve">MS was run in TIC mode, with </w:t>
      </w:r>
      <w:r w:rsidR="006B2DF5">
        <w:t xml:space="preserve">a </w:t>
      </w:r>
      <w:r w:rsidRPr="00542E3E">
        <w:t xml:space="preserve">scanning range from 60 to 600 amu and dwell time of 0.2 sec. </w:t>
      </w:r>
      <w:r w:rsidR="00A87559">
        <w:t>The f</w:t>
      </w:r>
      <w:r w:rsidRPr="00542E3E">
        <w:t>ragmentation pattern and ion ratio consistency of each compound w</w:t>
      </w:r>
      <w:r w:rsidR="00A87559">
        <w:t>ere</w:t>
      </w:r>
      <w:r w:rsidRPr="00542E3E">
        <w:t xml:space="preserve"> investigated by exploring the mass spectra of target analytes. Quantification was performed in SIM mode. The selected quantification and confirmation ions are listed in Table </w:t>
      </w:r>
      <w:r w:rsidR="001F458A">
        <w:t>S</w:t>
      </w:r>
      <w:r w:rsidRPr="00542E3E">
        <w:t xml:space="preserve">1. </w:t>
      </w:r>
      <w:r w:rsidR="00E80FD1">
        <w:t xml:space="preserve">In most cases, </w:t>
      </w:r>
      <w:r w:rsidR="00E80FD1">
        <w:rPr>
          <w:noProof/>
        </w:rPr>
        <w:t>t</w:t>
      </w:r>
      <w:r w:rsidR="00E80FD1" w:rsidRPr="00542E3E">
        <w:rPr>
          <w:noProof/>
        </w:rPr>
        <w:t xml:space="preserve">he most abundant ion was selected as the quantification </w:t>
      </w:r>
      <w:r w:rsidR="00E80FD1">
        <w:rPr>
          <w:noProof/>
        </w:rPr>
        <w:t>ion</w:t>
      </w:r>
      <w:r w:rsidR="00E80FD1" w:rsidRPr="00542E3E">
        <w:rPr>
          <w:noProof/>
        </w:rPr>
        <w:t xml:space="preserve">. However, when the base peak had </w:t>
      </w:r>
      <w:r w:rsidR="004D4586">
        <w:rPr>
          <w:noProof/>
        </w:rPr>
        <w:t xml:space="preserve">a </w:t>
      </w:r>
      <w:r w:rsidR="00E80FD1" w:rsidRPr="00542E3E">
        <w:rPr>
          <w:noProof/>
        </w:rPr>
        <w:t xml:space="preserve">low </w:t>
      </w:r>
      <w:r w:rsidR="004D4586">
        <w:rPr>
          <w:noProof/>
        </w:rPr>
        <w:t xml:space="preserve">or common </w:t>
      </w:r>
      <w:r w:rsidR="00E80FD1" w:rsidRPr="00542E3E">
        <w:rPr>
          <w:noProof/>
        </w:rPr>
        <w:t>m/z (e.g. 73 m/z, which represents the TMS group</w:t>
      </w:r>
      <w:r w:rsidR="00977231">
        <w:rPr>
          <w:noProof/>
        </w:rPr>
        <w:t xml:space="preserve"> and is a common fragment in many peaks</w:t>
      </w:r>
      <w:r w:rsidR="00E80FD1" w:rsidRPr="00542E3E">
        <w:rPr>
          <w:noProof/>
        </w:rPr>
        <w:t>), the second or third most abundant ion was chosen instead</w:t>
      </w:r>
      <w:r w:rsidR="00977231">
        <w:rPr>
          <w:noProof/>
        </w:rPr>
        <w:t xml:space="preserve"> to minimize interference</w:t>
      </w:r>
      <w:r w:rsidR="00CB44F3">
        <w:rPr>
          <w:noProof/>
        </w:rPr>
        <w:t>. With similar ion intensity, p</w:t>
      </w:r>
      <w:r w:rsidR="00E80FD1" w:rsidRPr="00542E3E">
        <w:rPr>
          <w:noProof/>
        </w:rPr>
        <w:t>reference was given to the ions with higher m/z. The consistency of ratios between quantif</w:t>
      </w:r>
      <w:r w:rsidR="007F45BC">
        <w:rPr>
          <w:noProof/>
        </w:rPr>
        <w:t>i</w:t>
      </w:r>
      <w:r w:rsidR="00E80FD1" w:rsidRPr="00542E3E">
        <w:rPr>
          <w:noProof/>
        </w:rPr>
        <w:t>cation ion, molecular ion (M</w:t>
      </w:r>
      <w:r w:rsidR="00BF2679" w:rsidRPr="005D4A42">
        <w:rPr>
          <w:noProof/>
          <w:vertAlign w:val="superscript"/>
        </w:rPr>
        <w:t>.+</w:t>
      </w:r>
      <w:r w:rsidR="00BF2679" w:rsidRPr="00542E3E">
        <w:rPr>
          <w:noProof/>
        </w:rPr>
        <w:t xml:space="preserve">), </w:t>
      </w:r>
      <w:r w:rsidR="00E80FD1" w:rsidRPr="00542E3E">
        <w:rPr>
          <w:noProof/>
        </w:rPr>
        <w:t xml:space="preserve">M-15 fragment, and M-73 fragment </w:t>
      </w:r>
      <w:r w:rsidR="00602ADA">
        <w:rPr>
          <w:noProof/>
        </w:rPr>
        <w:t xml:space="preserve">for each </w:t>
      </w:r>
      <w:r w:rsidR="00DC44F9">
        <w:rPr>
          <w:noProof/>
        </w:rPr>
        <w:t>target analyte</w:t>
      </w:r>
      <w:r w:rsidR="00602ADA">
        <w:rPr>
          <w:noProof/>
        </w:rPr>
        <w:t xml:space="preserve"> </w:t>
      </w:r>
      <w:r w:rsidR="00E80FD1" w:rsidRPr="00542E3E">
        <w:rPr>
          <w:noProof/>
        </w:rPr>
        <w:t xml:space="preserve">across different sample matrices and on different days were </w:t>
      </w:r>
      <w:r w:rsidR="00F63042">
        <w:rPr>
          <w:noProof/>
        </w:rPr>
        <w:t xml:space="preserve">assessed </w:t>
      </w:r>
      <w:r w:rsidR="00E80FD1" w:rsidRPr="00542E3E">
        <w:rPr>
          <w:noProof/>
        </w:rPr>
        <w:t xml:space="preserve">to ensure the chosen quantification ions were </w:t>
      </w:r>
      <w:r w:rsidR="00E80FD1" w:rsidRPr="00542E3E">
        <w:rPr>
          <w:rFonts w:cstheme="minorHAnsi"/>
          <w:noProof/>
        </w:rPr>
        <w:t>reliable.</w:t>
      </w:r>
      <w:r w:rsidR="00E80FD1" w:rsidRPr="00542E3E">
        <w:rPr>
          <w:rFonts w:cstheme="minorHAnsi"/>
        </w:rPr>
        <w:t xml:space="preserve"> </w:t>
      </w:r>
      <w:r w:rsidRPr="00542E3E">
        <w:rPr>
          <w:rFonts w:hint="eastAsia"/>
        </w:rPr>
        <w:t>Chr</w:t>
      </w:r>
      <w:r w:rsidRPr="00542E3E">
        <w:t>omatograph</w:t>
      </w:r>
      <w:r w:rsidR="00F63042">
        <w:t>s</w:t>
      </w:r>
      <w:r w:rsidRPr="00542E3E">
        <w:t xml:space="preserve"> of </w:t>
      </w:r>
      <w:r w:rsidR="00530EE6">
        <w:t xml:space="preserve">the </w:t>
      </w:r>
      <w:r w:rsidRPr="00542E3E">
        <w:t>non-</w:t>
      </w:r>
      <w:proofErr w:type="spellStart"/>
      <w:r w:rsidR="006D6370">
        <w:t>silylated</w:t>
      </w:r>
      <w:proofErr w:type="spellEnd"/>
      <w:r w:rsidRPr="00542E3E">
        <w:t xml:space="preserve"> standard mixture (OL, OA, CBD, THC, CBN, CBDA, THCA, and CBGA) contained only 4 </w:t>
      </w:r>
      <w:r w:rsidR="005A1E60">
        <w:t xml:space="preserve">analyte </w:t>
      </w:r>
      <w:r w:rsidRPr="00542E3E">
        <w:t>peaks (OL, CBD, THC</w:t>
      </w:r>
      <w:r w:rsidR="005A1E60">
        <w:t>, and CBN</w:t>
      </w:r>
      <w:r w:rsidRPr="00542E3E">
        <w:t xml:space="preserve">). These 4 peaks were included in the </w:t>
      </w:r>
      <w:r w:rsidR="00DC44F9">
        <w:t xml:space="preserve">data </w:t>
      </w:r>
      <w:r w:rsidRPr="00542E3E">
        <w:t xml:space="preserve">processing method </w:t>
      </w:r>
      <w:r w:rsidR="00372B3F" w:rsidRPr="00542E3E">
        <w:t>to</w:t>
      </w:r>
      <w:r w:rsidRPr="00542E3E">
        <w:t xml:space="preserve"> </w:t>
      </w:r>
      <w:r w:rsidR="00DC44F9">
        <w:t xml:space="preserve">verify </w:t>
      </w:r>
      <w:r w:rsidRPr="00542E3E">
        <w:t xml:space="preserve">the complete </w:t>
      </w:r>
      <w:proofErr w:type="spellStart"/>
      <w:r w:rsidRPr="00542E3E">
        <w:t>silylation</w:t>
      </w:r>
      <w:proofErr w:type="spellEnd"/>
      <w:r w:rsidRPr="00542E3E">
        <w:t xml:space="preserve"> of the 8 compounds in various matrices.</w:t>
      </w:r>
    </w:p>
    <w:p w14:paraId="25E0492E" w14:textId="77777777" w:rsidR="00542E3E" w:rsidRPr="00542E3E" w:rsidRDefault="00542E3E" w:rsidP="00982500">
      <w:pPr>
        <w:pStyle w:val="Heading2"/>
      </w:pPr>
      <w:r w:rsidRPr="00542E3E">
        <w:lastRenderedPageBreak/>
        <w:t>Calibration curves</w:t>
      </w:r>
    </w:p>
    <w:p w14:paraId="28643C49" w14:textId="494149A7" w:rsidR="00542E3E" w:rsidRPr="00542E3E" w:rsidRDefault="00542E3E" w:rsidP="00C72F62">
      <w:pPr>
        <w:pStyle w:val="Noindent"/>
      </w:pPr>
      <w:r w:rsidRPr="00542E3E">
        <w:t xml:space="preserve">Following the internal standard method, calibration curves were built by plotting the theoretical amount ratio between each analytical standard and </w:t>
      </w:r>
      <w:r w:rsidR="00372B3F">
        <w:t>I.S.</w:t>
      </w:r>
      <w:r w:rsidRPr="00542E3E">
        <w:t xml:space="preserve"> in the derivatization mixture against their response area ratio. Linearity of O</w:t>
      </w:r>
      <w:r w:rsidR="006D6370">
        <w:t>L</w:t>
      </w:r>
      <w:r w:rsidRPr="00542E3E">
        <w:t xml:space="preserve">, CBD, THC, CBN, </w:t>
      </w:r>
      <w:r w:rsidR="006505CF" w:rsidRPr="00542E3E">
        <w:t>OA,</w:t>
      </w:r>
      <w:r w:rsidR="006505CF">
        <w:t xml:space="preserve"> </w:t>
      </w:r>
      <w:r w:rsidRPr="00542E3E">
        <w:t>CBDA, THCA, and CBGA was evaluated in two ranges, 20 – 200 ng and 500 – 3000 ng</w:t>
      </w:r>
      <w:r w:rsidR="006D6370">
        <w:t xml:space="preserve"> of each compound</w:t>
      </w:r>
      <w:r w:rsidRPr="00542E3E">
        <w:t xml:space="preserve"> in the derivatization mixture</w:t>
      </w:r>
      <w:r w:rsidR="006E7BB9">
        <w:t xml:space="preserve"> (~225</w:t>
      </w:r>
      <w:r w:rsidR="006E7BB9" w:rsidRPr="00542E3E">
        <w:t xml:space="preserve"> </w:t>
      </w:r>
      <w:r w:rsidR="006E7BB9" w:rsidRPr="00542E3E">
        <w:sym w:font="Symbol" w:char="F06D"/>
      </w:r>
      <w:r w:rsidR="006E7BB9" w:rsidRPr="00542E3E">
        <w:t>L</w:t>
      </w:r>
      <w:r w:rsidR="006E7BB9">
        <w:t>)</w:t>
      </w:r>
      <w:r w:rsidR="00F138CE">
        <w:t>.</w:t>
      </w:r>
      <w:r w:rsidRPr="00542E3E">
        <w:t xml:space="preserve"> </w:t>
      </w:r>
      <w:r w:rsidR="0064056C">
        <w:t xml:space="preserve">These two ranges were chosen based on </w:t>
      </w:r>
      <w:r w:rsidR="00A774BD">
        <w:t xml:space="preserve">the </w:t>
      </w:r>
      <w:r w:rsidR="0064056C">
        <w:t>practical needs for cannabinoids analysis in our lab</w:t>
      </w:r>
      <w:r w:rsidR="0051331C">
        <w:t xml:space="preserve"> at the time of this study</w:t>
      </w:r>
      <w:r w:rsidR="0064056C">
        <w:t xml:space="preserve">. </w:t>
      </w:r>
      <w:r w:rsidR="00F138CE">
        <w:t xml:space="preserve">Assuming the total </w:t>
      </w:r>
      <w:r w:rsidR="006D6370">
        <w:t>protocol</w:t>
      </w:r>
      <w:r w:rsidR="00F138CE">
        <w:t xml:space="preserve"> fully recovered each analyte, these ranges </w:t>
      </w:r>
      <w:r w:rsidR="0060411F">
        <w:t>corresponded</w:t>
      </w:r>
      <w:r w:rsidR="00F138CE">
        <w:t xml:space="preserve"> to 1 – 10 ppb and 25 – 150 ppb in the algae culture</w:t>
      </w:r>
      <w:r w:rsidR="006E7BB9">
        <w:t xml:space="preserve"> (50.0 mL)</w:t>
      </w:r>
      <w:r w:rsidR="00FF4EED">
        <w:t>, or about 1 – 10 ppm and 25 – 150 ppm in wet algae</w:t>
      </w:r>
      <w:r w:rsidR="006E7BB9">
        <w:t xml:space="preserve"> (~50 mg)</w:t>
      </w:r>
      <w:r w:rsidR="00823174">
        <w:t xml:space="preserve">, </w:t>
      </w:r>
      <w:r w:rsidR="00A77017">
        <w:t xml:space="preserve">taking into account </w:t>
      </w:r>
      <w:r w:rsidR="0060411F">
        <w:t xml:space="preserve">that 400 </w:t>
      </w:r>
      <w:r w:rsidR="0060411F">
        <w:rPr>
          <w:rFonts w:cstheme="minorHAnsi"/>
        </w:rPr>
        <w:t>µ</w:t>
      </w:r>
      <w:r w:rsidR="0060411F">
        <w:t>L out of the 1</w:t>
      </w:r>
      <w:r w:rsidR="006E7BB9">
        <w:t>.00</w:t>
      </w:r>
      <w:r w:rsidR="0060411F">
        <w:t xml:space="preserve"> mL methanol extract was transferred to </w:t>
      </w:r>
      <w:r w:rsidR="00DC44F9">
        <w:t>each</w:t>
      </w:r>
      <w:r w:rsidR="0060411F">
        <w:t xml:space="preserve"> SPE tube. </w:t>
      </w:r>
      <w:r w:rsidRPr="00542E3E">
        <w:t>Within each range, six levels were tested in triplicate</w:t>
      </w:r>
      <w:r w:rsidR="00831865">
        <w:t xml:space="preserve"> (3 separate preparations)</w:t>
      </w:r>
      <w:r w:rsidRPr="00542E3E">
        <w:t xml:space="preserve"> in a random order. For 20 – 200 ng: 20, 40, 80, 120, 160, and 200 ng; for 500 – 3000 ng: 500, 1000, 1500, 2000, 2500, and 3000 ng.</w:t>
      </w:r>
    </w:p>
    <w:p w14:paraId="28697671" w14:textId="59D6A31B" w:rsidR="00542E3E" w:rsidRPr="00542E3E" w:rsidRDefault="009378CD" w:rsidP="00982500">
      <w:pPr>
        <w:pStyle w:val="Heading2"/>
      </w:pPr>
      <w:r>
        <w:t>Method validation</w:t>
      </w:r>
    </w:p>
    <w:p w14:paraId="22B9578A" w14:textId="6F64FEA0" w:rsidR="00CB6A6E" w:rsidRDefault="00542E3E" w:rsidP="00C72F62">
      <w:pPr>
        <w:pStyle w:val="Noindent"/>
      </w:pPr>
      <w:r w:rsidRPr="00542E3E">
        <w:t xml:space="preserve">Selectivity was </w:t>
      </w:r>
      <w:r w:rsidR="00943A9F">
        <w:t>investigated</w:t>
      </w:r>
      <w:r w:rsidRPr="00542E3E">
        <w:t xml:space="preserve"> by analyzing the chromatographs of standards</w:t>
      </w:r>
      <w:r w:rsidR="00D34A19">
        <w:t xml:space="preserve">, </w:t>
      </w:r>
      <w:r w:rsidRPr="00542E3E">
        <w:t>spiked samples</w:t>
      </w:r>
      <w:r w:rsidR="00D34A19">
        <w:t>, and blank samples</w:t>
      </w:r>
      <w:r w:rsidR="006712A6">
        <w:t>.</w:t>
      </w:r>
      <w:r w:rsidR="00D34A19">
        <w:t xml:space="preserve"> </w:t>
      </w:r>
      <w:r w:rsidR="00FF4EED">
        <w:t>L</w:t>
      </w:r>
      <w:r w:rsidR="00FF4EED">
        <w:rPr>
          <w:rFonts w:hint="eastAsia"/>
        </w:rPr>
        <w:t>inear</w:t>
      </w:r>
      <w:r w:rsidR="00FF4EED">
        <w:t xml:space="preserve">ity </w:t>
      </w:r>
      <w:r w:rsidR="00025380">
        <w:t xml:space="preserve">was evaluated by visual inspection and regression analysis of calibration curves in the two ranges: </w:t>
      </w:r>
      <w:r w:rsidR="00025380" w:rsidRPr="00542E3E">
        <w:t>20 – 200 ng and 500 – 3000 ng</w:t>
      </w:r>
      <w:r w:rsidR="00025380">
        <w:t xml:space="preserve"> of each standard</w:t>
      </w:r>
      <w:r w:rsidR="00025380" w:rsidRPr="00542E3E">
        <w:t xml:space="preserve"> in the derivatization mixture</w:t>
      </w:r>
      <w:r w:rsidR="006E7BB9">
        <w:t xml:space="preserve"> (~225</w:t>
      </w:r>
      <w:r w:rsidR="006E7BB9" w:rsidRPr="00542E3E">
        <w:t xml:space="preserve"> </w:t>
      </w:r>
      <w:r w:rsidR="006E7BB9" w:rsidRPr="00542E3E">
        <w:sym w:font="Symbol" w:char="F06D"/>
      </w:r>
      <w:r w:rsidR="006E7BB9" w:rsidRPr="00542E3E">
        <w:t>L</w:t>
      </w:r>
      <w:r w:rsidR="006E7BB9">
        <w:t>)</w:t>
      </w:r>
      <w:r w:rsidR="00025380">
        <w:t xml:space="preserve">. </w:t>
      </w:r>
      <w:r w:rsidR="0047473A">
        <w:t xml:space="preserve">To evaluate the matrix effect, another set of standards were prepared in the corresponding SPE fractions </w:t>
      </w:r>
      <w:r w:rsidR="00456B47">
        <w:t>from a methanol extract of non-spiked algae</w:t>
      </w:r>
      <w:r w:rsidR="0047473A">
        <w:t xml:space="preserve">. Matrix effect was </w:t>
      </w:r>
      <w:r w:rsidR="00210A79">
        <w:t>calculated as the percent ratio between the slopes of the standard curves prepared in SPE fractions and in pure solvent.</w:t>
      </w:r>
      <w:r w:rsidR="00210A79" w:rsidRPr="00210A79">
        <w:t xml:space="preserve"> </w:t>
      </w:r>
    </w:p>
    <w:p w14:paraId="7083EF23" w14:textId="7D3BEDD2" w:rsidR="00CB6A6E" w:rsidRDefault="00210A79" w:rsidP="00CB6A6E">
      <w:r w:rsidRPr="00542E3E">
        <w:t>Accuracy was reported in the form of percent recovery by the assay of spiked samples.</w:t>
      </w:r>
      <w:r>
        <w:t xml:space="preserve"> T</w:t>
      </w:r>
      <w:r w:rsidR="00533E40">
        <w:t xml:space="preserve">wo sets of spiked samples at 4 spiking levels in triplicates were prepared. In </w:t>
      </w:r>
      <w:r w:rsidR="00102F0B">
        <w:t>the pre-extraction spiked samples</w:t>
      </w:r>
      <w:r w:rsidR="00533E40">
        <w:t xml:space="preserve">, </w:t>
      </w:r>
      <w:r w:rsidR="00533E40" w:rsidRPr="00542E3E">
        <w:t>100, 300, 500, and 5000 ng</w:t>
      </w:r>
      <w:r w:rsidR="00533E40">
        <w:t xml:space="preserve"> of each analyte was spiked</w:t>
      </w:r>
      <w:r w:rsidR="00533E40" w:rsidRPr="00542E3E">
        <w:t xml:space="preserve"> in wet algae</w:t>
      </w:r>
      <w:r w:rsidR="00533E40">
        <w:t xml:space="preserve"> (~50 mg) collected from 50.0 mL culture</w:t>
      </w:r>
      <w:r w:rsidR="009B48EA">
        <w:t xml:space="preserve"> before solvent extraction</w:t>
      </w:r>
      <w:r w:rsidR="00533E40">
        <w:t>.</w:t>
      </w:r>
      <w:r w:rsidR="00533E40" w:rsidRPr="00BD6977">
        <w:t xml:space="preserve"> </w:t>
      </w:r>
      <w:r w:rsidR="00533E40">
        <w:t xml:space="preserve">Considering 400 </w:t>
      </w:r>
      <w:r w:rsidR="00533E40">
        <w:rPr>
          <w:rFonts w:cstheme="minorHAnsi"/>
        </w:rPr>
        <w:t>µ</w:t>
      </w:r>
      <w:r w:rsidR="00533E40">
        <w:t>L out of 1</w:t>
      </w:r>
      <w:r w:rsidR="00B22A86">
        <w:t>.00</w:t>
      </w:r>
      <w:r w:rsidR="00533E40">
        <w:t xml:space="preserve"> mL methanol extract was transferred to each SPE, these corresponded to 40, 120, 200, and 2000 ng in the derivatization mixture</w:t>
      </w:r>
      <w:r w:rsidR="003E5128" w:rsidRPr="003E5128">
        <w:t xml:space="preserve"> </w:t>
      </w:r>
      <w:r w:rsidR="003E5128">
        <w:t>as targeted levels</w:t>
      </w:r>
      <w:r w:rsidR="00533E40">
        <w:t xml:space="preserve">. In the </w:t>
      </w:r>
      <w:r w:rsidR="00102F0B">
        <w:t>post-SPE spiked samples</w:t>
      </w:r>
      <w:r w:rsidR="00533E40">
        <w:t xml:space="preserve">, 40, 120, 200, and 2000 ng of each analyte was spiked in SPE fractions </w:t>
      </w:r>
      <w:r w:rsidR="003E5128">
        <w:t xml:space="preserve">from </w:t>
      </w:r>
      <w:r w:rsidR="00533E40">
        <w:t xml:space="preserve">a methanol extract </w:t>
      </w:r>
      <w:r w:rsidR="003E5128">
        <w:t>of</w:t>
      </w:r>
      <w:r w:rsidR="00533E40">
        <w:t xml:space="preserve"> non-spiked algae matrix. Recovery rate</w:t>
      </w:r>
      <w:r w:rsidR="009B48EA">
        <w:t xml:space="preserve"> (%)</w:t>
      </w:r>
      <w:r w:rsidR="00533E40">
        <w:t xml:space="preserve"> was calculated using the response area ratio between analytes and I.S. in the pre-extraction spiked samples and dividing by the area ratio in the post-SPE spiked samples and multiplying by 100. </w:t>
      </w:r>
    </w:p>
    <w:p w14:paraId="34C964CF" w14:textId="701531DC" w:rsidR="00CB6A6E" w:rsidRDefault="00A60D24" w:rsidP="00CB6A6E">
      <w:r>
        <w:t>P</w:t>
      </w:r>
      <w:r w:rsidR="00542E3E" w:rsidRPr="00542E3E">
        <w:t>recision was expressed as relative standard deviation</w:t>
      </w:r>
      <w:r w:rsidR="00932650">
        <w:t xml:space="preserve"> </w:t>
      </w:r>
      <w:r w:rsidR="00542E3E" w:rsidRPr="00542E3E">
        <w:t xml:space="preserve">(RSD). </w:t>
      </w:r>
      <w:r w:rsidR="00AB6BF1">
        <w:t xml:space="preserve">Repeatability was evaluated by analyzing </w:t>
      </w:r>
      <w:r w:rsidR="00C333CB">
        <w:t xml:space="preserve">three </w:t>
      </w:r>
      <w:r w:rsidR="00D5350A">
        <w:t xml:space="preserve">individual </w:t>
      </w:r>
      <w:r w:rsidR="00C333CB">
        <w:t xml:space="preserve">samples at each of the 4 spiking levels </w:t>
      </w:r>
      <w:r w:rsidR="007C5B25">
        <w:t xml:space="preserve">on the same day </w:t>
      </w:r>
      <w:r w:rsidR="00D5350A">
        <w:t xml:space="preserve">and calculating the intraday precision of the analysis. </w:t>
      </w:r>
      <w:r w:rsidR="00932650" w:rsidRPr="00542E3E">
        <w:t xml:space="preserve">To estimate the intermediate precision, replications </w:t>
      </w:r>
      <w:r w:rsidR="00D5350A">
        <w:t xml:space="preserve">at each of the 4 spiking levels </w:t>
      </w:r>
      <w:r w:rsidR="00932650" w:rsidRPr="00542E3E">
        <w:t xml:space="preserve">were performed on different days using </w:t>
      </w:r>
      <w:r w:rsidR="00932650">
        <w:t xml:space="preserve">new </w:t>
      </w:r>
      <w:r w:rsidR="00932650" w:rsidRPr="00542E3E">
        <w:t xml:space="preserve">preparations of reagents, </w:t>
      </w:r>
      <w:r w:rsidR="007C5B25">
        <w:t xml:space="preserve">different batches of algae, </w:t>
      </w:r>
      <w:r w:rsidR="00932650" w:rsidRPr="00542E3E">
        <w:t>various sample storage time, new calibration curves</w:t>
      </w:r>
      <w:r w:rsidR="00932650">
        <w:t>,</w:t>
      </w:r>
      <w:r w:rsidR="00932650" w:rsidRPr="00932650">
        <w:t xml:space="preserve"> </w:t>
      </w:r>
      <w:r w:rsidR="00932650" w:rsidRPr="00542E3E">
        <w:t>different batches of SPE columns,</w:t>
      </w:r>
      <w:r w:rsidR="00932650">
        <w:t xml:space="preserve"> and varied </w:t>
      </w:r>
      <w:proofErr w:type="spellStart"/>
      <w:r w:rsidR="00932650">
        <w:t>silylation</w:t>
      </w:r>
      <w:proofErr w:type="spellEnd"/>
      <w:r w:rsidR="00932650">
        <w:t xml:space="preserve"> time (30 – 60 min) at random</w:t>
      </w:r>
      <w:r w:rsidR="00932650" w:rsidRPr="00542E3E">
        <w:t>. R</w:t>
      </w:r>
      <w:r w:rsidR="00932650">
        <w:t>S</w:t>
      </w:r>
      <w:r w:rsidR="007C5B25">
        <w:t>Ds</w:t>
      </w:r>
      <w:r w:rsidR="00932650">
        <w:t xml:space="preserve"> </w:t>
      </w:r>
      <w:r w:rsidR="0078671C">
        <w:t>of these replicates</w:t>
      </w:r>
      <w:r w:rsidR="00932650" w:rsidRPr="00542E3E">
        <w:t xml:space="preserve"> represented the degree of agreement when operating conditions</w:t>
      </w:r>
      <w:r w:rsidR="00927313">
        <w:t>, except for analyst and instrument,</w:t>
      </w:r>
      <w:r w:rsidR="00932650" w:rsidRPr="00542E3E">
        <w:t xml:space="preserve"> were as different as possible.</w:t>
      </w:r>
      <w:r w:rsidR="0078671C">
        <w:t xml:space="preserve"> </w:t>
      </w:r>
      <w:r w:rsidR="00927313">
        <w:t xml:space="preserve">We </w:t>
      </w:r>
      <w:r w:rsidR="00294D78">
        <w:t>referred</w:t>
      </w:r>
      <w:r w:rsidR="00927313">
        <w:t xml:space="preserve"> </w:t>
      </w:r>
      <w:r w:rsidR="00294D78">
        <w:t xml:space="preserve">to </w:t>
      </w:r>
      <w:r w:rsidR="00927313">
        <w:t>these RSD</w:t>
      </w:r>
      <w:r w:rsidR="007C5B25">
        <w:t>s</w:t>
      </w:r>
      <w:r w:rsidR="00927313">
        <w:t xml:space="preserve"> as </w:t>
      </w:r>
      <w:r w:rsidR="00294D78">
        <w:t>“</w:t>
      </w:r>
      <w:proofErr w:type="spellStart"/>
      <w:r w:rsidR="00927313">
        <w:t>interday</w:t>
      </w:r>
      <w:proofErr w:type="spellEnd"/>
      <w:r w:rsidR="00927313">
        <w:t xml:space="preserve"> precision</w:t>
      </w:r>
      <w:r w:rsidR="00294D78">
        <w:t>”</w:t>
      </w:r>
      <w:r w:rsidR="00927313">
        <w:t xml:space="preserve"> to differentiate </w:t>
      </w:r>
      <w:r w:rsidR="007C5B25">
        <w:t>it</w:t>
      </w:r>
      <w:r w:rsidR="00927313">
        <w:t xml:space="preserve"> from the </w:t>
      </w:r>
      <w:r w:rsidR="00294D78">
        <w:t>strict</w:t>
      </w:r>
      <w:r w:rsidR="00927313">
        <w:t xml:space="preserve"> term of “intermediate precision”, which often involves multiple instruments and multiple analysts.</w:t>
      </w:r>
      <w:r w:rsidR="00932650" w:rsidRPr="00542E3E">
        <w:t xml:space="preserve"> </w:t>
      </w:r>
    </w:p>
    <w:p w14:paraId="70F1902F" w14:textId="4661F950" w:rsidR="00542E3E" w:rsidRDefault="00542E3E" w:rsidP="00456B47">
      <w:r w:rsidRPr="00542E3E">
        <w:t xml:space="preserve">Stability of </w:t>
      </w:r>
      <w:proofErr w:type="spellStart"/>
      <w:r w:rsidR="00456B47">
        <w:t>silylated</w:t>
      </w:r>
      <w:proofErr w:type="spellEnd"/>
      <w:r w:rsidR="00456B47">
        <w:t xml:space="preserve"> </w:t>
      </w:r>
      <w:r w:rsidRPr="00542E3E">
        <w:t xml:space="preserve">analytes </w:t>
      </w:r>
      <w:r w:rsidR="00456B47">
        <w:t>were evaluated</w:t>
      </w:r>
      <w:r w:rsidR="00624CFA">
        <w:t xml:space="preserve"> using t</w:t>
      </w:r>
      <w:r w:rsidR="00456B47">
        <w:t xml:space="preserve">welve samples, each containing 3000 ng of </w:t>
      </w:r>
      <w:r w:rsidR="00456B47" w:rsidRPr="00542E3E">
        <w:t>OL, OA, CBD, THC, CBN, CBDA, THCA, and CBGA</w:t>
      </w:r>
      <w:r w:rsidR="00624CFA">
        <w:t xml:space="preserve">. </w:t>
      </w:r>
      <w:r w:rsidRPr="00542E3E">
        <w:t>To assess analyte</w:t>
      </w:r>
      <w:r w:rsidR="00EF734A">
        <w:t>s’</w:t>
      </w:r>
      <w:r w:rsidRPr="00542E3E">
        <w:t xml:space="preserve"> stability at room temperature, </w:t>
      </w:r>
      <w:r w:rsidR="00456B47">
        <w:t xml:space="preserve">3 </w:t>
      </w:r>
      <w:r w:rsidRPr="00542E3E">
        <w:t xml:space="preserve">samples </w:t>
      </w:r>
      <w:r w:rsidR="00456B47">
        <w:t xml:space="preserve">in the derivatization mixture (without evaporation and reconstitution in hexane) and 3 samples in hexane </w:t>
      </w:r>
      <w:r w:rsidRPr="00542E3E">
        <w:t xml:space="preserve">were analyzed </w:t>
      </w:r>
      <w:r w:rsidR="007C5B25">
        <w:t xml:space="preserve">every day </w:t>
      </w:r>
      <w:r w:rsidRPr="00542E3E">
        <w:t>from Day 1 to Day 5. For stability at</w:t>
      </w:r>
      <w:r w:rsidR="00E62689">
        <w:t xml:space="preserve"> -2</w:t>
      </w:r>
      <w:r w:rsidR="00E62689" w:rsidRPr="00542E3E">
        <w:t>0</w:t>
      </w:r>
      <w:r w:rsidR="00E62689">
        <w:rPr>
          <w:rFonts w:ascii="Calibri" w:hAnsi="Calibri"/>
        </w:rPr>
        <w:t>°</w:t>
      </w:r>
      <w:r w:rsidR="00E62689">
        <w:t>C</w:t>
      </w:r>
      <w:r w:rsidRPr="00542E3E">
        <w:t xml:space="preserve">, </w:t>
      </w:r>
      <w:r w:rsidR="00456B47">
        <w:t xml:space="preserve">another set of 3 </w:t>
      </w:r>
      <w:r w:rsidRPr="00542E3E">
        <w:t>samples</w:t>
      </w:r>
      <w:r w:rsidR="00456B47">
        <w:t xml:space="preserve"> </w:t>
      </w:r>
      <w:r w:rsidR="00456B47">
        <w:lastRenderedPageBreak/>
        <w:t xml:space="preserve">in the derivatization mixture and 3 samples in hexane </w:t>
      </w:r>
      <w:r w:rsidRPr="00542E3E">
        <w:t xml:space="preserve">were </w:t>
      </w:r>
      <w:r w:rsidR="00456B47">
        <w:t>analyzed</w:t>
      </w:r>
      <w:r w:rsidRPr="00542E3E">
        <w:t xml:space="preserve"> on Day 4, Day 6, and Day 8. </w:t>
      </w:r>
      <w:r w:rsidR="00456B47">
        <w:t xml:space="preserve">Sample vials were re-capped after each analysis. </w:t>
      </w:r>
    </w:p>
    <w:p w14:paraId="7E3551AF" w14:textId="77777777" w:rsidR="00542E3E" w:rsidRPr="00542E3E" w:rsidRDefault="00542E3E" w:rsidP="00982500">
      <w:pPr>
        <w:pStyle w:val="Heading2"/>
      </w:pPr>
      <w:r w:rsidRPr="00542E3E">
        <w:t xml:space="preserve">Statistical analysis </w:t>
      </w:r>
    </w:p>
    <w:p w14:paraId="5E8B9518" w14:textId="17A68EA7" w:rsidR="00542E3E" w:rsidRPr="00542E3E" w:rsidRDefault="00542E3E" w:rsidP="00C72F62">
      <w:pPr>
        <w:pStyle w:val="Noindent"/>
      </w:pPr>
      <w:r w:rsidRPr="00542E3E">
        <w:t xml:space="preserve">Statistical analysis was performed using IBM SPSS Statistics. </w:t>
      </w:r>
      <w:r w:rsidRPr="00542E3E">
        <w:rPr>
          <w:rFonts w:hint="eastAsia"/>
        </w:rPr>
        <w:t>Cur</w:t>
      </w:r>
      <w:r w:rsidRPr="00542E3E">
        <w:t xml:space="preserve">ve estimation </w:t>
      </w:r>
      <w:r w:rsidR="004A38DA">
        <w:t>including</w:t>
      </w:r>
      <w:r w:rsidRPr="00542E3E">
        <w:t xml:space="preserve"> various models was carried out on the calibration standards. </w:t>
      </w:r>
      <w:r w:rsidR="004A38DA">
        <w:t>M</w:t>
      </w:r>
      <w:r w:rsidR="004A38DA" w:rsidRPr="00542E3E">
        <w:t xml:space="preserve">ultiple R, R squared, adjusted R squared, standard error, and mean squared error </w:t>
      </w:r>
      <w:r w:rsidR="004A38DA">
        <w:t>of</w:t>
      </w:r>
      <w:r w:rsidR="004A38DA" w:rsidRPr="00542E3E">
        <w:t xml:space="preserve"> those models</w:t>
      </w:r>
      <w:r w:rsidR="004A38DA">
        <w:t xml:space="preserve"> were compared. </w:t>
      </w:r>
      <w:r w:rsidRPr="00542E3E">
        <w:t xml:space="preserve">Residuals from simple linear regression were examined for heteroscedasticity. General </w:t>
      </w:r>
      <w:r w:rsidRPr="00542E3E">
        <w:rPr>
          <w:rFonts w:hint="eastAsia"/>
        </w:rPr>
        <w:t>linear</w:t>
      </w:r>
      <w:r w:rsidRPr="00542E3E">
        <w:t xml:space="preserve"> model multivariate tests were performed to investigate: 1) effect of extraction solvents on compounds’ recovery, 2) effect of concentration on compounds’ recovery by SPE columns, and 3) stability of analytes over time. Post Hoc Ryan-</w:t>
      </w:r>
      <w:proofErr w:type="spellStart"/>
      <w:r w:rsidRPr="00542E3E">
        <w:t>Einot</w:t>
      </w:r>
      <w:proofErr w:type="spellEnd"/>
      <w:r w:rsidRPr="00542E3E">
        <w:t>-Gabriel-Welsch</w:t>
      </w:r>
      <w:r w:rsidR="00A60B13">
        <w:t xml:space="preserve"> and </w:t>
      </w:r>
      <w:proofErr w:type="spellStart"/>
      <w:r w:rsidR="00A60B13">
        <w:t>Quiot</w:t>
      </w:r>
      <w:proofErr w:type="spellEnd"/>
      <w:r w:rsidRPr="00542E3E">
        <w:t xml:space="preserve"> (REGW</w:t>
      </w:r>
      <w:r w:rsidR="00BE3EB3">
        <w:t>Q</w:t>
      </w:r>
      <w:r w:rsidRPr="00542E3E">
        <w:t>) test was used at 95% confidence level to separate means</w:t>
      </w:r>
      <w:r w:rsidR="00DB7D99">
        <w:t xml:space="preserve">, as REGWQ test is great at </w:t>
      </w:r>
      <w:r w:rsidR="00A60B13">
        <w:t>controlling</w:t>
      </w:r>
      <w:r w:rsidR="00DB7D99">
        <w:t xml:space="preserve"> </w:t>
      </w:r>
      <w:r w:rsidR="00BE3EB3">
        <w:t xml:space="preserve">type </w:t>
      </w:r>
      <w:r w:rsidR="00DB7D99">
        <w:t>I</w:t>
      </w:r>
      <w:r w:rsidR="00BE3EB3">
        <w:t xml:space="preserve"> error</w:t>
      </w:r>
      <w:r w:rsidR="00A60B13">
        <w:t xml:space="preserve"> while</w:t>
      </w:r>
      <w:r w:rsidR="00DB7D99">
        <w:t xml:space="preserve"> </w:t>
      </w:r>
      <w:r w:rsidR="00BE3EB3">
        <w:t>retain</w:t>
      </w:r>
      <w:r w:rsidR="00DB7D99">
        <w:t xml:space="preserve">ing </w:t>
      </w:r>
      <w:r w:rsidR="00A60B13">
        <w:t xml:space="preserve">a </w:t>
      </w:r>
      <w:r w:rsidR="00BE3EB3">
        <w:t>statistical power</w:t>
      </w:r>
      <w:r w:rsidR="00A60B13">
        <w:t xml:space="preserve"> higher than that of Tukey</w:t>
      </w:r>
      <w:r w:rsidR="00EF734A">
        <w:t>’s test</w:t>
      </w:r>
      <w:r w:rsidR="00F831AB">
        <w:t xml:space="preserve"> </w:t>
      </w:r>
      <w:r w:rsidR="00F831AB">
        <w:rPr>
          <w:noProof/>
        </w:rPr>
        <w:t>(Omer, 2013)</w:t>
      </w:r>
      <w:r w:rsidR="00A60B13">
        <w:t>.</w:t>
      </w:r>
    </w:p>
    <w:p w14:paraId="3659875B" w14:textId="106C429C" w:rsidR="00542E3E" w:rsidRPr="00982500" w:rsidRDefault="00542E3E" w:rsidP="00384856">
      <w:pPr>
        <w:pStyle w:val="Heading1"/>
      </w:pPr>
      <w:r w:rsidRPr="00982500">
        <w:t>Results and Discussion</w:t>
      </w:r>
    </w:p>
    <w:p w14:paraId="38F7C06D" w14:textId="0019A902" w:rsidR="00867024" w:rsidRDefault="00F802F1" w:rsidP="00982500">
      <w:pPr>
        <w:pStyle w:val="Heading2"/>
      </w:pPr>
      <w:r>
        <w:t xml:space="preserve">GC-MS </w:t>
      </w:r>
      <w:r w:rsidR="00D06B29">
        <w:t>m</w:t>
      </w:r>
      <w:r w:rsidR="00C23AEA">
        <w:t>ethod development</w:t>
      </w:r>
    </w:p>
    <w:p w14:paraId="4627EF9C" w14:textId="19F1D898" w:rsidR="00FA40B4" w:rsidRDefault="00517B0B" w:rsidP="00C72F62">
      <w:pPr>
        <w:pStyle w:val="Noindent"/>
        <w:rPr>
          <w:noProof/>
        </w:rPr>
      </w:pPr>
      <w:r>
        <w:t>A GC-MS method in</w:t>
      </w:r>
      <w:r w:rsidR="005F48D0">
        <w:t xml:space="preserve"> the</w:t>
      </w:r>
      <w:r>
        <w:t xml:space="preserve"> </w:t>
      </w:r>
      <w:r w:rsidR="00CC4F2A">
        <w:t>Recommended Methods for the Identification and Analysis of Cannabis and Cannabis Products by United Nations Office on Drugs and Crime</w:t>
      </w:r>
      <w:r w:rsidR="00DE1EAD">
        <w:t xml:space="preserve"> </w:t>
      </w:r>
      <w:r w:rsidRPr="00517B0B">
        <w:rPr>
          <w:rFonts w:ascii="Calibri" w:hAnsi="Calibri" w:cs="Calibri"/>
        </w:rPr>
        <w:t>(2009)</w:t>
      </w:r>
      <w:r w:rsidR="00266D18">
        <w:t xml:space="preserve"> was </w:t>
      </w:r>
      <w:r>
        <w:t>adapted</w:t>
      </w:r>
      <w:r w:rsidR="00266D18">
        <w:t xml:space="preserve">. </w:t>
      </w:r>
      <w:r w:rsidR="00513420">
        <w:t xml:space="preserve">The </w:t>
      </w:r>
      <w:r w:rsidR="00DF2FF2">
        <w:t xml:space="preserve">GC </w:t>
      </w:r>
      <w:r w:rsidR="00964F2B">
        <w:t xml:space="preserve">oven </w:t>
      </w:r>
      <w:r w:rsidR="00D6142F">
        <w:t xml:space="preserve">starting temperature was lowered and </w:t>
      </w:r>
      <w:r w:rsidR="00513420">
        <w:t xml:space="preserve">the </w:t>
      </w:r>
      <w:r w:rsidR="00D6142F">
        <w:t>temperature program</w:t>
      </w:r>
      <w:r w:rsidR="00DF2FF2">
        <w:t xml:space="preserve"> was elongated to </w:t>
      </w:r>
      <w:r w:rsidR="008144C3">
        <w:t xml:space="preserve">resolve the peaks </w:t>
      </w:r>
      <w:r w:rsidR="00DF2FF2">
        <w:t xml:space="preserve">of </w:t>
      </w:r>
      <w:proofErr w:type="spellStart"/>
      <w:r w:rsidR="00E73693">
        <w:t>silylated</w:t>
      </w:r>
      <w:proofErr w:type="spellEnd"/>
      <w:r w:rsidR="00F2341D">
        <w:t xml:space="preserve"> </w:t>
      </w:r>
      <w:r w:rsidR="00DF2FF2">
        <w:t>short-chain carboxylic acids</w:t>
      </w:r>
      <w:r w:rsidR="00F2341D">
        <w:t>, dicarboxylic acids, tricarboxylic acids,</w:t>
      </w:r>
      <w:r w:rsidR="00DF2FF2">
        <w:t xml:space="preserve"> and ketone acids</w:t>
      </w:r>
      <w:r w:rsidR="00F2341D">
        <w:t xml:space="preserve"> of </w:t>
      </w:r>
      <w:r w:rsidR="00D417A2">
        <w:t xml:space="preserve">metabolic importance (data not shown). </w:t>
      </w:r>
      <w:proofErr w:type="spellStart"/>
      <w:r w:rsidR="006A3B69">
        <w:t>Silylation</w:t>
      </w:r>
      <w:proofErr w:type="spellEnd"/>
      <w:r w:rsidR="006A3B69">
        <w:t xml:space="preserve"> </w:t>
      </w:r>
      <w:r w:rsidR="003E5E00">
        <w:t>with</w:t>
      </w:r>
      <w:r w:rsidR="00CD568F">
        <w:t xml:space="preserve"> 100 </w:t>
      </w:r>
      <w:r w:rsidR="00CD568F">
        <w:rPr>
          <w:rFonts w:cstheme="minorHAnsi"/>
        </w:rPr>
        <w:t>µL</w:t>
      </w:r>
      <w:r w:rsidR="003E5E00">
        <w:t xml:space="preserve"> MSTFA </w:t>
      </w:r>
      <w:r w:rsidR="006A3B69">
        <w:t xml:space="preserve">in </w:t>
      </w:r>
      <w:r w:rsidR="00CD568F">
        <w:t>1.5 mL</w:t>
      </w:r>
      <w:r w:rsidR="00CD568F" w:rsidRPr="00CD568F">
        <w:t xml:space="preserve"> </w:t>
      </w:r>
      <w:r w:rsidR="00CD568F">
        <w:t xml:space="preserve">chloroform </w:t>
      </w:r>
      <w:bookmarkStart w:id="3" w:name="_Hlk39238826"/>
      <w:r w:rsidR="00CD568F">
        <w:t>at 70</w:t>
      </w:r>
      <w:r w:rsidR="00FC3078">
        <w:t xml:space="preserve"> </w:t>
      </w:r>
      <w:r w:rsidR="00FC3078">
        <w:rPr>
          <w:rFonts w:ascii="Calibri" w:hAnsi="Calibri"/>
        </w:rPr>
        <w:t>°</w:t>
      </w:r>
      <w:r w:rsidR="00FC3078">
        <w:t xml:space="preserve">C </w:t>
      </w:r>
      <w:r w:rsidR="00CD568F">
        <w:t>for 30 min</w:t>
      </w:r>
      <w:bookmarkEnd w:id="3"/>
      <w:r w:rsidR="003E5E00">
        <w:t xml:space="preserve">, as suggested in the </w:t>
      </w:r>
      <w:r w:rsidR="001D083D">
        <w:t xml:space="preserve">UN </w:t>
      </w:r>
      <w:r w:rsidR="003E5E00">
        <w:t>manual</w:t>
      </w:r>
      <w:r w:rsidR="00E73693">
        <w:t xml:space="preserve"> for THCA analysis, did not apply to </w:t>
      </w:r>
      <w:r>
        <w:t>all</w:t>
      </w:r>
      <w:r w:rsidR="00E73693">
        <w:t xml:space="preserve"> </w:t>
      </w:r>
      <w:r>
        <w:t>the</w:t>
      </w:r>
      <w:r w:rsidR="00E73693">
        <w:t xml:space="preserve"> compounds of </w:t>
      </w:r>
      <w:r>
        <w:t xml:space="preserve">our </w:t>
      </w:r>
      <w:r w:rsidR="00E73693">
        <w:t>interest; derivatization was not complete for THC</w:t>
      </w:r>
      <w:r w:rsidR="00DE02FB">
        <w:t xml:space="preserve"> and </w:t>
      </w:r>
      <w:r w:rsidR="00E73693">
        <w:t>CBD</w:t>
      </w:r>
      <w:r w:rsidR="00A422C7">
        <w:t xml:space="preserve">, </w:t>
      </w:r>
      <w:r w:rsidR="00FC3078">
        <w:t xml:space="preserve">as </w:t>
      </w:r>
      <w:r w:rsidR="00A422C7">
        <w:t xml:space="preserve">demonstrated by </w:t>
      </w:r>
      <w:r w:rsidR="00616F27">
        <w:t xml:space="preserve">the presence of </w:t>
      </w:r>
      <w:r w:rsidR="00A422C7">
        <w:t xml:space="preserve">chromatographic peaks </w:t>
      </w:r>
      <w:r w:rsidR="00616F27">
        <w:t>for</w:t>
      </w:r>
      <w:r w:rsidR="00A422C7">
        <w:t xml:space="preserve"> non-</w:t>
      </w:r>
      <w:proofErr w:type="spellStart"/>
      <w:r w:rsidR="00616F27">
        <w:t>silylated</w:t>
      </w:r>
      <w:proofErr w:type="spellEnd"/>
      <w:r w:rsidR="00A422C7">
        <w:t xml:space="preserve"> forms of these compounds</w:t>
      </w:r>
      <w:r w:rsidR="00DE02FB">
        <w:t xml:space="preserve"> (data not shown)</w:t>
      </w:r>
      <w:r w:rsidR="00E73693">
        <w:t xml:space="preserve">. </w:t>
      </w:r>
      <w:r w:rsidR="006B2A7F">
        <w:t xml:space="preserve">Derivatization </w:t>
      </w:r>
      <w:r w:rsidR="00616F27">
        <w:t xml:space="preserve">using 75 </w:t>
      </w:r>
      <w:r w:rsidR="00616F27">
        <w:rPr>
          <w:rFonts w:cstheme="minorHAnsi"/>
        </w:rPr>
        <w:t>µ</w:t>
      </w:r>
      <w:r w:rsidR="00616F27">
        <w:t xml:space="preserve">L pyridine and 150 </w:t>
      </w:r>
      <w:r w:rsidR="00616F27">
        <w:rPr>
          <w:rFonts w:cstheme="minorHAnsi"/>
        </w:rPr>
        <w:t>µ</w:t>
      </w:r>
      <w:r w:rsidR="00616F27">
        <w:t>L MSTFA (with 2% TMCS) at 70</w:t>
      </w:r>
      <w:r w:rsidR="00FC3078">
        <w:t xml:space="preserve"> </w:t>
      </w:r>
      <w:r w:rsidR="00FC3078">
        <w:rPr>
          <w:rFonts w:ascii="Calibri" w:hAnsi="Calibri"/>
        </w:rPr>
        <w:t>°</w:t>
      </w:r>
      <w:r w:rsidR="00FC3078">
        <w:t xml:space="preserve">C </w:t>
      </w:r>
      <w:r w:rsidR="00616F27">
        <w:t xml:space="preserve">for 45 min </w:t>
      </w:r>
      <w:r w:rsidR="001D083D">
        <w:t xml:space="preserve">achieved complete </w:t>
      </w:r>
      <w:proofErr w:type="spellStart"/>
      <w:r w:rsidR="001D083D">
        <w:t>silylation</w:t>
      </w:r>
      <w:proofErr w:type="spellEnd"/>
      <w:r w:rsidR="001D083D">
        <w:t xml:space="preserve"> of </w:t>
      </w:r>
      <w:r w:rsidR="001D083D" w:rsidRPr="00542E3E">
        <w:t>OL, OA, CBD, THC, CBDA, THCA, and CBGA</w:t>
      </w:r>
      <w:r w:rsidR="00616F27">
        <w:t xml:space="preserve"> and was chosen as the ultimate method</w:t>
      </w:r>
      <w:r w:rsidR="001D083D">
        <w:t xml:space="preserve">. </w:t>
      </w:r>
      <w:r w:rsidR="00266CB2" w:rsidRPr="00542E3E">
        <w:rPr>
          <w:noProof/>
        </w:rPr>
        <w:t xml:space="preserve">In the literature, </w:t>
      </w:r>
      <w:r w:rsidR="008922DC">
        <w:rPr>
          <w:noProof/>
        </w:rPr>
        <w:t>silylated</w:t>
      </w:r>
      <w:r w:rsidR="00266CB2" w:rsidRPr="00542E3E">
        <w:rPr>
          <w:noProof/>
        </w:rPr>
        <w:t xml:space="preserve"> samples were either directly injected for GC-MS analysis </w:t>
      </w:r>
      <w:r w:rsidR="00D744C9" w:rsidRPr="00D744C9">
        <w:rPr>
          <w:rFonts w:ascii="Calibri" w:hAnsi="Calibri" w:cs="Calibri"/>
          <w:szCs w:val="24"/>
        </w:rPr>
        <w:t xml:space="preserve">(Fodor, </w:t>
      </w:r>
      <w:proofErr w:type="spellStart"/>
      <w:r w:rsidR="00D744C9" w:rsidRPr="00D744C9">
        <w:rPr>
          <w:rFonts w:ascii="Calibri" w:hAnsi="Calibri" w:cs="Calibri"/>
          <w:szCs w:val="24"/>
        </w:rPr>
        <w:t>Boldizsár</w:t>
      </w:r>
      <w:proofErr w:type="spellEnd"/>
      <w:r w:rsidR="00D744C9" w:rsidRPr="00D744C9">
        <w:rPr>
          <w:rFonts w:ascii="Calibri" w:hAnsi="Calibri" w:cs="Calibri"/>
          <w:szCs w:val="24"/>
        </w:rPr>
        <w:t xml:space="preserve">, &amp; </w:t>
      </w:r>
      <w:proofErr w:type="spellStart"/>
      <w:r w:rsidR="00D744C9" w:rsidRPr="00D744C9">
        <w:rPr>
          <w:rFonts w:ascii="Calibri" w:hAnsi="Calibri" w:cs="Calibri"/>
          <w:szCs w:val="24"/>
        </w:rPr>
        <w:t>Molnár</w:t>
      </w:r>
      <w:proofErr w:type="spellEnd"/>
      <w:r w:rsidR="00D744C9" w:rsidRPr="00D744C9">
        <w:rPr>
          <w:rFonts w:ascii="Calibri" w:hAnsi="Calibri" w:cs="Calibri"/>
          <w:szCs w:val="24"/>
        </w:rPr>
        <w:t>-Perl, 2018; Tan, Clomburg, &amp; Gonzalez, 2018)</w:t>
      </w:r>
      <w:r w:rsidR="00266CB2">
        <w:rPr>
          <w:noProof/>
        </w:rPr>
        <w:t xml:space="preserve"> </w:t>
      </w:r>
      <w:r w:rsidR="00266CB2" w:rsidRPr="00542E3E">
        <w:rPr>
          <w:noProof/>
        </w:rPr>
        <w:t xml:space="preserve">or evaporated and reconstitued in hexane </w:t>
      </w:r>
      <w:r w:rsidR="007B21CF" w:rsidRPr="007B21CF">
        <w:rPr>
          <w:rFonts w:ascii="Calibri" w:hAnsi="Calibri" w:cs="Calibri"/>
        </w:rPr>
        <w:t>(</w:t>
      </w:r>
      <w:proofErr w:type="spellStart"/>
      <w:r w:rsidR="007B21CF" w:rsidRPr="007B21CF">
        <w:rPr>
          <w:rFonts w:ascii="Calibri" w:hAnsi="Calibri" w:cs="Calibri"/>
        </w:rPr>
        <w:t>Cardenia</w:t>
      </w:r>
      <w:proofErr w:type="spellEnd"/>
      <w:r w:rsidR="007B21CF" w:rsidRPr="007B21CF">
        <w:rPr>
          <w:rFonts w:ascii="Calibri" w:hAnsi="Calibri" w:cs="Calibri"/>
        </w:rPr>
        <w:t xml:space="preserve">, </w:t>
      </w:r>
      <w:proofErr w:type="spellStart"/>
      <w:r w:rsidR="007B21CF" w:rsidRPr="007B21CF">
        <w:rPr>
          <w:rFonts w:ascii="Calibri" w:hAnsi="Calibri" w:cs="Calibri"/>
        </w:rPr>
        <w:t>Gallina</w:t>
      </w:r>
      <w:proofErr w:type="spellEnd"/>
      <w:r w:rsidR="007B21CF" w:rsidRPr="007B21CF">
        <w:rPr>
          <w:rFonts w:ascii="Calibri" w:hAnsi="Calibri" w:cs="Calibri"/>
        </w:rPr>
        <w:t xml:space="preserve"> Toschi, </w:t>
      </w:r>
      <w:proofErr w:type="spellStart"/>
      <w:r w:rsidR="007B21CF" w:rsidRPr="007B21CF">
        <w:rPr>
          <w:rFonts w:ascii="Calibri" w:hAnsi="Calibri" w:cs="Calibri"/>
        </w:rPr>
        <w:t>Scappini</w:t>
      </w:r>
      <w:proofErr w:type="spellEnd"/>
      <w:r w:rsidR="007B21CF" w:rsidRPr="007B21CF">
        <w:rPr>
          <w:rFonts w:ascii="Calibri" w:hAnsi="Calibri" w:cs="Calibri"/>
        </w:rPr>
        <w:t>, Rubino, &amp; Rodriguez-Estrada, 2018)</w:t>
      </w:r>
      <w:r w:rsidR="00266CB2" w:rsidRPr="00542E3E">
        <w:rPr>
          <w:noProof/>
        </w:rPr>
        <w:t>. In this study, we found that reconstitution in hexane significantly changed the assay results for OL, THC, CBDA, THCA, and CBGA</w:t>
      </w:r>
      <w:r w:rsidR="00A20589">
        <w:rPr>
          <w:noProof/>
        </w:rPr>
        <w:t xml:space="preserve"> (Fig</w:t>
      </w:r>
      <w:r w:rsidR="00F26FBF">
        <w:rPr>
          <w:noProof/>
        </w:rPr>
        <w:t>.</w:t>
      </w:r>
      <w:r w:rsidR="00A20589">
        <w:rPr>
          <w:noProof/>
        </w:rPr>
        <w:t xml:space="preserve"> 1)</w:t>
      </w:r>
      <w:r w:rsidR="00266CB2" w:rsidRPr="00542E3E">
        <w:rPr>
          <w:noProof/>
        </w:rPr>
        <w:t xml:space="preserve">. Only half of the OL was detected after this extra step. </w:t>
      </w:r>
      <w:r w:rsidR="00495E42">
        <w:rPr>
          <w:noProof/>
        </w:rPr>
        <w:t>F</w:t>
      </w:r>
      <w:r w:rsidR="00266CB2" w:rsidRPr="00542E3E">
        <w:rPr>
          <w:noProof/>
        </w:rPr>
        <w:t>or all the other compounds, the detected amount</w:t>
      </w:r>
      <w:r w:rsidR="00486E43">
        <w:rPr>
          <w:noProof/>
        </w:rPr>
        <w:t>s were</w:t>
      </w:r>
      <w:r w:rsidR="00266CB2" w:rsidRPr="00542E3E">
        <w:rPr>
          <w:noProof/>
        </w:rPr>
        <w:t xml:space="preserve"> significantly increased after reconstitution in hexane.</w:t>
      </w:r>
      <w:r w:rsidR="00692E4B">
        <w:rPr>
          <w:noProof/>
        </w:rPr>
        <w:t xml:space="preserve"> Loss of </w:t>
      </w:r>
      <w:r w:rsidR="000D08FE">
        <w:rPr>
          <w:noProof/>
        </w:rPr>
        <w:t>OL</w:t>
      </w:r>
      <w:r w:rsidR="00FA68E1">
        <w:rPr>
          <w:noProof/>
        </w:rPr>
        <w:t xml:space="preserve"> </w:t>
      </w:r>
      <w:r w:rsidR="00692E4B">
        <w:rPr>
          <w:noProof/>
        </w:rPr>
        <w:t xml:space="preserve">during </w:t>
      </w:r>
      <w:r w:rsidR="00486E43">
        <w:rPr>
          <w:noProof/>
        </w:rPr>
        <w:t xml:space="preserve">evaporation under </w:t>
      </w:r>
      <w:r w:rsidR="00BF2679">
        <w:rPr>
          <w:noProof/>
        </w:rPr>
        <w:t xml:space="preserve">the </w:t>
      </w:r>
      <w:r w:rsidR="00486E43">
        <w:rPr>
          <w:noProof/>
        </w:rPr>
        <w:t>nitrogen stream</w:t>
      </w:r>
      <w:r w:rsidR="00692E4B">
        <w:rPr>
          <w:noProof/>
        </w:rPr>
        <w:t xml:space="preserve"> or compound discrimiation in the injecti</w:t>
      </w:r>
      <w:r w:rsidR="00FA68E1">
        <w:rPr>
          <w:noProof/>
        </w:rPr>
        <w:t>o</w:t>
      </w:r>
      <w:r w:rsidR="00692E4B">
        <w:rPr>
          <w:noProof/>
        </w:rPr>
        <w:t>n port might have</w:t>
      </w:r>
      <w:r w:rsidR="00FA68E1">
        <w:rPr>
          <w:noProof/>
        </w:rPr>
        <w:t xml:space="preserve"> occurred.</w:t>
      </w:r>
      <w:r w:rsidR="00692E4B">
        <w:rPr>
          <w:noProof/>
        </w:rPr>
        <w:t xml:space="preserve"> </w:t>
      </w:r>
      <w:r w:rsidR="00DE02FB">
        <w:rPr>
          <w:noProof/>
        </w:rPr>
        <w:t xml:space="preserve">It is also possible that the TMS derivative of OL is </w:t>
      </w:r>
      <w:r w:rsidR="00EC2CE1">
        <w:rPr>
          <w:noProof/>
        </w:rPr>
        <w:t xml:space="preserve">more </w:t>
      </w:r>
      <w:r w:rsidR="00DE02FB">
        <w:rPr>
          <w:noProof/>
        </w:rPr>
        <w:t>sensitive to humidity in the air, leading to a much faster hydrolysis compared with other analytes during drying and reconstitution in hexane</w:t>
      </w:r>
      <w:r w:rsidR="00692E4B">
        <w:rPr>
          <w:noProof/>
        </w:rPr>
        <w:t xml:space="preserve">. </w:t>
      </w:r>
      <w:r w:rsidR="00266CB2" w:rsidRPr="00542E3E">
        <w:rPr>
          <w:noProof/>
        </w:rPr>
        <w:t xml:space="preserve">This </w:t>
      </w:r>
      <w:r w:rsidR="00DE02FB">
        <w:rPr>
          <w:noProof/>
        </w:rPr>
        <w:t xml:space="preserve">finding </w:t>
      </w:r>
      <w:r w:rsidR="00266CB2" w:rsidRPr="00542E3E">
        <w:rPr>
          <w:noProof/>
        </w:rPr>
        <w:t>indicates we can not simply add this ext</w:t>
      </w:r>
      <w:r w:rsidR="00486E43">
        <w:rPr>
          <w:noProof/>
        </w:rPr>
        <w:t>ra reconstitution step</w:t>
      </w:r>
      <w:r w:rsidR="00266CB2" w:rsidRPr="00542E3E">
        <w:rPr>
          <w:noProof/>
        </w:rPr>
        <w:t xml:space="preserve"> during sample preparation and still use </w:t>
      </w:r>
      <w:r w:rsidR="00495E42">
        <w:rPr>
          <w:noProof/>
        </w:rPr>
        <w:t xml:space="preserve">the same </w:t>
      </w:r>
      <w:r w:rsidR="00266CB2" w:rsidRPr="00542E3E">
        <w:rPr>
          <w:noProof/>
        </w:rPr>
        <w:t>calibration curves made from standards in pyridine</w:t>
      </w:r>
      <w:r w:rsidR="000D08FE">
        <w:rPr>
          <w:noProof/>
        </w:rPr>
        <w:t xml:space="preserve"> and MSTFA</w:t>
      </w:r>
      <w:r w:rsidR="00266CB2" w:rsidRPr="00542E3E">
        <w:rPr>
          <w:noProof/>
        </w:rPr>
        <w:t>. If hexane is desired as the final sample solvent, the</w:t>
      </w:r>
      <w:r w:rsidR="00495E42">
        <w:rPr>
          <w:noProof/>
        </w:rPr>
        <w:t xml:space="preserve"> </w:t>
      </w:r>
      <w:r w:rsidR="00266CB2" w:rsidRPr="00542E3E">
        <w:rPr>
          <w:noProof/>
        </w:rPr>
        <w:t xml:space="preserve">protocol needs to be </w:t>
      </w:r>
      <w:r w:rsidR="00486E43">
        <w:rPr>
          <w:noProof/>
        </w:rPr>
        <w:t xml:space="preserve">adjusted and </w:t>
      </w:r>
      <w:r w:rsidR="00266CB2" w:rsidRPr="00542E3E">
        <w:rPr>
          <w:noProof/>
        </w:rPr>
        <w:t xml:space="preserve">revalidated. </w:t>
      </w:r>
    </w:p>
    <w:p w14:paraId="58A5A906" w14:textId="4FB7DA5E" w:rsidR="00FA40B4" w:rsidRPr="00FA40B4" w:rsidRDefault="00542E3E" w:rsidP="00A21ADB">
      <w:pPr>
        <w:rPr>
          <w:noProof/>
        </w:rPr>
      </w:pPr>
      <w:r w:rsidRPr="00542E3E">
        <w:rPr>
          <w:noProof/>
        </w:rPr>
        <w:t>Except for THC</w:t>
      </w:r>
      <w:r w:rsidR="004716B2">
        <w:rPr>
          <w:noProof/>
        </w:rPr>
        <w:t>,</w:t>
      </w:r>
      <w:r w:rsidR="00B71B5D">
        <w:rPr>
          <w:noProof/>
        </w:rPr>
        <w:t xml:space="preserve"> in both </w:t>
      </w:r>
      <w:r w:rsidR="008922DC">
        <w:rPr>
          <w:noProof/>
        </w:rPr>
        <w:t>silylated</w:t>
      </w:r>
      <w:r w:rsidR="00B71B5D">
        <w:rPr>
          <w:noProof/>
        </w:rPr>
        <w:t xml:space="preserve"> and non-</w:t>
      </w:r>
      <w:r w:rsidR="008922DC">
        <w:rPr>
          <w:noProof/>
        </w:rPr>
        <w:t>silylated</w:t>
      </w:r>
      <w:r w:rsidR="00B71B5D">
        <w:rPr>
          <w:noProof/>
        </w:rPr>
        <w:t xml:space="preserve"> forms,</w:t>
      </w:r>
      <w:r w:rsidRPr="00542E3E">
        <w:rPr>
          <w:noProof/>
        </w:rPr>
        <w:t xml:space="preserve"> the intensity of M</w:t>
      </w:r>
      <w:r w:rsidR="00BF2679" w:rsidRPr="005D4A42">
        <w:rPr>
          <w:noProof/>
          <w:vertAlign w:val="superscript"/>
        </w:rPr>
        <w:t>.+</w:t>
      </w:r>
      <w:r w:rsidRPr="00542E3E">
        <w:rPr>
          <w:noProof/>
        </w:rPr>
        <w:t xml:space="preserve"> was low </w:t>
      </w:r>
      <w:r w:rsidRPr="00542E3E">
        <w:rPr>
          <w:rFonts w:hint="eastAsia"/>
          <w:noProof/>
        </w:rPr>
        <w:t>(</w:t>
      </w:r>
      <w:r w:rsidRPr="00542E3E">
        <w:rPr>
          <w:noProof/>
        </w:rPr>
        <w:t xml:space="preserve">&lt;15% of base peak) for all the compounds. </w:t>
      </w:r>
      <w:r w:rsidR="00414699">
        <w:rPr>
          <w:noProof/>
        </w:rPr>
        <w:t xml:space="preserve">However, the relative intensity was always </w:t>
      </w:r>
      <w:r w:rsidR="00BF2679">
        <w:rPr>
          <w:noProof/>
        </w:rPr>
        <w:t xml:space="preserve">&gt; </w:t>
      </w:r>
      <w:r w:rsidR="00414699">
        <w:rPr>
          <w:noProof/>
        </w:rPr>
        <w:t xml:space="preserve">1%. </w:t>
      </w:r>
      <w:r w:rsidRPr="00542E3E">
        <w:rPr>
          <w:noProof/>
        </w:rPr>
        <w:t>M-15 fragment corresponds to the loss of a methyl group and was chosen as the most appropr</w:t>
      </w:r>
      <w:r w:rsidR="000D08FE">
        <w:rPr>
          <w:noProof/>
        </w:rPr>
        <w:t>i</w:t>
      </w:r>
      <w:r w:rsidRPr="00542E3E">
        <w:rPr>
          <w:noProof/>
        </w:rPr>
        <w:t>ate quantification ion for the non-</w:t>
      </w:r>
      <w:r w:rsidR="008922DC">
        <w:rPr>
          <w:noProof/>
        </w:rPr>
        <w:t>silylated</w:t>
      </w:r>
      <w:r w:rsidRPr="00542E3E">
        <w:rPr>
          <w:noProof/>
        </w:rPr>
        <w:t xml:space="preserve"> </w:t>
      </w:r>
      <w:r w:rsidRPr="00542E3E">
        <w:rPr>
          <w:rFonts w:hint="eastAsia"/>
          <w:noProof/>
        </w:rPr>
        <w:t>TH</w:t>
      </w:r>
      <w:r w:rsidRPr="00542E3E">
        <w:rPr>
          <w:noProof/>
        </w:rPr>
        <w:t xml:space="preserve">C and CBN and </w:t>
      </w:r>
      <w:r w:rsidR="008922DC">
        <w:rPr>
          <w:noProof/>
        </w:rPr>
        <w:t>silylated</w:t>
      </w:r>
      <w:r w:rsidRPr="00542E3E">
        <w:rPr>
          <w:noProof/>
        </w:rPr>
        <w:t xml:space="preserve"> OA, THC, CBN, THCA, and CBGA</w:t>
      </w:r>
      <w:r w:rsidR="00A20589">
        <w:rPr>
          <w:noProof/>
        </w:rPr>
        <w:t xml:space="preserve"> (Table </w:t>
      </w:r>
      <w:r w:rsidR="00261E65">
        <w:rPr>
          <w:noProof/>
        </w:rPr>
        <w:t>S</w:t>
      </w:r>
      <w:r w:rsidR="00A20589">
        <w:rPr>
          <w:noProof/>
        </w:rPr>
        <w:t>1)</w:t>
      </w:r>
      <w:r w:rsidRPr="00542E3E">
        <w:rPr>
          <w:noProof/>
        </w:rPr>
        <w:t xml:space="preserve">. </w:t>
      </w:r>
      <w:r w:rsidR="009B682C">
        <w:rPr>
          <w:noProof/>
        </w:rPr>
        <w:t>Th</w:t>
      </w:r>
      <w:r w:rsidR="008376B9">
        <w:rPr>
          <w:noProof/>
        </w:rPr>
        <w:t xml:space="preserve">is </w:t>
      </w:r>
      <w:r w:rsidR="009B682C">
        <w:rPr>
          <w:noProof/>
        </w:rPr>
        <w:t xml:space="preserve">information may help </w:t>
      </w:r>
      <w:r w:rsidR="002D0101">
        <w:rPr>
          <w:noProof/>
        </w:rPr>
        <w:t xml:space="preserve">when </w:t>
      </w:r>
      <w:r w:rsidR="009B682C">
        <w:rPr>
          <w:noProof/>
        </w:rPr>
        <w:t xml:space="preserve">searching for specific compounds in </w:t>
      </w:r>
      <w:r w:rsidR="005D024D">
        <w:rPr>
          <w:noProof/>
        </w:rPr>
        <w:t>exploratory studies</w:t>
      </w:r>
      <w:r w:rsidR="009B682C">
        <w:rPr>
          <w:noProof/>
        </w:rPr>
        <w:t xml:space="preserve">. For example, by extracting 371 m/z </w:t>
      </w:r>
      <w:r w:rsidR="004716B2">
        <w:rPr>
          <w:noProof/>
        </w:rPr>
        <w:t xml:space="preserve">(M-15 of </w:t>
      </w:r>
      <w:r w:rsidR="00E86F6A">
        <w:rPr>
          <w:noProof/>
        </w:rPr>
        <w:t xml:space="preserve">silylated </w:t>
      </w:r>
      <w:r w:rsidR="004716B2">
        <w:rPr>
          <w:noProof/>
        </w:rPr>
        <w:t xml:space="preserve">THC) </w:t>
      </w:r>
      <w:r w:rsidR="009B682C">
        <w:rPr>
          <w:noProof/>
        </w:rPr>
        <w:t xml:space="preserve">and 487 m/z </w:t>
      </w:r>
      <w:r w:rsidR="004716B2">
        <w:rPr>
          <w:noProof/>
        </w:rPr>
        <w:t xml:space="preserve">(M-15 of </w:t>
      </w:r>
      <w:r w:rsidR="00E86F6A">
        <w:rPr>
          <w:noProof/>
        </w:rPr>
        <w:t xml:space="preserve">silylated </w:t>
      </w:r>
      <w:r w:rsidR="004716B2">
        <w:rPr>
          <w:noProof/>
        </w:rPr>
        <w:t xml:space="preserve">THCA) </w:t>
      </w:r>
      <w:r w:rsidR="009B682C">
        <w:rPr>
          <w:noProof/>
        </w:rPr>
        <w:t xml:space="preserve">from </w:t>
      </w:r>
      <w:r w:rsidR="005D024D">
        <w:rPr>
          <w:noProof/>
        </w:rPr>
        <w:t>a TIC chromotograph, we</w:t>
      </w:r>
      <w:r w:rsidR="008922DC">
        <w:rPr>
          <w:noProof/>
        </w:rPr>
        <w:t xml:space="preserve"> </w:t>
      </w:r>
      <w:r w:rsidR="008922DC">
        <w:rPr>
          <w:noProof/>
        </w:rPr>
        <w:lastRenderedPageBreak/>
        <w:t>tentatively</w:t>
      </w:r>
      <w:r w:rsidR="005D024D">
        <w:rPr>
          <w:noProof/>
        </w:rPr>
        <w:t xml:space="preserve"> identified positional isomers of THC and THCA</w:t>
      </w:r>
      <w:r w:rsidR="004716B2">
        <w:rPr>
          <w:noProof/>
        </w:rPr>
        <w:t xml:space="preserve"> in authentic biosynthesized samples</w:t>
      </w:r>
      <w:r w:rsidR="005D024D">
        <w:rPr>
          <w:noProof/>
        </w:rPr>
        <w:t>, which had similar MS fragmentation patterns but eluted at different times.</w:t>
      </w:r>
      <w:r w:rsidR="009B682C">
        <w:rPr>
          <w:noProof/>
        </w:rPr>
        <w:t xml:space="preserve"> </w:t>
      </w:r>
      <w:r w:rsidRPr="00542E3E">
        <w:rPr>
          <w:noProof/>
        </w:rPr>
        <w:t>For both non-</w:t>
      </w:r>
      <w:r w:rsidR="008922DC">
        <w:rPr>
          <w:noProof/>
        </w:rPr>
        <w:t>silylated</w:t>
      </w:r>
      <w:r w:rsidRPr="00542E3E">
        <w:rPr>
          <w:noProof/>
        </w:rPr>
        <w:t xml:space="preserve"> and </w:t>
      </w:r>
      <w:r w:rsidR="008922DC">
        <w:rPr>
          <w:noProof/>
        </w:rPr>
        <w:t>silylat</w:t>
      </w:r>
      <w:r w:rsidRPr="00542E3E">
        <w:rPr>
          <w:noProof/>
        </w:rPr>
        <w:t xml:space="preserve">ed forms of OL, </w:t>
      </w:r>
      <w:r w:rsidR="008376B9">
        <w:rPr>
          <w:noProof/>
        </w:rPr>
        <w:t xml:space="preserve">the </w:t>
      </w:r>
      <w:r w:rsidRPr="00542E3E">
        <w:rPr>
          <w:rFonts w:hint="eastAsia"/>
          <w:noProof/>
        </w:rPr>
        <w:t>M</w:t>
      </w:r>
      <w:r w:rsidRPr="00542E3E">
        <w:rPr>
          <w:noProof/>
        </w:rPr>
        <w:t>-56 fragment, which corresponds to the loss of C</w:t>
      </w:r>
      <w:r w:rsidRPr="00542E3E">
        <w:rPr>
          <w:noProof/>
          <w:vertAlign w:val="subscript"/>
        </w:rPr>
        <w:t>4</w:t>
      </w:r>
      <w:r w:rsidRPr="00542E3E">
        <w:rPr>
          <w:noProof/>
        </w:rPr>
        <w:t>H</w:t>
      </w:r>
      <w:r w:rsidRPr="00542E3E">
        <w:rPr>
          <w:noProof/>
          <w:vertAlign w:val="subscript"/>
        </w:rPr>
        <w:t xml:space="preserve">8 </w:t>
      </w:r>
      <w:r w:rsidRPr="00542E3E">
        <w:rPr>
          <w:noProof/>
        </w:rPr>
        <w:t xml:space="preserve">on the side chain, had the highest intensity. </w:t>
      </w:r>
      <w:r w:rsidR="00E86F6A">
        <w:rPr>
          <w:noProof/>
        </w:rPr>
        <w:t>Silylated</w:t>
      </w:r>
      <w:r w:rsidRPr="00542E3E">
        <w:rPr>
          <w:noProof/>
        </w:rPr>
        <w:t xml:space="preserve"> CBD had M-68 as its base peak, which corresponds to the loss of C</w:t>
      </w:r>
      <w:r w:rsidRPr="00542E3E">
        <w:rPr>
          <w:noProof/>
          <w:vertAlign w:val="subscript"/>
        </w:rPr>
        <w:t>5</w:t>
      </w:r>
      <w:r w:rsidRPr="00542E3E">
        <w:rPr>
          <w:noProof/>
        </w:rPr>
        <w:t>H</w:t>
      </w:r>
      <w:r w:rsidRPr="00542E3E">
        <w:rPr>
          <w:noProof/>
          <w:vertAlign w:val="subscript"/>
        </w:rPr>
        <w:t>8</w:t>
      </w:r>
      <w:r w:rsidRPr="00542E3E">
        <w:rPr>
          <w:noProof/>
        </w:rPr>
        <w:t xml:space="preserve"> fragment in the side ring. Both CBD and </w:t>
      </w:r>
      <w:r w:rsidR="00E86F6A">
        <w:rPr>
          <w:noProof/>
        </w:rPr>
        <w:t>silylated</w:t>
      </w:r>
      <w:r w:rsidRPr="00542E3E">
        <w:rPr>
          <w:noProof/>
        </w:rPr>
        <w:t xml:space="preserve"> CBDA had M-83 as their quantification ions, which represent the loss of side chain, C</w:t>
      </w:r>
      <w:r w:rsidRPr="00542E3E">
        <w:rPr>
          <w:noProof/>
          <w:vertAlign w:val="subscript"/>
        </w:rPr>
        <w:t>6</w:t>
      </w:r>
      <w:r w:rsidRPr="00542E3E">
        <w:rPr>
          <w:noProof/>
        </w:rPr>
        <w:t>H</w:t>
      </w:r>
      <w:r w:rsidRPr="00542E3E">
        <w:rPr>
          <w:noProof/>
          <w:vertAlign w:val="subscript"/>
        </w:rPr>
        <w:t>11</w:t>
      </w:r>
      <w:r w:rsidRPr="00542E3E">
        <w:rPr>
          <w:noProof/>
        </w:rPr>
        <w:t xml:space="preserve">. </w:t>
      </w:r>
      <w:bookmarkStart w:id="4" w:name="_Hlk37873998"/>
      <w:r w:rsidR="00E40C5D">
        <w:rPr>
          <w:noProof/>
        </w:rPr>
        <w:t xml:space="preserve">Although 73 m/z </w:t>
      </w:r>
      <w:r w:rsidR="00414699">
        <w:rPr>
          <w:noProof/>
        </w:rPr>
        <w:t xml:space="preserve">and M-73, which represent the loss of trimethylsilyl group, have been used in the literature as confirmation ions </w:t>
      </w:r>
      <w:r w:rsidR="007B21CF" w:rsidRPr="007B21CF">
        <w:rPr>
          <w:rFonts w:ascii="Calibri" w:hAnsi="Calibri" w:cs="Calibri"/>
        </w:rPr>
        <w:t>(</w:t>
      </w:r>
      <w:proofErr w:type="spellStart"/>
      <w:r w:rsidR="007B21CF" w:rsidRPr="007B21CF">
        <w:rPr>
          <w:rFonts w:ascii="Calibri" w:hAnsi="Calibri" w:cs="Calibri"/>
        </w:rPr>
        <w:t>Cardenia</w:t>
      </w:r>
      <w:proofErr w:type="spellEnd"/>
      <w:r w:rsidR="007B21CF" w:rsidRPr="007B21CF">
        <w:rPr>
          <w:rFonts w:ascii="Calibri" w:hAnsi="Calibri" w:cs="Calibri"/>
        </w:rPr>
        <w:t xml:space="preserve"> et al., 2018)</w:t>
      </w:r>
      <w:r w:rsidR="00414699">
        <w:rPr>
          <w:noProof/>
        </w:rPr>
        <w:t>, we found th</w:t>
      </w:r>
      <w:r w:rsidR="0091778F">
        <w:rPr>
          <w:noProof/>
        </w:rPr>
        <w:t>e</w:t>
      </w:r>
      <w:r w:rsidR="00486E43">
        <w:rPr>
          <w:noProof/>
        </w:rPr>
        <w:t xml:space="preserve"> relative</w:t>
      </w:r>
      <w:r w:rsidR="00414699">
        <w:rPr>
          <w:noProof/>
        </w:rPr>
        <w:t xml:space="preserve"> intensit</w:t>
      </w:r>
      <w:r w:rsidR="0091778F">
        <w:rPr>
          <w:noProof/>
        </w:rPr>
        <w:t>y of 73 m/z</w:t>
      </w:r>
      <w:r w:rsidR="00414699">
        <w:rPr>
          <w:noProof/>
        </w:rPr>
        <w:t xml:space="preserve"> w</w:t>
      </w:r>
      <w:r w:rsidR="0091778F">
        <w:rPr>
          <w:noProof/>
        </w:rPr>
        <w:t>as</w:t>
      </w:r>
      <w:r w:rsidR="00414699">
        <w:rPr>
          <w:noProof/>
        </w:rPr>
        <w:t xml:space="preserve"> not consistent in sample matrices</w:t>
      </w:r>
      <w:r w:rsidR="00975FBA">
        <w:rPr>
          <w:noProof/>
        </w:rPr>
        <w:t xml:space="preserve"> from different extraction solvents</w:t>
      </w:r>
      <w:r w:rsidR="00414699">
        <w:rPr>
          <w:noProof/>
        </w:rPr>
        <w:t>.</w:t>
      </w:r>
      <w:r w:rsidR="00C53AB4">
        <w:rPr>
          <w:noProof/>
        </w:rPr>
        <w:t xml:space="preserve"> </w:t>
      </w:r>
      <w:r w:rsidR="0091778F">
        <w:rPr>
          <w:noProof/>
        </w:rPr>
        <w:t>These solvents might have extracted different</w:t>
      </w:r>
      <w:r w:rsidR="00932D53">
        <w:rPr>
          <w:noProof/>
        </w:rPr>
        <w:t xml:space="preserve"> types or quantities of</w:t>
      </w:r>
      <w:r w:rsidR="0091778F">
        <w:rPr>
          <w:noProof/>
        </w:rPr>
        <w:t xml:space="preserve"> interferences, </w:t>
      </w:r>
      <w:r w:rsidR="00932D53">
        <w:rPr>
          <w:noProof/>
        </w:rPr>
        <w:t>leading to different amounts of additional 73 m/z fragment</w:t>
      </w:r>
      <w:r w:rsidR="005434DF">
        <w:rPr>
          <w:noProof/>
        </w:rPr>
        <w:t xml:space="preserve">. </w:t>
      </w:r>
      <w:r w:rsidR="007F45BC">
        <w:rPr>
          <w:noProof/>
        </w:rPr>
        <w:t xml:space="preserve">For </w:t>
      </w:r>
      <w:r w:rsidR="00F2415F">
        <w:rPr>
          <w:noProof/>
        </w:rPr>
        <w:t xml:space="preserve">each </w:t>
      </w:r>
      <w:r w:rsidR="007F45BC">
        <w:rPr>
          <w:noProof/>
        </w:rPr>
        <w:t xml:space="preserve">target analyte, the ratios between </w:t>
      </w:r>
      <w:r w:rsidR="009B682C" w:rsidRPr="00542E3E">
        <w:rPr>
          <w:noProof/>
        </w:rPr>
        <w:t>M</w:t>
      </w:r>
      <w:r w:rsidR="00B8583F" w:rsidRPr="005D4A42">
        <w:rPr>
          <w:noProof/>
          <w:vertAlign w:val="superscript"/>
        </w:rPr>
        <w:t>.+</w:t>
      </w:r>
      <w:r w:rsidR="009B682C">
        <w:rPr>
          <w:noProof/>
        </w:rPr>
        <w:t>,</w:t>
      </w:r>
      <w:r w:rsidR="009B682C" w:rsidRPr="00542E3E">
        <w:rPr>
          <w:noProof/>
        </w:rPr>
        <w:t xml:space="preserve"> M-15</w:t>
      </w:r>
      <w:r w:rsidR="009B682C">
        <w:rPr>
          <w:noProof/>
        </w:rPr>
        <w:t xml:space="preserve">, and </w:t>
      </w:r>
      <w:r w:rsidR="00F2415F">
        <w:rPr>
          <w:noProof/>
        </w:rPr>
        <w:t xml:space="preserve">the selected </w:t>
      </w:r>
      <w:r w:rsidR="009B682C">
        <w:rPr>
          <w:noProof/>
        </w:rPr>
        <w:t xml:space="preserve">quantification ion were consistent </w:t>
      </w:r>
      <w:r w:rsidR="009B682C" w:rsidRPr="00542E3E">
        <w:rPr>
          <w:noProof/>
        </w:rPr>
        <w:t>across different sample matrices and on different days</w:t>
      </w:r>
      <w:r w:rsidR="009B682C">
        <w:rPr>
          <w:noProof/>
        </w:rPr>
        <w:t xml:space="preserve"> of analysis.</w:t>
      </w:r>
      <w:bookmarkEnd w:id="4"/>
    </w:p>
    <w:p w14:paraId="3B316BB9" w14:textId="2DC01950" w:rsidR="00542E3E" w:rsidRPr="00542E3E" w:rsidRDefault="00542E3E" w:rsidP="00982500">
      <w:pPr>
        <w:pStyle w:val="Heading2"/>
      </w:pPr>
      <w:r w:rsidRPr="00542E3E">
        <w:t xml:space="preserve">Solvent </w:t>
      </w:r>
      <w:r w:rsidR="00D06B29">
        <w:t>e</w:t>
      </w:r>
      <w:r w:rsidRPr="00542E3E">
        <w:t xml:space="preserve">xtraction </w:t>
      </w:r>
      <w:r w:rsidR="00D06B29">
        <w:t>c</w:t>
      </w:r>
      <w:r w:rsidR="00FA3727">
        <w:t>omparison</w:t>
      </w:r>
    </w:p>
    <w:p w14:paraId="451E43CD" w14:textId="5B4130F9" w:rsidR="00A4732E" w:rsidRDefault="00725198" w:rsidP="00C72F62">
      <w:pPr>
        <w:pStyle w:val="Noindent"/>
      </w:pPr>
      <w:r w:rsidRPr="00542E3E">
        <w:t>Methanol, ethanol, methanol: chloroform (</w:t>
      </w:r>
      <w:r w:rsidRPr="00542E3E">
        <w:rPr>
          <w:rFonts w:hint="eastAsia"/>
        </w:rPr>
        <w:t>9:</w:t>
      </w:r>
      <w:r w:rsidRPr="00542E3E">
        <w:t>1), and acetonitrile effectively extract</w:t>
      </w:r>
      <w:r>
        <w:t>ed</w:t>
      </w:r>
      <w:r w:rsidRPr="00542E3E">
        <w:t xml:space="preserve"> cannabinoids in previous studies</w:t>
      </w:r>
      <w:r>
        <w:t xml:space="preserve"> </w:t>
      </w:r>
      <w:r w:rsidRPr="00725198">
        <w:rPr>
          <w:rFonts w:ascii="Calibri" w:hAnsi="Calibri" w:cs="Calibri"/>
        </w:rPr>
        <w:t>(</w:t>
      </w:r>
      <w:proofErr w:type="spellStart"/>
      <w:r w:rsidRPr="00725198">
        <w:rPr>
          <w:rFonts w:ascii="Calibri" w:hAnsi="Calibri" w:cs="Calibri"/>
        </w:rPr>
        <w:t>Citti</w:t>
      </w:r>
      <w:proofErr w:type="spellEnd"/>
      <w:r w:rsidRPr="00725198">
        <w:rPr>
          <w:rFonts w:ascii="Calibri" w:hAnsi="Calibri" w:cs="Calibri"/>
        </w:rPr>
        <w:t xml:space="preserve"> et al., 2018)</w:t>
      </w:r>
      <w:r w:rsidRPr="00542E3E">
        <w:t xml:space="preserve">. </w:t>
      </w:r>
      <w:r w:rsidR="00787708">
        <w:t>Here</w:t>
      </w:r>
      <w:r w:rsidRPr="00542E3E">
        <w:t>, we found methanol was the best choice</w:t>
      </w:r>
      <w:r w:rsidR="00A20589">
        <w:t xml:space="preserve"> (Fig</w:t>
      </w:r>
      <w:r w:rsidR="00F26FBF">
        <w:t xml:space="preserve">. </w:t>
      </w:r>
      <w:r w:rsidR="00A20589">
        <w:t>2)</w:t>
      </w:r>
      <w:r w:rsidRPr="00542E3E">
        <w:t>. Although the methanol: chloroform (</w:t>
      </w:r>
      <w:r w:rsidRPr="00542E3E">
        <w:rPr>
          <w:rFonts w:hint="eastAsia"/>
        </w:rPr>
        <w:t>9:</w:t>
      </w:r>
      <w:r w:rsidRPr="00542E3E">
        <w:t xml:space="preserve">1) solvent system performed as well as methanol alone, the introduction of </w:t>
      </w:r>
      <w:r w:rsidR="003F339D">
        <w:t xml:space="preserve">a </w:t>
      </w:r>
      <w:r w:rsidR="00291467">
        <w:t xml:space="preserve">highly </w:t>
      </w:r>
      <w:r w:rsidRPr="00542E3E">
        <w:t xml:space="preserve">toxic solvent </w:t>
      </w:r>
      <w:r w:rsidR="000A3615">
        <w:t xml:space="preserve">without additional benefits </w:t>
      </w:r>
      <w:r w:rsidRPr="00542E3E">
        <w:t xml:space="preserve">made it unfavorable. Ethanol was as effective as methanol in extracting OL, CBD, THC, OA, CBDA, and THCA. However, its extraction </w:t>
      </w:r>
      <w:r w:rsidR="00F2415F">
        <w:t>efficiency for</w:t>
      </w:r>
      <w:r w:rsidRPr="00542E3E">
        <w:t xml:space="preserve"> CBGA was significantly lower than methanol. Acetonitrile did not extract OA, THCA, and CBGA as well as methanol</w:t>
      </w:r>
      <w:r w:rsidR="007F6D3B">
        <w:t>, although it largely reduced matrix load</w:t>
      </w:r>
      <w:r w:rsidR="00CB41CC">
        <w:t xml:space="preserve"> based on TIC chromatographs.</w:t>
      </w:r>
      <w:r w:rsidR="000A3615">
        <w:t xml:space="preserve"> </w:t>
      </w:r>
      <w:r>
        <w:t>One should note that we did not consider matrix effect</w:t>
      </w:r>
      <w:r w:rsidR="002D0101">
        <w:t>s</w:t>
      </w:r>
      <w:r>
        <w:t xml:space="preserve"> in this part of the study</w:t>
      </w:r>
      <w:r w:rsidR="00A4732E">
        <w:t xml:space="preserve">. Different matrix </w:t>
      </w:r>
      <w:r w:rsidR="002F0294">
        <w:t xml:space="preserve">fractions </w:t>
      </w:r>
      <w:r w:rsidR="00A4732E">
        <w:t xml:space="preserve">extracted by these organic solvents may have </w:t>
      </w:r>
      <w:r w:rsidR="008F4071">
        <w:t xml:space="preserve">different ion suppression or enhancement effects, which </w:t>
      </w:r>
      <w:r w:rsidR="0032391E">
        <w:t xml:space="preserve">may have contributed to the difference </w:t>
      </w:r>
      <w:r w:rsidR="00336068">
        <w:t>that we observed</w:t>
      </w:r>
      <w:r w:rsidR="00A4732E">
        <w:t>.</w:t>
      </w:r>
    </w:p>
    <w:p w14:paraId="4797798A" w14:textId="02BEE769" w:rsidR="00F47D86" w:rsidRPr="007D0A7C" w:rsidRDefault="00542E3E" w:rsidP="00A21ADB">
      <w:proofErr w:type="spellStart"/>
      <w:r w:rsidRPr="00542E3E">
        <w:t>QuEChERS</w:t>
      </w:r>
      <w:proofErr w:type="spellEnd"/>
      <w:r w:rsidRPr="00542E3E">
        <w:t xml:space="preserve"> </w:t>
      </w:r>
      <w:r w:rsidR="00035446">
        <w:t>protocols for cannabinoids extraction in foods</w:t>
      </w:r>
      <w:r w:rsidR="00D631C4">
        <w:t xml:space="preserve"> </w:t>
      </w:r>
      <w:r w:rsidR="00035446">
        <w:t xml:space="preserve">usually omit the </w:t>
      </w:r>
      <w:proofErr w:type="spellStart"/>
      <w:r w:rsidR="00336068">
        <w:t>d</w:t>
      </w:r>
      <w:r w:rsidR="00035446">
        <w:t>SPE</w:t>
      </w:r>
      <w:proofErr w:type="spellEnd"/>
      <w:r w:rsidR="00035446">
        <w:t xml:space="preserve"> </w:t>
      </w:r>
      <w:r w:rsidR="00336068">
        <w:t>step</w:t>
      </w:r>
      <w:r w:rsidR="00D631C4">
        <w:t xml:space="preserve">, because </w:t>
      </w:r>
      <w:r w:rsidR="00035446">
        <w:t>high concentration</w:t>
      </w:r>
      <w:r w:rsidR="00097EB2">
        <w:t>s</w:t>
      </w:r>
      <w:r w:rsidR="00D631C4">
        <w:t xml:space="preserve"> of cannabinoids are collected</w:t>
      </w:r>
      <w:r w:rsidR="00035446">
        <w:t xml:space="preserve"> in the organic </w:t>
      </w:r>
      <w:r w:rsidR="00D631C4">
        <w:t xml:space="preserve">layer </w:t>
      </w:r>
      <w:r w:rsidR="0068753E">
        <w:t xml:space="preserve">(acetonitrile) </w:t>
      </w:r>
      <w:r w:rsidR="00D631C4">
        <w:t xml:space="preserve">during the liquid-liquid extraction step </w:t>
      </w:r>
      <w:r w:rsidR="00082404" w:rsidRPr="00082404">
        <w:rPr>
          <w:rFonts w:ascii="Calibri" w:hAnsi="Calibri" w:cs="Times New Roman"/>
        </w:rPr>
        <w:t>(</w:t>
      </w:r>
      <w:proofErr w:type="spellStart"/>
      <w:r w:rsidR="00082404" w:rsidRPr="00082404">
        <w:rPr>
          <w:rFonts w:ascii="Calibri" w:hAnsi="Calibri" w:cs="Times New Roman"/>
        </w:rPr>
        <w:t>Christinat</w:t>
      </w:r>
      <w:proofErr w:type="spellEnd"/>
      <w:r w:rsidR="00082404" w:rsidRPr="00082404">
        <w:rPr>
          <w:rFonts w:ascii="Calibri" w:hAnsi="Calibri" w:cs="Times New Roman"/>
        </w:rPr>
        <w:t xml:space="preserve">, Savoy, &amp; </w:t>
      </w:r>
      <w:proofErr w:type="spellStart"/>
      <w:r w:rsidR="00082404" w:rsidRPr="00082404">
        <w:rPr>
          <w:rFonts w:ascii="Calibri" w:hAnsi="Calibri" w:cs="Times New Roman"/>
        </w:rPr>
        <w:t>Mottier</w:t>
      </w:r>
      <w:proofErr w:type="spellEnd"/>
      <w:r w:rsidR="00082404" w:rsidRPr="00082404">
        <w:rPr>
          <w:rFonts w:ascii="Calibri" w:hAnsi="Calibri" w:cs="Times New Roman"/>
        </w:rPr>
        <w:t>, 2020; Wang, Mackowsky, Searfoss, &amp; Telepchak, 2017; Yousefi‐Taemeh &amp; Ifa, 2019)</w:t>
      </w:r>
      <w:r w:rsidR="003C4FBD">
        <w:t>. In the study of gummy bears and brownies</w:t>
      </w:r>
      <w:r w:rsidR="00456A25">
        <w:t xml:space="preserve"> </w:t>
      </w:r>
      <w:r w:rsidR="00456A25" w:rsidRPr="00456A25">
        <w:rPr>
          <w:rFonts w:ascii="Calibri" w:hAnsi="Calibri" w:cs="Calibri"/>
        </w:rPr>
        <w:t>(</w:t>
      </w:r>
      <w:proofErr w:type="spellStart"/>
      <w:r w:rsidR="00456A25" w:rsidRPr="00456A25">
        <w:rPr>
          <w:rFonts w:ascii="Calibri" w:hAnsi="Calibri" w:cs="Calibri"/>
        </w:rPr>
        <w:t>Shimelis</w:t>
      </w:r>
      <w:proofErr w:type="spellEnd"/>
      <w:r w:rsidR="00456A25" w:rsidRPr="00456A25">
        <w:rPr>
          <w:rFonts w:ascii="Calibri" w:hAnsi="Calibri" w:cs="Calibri"/>
        </w:rPr>
        <w:t xml:space="preserve"> et al., 2019)</w:t>
      </w:r>
      <w:r w:rsidR="00456A25">
        <w:t xml:space="preserve">, </w:t>
      </w:r>
      <w:proofErr w:type="spellStart"/>
      <w:r w:rsidR="00456A25" w:rsidRPr="00542E3E">
        <w:t>QuEChERS</w:t>
      </w:r>
      <w:proofErr w:type="spellEnd"/>
      <w:r w:rsidR="00456A25">
        <w:t xml:space="preserve"> </w:t>
      </w:r>
      <w:r w:rsidR="00D631C4">
        <w:t xml:space="preserve">extraction </w:t>
      </w:r>
      <w:r w:rsidR="00456A25">
        <w:t>resulted in high recoveries (</w:t>
      </w:r>
      <w:r w:rsidR="00456A25">
        <w:rPr>
          <w:rFonts w:cstheme="minorHAnsi"/>
        </w:rPr>
        <w:t>≥</w:t>
      </w:r>
      <w:r w:rsidR="00456A25">
        <w:t>80%) of</w:t>
      </w:r>
      <w:r w:rsidR="00456A25" w:rsidRPr="00456A25">
        <w:t xml:space="preserve"> </w:t>
      </w:r>
      <w:r w:rsidR="00456A25">
        <w:t>all the cannabinoids under investigation</w:t>
      </w:r>
      <w:r w:rsidR="003C4FBD">
        <w:t xml:space="preserve">. </w:t>
      </w:r>
      <w:r w:rsidRPr="00542E3E">
        <w:t xml:space="preserve">However, in </w:t>
      </w:r>
      <w:r w:rsidR="0012562D">
        <w:t>our</w:t>
      </w:r>
      <w:r w:rsidRPr="00542E3E">
        <w:t xml:space="preserve"> study, </w:t>
      </w:r>
      <w:r w:rsidR="0068753E">
        <w:t xml:space="preserve">recovery rates of </w:t>
      </w:r>
      <w:r w:rsidRPr="00542E3E">
        <w:t>all the target compounds were significantly lower than methanol</w:t>
      </w:r>
      <w:r w:rsidR="00456A25">
        <w:t>, especially for the acids, OA, CBDA, THCA, and CBGA</w:t>
      </w:r>
      <w:r w:rsidR="00F26FBF">
        <w:t xml:space="preserve"> (Fig. 2)</w:t>
      </w:r>
      <w:r w:rsidR="00456A25">
        <w:t>. This is probably due to their higher polarity compared to the neutral compounds</w:t>
      </w:r>
      <w:r w:rsidR="00291467">
        <w:t>, which caused their partition</w:t>
      </w:r>
      <w:r w:rsidR="00787708">
        <w:t>ing</w:t>
      </w:r>
      <w:r w:rsidR="00291467">
        <w:t xml:space="preserve"> into the aqueous phase</w:t>
      </w:r>
      <w:r w:rsidR="00456A25">
        <w:t xml:space="preserve">. </w:t>
      </w:r>
      <w:r w:rsidR="003F339D">
        <w:t>In addition</w:t>
      </w:r>
      <w:r w:rsidR="00725198">
        <w:t>, t</w:t>
      </w:r>
      <w:r w:rsidRPr="00542E3E">
        <w:t xml:space="preserve">he upper acetonitrile phase collected all the </w:t>
      </w:r>
      <w:r w:rsidR="0012562D">
        <w:t xml:space="preserve">undesirable </w:t>
      </w:r>
      <w:r w:rsidRPr="00542E3E">
        <w:t xml:space="preserve">pigments from the algae matrix, </w:t>
      </w:r>
      <w:r w:rsidR="00456A25">
        <w:t xml:space="preserve">making it necessary to </w:t>
      </w:r>
      <w:r w:rsidR="003F339D">
        <w:t xml:space="preserve">apply </w:t>
      </w:r>
      <w:r w:rsidR="00725198">
        <w:t>further treatment</w:t>
      </w:r>
      <w:r w:rsidR="003F339D">
        <w:t>,</w:t>
      </w:r>
      <w:r w:rsidR="00725198">
        <w:t xml:space="preserve"> such as SPE or </w:t>
      </w:r>
      <w:proofErr w:type="spellStart"/>
      <w:r w:rsidR="00336068">
        <w:t>dSPE</w:t>
      </w:r>
      <w:proofErr w:type="spellEnd"/>
      <w:r w:rsidR="00725198">
        <w:t xml:space="preserve">. In this case, </w:t>
      </w:r>
      <w:proofErr w:type="spellStart"/>
      <w:r w:rsidRPr="00542E3E">
        <w:t>QuEChERS</w:t>
      </w:r>
      <w:proofErr w:type="spellEnd"/>
      <w:r w:rsidRPr="00542E3E">
        <w:t xml:space="preserve"> </w:t>
      </w:r>
      <w:r w:rsidR="00EA1B65">
        <w:t xml:space="preserve">extraction </w:t>
      </w:r>
      <w:r w:rsidRPr="00542E3E">
        <w:t>could not provide any advantages over simple solvent extraction</w:t>
      </w:r>
      <w:r w:rsidR="00725198">
        <w:t xml:space="preserve">. </w:t>
      </w:r>
    </w:p>
    <w:p w14:paraId="24851F31" w14:textId="601A209B" w:rsidR="00542E3E" w:rsidRPr="00542E3E" w:rsidRDefault="00542E3E" w:rsidP="00982500">
      <w:pPr>
        <w:pStyle w:val="Heading2"/>
      </w:pPr>
      <w:r w:rsidRPr="00542E3E">
        <w:t xml:space="preserve">SPE </w:t>
      </w:r>
      <w:r w:rsidR="00A21ADB">
        <w:t>method development</w:t>
      </w:r>
    </w:p>
    <w:p w14:paraId="70F71124" w14:textId="48E1E287" w:rsidR="00C053D3" w:rsidRDefault="000804F1" w:rsidP="00C72F62">
      <w:pPr>
        <w:pStyle w:val="Noindent"/>
      </w:pPr>
      <w:r>
        <w:t xml:space="preserve">Five types of SPE sorbents, C18, silica, strong anion exchange, weak anion exchange, and graphitized carbon, </w:t>
      </w:r>
      <w:r w:rsidR="0030181E">
        <w:t>with</w:t>
      </w:r>
      <w:r>
        <w:t xml:space="preserve"> </w:t>
      </w:r>
      <w:r w:rsidR="001B70F8">
        <w:t>previously published</w:t>
      </w:r>
      <w:r w:rsidR="00470618">
        <w:t xml:space="preserve"> elution</w:t>
      </w:r>
      <w:r>
        <w:t xml:space="preserve"> pro</w:t>
      </w:r>
      <w:r w:rsidR="00E806FA">
        <w:t>cedures</w:t>
      </w:r>
      <w:r>
        <w:t xml:space="preserve"> for cannabinoids recovery from biological samples were </w:t>
      </w:r>
      <w:r w:rsidR="006023AA">
        <w:t xml:space="preserve">compared in </w:t>
      </w:r>
      <w:r w:rsidR="00092E70">
        <w:t>our</w:t>
      </w:r>
      <w:r w:rsidR="006023AA">
        <w:t xml:space="preserve"> preliminary </w:t>
      </w:r>
      <w:r w:rsidR="0068753E">
        <w:t>experiments</w:t>
      </w:r>
      <w:r w:rsidR="001B70F8">
        <w:t>. Among the</w:t>
      </w:r>
      <w:r w:rsidR="0068753E">
        <w:t xml:space="preserve">se </w:t>
      </w:r>
      <w:r w:rsidR="001B70F8">
        <w:t xml:space="preserve">methods, a two-step </w:t>
      </w:r>
      <w:r w:rsidR="00FC2AA6">
        <w:t xml:space="preserve">strong anion exchange SPE </w:t>
      </w:r>
      <w:r w:rsidR="001B70F8">
        <w:t xml:space="preserve">for the recovery of THC, THC-OH, and THC-COOH </w:t>
      </w:r>
      <w:r w:rsidR="00470618">
        <w:t xml:space="preserve">in plasma and serum </w:t>
      </w:r>
      <w:r w:rsidR="00470618" w:rsidRPr="00470618">
        <w:rPr>
          <w:rFonts w:ascii="Calibri" w:hAnsi="Calibri" w:cs="Calibri"/>
        </w:rPr>
        <w:t>(</w:t>
      </w:r>
      <w:proofErr w:type="spellStart"/>
      <w:r w:rsidR="00470618" w:rsidRPr="00470618">
        <w:rPr>
          <w:rFonts w:ascii="Calibri" w:hAnsi="Calibri" w:cs="Calibri"/>
        </w:rPr>
        <w:t>Gasse</w:t>
      </w:r>
      <w:proofErr w:type="spellEnd"/>
      <w:r w:rsidR="00470618" w:rsidRPr="00470618">
        <w:rPr>
          <w:rFonts w:ascii="Calibri" w:hAnsi="Calibri" w:cs="Calibri"/>
        </w:rPr>
        <w:t xml:space="preserve"> et al., 2016)</w:t>
      </w:r>
      <w:r w:rsidR="00470618">
        <w:t xml:space="preserve"> </w:t>
      </w:r>
      <w:r w:rsidR="006761CC">
        <w:t>showed</w:t>
      </w:r>
      <w:r w:rsidR="003E2C10">
        <w:t xml:space="preserve"> </w:t>
      </w:r>
      <w:r w:rsidR="006761CC">
        <w:t xml:space="preserve">great potential </w:t>
      </w:r>
      <w:r w:rsidR="006761CC">
        <w:rPr>
          <w:rFonts w:hint="eastAsia"/>
        </w:rPr>
        <w:t>a</w:t>
      </w:r>
      <w:r w:rsidR="006761CC">
        <w:t xml:space="preserve">nd thus was adapted </w:t>
      </w:r>
      <w:r w:rsidR="00917B01">
        <w:t xml:space="preserve">and optimized </w:t>
      </w:r>
      <w:r w:rsidR="006761CC">
        <w:t xml:space="preserve">for the recovery of </w:t>
      </w:r>
      <w:r w:rsidR="006761CC" w:rsidRPr="00542E3E">
        <w:t>O</w:t>
      </w:r>
      <w:r w:rsidR="005A3D5D">
        <w:t>L</w:t>
      </w:r>
      <w:r w:rsidR="006761CC" w:rsidRPr="00542E3E">
        <w:t>, CBD, THC, OA,</w:t>
      </w:r>
      <w:r w:rsidR="006761CC">
        <w:t xml:space="preserve"> </w:t>
      </w:r>
      <w:r w:rsidR="006761CC" w:rsidRPr="00542E3E">
        <w:t>CBDA, THCA, and CBGA</w:t>
      </w:r>
      <w:r w:rsidR="006761CC">
        <w:t xml:space="preserve"> in algae matrix. </w:t>
      </w:r>
      <w:r w:rsidR="00FC2AA6">
        <w:t>In</w:t>
      </w:r>
      <w:r w:rsidR="00917B01">
        <w:t>stead of using acetone and acidic acetone,</w:t>
      </w:r>
      <w:r w:rsidR="005D64E4">
        <w:t xml:space="preserve"> better</w:t>
      </w:r>
      <w:r w:rsidR="00917B01">
        <w:t xml:space="preserve"> recovery of neutral</w:t>
      </w:r>
      <w:r w:rsidR="001B5692">
        <w:t xml:space="preserve"> (O</w:t>
      </w:r>
      <w:r w:rsidR="001716CB">
        <w:t>L</w:t>
      </w:r>
      <w:r w:rsidR="001B5692">
        <w:t>, CBD, and THC)</w:t>
      </w:r>
      <w:r w:rsidR="00917B01">
        <w:t xml:space="preserve"> and acidic compounds</w:t>
      </w:r>
      <w:r w:rsidR="001B5692">
        <w:t xml:space="preserve"> (OA, CBDA, THCA, CBGA)</w:t>
      </w:r>
      <w:r w:rsidR="00917B01">
        <w:t xml:space="preserve"> was achieved using methanol and acidic methanol, respectively. </w:t>
      </w:r>
      <w:r w:rsidR="00345386">
        <w:t>Y</w:t>
      </w:r>
      <w:r w:rsidR="00345386" w:rsidRPr="00542E3E">
        <w:t>ellow</w:t>
      </w:r>
      <w:r w:rsidR="00345386">
        <w:t xml:space="preserve"> and </w:t>
      </w:r>
      <w:r w:rsidR="00345386" w:rsidRPr="00542E3E">
        <w:t>orange</w:t>
      </w:r>
      <w:r w:rsidR="00345386">
        <w:t xml:space="preserve"> </w:t>
      </w:r>
      <w:r w:rsidR="00345386" w:rsidRPr="00542E3E">
        <w:t xml:space="preserve">pigments were </w:t>
      </w:r>
      <w:r w:rsidR="00345386">
        <w:t>rinsed off</w:t>
      </w:r>
      <w:r w:rsidR="00345386" w:rsidRPr="00542E3E">
        <w:t xml:space="preserve"> before the </w:t>
      </w:r>
      <w:r w:rsidR="00345386" w:rsidRPr="00542E3E">
        <w:lastRenderedPageBreak/>
        <w:t>concentration step</w:t>
      </w:r>
      <w:r w:rsidR="00345386">
        <w:t>s, while</w:t>
      </w:r>
      <w:r w:rsidR="00345386" w:rsidRPr="00542E3E">
        <w:t xml:space="preserve"> some </w:t>
      </w:r>
      <w:r w:rsidR="00345386">
        <w:t>dark</w:t>
      </w:r>
      <w:r w:rsidR="00345386" w:rsidRPr="00542E3E">
        <w:t>-green pigment</w:t>
      </w:r>
      <w:r w:rsidR="00345386">
        <w:t>s</w:t>
      </w:r>
      <w:r w:rsidR="00345386" w:rsidRPr="00542E3E">
        <w:t xml:space="preserve"> w</w:t>
      </w:r>
      <w:r w:rsidR="00345386">
        <w:t>ere</w:t>
      </w:r>
      <w:r w:rsidR="00345386" w:rsidRPr="00542E3E">
        <w:t xml:space="preserve"> retained on the column even after the elution with acidified methanol.</w:t>
      </w:r>
      <w:r w:rsidR="00345386">
        <w:t xml:space="preserve"> </w:t>
      </w:r>
      <w:r w:rsidR="006023AA">
        <w:t xml:space="preserve">However, challenges remained with recovery of the neutral components as all solvents investigated that recovered the targeted neutral components also recovered certain bright-green pigments. </w:t>
      </w:r>
      <w:r w:rsidR="001B5692">
        <w:t>These green pigments</w:t>
      </w:r>
      <w:r w:rsidR="001C1E81">
        <w:t xml:space="preserve"> in the collected neutral fraction are not volatile</w:t>
      </w:r>
      <w:r w:rsidR="000D634B">
        <w:t xml:space="preserve"> even after </w:t>
      </w:r>
      <w:proofErr w:type="spellStart"/>
      <w:r w:rsidR="000D634B">
        <w:t>silylation</w:t>
      </w:r>
      <w:proofErr w:type="spellEnd"/>
      <w:r w:rsidR="001C1E81">
        <w:t xml:space="preserve"> and </w:t>
      </w:r>
      <w:r w:rsidR="00E806FA">
        <w:t>may</w:t>
      </w:r>
      <w:r w:rsidR="001C1E81">
        <w:t xml:space="preserve"> form active reaction</w:t>
      </w:r>
      <w:r w:rsidR="0030181E">
        <w:t xml:space="preserve"> sites</w:t>
      </w:r>
      <w:r w:rsidR="001C1E81">
        <w:t xml:space="preserve"> in the injection port. </w:t>
      </w:r>
      <w:r w:rsidR="0030181E">
        <w:t xml:space="preserve">To solve this issue, additional cleanup was needed. Initially, the neutral fraction collected from </w:t>
      </w:r>
      <w:r w:rsidR="00787708">
        <w:t xml:space="preserve">the </w:t>
      </w:r>
      <w:r w:rsidR="0030181E">
        <w:t>XA</w:t>
      </w:r>
      <w:r w:rsidR="00787708">
        <w:t xml:space="preserve"> column</w:t>
      </w:r>
      <w:r w:rsidR="0030181E">
        <w:t xml:space="preserve"> was</w:t>
      </w:r>
      <w:r w:rsidR="00BC53EE">
        <w:t xml:space="preserve"> subject to solvent reduction and fractionation</w:t>
      </w:r>
      <w:r w:rsidR="00787708">
        <w:t xml:space="preserve"> on the GCB column</w:t>
      </w:r>
      <w:r w:rsidR="00BC53EE">
        <w:t xml:space="preserve">. </w:t>
      </w:r>
      <w:r w:rsidR="005A3D5D">
        <w:t>Later</w:t>
      </w:r>
      <w:r w:rsidR="00BC53EE">
        <w:t xml:space="preserve">, to better estimate the true recovery of </w:t>
      </w:r>
      <w:r w:rsidR="00787708">
        <w:t xml:space="preserve">the </w:t>
      </w:r>
      <w:r w:rsidR="00BC53EE">
        <w:t>GCB</w:t>
      </w:r>
      <w:r w:rsidR="00787708">
        <w:t xml:space="preserve"> column</w:t>
      </w:r>
      <w:r w:rsidR="00095B8E">
        <w:t xml:space="preserve"> alone</w:t>
      </w:r>
      <w:r w:rsidR="00BC53EE">
        <w:t xml:space="preserve"> and </w:t>
      </w:r>
      <w:r w:rsidR="00787708">
        <w:t xml:space="preserve">to </w:t>
      </w:r>
      <w:r w:rsidR="00BC53EE">
        <w:t xml:space="preserve">have the highest recovery possible, </w:t>
      </w:r>
      <w:r w:rsidR="009245F0">
        <w:t xml:space="preserve">the </w:t>
      </w:r>
      <w:r w:rsidR="00BC53EE">
        <w:t xml:space="preserve">methanol extract of </w:t>
      </w:r>
      <w:r w:rsidR="009245F0">
        <w:t xml:space="preserve">the </w:t>
      </w:r>
      <w:r w:rsidR="00BC53EE">
        <w:t xml:space="preserve">algae was </w:t>
      </w:r>
      <w:r w:rsidR="009245F0">
        <w:t xml:space="preserve">divided into two steams, with one separated with </w:t>
      </w:r>
      <w:r w:rsidR="00787708">
        <w:t xml:space="preserve">the </w:t>
      </w:r>
      <w:r w:rsidR="009245F0">
        <w:t>XA</w:t>
      </w:r>
      <w:r w:rsidR="00787708">
        <w:t xml:space="preserve"> column</w:t>
      </w:r>
      <w:r w:rsidR="009245F0">
        <w:t xml:space="preserve"> to </w:t>
      </w:r>
      <w:r w:rsidR="005D64E4">
        <w:t xml:space="preserve">recover </w:t>
      </w:r>
      <w:r w:rsidR="009245F0">
        <w:t xml:space="preserve">acidic components and the other </w:t>
      </w:r>
      <w:r w:rsidR="00BC53EE">
        <w:t xml:space="preserve">directly loaded on </w:t>
      </w:r>
      <w:r w:rsidR="00787708">
        <w:t xml:space="preserve">a </w:t>
      </w:r>
      <w:r w:rsidR="00BC53EE">
        <w:t>GCB</w:t>
      </w:r>
      <w:r w:rsidR="00787708">
        <w:t xml:space="preserve"> column</w:t>
      </w:r>
      <w:r w:rsidR="009A0ECD">
        <w:t xml:space="preserve"> to recover neutral compounds</w:t>
      </w:r>
      <w:r w:rsidR="00BC53EE">
        <w:t xml:space="preserve">. </w:t>
      </w:r>
      <w:r w:rsidR="00787708">
        <w:t xml:space="preserve">The </w:t>
      </w:r>
      <w:r w:rsidR="00BC53EE">
        <w:t>GCB</w:t>
      </w:r>
      <w:r w:rsidR="00787708">
        <w:t xml:space="preserve"> column</w:t>
      </w:r>
      <w:r w:rsidR="00BC53EE">
        <w:t xml:space="preserve"> </w:t>
      </w:r>
      <w:r w:rsidR="00345386">
        <w:t>firmly</w:t>
      </w:r>
      <w:r w:rsidR="00BC53EE">
        <w:t xml:space="preserve"> retained all the pigments</w:t>
      </w:r>
      <w:r w:rsidR="00CB5BF0">
        <w:t xml:space="preserve">, </w:t>
      </w:r>
      <w:r w:rsidR="00BC53EE">
        <w:t>acidic analytes</w:t>
      </w:r>
      <w:r w:rsidR="00CB5BF0">
        <w:t>, and CBN</w:t>
      </w:r>
      <w:r w:rsidR="00BC53EE">
        <w:t xml:space="preserve"> in the sorbent</w:t>
      </w:r>
      <w:r w:rsidR="00345386">
        <w:t xml:space="preserve"> during all kinds of solvent wash</w:t>
      </w:r>
      <w:r w:rsidR="00BC53EE">
        <w:t>, while O</w:t>
      </w:r>
      <w:r w:rsidR="005A3D5D">
        <w:t>L</w:t>
      </w:r>
      <w:r w:rsidR="00BC53EE">
        <w:t xml:space="preserve">, </w:t>
      </w:r>
      <w:r w:rsidR="00BC53EE">
        <w:rPr>
          <w:rFonts w:hint="eastAsia"/>
        </w:rPr>
        <w:t>CBD</w:t>
      </w:r>
      <w:r w:rsidR="00BC53EE">
        <w:t xml:space="preserve">, and </w:t>
      </w:r>
      <w:r w:rsidR="00BC53EE">
        <w:rPr>
          <w:rFonts w:hint="eastAsia"/>
        </w:rPr>
        <w:t>THC</w:t>
      </w:r>
      <w:r w:rsidR="00CB5BF0">
        <w:t xml:space="preserve"> </w:t>
      </w:r>
      <w:r w:rsidR="009245F0">
        <w:t xml:space="preserve">could </w:t>
      </w:r>
      <w:r w:rsidR="00095B8E">
        <w:t>be collected using</w:t>
      </w:r>
      <w:r w:rsidR="00BC53EE">
        <w:t xml:space="preserve"> acidic isopropanol. </w:t>
      </w:r>
      <w:r w:rsidR="00CB5BF0">
        <w:t>As a</w:t>
      </w:r>
      <w:r w:rsidR="00092E70">
        <w:t xml:space="preserve"> downstream</w:t>
      </w:r>
      <w:r w:rsidR="00CB5BF0">
        <w:t xml:space="preserve"> degradation product </w:t>
      </w:r>
      <w:r w:rsidR="005A3D5D">
        <w:t>of THC</w:t>
      </w:r>
      <w:r w:rsidR="00095B8E">
        <w:t xml:space="preserve"> </w:t>
      </w:r>
      <w:r w:rsidR="00095B8E" w:rsidRPr="00095B8E">
        <w:rPr>
          <w:rFonts w:ascii="Calibri" w:hAnsi="Calibri" w:cs="Calibri"/>
        </w:rPr>
        <w:t>(</w:t>
      </w:r>
      <w:proofErr w:type="spellStart"/>
      <w:r w:rsidR="00095B8E" w:rsidRPr="00095B8E">
        <w:rPr>
          <w:rFonts w:ascii="Calibri" w:hAnsi="Calibri" w:cs="Calibri"/>
        </w:rPr>
        <w:t>Hazekamp</w:t>
      </w:r>
      <w:proofErr w:type="spellEnd"/>
      <w:r w:rsidR="00095B8E" w:rsidRPr="00095B8E">
        <w:rPr>
          <w:rFonts w:ascii="Calibri" w:hAnsi="Calibri" w:cs="Calibri"/>
        </w:rPr>
        <w:t xml:space="preserve"> et al., 2010)</w:t>
      </w:r>
      <w:r w:rsidR="00CB5BF0">
        <w:t xml:space="preserve">, </w:t>
      </w:r>
      <w:r w:rsidR="0068753E">
        <w:t xml:space="preserve">CBN </w:t>
      </w:r>
      <w:r w:rsidR="00CB5BF0">
        <w:t xml:space="preserve">was </w:t>
      </w:r>
      <w:r w:rsidR="002A5E63">
        <w:t>out of the focus of</w:t>
      </w:r>
      <w:r w:rsidR="005A3D5D">
        <w:t xml:space="preserve"> this study. </w:t>
      </w:r>
      <w:r w:rsidR="00CB5BF0">
        <w:t>It was included</w:t>
      </w:r>
      <w:r w:rsidR="005A3D5D">
        <w:t xml:space="preserve"> solely</w:t>
      </w:r>
      <w:r w:rsidR="00CB5BF0">
        <w:t xml:space="preserve"> because it came in a more affordable standard solution</w:t>
      </w:r>
      <w:r w:rsidR="001F65F0">
        <w:t>, and because its data in other parts of this study may be interesting to some readers.</w:t>
      </w:r>
    </w:p>
    <w:p w14:paraId="72269ABB" w14:textId="708ECDD3" w:rsidR="00542E3E" w:rsidRPr="00542E3E" w:rsidRDefault="007C417F" w:rsidP="00A21ADB">
      <w:r>
        <w:t>Methanol extract</w:t>
      </w:r>
      <w:r w:rsidR="00EE7168">
        <w:t>ion</w:t>
      </w:r>
      <w:r w:rsidR="00542E3E" w:rsidRPr="00542E3E">
        <w:t xml:space="preserve"> without SPE cleanup yielded sediments</w:t>
      </w:r>
      <w:r>
        <w:t xml:space="preserve"> during </w:t>
      </w:r>
      <w:proofErr w:type="spellStart"/>
      <w:r>
        <w:t>silylation</w:t>
      </w:r>
      <w:proofErr w:type="spellEnd"/>
      <w:r w:rsidR="00542E3E" w:rsidRPr="00542E3E">
        <w:t xml:space="preserve">, which required a further filtration step before GC-MS analysis. </w:t>
      </w:r>
      <w:proofErr w:type="spellStart"/>
      <w:r w:rsidR="00E806FA">
        <w:t>Silylated</w:t>
      </w:r>
      <w:proofErr w:type="spellEnd"/>
      <w:r w:rsidR="00E806FA">
        <w:t xml:space="preserve"> </w:t>
      </w:r>
      <w:r w:rsidR="00542E3E" w:rsidRPr="00542E3E">
        <w:t>SPE fractions</w:t>
      </w:r>
      <w:r w:rsidR="00C053D3">
        <w:t xml:space="preserve"> from </w:t>
      </w:r>
      <w:r w:rsidR="00EE7168">
        <w:t xml:space="preserve">the </w:t>
      </w:r>
      <w:r w:rsidR="00C053D3">
        <w:t>XA and GCB</w:t>
      </w:r>
      <w:r w:rsidR="00EE7168">
        <w:t xml:space="preserve"> columns</w:t>
      </w:r>
      <w:r w:rsidR="00542E3E" w:rsidRPr="00542E3E">
        <w:t xml:space="preserve"> remained clear</w:t>
      </w:r>
      <w:r>
        <w:t>, even</w:t>
      </w:r>
      <w:r w:rsidR="00542E3E" w:rsidRPr="00542E3E">
        <w:t xml:space="preserve"> when left in the autosampler tray or stored</w:t>
      </w:r>
      <w:r w:rsidR="00905EBB">
        <w:t xml:space="preserve"> at </w:t>
      </w:r>
      <w:r w:rsidR="001F65F0">
        <w:t>-</w:t>
      </w:r>
      <w:r w:rsidR="00905EBB">
        <w:t>20</w:t>
      </w:r>
      <w:r w:rsidR="00905EBB">
        <w:rPr>
          <w:rFonts w:ascii="Calibri" w:hAnsi="Calibri"/>
        </w:rPr>
        <w:t>°</w:t>
      </w:r>
      <w:r w:rsidR="00905EBB">
        <w:t>C</w:t>
      </w:r>
      <w:r w:rsidR="00542E3E" w:rsidRPr="00542E3E">
        <w:t xml:space="preserve"> </w:t>
      </w:r>
      <w:r w:rsidR="005A3D5D">
        <w:t xml:space="preserve">for </w:t>
      </w:r>
      <w:r w:rsidR="00EE7168">
        <w:t xml:space="preserve">several </w:t>
      </w:r>
      <w:r w:rsidR="005A3D5D">
        <w:t>weeks</w:t>
      </w:r>
      <w:r w:rsidR="00542E3E" w:rsidRPr="00542E3E">
        <w:t>.</w:t>
      </w:r>
      <w:r w:rsidR="00C053D3">
        <w:t xml:space="preserve"> </w:t>
      </w:r>
      <w:r w:rsidR="00542E3E" w:rsidRPr="00542E3E">
        <w:t xml:space="preserve">GC-MS chromatographs of </w:t>
      </w:r>
      <w:proofErr w:type="spellStart"/>
      <w:r w:rsidR="00542E3E" w:rsidRPr="00542E3E">
        <w:t>silylated</w:t>
      </w:r>
      <w:proofErr w:type="spellEnd"/>
      <w:r w:rsidR="00542E3E" w:rsidRPr="00542E3E">
        <w:t xml:space="preserve"> SPE fractions </w:t>
      </w:r>
      <w:r w:rsidR="00657C0D">
        <w:t>we</w:t>
      </w:r>
      <w:r w:rsidR="00542E3E" w:rsidRPr="00542E3E">
        <w:t>re much cleaner compar</w:t>
      </w:r>
      <w:r w:rsidR="005A3D5D">
        <w:t>ed</w:t>
      </w:r>
      <w:r w:rsidR="00542E3E" w:rsidRPr="00542E3E">
        <w:t xml:space="preserve"> to </w:t>
      </w:r>
      <w:r w:rsidR="00657C0D">
        <w:t xml:space="preserve">the </w:t>
      </w:r>
      <w:proofErr w:type="spellStart"/>
      <w:r w:rsidR="00542E3E" w:rsidRPr="00542E3E">
        <w:t>silylated</w:t>
      </w:r>
      <w:proofErr w:type="spellEnd"/>
      <w:r w:rsidR="00542E3E" w:rsidRPr="00542E3E">
        <w:t xml:space="preserve"> methanol extract (Fig</w:t>
      </w:r>
      <w:r w:rsidR="00280ACA">
        <w:t xml:space="preserve">. S1. </w:t>
      </w:r>
      <w:r w:rsidR="00F26FBF">
        <w:t xml:space="preserve">a &amp; </w:t>
      </w:r>
      <w:r w:rsidR="00280ACA">
        <w:t xml:space="preserve">S1. </w:t>
      </w:r>
      <w:r w:rsidR="00F26FBF">
        <w:t>b</w:t>
      </w:r>
      <w:r w:rsidR="00542E3E" w:rsidRPr="00542E3E">
        <w:t xml:space="preserve">). Most peaks representing </w:t>
      </w:r>
      <w:proofErr w:type="spellStart"/>
      <w:r w:rsidR="00C053D3">
        <w:t>silylated</w:t>
      </w:r>
      <w:proofErr w:type="spellEnd"/>
      <w:r w:rsidR="00542E3E" w:rsidRPr="00542E3E">
        <w:t xml:space="preserve"> amino acids, sugars, and polyols were </w:t>
      </w:r>
      <w:r w:rsidR="009A0ECD">
        <w:t xml:space="preserve">removed by </w:t>
      </w:r>
      <w:r w:rsidR="00542E3E" w:rsidRPr="00542E3E">
        <w:t xml:space="preserve">SPE cleanup. </w:t>
      </w:r>
      <w:r w:rsidR="004E5DCE">
        <w:t xml:space="preserve">These included </w:t>
      </w:r>
      <w:r w:rsidR="00542E3E" w:rsidRPr="00542E3E">
        <w:t xml:space="preserve">alanine, valine, leucine, glycerol, proline, serine, threonine, glutamic acid, phenylalanine, 1,2,4,5-cyclohexanetetrol, asparagine, </w:t>
      </w:r>
      <w:proofErr w:type="spellStart"/>
      <w:r w:rsidR="00542E3E" w:rsidRPr="00542E3E">
        <w:t>ribonic</w:t>
      </w:r>
      <w:proofErr w:type="spellEnd"/>
      <w:r w:rsidR="00542E3E" w:rsidRPr="00542E3E">
        <w:t xml:space="preserve"> acid, </w:t>
      </w:r>
      <w:proofErr w:type="spellStart"/>
      <w:r w:rsidR="00542E3E" w:rsidRPr="00542E3E">
        <w:t>xylopyranose</w:t>
      </w:r>
      <w:proofErr w:type="spellEnd"/>
      <w:r w:rsidR="00542E3E" w:rsidRPr="00542E3E">
        <w:t xml:space="preserve">, </w:t>
      </w:r>
      <w:proofErr w:type="spellStart"/>
      <w:r w:rsidR="00542E3E" w:rsidRPr="00542E3E">
        <w:t>galactopyranose</w:t>
      </w:r>
      <w:proofErr w:type="spellEnd"/>
      <w:r w:rsidR="00542E3E" w:rsidRPr="00542E3E">
        <w:t xml:space="preserve">, </w:t>
      </w:r>
      <w:proofErr w:type="spellStart"/>
      <w:r w:rsidR="00542E3E" w:rsidRPr="00542E3E">
        <w:t>mannopyranose</w:t>
      </w:r>
      <w:proofErr w:type="spellEnd"/>
      <w:r w:rsidR="00542E3E" w:rsidRPr="00542E3E">
        <w:t xml:space="preserve">, glucopyranose, mannitol, glucopyranose, glycerol-glycosides, </w:t>
      </w:r>
      <w:proofErr w:type="spellStart"/>
      <w:r w:rsidR="00542E3E" w:rsidRPr="00542E3E">
        <w:t>mannobiose</w:t>
      </w:r>
      <w:proofErr w:type="spellEnd"/>
      <w:r w:rsidR="00542E3E" w:rsidRPr="00542E3E">
        <w:t xml:space="preserve">, and lactose. </w:t>
      </w:r>
      <w:r w:rsidR="00E806FA">
        <w:t>F</w:t>
      </w:r>
      <w:r w:rsidR="00542E3E" w:rsidRPr="00542E3E">
        <w:t xml:space="preserve">atty acids, </w:t>
      </w:r>
      <w:r w:rsidR="009A0ECD">
        <w:t>including</w:t>
      </w:r>
      <w:r w:rsidR="00542E3E" w:rsidRPr="00542E3E">
        <w:t xml:space="preserve"> myristic acid, </w:t>
      </w:r>
      <w:proofErr w:type="spellStart"/>
      <w:r w:rsidR="00542E3E" w:rsidRPr="00542E3E">
        <w:t>palmitelaidic</w:t>
      </w:r>
      <w:proofErr w:type="spellEnd"/>
      <w:r w:rsidR="00542E3E" w:rsidRPr="00542E3E">
        <w:t xml:space="preserve"> acid, palmitic acid, </w:t>
      </w:r>
      <w:proofErr w:type="spellStart"/>
      <w:r w:rsidR="00542E3E" w:rsidRPr="00542E3E">
        <w:t>eicosapentaenoic</w:t>
      </w:r>
      <w:proofErr w:type="spellEnd"/>
      <w:r w:rsidR="00542E3E" w:rsidRPr="00542E3E">
        <w:t xml:space="preserve"> acid, linoleic acid, octadecenoic acid, linolenic acid, and octadecenoic acid, were</w:t>
      </w:r>
      <w:r w:rsidR="009A0ECD">
        <w:t xml:space="preserve"> not removed by SPE cleanup.</w:t>
      </w:r>
      <w:r w:rsidR="00542E3E" w:rsidRPr="00542E3E">
        <w:t xml:space="preserve"> </w:t>
      </w:r>
      <w:r w:rsidR="009A0ECD">
        <w:t>They were</w:t>
      </w:r>
      <w:r w:rsidR="00657C0D">
        <w:t xml:space="preserve"> </w:t>
      </w:r>
      <w:r w:rsidR="00542E3E" w:rsidRPr="00542E3E">
        <w:t xml:space="preserve">present in the collected fractions from both </w:t>
      </w:r>
      <w:r w:rsidR="00542E3E" w:rsidRPr="00542E3E">
        <w:rPr>
          <w:rFonts w:hint="eastAsia"/>
        </w:rPr>
        <w:t>GCB</w:t>
      </w:r>
      <w:r w:rsidR="00542E3E" w:rsidRPr="00542E3E">
        <w:t xml:space="preserve"> and XA columns. GCB</w:t>
      </w:r>
      <w:r w:rsidR="004E5DCE">
        <w:t xml:space="preserve"> cleanup</w:t>
      </w:r>
      <w:r w:rsidR="00542E3E" w:rsidRPr="00542E3E">
        <w:t xml:space="preserve"> fully resolved </w:t>
      </w:r>
      <w:proofErr w:type="spellStart"/>
      <w:r w:rsidR="00C053D3">
        <w:t>silylated</w:t>
      </w:r>
      <w:proofErr w:type="spellEnd"/>
      <w:r w:rsidR="00C053D3">
        <w:t xml:space="preserve"> </w:t>
      </w:r>
      <w:r w:rsidR="00542E3E" w:rsidRPr="00542E3E">
        <w:t>OL, CBD, and THC from interfering peaks (Fig</w:t>
      </w:r>
      <w:r w:rsidR="00F85FD4">
        <w:t xml:space="preserve">. </w:t>
      </w:r>
      <w:r w:rsidR="00280ACA">
        <w:t xml:space="preserve">S1. </w:t>
      </w:r>
      <w:r w:rsidR="00F85FD4">
        <w:t>c</w:t>
      </w:r>
      <w:r w:rsidR="00542E3E" w:rsidRPr="00542E3E">
        <w:t>)</w:t>
      </w:r>
      <w:r w:rsidR="00657C0D">
        <w:t xml:space="preserve">, making </w:t>
      </w:r>
      <w:r w:rsidR="00542E3E" w:rsidRPr="00542E3E">
        <w:t xml:space="preserve">peak identification using selected confirmation ions much easier and more reliable. Although XA </w:t>
      </w:r>
      <w:r w:rsidR="004E5DCE">
        <w:t xml:space="preserve">cleanup </w:t>
      </w:r>
      <w:r w:rsidR="00542E3E" w:rsidRPr="00542E3E">
        <w:t>did not fully resolve OA</w:t>
      </w:r>
      <w:r w:rsidR="006712A6">
        <w:t xml:space="preserve"> and CBDA</w:t>
      </w:r>
      <w:r w:rsidR="00542E3E" w:rsidRPr="00542E3E">
        <w:t xml:space="preserve"> from</w:t>
      </w:r>
      <w:r w:rsidR="006712A6">
        <w:t xml:space="preserve"> the interferences occurred around their retention times,</w:t>
      </w:r>
      <w:r w:rsidR="00542E3E" w:rsidRPr="00542E3E">
        <w:t xml:space="preserve"> the </w:t>
      </w:r>
      <w:r w:rsidR="00542E3E" w:rsidRPr="00051B04">
        <w:t>resolution</w:t>
      </w:r>
      <w:r w:rsidR="00542E3E" w:rsidRPr="00542E3E">
        <w:t xml:space="preserve"> was </w:t>
      </w:r>
      <w:r w:rsidR="00657C0D">
        <w:t>sufficient</w:t>
      </w:r>
      <w:r w:rsidR="00542E3E" w:rsidRPr="00542E3E">
        <w:t xml:space="preserve"> for compound confirmation</w:t>
      </w:r>
      <w:r w:rsidR="00F85FD4">
        <w:t xml:space="preserve"> (Fig.</w:t>
      </w:r>
      <w:r w:rsidR="00280ACA">
        <w:t xml:space="preserve"> S1. </w:t>
      </w:r>
      <w:r w:rsidR="00F85FD4">
        <w:t>d)</w:t>
      </w:r>
      <w:r w:rsidR="00542E3E" w:rsidRPr="00542E3E">
        <w:t xml:space="preserve">. </w:t>
      </w:r>
    </w:p>
    <w:p w14:paraId="4E0AFBF5" w14:textId="3987C68A" w:rsidR="00542E3E" w:rsidRPr="00697391" w:rsidRDefault="00542E3E" w:rsidP="00982500">
      <w:pPr>
        <w:pStyle w:val="Heading2"/>
      </w:pPr>
      <w:r w:rsidRPr="00697391">
        <w:t xml:space="preserve">Method </w:t>
      </w:r>
      <w:r w:rsidR="00D06B29">
        <w:t>v</w:t>
      </w:r>
      <w:r w:rsidRPr="00697391">
        <w:t xml:space="preserve">alidation  </w:t>
      </w:r>
    </w:p>
    <w:p w14:paraId="0472911F" w14:textId="7375D3B3" w:rsidR="00AF4420" w:rsidRPr="006E43A4" w:rsidRDefault="00697391" w:rsidP="006E43A4">
      <w:pPr>
        <w:pStyle w:val="Heading3"/>
      </w:pPr>
      <w:r w:rsidRPr="006E43A4">
        <w:t>Selectivity, linearity, and range</w:t>
      </w:r>
    </w:p>
    <w:p w14:paraId="0093B85D" w14:textId="21C9B058" w:rsidR="00634652" w:rsidRPr="006E43A4" w:rsidRDefault="00C82D1F" w:rsidP="00C72F62">
      <w:pPr>
        <w:pStyle w:val="Noindent"/>
      </w:pPr>
      <w:r>
        <w:t>No interferences from endogenous substances that would impact the accuracy of the method were observed</w:t>
      </w:r>
      <w:r w:rsidR="008F33D3">
        <w:t xml:space="preserve"> (Fig. </w:t>
      </w:r>
      <w:r w:rsidR="00280ACA">
        <w:t>S2</w:t>
      </w:r>
      <w:r w:rsidR="008F33D3">
        <w:t>).</w:t>
      </w:r>
      <w:r>
        <w:t xml:space="preserve"> </w:t>
      </w:r>
      <w:r w:rsidR="008A546A">
        <w:t>Resolution between</w:t>
      </w:r>
      <w:r w:rsidR="007977CC">
        <w:t xml:space="preserve"> any close peaks was larger than 2</w:t>
      </w:r>
      <w:r w:rsidR="008F33D3">
        <w:t>.</w:t>
      </w:r>
      <w:r w:rsidR="007977CC">
        <w:t xml:space="preserve"> </w:t>
      </w:r>
      <w:r w:rsidR="00F802F1" w:rsidRPr="00542E3E">
        <w:t xml:space="preserve">Linearity of all the target compounds </w:t>
      </w:r>
      <w:r w:rsidR="00657C0D">
        <w:t>was</w:t>
      </w:r>
      <w:r w:rsidR="00657C0D" w:rsidRPr="00542E3E">
        <w:t xml:space="preserve"> </w:t>
      </w:r>
      <w:r w:rsidR="00F802F1" w:rsidRPr="00542E3E">
        <w:t xml:space="preserve">generally satisfactory (0.983 </w:t>
      </w:r>
      <w:r w:rsidR="00F802F1" w:rsidRPr="004C6307">
        <w:rPr>
          <w:rFonts w:cstheme="minorHAnsi"/>
        </w:rPr>
        <w:t>≤</w:t>
      </w:r>
      <w:r w:rsidR="00F802F1" w:rsidRPr="004C6307">
        <w:t xml:space="preserve"> </w:t>
      </w:r>
      <w:r w:rsidR="00F802F1" w:rsidRPr="004C6307">
        <w:rPr>
          <w:rFonts w:cstheme="minorHAnsi"/>
        </w:rPr>
        <w:t>R</w:t>
      </w:r>
      <w:r w:rsidR="00F802F1" w:rsidRPr="004C6307">
        <w:rPr>
          <w:rFonts w:cstheme="minorHAnsi"/>
          <w:vertAlign w:val="superscript"/>
        </w:rPr>
        <w:t>2</w:t>
      </w:r>
      <w:r w:rsidR="00F802F1" w:rsidRPr="00542E3E">
        <w:t xml:space="preserve"> </w:t>
      </w:r>
      <w:r w:rsidR="00F802F1" w:rsidRPr="00542E3E">
        <w:rPr>
          <w:rFonts w:cstheme="minorHAnsi"/>
        </w:rPr>
        <w:t>≤</w:t>
      </w:r>
      <w:r w:rsidR="00F802F1" w:rsidRPr="00542E3E">
        <w:t xml:space="preserve"> 0.997) in the two testing ranges (Table </w:t>
      </w:r>
      <w:r w:rsidR="00261E65">
        <w:t>S</w:t>
      </w:r>
      <w:r w:rsidR="00F802F1" w:rsidRPr="00542E3E">
        <w:rPr>
          <w:rFonts w:hint="eastAsia"/>
        </w:rPr>
        <w:t>2</w:t>
      </w:r>
      <w:r w:rsidR="00F802F1" w:rsidRPr="00542E3E">
        <w:t xml:space="preserve">). Visual inspection and residual analysis revealed a </w:t>
      </w:r>
      <w:r w:rsidR="004E5DCE">
        <w:t xml:space="preserve">slightly </w:t>
      </w:r>
      <w:r w:rsidR="00F802F1" w:rsidRPr="00542E3E">
        <w:t>curv</w:t>
      </w:r>
      <w:r w:rsidR="00657C0D">
        <w:t>ed</w:t>
      </w:r>
      <w:r w:rsidR="00F802F1" w:rsidRPr="00542E3E">
        <w:t xml:space="preserve"> trend in the regression lines for most compounds in both ranges. This was also reflected in the increased slope of regression lines in the higher concentration range. Quadratic models showed improved fitting (Table </w:t>
      </w:r>
      <w:r w:rsidR="00261E65">
        <w:t>S</w:t>
      </w:r>
      <w:r w:rsidR="00F802F1" w:rsidRPr="00542E3E">
        <w:t xml:space="preserve">3). However, as the improvement </w:t>
      </w:r>
      <w:r w:rsidR="004A38DA">
        <w:t>wa</w:t>
      </w:r>
      <w:r w:rsidR="00F802F1" w:rsidRPr="00542E3E">
        <w:t>s minimum, linear model</w:t>
      </w:r>
      <w:r w:rsidR="005E1E7A">
        <w:t>s</w:t>
      </w:r>
      <w:r w:rsidR="00F802F1" w:rsidRPr="00542E3E">
        <w:t xml:space="preserve"> w</w:t>
      </w:r>
      <w:r w:rsidR="005E1E7A">
        <w:t>ere</w:t>
      </w:r>
      <w:r w:rsidR="00F802F1" w:rsidRPr="00542E3E">
        <w:t xml:space="preserve"> chosen for standard </w:t>
      </w:r>
      <w:r w:rsidR="00F802F1" w:rsidRPr="00D06B29">
        <w:t>calibration</w:t>
      </w:r>
      <w:r w:rsidR="00F802F1" w:rsidRPr="00542E3E">
        <w:t xml:space="preserve"> in this study. If only one calibration curve is </w:t>
      </w:r>
      <w:r w:rsidR="00F802F1">
        <w:t>desir</w:t>
      </w:r>
      <w:r w:rsidR="00F802F1" w:rsidRPr="00542E3E">
        <w:t xml:space="preserve">ed for a wider concentration range, a quadratic model </w:t>
      </w:r>
      <w:r w:rsidR="005E1E7A">
        <w:t xml:space="preserve">would likely </w:t>
      </w:r>
      <w:r w:rsidR="00F802F1">
        <w:t>be necessary</w:t>
      </w:r>
      <w:r w:rsidR="00F802F1" w:rsidRPr="00542E3E">
        <w:t xml:space="preserve">. </w:t>
      </w:r>
      <w:r w:rsidR="00634652">
        <w:t xml:space="preserve">The two </w:t>
      </w:r>
      <w:r w:rsidR="00D13EC4">
        <w:t>validated</w:t>
      </w:r>
      <w:r w:rsidR="00634652">
        <w:t xml:space="preserve"> ranges correspond to </w:t>
      </w:r>
      <w:r w:rsidR="005153B9">
        <w:t xml:space="preserve">50 </w:t>
      </w:r>
      <w:r w:rsidR="00634652">
        <w:t xml:space="preserve">– 500 ng and </w:t>
      </w:r>
      <w:r w:rsidR="005153B9">
        <w:t>1250</w:t>
      </w:r>
      <w:r w:rsidR="00634652">
        <w:t xml:space="preserve"> – </w:t>
      </w:r>
      <w:r w:rsidR="005153B9">
        <w:t>7500</w:t>
      </w:r>
      <w:r w:rsidR="00634652">
        <w:t xml:space="preserve"> </w:t>
      </w:r>
      <w:r w:rsidR="005153B9">
        <w:rPr>
          <w:rFonts w:cstheme="minorHAnsi"/>
        </w:rPr>
        <w:t>n</w:t>
      </w:r>
      <w:r w:rsidR="00634652">
        <w:t>g</w:t>
      </w:r>
      <w:r w:rsidR="006452D1">
        <w:t xml:space="preserve"> </w:t>
      </w:r>
      <w:r w:rsidR="00D13EC4">
        <w:t>of each standard</w:t>
      </w:r>
      <w:r w:rsidR="006452D1">
        <w:t xml:space="preserve"> in</w:t>
      </w:r>
      <w:r w:rsidR="00D13EC4">
        <w:t xml:space="preserve"> </w:t>
      </w:r>
      <w:r w:rsidR="006452D1">
        <w:t>50.0 mL algae culture</w:t>
      </w:r>
      <w:r w:rsidR="00D13EC4">
        <w:t>. These</w:t>
      </w:r>
      <w:r w:rsidR="006452D1">
        <w:t xml:space="preserve"> </w:t>
      </w:r>
      <w:r w:rsidR="005153B9">
        <w:t>are</w:t>
      </w:r>
      <w:r w:rsidR="006452D1">
        <w:t xml:space="preserve"> equivalent to </w:t>
      </w:r>
      <w:r w:rsidR="00634652">
        <w:t>1 – 10 ppb and 25 – 150 ppb in the algae culture</w:t>
      </w:r>
      <w:r w:rsidR="007641F2">
        <w:t xml:space="preserve"> (50.0 mL) or</w:t>
      </w:r>
      <w:r w:rsidR="00A34CAE">
        <w:t xml:space="preserve"> 0.05 – 0.5 ppm and 1.25 – 7.5 ppm in methanol</w:t>
      </w:r>
      <w:r w:rsidR="001F65F0">
        <w:t xml:space="preserve"> extract</w:t>
      </w:r>
      <w:r w:rsidR="008E6A65">
        <w:t xml:space="preserve"> (1.00 mL)</w:t>
      </w:r>
      <w:r w:rsidR="00A34CAE">
        <w:t xml:space="preserve">. </w:t>
      </w:r>
      <w:r w:rsidR="001F65F0">
        <w:t>Th</w:t>
      </w:r>
      <w:r w:rsidR="002C3E6E">
        <w:t>e</w:t>
      </w:r>
      <w:r w:rsidR="001F65F0">
        <w:t xml:space="preserve"> low </w:t>
      </w:r>
      <w:r w:rsidR="002C3E6E">
        <w:t xml:space="preserve">concentration </w:t>
      </w:r>
      <w:r w:rsidR="007641F2">
        <w:t xml:space="preserve">levels </w:t>
      </w:r>
      <w:r w:rsidR="001F65F0">
        <w:lastRenderedPageBreak/>
        <w:t>make</w:t>
      </w:r>
      <w:r w:rsidR="007641F2">
        <w:t xml:space="preserve"> </w:t>
      </w:r>
      <w:r w:rsidR="001F65F0">
        <w:t xml:space="preserve">the method suitable for </w:t>
      </w:r>
      <w:r w:rsidR="002C3E6E">
        <w:t xml:space="preserve">sensitive </w:t>
      </w:r>
      <w:r w:rsidR="001F65F0">
        <w:t>detection and quantification of very low amount</w:t>
      </w:r>
      <w:r w:rsidR="002C3E6E">
        <w:t>s</w:t>
      </w:r>
      <w:r w:rsidR="001F65F0">
        <w:t xml:space="preserve"> of cannabinoids during </w:t>
      </w:r>
      <w:r w:rsidR="002C3E6E">
        <w:t>their biosynthesis in novel aqueous matrices.</w:t>
      </w:r>
    </w:p>
    <w:p w14:paraId="43F1A791" w14:textId="70B93751" w:rsidR="00AF4420" w:rsidRPr="00AF4420" w:rsidRDefault="00697391" w:rsidP="006E43A4">
      <w:pPr>
        <w:pStyle w:val="Heading3"/>
      </w:pPr>
      <w:r w:rsidRPr="00AF4420">
        <w:t>Accuracy</w:t>
      </w:r>
    </w:p>
    <w:p w14:paraId="7AA43EAE" w14:textId="69F5C14B" w:rsidR="00AF4420" w:rsidRDefault="00AF4420" w:rsidP="00C72F62">
      <w:pPr>
        <w:pStyle w:val="Noindent"/>
        <w:rPr>
          <w:b/>
          <w:bCs/>
        </w:rPr>
      </w:pPr>
      <w:r>
        <w:t>Matrix effect</w:t>
      </w:r>
      <w:r w:rsidR="005E1E7A">
        <w:t>s</w:t>
      </w:r>
      <w:r>
        <w:t xml:space="preserve"> ranged from 61.9% to 185.4% and from 66.8% to 120.2% </w:t>
      </w:r>
      <w:r w:rsidR="008E6A65">
        <w:t>in the</w:t>
      </w:r>
      <w:r>
        <w:t xml:space="preserve"> low and</w:t>
      </w:r>
      <w:r w:rsidR="008E6A65">
        <w:t xml:space="preserve"> the</w:t>
      </w:r>
      <w:r>
        <w:t xml:space="preserve"> high concentration ranges, respectively (Table </w:t>
      </w:r>
      <w:r w:rsidR="00261E65">
        <w:t>1</w:t>
      </w:r>
      <w:r>
        <w:t>). As the</w:t>
      </w:r>
      <w:r w:rsidR="003214B0">
        <w:t xml:space="preserve"> matrix effect was </w:t>
      </w:r>
      <w:r>
        <w:t xml:space="preserve">non-negligible, especially in the lower range, </w:t>
      </w:r>
      <w:r w:rsidR="003214B0">
        <w:t xml:space="preserve">it was necessary to </w:t>
      </w:r>
      <w:r w:rsidR="008E6A65">
        <w:t>consider this effect by including the post-SPE spiked samples</w:t>
      </w:r>
      <w:r w:rsidR="003214B0">
        <w:t xml:space="preserve"> in the recovery study.</w:t>
      </w:r>
    </w:p>
    <w:p w14:paraId="29B97314" w14:textId="214150A2" w:rsidR="00910EE5" w:rsidRDefault="00542E3E" w:rsidP="00910EE5">
      <w:pPr>
        <w:rPr>
          <w:lang w:eastAsia="en-US"/>
        </w:rPr>
      </w:pPr>
      <w:r w:rsidRPr="00542E3E">
        <w:rPr>
          <w:lang w:eastAsia="en-US"/>
        </w:rPr>
        <w:t>At relatively low</w:t>
      </w:r>
      <w:r w:rsidR="00B82E69">
        <w:rPr>
          <w:lang w:eastAsia="en-US"/>
        </w:rPr>
        <w:t>er</w:t>
      </w:r>
      <w:r w:rsidR="00111701">
        <w:rPr>
          <w:lang w:eastAsia="en-US"/>
        </w:rPr>
        <w:t xml:space="preserve"> spiking </w:t>
      </w:r>
      <w:r w:rsidRPr="00542E3E">
        <w:rPr>
          <w:lang w:eastAsia="en-US"/>
        </w:rPr>
        <w:t xml:space="preserve">levels </w:t>
      </w:r>
      <w:r w:rsidR="00B82E69">
        <w:rPr>
          <w:lang w:eastAsia="en-US"/>
        </w:rPr>
        <w:t>(</w:t>
      </w:r>
      <w:r w:rsidR="001F458A">
        <w:rPr>
          <w:lang w:eastAsia="en-US"/>
        </w:rPr>
        <w:t>10</w:t>
      </w:r>
      <w:r w:rsidR="00111701">
        <w:rPr>
          <w:lang w:eastAsia="en-US"/>
        </w:rPr>
        <w:t>0</w:t>
      </w:r>
      <w:r w:rsidR="0053078E">
        <w:rPr>
          <w:lang w:eastAsia="en-US"/>
        </w:rPr>
        <w:t xml:space="preserve"> </w:t>
      </w:r>
      <w:r w:rsidR="00B82E69">
        <w:rPr>
          <w:lang w:eastAsia="en-US"/>
        </w:rPr>
        <w:t>–</w:t>
      </w:r>
      <w:r w:rsidR="0053078E">
        <w:rPr>
          <w:lang w:eastAsia="en-US"/>
        </w:rPr>
        <w:t xml:space="preserve"> </w:t>
      </w:r>
      <w:r w:rsidR="00111701">
        <w:rPr>
          <w:lang w:eastAsia="en-US"/>
        </w:rPr>
        <w:t>500 ng</w:t>
      </w:r>
      <w:r w:rsidR="00B82E69">
        <w:rPr>
          <w:lang w:eastAsia="en-US"/>
        </w:rPr>
        <w:t>)</w:t>
      </w:r>
      <w:r w:rsidRPr="00542E3E">
        <w:rPr>
          <w:lang w:eastAsia="en-US"/>
        </w:rPr>
        <w:t xml:space="preserve">, </w:t>
      </w:r>
      <w:r w:rsidR="005C2D65">
        <w:rPr>
          <w:lang w:eastAsia="en-US"/>
        </w:rPr>
        <w:t xml:space="preserve">the </w:t>
      </w:r>
      <w:r w:rsidRPr="00542E3E">
        <w:rPr>
          <w:lang w:eastAsia="en-US"/>
        </w:rPr>
        <w:t xml:space="preserve">recovery rate was not significantly different across different concentrations for </w:t>
      </w:r>
      <w:r w:rsidR="00B82E69">
        <w:rPr>
          <w:lang w:eastAsia="en-US"/>
        </w:rPr>
        <w:t>all the seven target analytes</w:t>
      </w:r>
      <w:r w:rsidR="00F85FD4">
        <w:rPr>
          <w:lang w:eastAsia="en-US"/>
        </w:rPr>
        <w:t xml:space="preserve"> (Table </w:t>
      </w:r>
      <w:r w:rsidR="00261E65">
        <w:rPr>
          <w:lang w:eastAsia="en-US"/>
        </w:rPr>
        <w:t>2</w:t>
      </w:r>
      <w:r w:rsidR="00F85FD4">
        <w:rPr>
          <w:lang w:eastAsia="en-US"/>
        </w:rPr>
        <w:t>)</w:t>
      </w:r>
      <w:r w:rsidRPr="00542E3E">
        <w:t xml:space="preserve">. </w:t>
      </w:r>
      <w:r w:rsidR="002773EB">
        <w:t>However, there was a s</w:t>
      </w:r>
      <w:r w:rsidR="002773EB" w:rsidRPr="00542E3E">
        <w:t xml:space="preserve">ignificant </w:t>
      </w:r>
      <w:r w:rsidRPr="00542E3E">
        <w:t>difference in the recovery of CBD</w:t>
      </w:r>
      <w:r w:rsidR="00B82E69">
        <w:t xml:space="preserve"> and</w:t>
      </w:r>
      <w:r w:rsidRPr="00542E3E">
        <w:t xml:space="preserve"> </w:t>
      </w:r>
      <w:r w:rsidR="00B82E69" w:rsidRPr="00542E3E">
        <w:t>CBDA when</w:t>
      </w:r>
      <w:r w:rsidRPr="00542E3E">
        <w:t xml:space="preserve"> their </w:t>
      </w:r>
      <w:r w:rsidR="002717DC">
        <w:t>spiking amount</w:t>
      </w:r>
      <w:r w:rsidRPr="00542E3E">
        <w:t xml:space="preserve"> was increased to </w:t>
      </w:r>
      <w:r w:rsidR="00111701">
        <w:t>5000 ng</w:t>
      </w:r>
      <w:r w:rsidRPr="00542E3E">
        <w:t>.</w:t>
      </w:r>
      <w:r w:rsidRPr="00542E3E">
        <w:rPr>
          <w:lang w:eastAsia="en-US"/>
        </w:rPr>
        <w:t xml:space="preserve"> </w:t>
      </w:r>
      <w:r w:rsidR="00B82E69">
        <w:rPr>
          <w:lang w:eastAsia="en-US"/>
        </w:rPr>
        <w:t>Mean recover</w:t>
      </w:r>
      <w:r w:rsidR="008F33D3">
        <w:rPr>
          <w:lang w:eastAsia="en-US"/>
        </w:rPr>
        <w:t>ies</w:t>
      </w:r>
      <w:r w:rsidR="00B82E69">
        <w:rPr>
          <w:lang w:eastAsia="en-US"/>
        </w:rPr>
        <w:t xml:space="preserve"> </w:t>
      </w:r>
      <w:r w:rsidR="008F33D3">
        <w:rPr>
          <w:lang w:eastAsia="en-US"/>
        </w:rPr>
        <w:t xml:space="preserve">for </w:t>
      </w:r>
      <w:r w:rsidR="00B82E69">
        <w:rPr>
          <w:lang w:eastAsia="en-US"/>
        </w:rPr>
        <w:t xml:space="preserve">the seven target analytes ranged from 67.91% to 91.36%. </w:t>
      </w:r>
      <w:r w:rsidR="00D21C02">
        <w:rPr>
          <w:lang w:eastAsia="en-US"/>
        </w:rPr>
        <w:t>For organic chemicals in food and environmental samples, r</w:t>
      </w:r>
      <w:r w:rsidR="00226CAE">
        <w:rPr>
          <w:lang w:eastAsia="en-US"/>
        </w:rPr>
        <w:t xml:space="preserve">ecommended </w:t>
      </w:r>
      <w:r w:rsidR="00282ECF">
        <w:rPr>
          <w:lang w:eastAsia="en-US"/>
        </w:rPr>
        <w:t>limits of mean recovery</w:t>
      </w:r>
      <w:r w:rsidR="003934F3">
        <w:rPr>
          <w:lang w:eastAsia="en-US"/>
        </w:rPr>
        <w:t xml:space="preserve"> </w:t>
      </w:r>
      <w:r w:rsidR="008D4851">
        <w:rPr>
          <w:lang w:eastAsia="en-US"/>
        </w:rPr>
        <w:t xml:space="preserve">by the Codex Alimentarius Commission </w:t>
      </w:r>
      <w:r w:rsidR="00CF65E6">
        <w:rPr>
          <w:lang w:eastAsia="en-US"/>
        </w:rPr>
        <w:t xml:space="preserve">(CAC) </w:t>
      </w:r>
      <w:r w:rsidR="003934F3">
        <w:rPr>
          <w:lang w:eastAsia="en-US"/>
        </w:rPr>
        <w:t>are</w:t>
      </w:r>
      <w:r w:rsidR="00226CAE">
        <w:rPr>
          <w:lang w:eastAsia="en-US"/>
        </w:rPr>
        <w:t xml:space="preserve"> </w:t>
      </w:r>
      <w:r w:rsidR="00282ECF">
        <w:rPr>
          <w:lang w:eastAsia="en-US"/>
        </w:rPr>
        <w:t xml:space="preserve">between </w:t>
      </w:r>
      <w:r w:rsidR="00226CAE">
        <w:rPr>
          <w:lang w:eastAsia="en-US"/>
        </w:rPr>
        <w:t>50</w:t>
      </w:r>
      <w:r w:rsidR="0053078E">
        <w:rPr>
          <w:lang w:eastAsia="en-US"/>
        </w:rPr>
        <w:t xml:space="preserve"> </w:t>
      </w:r>
      <w:r w:rsidR="008D4851">
        <w:rPr>
          <w:lang w:eastAsia="en-US"/>
        </w:rPr>
        <w:t>–</w:t>
      </w:r>
      <w:r w:rsidR="0053078E">
        <w:rPr>
          <w:lang w:eastAsia="en-US"/>
        </w:rPr>
        <w:t xml:space="preserve"> </w:t>
      </w:r>
      <w:r w:rsidR="00226CAE">
        <w:rPr>
          <w:lang w:eastAsia="en-US"/>
        </w:rPr>
        <w:t>120%</w:t>
      </w:r>
      <w:r w:rsidR="008D4851">
        <w:rPr>
          <w:lang w:eastAsia="en-US"/>
        </w:rPr>
        <w:t xml:space="preserve"> and </w:t>
      </w:r>
      <w:r w:rsidR="00282ECF">
        <w:rPr>
          <w:lang w:eastAsia="en-US"/>
        </w:rPr>
        <w:t>7</w:t>
      </w:r>
      <w:r w:rsidR="008D4851" w:rsidRPr="00542E3E">
        <w:rPr>
          <w:lang w:eastAsia="en-US"/>
        </w:rPr>
        <w:t>0</w:t>
      </w:r>
      <w:r w:rsidR="0053078E">
        <w:rPr>
          <w:lang w:eastAsia="en-US"/>
        </w:rPr>
        <w:t xml:space="preserve"> </w:t>
      </w:r>
      <w:r w:rsidR="008D4851">
        <w:rPr>
          <w:lang w:eastAsia="en-US"/>
        </w:rPr>
        <w:t>–</w:t>
      </w:r>
      <w:r w:rsidR="0053078E">
        <w:rPr>
          <w:lang w:eastAsia="en-US"/>
        </w:rPr>
        <w:t xml:space="preserve"> </w:t>
      </w:r>
      <w:r w:rsidR="00282ECF">
        <w:rPr>
          <w:lang w:eastAsia="en-US"/>
        </w:rPr>
        <w:t>110</w:t>
      </w:r>
      <w:r w:rsidR="008D4851" w:rsidRPr="00542E3E">
        <w:rPr>
          <w:lang w:eastAsia="en-US"/>
        </w:rPr>
        <w:t xml:space="preserve">% </w:t>
      </w:r>
      <w:r w:rsidR="008D4851">
        <w:rPr>
          <w:lang w:eastAsia="en-US"/>
        </w:rPr>
        <w:t>for concentration</w:t>
      </w:r>
      <w:r w:rsidR="00282ECF">
        <w:rPr>
          <w:lang w:eastAsia="en-US"/>
        </w:rPr>
        <w:t xml:space="preserve"> levels </w:t>
      </w:r>
      <w:r w:rsidR="008D4851">
        <w:rPr>
          <w:lang w:eastAsia="en-US"/>
        </w:rPr>
        <w:t xml:space="preserve">between </w:t>
      </w:r>
      <w:r w:rsidR="00282ECF">
        <w:rPr>
          <w:lang w:eastAsia="en-US"/>
        </w:rPr>
        <w:t>“&lt;</w:t>
      </w:r>
      <w:r w:rsidR="008D4851">
        <w:rPr>
          <w:lang w:eastAsia="en-US"/>
        </w:rPr>
        <w:t>1 ppb</w:t>
      </w:r>
      <w:r w:rsidR="00282ECF">
        <w:rPr>
          <w:lang w:eastAsia="en-US"/>
        </w:rPr>
        <w:t>”</w:t>
      </w:r>
      <w:r w:rsidR="008D4851">
        <w:rPr>
          <w:lang w:eastAsia="en-US"/>
        </w:rPr>
        <w:t xml:space="preserve"> and </w:t>
      </w:r>
      <w:r w:rsidR="00282ECF">
        <w:rPr>
          <w:lang w:eastAsia="en-US"/>
        </w:rPr>
        <w:t>“&gt;</w:t>
      </w:r>
      <w:r w:rsidR="008D4851">
        <w:rPr>
          <w:lang w:eastAsia="en-US"/>
        </w:rPr>
        <w:t>1 ppm</w:t>
      </w:r>
      <w:r w:rsidR="00282ECF">
        <w:rPr>
          <w:lang w:eastAsia="en-US"/>
        </w:rPr>
        <w:t>”</w:t>
      </w:r>
      <w:r w:rsidR="008D4851">
        <w:rPr>
          <w:lang w:eastAsia="en-US"/>
        </w:rPr>
        <w:t xml:space="preserve"> </w:t>
      </w:r>
      <w:r w:rsidR="00226CAE" w:rsidRPr="00226CAE">
        <w:rPr>
          <w:rFonts w:ascii="Calibri" w:hAnsi="Calibri" w:cs="Calibri"/>
        </w:rPr>
        <w:t>(Ellis, 2008)</w:t>
      </w:r>
      <w:r w:rsidR="00226CAE">
        <w:rPr>
          <w:lang w:eastAsia="en-US"/>
        </w:rPr>
        <w:t xml:space="preserve">. </w:t>
      </w:r>
      <w:r w:rsidR="00573893">
        <w:rPr>
          <w:lang w:eastAsia="en-US"/>
        </w:rPr>
        <w:t xml:space="preserve">According to </w:t>
      </w:r>
      <w:r w:rsidR="00573893" w:rsidRPr="00542E3E">
        <w:rPr>
          <w:lang w:eastAsia="en-US"/>
        </w:rPr>
        <w:t>the AOAC guideline</w:t>
      </w:r>
      <w:r w:rsidR="00573893">
        <w:rPr>
          <w:lang w:eastAsia="en-US"/>
        </w:rPr>
        <w:t xml:space="preserve"> for dietary supplements and botanicals</w:t>
      </w:r>
      <w:r w:rsidR="00226CAE">
        <w:rPr>
          <w:lang w:eastAsia="en-US"/>
        </w:rPr>
        <w:t>, r</w:t>
      </w:r>
      <w:r w:rsidRPr="00542E3E">
        <w:rPr>
          <w:lang w:eastAsia="en-US"/>
        </w:rPr>
        <w:t>ecoveries less than 60</w:t>
      </w:r>
      <w:r w:rsidR="0053078E">
        <w:rPr>
          <w:lang w:eastAsia="en-US"/>
        </w:rPr>
        <w:t xml:space="preserve"> </w:t>
      </w:r>
      <w:r w:rsidR="00B82E69">
        <w:rPr>
          <w:lang w:eastAsia="en-US"/>
        </w:rPr>
        <w:t>–</w:t>
      </w:r>
      <w:r w:rsidR="0053078E">
        <w:rPr>
          <w:lang w:eastAsia="en-US"/>
        </w:rPr>
        <w:t xml:space="preserve"> </w:t>
      </w:r>
      <w:r w:rsidRPr="00542E3E">
        <w:rPr>
          <w:lang w:eastAsia="en-US"/>
        </w:rPr>
        <w:t xml:space="preserve">70% should be subject to investigations and improvement </w:t>
      </w:r>
      <w:r w:rsidR="00226CAE" w:rsidRPr="00051B04">
        <w:rPr>
          <w:rFonts w:ascii="Calibri" w:hAnsi="Calibri" w:cs="Calibri"/>
        </w:rPr>
        <w:t>(Horwitz, 2002)</w:t>
      </w:r>
      <w:r w:rsidR="00226CAE">
        <w:rPr>
          <w:lang w:eastAsia="en-US"/>
        </w:rPr>
        <w:t xml:space="preserve">. </w:t>
      </w:r>
      <w:r w:rsidRPr="00542E3E">
        <w:rPr>
          <w:lang w:eastAsia="en-US"/>
        </w:rPr>
        <w:t>Based on these criteria, the recoveries of all the</w:t>
      </w:r>
      <w:r w:rsidR="008D4851">
        <w:rPr>
          <w:lang w:eastAsia="en-US"/>
        </w:rPr>
        <w:t xml:space="preserve"> seven</w:t>
      </w:r>
      <w:r w:rsidRPr="00542E3E">
        <w:rPr>
          <w:lang w:eastAsia="en-US"/>
        </w:rPr>
        <w:t xml:space="preserve"> compounds</w:t>
      </w:r>
      <w:r w:rsidR="004C3CE5">
        <w:rPr>
          <w:lang w:eastAsia="en-US"/>
        </w:rPr>
        <w:t xml:space="preserve"> in this study</w:t>
      </w:r>
      <w:r w:rsidRPr="00542E3E">
        <w:rPr>
          <w:lang w:eastAsia="en-US"/>
        </w:rPr>
        <w:t xml:space="preserve"> were generally satisfactory.</w:t>
      </w:r>
      <w:r w:rsidR="00051B04">
        <w:rPr>
          <w:lang w:eastAsia="en-US"/>
        </w:rPr>
        <w:t xml:space="preserve"> </w:t>
      </w:r>
    </w:p>
    <w:p w14:paraId="2A56E5C6" w14:textId="29BA3DC3" w:rsidR="00AF4420" w:rsidRDefault="00CF65E6" w:rsidP="00910EE5">
      <w:pPr>
        <w:rPr>
          <w:lang w:eastAsia="en-US"/>
        </w:rPr>
      </w:pPr>
      <w:r>
        <w:rPr>
          <w:lang w:eastAsia="en-US"/>
        </w:rPr>
        <w:t xml:space="preserve">OA and OL, as important </w:t>
      </w:r>
      <w:r w:rsidR="00910EE5">
        <w:rPr>
          <w:lang w:eastAsia="en-US"/>
        </w:rPr>
        <w:t>metabolite</w:t>
      </w:r>
      <w:r>
        <w:rPr>
          <w:lang w:eastAsia="en-US"/>
        </w:rPr>
        <w:t xml:space="preserve">s, have been </w:t>
      </w:r>
      <w:r w:rsidR="00910EE5">
        <w:rPr>
          <w:lang w:eastAsia="en-US"/>
        </w:rPr>
        <w:t>monitored</w:t>
      </w:r>
      <w:r>
        <w:rPr>
          <w:lang w:eastAsia="en-US"/>
        </w:rPr>
        <w:t xml:space="preserve"> in cannabinoids’ biosynthe</w:t>
      </w:r>
      <w:r w:rsidR="00910EE5">
        <w:rPr>
          <w:lang w:eastAsia="en-US"/>
        </w:rPr>
        <w:t>sis</w:t>
      </w:r>
      <w:r>
        <w:rPr>
          <w:lang w:eastAsia="en-US"/>
        </w:rPr>
        <w:t xml:space="preserve"> </w:t>
      </w:r>
      <w:r w:rsidR="008E6A65">
        <w:rPr>
          <w:lang w:eastAsia="en-US"/>
        </w:rPr>
        <w:t>studies</w:t>
      </w:r>
      <w:r>
        <w:rPr>
          <w:lang w:eastAsia="en-US"/>
        </w:rPr>
        <w:t xml:space="preserve">. They are usually quantified using simple HPLC </w:t>
      </w:r>
      <w:r w:rsidRPr="00FB0116">
        <w:rPr>
          <w:rFonts w:ascii="Calibri" w:hAnsi="Calibri" w:cs="Calibri"/>
        </w:rPr>
        <w:t>(</w:t>
      </w:r>
      <w:proofErr w:type="spellStart"/>
      <w:r w:rsidRPr="00FB0116">
        <w:rPr>
          <w:rFonts w:ascii="Calibri" w:hAnsi="Calibri" w:cs="Calibri"/>
        </w:rPr>
        <w:t>Fellermeier</w:t>
      </w:r>
      <w:proofErr w:type="spellEnd"/>
      <w:r w:rsidRPr="00FB0116">
        <w:rPr>
          <w:rFonts w:ascii="Calibri" w:hAnsi="Calibri" w:cs="Calibri"/>
        </w:rPr>
        <w:t xml:space="preserve"> &amp; </w:t>
      </w:r>
      <w:proofErr w:type="spellStart"/>
      <w:r w:rsidRPr="00FB0116">
        <w:rPr>
          <w:rFonts w:ascii="Calibri" w:hAnsi="Calibri" w:cs="Calibri"/>
        </w:rPr>
        <w:t>Zenk</w:t>
      </w:r>
      <w:proofErr w:type="spellEnd"/>
      <w:r w:rsidRPr="00FB0116">
        <w:rPr>
          <w:rFonts w:ascii="Calibri" w:hAnsi="Calibri" w:cs="Calibri"/>
        </w:rPr>
        <w:t>, 1998)</w:t>
      </w:r>
      <w:r>
        <w:rPr>
          <w:lang w:eastAsia="en-US"/>
        </w:rPr>
        <w:t xml:space="preserve"> or GC-FID </w:t>
      </w:r>
      <w:r w:rsidRPr="00431C21">
        <w:rPr>
          <w:rFonts w:ascii="Calibri" w:hAnsi="Calibri" w:cs="Calibri"/>
        </w:rPr>
        <w:t>(Tan et al., 2018)</w:t>
      </w:r>
      <w:r w:rsidRPr="00FB0116">
        <w:rPr>
          <w:lang w:eastAsia="en-US"/>
        </w:rPr>
        <w:t xml:space="preserve"> </w:t>
      </w:r>
      <w:r>
        <w:rPr>
          <w:lang w:eastAsia="en-US"/>
        </w:rPr>
        <w:t>with authentic standards.</w:t>
      </w:r>
      <w:r w:rsidR="00910EE5">
        <w:rPr>
          <w:lang w:eastAsia="en-US"/>
        </w:rPr>
        <w:t xml:space="preserve"> </w:t>
      </w:r>
      <w:r>
        <w:rPr>
          <w:lang w:eastAsia="en-US"/>
        </w:rPr>
        <w:t>To our knowledge, there is no validated method for simultaneous quantification of OA and OL, together with cannabinoids that are important in the biosynthesis pathway. This is probably because OA and OL have</w:t>
      </w:r>
      <w:r w:rsidR="00910EE5">
        <w:rPr>
          <w:lang w:eastAsia="en-US"/>
        </w:rPr>
        <w:t xml:space="preserve"> a</w:t>
      </w:r>
      <w:r>
        <w:rPr>
          <w:lang w:eastAsia="en-US"/>
        </w:rPr>
        <w:t xml:space="preserve"> very short life and have never been isolated from the cannabis plants </w:t>
      </w:r>
      <w:r w:rsidRPr="0082206A">
        <w:rPr>
          <w:rFonts w:ascii="Calibri" w:hAnsi="Calibri" w:cs="Calibri"/>
        </w:rPr>
        <w:t>(</w:t>
      </w:r>
      <w:proofErr w:type="spellStart"/>
      <w:r w:rsidRPr="0082206A">
        <w:rPr>
          <w:rFonts w:ascii="Calibri" w:hAnsi="Calibri" w:cs="Calibri"/>
        </w:rPr>
        <w:t>Hazekamp</w:t>
      </w:r>
      <w:proofErr w:type="spellEnd"/>
      <w:r w:rsidRPr="0082206A">
        <w:rPr>
          <w:rFonts w:ascii="Calibri" w:hAnsi="Calibri" w:cs="Calibri"/>
        </w:rPr>
        <w:t xml:space="preserve"> et al., 2010)</w:t>
      </w:r>
      <w:r>
        <w:rPr>
          <w:lang w:eastAsia="en-US"/>
        </w:rPr>
        <w:t>. During innovative biosynthe</w:t>
      </w:r>
      <w:r w:rsidR="00910EE5">
        <w:rPr>
          <w:lang w:eastAsia="en-US"/>
        </w:rPr>
        <w:t>sis</w:t>
      </w:r>
      <w:r>
        <w:rPr>
          <w:lang w:eastAsia="en-US"/>
        </w:rPr>
        <w:t xml:space="preserve"> research, their quantity is important to monitor and thus </w:t>
      </w:r>
      <w:r w:rsidR="00910EE5">
        <w:rPr>
          <w:lang w:eastAsia="en-US"/>
        </w:rPr>
        <w:t>wa</w:t>
      </w:r>
      <w:r>
        <w:rPr>
          <w:lang w:eastAsia="en-US"/>
        </w:rPr>
        <w:t xml:space="preserve">s included in this method development. </w:t>
      </w:r>
      <w:r w:rsidR="002773EB">
        <w:rPr>
          <w:lang w:eastAsia="en-US"/>
        </w:rPr>
        <w:t xml:space="preserve">However, </w:t>
      </w:r>
      <w:r>
        <w:rPr>
          <w:lang w:eastAsia="en-US"/>
        </w:rPr>
        <w:t xml:space="preserve">there is no available data on their recovery rate in the literature </w:t>
      </w:r>
      <w:r w:rsidR="002E49FB">
        <w:rPr>
          <w:lang w:eastAsia="en-US"/>
        </w:rPr>
        <w:t xml:space="preserve">with which </w:t>
      </w:r>
      <w:r>
        <w:rPr>
          <w:lang w:eastAsia="en-US"/>
        </w:rPr>
        <w:t xml:space="preserve">to compare. </w:t>
      </w:r>
    </w:p>
    <w:p w14:paraId="53138AC9" w14:textId="5CCF149B" w:rsidR="008D4851" w:rsidRDefault="00CF65E6" w:rsidP="00D06B29">
      <w:pPr>
        <w:rPr>
          <w:lang w:eastAsia="en-US"/>
        </w:rPr>
      </w:pPr>
      <w:r>
        <w:rPr>
          <w:lang w:eastAsia="en-US"/>
        </w:rPr>
        <w:t xml:space="preserve">Although validated methods for cleanup and analysis of most known cannabinoids exist in the literature, they are scattered over a </w:t>
      </w:r>
      <w:r w:rsidR="002773EB">
        <w:rPr>
          <w:lang w:eastAsia="en-US"/>
        </w:rPr>
        <w:t xml:space="preserve">large </w:t>
      </w:r>
      <w:r>
        <w:rPr>
          <w:lang w:eastAsia="en-US"/>
        </w:rPr>
        <w:t xml:space="preserve">amount of scientific papers. Recovery rate of cannabinoids varies dramatically across these studies. Biological samples are usually saponified and cleaned up using SPE or </w:t>
      </w:r>
      <w:proofErr w:type="spellStart"/>
      <w:r>
        <w:rPr>
          <w:lang w:eastAsia="en-US"/>
        </w:rPr>
        <w:t>QuEChERS</w:t>
      </w:r>
      <w:proofErr w:type="spellEnd"/>
      <w:r>
        <w:rPr>
          <w:lang w:eastAsia="en-US"/>
        </w:rPr>
        <w:t xml:space="preserve">, before subject to LC-MS analysis. </w:t>
      </w:r>
      <w:r>
        <w:t xml:space="preserve">Recoveries ranging from 21% to </w:t>
      </w:r>
      <w:r>
        <w:rPr>
          <w:rFonts w:hint="eastAsia"/>
        </w:rPr>
        <w:t>98</w:t>
      </w:r>
      <w:r>
        <w:t xml:space="preserve"> </w:t>
      </w:r>
      <w:r>
        <w:rPr>
          <w:rFonts w:hint="eastAsia"/>
        </w:rPr>
        <w:t>%</w:t>
      </w:r>
      <w:r>
        <w:t xml:space="preserve"> and from 12% to 118% have been reported for THC and CBD in these validated methods </w:t>
      </w:r>
      <w:r w:rsidRPr="009D751E">
        <w:rPr>
          <w:rFonts w:ascii="Calibri" w:hAnsi="Calibri" w:cs="Calibri"/>
        </w:rPr>
        <w:t xml:space="preserve">(Ramnarine, </w:t>
      </w:r>
      <w:proofErr w:type="spellStart"/>
      <w:r w:rsidRPr="009D751E">
        <w:rPr>
          <w:rFonts w:ascii="Calibri" w:hAnsi="Calibri" w:cs="Calibri"/>
        </w:rPr>
        <w:t>Poklis</w:t>
      </w:r>
      <w:proofErr w:type="spellEnd"/>
      <w:r w:rsidRPr="009D751E">
        <w:rPr>
          <w:rFonts w:ascii="Calibri" w:hAnsi="Calibri" w:cs="Calibri"/>
        </w:rPr>
        <w:t>, &amp; Wolf, 2019; Wei, McGuffey, Blount, &amp; Wang, 2016)</w:t>
      </w:r>
      <w:r>
        <w:t>. In a study where samples were not saponified before SPE, recovery rate ranged from</w:t>
      </w:r>
      <w:r w:rsidR="00340AA3">
        <w:t xml:space="preserve"> 60.2% to 67.2%</w:t>
      </w:r>
      <w:r>
        <w:t xml:space="preserve"> </w:t>
      </w:r>
      <w:r w:rsidR="00340AA3">
        <w:t xml:space="preserve">and from 79.3% to 87.4% for THC and CBD, respectively </w:t>
      </w:r>
      <w:r w:rsidRPr="00E26F0E">
        <w:rPr>
          <w:rFonts w:ascii="Calibri" w:hAnsi="Calibri" w:cs="Calibri"/>
        </w:rPr>
        <w:t>(</w:t>
      </w:r>
      <w:proofErr w:type="spellStart"/>
      <w:r w:rsidRPr="00E26F0E">
        <w:rPr>
          <w:rFonts w:ascii="Calibri" w:hAnsi="Calibri" w:cs="Calibri"/>
        </w:rPr>
        <w:t>Sobolesky</w:t>
      </w:r>
      <w:proofErr w:type="spellEnd"/>
      <w:r w:rsidRPr="00E26F0E">
        <w:rPr>
          <w:rFonts w:ascii="Calibri" w:hAnsi="Calibri" w:cs="Calibri"/>
        </w:rPr>
        <w:t xml:space="preserve"> et al., 2019)</w:t>
      </w:r>
      <w:r>
        <w:t xml:space="preserve">. </w:t>
      </w:r>
      <w:r w:rsidR="00CD1859">
        <w:t xml:space="preserve">Our protocol yielded higher </w:t>
      </w:r>
      <w:r w:rsidR="00910EE5">
        <w:t xml:space="preserve">average </w:t>
      </w:r>
      <w:r w:rsidR="00CD1859">
        <w:t>recovery rate</w:t>
      </w:r>
      <w:r w:rsidR="002E49FB">
        <w:t>s</w:t>
      </w:r>
      <w:r w:rsidR="00CD1859">
        <w:t xml:space="preserve"> for THC and CBD</w:t>
      </w:r>
      <w:r w:rsidR="001F458A">
        <w:t xml:space="preserve"> </w:t>
      </w:r>
      <w:r w:rsidR="00CD1859">
        <w:t xml:space="preserve">(Table </w:t>
      </w:r>
      <w:r w:rsidR="00261E65">
        <w:t>2</w:t>
      </w:r>
      <w:r w:rsidR="00CD1859">
        <w:t xml:space="preserve">). </w:t>
      </w:r>
      <w:r>
        <w:t xml:space="preserve">Recovery data on THCA, CBDA, and CBGA have been reported in validation studies on food samples, where </w:t>
      </w:r>
      <w:proofErr w:type="spellStart"/>
      <w:r>
        <w:t>QuEChERS</w:t>
      </w:r>
      <w:proofErr w:type="spellEnd"/>
      <w:r>
        <w:t xml:space="preserve"> extraction was used without the </w:t>
      </w:r>
      <w:proofErr w:type="spellStart"/>
      <w:r>
        <w:t>dSPE</w:t>
      </w:r>
      <w:proofErr w:type="spellEnd"/>
      <w:r>
        <w:t xml:space="preserve"> step. Recoveries within the tolerated range of 70</w:t>
      </w:r>
      <w:r w:rsidR="0053078E">
        <w:rPr>
          <w:lang w:eastAsia="en-US"/>
        </w:rPr>
        <w:t xml:space="preserve"> – </w:t>
      </w:r>
      <w:r>
        <w:t xml:space="preserve">120% were reported </w:t>
      </w:r>
      <w:r w:rsidRPr="0084088A">
        <w:rPr>
          <w:rFonts w:ascii="Calibri" w:hAnsi="Calibri" w:cs="Calibri"/>
        </w:rPr>
        <w:t>(</w:t>
      </w:r>
      <w:proofErr w:type="spellStart"/>
      <w:r w:rsidRPr="0084088A">
        <w:rPr>
          <w:rFonts w:ascii="Calibri" w:hAnsi="Calibri" w:cs="Calibri"/>
        </w:rPr>
        <w:t>Brighenti</w:t>
      </w:r>
      <w:proofErr w:type="spellEnd"/>
      <w:r w:rsidRPr="0084088A">
        <w:rPr>
          <w:rFonts w:ascii="Calibri" w:hAnsi="Calibri" w:cs="Calibri"/>
        </w:rPr>
        <w:t xml:space="preserve"> et al., 2019; Christinat et al., 2020)</w:t>
      </w:r>
      <w:r>
        <w:t xml:space="preserve">. </w:t>
      </w:r>
      <w:r w:rsidR="00CD1859">
        <w:t>Our recover</w:t>
      </w:r>
      <w:r w:rsidR="00434EF2">
        <w:t>ies</w:t>
      </w:r>
      <w:r w:rsidR="00CD1859">
        <w:t xml:space="preserve"> of </w:t>
      </w:r>
      <w:r w:rsidR="00434EF2">
        <w:t xml:space="preserve">CBDA and CBGA were comparable to the reported values (Table </w:t>
      </w:r>
      <w:r w:rsidR="00261E65">
        <w:t>2</w:t>
      </w:r>
      <w:r w:rsidR="00434EF2">
        <w:t xml:space="preserve">). </w:t>
      </w:r>
      <w:r w:rsidR="002773EB">
        <w:t>The r</w:t>
      </w:r>
      <w:r w:rsidR="00434EF2">
        <w:t>ecovery rate of THCA</w:t>
      </w:r>
      <w:r w:rsidR="002773EB">
        <w:t xml:space="preserve"> here</w:t>
      </w:r>
      <w:r w:rsidR="00434EF2">
        <w:t>, however, was lower than th</w:t>
      </w:r>
      <w:r w:rsidR="008E6A65">
        <w:t xml:space="preserve">e </w:t>
      </w:r>
      <w:r w:rsidR="00434EF2">
        <w:t>reported</w:t>
      </w:r>
      <w:r w:rsidR="002773EB">
        <w:t xml:space="preserve"> </w:t>
      </w:r>
      <w:r w:rsidR="008E6A65">
        <w:t xml:space="preserve">value </w:t>
      </w:r>
      <w:r w:rsidR="002773EB">
        <w:t>and may be due to t</w:t>
      </w:r>
      <w:r w:rsidR="00434EF2">
        <w:t>he additional SPE cleanup</w:t>
      </w:r>
      <w:r w:rsidR="002773EB">
        <w:t xml:space="preserve"> protocol</w:t>
      </w:r>
      <w:r w:rsidR="00434EF2">
        <w:t xml:space="preserve">. </w:t>
      </w:r>
      <w:r w:rsidR="006557E3">
        <w:t>In general, the acidic compounds (THCA, CBDA, and CBGA) had lower recovery rates compared to the neutral compounds (OL, THC, and CBD)</w:t>
      </w:r>
      <w:r w:rsidR="00C8224A">
        <w:t xml:space="preserve"> (Table 2)</w:t>
      </w:r>
      <w:r w:rsidR="006557E3">
        <w:t>. This is probably due to the stronger binding of those acids on the XA column than the neutral compounds’ binding on the GCB column.</w:t>
      </w:r>
    </w:p>
    <w:p w14:paraId="748E8EAE" w14:textId="79853D98" w:rsidR="00AF4420" w:rsidRPr="00AF4420" w:rsidRDefault="00697391" w:rsidP="006E43A4">
      <w:pPr>
        <w:pStyle w:val="Heading3"/>
      </w:pPr>
      <w:r w:rsidRPr="00AF4420">
        <w:lastRenderedPageBreak/>
        <w:t>Precision</w:t>
      </w:r>
    </w:p>
    <w:p w14:paraId="4BBAF1B7" w14:textId="317B0A5E" w:rsidR="00E61615" w:rsidRDefault="002A01A4" w:rsidP="00C72F62">
      <w:pPr>
        <w:pStyle w:val="Noindent"/>
      </w:pPr>
      <w:r>
        <w:t>According to ICH guidelines</w:t>
      </w:r>
      <w:r w:rsidR="00800FBE">
        <w:t xml:space="preserve"> </w:t>
      </w:r>
      <w:r w:rsidR="009777CF">
        <w:rPr>
          <w:noProof/>
        </w:rPr>
        <w:t>(ICH Expert Working Group, 2005)</w:t>
      </w:r>
      <w:r>
        <w:t xml:space="preserve"> for assay validation, as a minimum, precision should be evaluated at two levels: repeatability and intermediate precision</w:t>
      </w:r>
      <w:r w:rsidR="007B4530">
        <w:t>.</w:t>
      </w:r>
      <w:r w:rsidR="009777CF">
        <w:t xml:space="preserve"> Repeatability, also termed intra-assay precision, expresses the precision under the same operating conditions over a short interval of time</w:t>
      </w:r>
      <w:r w:rsidR="00CB0B99">
        <w:t xml:space="preserve"> </w:t>
      </w:r>
      <w:r w:rsidR="009777CF">
        <w:rPr>
          <w:noProof/>
        </w:rPr>
        <w:t>(ICH Expert Working Group, 2005)</w:t>
      </w:r>
      <w:r w:rsidR="009777CF">
        <w:t xml:space="preserve">. </w:t>
      </w:r>
      <w:r w:rsidR="00D21C02">
        <w:t xml:space="preserve">As recommended by the </w:t>
      </w:r>
      <w:r w:rsidR="00CF65E6">
        <w:t>CAC</w:t>
      </w:r>
      <w:r w:rsidR="005F15BC">
        <w:t>,</w:t>
      </w:r>
      <w:r w:rsidR="006B665D">
        <w:t xml:space="preserve"> </w:t>
      </w:r>
      <w:r w:rsidR="00573893">
        <w:t>repeatability</w:t>
      </w:r>
      <w:r w:rsidR="005F15BC">
        <w:t xml:space="preserve"> </w:t>
      </w:r>
      <w:r w:rsidR="00E473EC">
        <w:t xml:space="preserve">limits </w:t>
      </w:r>
      <w:r w:rsidR="005F15BC">
        <w:t xml:space="preserve">of analysis </w:t>
      </w:r>
      <w:r w:rsidR="003934F3">
        <w:t>(</w:t>
      </w:r>
      <w:r w:rsidR="005F15BC">
        <w:t>including sample processing</w:t>
      </w:r>
      <w:r w:rsidR="003934F3">
        <w:t>)</w:t>
      </w:r>
      <w:r w:rsidR="006B665D">
        <w:t xml:space="preserve"> </w:t>
      </w:r>
      <w:r w:rsidR="00815BE4">
        <w:t>are</w:t>
      </w:r>
      <w:r w:rsidR="006B665D">
        <w:t xml:space="preserve"> 14%</w:t>
      </w:r>
      <w:r w:rsidR="00E473EC">
        <w:t xml:space="preserve">, </w:t>
      </w:r>
      <w:r w:rsidR="00573893">
        <w:t>18%</w:t>
      </w:r>
      <w:r w:rsidR="00E473EC">
        <w:t>, 22%, 32%, and 36%</w:t>
      </w:r>
      <w:r w:rsidR="00573893">
        <w:t xml:space="preserve"> for </w:t>
      </w:r>
      <w:r w:rsidR="00B73425">
        <w:t>levels “&gt;1 ppm”</w:t>
      </w:r>
      <w:r w:rsidR="00E473EC">
        <w:t xml:space="preserve">, “100 ppb – 1 ppm”, “10 – 100 ppb”, “1 – 10 ppb”, </w:t>
      </w:r>
      <w:r w:rsidR="00B73425">
        <w:t xml:space="preserve">and </w:t>
      </w:r>
      <w:r w:rsidR="00E473EC">
        <w:t>“&lt;1 ppb</w:t>
      </w:r>
      <w:r w:rsidR="00B73425">
        <w:t>”</w:t>
      </w:r>
      <w:r w:rsidR="00AF63BE">
        <w:t>, respectively</w:t>
      </w:r>
      <w:r w:rsidR="006B665D">
        <w:t xml:space="preserve">. </w:t>
      </w:r>
      <w:r w:rsidR="00E473EC">
        <w:t>R</w:t>
      </w:r>
      <w:r w:rsidR="00663D0F">
        <w:t>epeatability</w:t>
      </w:r>
      <w:r w:rsidR="00E473EC">
        <w:t xml:space="preserve"> limits</w:t>
      </w:r>
      <w:r w:rsidR="00663D0F">
        <w:t xml:space="preserve"> </w:t>
      </w:r>
      <w:r w:rsidR="008E6A65">
        <w:t xml:space="preserve">set </w:t>
      </w:r>
      <w:r w:rsidR="00663D0F">
        <w:t>by AOAC are between 8% and 15% for levels between 10 ppb</w:t>
      </w:r>
      <w:r w:rsidR="00CF65E6">
        <w:t xml:space="preserve"> </w:t>
      </w:r>
      <w:r w:rsidR="008963B4">
        <w:t xml:space="preserve">and 1 ppm </w:t>
      </w:r>
      <w:r w:rsidR="00CF65E6" w:rsidRPr="00CF65E6">
        <w:rPr>
          <w:rFonts w:ascii="Calibri" w:hAnsi="Calibri" w:cs="Calibri"/>
        </w:rPr>
        <w:t>(Horwitz, 2002)</w:t>
      </w:r>
      <w:r w:rsidR="00663D0F">
        <w:t xml:space="preserve">. </w:t>
      </w:r>
      <w:r w:rsidR="00542E3E" w:rsidRPr="00542E3E">
        <w:t xml:space="preserve">All the </w:t>
      </w:r>
      <w:r w:rsidR="00B73425">
        <w:t>intraday precisions</w:t>
      </w:r>
      <w:r w:rsidR="00AF63BE">
        <w:t xml:space="preserve"> in this study</w:t>
      </w:r>
      <w:r w:rsidR="00542E3E" w:rsidRPr="00542E3E">
        <w:t xml:space="preserve"> were within th</w:t>
      </w:r>
      <w:r w:rsidR="00815BE4">
        <w:t>ese</w:t>
      </w:r>
      <w:r w:rsidR="00542E3E" w:rsidRPr="00542E3E">
        <w:t xml:space="preserve"> </w:t>
      </w:r>
      <w:r w:rsidR="00112841">
        <w:t xml:space="preserve">two sets of </w:t>
      </w:r>
      <w:r w:rsidR="00542E3E" w:rsidRPr="00542E3E">
        <w:t>limit</w:t>
      </w:r>
      <w:r w:rsidR="00815BE4">
        <w:t>s</w:t>
      </w:r>
      <w:r w:rsidR="00542E3E" w:rsidRPr="00542E3E">
        <w:t xml:space="preserve"> except for OL at 5 ppm</w:t>
      </w:r>
      <w:r w:rsidR="00562AAB">
        <w:t xml:space="preserve"> </w:t>
      </w:r>
      <w:r w:rsidR="00CB0B99">
        <w:t xml:space="preserve">with RSD ~28% </w:t>
      </w:r>
      <w:r w:rsidR="00562AAB">
        <w:t>(Table</w:t>
      </w:r>
      <w:r w:rsidR="00434EF2">
        <w:t xml:space="preserve"> </w:t>
      </w:r>
      <w:r w:rsidR="00261E65">
        <w:t>3</w:t>
      </w:r>
      <w:r w:rsidR="00562AAB">
        <w:t>)</w:t>
      </w:r>
      <w:r w:rsidR="00663D0F">
        <w:t>.</w:t>
      </w:r>
      <w:r w:rsidR="00BF61FF">
        <w:t xml:space="preserve"> </w:t>
      </w:r>
      <w:r w:rsidR="00DB65F0">
        <w:t>Considering the recovery rate of OL was quite high (Table 2), it is possible that ion enhancement by artifacts or algae matrix components ha</w:t>
      </w:r>
      <w:r w:rsidR="00480D09">
        <w:t>d</w:t>
      </w:r>
      <w:r w:rsidR="00DB65F0">
        <w:t xml:space="preserve"> happened in the GC-MS and increased the uncertainty of the analytical method.</w:t>
      </w:r>
      <w:r w:rsidR="00DB65F0" w:rsidRPr="00DB65F0">
        <w:t xml:space="preserve"> </w:t>
      </w:r>
      <w:r w:rsidR="00E61615">
        <w:t>If higher precision is needed, one may need to use stable isotope-labeled internal standards to compensate for matrix effects.</w:t>
      </w:r>
    </w:p>
    <w:p w14:paraId="522E62BB" w14:textId="7D4583D2" w:rsidR="007601BD" w:rsidRDefault="00BF61FF" w:rsidP="008963B4">
      <w:pPr>
        <w:pStyle w:val="Noindent"/>
        <w:ind w:firstLine="288"/>
      </w:pPr>
      <w:r>
        <w:t>Intermediate precision, also called intra-lab reproducibility</w:t>
      </w:r>
      <w:r w:rsidR="00026184">
        <w:t xml:space="preserve">, may vary greatly depending on the conditions </w:t>
      </w:r>
      <w:r w:rsidR="00E473EC">
        <w:t xml:space="preserve">that are considered </w:t>
      </w:r>
      <w:r w:rsidR="00026184">
        <w:t>and the extent</w:t>
      </w:r>
      <w:r w:rsidR="009E3D2B">
        <w:t>s</w:t>
      </w:r>
      <w:r w:rsidR="00026184">
        <w:t xml:space="preserve"> that are varied.</w:t>
      </w:r>
      <w:r w:rsidR="00CF65E6">
        <w:t xml:space="preserve"> </w:t>
      </w:r>
      <w:r w:rsidR="009E3D2B">
        <w:t xml:space="preserve">Thus, no specific criteria were given for intermediate precision </w:t>
      </w:r>
      <w:r w:rsidR="009E3D2B" w:rsidRPr="009E3D2B">
        <w:rPr>
          <w:rFonts w:ascii="Calibri" w:hAnsi="Calibri" w:cs="Calibri"/>
        </w:rPr>
        <w:t>(Ellis, 2008; Horwitz, 2002)</w:t>
      </w:r>
      <w:r w:rsidR="009E3D2B">
        <w:t>. As a minimum, intermediate precision should be lower than reproducibility</w:t>
      </w:r>
      <w:r w:rsidR="00E473EC">
        <w:t xml:space="preserve"> limits</w:t>
      </w:r>
      <w:r w:rsidR="009E3D2B">
        <w:t>.</w:t>
      </w:r>
      <w:r w:rsidR="009777CF">
        <w:t xml:space="preserve"> Reproducibility is the precision between laboratories</w:t>
      </w:r>
      <w:r w:rsidR="00294D78">
        <w:t xml:space="preserve"> </w:t>
      </w:r>
      <w:r w:rsidR="00294D78">
        <w:rPr>
          <w:noProof/>
        </w:rPr>
        <w:t>(ICH Expert Working Group, 2005)</w:t>
      </w:r>
      <w:r w:rsidR="009777CF">
        <w:t xml:space="preserve">. </w:t>
      </w:r>
      <w:r w:rsidR="00E473EC">
        <w:t>R</w:t>
      </w:r>
      <w:r w:rsidR="00663D0F">
        <w:t>e</w:t>
      </w:r>
      <w:r w:rsidR="00815BE4">
        <w:t>producibility</w:t>
      </w:r>
      <w:r w:rsidR="00663D0F">
        <w:t xml:space="preserve"> </w:t>
      </w:r>
      <w:r w:rsidR="00E473EC">
        <w:t xml:space="preserve">limits </w:t>
      </w:r>
      <w:r w:rsidR="00663D0F">
        <w:t>of analysis (including sample processing)</w:t>
      </w:r>
      <w:r w:rsidR="00CF65E6">
        <w:t xml:space="preserve"> by CAC</w:t>
      </w:r>
      <w:r w:rsidR="00815BE4" w:rsidRPr="00815BE4">
        <w:t xml:space="preserve"> </w:t>
      </w:r>
      <w:r w:rsidR="00815BE4">
        <w:t>are 19%</w:t>
      </w:r>
      <w:r w:rsidR="00644729">
        <w:t>,</w:t>
      </w:r>
      <w:r w:rsidR="00815BE4">
        <w:t xml:space="preserve"> 25%</w:t>
      </w:r>
      <w:r w:rsidR="00644729">
        <w:t>, 34%, 46%, and 54%</w:t>
      </w:r>
      <w:r w:rsidR="00815BE4">
        <w:t xml:space="preserve"> for levels </w:t>
      </w:r>
      <w:r w:rsidR="00644729">
        <w:t>“&gt;1 ppm”, “100 ppb – 1 ppm”, “10 – 100 ppb”, “1 – 10 ppb”, and “&lt;1 ppb”</w:t>
      </w:r>
      <w:r w:rsidR="00815BE4">
        <w:t>, respectively</w:t>
      </w:r>
      <w:r w:rsidR="00CF65E6">
        <w:t xml:space="preserve"> </w:t>
      </w:r>
      <w:r w:rsidR="00CF65E6" w:rsidRPr="00CF65E6">
        <w:rPr>
          <w:rFonts w:ascii="Calibri" w:hAnsi="Calibri" w:cs="Calibri"/>
        </w:rPr>
        <w:t>(</w:t>
      </w:r>
      <w:proofErr w:type="spellStart"/>
      <w:r w:rsidR="00CF65E6" w:rsidRPr="00CF65E6">
        <w:rPr>
          <w:rFonts w:ascii="Calibri" w:hAnsi="Calibri" w:cs="Calibri"/>
        </w:rPr>
        <w:t>Tadeo</w:t>
      </w:r>
      <w:proofErr w:type="spellEnd"/>
      <w:r w:rsidR="00CF65E6" w:rsidRPr="00CF65E6">
        <w:rPr>
          <w:rFonts w:ascii="Calibri" w:hAnsi="Calibri" w:cs="Calibri"/>
        </w:rPr>
        <w:t>, 2019)</w:t>
      </w:r>
      <w:r w:rsidR="00CF65E6">
        <w:t xml:space="preserve">. </w:t>
      </w:r>
      <w:r w:rsidR="00644729">
        <w:t>Reproducibility limits</w:t>
      </w:r>
      <w:r w:rsidR="00CF65E6">
        <w:t xml:space="preserve"> </w:t>
      </w:r>
      <w:r w:rsidR="003214B0">
        <w:t xml:space="preserve">set </w:t>
      </w:r>
      <w:r w:rsidR="00CF65E6">
        <w:t xml:space="preserve">by AOAC are between 16% and 32% for levels between 1 ppm and 10 ppb </w:t>
      </w:r>
      <w:r w:rsidR="00CF65E6" w:rsidRPr="00CF65E6">
        <w:rPr>
          <w:rFonts w:ascii="Calibri" w:hAnsi="Calibri" w:cs="Calibri"/>
        </w:rPr>
        <w:t>(Horwitz, 2002)</w:t>
      </w:r>
      <w:r w:rsidR="00CF65E6">
        <w:t xml:space="preserve">. All the </w:t>
      </w:r>
      <w:proofErr w:type="spellStart"/>
      <w:r w:rsidR="00CF65E6">
        <w:t>interday</w:t>
      </w:r>
      <w:proofErr w:type="spellEnd"/>
      <w:r w:rsidR="00CF65E6">
        <w:t xml:space="preserve"> precision</w:t>
      </w:r>
      <w:r w:rsidR="00644729">
        <w:t>s</w:t>
      </w:r>
      <w:r w:rsidR="00CF65E6">
        <w:t xml:space="preserve"> </w:t>
      </w:r>
      <w:r w:rsidR="00DB65F0">
        <w:t xml:space="preserve">of our method </w:t>
      </w:r>
      <w:r w:rsidR="00CF65E6">
        <w:t>were well below these limits</w:t>
      </w:r>
      <w:r w:rsidR="00562AAB">
        <w:t xml:space="preserve"> (Table</w:t>
      </w:r>
      <w:r w:rsidR="00434EF2">
        <w:t xml:space="preserve"> </w:t>
      </w:r>
      <w:r w:rsidR="00261E65">
        <w:t>3</w:t>
      </w:r>
      <w:r w:rsidR="00562AAB">
        <w:t>)</w:t>
      </w:r>
      <w:r w:rsidR="00772D87">
        <w:t>.</w:t>
      </w:r>
      <w:r w:rsidR="00FA6407">
        <w:t xml:space="preserve"> Thus, we conclude that repeatability and intermediate precision of the tested protocol are generally satisfactory based on CAC and AOAC standards. </w:t>
      </w:r>
      <w:r w:rsidR="00E61615">
        <w:t>It is worth noting that</w:t>
      </w:r>
      <w:r w:rsidR="007601BD">
        <w:t xml:space="preserve"> </w:t>
      </w:r>
      <w:proofErr w:type="spellStart"/>
      <w:r w:rsidR="007601BD">
        <w:t>interday</w:t>
      </w:r>
      <w:proofErr w:type="spellEnd"/>
      <w:r w:rsidR="007601BD">
        <w:t xml:space="preserve"> precisions of some analytes are similar to or even lower than their intraday precisions in our study (e.g., OL at 0.1 ppm and 5 ppm), possibly due to the limited exten</w:t>
      </w:r>
      <w:r w:rsidR="00480D09">
        <w:t>t</w:t>
      </w:r>
      <w:r w:rsidR="007601BD">
        <w:t xml:space="preserve"> of varia</w:t>
      </w:r>
      <w:r w:rsidR="00480D09">
        <w:t>tion</w:t>
      </w:r>
      <w:r w:rsidR="007601BD">
        <w:t xml:space="preserve"> in analytical conditions between days. To have </w:t>
      </w:r>
      <w:r w:rsidR="00480D09">
        <w:t>achieved a</w:t>
      </w:r>
      <w:r w:rsidR="007601BD">
        <w:t xml:space="preserve"> better evaluation of intermediate precision, we w</w:t>
      </w:r>
      <w:r w:rsidR="00480D09">
        <w:t xml:space="preserve">ould have </w:t>
      </w:r>
      <w:r w:rsidR="007601BD">
        <w:t>need</w:t>
      </w:r>
      <w:r w:rsidR="00480D09">
        <w:t>ed</w:t>
      </w:r>
      <w:r w:rsidR="007601BD">
        <w:t xml:space="preserve"> to use multiple instruments and multiple analysts.</w:t>
      </w:r>
    </w:p>
    <w:p w14:paraId="3ED1C1CC" w14:textId="6EDF0A2B" w:rsidR="003275D3" w:rsidRDefault="00BF0C1C" w:rsidP="00D06B29">
      <w:pPr>
        <w:rPr>
          <w:lang w:eastAsia="en-US"/>
        </w:rPr>
      </w:pPr>
      <w:r>
        <w:rPr>
          <w:lang w:eastAsia="en-US"/>
        </w:rPr>
        <w:t>Due to the various combinations of sample matrix,</w:t>
      </w:r>
      <w:r w:rsidR="003F3F50">
        <w:rPr>
          <w:lang w:eastAsia="en-US"/>
        </w:rPr>
        <w:t xml:space="preserve"> </w:t>
      </w:r>
      <w:r>
        <w:rPr>
          <w:lang w:eastAsia="en-US"/>
        </w:rPr>
        <w:t xml:space="preserve">solvent extraction, sample cleanup, and chromatography techniques, </w:t>
      </w:r>
      <w:r w:rsidR="002773EB">
        <w:rPr>
          <w:lang w:eastAsia="en-US"/>
        </w:rPr>
        <w:t xml:space="preserve">reported </w:t>
      </w:r>
      <w:r>
        <w:rPr>
          <w:lang w:eastAsia="en-US"/>
        </w:rPr>
        <w:t xml:space="preserve">precision of analytical </w:t>
      </w:r>
      <w:r w:rsidR="00644729">
        <w:rPr>
          <w:lang w:eastAsia="en-US"/>
        </w:rPr>
        <w:t xml:space="preserve">protocols </w:t>
      </w:r>
      <w:r>
        <w:rPr>
          <w:lang w:eastAsia="en-US"/>
        </w:rPr>
        <w:t xml:space="preserve">for cannabinoids </w:t>
      </w:r>
      <w:r w:rsidR="00340AA3">
        <w:rPr>
          <w:lang w:eastAsia="en-US"/>
        </w:rPr>
        <w:t xml:space="preserve">in complex matrices </w:t>
      </w:r>
      <w:r>
        <w:rPr>
          <w:lang w:eastAsia="en-US"/>
        </w:rPr>
        <w:t>var</w:t>
      </w:r>
      <w:r w:rsidR="00CB0B99">
        <w:rPr>
          <w:lang w:eastAsia="en-US"/>
        </w:rPr>
        <w:t>ies</w:t>
      </w:r>
      <w:r>
        <w:rPr>
          <w:lang w:eastAsia="en-US"/>
        </w:rPr>
        <w:t xml:space="preserve"> dramatically in the literature.</w:t>
      </w:r>
      <w:r w:rsidR="00340AA3">
        <w:rPr>
          <w:lang w:eastAsia="en-US"/>
        </w:rPr>
        <w:t xml:space="preserve"> For </w:t>
      </w:r>
      <w:r w:rsidR="00470A38">
        <w:rPr>
          <w:lang w:eastAsia="en-US"/>
        </w:rPr>
        <w:t>cannabis plant materials</w:t>
      </w:r>
      <w:r w:rsidR="00340AA3">
        <w:rPr>
          <w:lang w:eastAsia="en-US"/>
        </w:rPr>
        <w:t xml:space="preserve">, </w:t>
      </w:r>
      <w:r w:rsidR="00644729">
        <w:rPr>
          <w:lang w:eastAsia="en-US"/>
        </w:rPr>
        <w:t xml:space="preserve">protocols </w:t>
      </w:r>
      <w:r w:rsidR="00340AA3">
        <w:rPr>
          <w:lang w:eastAsia="en-US"/>
        </w:rPr>
        <w:t xml:space="preserve">often only include solvent extraction and </w:t>
      </w:r>
      <w:r w:rsidR="00470A38">
        <w:rPr>
          <w:lang w:eastAsia="en-US"/>
        </w:rPr>
        <w:t>chromatograph</w:t>
      </w:r>
      <w:r w:rsidR="003037AF">
        <w:rPr>
          <w:lang w:eastAsia="en-US"/>
        </w:rPr>
        <w:t>ic</w:t>
      </w:r>
      <w:r w:rsidR="00470A38">
        <w:rPr>
          <w:lang w:eastAsia="en-US"/>
        </w:rPr>
        <w:t xml:space="preserve"> analysis due to the high levels of cannabinoids </w:t>
      </w:r>
      <w:r w:rsidR="00470A38" w:rsidRPr="00470A38">
        <w:rPr>
          <w:rFonts w:ascii="Calibri" w:hAnsi="Calibri" w:cs="Calibri"/>
        </w:rPr>
        <w:t>(Brown et al., 2019; Cardenia et al., 2018; Elkins, Deseo, Rochfort, Ezernieks, &amp; Spangenberg, 2019; Leiman, Colomo, Armenta, de la Guardia, &amp; Esteve-Turrillas, 2018)</w:t>
      </w:r>
      <w:r w:rsidR="00470A38">
        <w:rPr>
          <w:lang w:eastAsia="en-US"/>
        </w:rPr>
        <w:t xml:space="preserve">. </w:t>
      </w:r>
      <w:r w:rsidR="00B80D7E">
        <w:rPr>
          <w:lang w:eastAsia="en-US"/>
        </w:rPr>
        <w:t xml:space="preserve">When GC-MS was used, analytical precision of CBD, THC, CBDA, THCA, and CBGA ranged from 6.11% to 8.86% and from 0.80% to 8.63% for intraday and </w:t>
      </w:r>
      <w:proofErr w:type="spellStart"/>
      <w:r w:rsidR="00B80D7E">
        <w:rPr>
          <w:lang w:eastAsia="en-US"/>
        </w:rPr>
        <w:t>interday</w:t>
      </w:r>
      <w:proofErr w:type="spellEnd"/>
      <w:r w:rsidR="00B80D7E">
        <w:rPr>
          <w:lang w:eastAsia="en-US"/>
        </w:rPr>
        <w:t xml:space="preserve">, respectively </w:t>
      </w:r>
      <w:r w:rsidR="00B80D7E" w:rsidRPr="00B80D7E">
        <w:rPr>
          <w:rFonts w:ascii="Calibri" w:hAnsi="Calibri" w:cs="Calibri"/>
        </w:rPr>
        <w:t>(Brown et al., 2019; Cardenia et al., 2018; Leiman et al., 2018)</w:t>
      </w:r>
      <w:r w:rsidR="00B80D7E">
        <w:rPr>
          <w:lang w:eastAsia="en-US"/>
        </w:rPr>
        <w:t xml:space="preserve">. </w:t>
      </w:r>
      <w:r w:rsidR="00BA7B2E">
        <w:rPr>
          <w:lang w:eastAsia="en-US"/>
        </w:rPr>
        <w:t>For biological samples,</w:t>
      </w:r>
      <w:r w:rsidR="001A5A04" w:rsidRPr="001A5A04">
        <w:rPr>
          <w:lang w:eastAsia="en-US"/>
        </w:rPr>
        <w:t xml:space="preserve"> </w:t>
      </w:r>
      <w:r w:rsidR="00C15E96">
        <w:rPr>
          <w:lang w:eastAsia="en-US"/>
        </w:rPr>
        <w:t>most analytical pro</w:t>
      </w:r>
      <w:r w:rsidR="000B57D3">
        <w:rPr>
          <w:lang w:eastAsia="en-US"/>
        </w:rPr>
        <w:t xml:space="preserve">tocols </w:t>
      </w:r>
      <w:r w:rsidR="00C15E96">
        <w:rPr>
          <w:lang w:eastAsia="en-US"/>
        </w:rPr>
        <w:t xml:space="preserve">include a SPE cleanup step and the use of LC-MS </w:t>
      </w:r>
      <w:r w:rsidR="00C15E96" w:rsidRPr="00EF2C5E">
        <w:rPr>
          <w:rFonts w:ascii="Calibri" w:hAnsi="Calibri" w:cs="Calibri"/>
          <w:szCs w:val="24"/>
        </w:rPr>
        <w:t>(</w:t>
      </w:r>
      <w:bookmarkStart w:id="5" w:name="_Hlk41229314"/>
      <w:r w:rsidR="00C15E96" w:rsidRPr="00EF2C5E">
        <w:rPr>
          <w:rFonts w:ascii="Calibri" w:hAnsi="Calibri" w:cs="Calibri"/>
          <w:szCs w:val="24"/>
        </w:rPr>
        <w:t>Escrivá</w:t>
      </w:r>
      <w:bookmarkEnd w:id="5"/>
      <w:r w:rsidR="00C15E96" w:rsidRPr="00EF2C5E">
        <w:rPr>
          <w:rFonts w:ascii="Calibri" w:hAnsi="Calibri" w:cs="Calibri"/>
          <w:szCs w:val="24"/>
        </w:rPr>
        <w:t xml:space="preserve">, Andrés-Costa, Andreu, &amp; </w:t>
      </w:r>
      <w:proofErr w:type="spellStart"/>
      <w:r w:rsidR="00C15E96" w:rsidRPr="00EF2C5E">
        <w:rPr>
          <w:rFonts w:ascii="Calibri" w:hAnsi="Calibri" w:cs="Calibri"/>
          <w:szCs w:val="24"/>
        </w:rPr>
        <w:t>Picó</w:t>
      </w:r>
      <w:proofErr w:type="spellEnd"/>
      <w:r w:rsidR="00C15E96" w:rsidRPr="00EF2C5E">
        <w:rPr>
          <w:rFonts w:ascii="Calibri" w:hAnsi="Calibri" w:cs="Calibri"/>
          <w:szCs w:val="24"/>
        </w:rPr>
        <w:t xml:space="preserve">, 2017; </w:t>
      </w:r>
      <w:proofErr w:type="spellStart"/>
      <w:r w:rsidR="00C15E96" w:rsidRPr="00EF2C5E">
        <w:rPr>
          <w:rFonts w:ascii="Calibri" w:hAnsi="Calibri" w:cs="Calibri"/>
          <w:szCs w:val="24"/>
        </w:rPr>
        <w:t>Sobolesky</w:t>
      </w:r>
      <w:proofErr w:type="spellEnd"/>
      <w:r w:rsidR="00C15E96" w:rsidRPr="00EF2C5E">
        <w:rPr>
          <w:rFonts w:ascii="Calibri" w:hAnsi="Calibri" w:cs="Calibri"/>
          <w:szCs w:val="24"/>
        </w:rPr>
        <w:t xml:space="preserve"> et al., 2019; </w:t>
      </w:r>
      <w:proofErr w:type="spellStart"/>
      <w:r w:rsidR="00C15E96" w:rsidRPr="00EF2C5E">
        <w:rPr>
          <w:rFonts w:ascii="Calibri" w:hAnsi="Calibri" w:cs="Calibri"/>
          <w:szCs w:val="24"/>
        </w:rPr>
        <w:t>Sørensen</w:t>
      </w:r>
      <w:proofErr w:type="spellEnd"/>
      <w:r w:rsidR="00C15E96" w:rsidRPr="00EF2C5E">
        <w:rPr>
          <w:rFonts w:ascii="Calibri" w:hAnsi="Calibri" w:cs="Calibri"/>
          <w:szCs w:val="24"/>
        </w:rPr>
        <w:t xml:space="preserve"> &amp; </w:t>
      </w:r>
      <w:proofErr w:type="spellStart"/>
      <w:r w:rsidR="00C15E96" w:rsidRPr="00EF2C5E">
        <w:rPr>
          <w:rFonts w:ascii="Calibri" w:hAnsi="Calibri" w:cs="Calibri"/>
          <w:szCs w:val="24"/>
        </w:rPr>
        <w:t>Hasselstrøm</w:t>
      </w:r>
      <w:proofErr w:type="spellEnd"/>
      <w:r w:rsidR="00C15E96" w:rsidRPr="00EF2C5E">
        <w:rPr>
          <w:rFonts w:ascii="Calibri" w:hAnsi="Calibri" w:cs="Calibri"/>
          <w:szCs w:val="24"/>
        </w:rPr>
        <w:t>, 2017; Wei et al., 2016)</w:t>
      </w:r>
      <w:r w:rsidR="00C15E96" w:rsidRPr="00EF2C5E">
        <w:rPr>
          <w:lang w:eastAsia="en-US"/>
        </w:rPr>
        <w:t xml:space="preserve">. </w:t>
      </w:r>
      <w:r w:rsidR="00C15E96">
        <w:rPr>
          <w:lang w:eastAsia="en-US"/>
        </w:rPr>
        <w:t>Precision data of these pro</w:t>
      </w:r>
      <w:r w:rsidR="000B57D3">
        <w:rPr>
          <w:lang w:eastAsia="en-US"/>
        </w:rPr>
        <w:t>tocols</w:t>
      </w:r>
      <w:r w:rsidR="00C15E96">
        <w:rPr>
          <w:lang w:eastAsia="en-US"/>
        </w:rPr>
        <w:t xml:space="preserve"> in the literature are limited to THC, CBD, THCA, and metabolites of THC. </w:t>
      </w:r>
      <w:r w:rsidR="00077AA9">
        <w:rPr>
          <w:lang w:eastAsia="en-US"/>
        </w:rPr>
        <w:t xml:space="preserve">For THC, CBD, and THCA, both intraday and </w:t>
      </w:r>
      <w:proofErr w:type="spellStart"/>
      <w:r w:rsidR="00077AA9">
        <w:rPr>
          <w:lang w:eastAsia="en-US"/>
        </w:rPr>
        <w:t>interday</w:t>
      </w:r>
      <w:proofErr w:type="spellEnd"/>
      <w:r w:rsidR="00077AA9">
        <w:rPr>
          <w:lang w:eastAsia="en-US"/>
        </w:rPr>
        <w:t xml:space="preserve"> precisions ranged from 2% to </w:t>
      </w:r>
      <w:r w:rsidR="007A3922">
        <w:rPr>
          <w:lang w:eastAsia="en-US"/>
        </w:rPr>
        <w:t>16</w:t>
      </w:r>
      <w:r w:rsidR="00077AA9">
        <w:rPr>
          <w:lang w:eastAsia="en-US"/>
        </w:rPr>
        <w:t>%</w:t>
      </w:r>
      <w:r w:rsidR="007A3922">
        <w:rPr>
          <w:lang w:eastAsia="en-US"/>
        </w:rPr>
        <w:t xml:space="preserve"> in most studies </w:t>
      </w:r>
      <w:r w:rsidR="007A3922" w:rsidRPr="007A3922">
        <w:rPr>
          <w:rFonts w:ascii="Calibri" w:hAnsi="Calibri" w:cs="Calibri"/>
          <w:szCs w:val="24"/>
        </w:rPr>
        <w:t>(</w:t>
      </w:r>
      <w:proofErr w:type="spellStart"/>
      <w:r w:rsidR="007A3922" w:rsidRPr="007A3922">
        <w:rPr>
          <w:rFonts w:ascii="Calibri" w:hAnsi="Calibri" w:cs="Calibri"/>
          <w:szCs w:val="24"/>
        </w:rPr>
        <w:t>Sobolesky</w:t>
      </w:r>
      <w:proofErr w:type="spellEnd"/>
      <w:r w:rsidR="007A3922" w:rsidRPr="007A3922">
        <w:rPr>
          <w:rFonts w:ascii="Calibri" w:hAnsi="Calibri" w:cs="Calibri"/>
          <w:szCs w:val="24"/>
        </w:rPr>
        <w:t xml:space="preserve"> et al., 2019; Sørensen &amp; Hasselstrøm, 2017; Wei et al., 2016)</w:t>
      </w:r>
      <w:r w:rsidR="00077AA9" w:rsidRPr="007A3922">
        <w:rPr>
          <w:lang w:eastAsia="en-US"/>
        </w:rPr>
        <w:t xml:space="preserve">. </w:t>
      </w:r>
      <w:r w:rsidR="007A3922">
        <w:rPr>
          <w:lang w:eastAsia="en-US"/>
        </w:rPr>
        <w:t>Precision of THC analysis ranging from 5% to 24% was reported by</w:t>
      </w:r>
      <w:r w:rsidR="00545A24" w:rsidRPr="00545A24">
        <w:rPr>
          <w:rFonts w:ascii="Calibri" w:hAnsi="Calibri" w:cs="Calibri"/>
          <w:szCs w:val="24"/>
        </w:rPr>
        <w:t xml:space="preserve"> </w:t>
      </w:r>
      <w:r w:rsidR="00545A24" w:rsidRPr="00C15E96">
        <w:rPr>
          <w:rFonts w:ascii="Calibri" w:hAnsi="Calibri" w:cs="Calibri"/>
          <w:szCs w:val="24"/>
        </w:rPr>
        <w:t>Escrivá</w:t>
      </w:r>
      <w:r w:rsidR="00545A24">
        <w:rPr>
          <w:rFonts w:ascii="Calibri" w:hAnsi="Calibri" w:cs="Calibri"/>
          <w:szCs w:val="24"/>
        </w:rPr>
        <w:t xml:space="preserve"> et al.</w:t>
      </w:r>
      <w:r w:rsidR="007A3922">
        <w:rPr>
          <w:lang w:eastAsia="en-US"/>
        </w:rPr>
        <w:t xml:space="preserve"> </w:t>
      </w:r>
      <w:r w:rsidR="00545A24" w:rsidRPr="00545A24">
        <w:rPr>
          <w:rFonts w:ascii="Calibri" w:hAnsi="Calibri" w:cs="Calibri"/>
        </w:rPr>
        <w:t>(2017)</w:t>
      </w:r>
      <w:r w:rsidR="00545A24">
        <w:rPr>
          <w:lang w:eastAsia="en-US"/>
        </w:rPr>
        <w:t xml:space="preserve">. Studies involving the </w:t>
      </w:r>
      <w:r w:rsidR="003275D3">
        <w:rPr>
          <w:lang w:eastAsia="en-US"/>
        </w:rPr>
        <w:t xml:space="preserve">complete </w:t>
      </w:r>
      <w:proofErr w:type="spellStart"/>
      <w:r w:rsidR="00545A24">
        <w:rPr>
          <w:lang w:eastAsia="en-US"/>
        </w:rPr>
        <w:t>QuEChERS</w:t>
      </w:r>
      <w:proofErr w:type="spellEnd"/>
      <w:r w:rsidR="00545A24">
        <w:rPr>
          <w:lang w:eastAsia="en-US"/>
        </w:rPr>
        <w:t xml:space="preserve"> pro</w:t>
      </w:r>
      <w:r w:rsidR="003D6A12">
        <w:rPr>
          <w:lang w:eastAsia="en-US"/>
        </w:rPr>
        <w:t>tocol</w:t>
      </w:r>
      <w:r w:rsidR="003275D3">
        <w:rPr>
          <w:lang w:eastAsia="en-US"/>
        </w:rPr>
        <w:t xml:space="preserve">, including </w:t>
      </w:r>
      <w:r w:rsidR="00545A24">
        <w:rPr>
          <w:lang w:eastAsia="en-US"/>
        </w:rPr>
        <w:t xml:space="preserve">solvent extraction and </w:t>
      </w:r>
      <w:proofErr w:type="spellStart"/>
      <w:r w:rsidR="00545A24">
        <w:rPr>
          <w:lang w:eastAsia="en-US"/>
        </w:rPr>
        <w:t>dSPE</w:t>
      </w:r>
      <w:proofErr w:type="spellEnd"/>
      <w:r w:rsidR="003275D3">
        <w:rPr>
          <w:lang w:eastAsia="en-US"/>
        </w:rPr>
        <w:t>,</w:t>
      </w:r>
      <w:r w:rsidR="00545A24">
        <w:rPr>
          <w:lang w:eastAsia="en-US"/>
        </w:rPr>
        <w:t xml:space="preserve"> reported </w:t>
      </w:r>
      <w:r w:rsidR="003D6A12">
        <w:rPr>
          <w:lang w:eastAsia="en-US"/>
        </w:rPr>
        <w:t xml:space="preserve">even </w:t>
      </w:r>
      <w:r w:rsidR="00545A24">
        <w:rPr>
          <w:lang w:eastAsia="en-US"/>
        </w:rPr>
        <w:t>high</w:t>
      </w:r>
      <w:r w:rsidR="003D6A12">
        <w:rPr>
          <w:lang w:eastAsia="en-US"/>
        </w:rPr>
        <w:t>er RSDs</w:t>
      </w:r>
      <w:r w:rsidR="004C0942">
        <w:rPr>
          <w:lang w:eastAsia="en-US"/>
        </w:rPr>
        <w:t xml:space="preserve">, ranging from 3% to 38% for THC and from 3% to 16% for CBD </w:t>
      </w:r>
      <w:r w:rsidR="004C0942" w:rsidRPr="004C0942">
        <w:rPr>
          <w:rFonts w:ascii="Calibri" w:hAnsi="Calibri" w:cs="Calibri"/>
          <w:szCs w:val="24"/>
        </w:rPr>
        <w:t>(Ramnarine et al., 2019; Yousefi‐Taemeh &amp; Ifa, 2019)</w:t>
      </w:r>
      <w:r w:rsidR="004C0942">
        <w:rPr>
          <w:lang w:eastAsia="en-US"/>
        </w:rPr>
        <w:t xml:space="preserve">. </w:t>
      </w:r>
      <w:r w:rsidR="003275D3">
        <w:rPr>
          <w:lang w:eastAsia="en-US"/>
        </w:rPr>
        <w:t xml:space="preserve">The </w:t>
      </w:r>
      <w:r w:rsidR="003275D3">
        <w:rPr>
          <w:lang w:eastAsia="en-US"/>
        </w:rPr>
        <w:lastRenderedPageBreak/>
        <w:t xml:space="preserve">additional SPE or </w:t>
      </w:r>
      <w:proofErr w:type="spellStart"/>
      <w:r w:rsidR="003275D3">
        <w:rPr>
          <w:lang w:eastAsia="en-US"/>
        </w:rPr>
        <w:t>dSPE</w:t>
      </w:r>
      <w:proofErr w:type="spellEnd"/>
      <w:r w:rsidR="003275D3">
        <w:rPr>
          <w:lang w:eastAsia="en-US"/>
        </w:rPr>
        <w:t xml:space="preserve"> step in these pro</w:t>
      </w:r>
      <w:r w:rsidR="000B57D3">
        <w:rPr>
          <w:lang w:eastAsia="en-US"/>
        </w:rPr>
        <w:t>tocol</w:t>
      </w:r>
      <w:r w:rsidR="003275D3">
        <w:rPr>
          <w:lang w:eastAsia="en-US"/>
        </w:rPr>
        <w:t>s introduced more uncertainties</w:t>
      </w:r>
      <w:r w:rsidR="003037AF">
        <w:rPr>
          <w:lang w:eastAsia="en-US"/>
        </w:rPr>
        <w:t xml:space="preserve"> </w:t>
      </w:r>
      <w:r w:rsidR="003275D3">
        <w:rPr>
          <w:lang w:eastAsia="en-US"/>
        </w:rPr>
        <w:t xml:space="preserve">which might have led to the higher RSDs. </w:t>
      </w:r>
      <w:r w:rsidR="004C0942">
        <w:rPr>
          <w:lang w:eastAsia="en-US"/>
        </w:rPr>
        <w:t xml:space="preserve">Precision is largely dependent on </w:t>
      </w:r>
      <w:r w:rsidR="00AD76DF">
        <w:rPr>
          <w:lang w:eastAsia="en-US"/>
        </w:rPr>
        <w:t xml:space="preserve">the </w:t>
      </w:r>
      <w:r w:rsidR="00562AAB">
        <w:rPr>
          <w:lang w:eastAsia="en-US"/>
        </w:rPr>
        <w:t>sample matri</w:t>
      </w:r>
      <w:r w:rsidR="00AD76DF">
        <w:rPr>
          <w:lang w:eastAsia="en-US"/>
        </w:rPr>
        <w:t>x</w:t>
      </w:r>
      <w:r w:rsidR="00562AAB">
        <w:rPr>
          <w:lang w:eastAsia="en-US"/>
        </w:rPr>
        <w:t xml:space="preserve"> and</w:t>
      </w:r>
      <w:r w:rsidR="004C0942">
        <w:rPr>
          <w:lang w:eastAsia="en-US"/>
        </w:rPr>
        <w:t xml:space="preserve"> </w:t>
      </w:r>
      <w:r w:rsidR="00AD76DF">
        <w:rPr>
          <w:lang w:eastAsia="en-US"/>
        </w:rPr>
        <w:t xml:space="preserve">the complexity of sample </w:t>
      </w:r>
      <w:r w:rsidR="004C0942">
        <w:rPr>
          <w:lang w:eastAsia="en-US"/>
        </w:rPr>
        <w:t xml:space="preserve">preparation </w:t>
      </w:r>
      <w:r w:rsidR="00AD76DF">
        <w:rPr>
          <w:lang w:eastAsia="en-US"/>
        </w:rPr>
        <w:t>p</w:t>
      </w:r>
      <w:r w:rsidR="000B57D3">
        <w:rPr>
          <w:lang w:eastAsia="en-US"/>
        </w:rPr>
        <w:t>rocedures</w:t>
      </w:r>
      <w:r w:rsidR="004C0942">
        <w:rPr>
          <w:lang w:eastAsia="en-US"/>
        </w:rPr>
        <w:t xml:space="preserve">. </w:t>
      </w:r>
      <w:r w:rsidR="00562AAB">
        <w:rPr>
          <w:lang w:eastAsia="en-US"/>
        </w:rPr>
        <w:t xml:space="preserve">Intraday and </w:t>
      </w:r>
      <w:proofErr w:type="spellStart"/>
      <w:r w:rsidR="00562AAB">
        <w:rPr>
          <w:lang w:eastAsia="en-US"/>
        </w:rPr>
        <w:t>interday</w:t>
      </w:r>
      <w:proofErr w:type="spellEnd"/>
      <w:r w:rsidR="00562AAB">
        <w:rPr>
          <w:lang w:eastAsia="en-US"/>
        </w:rPr>
        <w:t xml:space="preserve"> precisions of our current method </w:t>
      </w:r>
      <w:r w:rsidR="00434EF2">
        <w:rPr>
          <w:lang w:eastAsia="en-US"/>
        </w:rPr>
        <w:t xml:space="preserve">(Table </w:t>
      </w:r>
      <w:r w:rsidR="00261E65">
        <w:rPr>
          <w:lang w:eastAsia="en-US"/>
        </w:rPr>
        <w:t>3</w:t>
      </w:r>
      <w:r w:rsidR="00434EF2">
        <w:rPr>
          <w:lang w:eastAsia="en-US"/>
        </w:rPr>
        <w:t xml:space="preserve">) </w:t>
      </w:r>
      <w:r w:rsidR="00562AAB">
        <w:rPr>
          <w:lang w:eastAsia="en-US"/>
        </w:rPr>
        <w:t>are</w:t>
      </w:r>
      <w:r w:rsidR="003275D3">
        <w:rPr>
          <w:lang w:eastAsia="en-US"/>
        </w:rPr>
        <w:t xml:space="preserve"> superior or</w:t>
      </w:r>
      <w:r w:rsidR="00562AAB">
        <w:rPr>
          <w:lang w:eastAsia="en-US"/>
        </w:rPr>
        <w:t xml:space="preserve"> comparable to</w:t>
      </w:r>
      <w:r w:rsidR="003275D3">
        <w:rPr>
          <w:lang w:eastAsia="en-US"/>
        </w:rPr>
        <w:t xml:space="preserve"> those existing </w:t>
      </w:r>
      <w:r w:rsidR="000B57D3">
        <w:rPr>
          <w:lang w:eastAsia="en-US"/>
        </w:rPr>
        <w:t>protocols</w:t>
      </w:r>
      <w:r w:rsidR="00AD76DF">
        <w:rPr>
          <w:lang w:eastAsia="en-US"/>
        </w:rPr>
        <w:t xml:space="preserve">, </w:t>
      </w:r>
      <w:r w:rsidR="003275D3">
        <w:rPr>
          <w:lang w:eastAsia="en-US"/>
        </w:rPr>
        <w:t xml:space="preserve">even with the additional </w:t>
      </w:r>
      <w:proofErr w:type="spellStart"/>
      <w:r w:rsidR="003275D3">
        <w:rPr>
          <w:lang w:eastAsia="en-US"/>
        </w:rPr>
        <w:t>silylation</w:t>
      </w:r>
      <w:proofErr w:type="spellEnd"/>
      <w:r w:rsidR="003275D3">
        <w:rPr>
          <w:lang w:eastAsia="en-US"/>
        </w:rPr>
        <w:t xml:space="preserve"> step, which is </w:t>
      </w:r>
      <w:r w:rsidR="00AD76DF">
        <w:rPr>
          <w:lang w:eastAsia="en-US"/>
        </w:rPr>
        <w:t xml:space="preserve">a prerequisite </w:t>
      </w:r>
      <w:r w:rsidR="003275D3">
        <w:rPr>
          <w:lang w:eastAsia="en-US"/>
        </w:rPr>
        <w:t xml:space="preserve">for GC-MS analysis.  </w:t>
      </w:r>
    </w:p>
    <w:p w14:paraId="5E6EE135" w14:textId="270FE59F" w:rsidR="00AF4420" w:rsidRPr="00AF4420" w:rsidRDefault="00697391" w:rsidP="006E43A4">
      <w:pPr>
        <w:pStyle w:val="Heading3"/>
        <w:rPr>
          <w:noProof/>
        </w:rPr>
      </w:pPr>
      <w:r w:rsidRPr="00AF4420">
        <w:rPr>
          <w:noProof/>
        </w:rPr>
        <w:t>Stability</w:t>
      </w:r>
    </w:p>
    <w:p w14:paraId="19871DA7" w14:textId="56FFAEDD" w:rsidR="00624CFA" w:rsidRDefault="002202E9" w:rsidP="002202E9">
      <w:pPr>
        <w:pStyle w:val="Noindent"/>
        <w:ind w:firstLine="288"/>
        <w:rPr>
          <w:noProof/>
        </w:rPr>
      </w:pPr>
      <w:r>
        <w:rPr>
          <w:noProof/>
        </w:rPr>
        <w:t xml:space="preserve">To our knowledge, the stabilities of TMS derivatives of OL, CBD, THC, OA, CBDA, THCA, and CBGA have not been reported in literature. In order to guide sample handling practice after TMS drivatization, we added a preminary stability study. Analytes </w:t>
      </w:r>
      <w:r w:rsidR="0068243E" w:rsidRPr="00542E3E">
        <w:rPr>
          <w:noProof/>
        </w:rPr>
        <w:t>in the</w:t>
      </w:r>
      <w:r w:rsidR="005164E2">
        <w:rPr>
          <w:noProof/>
        </w:rPr>
        <w:t xml:space="preserve"> original</w:t>
      </w:r>
      <w:r w:rsidR="0068243E" w:rsidRPr="00542E3E">
        <w:rPr>
          <w:noProof/>
        </w:rPr>
        <w:t xml:space="preserve"> </w:t>
      </w:r>
      <w:r w:rsidR="000B57D3">
        <w:rPr>
          <w:noProof/>
        </w:rPr>
        <w:t>silylation</w:t>
      </w:r>
      <w:r w:rsidR="0068243E" w:rsidRPr="00542E3E">
        <w:rPr>
          <w:noProof/>
        </w:rPr>
        <w:t xml:space="preserve"> mixture</w:t>
      </w:r>
      <w:r w:rsidR="00F325E5">
        <w:rPr>
          <w:noProof/>
        </w:rPr>
        <w:t xml:space="preserve"> (</w:t>
      </w:r>
      <w:r w:rsidR="00F325E5" w:rsidRPr="00542E3E">
        <w:t xml:space="preserve">150 </w:t>
      </w:r>
      <w:r w:rsidR="00F325E5" w:rsidRPr="00542E3E">
        <w:sym w:font="Symbol" w:char="F06D"/>
      </w:r>
      <w:r w:rsidR="00F325E5" w:rsidRPr="00542E3E">
        <w:t>L MSTFA with 2% TMCS</w:t>
      </w:r>
      <w:r w:rsidR="00F325E5">
        <w:t xml:space="preserve"> and </w:t>
      </w:r>
      <w:r w:rsidR="00F325E5" w:rsidRPr="00542E3E">
        <w:t xml:space="preserve">75 </w:t>
      </w:r>
      <w:r w:rsidR="00F325E5" w:rsidRPr="00542E3E">
        <w:sym w:font="Symbol" w:char="F06D"/>
      </w:r>
      <w:r w:rsidR="00F325E5" w:rsidRPr="00542E3E">
        <w:t>L pyridine</w:t>
      </w:r>
      <w:r w:rsidR="00F325E5">
        <w:t>)</w:t>
      </w:r>
      <w:r w:rsidR="00F325E5">
        <w:rPr>
          <w:noProof/>
        </w:rPr>
        <w:t xml:space="preserve"> </w:t>
      </w:r>
      <w:r w:rsidR="0068243E" w:rsidRPr="00542E3E">
        <w:rPr>
          <w:noProof/>
        </w:rPr>
        <w:t>and</w:t>
      </w:r>
      <w:r w:rsidR="00CA4E02">
        <w:rPr>
          <w:noProof/>
        </w:rPr>
        <w:t xml:space="preserve"> in</w:t>
      </w:r>
      <w:r w:rsidR="0068243E" w:rsidRPr="00542E3E">
        <w:rPr>
          <w:noProof/>
        </w:rPr>
        <w:t xml:space="preserve"> hexane</w:t>
      </w:r>
      <w:r w:rsidR="005164E2">
        <w:rPr>
          <w:noProof/>
        </w:rPr>
        <w:t>,</w:t>
      </w:r>
      <w:r w:rsidR="0068243E" w:rsidRPr="00542E3E">
        <w:rPr>
          <w:noProof/>
        </w:rPr>
        <w:t xml:space="preserve"> </w:t>
      </w:r>
      <w:r>
        <w:rPr>
          <w:noProof/>
        </w:rPr>
        <w:t>either</w:t>
      </w:r>
      <w:r w:rsidR="0068243E" w:rsidRPr="00542E3E">
        <w:rPr>
          <w:noProof/>
        </w:rPr>
        <w:t xml:space="preserve"> at room temeprature </w:t>
      </w:r>
      <w:r>
        <w:rPr>
          <w:noProof/>
        </w:rPr>
        <w:t>or</w:t>
      </w:r>
      <w:r w:rsidR="0068243E" w:rsidRPr="00542E3E">
        <w:rPr>
          <w:noProof/>
        </w:rPr>
        <w:t xml:space="preserve"> at -20</w:t>
      </w:r>
      <w:r w:rsidR="00F325E5">
        <w:rPr>
          <w:rFonts w:ascii="Calibri" w:hAnsi="Calibri"/>
          <w:noProof/>
        </w:rPr>
        <w:t>°</w:t>
      </w:r>
      <w:r w:rsidR="00F325E5">
        <w:rPr>
          <w:noProof/>
        </w:rPr>
        <w:t>C</w:t>
      </w:r>
      <w:r>
        <w:rPr>
          <w:noProof/>
        </w:rPr>
        <w:t>, were evaluated</w:t>
      </w:r>
      <w:r w:rsidR="00F325E5">
        <w:rPr>
          <w:noProof/>
        </w:rPr>
        <w:t xml:space="preserve">. </w:t>
      </w:r>
      <w:r>
        <w:rPr>
          <w:noProof/>
        </w:rPr>
        <w:t xml:space="preserve">At room temperature, </w:t>
      </w:r>
      <w:r w:rsidR="005164E2">
        <w:rPr>
          <w:noProof/>
        </w:rPr>
        <w:t>silylated</w:t>
      </w:r>
      <w:r w:rsidR="0068243E" w:rsidRPr="00542E3E">
        <w:rPr>
          <w:noProof/>
        </w:rPr>
        <w:t xml:space="preserve"> THC, </w:t>
      </w:r>
      <w:r w:rsidR="00B77D34">
        <w:rPr>
          <w:noProof/>
        </w:rPr>
        <w:t>C</w:t>
      </w:r>
      <w:r w:rsidR="0068243E" w:rsidRPr="00542E3E">
        <w:rPr>
          <w:noProof/>
        </w:rPr>
        <w:t>BDA, THCA, and CBGA</w:t>
      </w:r>
      <w:r w:rsidRPr="002202E9">
        <w:rPr>
          <w:noProof/>
        </w:rPr>
        <w:t xml:space="preserve"> </w:t>
      </w:r>
      <w:r>
        <w:rPr>
          <w:noProof/>
        </w:rPr>
        <w:t>i</w:t>
      </w:r>
      <w:r w:rsidRPr="00542E3E">
        <w:rPr>
          <w:noProof/>
        </w:rPr>
        <w:t>n</w:t>
      </w:r>
      <w:r>
        <w:rPr>
          <w:noProof/>
        </w:rPr>
        <w:t xml:space="preserve"> the MSTFA and</w:t>
      </w:r>
      <w:r w:rsidRPr="00542E3E">
        <w:rPr>
          <w:noProof/>
        </w:rPr>
        <w:t xml:space="preserve"> pyridine</w:t>
      </w:r>
      <w:r>
        <w:rPr>
          <w:noProof/>
        </w:rPr>
        <w:t xml:space="preserve"> mixture</w:t>
      </w:r>
      <w:r w:rsidR="0068243E" w:rsidRPr="00542E3E">
        <w:rPr>
          <w:noProof/>
        </w:rPr>
        <w:t xml:space="preserve"> were stable during the 5-day </w:t>
      </w:r>
      <w:r>
        <w:rPr>
          <w:noProof/>
        </w:rPr>
        <w:t xml:space="preserve">stability </w:t>
      </w:r>
      <w:r w:rsidR="0068243E" w:rsidRPr="00542E3E">
        <w:rPr>
          <w:noProof/>
        </w:rPr>
        <w:t>study</w:t>
      </w:r>
      <w:r w:rsidR="000360E5">
        <w:rPr>
          <w:noProof/>
        </w:rPr>
        <w:t xml:space="preserve"> (Fig. </w:t>
      </w:r>
      <w:r w:rsidR="00280ACA">
        <w:rPr>
          <w:noProof/>
        </w:rPr>
        <w:t>3</w:t>
      </w:r>
      <w:r w:rsidR="000360E5">
        <w:rPr>
          <w:noProof/>
        </w:rPr>
        <w:t>a)</w:t>
      </w:r>
      <w:r w:rsidR="0068243E" w:rsidRPr="00542E3E">
        <w:rPr>
          <w:noProof/>
        </w:rPr>
        <w:t xml:space="preserve">. </w:t>
      </w:r>
      <w:r w:rsidR="005164E2">
        <w:rPr>
          <w:noProof/>
        </w:rPr>
        <w:t xml:space="preserve">Silylated </w:t>
      </w:r>
      <w:r w:rsidR="0068243E" w:rsidRPr="00542E3E">
        <w:rPr>
          <w:noProof/>
        </w:rPr>
        <w:t>CBD and OA started to decrease from Day 4. To investigate if freezing improve</w:t>
      </w:r>
      <w:r w:rsidR="003B518D">
        <w:rPr>
          <w:noProof/>
        </w:rPr>
        <w:t>d</w:t>
      </w:r>
      <w:r w:rsidR="0068243E" w:rsidRPr="00542E3E">
        <w:rPr>
          <w:noProof/>
        </w:rPr>
        <w:t xml:space="preserve"> </w:t>
      </w:r>
      <w:r w:rsidR="00624CFA">
        <w:rPr>
          <w:noProof/>
          <w:lang w:eastAsia="zh-CN"/>
        </w:rPr>
        <w:t>their</w:t>
      </w:r>
      <w:r w:rsidR="0068243E" w:rsidRPr="00542E3E">
        <w:rPr>
          <w:rFonts w:hint="eastAsia"/>
          <w:noProof/>
          <w:lang w:eastAsia="zh-CN"/>
        </w:rPr>
        <w:t xml:space="preserve"> </w:t>
      </w:r>
      <w:r w:rsidR="0068243E" w:rsidRPr="00542E3E">
        <w:rPr>
          <w:noProof/>
        </w:rPr>
        <w:t xml:space="preserve">stability, samples </w:t>
      </w:r>
      <w:r w:rsidR="00CA4E02">
        <w:rPr>
          <w:noProof/>
        </w:rPr>
        <w:t>stored frozen were</w:t>
      </w:r>
      <w:r w:rsidR="0068243E" w:rsidRPr="00542E3E">
        <w:rPr>
          <w:noProof/>
        </w:rPr>
        <w:t xml:space="preserve"> analyzed </w:t>
      </w:r>
      <w:r w:rsidR="00CA4E02">
        <w:rPr>
          <w:noProof/>
        </w:rPr>
        <w:t>from</w:t>
      </w:r>
      <w:r w:rsidR="00CA4E02" w:rsidRPr="00542E3E">
        <w:rPr>
          <w:noProof/>
        </w:rPr>
        <w:t xml:space="preserve"> </w:t>
      </w:r>
      <w:r w:rsidR="0068243E" w:rsidRPr="00542E3E">
        <w:rPr>
          <w:noProof/>
        </w:rPr>
        <w:t>Day 4</w:t>
      </w:r>
      <w:r w:rsidR="000360E5">
        <w:rPr>
          <w:noProof/>
        </w:rPr>
        <w:t xml:space="preserve"> (Fig. </w:t>
      </w:r>
      <w:r w:rsidR="00280ACA">
        <w:rPr>
          <w:noProof/>
        </w:rPr>
        <w:t>3</w:t>
      </w:r>
      <w:r w:rsidR="000360E5">
        <w:rPr>
          <w:noProof/>
        </w:rPr>
        <w:t>b)</w:t>
      </w:r>
      <w:r w:rsidR="0068243E" w:rsidRPr="00542E3E">
        <w:rPr>
          <w:noProof/>
        </w:rPr>
        <w:t>. The stabilit</w:t>
      </w:r>
      <w:r w:rsidR="00624CFA">
        <w:rPr>
          <w:noProof/>
        </w:rPr>
        <w:t>ies</w:t>
      </w:r>
      <w:r w:rsidR="0068243E" w:rsidRPr="00542E3E">
        <w:rPr>
          <w:noProof/>
        </w:rPr>
        <w:t xml:space="preserve"> of</w:t>
      </w:r>
      <w:r w:rsidR="005164E2">
        <w:rPr>
          <w:noProof/>
        </w:rPr>
        <w:t xml:space="preserve"> silylated</w:t>
      </w:r>
      <w:r w:rsidR="0068243E" w:rsidRPr="00542E3E">
        <w:rPr>
          <w:noProof/>
        </w:rPr>
        <w:t xml:space="preserve"> CBD</w:t>
      </w:r>
      <w:r w:rsidR="00624CFA">
        <w:rPr>
          <w:noProof/>
        </w:rPr>
        <w:t xml:space="preserve"> and OA</w:t>
      </w:r>
      <w:r w:rsidR="00CA4E02">
        <w:rPr>
          <w:noProof/>
        </w:rPr>
        <w:t xml:space="preserve"> in </w:t>
      </w:r>
      <w:r w:rsidR="00C11B06">
        <w:rPr>
          <w:noProof/>
        </w:rPr>
        <w:t xml:space="preserve">the MSTFA and </w:t>
      </w:r>
      <w:r w:rsidR="00CA4E02">
        <w:rPr>
          <w:noProof/>
        </w:rPr>
        <w:t>pyridine</w:t>
      </w:r>
      <w:r w:rsidR="00C11B06">
        <w:rPr>
          <w:noProof/>
        </w:rPr>
        <w:t xml:space="preserve"> mixture</w:t>
      </w:r>
      <w:r w:rsidR="0068243E" w:rsidRPr="00542E3E">
        <w:rPr>
          <w:noProof/>
        </w:rPr>
        <w:t xml:space="preserve"> w</w:t>
      </w:r>
      <w:r w:rsidR="00624CFA">
        <w:rPr>
          <w:noProof/>
        </w:rPr>
        <w:t>ere</w:t>
      </w:r>
      <w:r w:rsidR="0068243E" w:rsidRPr="00542E3E">
        <w:rPr>
          <w:noProof/>
        </w:rPr>
        <w:t xml:space="preserve"> not</w:t>
      </w:r>
      <w:r w:rsidR="00624CFA">
        <w:rPr>
          <w:noProof/>
        </w:rPr>
        <w:t xml:space="preserve"> significantly</w:t>
      </w:r>
      <w:r w:rsidR="0068243E" w:rsidRPr="00542E3E">
        <w:rPr>
          <w:noProof/>
        </w:rPr>
        <w:t xml:space="preserve"> improved</w:t>
      </w:r>
      <w:r w:rsidR="00624CFA">
        <w:rPr>
          <w:noProof/>
        </w:rPr>
        <w:t xml:space="preserve"> by frozen storage</w:t>
      </w:r>
      <w:r w:rsidR="0068243E" w:rsidRPr="00542E3E">
        <w:rPr>
          <w:noProof/>
        </w:rPr>
        <w:t xml:space="preserve">; </w:t>
      </w:r>
      <w:r w:rsidR="00624CFA">
        <w:rPr>
          <w:noProof/>
        </w:rPr>
        <w:t>they</w:t>
      </w:r>
      <w:r w:rsidR="0068243E" w:rsidRPr="00542E3E">
        <w:rPr>
          <w:noProof/>
        </w:rPr>
        <w:t xml:space="preserve"> show</w:t>
      </w:r>
      <w:r w:rsidR="00624CFA">
        <w:rPr>
          <w:noProof/>
        </w:rPr>
        <w:t>ed</w:t>
      </w:r>
      <w:r w:rsidR="0068243E" w:rsidRPr="00542E3E">
        <w:rPr>
          <w:noProof/>
        </w:rPr>
        <w:t xml:space="preserve"> </w:t>
      </w:r>
      <w:r w:rsidR="003037AF">
        <w:rPr>
          <w:noProof/>
        </w:rPr>
        <w:t xml:space="preserve">a </w:t>
      </w:r>
      <w:r w:rsidR="0068243E" w:rsidRPr="00542E3E">
        <w:rPr>
          <w:noProof/>
        </w:rPr>
        <w:t>significant decre</w:t>
      </w:r>
      <w:r w:rsidR="007A6EB2">
        <w:rPr>
          <w:noProof/>
        </w:rPr>
        <w:t>a</w:t>
      </w:r>
      <w:r w:rsidR="0068243E" w:rsidRPr="00542E3E">
        <w:rPr>
          <w:noProof/>
        </w:rPr>
        <w:t>s</w:t>
      </w:r>
      <w:r w:rsidR="00624CFA">
        <w:rPr>
          <w:noProof/>
        </w:rPr>
        <w:t xml:space="preserve">e from Day 4 to </w:t>
      </w:r>
      <w:r w:rsidR="0068243E" w:rsidRPr="00542E3E">
        <w:rPr>
          <w:noProof/>
        </w:rPr>
        <w:t xml:space="preserve">Day 6. </w:t>
      </w:r>
      <w:r w:rsidR="00624CFA">
        <w:t>Based on these results, such samples should be analyzed as soon as possible after the preparation</w:t>
      </w:r>
      <w:r>
        <w:t>, ideally within 24 hours.</w:t>
      </w:r>
    </w:p>
    <w:p w14:paraId="35F5B5E5" w14:textId="1EEC8894" w:rsidR="00624CFA" w:rsidRDefault="00624CFA" w:rsidP="00624CFA">
      <w:pPr>
        <w:pStyle w:val="Noindent"/>
        <w:ind w:firstLine="288"/>
      </w:pPr>
      <w:r>
        <w:t>When analytes were reconstituted in</w:t>
      </w:r>
      <w:r w:rsidR="0068243E" w:rsidRPr="00542E3E">
        <w:t xml:space="preserve"> hexane, only </w:t>
      </w:r>
      <w:proofErr w:type="spellStart"/>
      <w:r w:rsidR="005164E2">
        <w:t>silylated</w:t>
      </w:r>
      <w:proofErr w:type="spellEnd"/>
      <w:r w:rsidR="0068243E" w:rsidRPr="00542E3E">
        <w:t xml:space="preserve"> OL was stable over the 5-day study at room temperature</w:t>
      </w:r>
      <w:r w:rsidR="000360E5">
        <w:t xml:space="preserve"> (Fig. </w:t>
      </w:r>
      <w:r w:rsidR="00280ACA">
        <w:t>3</w:t>
      </w:r>
      <w:r w:rsidR="000360E5">
        <w:t>c)</w:t>
      </w:r>
      <w:r w:rsidR="0068243E" w:rsidRPr="00542E3E">
        <w:t xml:space="preserve">. </w:t>
      </w:r>
      <w:proofErr w:type="spellStart"/>
      <w:r w:rsidR="005164E2">
        <w:t>Silylated</w:t>
      </w:r>
      <w:proofErr w:type="spellEnd"/>
      <w:r w:rsidR="0068243E" w:rsidRPr="00542E3E">
        <w:t xml:space="preserve"> CBD and THC started to decrease from Day 2, while other analytes started from Day 3. Samples stored in a </w:t>
      </w:r>
      <w:r w:rsidR="0068243E" w:rsidRPr="005164E2">
        <w:t xml:space="preserve">freezer demonstrated improved stability of </w:t>
      </w:r>
      <w:proofErr w:type="spellStart"/>
      <w:r w:rsidR="0068243E" w:rsidRPr="005164E2">
        <w:t>silylated</w:t>
      </w:r>
      <w:proofErr w:type="spellEnd"/>
      <w:r w:rsidR="0068243E" w:rsidRPr="005164E2">
        <w:t xml:space="preserve"> THC, OA, CBDA, THCA, and CBGA in hexane at -20</w:t>
      </w:r>
      <w:r w:rsidR="00540FCD">
        <w:rPr>
          <w:rFonts w:ascii="Calibri" w:hAnsi="Calibri"/>
          <w:noProof/>
        </w:rPr>
        <w:t>°</w:t>
      </w:r>
      <w:r w:rsidR="00540FCD">
        <w:rPr>
          <w:noProof/>
        </w:rPr>
        <w:t>C</w:t>
      </w:r>
      <w:r w:rsidR="008F36F4">
        <w:rPr>
          <w:noProof/>
        </w:rPr>
        <w:t xml:space="preserve"> (Fig. </w:t>
      </w:r>
      <w:r w:rsidR="00280ACA">
        <w:rPr>
          <w:noProof/>
        </w:rPr>
        <w:t>3</w:t>
      </w:r>
      <w:r w:rsidR="008F36F4">
        <w:rPr>
          <w:noProof/>
        </w:rPr>
        <w:t>d).</w:t>
      </w:r>
      <w:r w:rsidR="008F36F4">
        <w:t xml:space="preserve"> </w:t>
      </w:r>
      <w:r w:rsidR="0068243E" w:rsidRPr="005164E2">
        <w:t xml:space="preserve">However, most compounds still </w:t>
      </w:r>
      <w:r w:rsidR="006D4316">
        <w:t>began</w:t>
      </w:r>
      <w:r w:rsidR="006D4316" w:rsidRPr="005164E2">
        <w:t xml:space="preserve"> </w:t>
      </w:r>
      <w:r w:rsidR="0068243E" w:rsidRPr="005164E2">
        <w:t xml:space="preserve">to degrade on Day 6 or Day 8. </w:t>
      </w:r>
      <w:proofErr w:type="spellStart"/>
      <w:r w:rsidR="0068589F">
        <w:t>Silylated</w:t>
      </w:r>
      <w:proofErr w:type="spellEnd"/>
      <w:r w:rsidR="0068589F">
        <w:t xml:space="preserve"> </w:t>
      </w:r>
      <w:r>
        <w:t>analytes</w:t>
      </w:r>
      <w:r w:rsidR="0068589F">
        <w:t xml:space="preserve"> seem to be more stable in </w:t>
      </w:r>
      <w:r w:rsidR="00C11B06">
        <w:t xml:space="preserve">the MSTFA and </w:t>
      </w:r>
      <w:r w:rsidR="0068589F">
        <w:t>pyridine</w:t>
      </w:r>
      <w:r w:rsidR="00C11B06">
        <w:t xml:space="preserve"> mixture</w:t>
      </w:r>
      <w:r>
        <w:t xml:space="preserve"> (Fig. </w:t>
      </w:r>
      <w:r w:rsidR="00280ACA">
        <w:t>3</w:t>
      </w:r>
      <w:r>
        <w:t xml:space="preserve">a &amp; </w:t>
      </w:r>
      <w:r w:rsidR="00280ACA">
        <w:t>3</w:t>
      </w:r>
      <w:r>
        <w:t>b)</w:t>
      </w:r>
      <w:r w:rsidR="0068589F">
        <w:t xml:space="preserve"> than in </w:t>
      </w:r>
      <w:r w:rsidR="004E659B">
        <w:t>hexane</w:t>
      </w:r>
      <w:r>
        <w:t xml:space="preserve"> (Fig. </w:t>
      </w:r>
      <w:r w:rsidR="00280ACA">
        <w:t>3</w:t>
      </w:r>
      <w:r>
        <w:t xml:space="preserve">c &amp; </w:t>
      </w:r>
      <w:r w:rsidR="00280ACA">
        <w:t>3</w:t>
      </w:r>
      <w:r>
        <w:t>d)</w:t>
      </w:r>
      <w:r w:rsidR="002202E9">
        <w:t>. R</w:t>
      </w:r>
      <w:r w:rsidR="004E659B">
        <w:t>econstitution in hexane should be used with caution</w:t>
      </w:r>
      <w:r w:rsidR="002202E9">
        <w:t>; a stability study on the specific analytes should be carried out before using this extra reconstitution step.</w:t>
      </w:r>
    </w:p>
    <w:p w14:paraId="3C06D6E3" w14:textId="730F7EF4" w:rsidR="00C92269" w:rsidRDefault="002202E9" w:rsidP="008963B4">
      <w:pPr>
        <w:pStyle w:val="Noindent"/>
        <w:ind w:firstLine="288"/>
      </w:pPr>
      <w:r>
        <w:t>As a preliminary investigation on analytes stability, our experiment design had some drawbacks. The same sets of vials were used repeatedly during the study. A later literature review revealed that multiple injections of one sample of TMS derivatives could lead to a higher variability than multiple analysis of one sample distributed as aliquots in multiple independent vials. In one study, the coefficients of variation for TMS derivatives of amino acids ranged from 18% to 100% when using multiple injections of one sample</w:t>
      </w:r>
      <w:r w:rsidR="0078433F">
        <w:t xml:space="preserve"> </w:t>
      </w:r>
      <w:r w:rsidR="0078433F" w:rsidRPr="009447E2">
        <w:rPr>
          <w:rFonts w:ascii="Calibri" w:cs="Times New Roman"/>
        </w:rPr>
        <w:t>(</w:t>
      </w:r>
      <w:proofErr w:type="spellStart"/>
      <w:r w:rsidR="0078433F" w:rsidRPr="009447E2">
        <w:rPr>
          <w:rFonts w:ascii="Calibri" w:cs="Times New Roman"/>
        </w:rPr>
        <w:t>Quéro</w:t>
      </w:r>
      <w:proofErr w:type="spellEnd"/>
      <w:r w:rsidR="0078433F" w:rsidRPr="009447E2">
        <w:rPr>
          <w:rFonts w:ascii="Calibri" w:cs="Times New Roman"/>
        </w:rPr>
        <w:t xml:space="preserve"> et al., 2014)</w:t>
      </w:r>
      <w:r>
        <w:t>. The authors suspected the degradation of TMS derivatives might be due to the accumulation of trace water issuing from the syringe needle exposed to air and methanol (used for rinsing the syringe) between injections. In our study, re-capping the vials after injections and water condensation from the thawing-freezing cycles may have introduced additional moisture that led to the hydrolysis of TMS derivatives. To confirm the stability of TMS derivatives of OL, CBD, THC, OA, CBDA, THCA, and CBGA without the influence of such factors, a more systematic experiment using “one vial-one injection” analysis should be performed. If more accurate estimation of stability is needed, perhaps a higher sampling frequency</w:t>
      </w:r>
      <w:r w:rsidRPr="002202E9">
        <w:t xml:space="preserve"> </w:t>
      </w:r>
      <w:r>
        <w:t>(e.g., every 6 hours) should be employed.</w:t>
      </w:r>
    </w:p>
    <w:p w14:paraId="3D30F629" w14:textId="65606431" w:rsidR="00FB7516" w:rsidRDefault="00FB7516" w:rsidP="00A0754B">
      <w:pPr>
        <w:pStyle w:val="Heading2"/>
      </w:pPr>
      <w:r>
        <w:t>Limitations</w:t>
      </w:r>
      <w:r w:rsidR="00FC53C3">
        <w:t xml:space="preserve"> and future work</w:t>
      </w:r>
    </w:p>
    <w:p w14:paraId="7909660F" w14:textId="460C8C0B" w:rsidR="00E269A4" w:rsidRDefault="00EA5725" w:rsidP="007B4128">
      <w:pPr>
        <w:pStyle w:val="Noindent"/>
      </w:pPr>
      <w:r>
        <w:t xml:space="preserve">The validated protocol is limited to the recovery of OA, OL, and biosynthesized cannabinoids that are within phytoplankton cells or attached to </w:t>
      </w:r>
      <w:r w:rsidR="00A004AF">
        <w:t xml:space="preserve">the </w:t>
      </w:r>
      <w:r>
        <w:t xml:space="preserve">cell membranes. In practice, these compounds may exist </w:t>
      </w:r>
      <w:r w:rsidR="00A004AF">
        <w:t xml:space="preserve">in the culture media, depending on the </w:t>
      </w:r>
      <w:r w:rsidR="00916EEC">
        <w:t xml:space="preserve">cellular </w:t>
      </w:r>
      <w:r w:rsidR="00A004AF">
        <w:t xml:space="preserve">location </w:t>
      </w:r>
      <w:r w:rsidR="00916EEC">
        <w:t xml:space="preserve">of </w:t>
      </w:r>
      <w:r w:rsidR="00A004AF">
        <w:t xml:space="preserve">biosynthesis and the life stages of the cells. The phytoplankton types and harvesting time may </w:t>
      </w:r>
      <w:r w:rsidR="00916EEC">
        <w:t xml:space="preserve">dictate </w:t>
      </w:r>
      <w:r w:rsidR="00A004AF">
        <w:t xml:space="preserve">whether it is necessary to recover metabolites </w:t>
      </w:r>
      <w:r w:rsidR="00A004AF">
        <w:lastRenderedPageBreak/>
        <w:t xml:space="preserve">from the culture media. </w:t>
      </w:r>
      <w:r w:rsidR="00A17092">
        <w:t xml:space="preserve">Since the method was validated in only one species of phytoplankton and the matrix effect was not negligible, it </w:t>
      </w:r>
      <w:r w:rsidR="00916EEC">
        <w:t xml:space="preserve">will be </w:t>
      </w:r>
      <w:r w:rsidR="00A17092">
        <w:t xml:space="preserve">necessary to use calibration standards prepared in authentic sample matrix. </w:t>
      </w:r>
      <w:r w:rsidR="00C5250E">
        <w:t xml:space="preserve">The validation study was performed in two separate ranges. Recovery rates and precisions were evaluated at 3 concentrations across the lower range, and only at one concentration in the higher range. </w:t>
      </w:r>
      <w:r w:rsidR="00A17092">
        <w:t xml:space="preserve">Strictly speaking, only </w:t>
      </w:r>
      <w:r w:rsidR="00C5250E">
        <w:t xml:space="preserve">the lower range was validated. However, it is interesting to see if </w:t>
      </w:r>
      <w:r w:rsidR="00845251">
        <w:t xml:space="preserve">the performance characteristics significantly change </w:t>
      </w:r>
      <w:r w:rsidR="00A17092">
        <w:t xml:space="preserve">when </w:t>
      </w:r>
      <w:r w:rsidR="00845251">
        <w:t>the concentration dramatically increases</w:t>
      </w:r>
      <w:r w:rsidR="00A17092">
        <w:t>, even at only one concentration level</w:t>
      </w:r>
      <w:r w:rsidR="00845251">
        <w:t xml:space="preserve">. Thus, the limited validation data in the higher range are included in this manuscript. The GC oven program is long, as we </w:t>
      </w:r>
      <w:r w:rsidR="008F36F4">
        <w:t>we</w:t>
      </w:r>
      <w:r w:rsidR="00845251">
        <w:t xml:space="preserve">re interested in analyzing some smaller </w:t>
      </w:r>
      <w:r w:rsidR="00670ACD">
        <w:t>metabolites in the matrix, which elute within</w:t>
      </w:r>
      <w:r w:rsidR="006D4316">
        <w:t xml:space="preserve"> the first</w:t>
      </w:r>
      <w:r w:rsidR="00670ACD">
        <w:t xml:space="preserve"> 20 min </w:t>
      </w:r>
      <w:r w:rsidR="006D4316">
        <w:t xml:space="preserve">of the </w:t>
      </w:r>
      <w:r w:rsidR="00670ACD">
        <w:t xml:space="preserve">run. If only OA, OL, and cannabinoids need to be analyzed, the GC oven program can be shortened. </w:t>
      </w:r>
      <w:r w:rsidR="007C3DC9">
        <w:t>In addition, t</w:t>
      </w:r>
      <w:r w:rsidR="00A0754B">
        <w:t>he use of two SPE columns ma</w:t>
      </w:r>
      <w:r w:rsidR="006D4316">
        <w:t>kes</w:t>
      </w:r>
      <w:r w:rsidR="00A0754B">
        <w:t xml:space="preserve"> this method less </w:t>
      </w:r>
      <w:r w:rsidR="006728F3">
        <w:t>economical</w:t>
      </w:r>
      <w:r w:rsidR="006D4316">
        <w:t xml:space="preserve"> but the value of </w:t>
      </w:r>
      <w:r w:rsidR="00332338">
        <w:t xml:space="preserve">cannabinoids biosynthesis research </w:t>
      </w:r>
      <w:r w:rsidR="006D4316">
        <w:t xml:space="preserve">will likely offset </w:t>
      </w:r>
      <w:r w:rsidR="00332338">
        <w:t>the cost of such an analytical procedure</w:t>
      </w:r>
      <w:r w:rsidR="00A0754B">
        <w:t xml:space="preserve">. </w:t>
      </w:r>
      <w:r w:rsidR="00FC53C3">
        <w:t>As our knowledge o</w:t>
      </w:r>
      <w:r w:rsidR="006D4316">
        <w:t>f</w:t>
      </w:r>
      <w:r w:rsidR="00FC53C3">
        <w:t xml:space="preserve"> cannabinoids metabolic pathways grows, more precursors and metabolites may need to be included in such a method.</w:t>
      </w:r>
    </w:p>
    <w:p w14:paraId="4009891E" w14:textId="1661F0F8" w:rsidR="006E43A4" w:rsidRPr="007B4128" w:rsidRDefault="006E43A4" w:rsidP="00384856">
      <w:pPr>
        <w:pStyle w:val="Heading1"/>
      </w:pPr>
      <w:r w:rsidRPr="007B4128">
        <w:t>Conclusi</w:t>
      </w:r>
      <w:r w:rsidR="007B4128" w:rsidRPr="007B4128">
        <w:t>o</w:t>
      </w:r>
      <w:r w:rsidRPr="007B4128">
        <w:t>n</w:t>
      </w:r>
    </w:p>
    <w:p w14:paraId="3E3DF227" w14:textId="5780C746" w:rsidR="00405F3B" w:rsidRDefault="00355D5E" w:rsidP="00ED5A39">
      <w:pPr>
        <w:pStyle w:val="Noindent"/>
      </w:pPr>
      <w:r>
        <w:t>In this study, w</w:t>
      </w:r>
      <w:r w:rsidR="007B4128" w:rsidRPr="007B4128">
        <w:t xml:space="preserve">e developed </w:t>
      </w:r>
      <w:r w:rsidR="007B4128">
        <w:t>a sample preparation procedure</w:t>
      </w:r>
      <w:r>
        <w:t xml:space="preserve">, which includes solvent extraction, SPE purification, and </w:t>
      </w:r>
      <w:proofErr w:type="spellStart"/>
      <w:r>
        <w:t>silylation</w:t>
      </w:r>
      <w:proofErr w:type="spellEnd"/>
      <w:r>
        <w:t>,</w:t>
      </w:r>
      <w:r w:rsidR="007B4128">
        <w:t xml:space="preserve"> for the analysis of OA, CBGA, THCA, CBDA, OL, THC, and CBD in bioengineered phytoplankto</w:t>
      </w:r>
      <w:r>
        <w:t xml:space="preserve">n using single quadruple GC-MS. Methanol was found to be the most </w:t>
      </w:r>
      <w:r w:rsidR="00CC20A8">
        <w:t>efficient</w:t>
      </w:r>
      <w:r>
        <w:t xml:space="preserve"> solvent in </w:t>
      </w:r>
      <w:r w:rsidR="00CC20A8">
        <w:t xml:space="preserve">recovering </w:t>
      </w:r>
      <w:r>
        <w:t xml:space="preserve">all </w:t>
      </w:r>
      <w:r w:rsidR="00CC20A8">
        <w:t xml:space="preserve">7 compounds of interest. Although acetonitrile and </w:t>
      </w:r>
      <w:proofErr w:type="spellStart"/>
      <w:r w:rsidR="00CC20A8">
        <w:t>QuEChERS</w:t>
      </w:r>
      <w:proofErr w:type="spellEnd"/>
      <w:r w:rsidR="00CC20A8">
        <w:t xml:space="preserve"> extraction largely reduced the matrix load, their recovery rate</w:t>
      </w:r>
      <w:r w:rsidR="009260BD">
        <w:t>s</w:t>
      </w:r>
      <w:r w:rsidR="00CC20A8">
        <w:t xml:space="preserve"> of OA, CBGA, THCA, and CBDA </w:t>
      </w:r>
      <w:r w:rsidR="009260BD">
        <w:t>were</w:t>
      </w:r>
      <w:r w:rsidR="00CC20A8">
        <w:t xml:space="preserve"> significantly lower than the other solvents tested. </w:t>
      </w:r>
      <w:r w:rsidR="009260BD">
        <w:t>The proposed SPE procedure effectively removed most amino acids</w:t>
      </w:r>
      <w:r w:rsidR="00787358">
        <w:t xml:space="preserve">, sugars, </w:t>
      </w:r>
      <w:r w:rsidR="006728F3">
        <w:t xml:space="preserve">polyols, </w:t>
      </w:r>
      <w:r w:rsidR="00787358">
        <w:t>and pigments from the methanol extract</w:t>
      </w:r>
      <w:r w:rsidR="00273483">
        <w:t xml:space="preserve">, </w:t>
      </w:r>
      <w:r w:rsidR="00787358">
        <w:t>decreased the number and intensity of matrix interference</w:t>
      </w:r>
      <w:r w:rsidR="00540FCD">
        <w:t>s</w:t>
      </w:r>
      <w:r w:rsidR="00787358">
        <w:t xml:space="preserve"> in the chromatographs</w:t>
      </w:r>
      <w:r w:rsidR="00273483">
        <w:t xml:space="preserve">, and reduced matrix contamination in the GC-MS system. </w:t>
      </w:r>
      <w:r w:rsidR="00AC2BEF">
        <w:t xml:space="preserve">The complete analytical method, including solvent extraction, SPE, </w:t>
      </w:r>
      <w:proofErr w:type="spellStart"/>
      <w:r w:rsidR="00AC2BEF">
        <w:t>silylation</w:t>
      </w:r>
      <w:proofErr w:type="spellEnd"/>
      <w:r w:rsidR="00AC2BEF">
        <w:t>, and GC-MS analysis, was validated based on ICH guideline</w:t>
      </w:r>
      <w:r w:rsidR="006D4316">
        <w:t>s</w:t>
      </w:r>
      <w:r w:rsidR="00AC2BEF">
        <w:t>. Recovery rate</w:t>
      </w:r>
      <w:r w:rsidR="00FB7516">
        <w:t xml:space="preserve"> (67.91 – 91.36%)</w:t>
      </w:r>
      <w:r w:rsidR="00AC2BEF">
        <w:t>, repeatability</w:t>
      </w:r>
      <w:r w:rsidR="00FB7516">
        <w:t xml:space="preserve"> (7.16 – 17.36%)</w:t>
      </w:r>
      <w:r w:rsidR="00AC2BEF">
        <w:t>, and intermediate precision</w:t>
      </w:r>
      <w:r w:rsidR="00FB7516">
        <w:t xml:space="preserve"> (7.59 – 20.31%)</w:t>
      </w:r>
      <w:r w:rsidR="00AC2BEF">
        <w:t xml:space="preserve"> of the method w</w:t>
      </w:r>
      <w:r w:rsidR="006D4316">
        <w:t>ere</w:t>
      </w:r>
      <w:r w:rsidR="00AC2BEF">
        <w:t xml:space="preserve"> comparable or superior to existing </w:t>
      </w:r>
      <w:r w:rsidR="00FB7516">
        <w:t>protocol</w:t>
      </w:r>
      <w:r w:rsidR="00AC2BEF">
        <w:t xml:space="preserve">s </w:t>
      </w:r>
      <w:r w:rsidR="00FB7516">
        <w:t xml:space="preserve">with similar complexity </w:t>
      </w:r>
      <w:r w:rsidR="00AC2BEF">
        <w:t xml:space="preserve">in the literature. </w:t>
      </w:r>
      <w:r w:rsidR="00B02B0D">
        <w:t xml:space="preserve">Reconstitution in hexane reduced the stability of the </w:t>
      </w:r>
      <w:proofErr w:type="spellStart"/>
      <w:r w:rsidR="00B02B0D">
        <w:t>silylated</w:t>
      </w:r>
      <w:proofErr w:type="spellEnd"/>
      <w:r w:rsidR="00B02B0D">
        <w:t xml:space="preserve"> analytes; thus, it is not recommended. </w:t>
      </w:r>
      <w:proofErr w:type="spellStart"/>
      <w:r w:rsidR="00677128">
        <w:t>Silylated</w:t>
      </w:r>
      <w:proofErr w:type="spellEnd"/>
      <w:r w:rsidR="00677128">
        <w:t xml:space="preserve"> samples should be analyzed within 3 days, </w:t>
      </w:r>
      <w:r w:rsidR="007A6EB2">
        <w:t>if</w:t>
      </w:r>
      <w:r w:rsidR="00677128">
        <w:t xml:space="preserve"> stored at room temperature or in a freezer.</w:t>
      </w:r>
      <w:r w:rsidR="00B80146">
        <w:t xml:space="preserve"> </w:t>
      </w:r>
      <w:r w:rsidR="00FB7516">
        <w:t>The validated method can be used in exploratory studies on cannabinoids biosynthesis in phytoplankton or similar matrices.</w:t>
      </w:r>
    </w:p>
    <w:p w14:paraId="5470AAD6" w14:textId="4243CDE0" w:rsidR="00982500" w:rsidRPr="007B4128" w:rsidRDefault="00982500">
      <w:pPr>
        <w:spacing w:after="160"/>
        <w:ind w:firstLine="0"/>
        <w:rPr>
          <w:rFonts w:eastAsiaTheme="majorEastAsia" w:cstheme="majorBidi"/>
          <w:b/>
          <w:sz w:val="28"/>
          <w:szCs w:val="32"/>
          <w:lang w:eastAsia="en-US"/>
        </w:rPr>
      </w:pPr>
      <w:r w:rsidRPr="007B4128">
        <w:br w:type="page"/>
      </w:r>
    </w:p>
    <w:p w14:paraId="469797B5" w14:textId="0156A485" w:rsidR="00C92269" w:rsidRPr="00BA2942" w:rsidRDefault="00982500" w:rsidP="00384856">
      <w:pPr>
        <w:pStyle w:val="Heading1"/>
      </w:pPr>
      <w:r w:rsidRPr="00BA2942">
        <w:lastRenderedPageBreak/>
        <w:t>References</w:t>
      </w:r>
    </w:p>
    <w:p w14:paraId="7AF5FCE6" w14:textId="4E5134AC" w:rsidR="00294D78" w:rsidRPr="00294D78" w:rsidRDefault="00294D78" w:rsidP="00294D78">
      <w:pPr>
        <w:pStyle w:val="Bibliography"/>
        <w:rPr>
          <w:rFonts w:ascii="Calibri"/>
        </w:rPr>
      </w:pPr>
      <w:r w:rsidRPr="00294D78">
        <w:rPr>
          <w:rFonts w:ascii="Calibri"/>
        </w:rPr>
        <w:t xml:space="preserve">Abrams, D. I. (2018). The therapeutic effects of Cannabis and cannabinoids: An update from the National Academies of Sciences, Engineering and Medicine report. </w:t>
      </w:r>
      <w:r w:rsidRPr="00294D78">
        <w:rPr>
          <w:rFonts w:ascii="Calibri"/>
          <w:i/>
          <w:iCs/>
        </w:rPr>
        <w:t>European Journal of Internal Medicine</w:t>
      </w:r>
      <w:r w:rsidRPr="00294D78">
        <w:rPr>
          <w:rFonts w:ascii="Calibri"/>
        </w:rPr>
        <w:t xml:space="preserve">, </w:t>
      </w:r>
      <w:r w:rsidRPr="00294D78">
        <w:rPr>
          <w:rFonts w:ascii="Calibri"/>
          <w:i/>
          <w:iCs/>
        </w:rPr>
        <w:t>49</w:t>
      </w:r>
      <w:r w:rsidRPr="00294D78">
        <w:rPr>
          <w:rFonts w:ascii="Calibri"/>
        </w:rPr>
        <w:t xml:space="preserve">, 7–11. </w:t>
      </w:r>
    </w:p>
    <w:p w14:paraId="49F40F72" w14:textId="1C5E8500" w:rsidR="00294D78" w:rsidRPr="00294D78" w:rsidRDefault="00294D78" w:rsidP="00294D78">
      <w:pPr>
        <w:pStyle w:val="Bibliography"/>
        <w:rPr>
          <w:rFonts w:ascii="Calibri"/>
        </w:rPr>
      </w:pPr>
      <w:r w:rsidRPr="00294D78">
        <w:rPr>
          <w:rFonts w:ascii="Calibri"/>
        </w:rPr>
        <w:t xml:space="preserve">Battista, N., </w:t>
      </w:r>
      <w:proofErr w:type="spellStart"/>
      <w:r w:rsidRPr="00294D78">
        <w:rPr>
          <w:rFonts w:ascii="Calibri"/>
        </w:rPr>
        <w:t>Sergi</w:t>
      </w:r>
      <w:proofErr w:type="spellEnd"/>
      <w:r w:rsidRPr="00294D78">
        <w:rPr>
          <w:rFonts w:ascii="Calibri"/>
        </w:rPr>
        <w:t xml:space="preserve">, M., Montesano, C., </w:t>
      </w:r>
      <w:proofErr w:type="spellStart"/>
      <w:r w:rsidRPr="00294D78">
        <w:rPr>
          <w:rFonts w:ascii="Calibri"/>
        </w:rPr>
        <w:t>Napoletano</w:t>
      </w:r>
      <w:proofErr w:type="spellEnd"/>
      <w:r w:rsidRPr="00294D78">
        <w:rPr>
          <w:rFonts w:ascii="Calibri"/>
        </w:rPr>
        <w:t xml:space="preserve">, S., </w:t>
      </w:r>
      <w:proofErr w:type="spellStart"/>
      <w:r w:rsidRPr="00294D78">
        <w:rPr>
          <w:rFonts w:ascii="Calibri"/>
        </w:rPr>
        <w:t>Compagnone</w:t>
      </w:r>
      <w:proofErr w:type="spellEnd"/>
      <w:r w:rsidRPr="00294D78">
        <w:rPr>
          <w:rFonts w:ascii="Calibri"/>
        </w:rPr>
        <w:t xml:space="preserve">, D., &amp; </w:t>
      </w:r>
      <w:proofErr w:type="spellStart"/>
      <w:r w:rsidRPr="00294D78">
        <w:rPr>
          <w:rFonts w:ascii="Calibri"/>
        </w:rPr>
        <w:t>Maccarrone</w:t>
      </w:r>
      <w:proofErr w:type="spellEnd"/>
      <w:r w:rsidRPr="00294D78">
        <w:rPr>
          <w:rFonts w:ascii="Calibri"/>
        </w:rPr>
        <w:t xml:space="preserve">, M. (2014). Analytical approaches for the determination of </w:t>
      </w:r>
      <w:proofErr w:type="spellStart"/>
      <w:r w:rsidRPr="00294D78">
        <w:rPr>
          <w:rFonts w:ascii="Calibri"/>
        </w:rPr>
        <w:t>phytocannabinoids</w:t>
      </w:r>
      <w:proofErr w:type="spellEnd"/>
      <w:r w:rsidRPr="00294D78">
        <w:rPr>
          <w:rFonts w:ascii="Calibri"/>
        </w:rPr>
        <w:t xml:space="preserve"> and endocannabinoids in human matrices. </w:t>
      </w:r>
      <w:r w:rsidRPr="00294D78">
        <w:rPr>
          <w:rFonts w:ascii="Calibri"/>
          <w:i/>
          <w:iCs/>
        </w:rPr>
        <w:t>Drug Testing and Analysis</w:t>
      </w:r>
      <w:r w:rsidRPr="00294D78">
        <w:rPr>
          <w:rFonts w:ascii="Calibri"/>
        </w:rPr>
        <w:t xml:space="preserve">, </w:t>
      </w:r>
      <w:r w:rsidRPr="00294D78">
        <w:rPr>
          <w:rFonts w:ascii="Calibri"/>
          <w:i/>
          <w:iCs/>
        </w:rPr>
        <w:t>6</w:t>
      </w:r>
      <w:r w:rsidRPr="00294D78">
        <w:rPr>
          <w:rFonts w:ascii="Calibri"/>
        </w:rPr>
        <w:t xml:space="preserve">(1–2), 7–16. </w:t>
      </w:r>
    </w:p>
    <w:p w14:paraId="3301670D" w14:textId="712114A8" w:rsidR="00294D78" w:rsidRPr="00294D78" w:rsidRDefault="00294D78" w:rsidP="00294D78">
      <w:pPr>
        <w:pStyle w:val="Bibliography"/>
        <w:rPr>
          <w:rFonts w:ascii="Calibri"/>
        </w:rPr>
      </w:pPr>
      <w:proofErr w:type="spellStart"/>
      <w:r w:rsidRPr="00E62689">
        <w:rPr>
          <w:rFonts w:ascii="Calibri"/>
        </w:rPr>
        <w:t>Brighenti</w:t>
      </w:r>
      <w:proofErr w:type="spellEnd"/>
      <w:r w:rsidRPr="00E62689">
        <w:rPr>
          <w:rFonts w:ascii="Calibri"/>
        </w:rPr>
        <w:t xml:space="preserve">, V., Licata, M., </w:t>
      </w:r>
      <w:proofErr w:type="spellStart"/>
      <w:r w:rsidRPr="00E62689">
        <w:rPr>
          <w:rFonts w:ascii="Calibri"/>
        </w:rPr>
        <w:t>Pedrazzi</w:t>
      </w:r>
      <w:proofErr w:type="spellEnd"/>
      <w:r w:rsidRPr="00E62689">
        <w:rPr>
          <w:rFonts w:ascii="Calibri"/>
        </w:rPr>
        <w:t xml:space="preserve">, T., Maran, D., </w:t>
      </w:r>
      <w:proofErr w:type="spellStart"/>
      <w:r w:rsidRPr="00E62689">
        <w:rPr>
          <w:rFonts w:ascii="Calibri"/>
        </w:rPr>
        <w:t>Bertelli</w:t>
      </w:r>
      <w:proofErr w:type="spellEnd"/>
      <w:r w:rsidRPr="00E62689">
        <w:rPr>
          <w:rFonts w:ascii="Calibri"/>
        </w:rPr>
        <w:t xml:space="preserve">, D., </w:t>
      </w:r>
      <w:proofErr w:type="spellStart"/>
      <w:r w:rsidRPr="00E62689">
        <w:rPr>
          <w:rFonts w:ascii="Calibri"/>
        </w:rPr>
        <w:t>Pellati</w:t>
      </w:r>
      <w:proofErr w:type="spellEnd"/>
      <w:r w:rsidRPr="00E62689">
        <w:rPr>
          <w:rFonts w:ascii="Calibri"/>
        </w:rPr>
        <w:t xml:space="preserve">, F., &amp; </w:t>
      </w:r>
      <w:proofErr w:type="spellStart"/>
      <w:r w:rsidRPr="00E62689">
        <w:rPr>
          <w:rFonts w:ascii="Calibri"/>
        </w:rPr>
        <w:t>Benvenuti</w:t>
      </w:r>
      <w:proofErr w:type="spellEnd"/>
      <w:r w:rsidRPr="00E62689">
        <w:rPr>
          <w:rFonts w:ascii="Calibri"/>
        </w:rPr>
        <w:t xml:space="preserve">, S. (2019). </w:t>
      </w:r>
      <w:r w:rsidRPr="00294D78">
        <w:rPr>
          <w:rFonts w:ascii="Calibri"/>
        </w:rPr>
        <w:t xml:space="preserve">Development of a new method for the analysis of cannabinoids in honey by means of high-performance liquid chromatography coupled with electrospray </w:t>
      </w:r>
      <w:proofErr w:type="spellStart"/>
      <w:r w:rsidRPr="00294D78">
        <w:rPr>
          <w:rFonts w:ascii="Calibri"/>
        </w:rPr>
        <w:t>ionisation</w:t>
      </w:r>
      <w:proofErr w:type="spellEnd"/>
      <w:r w:rsidRPr="00294D78">
        <w:rPr>
          <w:rFonts w:ascii="Calibri"/>
        </w:rPr>
        <w:t xml:space="preserve">-tandem mass spectrometry detection. </w:t>
      </w:r>
      <w:r w:rsidRPr="00294D78">
        <w:rPr>
          <w:rFonts w:ascii="Calibri"/>
          <w:i/>
          <w:iCs/>
        </w:rPr>
        <w:t>Journal of Chromatography A</w:t>
      </w:r>
      <w:r w:rsidRPr="00294D78">
        <w:rPr>
          <w:rFonts w:ascii="Calibri"/>
        </w:rPr>
        <w:t xml:space="preserve">, </w:t>
      </w:r>
      <w:r w:rsidRPr="00294D78">
        <w:rPr>
          <w:rFonts w:ascii="Calibri"/>
          <w:i/>
          <w:iCs/>
        </w:rPr>
        <w:t>1597</w:t>
      </w:r>
      <w:r w:rsidRPr="00294D78">
        <w:rPr>
          <w:rFonts w:ascii="Calibri"/>
        </w:rPr>
        <w:t xml:space="preserve">, 179–186. </w:t>
      </w:r>
    </w:p>
    <w:p w14:paraId="57DB2102" w14:textId="1D22720F" w:rsidR="00294D78" w:rsidRPr="00294D78" w:rsidRDefault="00294D78" w:rsidP="00294D78">
      <w:pPr>
        <w:pStyle w:val="Bibliography"/>
        <w:rPr>
          <w:rFonts w:ascii="Calibri"/>
        </w:rPr>
      </w:pPr>
      <w:r w:rsidRPr="00294D78">
        <w:rPr>
          <w:rFonts w:ascii="Calibri"/>
        </w:rPr>
        <w:t xml:space="preserve">Brown, A. K., Xia, Z., Bulloch, P., Idowu, I., Francisco, O., </w:t>
      </w:r>
      <w:proofErr w:type="spellStart"/>
      <w:r w:rsidRPr="00294D78">
        <w:rPr>
          <w:rFonts w:ascii="Calibri"/>
        </w:rPr>
        <w:t>Stetefeld</w:t>
      </w:r>
      <w:proofErr w:type="spellEnd"/>
      <w:r w:rsidRPr="00294D78">
        <w:rPr>
          <w:rFonts w:ascii="Calibri"/>
        </w:rPr>
        <w:t xml:space="preserve">, J., … </w:t>
      </w:r>
      <w:proofErr w:type="spellStart"/>
      <w:r w:rsidRPr="00294D78">
        <w:rPr>
          <w:rFonts w:ascii="Calibri"/>
        </w:rPr>
        <w:t>Tomy</w:t>
      </w:r>
      <w:proofErr w:type="spellEnd"/>
      <w:r w:rsidRPr="00294D78">
        <w:rPr>
          <w:rFonts w:ascii="Calibri"/>
        </w:rPr>
        <w:t xml:space="preserve">, G. (2019). Validated quantitative cannabis profiling for Canadian regulatory compliance—Cannabinoids, aflatoxins, and terpenes. </w:t>
      </w:r>
      <w:r w:rsidRPr="00294D78">
        <w:rPr>
          <w:rFonts w:ascii="Calibri"/>
          <w:i/>
          <w:iCs/>
        </w:rPr>
        <w:t xml:space="preserve">Analytica </w:t>
      </w:r>
      <w:proofErr w:type="spellStart"/>
      <w:r w:rsidRPr="00294D78">
        <w:rPr>
          <w:rFonts w:ascii="Calibri"/>
          <w:i/>
          <w:iCs/>
        </w:rPr>
        <w:t>Chimica</w:t>
      </w:r>
      <w:proofErr w:type="spellEnd"/>
      <w:r w:rsidRPr="00294D78">
        <w:rPr>
          <w:rFonts w:ascii="Calibri"/>
          <w:i/>
          <w:iCs/>
        </w:rPr>
        <w:t xml:space="preserve"> Acta</w:t>
      </w:r>
      <w:r w:rsidRPr="00294D78">
        <w:rPr>
          <w:rFonts w:ascii="Calibri"/>
        </w:rPr>
        <w:t xml:space="preserve">, </w:t>
      </w:r>
      <w:r w:rsidRPr="00294D78">
        <w:rPr>
          <w:rFonts w:ascii="Calibri"/>
          <w:i/>
          <w:iCs/>
        </w:rPr>
        <w:t>1088</w:t>
      </w:r>
      <w:r w:rsidRPr="00294D78">
        <w:rPr>
          <w:rFonts w:ascii="Calibri"/>
        </w:rPr>
        <w:t xml:space="preserve">, 79–88. </w:t>
      </w:r>
    </w:p>
    <w:p w14:paraId="0C8E27EA" w14:textId="4D7E7B32" w:rsidR="00294D78" w:rsidRPr="00294D78" w:rsidRDefault="00294D78" w:rsidP="00294D78">
      <w:pPr>
        <w:pStyle w:val="Bibliography"/>
        <w:rPr>
          <w:rFonts w:ascii="Calibri"/>
        </w:rPr>
      </w:pPr>
      <w:proofErr w:type="spellStart"/>
      <w:r w:rsidRPr="00294D78">
        <w:rPr>
          <w:rFonts w:ascii="Calibri"/>
        </w:rPr>
        <w:t>Cardenia</w:t>
      </w:r>
      <w:proofErr w:type="spellEnd"/>
      <w:r w:rsidRPr="00294D78">
        <w:rPr>
          <w:rFonts w:ascii="Calibri"/>
        </w:rPr>
        <w:t xml:space="preserve">, V., </w:t>
      </w:r>
      <w:proofErr w:type="spellStart"/>
      <w:r w:rsidRPr="00294D78">
        <w:rPr>
          <w:rFonts w:ascii="Calibri"/>
        </w:rPr>
        <w:t>Gallina</w:t>
      </w:r>
      <w:proofErr w:type="spellEnd"/>
      <w:r w:rsidRPr="00294D78">
        <w:rPr>
          <w:rFonts w:ascii="Calibri"/>
        </w:rPr>
        <w:t xml:space="preserve"> Toschi, T., </w:t>
      </w:r>
      <w:proofErr w:type="spellStart"/>
      <w:r w:rsidRPr="00294D78">
        <w:rPr>
          <w:rFonts w:ascii="Calibri"/>
        </w:rPr>
        <w:t>Scappini</w:t>
      </w:r>
      <w:proofErr w:type="spellEnd"/>
      <w:r w:rsidRPr="00294D78">
        <w:rPr>
          <w:rFonts w:ascii="Calibri"/>
        </w:rPr>
        <w:t xml:space="preserve">, S., </w:t>
      </w:r>
      <w:proofErr w:type="spellStart"/>
      <w:r w:rsidRPr="00294D78">
        <w:rPr>
          <w:rFonts w:ascii="Calibri"/>
        </w:rPr>
        <w:t>Rubino</w:t>
      </w:r>
      <w:proofErr w:type="spellEnd"/>
      <w:r w:rsidRPr="00294D78">
        <w:rPr>
          <w:rFonts w:ascii="Calibri"/>
        </w:rPr>
        <w:t xml:space="preserve">, R. C., &amp; Rodriguez-Estrada, M. T. (2018). Development and validation of a Fast gas chromatography/mass spectrometry method for the determination of cannabinoids in Cannabis sativa L. </w:t>
      </w:r>
      <w:r w:rsidRPr="00294D78">
        <w:rPr>
          <w:rFonts w:ascii="Calibri"/>
          <w:i/>
          <w:iCs/>
        </w:rPr>
        <w:t>Journal of Food and Drug Analysis</w:t>
      </w:r>
      <w:r w:rsidRPr="00294D78">
        <w:rPr>
          <w:rFonts w:ascii="Calibri"/>
        </w:rPr>
        <w:t xml:space="preserve">, </w:t>
      </w:r>
      <w:r w:rsidRPr="00294D78">
        <w:rPr>
          <w:rFonts w:ascii="Calibri"/>
          <w:i/>
          <w:iCs/>
        </w:rPr>
        <w:t>26</w:t>
      </w:r>
      <w:r w:rsidRPr="00294D78">
        <w:rPr>
          <w:rFonts w:ascii="Calibri"/>
        </w:rPr>
        <w:t xml:space="preserve">(4), 1283–1292. </w:t>
      </w:r>
    </w:p>
    <w:p w14:paraId="449DFBD9" w14:textId="77777777" w:rsidR="00294D78" w:rsidRPr="00294D78" w:rsidRDefault="00294D78" w:rsidP="00294D78">
      <w:pPr>
        <w:pStyle w:val="Bibliography"/>
        <w:rPr>
          <w:rFonts w:ascii="Calibri"/>
        </w:rPr>
      </w:pPr>
      <w:r w:rsidRPr="00294D78">
        <w:rPr>
          <w:rFonts w:ascii="Calibri"/>
        </w:rPr>
        <w:t>Castro, R. (2019, September 1). CBD oil from algae. Amazing new process for the production of pharma grade cannabinoids. Retrieved April 27, 2020, from https://macbdoil.co.uk/cbd-oil-from-algae-an-exciting-new-process-for-the-production-of-pharma-grade-cannabinoids/</w:t>
      </w:r>
    </w:p>
    <w:p w14:paraId="7BD38460" w14:textId="08490D87" w:rsidR="00294D78" w:rsidRPr="00294D78" w:rsidRDefault="00294D78" w:rsidP="00294D78">
      <w:pPr>
        <w:pStyle w:val="Bibliography"/>
        <w:rPr>
          <w:rFonts w:ascii="Calibri"/>
        </w:rPr>
      </w:pPr>
      <w:proofErr w:type="spellStart"/>
      <w:r w:rsidRPr="00294D78">
        <w:rPr>
          <w:rFonts w:ascii="Calibri"/>
          <w:lang w:val="fr-FR"/>
        </w:rPr>
        <w:t>Christinat</w:t>
      </w:r>
      <w:proofErr w:type="spellEnd"/>
      <w:r w:rsidRPr="00294D78">
        <w:rPr>
          <w:rFonts w:ascii="Calibri"/>
          <w:lang w:val="fr-FR"/>
        </w:rPr>
        <w:t xml:space="preserve">, N., </w:t>
      </w:r>
      <w:proofErr w:type="spellStart"/>
      <w:r w:rsidRPr="00294D78">
        <w:rPr>
          <w:rFonts w:ascii="Calibri"/>
          <w:lang w:val="fr-FR"/>
        </w:rPr>
        <w:t>Savoy</w:t>
      </w:r>
      <w:proofErr w:type="spellEnd"/>
      <w:r w:rsidRPr="00294D78">
        <w:rPr>
          <w:rFonts w:ascii="Calibri"/>
          <w:lang w:val="fr-FR"/>
        </w:rPr>
        <w:t xml:space="preserve">, M.-C., &amp; </w:t>
      </w:r>
      <w:proofErr w:type="spellStart"/>
      <w:r w:rsidRPr="00294D78">
        <w:rPr>
          <w:rFonts w:ascii="Calibri"/>
          <w:lang w:val="fr-FR"/>
        </w:rPr>
        <w:t>Mottier</w:t>
      </w:r>
      <w:proofErr w:type="spellEnd"/>
      <w:r w:rsidRPr="00294D78">
        <w:rPr>
          <w:rFonts w:ascii="Calibri"/>
          <w:lang w:val="fr-FR"/>
        </w:rPr>
        <w:t xml:space="preserve">, P. (2020). </w:t>
      </w:r>
      <w:r w:rsidRPr="00294D78">
        <w:rPr>
          <w:rFonts w:ascii="Calibri"/>
        </w:rPr>
        <w:t xml:space="preserve">Development, validation and application of a LC-MS/MS method for quantification of 15 cannabinoids in food. </w:t>
      </w:r>
      <w:r w:rsidRPr="00294D78">
        <w:rPr>
          <w:rFonts w:ascii="Calibri"/>
          <w:i/>
          <w:iCs/>
        </w:rPr>
        <w:t>Food Chemistry</w:t>
      </w:r>
      <w:r w:rsidRPr="00294D78">
        <w:rPr>
          <w:rFonts w:ascii="Calibri"/>
        </w:rPr>
        <w:t xml:space="preserve">, </w:t>
      </w:r>
      <w:r w:rsidRPr="00294D78">
        <w:rPr>
          <w:rFonts w:ascii="Calibri"/>
          <w:i/>
          <w:iCs/>
        </w:rPr>
        <w:t>318</w:t>
      </w:r>
      <w:r w:rsidRPr="00294D78">
        <w:rPr>
          <w:rFonts w:ascii="Calibri"/>
        </w:rPr>
        <w:t xml:space="preserve">, 126469. </w:t>
      </w:r>
    </w:p>
    <w:p w14:paraId="7C8A6130" w14:textId="13D6AF83" w:rsidR="00294D78" w:rsidRPr="00294D78" w:rsidRDefault="00294D78" w:rsidP="00294D78">
      <w:pPr>
        <w:pStyle w:val="Bibliography"/>
        <w:rPr>
          <w:rFonts w:ascii="Calibri"/>
        </w:rPr>
      </w:pPr>
      <w:proofErr w:type="spellStart"/>
      <w:r w:rsidRPr="00E62689">
        <w:rPr>
          <w:rFonts w:ascii="Calibri"/>
        </w:rPr>
        <w:lastRenderedPageBreak/>
        <w:t>Citti</w:t>
      </w:r>
      <w:proofErr w:type="spellEnd"/>
      <w:r w:rsidRPr="00E62689">
        <w:rPr>
          <w:rFonts w:ascii="Calibri"/>
        </w:rPr>
        <w:t xml:space="preserve">, C., </w:t>
      </w:r>
      <w:proofErr w:type="spellStart"/>
      <w:r w:rsidRPr="00E62689">
        <w:rPr>
          <w:rFonts w:ascii="Calibri"/>
        </w:rPr>
        <w:t>Braghiroli</w:t>
      </w:r>
      <w:proofErr w:type="spellEnd"/>
      <w:r w:rsidRPr="00E62689">
        <w:rPr>
          <w:rFonts w:ascii="Calibri"/>
        </w:rPr>
        <w:t xml:space="preserve">, D., </w:t>
      </w:r>
      <w:proofErr w:type="spellStart"/>
      <w:r w:rsidRPr="00E62689">
        <w:rPr>
          <w:rFonts w:ascii="Calibri"/>
        </w:rPr>
        <w:t>Vandelli</w:t>
      </w:r>
      <w:proofErr w:type="spellEnd"/>
      <w:r w:rsidRPr="00E62689">
        <w:rPr>
          <w:rFonts w:ascii="Calibri"/>
        </w:rPr>
        <w:t xml:space="preserve">, M. A., &amp; </w:t>
      </w:r>
      <w:proofErr w:type="spellStart"/>
      <w:r w:rsidRPr="00E62689">
        <w:rPr>
          <w:rFonts w:ascii="Calibri"/>
        </w:rPr>
        <w:t>Cannazza</w:t>
      </w:r>
      <w:proofErr w:type="spellEnd"/>
      <w:r w:rsidRPr="00E62689">
        <w:rPr>
          <w:rFonts w:ascii="Calibri"/>
        </w:rPr>
        <w:t xml:space="preserve">, G. (2018). </w:t>
      </w:r>
      <w:r w:rsidRPr="00294D78">
        <w:rPr>
          <w:rFonts w:ascii="Calibri"/>
        </w:rPr>
        <w:t xml:space="preserve">Pharmaceutical and biomedical analysis of cannabinoids: A critical review. </w:t>
      </w:r>
      <w:r w:rsidRPr="00294D78">
        <w:rPr>
          <w:rFonts w:ascii="Calibri"/>
          <w:i/>
          <w:iCs/>
        </w:rPr>
        <w:t>Journal of Pharmaceutical and Biomedical Analysis</w:t>
      </w:r>
      <w:r w:rsidRPr="00294D78">
        <w:rPr>
          <w:rFonts w:ascii="Calibri"/>
        </w:rPr>
        <w:t xml:space="preserve">, </w:t>
      </w:r>
      <w:r w:rsidRPr="00294D78">
        <w:rPr>
          <w:rFonts w:ascii="Calibri"/>
          <w:i/>
          <w:iCs/>
        </w:rPr>
        <w:t>147</w:t>
      </w:r>
      <w:r w:rsidRPr="00294D78">
        <w:rPr>
          <w:rFonts w:ascii="Calibri"/>
        </w:rPr>
        <w:t xml:space="preserve">, 565–579. </w:t>
      </w:r>
    </w:p>
    <w:p w14:paraId="63BF7AA0" w14:textId="2E17E884" w:rsidR="00294D78" w:rsidRPr="00294D78" w:rsidRDefault="00294D78" w:rsidP="00294D78">
      <w:pPr>
        <w:pStyle w:val="Bibliography"/>
        <w:rPr>
          <w:rFonts w:ascii="Calibri"/>
        </w:rPr>
      </w:pPr>
      <w:proofErr w:type="spellStart"/>
      <w:r w:rsidRPr="00294D78">
        <w:rPr>
          <w:rFonts w:ascii="Calibri"/>
        </w:rPr>
        <w:t>Dolgin</w:t>
      </w:r>
      <w:proofErr w:type="spellEnd"/>
      <w:r w:rsidRPr="00294D78">
        <w:rPr>
          <w:rFonts w:ascii="Calibri"/>
        </w:rPr>
        <w:t xml:space="preserve">, E. (2019). The bioengineering of cannabis. </w:t>
      </w:r>
      <w:r w:rsidRPr="00294D78">
        <w:rPr>
          <w:rFonts w:ascii="Calibri"/>
          <w:i/>
          <w:iCs/>
        </w:rPr>
        <w:t>Nature</w:t>
      </w:r>
      <w:r w:rsidRPr="00294D78">
        <w:rPr>
          <w:rFonts w:ascii="Calibri"/>
        </w:rPr>
        <w:t xml:space="preserve">, </w:t>
      </w:r>
      <w:r w:rsidRPr="00294D78">
        <w:rPr>
          <w:rFonts w:ascii="Calibri"/>
          <w:i/>
          <w:iCs/>
        </w:rPr>
        <w:t>572</w:t>
      </w:r>
      <w:r w:rsidRPr="00294D78">
        <w:rPr>
          <w:rFonts w:ascii="Calibri"/>
        </w:rPr>
        <w:t xml:space="preserve">(7771), S5–S7. </w:t>
      </w:r>
    </w:p>
    <w:p w14:paraId="43D046A2" w14:textId="663FE512" w:rsidR="00294D78" w:rsidRPr="00294D78" w:rsidRDefault="00294D78" w:rsidP="00294D78">
      <w:pPr>
        <w:pStyle w:val="Bibliography"/>
        <w:rPr>
          <w:rFonts w:ascii="Calibri"/>
        </w:rPr>
      </w:pPr>
      <w:r w:rsidRPr="00294D78">
        <w:rPr>
          <w:rFonts w:ascii="Calibri"/>
        </w:rPr>
        <w:t xml:space="preserve">Elkins, A. C., </w:t>
      </w:r>
      <w:proofErr w:type="spellStart"/>
      <w:r w:rsidRPr="00294D78">
        <w:rPr>
          <w:rFonts w:ascii="Calibri"/>
        </w:rPr>
        <w:t>Deseo</w:t>
      </w:r>
      <w:proofErr w:type="spellEnd"/>
      <w:r w:rsidRPr="00294D78">
        <w:rPr>
          <w:rFonts w:ascii="Calibri"/>
        </w:rPr>
        <w:t xml:space="preserve">, M. A., </w:t>
      </w:r>
      <w:proofErr w:type="spellStart"/>
      <w:r w:rsidRPr="00294D78">
        <w:rPr>
          <w:rFonts w:ascii="Calibri"/>
        </w:rPr>
        <w:t>Rochfort</w:t>
      </w:r>
      <w:proofErr w:type="spellEnd"/>
      <w:r w:rsidRPr="00294D78">
        <w:rPr>
          <w:rFonts w:ascii="Calibri"/>
        </w:rPr>
        <w:t xml:space="preserve">, S., </w:t>
      </w:r>
      <w:proofErr w:type="spellStart"/>
      <w:r w:rsidRPr="00294D78">
        <w:rPr>
          <w:rFonts w:ascii="Calibri"/>
        </w:rPr>
        <w:t>Ezernieks</w:t>
      </w:r>
      <w:proofErr w:type="spellEnd"/>
      <w:r w:rsidRPr="00294D78">
        <w:rPr>
          <w:rFonts w:ascii="Calibri"/>
        </w:rPr>
        <w:t xml:space="preserve">, V., &amp; Spangenberg, G. (2019). Development of a validated method for the qualitative and quantitative analysis of cannabinoids in plant biomass and medicinal cannabis resin extracts obtained by super-critical fluid extraction. </w:t>
      </w:r>
      <w:r w:rsidRPr="00294D78">
        <w:rPr>
          <w:rFonts w:ascii="Calibri"/>
          <w:i/>
          <w:iCs/>
        </w:rPr>
        <w:t>Journal of Chromatography B</w:t>
      </w:r>
      <w:r w:rsidRPr="00294D78">
        <w:rPr>
          <w:rFonts w:ascii="Calibri"/>
        </w:rPr>
        <w:t xml:space="preserve">, </w:t>
      </w:r>
      <w:r w:rsidRPr="00294D78">
        <w:rPr>
          <w:rFonts w:ascii="Calibri"/>
          <w:i/>
          <w:iCs/>
        </w:rPr>
        <w:t>1109</w:t>
      </w:r>
      <w:r w:rsidRPr="00294D78">
        <w:rPr>
          <w:rFonts w:ascii="Calibri"/>
        </w:rPr>
        <w:t xml:space="preserve">, 76–83. </w:t>
      </w:r>
    </w:p>
    <w:p w14:paraId="28328E05" w14:textId="3C43CA91" w:rsidR="00294D78" w:rsidRPr="00294D78" w:rsidRDefault="00294D78" w:rsidP="00294D78">
      <w:pPr>
        <w:pStyle w:val="Bibliography"/>
        <w:rPr>
          <w:rFonts w:ascii="Calibri"/>
        </w:rPr>
      </w:pPr>
      <w:r w:rsidRPr="00294D78">
        <w:rPr>
          <w:rFonts w:ascii="Calibri"/>
        </w:rPr>
        <w:t xml:space="preserve">Ellis, R. L. (2008). Development of veterinary drug residue controls by the Codex Alimentarius Commission: A review. </w:t>
      </w:r>
      <w:r w:rsidRPr="00294D78">
        <w:rPr>
          <w:rFonts w:ascii="Calibri"/>
          <w:i/>
          <w:iCs/>
        </w:rPr>
        <w:t>Food Additives &amp; Contaminants: Part A</w:t>
      </w:r>
      <w:r w:rsidRPr="00294D78">
        <w:rPr>
          <w:rFonts w:ascii="Calibri"/>
        </w:rPr>
        <w:t xml:space="preserve">, </w:t>
      </w:r>
      <w:r w:rsidRPr="00294D78">
        <w:rPr>
          <w:rFonts w:ascii="Calibri"/>
          <w:i/>
          <w:iCs/>
        </w:rPr>
        <w:t>25</w:t>
      </w:r>
      <w:r w:rsidRPr="00294D78">
        <w:rPr>
          <w:rFonts w:ascii="Calibri"/>
        </w:rPr>
        <w:t xml:space="preserve">(12), 1432–1438. </w:t>
      </w:r>
    </w:p>
    <w:p w14:paraId="367F0F23" w14:textId="0FBEED27" w:rsidR="00294D78" w:rsidRPr="00294D78" w:rsidRDefault="00294D78" w:rsidP="00294D78">
      <w:pPr>
        <w:pStyle w:val="Bibliography"/>
        <w:rPr>
          <w:rFonts w:ascii="Calibri"/>
        </w:rPr>
      </w:pPr>
      <w:r w:rsidRPr="00E62689">
        <w:rPr>
          <w:rFonts w:ascii="Calibri"/>
        </w:rPr>
        <w:t xml:space="preserve">Escrivá, Ú., Andrés-Costa, M. J., Andreu, V., &amp; </w:t>
      </w:r>
      <w:proofErr w:type="spellStart"/>
      <w:r w:rsidRPr="00E62689">
        <w:rPr>
          <w:rFonts w:ascii="Calibri"/>
        </w:rPr>
        <w:t>Picó</w:t>
      </w:r>
      <w:proofErr w:type="spellEnd"/>
      <w:r w:rsidRPr="00E62689">
        <w:rPr>
          <w:rFonts w:ascii="Calibri"/>
        </w:rPr>
        <w:t xml:space="preserve">, Y. (2017). </w:t>
      </w:r>
      <w:r w:rsidRPr="00294D78">
        <w:rPr>
          <w:rFonts w:ascii="Calibri"/>
        </w:rPr>
        <w:t xml:space="preserve">Analysis of cannabinoids by liquid chromatography–mass spectrometry in milk, liver and hemp seed to ensure food safety. </w:t>
      </w:r>
      <w:r w:rsidRPr="00294D78">
        <w:rPr>
          <w:rFonts w:ascii="Calibri"/>
          <w:i/>
          <w:iCs/>
        </w:rPr>
        <w:t>Food Chemistry</w:t>
      </w:r>
      <w:r w:rsidRPr="00294D78">
        <w:rPr>
          <w:rFonts w:ascii="Calibri"/>
        </w:rPr>
        <w:t xml:space="preserve">, </w:t>
      </w:r>
      <w:r w:rsidRPr="00294D78">
        <w:rPr>
          <w:rFonts w:ascii="Calibri"/>
          <w:i/>
          <w:iCs/>
        </w:rPr>
        <w:t>228</w:t>
      </w:r>
      <w:r w:rsidRPr="00294D78">
        <w:rPr>
          <w:rFonts w:ascii="Calibri"/>
        </w:rPr>
        <w:t xml:space="preserve">, 177–185. </w:t>
      </w:r>
    </w:p>
    <w:p w14:paraId="437489D5" w14:textId="2A9CA7CB" w:rsidR="00294D78" w:rsidRPr="00294D78" w:rsidRDefault="00294D78" w:rsidP="00294D78">
      <w:pPr>
        <w:pStyle w:val="Bibliography"/>
        <w:rPr>
          <w:rFonts w:ascii="Calibri"/>
        </w:rPr>
      </w:pPr>
      <w:proofErr w:type="spellStart"/>
      <w:r w:rsidRPr="00294D78">
        <w:rPr>
          <w:rFonts w:ascii="Calibri"/>
        </w:rPr>
        <w:t>Fabris</w:t>
      </w:r>
      <w:proofErr w:type="spellEnd"/>
      <w:r w:rsidRPr="00294D78">
        <w:rPr>
          <w:rFonts w:ascii="Calibri"/>
        </w:rPr>
        <w:t xml:space="preserve">, M., </w:t>
      </w:r>
      <w:proofErr w:type="spellStart"/>
      <w:r w:rsidRPr="00294D78">
        <w:rPr>
          <w:rFonts w:ascii="Calibri"/>
        </w:rPr>
        <w:t>Abbriano</w:t>
      </w:r>
      <w:proofErr w:type="spellEnd"/>
      <w:r w:rsidRPr="00294D78">
        <w:rPr>
          <w:rFonts w:ascii="Calibri"/>
        </w:rPr>
        <w:t xml:space="preserve">, R. M., </w:t>
      </w:r>
      <w:proofErr w:type="spellStart"/>
      <w:r w:rsidRPr="00294D78">
        <w:rPr>
          <w:rFonts w:ascii="Calibri"/>
        </w:rPr>
        <w:t>Pernice</w:t>
      </w:r>
      <w:proofErr w:type="spellEnd"/>
      <w:r w:rsidRPr="00294D78">
        <w:rPr>
          <w:rFonts w:ascii="Calibri"/>
        </w:rPr>
        <w:t xml:space="preserve">, M., Sutherland, D. L., </w:t>
      </w:r>
      <w:proofErr w:type="spellStart"/>
      <w:r w:rsidRPr="00294D78">
        <w:rPr>
          <w:rFonts w:ascii="Calibri"/>
        </w:rPr>
        <w:t>Commault</w:t>
      </w:r>
      <w:proofErr w:type="spellEnd"/>
      <w:r w:rsidRPr="00294D78">
        <w:rPr>
          <w:rFonts w:ascii="Calibri"/>
        </w:rPr>
        <w:t xml:space="preserve">, A. S., Hall, C. C., … Ralph, P. J. (2020). Emerging Technologies in Algal Biotechnology: Toward the Establishment of a Sustainable, Algae-Based Bioeconomy. </w:t>
      </w:r>
      <w:r w:rsidRPr="00294D78">
        <w:rPr>
          <w:rFonts w:ascii="Calibri"/>
          <w:i/>
          <w:iCs/>
        </w:rPr>
        <w:t>Frontiers in Plant Science</w:t>
      </w:r>
      <w:r w:rsidRPr="00294D78">
        <w:rPr>
          <w:rFonts w:ascii="Calibri"/>
        </w:rPr>
        <w:t xml:space="preserve">, </w:t>
      </w:r>
      <w:r w:rsidRPr="00294D78">
        <w:rPr>
          <w:rFonts w:ascii="Calibri"/>
          <w:i/>
          <w:iCs/>
        </w:rPr>
        <w:t>11</w:t>
      </w:r>
      <w:r w:rsidRPr="00294D78">
        <w:rPr>
          <w:rFonts w:ascii="Calibri"/>
        </w:rPr>
        <w:t xml:space="preserve">. </w:t>
      </w:r>
    </w:p>
    <w:p w14:paraId="68D87B3B" w14:textId="56DDDA2E" w:rsidR="00294D78" w:rsidRPr="00294D78" w:rsidRDefault="00294D78" w:rsidP="00294D78">
      <w:pPr>
        <w:pStyle w:val="Bibliography"/>
        <w:rPr>
          <w:rFonts w:ascii="Calibri"/>
        </w:rPr>
      </w:pPr>
      <w:proofErr w:type="spellStart"/>
      <w:r w:rsidRPr="00294D78">
        <w:rPr>
          <w:rFonts w:ascii="Calibri"/>
        </w:rPr>
        <w:t>Fellermeier</w:t>
      </w:r>
      <w:proofErr w:type="spellEnd"/>
      <w:r w:rsidRPr="00294D78">
        <w:rPr>
          <w:rFonts w:ascii="Calibri"/>
        </w:rPr>
        <w:t xml:space="preserve">, M., &amp; </w:t>
      </w:r>
      <w:proofErr w:type="spellStart"/>
      <w:r w:rsidRPr="00294D78">
        <w:rPr>
          <w:rFonts w:ascii="Calibri"/>
        </w:rPr>
        <w:t>Zenk</w:t>
      </w:r>
      <w:proofErr w:type="spellEnd"/>
      <w:r w:rsidRPr="00294D78">
        <w:rPr>
          <w:rFonts w:ascii="Calibri"/>
        </w:rPr>
        <w:t xml:space="preserve">, M. H. (1998). Prenylation of </w:t>
      </w:r>
      <w:proofErr w:type="spellStart"/>
      <w:r w:rsidRPr="00294D78">
        <w:rPr>
          <w:rFonts w:ascii="Calibri"/>
        </w:rPr>
        <w:t>olivetolate</w:t>
      </w:r>
      <w:proofErr w:type="spellEnd"/>
      <w:r w:rsidRPr="00294D78">
        <w:rPr>
          <w:rFonts w:ascii="Calibri"/>
        </w:rPr>
        <w:t xml:space="preserve"> by a hemp transferase yields </w:t>
      </w:r>
      <w:proofErr w:type="spellStart"/>
      <w:r w:rsidRPr="00294D78">
        <w:rPr>
          <w:rFonts w:ascii="Calibri"/>
        </w:rPr>
        <w:t>cannabigerolic</w:t>
      </w:r>
      <w:proofErr w:type="spellEnd"/>
      <w:r w:rsidRPr="00294D78">
        <w:rPr>
          <w:rFonts w:ascii="Calibri"/>
        </w:rPr>
        <w:t xml:space="preserve"> acid, the precursor of tetrahydrocannabinol. </w:t>
      </w:r>
      <w:r w:rsidRPr="00294D78">
        <w:rPr>
          <w:rFonts w:ascii="Calibri"/>
          <w:i/>
          <w:iCs/>
        </w:rPr>
        <w:t>FEBS Letters</w:t>
      </w:r>
      <w:r w:rsidRPr="00294D78">
        <w:rPr>
          <w:rFonts w:ascii="Calibri"/>
        </w:rPr>
        <w:t xml:space="preserve">, </w:t>
      </w:r>
      <w:r w:rsidRPr="00294D78">
        <w:rPr>
          <w:rFonts w:ascii="Calibri"/>
          <w:i/>
          <w:iCs/>
        </w:rPr>
        <w:t>427</w:t>
      </w:r>
      <w:r w:rsidRPr="00294D78">
        <w:rPr>
          <w:rFonts w:ascii="Calibri"/>
        </w:rPr>
        <w:t xml:space="preserve">(2), 283–285. </w:t>
      </w:r>
    </w:p>
    <w:p w14:paraId="53FC71E1" w14:textId="180802D6" w:rsidR="00294D78" w:rsidRPr="00294D78" w:rsidRDefault="00294D78" w:rsidP="00294D78">
      <w:pPr>
        <w:pStyle w:val="Bibliography"/>
        <w:rPr>
          <w:rFonts w:ascii="Calibri"/>
        </w:rPr>
      </w:pPr>
      <w:r w:rsidRPr="00294D78">
        <w:rPr>
          <w:rFonts w:ascii="Calibri"/>
        </w:rPr>
        <w:t xml:space="preserve">Fodor, B., </w:t>
      </w:r>
      <w:proofErr w:type="spellStart"/>
      <w:r w:rsidRPr="00294D78">
        <w:rPr>
          <w:rFonts w:ascii="Calibri"/>
        </w:rPr>
        <w:t>Boldizsár</w:t>
      </w:r>
      <w:proofErr w:type="spellEnd"/>
      <w:r w:rsidRPr="00294D78">
        <w:rPr>
          <w:rFonts w:ascii="Calibri"/>
        </w:rPr>
        <w:t xml:space="preserve">, I., &amp; </w:t>
      </w:r>
      <w:proofErr w:type="spellStart"/>
      <w:r w:rsidRPr="00294D78">
        <w:rPr>
          <w:rFonts w:ascii="Calibri"/>
        </w:rPr>
        <w:t>Molnár</w:t>
      </w:r>
      <w:proofErr w:type="spellEnd"/>
      <w:r w:rsidRPr="00294D78">
        <w:rPr>
          <w:rFonts w:ascii="Calibri"/>
        </w:rPr>
        <w:t xml:space="preserve">-Perl, I. (2018). </w:t>
      </w:r>
      <w:proofErr w:type="spellStart"/>
      <w:r w:rsidRPr="00294D78">
        <w:rPr>
          <w:rFonts w:ascii="Calibri"/>
        </w:rPr>
        <w:t>Alkylsilyl</w:t>
      </w:r>
      <w:proofErr w:type="spellEnd"/>
      <w:r w:rsidRPr="00294D78">
        <w:rPr>
          <w:rFonts w:ascii="Calibri"/>
        </w:rPr>
        <w:t xml:space="preserve"> speciation and direct sample preparation of plant cannabinoids prior to their analysis by GC-MS. </w:t>
      </w:r>
      <w:r w:rsidRPr="00294D78">
        <w:rPr>
          <w:rFonts w:ascii="Calibri"/>
          <w:i/>
          <w:iCs/>
        </w:rPr>
        <w:t xml:space="preserve">Analytica </w:t>
      </w:r>
      <w:proofErr w:type="spellStart"/>
      <w:r w:rsidRPr="00294D78">
        <w:rPr>
          <w:rFonts w:ascii="Calibri"/>
          <w:i/>
          <w:iCs/>
        </w:rPr>
        <w:t>Chimica</w:t>
      </w:r>
      <w:proofErr w:type="spellEnd"/>
      <w:r w:rsidRPr="00294D78">
        <w:rPr>
          <w:rFonts w:ascii="Calibri"/>
          <w:i/>
          <w:iCs/>
        </w:rPr>
        <w:t xml:space="preserve"> Acta</w:t>
      </w:r>
      <w:r w:rsidRPr="00294D78">
        <w:rPr>
          <w:rFonts w:ascii="Calibri"/>
        </w:rPr>
        <w:t xml:space="preserve">, </w:t>
      </w:r>
      <w:r w:rsidRPr="00294D78">
        <w:rPr>
          <w:rFonts w:ascii="Calibri"/>
          <w:i/>
          <w:iCs/>
        </w:rPr>
        <w:t>1021</w:t>
      </w:r>
      <w:r w:rsidRPr="00294D78">
        <w:rPr>
          <w:rFonts w:ascii="Calibri"/>
        </w:rPr>
        <w:t xml:space="preserve">, 51–59. </w:t>
      </w:r>
    </w:p>
    <w:p w14:paraId="16A9B0B6" w14:textId="06618358" w:rsidR="00294D78" w:rsidRPr="00294D78" w:rsidRDefault="00294D78" w:rsidP="00294D78">
      <w:pPr>
        <w:pStyle w:val="Bibliography"/>
        <w:rPr>
          <w:rFonts w:ascii="Calibri"/>
        </w:rPr>
      </w:pPr>
      <w:proofErr w:type="spellStart"/>
      <w:r w:rsidRPr="00294D78">
        <w:rPr>
          <w:rFonts w:ascii="Calibri"/>
        </w:rPr>
        <w:t>Gasse</w:t>
      </w:r>
      <w:proofErr w:type="spellEnd"/>
      <w:r w:rsidRPr="00294D78">
        <w:rPr>
          <w:rFonts w:ascii="Calibri"/>
        </w:rPr>
        <w:t xml:space="preserve">, A., Pfeiffer, H., Köhler, H., &amp; </w:t>
      </w:r>
      <w:proofErr w:type="spellStart"/>
      <w:r w:rsidRPr="00294D78">
        <w:rPr>
          <w:rFonts w:ascii="Calibri"/>
        </w:rPr>
        <w:t>Schürenkamp</w:t>
      </w:r>
      <w:proofErr w:type="spellEnd"/>
      <w:r w:rsidRPr="00294D78">
        <w:rPr>
          <w:rFonts w:ascii="Calibri"/>
        </w:rPr>
        <w:t xml:space="preserve">, J. (2016). Development and validation of a solid-phase extraction method using anion exchange sorbent for the analysis of cannabinoids in plasma and serum by gas chromatography-mass spectrometry. </w:t>
      </w:r>
      <w:r w:rsidRPr="00294D78">
        <w:rPr>
          <w:rFonts w:ascii="Calibri"/>
          <w:i/>
          <w:iCs/>
        </w:rPr>
        <w:t>International Journal of Legal Medicine</w:t>
      </w:r>
      <w:r w:rsidRPr="00294D78">
        <w:rPr>
          <w:rFonts w:ascii="Calibri"/>
        </w:rPr>
        <w:t xml:space="preserve">, </w:t>
      </w:r>
      <w:r w:rsidRPr="00294D78">
        <w:rPr>
          <w:rFonts w:ascii="Calibri"/>
          <w:i/>
          <w:iCs/>
        </w:rPr>
        <w:t>130</w:t>
      </w:r>
      <w:r w:rsidRPr="00294D78">
        <w:rPr>
          <w:rFonts w:ascii="Calibri"/>
        </w:rPr>
        <w:t xml:space="preserve">(4), 967–974. </w:t>
      </w:r>
    </w:p>
    <w:p w14:paraId="06ED0625" w14:textId="65F871E7" w:rsidR="00294D78" w:rsidRPr="00294D78" w:rsidRDefault="00294D78" w:rsidP="00294D78">
      <w:pPr>
        <w:pStyle w:val="Bibliography"/>
        <w:rPr>
          <w:rFonts w:ascii="Calibri"/>
        </w:rPr>
      </w:pPr>
      <w:proofErr w:type="spellStart"/>
      <w:r w:rsidRPr="00294D78">
        <w:rPr>
          <w:rFonts w:ascii="Calibri"/>
        </w:rPr>
        <w:lastRenderedPageBreak/>
        <w:t>Hazekamp</w:t>
      </w:r>
      <w:proofErr w:type="spellEnd"/>
      <w:r w:rsidRPr="00294D78">
        <w:rPr>
          <w:rFonts w:ascii="Calibri"/>
        </w:rPr>
        <w:t xml:space="preserve">, A., </w:t>
      </w:r>
      <w:proofErr w:type="spellStart"/>
      <w:r w:rsidRPr="00294D78">
        <w:rPr>
          <w:rFonts w:ascii="Calibri"/>
        </w:rPr>
        <w:t>Fischedick</w:t>
      </w:r>
      <w:proofErr w:type="spellEnd"/>
      <w:r w:rsidRPr="00294D78">
        <w:rPr>
          <w:rFonts w:ascii="Calibri"/>
        </w:rPr>
        <w:t xml:space="preserve">, J. T., </w:t>
      </w:r>
      <w:proofErr w:type="spellStart"/>
      <w:r w:rsidRPr="00294D78">
        <w:rPr>
          <w:rFonts w:ascii="Calibri"/>
        </w:rPr>
        <w:t>Díez</w:t>
      </w:r>
      <w:proofErr w:type="spellEnd"/>
      <w:r w:rsidRPr="00294D78">
        <w:rPr>
          <w:rFonts w:ascii="Calibri"/>
        </w:rPr>
        <w:t xml:space="preserve">, M. L., Lubbe, A., &amp; </w:t>
      </w:r>
      <w:proofErr w:type="spellStart"/>
      <w:r w:rsidRPr="00294D78">
        <w:rPr>
          <w:rFonts w:ascii="Calibri"/>
        </w:rPr>
        <w:t>Ruhaak</w:t>
      </w:r>
      <w:proofErr w:type="spellEnd"/>
      <w:r w:rsidRPr="00294D78">
        <w:rPr>
          <w:rFonts w:ascii="Calibri"/>
        </w:rPr>
        <w:t xml:space="preserve">, R. L. (2010). 3.24—Chemistry of Cannabis. In H.-W. (Ben) Liu &amp; L. </w:t>
      </w:r>
      <w:proofErr w:type="spellStart"/>
      <w:r w:rsidRPr="00294D78">
        <w:rPr>
          <w:rFonts w:ascii="Calibri"/>
        </w:rPr>
        <w:t>Mander</w:t>
      </w:r>
      <w:proofErr w:type="spellEnd"/>
      <w:r w:rsidRPr="00294D78">
        <w:rPr>
          <w:rFonts w:ascii="Calibri"/>
        </w:rPr>
        <w:t xml:space="preserve"> (Eds.), </w:t>
      </w:r>
      <w:r w:rsidRPr="00294D78">
        <w:rPr>
          <w:rFonts w:ascii="Calibri"/>
          <w:i/>
          <w:iCs/>
        </w:rPr>
        <w:t>Comprehensive Natural Products II</w:t>
      </w:r>
      <w:r w:rsidRPr="00294D78">
        <w:rPr>
          <w:rFonts w:ascii="Calibri"/>
        </w:rPr>
        <w:t xml:space="preserve"> (pp. 1033–1084). Oxford: Elsevier. </w:t>
      </w:r>
    </w:p>
    <w:p w14:paraId="4E116C9E" w14:textId="77777777" w:rsidR="00294D78" w:rsidRPr="00294D78" w:rsidRDefault="00294D78" w:rsidP="00294D78">
      <w:pPr>
        <w:pStyle w:val="Bibliography"/>
        <w:rPr>
          <w:rFonts w:ascii="Calibri"/>
        </w:rPr>
      </w:pPr>
      <w:r w:rsidRPr="00294D78">
        <w:rPr>
          <w:rFonts w:ascii="Calibri"/>
        </w:rPr>
        <w:t xml:space="preserve">Horwitz, W. (2002). </w:t>
      </w:r>
      <w:r w:rsidRPr="00294D78">
        <w:rPr>
          <w:rFonts w:ascii="Calibri"/>
          <w:i/>
          <w:iCs/>
        </w:rPr>
        <w:t>AOAC guidelines for single laboratory validation of chemical methods for dietary supplements and botanicals</w:t>
      </w:r>
      <w:r w:rsidRPr="00294D78">
        <w:rPr>
          <w:rFonts w:ascii="Calibri"/>
        </w:rPr>
        <w:t>.</w:t>
      </w:r>
    </w:p>
    <w:p w14:paraId="0D80C590" w14:textId="77777777" w:rsidR="00294D78" w:rsidRPr="00294D78" w:rsidRDefault="00294D78" w:rsidP="00294D78">
      <w:pPr>
        <w:pStyle w:val="Bibliography"/>
        <w:rPr>
          <w:rFonts w:ascii="Calibri"/>
        </w:rPr>
      </w:pPr>
      <w:r w:rsidRPr="00294D78">
        <w:rPr>
          <w:rFonts w:ascii="Calibri"/>
        </w:rPr>
        <w:t xml:space="preserve">ICH Expert Working Group. (2005). </w:t>
      </w:r>
      <w:r w:rsidRPr="00294D78">
        <w:rPr>
          <w:rFonts w:ascii="Calibri"/>
          <w:i/>
          <w:iCs/>
        </w:rPr>
        <w:t>Validation of analytical procedures: Text and methodology Q2 (R1)</w:t>
      </w:r>
      <w:r w:rsidRPr="00294D78">
        <w:rPr>
          <w:rFonts w:ascii="Calibri"/>
        </w:rPr>
        <w:t xml:space="preserve">. Presented at the International Conference on </w:t>
      </w:r>
      <w:proofErr w:type="spellStart"/>
      <w:r w:rsidRPr="00294D78">
        <w:rPr>
          <w:rFonts w:ascii="Calibri"/>
        </w:rPr>
        <w:t>Harmonisation</w:t>
      </w:r>
      <w:proofErr w:type="spellEnd"/>
      <w:r w:rsidRPr="00294D78">
        <w:rPr>
          <w:rFonts w:ascii="Calibri"/>
        </w:rPr>
        <w:t xml:space="preserve"> of Technical Requirements for Registration of Pharmaceuticals for Human Use.</w:t>
      </w:r>
    </w:p>
    <w:p w14:paraId="2027E8D3" w14:textId="073687D5" w:rsidR="00294D78" w:rsidRPr="00294D78" w:rsidRDefault="00294D78" w:rsidP="00294D78">
      <w:pPr>
        <w:pStyle w:val="Bibliography"/>
        <w:rPr>
          <w:rFonts w:ascii="Calibri"/>
        </w:rPr>
      </w:pPr>
      <w:proofErr w:type="spellStart"/>
      <w:r w:rsidRPr="00294D78">
        <w:rPr>
          <w:rFonts w:ascii="Calibri"/>
        </w:rPr>
        <w:t>Leghissa</w:t>
      </w:r>
      <w:proofErr w:type="spellEnd"/>
      <w:r w:rsidRPr="00294D78">
        <w:rPr>
          <w:rFonts w:ascii="Calibri"/>
        </w:rPr>
        <w:t xml:space="preserve">, A., </w:t>
      </w:r>
      <w:proofErr w:type="spellStart"/>
      <w:r w:rsidRPr="00294D78">
        <w:rPr>
          <w:rFonts w:ascii="Calibri"/>
        </w:rPr>
        <w:t>Hildenbrand</w:t>
      </w:r>
      <w:proofErr w:type="spellEnd"/>
      <w:r w:rsidRPr="00294D78">
        <w:rPr>
          <w:rFonts w:ascii="Calibri"/>
        </w:rPr>
        <w:t xml:space="preserve">, Z. L., &amp; </w:t>
      </w:r>
      <w:proofErr w:type="spellStart"/>
      <w:r w:rsidRPr="00294D78">
        <w:rPr>
          <w:rFonts w:ascii="Calibri"/>
        </w:rPr>
        <w:t>Schug</w:t>
      </w:r>
      <w:proofErr w:type="spellEnd"/>
      <w:r w:rsidRPr="00294D78">
        <w:rPr>
          <w:rFonts w:ascii="Calibri"/>
        </w:rPr>
        <w:t xml:space="preserve">, K. A. (2019). The imperatives and challenges of analyzing Cannabis edibles. </w:t>
      </w:r>
      <w:r w:rsidRPr="00294D78">
        <w:rPr>
          <w:rFonts w:ascii="Calibri"/>
          <w:i/>
          <w:iCs/>
        </w:rPr>
        <w:t>Current Opinion in Food Science</w:t>
      </w:r>
      <w:r w:rsidRPr="00294D78">
        <w:rPr>
          <w:rFonts w:ascii="Calibri"/>
        </w:rPr>
        <w:t xml:space="preserve">, </w:t>
      </w:r>
      <w:r w:rsidRPr="00294D78">
        <w:rPr>
          <w:rFonts w:ascii="Calibri"/>
          <w:i/>
          <w:iCs/>
        </w:rPr>
        <w:t>28</w:t>
      </w:r>
      <w:r w:rsidRPr="00294D78">
        <w:rPr>
          <w:rFonts w:ascii="Calibri"/>
        </w:rPr>
        <w:t xml:space="preserve">, 18–24. </w:t>
      </w:r>
    </w:p>
    <w:p w14:paraId="361BB361" w14:textId="5205B2D8" w:rsidR="00294D78" w:rsidRPr="00294D78" w:rsidRDefault="00294D78" w:rsidP="00294D78">
      <w:pPr>
        <w:pStyle w:val="Bibliography"/>
        <w:rPr>
          <w:rFonts w:ascii="Calibri"/>
        </w:rPr>
      </w:pPr>
      <w:proofErr w:type="spellStart"/>
      <w:r w:rsidRPr="00294D78">
        <w:rPr>
          <w:rFonts w:ascii="Calibri"/>
        </w:rPr>
        <w:t>Leiman</w:t>
      </w:r>
      <w:proofErr w:type="spellEnd"/>
      <w:r w:rsidRPr="00294D78">
        <w:rPr>
          <w:rFonts w:ascii="Calibri"/>
        </w:rPr>
        <w:t xml:space="preserve">, K., </w:t>
      </w:r>
      <w:proofErr w:type="spellStart"/>
      <w:r w:rsidRPr="00294D78">
        <w:rPr>
          <w:rFonts w:ascii="Calibri"/>
        </w:rPr>
        <w:t>Colomo</w:t>
      </w:r>
      <w:proofErr w:type="spellEnd"/>
      <w:r w:rsidRPr="00294D78">
        <w:rPr>
          <w:rFonts w:ascii="Calibri"/>
        </w:rPr>
        <w:t xml:space="preserve">, L., Armenta, S., de la Guardia, M., &amp; </w:t>
      </w:r>
      <w:proofErr w:type="spellStart"/>
      <w:r w:rsidRPr="00294D78">
        <w:rPr>
          <w:rFonts w:ascii="Calibri"/>
        </w:rPr>
        <w:t>Esteve-Turrillas</w:t>
      </w:r>
      <w:proofErr w:type="spellEnd"/>
      <w:r w:rsidRPr="00294D78">
        <w:rPr>
          <w:rFonts w:ascii="Calibri"/>
        </w:rPr>
        <w:t xml:space="preserve">, F. A. (2018). Fast extraction of cannabinoids in marijuana samples by using hard-cap espresso machines. </w:t>
      </w:r>
      <w:proofErr w:type="spellStart"/>
      <w:r w:rsidRPr="00294D78">
        <w:rPr>
          <w:rFonts w:ascii="Calibri"/>
          <w:i/>
          <w:iCs/>
        </w:rPr>
        <w:t>Talanta</w:t>
      </w:r>
      <w:proofErr w:type="spellEnd"/>
      <w:r w:rsidRPr="00294D78">
        <w:rPr>
          <w:rFonts w:ascii="Calibri"/>
        </w:rPr>
        <w:t xml:space="preserve">, </w:t>
      </w:r>
      <w:r w:rsidRPr="00294D78">
        <w:rPr>
          <w:rFonts w:ascii="Calibri"/>
          <w:i/>
          <w:iCs/>
        </w:rPr>
        <w:t>190</w:t>
      </w:r>
      <w:r w:rsidRPr="00294D78">
        <w:rPr>
          <w:rFonts w:ascii="Calibri"/>
        </w:rPr>
        <w:t xml:space="preserve">, 321–326. </w:t>
      </w:r>
    </w:p>
    <w:p w14:paraId="5FBD6A13" w14:textId="3FAAF8B6" w:rsidR="00294D78" w:rsidRPr="00294D78" w:rsidRDefault="00294D78" w:rsidP="00294D78">
      <w:pPr>
        <w:pStyle w:val="Bibliography"/>
        <w:rPr>
          <w:rFonts w:ascii="Calibri"/>
        </w:rPr>
      </w:pPr>
      <w:r w:rsidRPr="00294D78">
        <w:rPr>
          <w:rFonts w:ascii="Calibri"/>
        </w:rPr>
        <w:t xml:space="preserve">Luo, X., Reiter, M. A., </w:t>
      </w:r>
      <w:proofErr w:type="spellStart"/>
      <w:r w:rsidRPr="00294D78">
        <w:rPr>
          <w:rFonts w:ascii="Calibri"/>
        </w:rPr>
        <w:t>d’Espaux</w:t>
      </w:r>
      <w:proofErr w:type="spellEnd"/>
      <w:r w:rsidRPr="00294D78">
        <w:rPr>
          <w:rFonts w:ascii="Calibri"/>
        </w:rPr>
        <w:t xml:space="preserve">, L., Wong, J., </w:t>
      </w:r>
      <w:proofErr w:type="spellStart"/>
      <w:r w:rsidRPr="00294D78">
        <w:rPr>
          <w:rFonts w:ascii="Calibri"/>
        </w:rPr>
        <w:t>Denby</w:t>
      </w:r>
      <w:proofErr w:type="spellEnd"/>
      <w:r w:rsidRPr="00294D78">
        <w:rPr>
          <w:rFonts w:ascii="Calibri"/>
        </w:rPr>
        <w:t xml:space="preserve">, C. M., Lechner, A., … </w:t>
      </w:r>
      <w:proofErr w:type="spellStart"/>
      <w:r w:rsidRPr="00294D78">
        <w:rPr>
          <w:rFonts w:ascii="Calibri"/>
        </w:rPr>
        <w:t>Keasling</w:t>
      </w:r>
      <w:proofErr w:type="spellEnd"/>
      <w:r w:rsidRPr="00294D78">
        <w:rPr>
          <w:rFonts w:ascii="Calibri"/>
        </w:rPr>
        <w:t xml:space="preserve">, J. D. (2019). Complete biosynthesis of cannabinoids and their unnatural analogues in yeast. </w:t>
      </w:r>
      <w:r w:rsidRPr="00294D78">
        <w:rPr>
          <w:rFonts w:ascii="Calibri"/>
          <w:i/>
          <w:iCs/>
        </w:rPr>
        <w:t>Nature</w:t>
      </w:r>
      <w:r w:rsidRPr="00294D78">
        <w:rPr>
          <w:rFonts w:ascii="Calibri"/>
        </w:rPr>
        <w:t xml:space="preserve">, </w:t>
      </w:r>
      <w:r w:rsidRPr="00294D78">
        <w:rPr>
          <w:rFonts w:ascii="Calibri"/>
          <w:i/>
          <w:iCs/>
        </w:rPr>
        <w:t>567</w:t>
      </w:r>
      <w:r w:rsidRPr="00294D78">
        <w:rPr>
          <w:rFonts w:ascii="Calibri"/>
        </w:rPr>
        <w:t xml:space="preserve">(7746), 123–126. </w:t>
      </w:r>
    </w:p>
    <w:p w14:paraId="009B52F1" w14:textId="77777777" w:rsidR="00294D78" w:rsidRPr="00294D78" w:rsidRDefault="00294D78" w:rsidP="00294D78">
      <w:pPr>
        <w:pStyle w:val="Bibliography"/>
        <w:rPr>
          <w:rFonts w:ascii="Calibri"/>
        </w:rPr>
      </w:pPr>
      <w:r w:rsidRPr="00294D78">
        <w:rPr>
          <w:rFonts w:ascii="Calibri"/>
        </w:rPr>
        <w:t xml:space="preserve">Omer, S. (2013). Use of REGWQ multiple comparisons of qualitative data. </w:t>
      </w:r>
      <w:r w:rsidRPr="00294D78">
        <w:rPr>
          <w:rFonts w:ascii="Calibri"/>
          <w:i/>
          <w:iCs/>
        </w:rPr>
        <w:t>Journal of Mathematics and System Science</w:t>
      </w:r>
      <w:r w:rsidRPr="00294D78">
        <w:rPr>
          <w:rFonts w:ascii="Calibri"/>
        </w:rPr>
        <w:t xml:space="preserve">, </w:t>
      </w:r>
      <w:r w:rsidRPr="00294D78">
        <w:rPr>
          <w:rFonts w:ascii="Calibri"/>
          <w:i/>
          <w:iCs/>
        </w:rPr>
        <w:t>3</w:t>
      </w:r>
      <w:r w:rsidRPr="00294D78">
        <w:rPr>
          <w:rFonts w:ascii="Calibri"/>
        </w:rPr>
        <w:t>(5), 246–250.</w:t>
      </w:r>
    </w:p>
    <w:p w14:paraId="152FA0FB" w14:textId="77777777" w:rsidR="002202E9" w:rsidRPr="008963B4" w:rsidRDefault="00294D78" w:rsidP="00294D78">
      <w:pPr>
        <w:pStyle w:val="Bibliography"/>
        <w:rPr>
          <w:rFonts w:ascii="Calibri"/>
          <w:lang w:val="fr-FR"/>
        </w:rPr>
      </w:pPr>
      <w:proofErr w:type="spellStart"/>
      <w:r w:rsidRPr="00294D78">
        <w:rPr>
          <w:rFonts w:ascii="Calibri"/>
        </w:rPr>
        <w:t>Pyne</w:t>
      </w:r>
      <w:proofErr w:type="spellEnd"/>
      <w:r w:rsidRPr="00294D78">
        <w:rPr>
          <w:rFonts w:ascii="Calibri"/>
        </w:rPr>
        <w:t xml:space="preserve">, M. E., </w:t>
      </w:r>
      <w:proofErr w:type="spellStart"/>
      <w:r w:rsidRPr="00294D78">
        <w:rPr>
          <w:rFonts w:ascii="Calibri"/>
        </w:rPr>
        <w:t>Narcross</w:t>
      </w:r>
      <w:proofErr w:type="spellEnd"/>
      <w:r w:rsidRPr="00294D78">
        <w:rPr>
          <w:rFonts w:ascii="Calibri"/>
        </w:rPr>
        <w:t xml:space="preserve">, L., &amp; Martin, V. J. J. (2019). Engineering Plant Secondary Metabolism in Microbial Systems. </w:t>
      </w:r>
      <w:r w:rsidRPr="008963B4">
        <w:rPr>
          <w:rFonts w:ascii="Calibri"/>
          <w:i/>
          <w:lang w:val="fr-FR"/>
        </w:rPr>
        <w:t xml:space="preserve">Plant </w:t>
      </w:r>
      <w:proofErr w:type="spellStart"/>
      <w:r w:rsidRPr="008963B4">
        <w:rPr>
          <w:rFonts w:ascii="Calibri"/>
          <w:i/>
          <w:lang w:val="fr-FR"/>
        </w:rPr>
        <w:t>Physiology</w:t>
      </w:r>
      <w:proofErr w:type="spellEnd"/>
      <w:r w:rsidRPr="008963B4">
        <w:rPr>
          <w:rFonts w:ascii="Calibri"/>
          <w:lang w:val="fr-FR"/>
        </w:rPr>
        <w:t xml:space="preserve">, </w:t>
      </w:r>
      <w:r w:rsidRPr="008963B4">
        <w:rPr>
          <w:rFonts w:ascii="Calibri"/>
          <w:i/>
          <w:lang w:val="fr-FR"/>
        </w:rPr>
        <w:t>179</w:t>
      </w:r>
      <w:r w:rsidRPr="008963B4">
        <w:rPr>
          <w:rFonts w:ascii="Calibri"/>
          <w:lang w:val="fr-FR"/>
        </w:rPr>
        <w:t xml:space="preserve">(3), 844–861. </w:t>
      </w:r>
    </w:p>
    <w:p w14:paraId="61C99A93" w14:textId="7A4DC947" w:rsidR="00294D78" w:rsidRDefault="002202E9" w:rsidP="00294D78">
      <w:pPr>
        <w:pStyle w:val="Bibliography"/>
        <w:rPr>
          <w:rFonts w:ascii="Calibri"/>
        </w:rPr>
      </w:pPr>
      <w:proofErr w:type="spellStart"/>
      <w:r w:rsidRPr="009447E2">
        <w:rPr>
          <w:rFonts w:ascii="Calibri"/>
          <w:lang w:val="fr-FR"/>
        </w:rPr>
        <w:t>Quéro</w:t>
      </w:r>
      <w:proofErr w:type="spellEnd"/>
      <w:r w:rsidRPr="009447E2">
        <w:rPr>
          <w:rFonts w:ascii="Calibri"/>
          <w:lang w:val="fr-FR"/>
        </w:rPr>
        <w:t xml:space="preserve">, A., Jousse, C., </w:t>
      </w:r>
      <w:proofErr w:type="spellStart"/>
      <w:r w:rsidRPr="009447E2">
        <w:rPr>
          <w:rFonts w:ascii="Calibri"/>
          <w:lang w:val="fr-FR"/>
        </w:rPr>
        <w:t>Lequart-Pillon</w:t>
      </w:r>
      <w:proofErr w:type="spellEnd"/>
      <w:r w:rsidRPr="009447E2">
        <w:rPr>
          <w:rFonts w:ascii="Calibri"/>
          <w:lang w:val="fr-FR"/>
        </w:rPr>
        <w:t xml:space="preserve">, M., </w:t>
      </w:r>
      <w:proofErr w:type="spellStart"/>
      <w:r w:rsidRPr="009447E2">
        <w:rPr>
          <w:rFonts w:ascii="Calibri"/>
          <w:lang w:val="fr-FR"/>
        </w:rPr>
        <w:t>Gontier</w:t>
      </w:r>
      <w:proofErr w:type="spellEnd"/>
      <w:r w:rsidRPr="009447E2">
        <w:rPr>
          <w:rFonts w:ascii="Calibri"/>
          <w:lang w:val="fr-FR"/>
        </w:rPr>
        <w:t xml:space="preserve">, E., Guillot, X., Courtois, B., … </w:t>
      </w:r>
      <w:r w:rsidRPr="0058429A">
        <w:rPr>
          <w:rFonts w:ascii="Calibri"/>
          <w:lang w:val="fr-FR"/>
        </w:rPr>
        <w:t>Pau-</w:t>
      </w:r>
      <w:proofErr w:type="spellStart"/>
      <w:r w:rsidRPr="0058429A">
        <w:rPr>
          <w:rFonts w:ascii="Calibri"/>
          <w:lang w:val="fr-FR"/>
        </w:rPr>
        <w:t>Roblot</w:t>
      </w:r>
      <w:proofErr w:type="spellEnd"/>
      <w:r w:rsidRPr="0058429A">
        <w:rPr>
          <w:rFonts w:ascii="Calibri"/>
          <w:lang w:val="fr-FR"/>
        </w:rPr>
        <w:t xml:space="preserve">, C. (2014). </w:t>
      </w:r>
      <w:r w:rsidRPr="009447E2">
        <w:rPr>
          <w:rFonts w:ascii="Calibri"/>
        </w:rPr>
        <w:t xml:space="preserve">Improved stability of TMS derivatives for the robust quantification of plant polar metabolites by gas chromatography–mass spectrometry. </w:t>
      </w:r>
      <w:r w:rsidRPr="009447E2">
        <w:rPr>
          <w:rFonts w:ascii="Calibri"/>
          <w:i/>
          <w:iCs/>
        </w:rPr>
        <w:t>Journal of Chromatography B</w:t>
      </w:r>
      <w:r w:rsidRPr="009447E2">
        <w:rPr>
          <w:rFonts w:ascii="Calibri"/>
        </w:rPr>
        <w:t xml:space="preserve">, </w:t>
      </w:r>
      <w:r w:rsidRPr="009447E2">
        <w:rPr>
          <w:rFonts w:ascii="Calibri"/>
          <w:i/>
          <w:iCs/>
        </w:rPr>
        <w:t>970</w:t>
      </w:r>
      <w:r w:rsidRPr="009447E2">
        <w:rPr>
          <w:rFonts w:ascii="Calibri"/>
        </w:rPr>
        <w:t>, 36–43.</w:t>
      </w:r>
    </w:p>
    <w:p w14:paraId="0E3BEDFF" w14:textId="2C433D36" w:rsidR="00294D78" w:rsidRPr="00294D78" w:rsidRDefault="00294D78" w:rsidP="00294D78">
      <w:pPr>
        <w:pStyle w:val="Bibliography"/>
        <w:rPr>
          <w:rFonts w:ascii="Calibri"/>
        </w:rPr>
      </w:pPr>
      <w:r w:rsidRPr="00294D78">
        <w:rPr>
          <w:rFonts w:ascii="Calibri"/>
        </w:rPr>
        <w:lastRenderedPageBreak/>
        <w:t xml:space="preserve">Ramnarine, R. S., </w:t>
      </w:r>
      <w:proofErr w:type="spellStart"/>
      <w:r w:rsidRPr="00294D78">
        <w:rPr>
          <w:rFonts w:ascii="Calibri"/>
        </w:rPr>
        <w:t>Poklis</w:t>
      </w:r>
      <w:proofErr w:type="spellEnd"/>
      <w:r w:rsidRPr="00294D78">
        <w:rPr>
          <w:rFonts w:ascii="Calibri"/>
        </w:rPr>
        <w:t xml:space="preserve">, J. L., &amp; Wolf, C. E. (2019). Determination of Cannabinoids in Breast Milk Using </w:t>
      </w:r>
      <w:proofErr w:type="spellStart"/>
      <w:r w:rsidRPr="00294D78">
        <w:rPr>
          <w:rFonts w:ascii="Calibri"/>
        </w:rPr>
        <w:t>QuEChERS</w:t>
      </w:r>
      <w:proofErr w:type="spellEnd"/>
      <w:r w:rsidRPr="00294D78">
        <w:rPr>
          <w:rFonts w:ascii="Calibri"/>
        </w:rPr>
        <w:t xml:space="preserve"> and Ultra-Performance Liquid Chromatography and Tandem Mass Spectrometry. </w:t>
      </w:r>
      <w:r w:rsidRPr="00294D78">
        <w:rPr>
          <w:rFonts w:ascii="Calibri"/>
          <w:i/>
          <w:iCs/>
        </w:rPr>
        <w:t>Journal of Analytical Toxicology</w:t>
      </w:r>
      <w:r w:rsidRPr="00294D78">
        <w:rPr>
          <w:rFonts w:ascii="Calibri"/>
        </w:rPr>
        <w:t xml:space="preserve">, </w:t>
      </w:r>
      <w:r w:rsidRPr="00294D78">
        <w:rPr>
          <w:rFonts w:ascii="Calibri"/>
          <w:i/>
          <w:iCs/>
        </w:rPr>
        <w:t>43</w:t>
      </w:r>
      <w:r w:rsidRPr="00294D78">
        <w:rPr>
          <w:rFonts w:ascii="Calibri"/>
        </w:rPr>
        <w:t xml:space="preserve">(9), 746–752. </w:t>
      </w:r>
    </w:p>
    <w:p w14:paraId="2C26007E" w14:textId="77777777" w:rsidR="00294D78" w:rsidRPr="00294D78" w:rsidRDefault="00294D78" w:rsidP="00294D78">
      <w:pPr>
        <w:pStyle w:val="Bibliography"/>
        <w:rPr>
          <w:rFonts w:ascii="Calibri"/>
        </w:rPr>
      </w:pPr>
      <w:proofErr w:type="spellStart"/>
      <w:r w:rsidRPr="00294D78">
        <w:rPr>
          <w:rFonts w:ascii="Calibri"/>
        </w:rPr>
        <w:t>Shimelis</w:t>
      </w:r>
      <w:proofErr w:type="spellEnd"/>
      <w:r w:rsidRPr="00294D78">
        <w:rPr>
          <w:rFonts w:ascii="Calibri"/>
        </w:rPr>
        <w:t xml:space="preserve">, O., </w:t>
      </w:r>
      <w:proofErr w:type="spellStart"/>
      <w:r w:rsidRPr="00294D78">
        <w:rPr>
          <w:rFonts w:ascii="Calibri"/>
        </w:rPr>
        <w:t>Stenerson</w:t>
      </w:r>
      <w:proofErr w:type="spellEnd"/>
      <w:r w:rsidRPr="00294D78">
        <w:rPr>
          <w:rFonts w:ascii="Calibri"/>
        </w:rPr>
        <w:t xml:space="preserve">, K., &amp; Wesley, M. (2019). Analysis of Active Cannabis Compounds in Edible Food Products: Gummy Bears and Brownies. </w:t>
      </w:r>
      <w:r w:rsidRPr="00294D78">
        <w:rPr>
          <w:rFonts w:ascii="Calibri"/>
          <w:i/>
          <w:iCs/>
        </w:rPr>
        <w:t>LC-GC North America</w:t>
      </w:r>
      <w:r w:rsidRPr="00294D78">
        <w:rPr>
          <w:rFonts w:ascii="Calibri"/>
        </w:rPr>
        <w:t xml:space="preserve">, </w:t>
      </w:r>
      <w:r w:rsidRPr="00294D78">
        <w:rPr>
          <w:rFonts w:ascii="Calibri"/>
          <w:i/>
          <w:iCs/>
        </w:rPr>
        <w:t>37</w:t>
      </w:r>
      <w:r w:rsidRPr="00294D78">
        <w:rPr>
          <w:rFonts w:ascii="Calibri"/>
        </w:rPr>
        <w:t>(6), 415–415.</w:t>
      </w:r>
    </w:p>
    <w:p w14:paraId="48EDA5BC" w14:textId="3924C0DD" w:rsidR="00294D78" w:rsidRPr="00294D78" w:rsidRDefault="00294D78" w:rsidP="00294D78">
      <w:pPr>
        <w:pStyle w:val="Bibliography"/>
        <w:rPr>
          <w:rFonts w:ascii="Calibri"/>
        </w:rPr>
      </w:pPr>
      <w:proofErr w:type="spellStart"/>
      <w:r w:rsidRPr="00294D78">
        <w:rPr>
          <w:rFonts w:ascii="Calibri"/>
        </w:rPr>
        <w:t>Sobolesky</w:t>
      </w:r>
      <w:proofErr w:type="spellEnd"/>
      <w:r w:rsidRPr="00294D78">
        <w:rPr>
          <w:rFonts w:ascii="Calibri"/>
        </w:rPr>
        <w:t xml:space="preserve">, P. M., Smith, B. E., Hubbard, J. A., Stone, J., Marcotte, T. D., </w:t>
      </w:r>
      <w:proofErr w:type="spellStart"/>
      <w:r w:rsidRPr="00294D78">
        <w:rPr>
          <w:rFonts w:ascii="Calibri"/>
        </w:rPr>
        <w:t>Grelotti</w:t>
      </w:r>
      <w:proofErr w:type="spellEnd"/>
      <w:r w:rsidRPr="00294D78">
        <w:rPr>
          <w:rFonts w:ascii="Calibri"/>
        </w:rPr>
        <w:t xml:space="preserve">, D. J., … Fitzgerald, R. L. (2019). Validation of a liquid chromatography-tandem mass spectrometry method for analyzing cannabinoids in oral fluid. </w:t>
      </w:r>
      <w:proofErr w:type="spellStart"/>
      <w:r w:rsidRPr="00294D78">
        <w:rPr>
          <w:rFonts w:ascii="Calibri"/>
          <w:i/>
          <w:iCs/>
        </w:rPr>
        <w:t>Clinica</w:t>
      </w:r>
      <w:proofErr w:type="spellEnd"/>
      <w:r w:rsidRPr="00294D78">
        <w:rPr>
          <w:rFonts w:ascii="Calibri"/>
          <w:i/>
          <w:iCs/>
        </w:rPr>
        <w:t xml:space="preserve"> </w:t>
      </w:r>
      <w:proofErr w:type="spellStart"/>
      <w:r w:rsidRPr="00294D78">
        <w:rPr>
          <w:rFonts w:ascii="Calibri"/>
          <w:i/>
          <w:iCs/>
        </w:rPr>
        <w:t>Chimica</w:t>
      </w:r>
      <w:proofErr w:type="spellEnd"/>
      <w:r w:rsidRPr="00294D78">
        <w:rPr>
          <w:rFonts w:ascii="Calibri"/>
          <w:i/>
          <w:iCs/>
        </w:rPr>
        <w:t xml:space="preserve"> Acta</w:t>
      </w:r>
      <w:r w:rsidRPr="00294D78">
        <w:rPr>
          <w:rFonts w:ascii="Calibri"/>
        </w:rPr>
        <w:t xml:space="preserve">, </w:t>
      </w:r>
      <w:r w:rsidRPr="00294D78">
        <w:rPr>
          <w:rFonts w:ascii="Calibri"/>
          <w:i/>
          <w:iCs/>
        </w:rPr>
        <w:t>491</w:t>
      </w:r>
      <w:r w:rsidRPr="00294D78">
        <w:rPr>
          <w:rFonts w:ascii="Calibri"/>
        </w:rPr>
        <w:t xml:space="preserve">, 30–38. </w:t>
      </w:r>
    </w:p>
    <w:p w14:paraId="5FFBED78" w14:textId="5207C0F7" w:rsidR="00294D78" w:rsidRPr="00294D78" w:rsidRDefault="00294D78" w:rsidP="00294D78">
      <w:pPr>
        <w:pStyle w:val="Bibliography"/>
        <w:rPr>
          <w:rFonts w:ascii="Calibri"/>
        </w:rPr>
      </w:pPr>
      <w:proofErr w:type="spellStart"/>
      <w:r w:rsidRPr="00294D78">
        <w:rPr>
          <w:rFonts w:ascii="Calibri"/>
        </w:rPr>
        <w:t>Sørensen</w:t>
      </w:r>
      <w:proofErr w:type="spellEnd"/>
      <w:r w:rsidRPr="00294D78">
        <w:rPr>
          <w:rFonts w:ascii="Calibri"/>
        </w:rPr>
        <w:t xml:space="preserve">, L. K., &amp; </w:t>
      </w:r>
      <w:proofErr w:type="spellStart"/>
      <w:r w:rsidRPr="00294D78">
        <w:rPr>
          <w:rFonts w:ascii="Calibri"/>
        </w:rPr>
        <w:t>Hasselstrøm</w:t>
      </w:r>
      <w:proofErr w:type="spellEnd"/>
      <w:r w:rsidRPr="00294D78">
        <w:rPr>
          <w:rFonts w:ascii="Calibri"/>
        </w:rPr>
        <w:t xml:space="preserve">, J. B. (2017). Sensitive Determination of Cannabinoids in Whole Blood by LC–MS-MS After Rapid Removal of Phospholipids by Filtration. </w:t>
      </w:r>
      <w:r w:rsidRPr="00294D78">
        <w:rPr>
          <w:rFonts w:ascii="Calibri"/>
          <w:i/>
          <w:iCs/>
        </w:rPr>
        <w:t>Journal of Analytical Toxicology</w:t>
      </w:r>
      <w:r w:rsidRPr="00294D78">
        <w:rPr>
          <w:rFonts w:ascii="Calibri"/>
        </w:rPr>
        <w:t xml:space="preserve">, </w:t>
      </w:r>
      <w:r w:rsidRPr="00294D78">
        <w:rPr>
          <w:rFonts w:ascii="Calibri"/>
          <w:i/>
          <w:iCs/>
        </w:rPr>
        <w:t>41</w:t>
      </w:r>
      <w:r w:rsidRPr="00294D78">
        <w:rPr>
          <w:rFonts w:ascii="Calibri"/>
        </w:rPr>
        <w:t xml:space="preserve">(5), 382–391. </w:t>
      </w:r>
    </w:p>
    <w:p w14:paraId="5ED1FC11" w14:textId="77777777" w:rsidR="00294D78" w:rsidRPr="00294D78" w:rsidRDefault="00294D78" w:rsidP="00294D78">
      <w:pPr>
        <w:pStyle w:val="Bibliography"/>
        <w:rPr>
          <w:rFonts w:ascii="Calibri"/>
        </w:rPr>
      </w:pPr>
      <w:proofErr w:type="spellStart"/>
      <w:r w:rsidRPr="00294D78">
        <w:rPr>
          <w:rFonts w:ascii="Calibri"/>
        </w:rPr>
        <w:t>Tadeo</w:t>
      </w:r>
      <w:proofErr w:type="spellEnd"/>
      <w:r w:rsidRPr="00294D78">
        <w:rPr>
          <w:rFonts w:ascii="Calibri"/>
        </w:rPr>
        <w:t xml:space="preserve">, J. L. (2019). </w:t>
      </w:r>
      <w:r w:rsidRPr="00294D78">
        <w:rPr>
          <w:rFonts w:ascii="Calibri"/>
          <w:i/>
          <w:iCs/>
        </w:rPr>
        <w:t>Analysis of pesticides in food and environmental samples</w:t>
      </w:r>
      <w:r w:rsidRPr="00294D78">
        <w:rPr>
          <w:rFonts w:ascii="Calibri"/>
        </w:rPr>
        <w:t>. CRC Press.</w:t>
      </w:r>
    </w:p>
    <w:p w14:paraId="38C01276" w14:textId="0E82A60A" w:rsidR="00294D78" w:rsidRPr="00294D78" w:rsidRDefault="00294D78" w:rsidP="00294D78">
      <w:pPr>
        <w:pStyle w:val="Bibliography"/>
        <w:rPr>
          <w:rFonts w:ascii="Calibri"/>
        </w:rPr>
      </w:pPr>
      <w:r w:rsidRPr="00294D78">
        <w:rPr>
          <w:rFonts w:ascii="Calibri"/>
        </w:rPr>
        <w:t xml:space="preserve">Tan, Z., </w:t>
      </w:r>
      <w:proofErr w:type="spellStart"/>
      <w:r w:rsidRPr="00294D78">
        <w:rPr>
          <w:rFonts w:ascii="Calibri"/>
        </w:rPr>
        <w:t>Clomburg</w:t>
      </w:r>
      <w:proofErr w:type="spellEnd"/>
      <w:r w:rsidRPr="00294D78">
        <w:rPr>
          <w:rFonts w:ascii="Calibri"/>
        </w:rPr>
        <w:t xml:space="preserve">, J. M., &amp; Gonzalez, R. (2018). Synthetic Pathway for the Production of </w:t>
      </w:r>
      <w:proofErr w:type="spellStart"/>
      <w:r w:rsidRPr="00294D78">
        <w:rPr>
          <w:rFonts w:ascii="Calibri"/>
        </w:rPr>
        <w:t>Olivetolic</w:t>
      </w:r>
      <w:proofErr w:type="spellEnd"/>
      <w:r w:rsidRPr="00294D78">
        <w:rPr>
          <w:rFonts w:ascii="Calibri"/>
        </w:rPr>
        <w:t xml:space="preserve"> Acid in Escherichia coli. </w:t>
      </w:r>
      <w:r w:rsidRPr="00294D78">
        <w:rPr>
          <w:rFonts w:ascii="Calibri"/>
          <w:i/>
          <w:iCs/>
        </w:rPr>
        <w:t>ACS Synthetic Biology</w:t>
      </w:r>
      <w:r w:rsidRPr="00294D78">
        <w:rPr>
          <w:rFonts w:ascii="Calibri"/>
        </w:rPr>
        <w:t xml:space="preserve">, </w:t>
      </w:r>
      <w:r w:rsidRPr="00294D78">
        <w:rPr>
          <w:rFonts w:ascii="Calibri"/>
          <w:i/>
          <w:iCs/>
        </w:rPr>
        <w:t>7</w:t>
      </w:r>
      <w:r w:rsidRPr="00294D78">
        <w:rPr>
          <w:rFonts w:ascii="Calibri"/>
        </w:rPr>
        <w:t xml:space="preserve">(8), 1886–1896. </w:t>
      </w:r>
    </w:p>
    <w:p w14:paraId="3B90FD21" w14:textId="77777777" w:rsidR="00294D78" w:rsidRPr="00294D78" w:rsidRDefault="00294D78" w:rsidP="00294D78">
      <w:pPr>
        <w:pStyle w:val="Bibliography"/>
        <w:rPr>
          <w:rFonts w:ascii="Calibri"/>
        </w:rPr>
      </w:pPr>
      <w:proofErr w:type="spellStart"/>
      <w:r w:rsidRPr="00294D78">
        <w:rPr>
          <w:rFonts w:ascii="Calibri"/>
        </w:rPr>
        <w:t>Tauraa</w:t>
      </w:r>
      <w:proofErr w:type="spellEnd"/>
      <w:r w:rsidRPr="00294D78">
        <w:rPr>
          <w:rFonts w:ascii="Calibri"/>
        </w:rPr>
        <w:t xml:space="preserve">, F., </w:t>
      </w:r>
      <w:proofErr w:type="spellStart"/>
      <w:r w:rsidRPr="00294D78">
        <w:rPr>
          <w:rFonts w:ascii="Calibri"/>
        </w:rPr>
        <w:t>Tanayaa</w:t>
      </w:r>
      <w:proofErr w:type="spellEnd"/>
      <w:r w:rsidRPr="00294D78">
        <w:rPr>
          <w:rFonts w:ascii="Calibri"/>
        </w:rPr>
        <w:t xml:space="preserve">, R., &amp; </w:t>
      </w:r>
      <w:proofErr w:type="spellStart"/>
      <w:r w:rsidRPr="00294D78">
        <w:rPr>
          <w:rFonts w:ascii="Calibri"/>
        </w:rPr>
        <w:t>Sirikantaramasb</w:t>
      </w:r>
      <w:proofErr w:type="spellEnd"/>
      <w:r w:rsidRPr="00294D78">
        <w:rPr>
          <w:rFonts w:ascii="Calibri"/>
        </w:rPr>
        <w:t xml:space="preserve">, S. (2019). Recent advances in cannabinoid biochemistry and biotechnology. </w:t>
      </w:r>
      <w:r w:rsidRPr="00294D78">
        <w:rPr>
          <w:rFonts w:ascii="Calibri"/>
          <w:i/>
          <w:iCs/>
        </w:rPr>
        <w:t>SCIENCEASIA</w:t>
      </w:r>
      <w:r w:rsidRPr="00294D78">
        <w:rPr>
          <w:rFonts w:ascii="Calibri"/>
        </w:rPr>
        <w:t xml:space="preserve">, </w:t>
      </w:r>
      <w:r w:rsidRPr="00294D78">
        <w:rPr>
          <w:rFonts w:ascii="Calibri"/>
          <w:i/>
          <w:iCs/>
        </w:rPr>
        <w:t>45</w:t>
      </w:r>
      <w:r w:rsidRPr="00294D78">
        <w:rPr>
          <w:rFonts w:ascii="Calibri"/>
        </w:rPr>
        <w:t>(5), 399–407.</w:t>
      </w:r>
    </w:p>
    <w:p w14:paraId="444BA0AC" w14:textId="77777777" w:rsidR="00294D78" w:rsidRPr="00294D78" w:rsidRDefault="00294D78" w:rsidP="00294D78">
      <w:pPr>
        <w:pStyle w:val="Bibliography"/>
        <w:rPr>
          <w:rFonts w:ascii="Calibri"/>
        </w:rPr>
      </w:pPr>
      <w:r w:rsidRPr="00294D78">
        <w:rPr>
          <w:rFonts w:ascii="Calibri"/>
        </w:rPr>
        <w:t xml:space="preserve">United Nations Office on Drugs and Crime. (2009). </w:t>
      </w:r>
      <w:r w:rsidRPr="00294D78">
        <w:rPr>
          <w:rFonts w:ascii="Calibri"/>
          <w:i/>
          <w:iCs/>
        </w:rPr>
        <w:t>Recommended Methods for the Identification and Analysis of Cannabis and Cannabis Products: Manual for Use by National Drug Testing Laboratories</w:t>
      </w:r>
      <w:r w:rsidRPr="00294D78">
        <w:rPr>
          <w:rFonts w:ascii="Calibri"/>
        </w:rPr>
        <w:t>. United Nations Publications.</w:t>
      </w:r>
    </w:p>
    <w:p w14:paraId="245FBD7A" w14:textId="77777777" w:rsidR="00294D78" w:rsidRPr="00294D78" w:rsidRDefault="00294D78" w:rsidP="00294D78">
      <w:pPr>
        <w:pStyle w:val="Bibliography"/>
        <w:rPr>
          <w:rFonts w:ascii="Calibri"/>
        </w:rPr>
      </w:pPr>
      <w:r w:rsidRPr="00294D78">
        <w:rPr>
          <w:rFonts w:ascii="Calibri"/>
        </w:rPr>
        <w:t xml:space="preserve">Wang, X., </w:t>
      </w:r>
      <w:proofErr w:type="spellStart"/>
      <w:r w:rsidRPr="00294D78">
        <w:rPr>
          <w:rFonts w:ascii="Calibri"/>
        </w:rPr>
        <w:t>Mackowsky</w:t>
      </w:r>
      <w:proofErr w:type="spellEnd"/>
      <w:r w:rsidRPr="00294D78">
        <w:rPr>
          <w:rFonts w:ascii="Calibri"/>
        </w:rPr>
        <w:t xml:space="preserve">, D., </w:t>
      </w:r>
      <w:proofErr w:type="spellStart"/>
      <w:r w:rsidRPr="00294D78">
        <w:rPr>
          <w:rFonts w:ascii="Calibri"/>
        </w:rPr>
        <w:t>Searfoss</w:t>
      </w:r>
      <w:proofErr w:type="spellEnd"/>
      <w:r w:rsidRPr="00294D78">
        <w:rPr>
          <w:rFonts w:ascii="Calibri"/>
        </w:rPr>
        <w:t xml:space="preserve">, J., &amp; </w:t>
      </w:r>
      <w:proofErr w:type="spellStart"/>
      <w:r w:rsidRPr="00294D78">
        <w:rPr>
          <w:rFonts w:ascii="Calibri"/>
        </w:rPr>
        <w:t>Telepchak</w:t>
      </w:r>
      <w:proofErr w:type="spellEnd"/>
      <w:r w:rsidRPr="00294D78">
        <w:rPr>
          <w:rFonts w:ascii="Calibri"/>
        </w:rPr>
        <w:t xml:space="preserve">, M. J. (2017). Determination of Cannabinoid Content and Pesticide Residues in Cannabis Edibles and Beverages. </w:t>
      </w:r>
      <w:r w:rsidRPr="00294D78">
        <w:rPr>
          <w:rFonts w:ascii="Calibri"/>
          <w:i/>
          <w:iCs/>
        </w:rPr>
        <w:t>LCGC North America</w:t>
      </w:r>
      <w:r w:rsidRPr="00294D78">
        <w:rPr>
          <w:rFonts w:ascii="Calibri"/>
        </w:rPr>
        <w:t xml:space="preserve">, </w:t>
      </w:r>
      <w:r w:rsidRPr="00294D78">
        <w:rPr>
          <w:rFonts w:ascii="Calibri"/>
          <w:i/>
          <w:iCs/>
        </w:rPr>
        <w:t>30</w:t>
      </w:r>
      <w:r w:rsidRPr="00294D78">
        <w:rPr>
          <w:rFonts w:ascii="Calibri"/>
        </w:rPr>
        <w:t>(6), 16–21.</w:t>
      </w:r>
    </w:p>
    <w:p w14:paraId="07F4C6BE" w14:textId="789CF9B6" w:rsidR="00294D78" w:rsidRPr="00294D78" w:rsidRDefault="00294D78" w:rsidP="00294D78">
      <w:pPr>
        <w:pStyle w:val="Bibliography"/>
        <w:rPr>
          <w:rFonts w:ascii="Calibri"/>
        </w:rPr>
      </w:pPr>
      <w:r w:rsidRPr="00294D78">
        <w:rPr>
          <w:rFonts w:ascii="Calibri"/>
        </w:rPr>
        <w:t xml:space="preserve">Wei, B., McGuffey, J. E., Blount, B. C., &amp; Wang, L. (2016). Sensitive Quantification of Cannabinoids in Milk by Alkaline Saponification–Solid Phase Extraction Combined with Isotope Dilution UPLC–MS/MS. </w:t>
      </w:r>
      <w:r w:rsidRPr="00294D78">
        <w:rPr>
          <w:rFonts w:ascii="Calibri"/>
          <w:i/>
          <w:iCs/>
        </w:rPr>
        <w:t>ACS Omega</w:t>
      </w:r>
      <w:r w:rsidRPr="00294D78">
        <w:rPr>
          <w:rFonts w:ascii="Calibri"/>
        </w:rPr>
        <w:t xml:space="preserve">, </w:t>
      </w:r>
      <w:r w:rsidRPr="00294D78">
        <w:rPr>
          <w:rFonts w:ascii="Calibri"/>
          <w:i/>
          <w:iCs/>
        </w:rPr>
        <w:t>1</w:t>
      </w:r>
      <w:r w:rsidRPr="00294D78">
        <w:rPr>
          <w:rFonts w:ascii="Calibri"/>
        </w:rPr>
        <w:t xml:space="preserve">(6), 1307–1313. </w:t>
      </w:r>
    </w:p>
    <w:p w14:paraId="54791D32" w14:textId="45288D19" w:rsidR="00294D78" w:rsidRPr="00E62689" w:rsidRDefault="00294D78" w:rsidP="00294D78">
      <w:pPr>
        <w:pStyle w:val="Bibliography"/>
        <w:rPr>
          <w:rFonts w:ascii="Calibri"/>
        </w:rPr>
      </w:pPr>
      <w:r w:rsidRPr="00294D78">
        <w:rPr>
          <w:rFonts w:ascii="Calibri"/>
        </w:rPr>
        <w:lastRenderedPageBreak/>
        <w:t xml:space="preserve">Whiting, P. F., Wolff, R. F., Deshpande, S., </w:t>
      </w:r>
      <w:proofErr w:type="spellStart"/>
      <w:r w:rsidRPr="00294D78">
        <w:rPr>
          <w:rFonts w:ascii="Calibri"/>
        </w:rPr>
        <w:t>Nisio</w:t>
      </w:r>
      <w:proofErr w:type="spellEnd"/>
      <w:r w:rsidRPr="00294D78">
        <w:rPr>
          <w:rFonts w:ascii="Calibri"/>
        </w:rPr>
        <w:t xml:space="preserve">, M. D., Duffy, S., Hernandez, A. V., … </w:t>
      </w:r>
      <w:proofErr w:type="spellStart"/>
      <w:r w:rsidRPr="00294D78">
        <w:rPr>
          <w:rFonts w:ascii="Calibri"/>
        </w:rPr>
        <w:t>Kleijnen</w:t>
      </w:r>
      <w:proofErr w:type="spellEnd"/>
      <w:r w:rsidRPr="00294D78">
        <w:rPr>
          <w:rFonts w:ascii="Calibri"/>
        </w:rPr>
        <w:t xml:space="preserve">, J. (2015). Cannabinoids for Medical Use: A Systematic Review and Meta-analysis. </w:t>
      </w:r>
      <w:r w:rsidRPr="00E62689">
        <w:rPr>
          <w:rFonts w:ascii="Calibri"/>
          <w:i/>
          <w:iCs/>
        </w:rPr>
        <w:t>JAMA</w:t>
      </w:r>
      <w:r w:rsidRPr="00E62689">
        <w:rPr>
          <w:rFonts w:ascii="Calibri"/>
        </w:rPr>
        <w:t xml:space="preserve">, </w:t>
      </w:r>
      <w:r w:rsidRPr="00E62689">
        <w:rPr>
          <w:rFonts w:ascii="Calibri"/>
          <w:i/>
          <w:iCs/>
        </w:rPr>
        <w:t>313</w:t>
      </w:r>
      <w:r w:rsidRPr="00E62689">
        <w:rPr>
          <w:rFonts w:ascii="Calibri"/>
        </w:rPr>
        <w:t xml:space="preserve">(24), 2456–2473. </w:t>
      </w:r>
    </w:p>
    <w:p w14:paraId="4561ED84" w14:textId="3FB9CC27" w:rsidR="00294D78" w:rsidRPr="00294D78" w:rsidRDefault="00294D78" w:rsidP="00294D78">
      <w:pPr>
        <w:pStyle w:val="Bibliography"/>
        <w:rPr>
          <w:rFonts w:ascii="Calibri"/>
        </w:rPr>
      </w:pPr>
      <w:proofErr w:type="spellStart"/>
      <w:r w:rsidRPr="00243D4D">
        <w:rPr>
          <w:rFonts w:ascii="Calibri"/>
        </w:rPr>
        <w:t>Yousefi‐Taemeh</w:t>
      </w:r>
      <w:proofErr w:type="spellEnd"/>
      <w:r w:rsidRPr="00243D4D">
        <w:rPr>
          <w:rFonts w:ascii="Calibri"/>
        </w:rPr>
        <w:t xml:space="preserve">, M., &amp; </w:t>
      </w:r>
      <w:proofErr w:type="spellStart"/>
      <w:r w:rsidRPr="00243D4D">
        <w:rPr>
          <w:rFonts w:ascii="Calibri"/>
        </w:rPr>
        <w:t>Ifa</w:t>
      </w:r>
      <w:proofErr w:type="spellEnd"/>
      <w:r w:rsidRPr="00243D4D">
        <w:rPr>
          <w:rFonts w:ascii="Calibri"/>
        </w:rPr>
        <w:t xml:space="preserve">, D. R. (2019). </w:t>
      </w:r>
      <w:r w:rsidRPr="00294D78">
        <w:rPr>
          <w:rFonts w:ascii="Calibri"/>
        </w:rPr>
        <w:t xml:space="preserve">Analysis of tetrahydrocannabinol derivative from cannabis-infused chocolate by </w:t>
      </w:r>
      <w:proofErr w:type="spellStart"/>
      <w:r w:rsidRPr="00294D78">
        <w:rPr>
          <w:rFonts w:ascii="Calibri"/>
        </w:rPr>
        <w:t>QuEChERS</w:t>
      </w:r>
      <w:proofErr w:type="spellEnd"/>
      <w:r w:rsidRPr="00294D78">
        <w:rPr>
          <w:rFonts w:ascii="Calibri"/>
        </w:rPr>
        <w:t xml:space="preserve">-thin layer chromatography-desorption electrospray ionization mass spectrometry. </w:t>
      </w:r>
      <w:r w:rsidRPr="00294D78">
        <w:rPr>
          <w:rFonts w:ascii="Calibri"/>
          <w:i/>
          <w:iCs/>
        </w:rPr>
        <w:t>Journal of Mass Spectrometry</w:t>
      </w:r>
      <w:r w:rsidRPr="00294D78">
        <w:rPr>
          <w:rFonts w:ascii="Calibri"/>
        </w:rPr>
        <w:t xml:space="preserve">, </w:t>
      </w:r>
      <w:r w:rsidRPr="00294D78">
        <w:rPr>
          <w:rFonts w:ascii="Calibri"/>
          <w:i/>
          <w:iCs/>
        </w:rPr>
        <w:t>54</w:t>
      </w:r>
      <w:r w:rsidRPr="00294D78">
        <w:rPr>
          <w:rFonts w:ascii="Calibri"/>
        </w:rPr>
        <w:t xml:space="preserve">(10), 834–842. </w:t>
      </w:r>
    </w:p>
    <w:p w14:paraId="2E7A0E3A" w14:textId="573CE30F" w:rsidR="00FA4499" w:rsidRDefault="00FA4499">
      <w:pPr>
        <w:spacing w:after="160"/>
        <w:ind w:firstLine="0"/>
      </w:pPr>
      <w:r>
        <w:br w:type="page"/>
      </w:r>
    </w:p>
    <w:p w14:paraId="55DF8DD1" w14:textId="5A5333BF" w:rsidR="00E530F3" w:rsidRDefault="00FA4499" w:rsidP="00FA4499">
      <w:pPr>
        <w:pStyle w:val="Heading1"/>
      </w:pPr>
      <w:r>
        <w:lastRenderedPageBreak/>
        <w:t>Tables</w:t>
      </w:r>
    </w:p>
    <w:p w14:paraId="5CB90EC0" w14:textId="77777777" w:rsidR="00FA4499" w:rsidRPr="00845416" w:rsidRDefault="00FA4499" w:rsidP="00FA4499">
      <w:pPr>
        <w:pStyle w:val="Tabletitle"/>
      </w:pPr>
      <w:r>
        <w:t xml:space="preserve">Table 1. </w:t>
      </w:r>
      <w:r w:rsidRPr="000C2C35">
        <w:rPr>
          <w:b w:val="0"/>
          <w:bCs w:val="0"/>
        </w:rPr>
        <w:t xml:space="preserve">Matrix effect </w:t>
      </w:r>
      <w:r>
        <w:rPr>
          <w:b w:val="0"/>
          <w:bCs w:val="0"/>
        </w:rPr>
        <w:t xml:space="preserve">(%) </w:t>
      </w:r>
      <w:r w:rsidRPr="000C2C35">
        <w:rPr>
          <w:b w:val="0"/>
          <w:bCs w:val="0"/>
        </w:rPr>
        <w:t xml:space="preserve">of SPE fractions from methanol extract of </w:t>
      </w:r>
      <w:proofErr w:type="spellStart"/>
      <w:r w:rsidRPr="000C2C35">
        <w:rPr>
          <w:b w:val="0"/>
          <w:bCs w:val="0"/>
          <w:i/>
          <w:iCs/>
        </w:rPr>
        <w:t>Isochrysis</w:t>
      </w:r>
      <w:proofErr w:type="spellEnd"/>
      <w:r w:rsidRPr="000C2C35">
        <w:rPr>
          <w:b w:val="0"/>
          <w:bCs w:val="0"/>
          <w:i/>
          <w:iCs/>
        </w:rPr>
        <w:t xml:space="preserve"> </w:t>
      </w:r>
      <w:proofErr w:type="spellStart"/>
      <w:r w:rsidRPr="000C2C35">
        <w:rPr>
          <w:b w:val="0"/>
          <w:bCs w:val="0"/>
          <w:i/>
          <w:iCs/>
        </w:rPr>
        <w:t>galbana</w:t>
      </w:r>
      <w:proofErr w:type="spellEnd"/>
      <w:r>
        <w:rPr>
          <w:b w:val="0"/>
          <w:bCs w:val="0"/>
          <w:i/>
          <w:iCs/>
        </w:rPr>
        <w:t xml:space="preserve">. </w:t>
      </w:r>
      <w:r>
        <w:rPr>
          <w:b w:val="0"/>
          <w:bCs w:val="0"/>
        </w:rPr>
        <w:t xml:space="preserve">Matrix effect was calculated as the percent ratio between the slopes of the standard curves prepared in SPE fractions and in pure solvent. </w:t>
      </w:r>
    </w:p>
    <w:tbl>
      <w:tblPr>
        <w:tblW w:w="4230" w:type="dxa"/>
        <w:tblLayout w:type="fixed"/>
        <w:tblLook w:val="04A0" w:firstRow="1" w:lastRow="0" w:firstColumn="1" w:lastColumn="0" w:noHBand="0" w:noVBand="1"/>
      </w:tblPr>
      <w:tblGrid>
        <w:gridCol w:w="1240"/>
        <w:gridCol w:w="1495"/>
        <w:gridCol w:w="1495"/>
      </w:tblGrid>
      <w:tr w:rsidR="00FA4499" w:rsidRPr="00A85CAA" w14:paraId="5D272BB0" w14:textId="77777777" w:rsidTr="00A34505">
        <w:trPr>
          <w:trHeight w:val="288"/>
        </w:trPr>
        <w:tc>
          <w:tcPr>
            <w:tcW w:w="1240" w:type="dxa"/>
            <w:vMerge w:val="restart"/>
            <w:tcBorders>
              <w:top w:val="nil"/>
              <w:left w:val="nil"/>
              <w:bottom w:val="nil"/>
              <w:right w:val="nil"/>
            </w:tcBorders>
            <w:shd w:val="clear" w:color="auto" w:fill="auto"/>
            <w:noWrap/>
            <w:vAlign w:val="center"/>
            <w:hideMark/>
          </w:tcPr>
          <w:p w14:paraId="4277C061"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Compound</w:t>
            </w:r>
          </w:p>
        </w:tc>
        <w:tc>
          <w:tcPr>
            <w:tcW w:w="2990" w:type="dxa"/>
            <w:gridSpan w:val="2"/>
            <w:tcBorders>
              <w:top w:val="nil"/>
              <w:left w:val="nil"/>
              <w:bottom w:val="nil"/>
              <w:right w:val="nil"/>
            </w:tcBorders>
            <w:shd w:val="clear" w:color="auto" w:fill="auto"/>
            <w:noWrap/>
            <w:vAlign w:val="center"/>
            <w:hideMark/>
          </w:tcPr>
          <w:p w14:paraId="071C20E8"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Matrix effect (%)</w:t>
            </w:r>
          </w:p>
        </w:tc>
      </w:tr>
      <w:tr w:rsidR="00FA4499" w:rsidRPr="00A85CAA" w14:paraId="542D8A62" w14:textId="77777777" w:rsidTr="00A34505">
        <w:trPr>
          <w:trHeight w:val="288"/>
        </w:trPr>
        <w:tc>
          <w:tcPr>
            <w:tcW w:w="1240" w:type="dxa"/>
            <w:vMerge/>
            <w:tcBorders>
              <w:top w:val="nil"/>
              <w:left w:val="nil"/>
              <w:bottom w:val="single" w:sz="4" w:space="0" w:color="auto"/>
              <w:right w:val="nil"/>
            </w:tcBorders>
            <w:vAlign w:val="center"/>
            <w:hideMark/>
          </w:tcPr>
          <w:p w14:paraId="42C3DCBF" w14:textId="77777777" w:rsidR="00FA4499" w:rsidRPr="00A85CAA" w:rsidRDefault="00FA4499" w:rsidP="00A34505">
            <w:pPr>
              <w:spacing w:after="0" w:line="240" w:lineRule="auto"/>
              <w:jc w:val="center"/>
              <w:rPr>
                <w:rFonts w:ascii="Calibri" w:eastAsia="Times New Roman" w:hAnsi="Calibri" w:cs="Calibri"/>
                <w:color w:val="000000"/>
                <w:sz w:val="20"/>
                <w:szCs w:val="20"/>
              </w:rPr>
            </w:pPr>
          </w:p>
        </w:tc>
        <w:tc>
          <w:tcPr>
            <w:tcW w:w="1495" w:type="dxa"/>
            <w:tcBorders>
              <w:top w:val="single" w:sz="4" w:space="0" w:color="auto"/>
              <w:left w:val="nil"/>
              <w:bottom w:val="single" w:sz="4" w:space="0" w:color="auto"/>
              <w:right w:val="nil"/>
            </w:tcBorders>
            <w:shd w:val="clear" w:color="auto" w:fill="auto"/>
            <w:noWrap/>
            <w:vAlign w:val="center"/>
            <w:hideMark/>
          </w:tcPr>
          <w:p w14:paraId="6EF8751C"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20-200 ng</w:t>
            </w:r>
          </w:p>
        </w:tc>
        <w:tc>
          <w:tcPr>
            <w:tcW w:w="1495" w:type="dxa"/>
            <w:tcBorders>
              <w:top w:val="single" w:sz="4" w:space="0" w:color="auto"/>
              <w:left w:val="nil"/>
              <w:bottom w:val="single" w:sz="4" w:space="0" w:color="auto"/>
              <w:right w:val="nil"/>
            </w:tcBorders>
            <w:shd w:val="clear" w:color="auto" w:fill="auto"/>
            <w:noWrap/>
            <w:vAlign w:val="center"/>
            <w:hideMark/>
          </w:tcPr>
          <w:p w14:paraId="4CB19853"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500-3000 ng</w:t>
            </w:r>
          </w:p>
        </w:tc>
      </w:tr>
      <w:tr w:rsidR="00FA4499" w:rsidRPr="00A85CAA" w14:paraId="1DE9BA44" w14:textId="77777777" w:rsidTr="00A34505">
        <w:trPr>
          <w:trHeight w:val="288"/>
        </w:trPr>
        <w:tc>
          <w:tcPr>
            <w:tcW w:w="1240" w:type="dxa"/>
            <w:tcBorders>
              <w:top w:val="single" w:sz="4" w:space="0" w:color="auto"/>
              <w:left w:val="nil"/>
              <w:bottom w:val="nil"/>
              <w:right w:val="nil"/>
            </w:tcBorders>
            <w:shd w:val="clear" w:color="auto" w:fill="auto"/>
            <w:noWrap/>
            <w:vAlign w:val="center"/>
            <w:hideMark/>
          </w:tcPr>
          <w:p w14:paraId="7222B075"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OL</w:t>
            </w:r>
          </w:p>
        </w:tc>
        <w:tc>
          <w:tcPr>
            <w:tcW w:w="1495" w:type="dxa"/>
            <w:tcBorders>
              <w:top w:val="single" w:sz="4" w:space="0" w:color="auto"/>
              <w:left w:val="nil"/>
              <w:bottom w:val="nil"/>
              <w:right w:val="nil"/>
            </w:tcBorders>
            <w:shd w:val="clear" w:color="auto" w:fill="auto"/>
            <w:noWrap/>
            <w:vAlign w:val="center"/>
            <w:hideMark/>
          </w:tcPr>
          <w:p w14:paraId="37D8770F"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64.4</w:t>
            </w:r>
          </w:p>
        </w:tc>
        <w:tc>
          <w:tcPr>
            <w:tcW w:w="1495" w:type="dxa"/>
            <w:tcBorders>
              <w:top w:val="single" w:sz="4" w:space="0" w:color="auto"/>
              <w:left w:val="nil"/>
              <w:bottom w:val="nil"/>
              <w:right w:val="nil"/>
            </w:tcBorders>
            <w:shd w:val="clear" w:color="auto" w:fill="auto"/>
            <w:noWrap/>
            <w:vAlign w:val="center"/>
            <w:hideMark/>
          </w:tcPr>
          <w:p w14:paraId="065C4C5A"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66.8</w:t>
            </w:r>
          </w:p>
        </w:tc>
      </w:tr>
      <w:tr w:rsidR="00FA4499" w:rsidRPr="00A85CAA" w14:paraId="28B0A16E" w14:textId="77777777" w:rsidTr="00A34505">
        <w:trPr>
          <w:trHeight w:val="288"/>
        </w:trPr>
        <w:tc>
          <w:tcPr>
            <w:tcW w:w="1240" w:type="dxa"/>
            <w:tcBorders>
              <w:top w:val="nil"/>
              <w:left w:val="nil"/>
              <w:bottom w:val="nil"/>
              <w:right w:val="nil"/>
            </w:tcBorders>
            <w:shd w:val="clear" w:color="auto" w:fill="auto"/>
            <w:noWrap/>
            <w:vAlign w:val="center"/>
            <w:hideMark/>
          </w:tcPr>
          <w:p w14:paraId="2A9B8491"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CBD</w:t>
            </w:r>
          </w:p>
        </w:tc>
        <w:tc>
          <w:tcPr>
            <w:tcW w:w="1495" w:type="dxa"/>
            <w:tcBorders>
              <w:top w:val="nil"/>
              <w:left w:val="nil"/>
              <w:bottom w:val="nil"/>
              <w:right w:val="nil"/>
            </w:tcBorders>
            <w:shd w:val="clear" w:color="auto" w:fill="auto"/>
            <w:noWrap/>
            <w:vAlign w:val="center"/>
            <w:hideMark/>
          </w:tcPr>
          <w:p w14:paraId="2B397B8E"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185.4</w:t>
            </w:r>
          </w:p>
        </w:tc>
        <w:tc>
          <w:tcPr>
            <w:tcW w:w="1495" w:type="dxa"/>
            <w:tcBorders>
              <w:top w:val="nil"/>
              <w:left w:val="nil"/>
              <w:bottom w:val="nil"/>
              <w:right w:val="nil"/>
            </w:tcBorders>
            <w:shd w:val="clear" w:color="auto" w:fill="auto"/>
            <w:noWrap/>
            <w:vAlign w:val="center"/>
            <w:hideMark/>
          </w:tcPr>
          <w:p w14:paraId="5745B7FF"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107.3</w:t>
            </w:r>
          </w:p>
        </w:tc>
      </w:tr>
      <w:tr w:rsidR="00FA4499" w:rsidRPr="00A85CAA" w14:paraId="12EAC26B" w14:textId="77777777" w:rsidTr="00A34505">
        <w:trPr>
          <w:trHeight w:val="288"/>
        </w:trPr>
        <w:tc>
          <w:tcPr>
            <w:tcW w:w="1240" w:type="dxa"/>
            <w:tcBorders>
              <w:top w:val="nil"/>
              <w:left w:val="nil"/>
              <w:bottom w:val="nil"/>
              <w:right w:val="nil"/>
            </w:tcBorders>
            <w:shd w:val="clear" w:color="auto" w:fill="auto"/>
            <w:noWrap/>
            <w:vAlign w:val="center"/>
            <w:hideMark/>
          </w:tcPr>
          <w:p w14:paraId="1B2DD31A"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THC</w:t>
            </w:r>
          </w:p>
        </w:tc>
        <w:tc>
          <w:tcPr>
            <w:tcW w:w="1495" w:type="dxa"/>
            <w:tcBorders>
              <w:top w:val="nil"/>
              <w:left w:val="nil"/>
              <w:bottom w:val="nil"/>
              <w:right w:val="nil"/>
            </w:tcBorders>
            <w:shd w:val="clear" w:color="auto" w:fill="auto"/>
            <w:noWrap/>
            <w:vAlign w:val="center"/>
            <w:hideMark/>
          </w:tcPr>
          <w:p w14:paraId="480853A1"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147.4</w:t>
            </w:r>
          </w:p>
        </w:tc>
        <w:tc>
          <w:tcPr>
            <w:tcW w:w="1495" w:type="dxa"/>
            <w:tcBorders>
              <w:top w:val="nil"/>
              <w:left w:val="nil"/>
              <w:bottom w:val="nil"/>
              <w:right w:val="nil"/>
            </w:tcBorders>
            <w:shd w:val="clear" w:color="auto" w:fill="auto"/>
            <w:noWrap/>
            <w:vAlign w:val="center"/>
            <w:hideMark/>
          </w:tcPr>
          <w:p w14:paraId="027D1066"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102.6</w:t>
            </w:r>
          </w:p>
        </w:tc>
      </w:tr>
      <w:tr w:rsidR="00FA4499" w:rsidRPr="00A85CAA" w14:paraId="5EEF6B59" w14:textId="77777777" w:rsidTr="00A34505">
        <w:trPr>
          <w:trHeight w:val="288"/>
        </w:trPr>
        <w:tc>
          <w:tcPr>
            <w:tcW w:w="1240" w:type="dxa"/>
            <w:tcBorders>
              <w:top w:val="nil"/>
              <w:left w:val="nil"/>
              <w:bottom w:val="nil"/>
              <w:right w:val="nil"/>
            </w:tcBorders>
            <w:shd w:val="clear" w:color="auto" w:fill="auto"/>
            <w:noWrap/>
            <w:vAlign w:val="center"/>
            <w:hideMark/>
          </w:tcPr>
          <w:p w14:paraId="5331408A"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OA</w:t>
            </w:r>
          </w:p>
        </w:tc>
        <w:tc>
          <w:tcPr>
            <w:tcW w:w="1495" w:type="dxa"/>
            <w:tcBorders>
              <w:top w:val="nil"/>
              <w:left w:val="nil"/>
              <w:bottom w:val="nil"/>
              <w:right w:val="nil"/>
            </w:tcBorders>
            <w:shd w:val="clear" w:color="auto" w:fill="auto"/>
            <w:noWrap/>
            <w:vAlign w:val="center"/>
            <w:hideMark/>
          </w:tcPr>
          <w:p w14:paraId="2385CB6C"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98.8</w:t>
            </w:r>
          </w:p>
        </w:tc>
        <w:tc>
          <w:tcPr>
            <w:tcW w:w="1495" w:type="dxa"/>
            <w:tcBorders>
              <w:top w:val="nil"/>
              <w:left w:val="nil"/>
              <w:bottom w:val="nil"/>
              <w:right w:val="nil"/>
            </w:tcBorders>
            <w:shd w:val="clear" w:color="auto" w:fill="auto"/>
            <w:noWrap/>
            <w:vAlign w:val="center"/>
            <w:hideMark/>
          </w:tcPr>
          <w:p w14:paraId="5ED9A72E"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106.2</w:t>
            </w:r>
          </w:p>
        </w:tc>
      </w:tr>
      <w:tr w:rsidR="00FA4499" w:rsidRPr="00A85CAA" w14:paraId="447566AB" w14:textId="77777777" w:rsidTr="00A34505">
        <w:trPr>
          <w:trHeight w:val="288"/>
        </w:trPr>
        <w:tc>
          <w:tcPr>
            <w:tcW w:w="1240" w:type="dxa"/>
            <w:tcBorders>
              <w:top w:val="nil"/>
              <w:left w:val="nil"/>
              <w:bottom w:val="nil"/>
              <w:right w:val="nil"/>
            </w:tcBorders>
            <w:shd w:val="clear" w:color="auto" w:fill="auto"/>
            <w:noWrap/>
            <w:vAlign w:val="center"/>
            <w:hideMark/>
          </w:tcPr>
          <w:p w14:paraId="21F614CB"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CBDA</w:t>
            </w:r>
          </w:p>
        </w:tc>
        <w:tc>
          <w:tcPr>
            <w:tcW w:w="1495" w:type="dxa"/>
            <w:tcBorders>
              <w:top w:val="nil"/>
              <w:left w:val="nil"/>
              <w:bottom w:val="nil"/>
              <w:right w:val="nil"/>
            </w:tcBorders>
            <w:shd w:val="clear" w:color="auto" w:fill="auto"/>
            <w:noWrap/>
            <w:vAlign w:val="center"/>
            <w:hideMark/>
          </w:tcPr>
          <w:p w14:paraId="788872F4"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111</w:t>
            </w:r>
          </w:p>
        </w:tc>
        <w:tc>
          <w:tcPr>
            <w:tcW w:w="1495" w:type="dxa"/>
            <w:tcBorders>
              <w:top w:val="nil"/>
              <w:left w:val="nil"/>
              <w:bottom w:val="nil"/>
              <w:right w:val="nil"/>
            </w:tcBorders>
            <w:shd w:val="clear" w:color="auto" w:fill="auto"/>
            <w:noWrap/>
            <w:vAlign w:val="center"/>
            <w:hideMark/>
          </w:tcPr>
          <w:p w14:paraId="25AEF839"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120.2</w:t>
            </w:r>
          </w:p>
        </w:tc>
      </w:tr>
      <w:tr w:rsidR="00FA4499" w:rsidRPr="00A85CAA" w14:paraId="3165A940" w14:textId="77777777" w:rsidTr="00A34505">
        <w:trPr>
          <w:trHeight w:val="288"/>
        </w:trPr>
        <w:tc>
          <w:tcPr>
            <w:tcW w:w="1240" w:type="dxa"/>
            <w:tcBorders>
              <w:top w:val="nil"/>
              <w:left w:val="nil"/>
              <w:bottom w:val="nil"/>
              <w:right w:val="nil"/>
            </w:tcBorders>
            <w:shd w:val="clear" w:color="auto" w:fill="auto"/>
            <w:noWrap/>
            <w:vAlign w:val="center"/>
            <w:hideMark/>
          </w:tcPr>
          <w:p w14:paraId="66F07E4B"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THCA</w:t>
            </w:r>
          </w:p>
        </w:tc>
        <w:tc>
          <w:tcPr>
            <w:tcW w:w="1495" w:type="dxa"/>
            <w:tcBorders>
              <w:top w:val="nil"/>
              <w:left w:val="nil"/>
              <w:bottom w:val="nil"/>
              <w:right w:val="nil"/>
            </w:tcBorders>
            <w:shd w:val="clear" w:color="auto" w:fill="auto"/>
            <w:noWrap/>
            <w:vAlign w:val="center"/>
            <w:hideMark/>
          </w:tcPr>
          <w:p w14:paraId="3329EAB9"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104.1</w:t>
            </w:r>
          </w:p>
        </w:tc>
        <w:tc>
          <w:tcPr>
            <w:tcW w:w="1495" w:type="dxa"/>
            <w:tcBorders>
              <w:top w:val="nil"/>
              <w:left w:val="nil"/>
              <w:bottom w:val="nil"/>
              <w:right w:val="nil"/>
            </w:tcBorders>
            <w:shd w:val="clear" w:color="auto" w:fill="auto"/>
            <w:noWrap/>
            <w:vAlign w:val="center"/>
            <w:hideMark/>
          </w:tcPr>
          <w:p w14:paraId="6A1E8F20"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115.3</w:t>
            </w:r>
          </w:p>
        </w:tc>
      </w:tr>
      <w:tr w:rsidR="00FA4499" w:rsidRPr="00A85CAA" w14:paraId="13BA1B82" w14:textId="77777777" w:rsidTr="00A34505">
        <w:trPr>
          <w:trHeight w:val="288"/>
        </w:trPr>
        <w:tc>
          <w:tcPr>
            <w:tcW w:w="1240" w:type="dxa"/>
            <w:tcBorders>
              <w:top w:val="nil"/>
              <w:left w:val="nil"/>
              <w:bottom w:val="nil"/>
              <w:right w:val="nil"/>
            </w:tcBorders>
            <w:shd w:val="clear" w:color="auto" w:fill="auto"/>
            <w:noWrap/>
            <w:vAlign w:val="center"/>
            <w:hideMark/>
          </w:tcPr>
          <w:p w14:paraId="241AC1EF"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CBGA</w:t>
            </w:r>
          </w:p>
        </w:tc>
        <w:tc>
          <w:tcPr>
            <w:tcW w:w="1495" w:type="dxa"/>
            <w:tcBorders>
              <w:top w:val="nil"/>
              <w:left w:val="nil"/>
              <w:bottom w:val="nil"/>
              <w:right w:val="nil"/>
            </w:tcBorders>
            <w:shd w:val="clear" w:color="auto" w:fill="auto"/>
            <w:noWrap/>
            <w:vAlign w:val="center"/>
            <w:hideMark/>
          </w:tcPr>
          <w:p w14:paraId="318EC4D1"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61.9</w:t>
            </w:r>
          </w:p>
        </w:tc>
        <w:tc>
          <w:tcPr>
            <w:tcW w:w="1495" w:type="dxa"/>
            <w:tcBorders>
              <w:top w:val="nil"/>
              <w:left w:val="nil"/>
              <w:bottom w:val="nil"/>
              <w:right w:val="nil"/>
            </w:tcBorders>
            <w:shd w:val="clear" w:color="auto" w:fill="auto"/>
            <w:noWrap/>
            <w:vAlign w:val="center"/>
            <w:hideMark/>
          </w:tcPr>
          <w:p w14:paraId="4D215B58" w14:textId="77777777" w:rsidR="00FA4499" w:rsidRPr="00A85CAA" w:rsidRDefault="00FA4499" w:rsidP="00A34505">
            <w:pPr>
              <w:spacing w:after="0" w:line="240" w:lineRule="auto"/>
              <w:jc w:val="center"/>
              <w:rPr>
                <w:rFonts w:ascii="Calibri" w:eastAsia="Times New Roman" w:hAnsi="Calibri" w:cs="Calibri"/>
                <w:color w:val="000000"/>
                <w:sz w:val="20"/>
                <w:szCs w:val="20"/>
              </w:rPr>
            </w:pPr>
            <w:r w:rsidRPr="00A85CAA">
              <w:rPr>
                <w:rFonts w:ascii="Calibri" w:eastAsia="Times New Roman" w:hAnsi="Calibri" w:cs="Calibri"/>
                <w:color w:val="000000"/>
                <w:sz w:val="20"/>
                <w:szCs w:val="20"/>
              </w:rPr>
              <w:t>70.4</w:t>
            </w:r>
          </w:p>
        </w:tc>
      </w:tr>
    </w:tbl>
    <w:p w14:paraId="65BE0A37" w14:textId="77777777" w:rsidR="00FA4499" w:rsidRDefault="00FA4499" w:rsidP="00FA4499">
      <w:pPr>
        <w:pStyle w:val="Tabletitle"/>
      </w:pPr>
    </w:p>
    <w:p w14:paraId="469ABE77" w14:textId="77777777" w:rsidR="00FA4499" w:rsidRDefault="00FA4499" w:rsidP="00FA4499">
      <w:pPr>
        <w:pStyle w:val="Tabletitle"/>
      </w:pPr>
    </w:p>
    <w:p w14:paraId="3989B6F2" w14:textId="77777777" w:rsidR="00FA4499" w:rsidRDefault="00FA4499" w:rsidP="00FA4499">
      <w:pPr>
        <w:pStyle w:val="Tabletitle"/>
      </w:pPr>
    </w:p>
    <w:p w14:paraId="733C21FA" w14:textId="77777777" w:rsidR="00FA4499" w:rsidRPr="003759A7" w:rsidRDefault="00FA4499" w:rsidP="00FA4499">
      <w:pPr>
        <w:pStyle w:val="Tabletitle"/>
        <w:rPr>
          <w:b w:val="0"/>
          <w:bCs w:val="0"/>
        </w:rPr>
      </w:pPr>
      <w:r w:rsidRPr="00BC5DBF">
        <w:t xml:space="preserve">Table </w:t>
      </w:r>
      <w:r>
        <w:t>2</w:t>
      </w:r>
      <w:r w:rsidRPr="00BC5DBF">
        <w:t xml:space="preserve">. </w:t>
      </w:r>
      <w:r w:rsidRPr="000C2C35">
        <w:rPr>
          <w:b w:val="0"/>
          <w:bCs w:val="0"/>
        </w:rPr>
        <w:t xml:space="preserve">Recovery rate </w:t>
      </w:r>
      <w:r>
        <w:rPr>
          <w:b w:val="0"/>
          <w:bCs w:val="0"/>
        </w:rPr>
        <w:t xml:space="preserve">(%) </w:t>
      </w:r>
      <w:r w:rsidRPr="000C2C35">
        <w:rPr>
          <w:b w:val="0"/>
          <w:bCs w:val="0"/>
        </w:rPr>
        <w:t xml:space="preserve">at </w:t>
      </w:r>
      <w:r>
        <w:rPr>
          <w:b w:val="0"/>
          <w:bCs w:val="0"/>
        </w:rPr>
        <w:t>four</w:t>
      </w:r>
      <w:r w:rsidRPr="000C2C35">
        <w:rPr>
          <w:b w:val="0"/>
          <w:bCs w:val="0"/>
        </w:rPr>
        <w:t xml:space="preserve"> concentrations. </w:t>
      </w:r>
      <w:r>
        <w:rPr>
          <w:b w:val="0"/>
          <w:bCs w:val="0"/>
        </w:rPr>
        <w:t xml:space="preserve">Recover rate was calculated using the response area ratio between analyte and internal standard in the pre-extraction spiked samples and dividing by the area ratio in the post-SPE spiked samples and multiplying by 100. Numbers reported are the mean values from three separate preparations (n=3). Post Hoc REGWQ test was used at 95% confidence level to separate means. </w:t>
      </w:r>
      <w:r w:rsidRPr="000C2C35">
        <w:rPr>
          <w:b w:val="0"/>
          <w:bCs w:val="0"/>
        </w:rPr>
        <w:t xml:space="preserve">Under each analyte, means that do not share </w:t>
      </w:r>
      <w:r>
        <w:rPr>
          <w:b w:val="0"/>
          <w:bCs w:val="0"/>
        </w:rPr>
        <w:t xml:space="preserve">a </w:t>
      </w:r>
      <w:r w:rsidRPr="000C2C35">
        <w:rPr>
          <w:b w:val="0"/>
          <w:bCs w:val="0"/>
        </w:rPr>
        <w:t>same letter are significantly different</w:t>
      </w:r>
      <w:r>
        <w:rPr>
          <w:b w:val="0"/>
          <w:bCs w:val="0"/>
        </w:rPr>
        <w:t>.</w:t>
      </w:r>
    </w:p>
    <w:tbl>
      <w:tblPr>
        <w:tblW w:w="10491" w:type="dxa"/>
        <w:jc w:val="center"/>
        <w:tblLook w:val="04A0" w:firstRow="1" w:lastRow="0" w:firstColumn="1" w:lastColumn="0" w:noHBand="0" w:noVBand="1"/>
      </w:tblPr>
      <w:tblGrid>
        <w:gridCol w:w="791"/>
        <w:gridCol w:w="907"/>
        <w:gridCol w:w="1047"/>
        <w:gridCol w:w="1184"/>
        <w:gridCol w:w="1156"/>
        <w:gridCol w:w="1093"/>
        <w:gridCol w:w="1093"/>
        <w:gridCol w:w="1156"/>
        <w:gridCol w:w="1093"/>
        <w:gridCol w:w="1184"/>
      </w:tblGrid>
      <w:tr w:rsidR="00FA4499" w:rsidRPr="00FA4499" w14:paraId="2B73B7D0" w14:textId="77777777" w:rsidTr="00FA4499">
        <w:trPr>
          <w:trHeight w:val="367"/>
          <w:jc w:val="center"/>
        </w:trPr>
        <w:tc>
          <w:tcPr>
            <w:tcW w:w="0" w:type="auto"/>
            <w:vMerge w:val="restart"/>
            <w:tcBorders>
              <w:top w:val="nil"/>
              <w:left w:val="nil"/>
              <w:bottom w:val="single" w:sz="8" w:space="0" w:color="000000"/>
              <w:right w:val="nil"/>
            </w:tcBorders>
            <w:shd w:val="clear" w:color="auto" w:fill="auto"/>
            <w:vAlign w:val="center"/>
            <w:hideMark/>
          </w:tcPr>
          <w:p w14:paraId="64F05945" w14:textId="77777777" w:rsidR="00FA4499" w:rsidRPr="00FA4499" w:rsidRDefault="00FA4499" w:rsidP="00FA4499">
            <w:pPr>
              <w:pStyle w:val="Noindent"/>
              <w:jc w:val="center"/>
              <w:rPr>
                <w:sz w:val="18"/>
                <w:szCs w:val="18"/>
              </w:rPr>
            </w:pPr>
            <w:r w:rsidRPr="00FA4499">
              <w:rPr>
                <w:sz w:val="18"/>
                <w:szCs w:val="18"/>
              </w:rPr>
              <w:t>Spiking amount (ng)</w:t>
            </w:r>
          </w:p>
        </w:tc>
        <w:tc>
          <w:tcPr>
            <w:tcW w:w="0" w:type="auto"/>
            <w:gridSpan w:val="2"/>
            <w:tcBorders>
              <w:top w:val="nil"/>
              <w:left w:val="nil"/>
              <w:bottom w:val="single" w:sz="8" w:space="0" w:color="auto"/>
              <w:right w:val="nil"/>
            </w:tcBorders>
            <w:shd w:val="clear" w:color="auto" w:fill="auto"/>
            <w:noWrap/>
            <w:vAlign w:val="center"/>
            <w:hideMark/>
          </w:tcPr>
          <w:p w14:paraId="739DAA2B" w14:textId="77777777" w:rsidR="00FA4499" w:rsidRPr="00FA4499" w:rsidRDefault="00FA4499" w:rsidP="00FA4499">
            <w:pPr>
              <w:pStyle w:val="Noindent"/>
              <w:jc w:val="center"/>
              <w:rPr>
                <w:sz w:val="18"/>
                <w:szCs w:val="18"/>
              </w:rPr>
            </w:pPr>
            <w:r w:rsidRPr="00FA4499">
              <w:rPr>
                <w:sz w:val="18"/>
                <w:szCs w:val="18"/>
              </w:rPr>
              <w:t>Expected concentration</w:t>
            </w:r>
          </w:p>
        </w:tc>
        <w:tc>
          <w:tcPr>
            <w:tcW w:w="0" w:type="auto"/>
            <w:vMerge w:val="restart"/>
            <w:tcBorders>
              <w:top w:val="nil"/>
              <w:left w:val="nil"/>
              <w:bottom w:val="single" w:sz="8" w:space="0" w:color="000000"/>
              <w:right w:val="nil"/>
            </w:tcBorders>
            <w:shd w:val="clear" w:color="auto" w:fill="auto"/>
            <w:noWrap/>
            <w:vAlign w:val="center"/>
            <w:hideMark/>
          </w:tcPr>
          <w:p w14:paraId="0296285D" w14:textId="77777777" w:rsidR="00FA4499" w:rsidRPr="00FA4499" w:rsidRDefault="00FA4499" w:rsidP="00FA4499">
            <w:pPr>
              <w:pStyle w:val="Noindent"/>
              <w:jc w:val="center"/>
              <w:rPr>
                <w:sz w:val="18"/>
                <w:szCs w:val="18"/>
              </w:rPr>
            </w:pPr>
            <w:r w:rsidRPr="00FA4499">
              <w:rPr>
                <w:sz w:val="18"/>
                <w:szCs w:val="18"/>
              </w:rPr>
              <w:t>OL</w:t>
            </w:r>
          </w:p>
        </w:tc>
        <w:tc>
          <w:tcPr>
            <w:tcW w:w="0" w:type="auto"/>
            <w:vMerge w:val="restart"/>
            <w:tcBorders>
              <w:top w:val="nil"/>
              <w:left w:val="nil"/>
              <w:bottom w:val="single" w:sz="8" w:space="0" w:color="000000"/>
              <w:right w:val="nil"/>
            </w:tcBorders>
            <w:shd w:val="clear" w:color="auto" w:fill="auto"/>
            <w:noWrap/>
            <w:vAlign w:val="center"/>
            <w:hideMark/>
          </w:tcPr>
          <w:p w14:paraId="55972B43" w14:textId="77777777" w:rsidR="00FA4499" w:rsidRPr="00FA4499" w:rsidRDefault="00FA4499" w:rsidP="00FA4499">
            <w:pPr>
              <w:pStyle w:val="Noindent"/>
              <w:jc w:val="center"/>
              <w:rPr>
                <w:sz w:val="18"/>
                <w:szCs w:val="18"/>
              </w:rPr>
            </w:pPr>
            <w:r w:rsidRPr="00FA4499">
              <w:rPr>
                <w:sz w:val="18"/>
                <w:szCs w:val="18"/>
              </w:rPr>
              <w:t>CBD</w:t>
            </w:r>
          </w:p>
        </w:tc>
        <w:tc>
          <w:tcPr>
            <w:tcW w:w="0" w:type="auto"/>
            <w:vMerge w:val="restart"/>
            <w:tcBorders>
              <w:top w:val="nil"/>
              <w:left w:val="nil"/>
              <w:bottom w:val="single" w:sz="8" w:space="0" w:color="000000"/>
              <w:right w:val="nil"/>
            </w:tcBorders>
            <w:shd w:val="clear" w:color="auto" w:fill="auto"/>
            <w:noWrap/>
            <w:vAlign w:val="center"/>
            <w:hideMark/>
          </w:tcPr>
          <w:p w14:paraId="23637B04" w14:textId="77777777" w:rsidR="00FA4499" w:rsidRPr="00FA4499" w:rsidRDefault="00FA4499" w:rsidP="00FA4499">
            <w:pPr>
              <w:pStyle w:val="Noindent"/>
              <w:jc w:val="center"/>
              <w:rPr>
                <w:sz w:val="18"/>
                <w:szCs w:val="18"/>
              </w:rPr>
            </w:pPr>
            <w:r w:rsidRPr="00FA4499">
              <w:rPr>
                <w:sz w:val="18"/>
                <w:szCs w:val="18"/>
              </w:rPr>
              <w:t>THC</w:t>
            </w:r>
          </w:p>
        </w:tc>
        <w:tc>
          <w:tcPr>
            <w:tcW w:w="0" w:type="auto"/>
            <w:vMerge w:val="restart"/>
            <w:tcBorders>
              <w:top w:val="nil"/>
              <w:left w:val="nil"/>
              <w:bottom w:val="single" w:sz="8" w:space="0" w:color="000000"/>
              <w:right w:val="nil"/>
            </w:tcBorders>
            <w:shd w:val="clear" w:color="auto" w:fill="auto"/>
            <w:noWrap/>
            <w:vAlign w:val="center"/>
            <w:hideMark/>
          </w:tcPr>
          <w:p w14:paraId="3A73127C" w14:textId="77777777" w:rsidR="00FA4499" w:rsidRPr="00FA4499" w:rsidRDefault="00FA4499" w:rsidP="00FA4499">
            <w:pPr>
              <w:pStyle w:val="Noindent"/>
              <w:jc w:val="center"/>
              <w:rPr>
                <w:sz w:val="18"/>
                <w:szCs w:val="18"/>
              </w:rPr>
            </w:pPr>
            <w:r w:rsidRPr="00FA4499">
              <w:rPr>
                <w:sz w:val="18"/>
                <w:szCs w:val="18"/>
              </w:rPr>
              <w:t>OA</w:t>
            </w:r>
          </w:p>
        </w:tc>
        <w:tc>
          <w:tcPr>
            <w:tcW w:w="0" w:type="auto"/>
            <w:vMerge w:val="restart"/>
            <w:tcBorders>
              <w:top w:val="nil"/>
              <w:left w:val="nil"/>
              <w:bottom w:val="single" w:sz="8" w:space="0" w:color="000000"/>
              <w:right w:val="nil"/>
            </w:tcBorders>
            <w:shd w:val="clear" w:color="auto" w:fill="auto"/>
            <w:noWrap/>
            <w:vAlign w:val="center"/>
            <w:hideMark/>
          </w:tcPr>
          <w:p w14:paraId="6B98E434" w14:textId="77777777" w:rsidR="00FA4499" w:rsidRPr="00FA4499" w:rsidRDefault="00FA4499" w:rsidP="00FA4499">
            <w:pPr>
              <w:pStyle w:val="Noindent"/>
              <w:jc w:val="center"/>
              <w:rPr>
                <w:sz w:val="18"/>
                <w:szCs w:val="18"/>
              </w:rPr>
            </w:pPr>
            <w:r w:rsidRPr="00FA4499">
              <w:rPr>
                <w:sz w:val="18"/>
                <w:szCs w:val="18"/>
              </w:rPr>
              <w:t>CBDA</w:t>
            </w:r>
          </w:p>
        </w:tc>
        <w:tc>
          <w:tcPr>
            <w:tcW w:w="0" w:type="auto"/>
            <w:vMerge w:val="restart"/>
            <w:tcBorders>
              <w:top w:val="nil"/>
              <w:left w:val="nil"/>
              <w:bottom w:val="single" w:sz="8" w:space="0" w:color="000000"/>
              <w:right w:val="nil"/>
            </w:tcBorders>
            <w:shd w:val="clear" w:color="auto" w:fill="auto"/>
            <w:noWrap/>
            <w:vAlign w:val="center"/>
            <w:hideMark/>
          </w:tcPr>
          <w:p w14:paraId="637791D4" w14:textId="77777777" w:rsidR="00FA4499" w:rsidRPr="00FA4499" w:rsidRDefault="00FA4499" w:rsidP="00FA4499">
            <w:pPr>
              <w:pStyle w:val="Noindent"/>
              <w:jc w:val="center"/>
              <w:rPr>
                <w:sz w:val="18"/>
                <w:szCs w:val="18"/>
              </w:rPr>
            </w:pPr>
            <w:r w:rsidRPr="00FA4499">
              <w:rPr>
                <w:sz w:val="18"/>
                <w:szCs w:val="18"/>
              </w:rPr>
              <w:t>THCA</w:t>
            </w:r>
          </w:p>
        </w:tc>
        <w:tc>
          <w:tcPr>
            <w:tcW w:w="0" w:type="auto"/>
            <w:vMerge w:val="restart"/>
            <w:tcBorders>
              <w:top w:val="nil"/>
              <w:left w:val="nil"/>
              <w:bottom w:val="single" w:sz="8" w:space="0" w:color="000000"/>
              <w:right w:val="nil"/>
            </w:tcBorders>
            <w:shd w:val="clear" w:color="auto" w:fill="auto"/>
            <w:noWrap/>
            <w:vAlign w:val="center"/>
            <w:hideMark/>
          </w:tcPr>
          <w:p w14:paraId="7D22646D" w14:textId="77777777" w:rsidR="00FA4499" w:rsidRPr="00FA4499" w:rsidRDefault="00FA4499" w:rsidP="00FA4499">
            <w:pPr>
              <w:pStyle w:val="Noindent"/>
              <w:jc w:val="center"/>
              <w:rPr>
                <w:sz w:val="18"/>
                <w:szCs w:val="18"/>
              </w:rPr>
            </w:pPr>
            <w:r w:rsidRPr="00FA4499">
              <w:rPr>
                <w:sz w:val="18"/>
                <w:szCs w:val="18"/>
              </w:rPr>
              <w:t>CBGA</w:t>
            </w:r>
          </w:p>
        </w:tc>
      </w:tr>
      <w:tr w:rsidR="00FA4499" w:rsidRPr="00FA4499" w14:paraId="15879C44" w14:textId="77777777" w:rsidTr="00FA4499">
        <w:trPr>
          <w:trHeight w:val="367"/>
          <w:jc w:val="center"/>
        </w:trPr>
        <w:tc>
          <w:tcPr>
            <w:tcW w:w="0" w:type="auto"/>
            <w:vMerge/>
            <w:tcBorders>
              <w:top w:val="nil"/>
              <w:left w:val="nil"/>
              <w:bottom w:val="single" w:sz="8" w:space="0" w:color="000000"/>
              <w:right w:val="nil"/>
            </w:tcBorders>
            <w:vAlign w:val="center"/>
            <w:hideMark/>
          </w:tcPr>
          <w:p w14:paraId="115F771D" w14:textId="77777777" w:rsidR="00FA4499" w:rsidRPr="00FA4499" w:rsidRDefault="00FA4499" w:rsidP="00FA4499">
            <w:pPr>
              <w:pStyle w:val="Noindent"/>
              <w:jc w:val="center"/>
              <w:rPr>
                <w:b/>
                <w:bCs/>
                <w:sz w:val="18"/>
                <w:szCs w:val="18"/>
              </w:rPr>
            </w:pPr>
          </w:p>
        </w:tc>
        <w:tc>
          <w:tcPr>
            <w:tcW w:w="0" w:type="auto"/>
            <w:tcBorders>
              <w:top w:val="nil"/>
              <w:left w:val="nil"/>
              <w:bottom w:val="single" w:sz="8" w:space="0" w:color="auto"/>
              <w:right w:val="nil"/>
            </w:tcBorders>
            <w:shd w:val="clear" w:color="auto" w:fill="auto"/>
            <w:vAlign w:val="center"/>
            <w:hideMark/>
          </w:tcPr>
          <w:p w14:paraId="16695121" w14:textId="77777777" w:rsidR="00FA4499" w:rsidRPr="00FA4499" w:rsidRDefault="00FA4499" w:rsidP="00FA4499">
            <w:pPr>
              <w:pStyle w:val="Noindent"/>
              <w:jc w:val="center"/>
              <w:rPr>
                <w:sz w:val="18"/>
                <w:szCs w:val="18"/>
              </w:rPr>
            </w:pPr>
            <w:r w:rsidRPr="00FA4499">
              <w:rPr>
                <w:sz w:val="18"/>
                <w:szCs w:val="18"/>
              </w:rPr>
              <w:t>In culture (ppb)</w:t>
            </w:r>
          </w:p>
        </w:tc>
        <w:tc>
          <w:tcPr>
            <w:tcW w:w="0" w:type="auto"/>
            <w:tcBorders>
              <w:top w:val="nil"/>
              <w:left w:val="nil"/>
              <w:bottom w:val="single" w:sz="8" w:space="0" w:color="auto"/>
              <w:right w:val="nil"/>
            </w:tcBorders>
            <w:shd w:val="clear" w:color="auto" w:fill="auto"/>
            <w:vAlign w:val="center"/>
            <w:hideMark/>
          </w:tcPr>
          <w:p w14:paraId="615A1E4D" w14:textId="77777777" w:rsidR="00FA4499" w:rsidRPr="00FA4499" w:rsidRDefault="00FA4499" w:rsidP="00FA4499">
            <w:pPr>
              <w:pStyle w:val="Noindent"/>
              <w:jc w:val="center"/>
              <w:rPr>
                <w:sz w:val="18"/>
                <w:szCs w:val="18"/>
              </w:rPr>
            </w:pPr>
            <w:r w:rsidRPr="00FA4499">
              <w:rPr>
                <w:sz w:val="18"/>
                <w:szCs w:val="18"/>
              </w:rPr>
              <w:t>In methanol (ppm)</w:t>
            </w:r>
          </w:p>
        </w:tc>
        <w:tc>
          <w:tcPr>
            <w:tcW w:w="0" w:type="auto"/>
            <w:vMerge/>
            <w:tcBorders>
              <w:top w:val="nil"/>
              <w:left w:val="nil"/>
              <w:bottom w:val="single" w:sz="8" w:space="0" w:color="000000"/>
              <w:right w:val="nil"/>
            </w:tcBorders>
            <w:vAlign w:val="center"/>
            <w:hideMark/>
          </w:tcPr>
          <w:p w14:paraId="59495C78" w14:textId="77777777" w:rsidR="00FA4499" w:rsidRPr="00FA4499" w:rsidRDefault="00FA4499" w:rsidP="00FA4499">
            <w:pPr>
              <w:pStyle w:val="Noindent"/>
              <w:jc w:val="center"/>
              <w:rPr>
                <w:b/>
                <w:bCs/>
                <w:sz w:val="18"/>
                <w:szCs w:val="18"/>
              </w:rPr>
            </w:pPr>
          </w:p>
        </w:tc>
        <w:tc>
          <w:tcPr>
            <w:tcW w:w="0" w:type="auto"/>
            <w:vMerge/>
            <w:tcBorders>
              <w:top w:val="nil"/>
              <w:left w:val="nil"/>
              <w:bottom w:val="single" w:sz="8" w:space="0" w:color="000000"/>
              <w:right w:val="nil"/>
            </w:tcBorders>
            <w:vAlign w:val="center"/>
            <w:hideMark/>
          </w:tcPr>
          <w:p w14:paraId="6E6D4208" w14:textId="77777777" w:rsidR="00FA4499" w:rsidRPr="00FA4499" w:rsidRDefault="00FA4499" w:rsidP="00FA4499">
            <w:pPr>
              <w:pStyle w:val="Noindent"/>
              <w:jc w:val="center"/>
              <w:rPr>
                <w:b/>
                <w:bCs/>
                <w:sz w:val="18"/>
                <w:szCs w:val="18"/>
              </w:rPr>
            </w:pPr>
          </w:p>
        </w:tc>
        <w:tc>
          <w:tcPr>
            <w:tcW w:w="0" w:type="auto"/>
            <w:vMerge/>
            <w:tcBorders>
              <w:top w:val="nil"/>
              <w:left w:val="nil"/>
              <w:bottom w:val="single" w:sz="8" w:space="0" w:color="000000"/>
              <w:right w:val="nil"/>
            </w:tcBorders>
            <w:vAlign w:val="center"/>
            <w:hideMark/>
          </w:tcPr>
          <w:p w14:paraId="708B0FF5" w14:textId="77777777" w:rsidR="00FA4499" w:rsidRPr="00FA4499" w:rsidRDefault="00FA4499" w:rsidP="00FA4499">
            <w:pPr>
              <w:pStyle w:val="Noindent"/>
              <w:jc w:val="center"/>
              <w:rPr>
                <w:b/>
                <w:bCs/>
                <w:sz w:val="18"/>
                <w:szCs w:val="18"/>
              </w:rPr>
            </w:pPr>
          </w:p>
        </w:tc>
        <w:tc>
          <w:tcPr>
            <w:tcW w:w="0" w:type="auto"/>
            <w:vMerge/>
            <w:tcBorders>
              <w:top w:val="nil"/>
              <w:left w:val="nil"/>
              <w:bottom w:val="single" w:sz="8" w:space="0" w:color="000000"/>
              <w:right w:val="nil"/>
            </w:tcBorders>
            <w:vAlign w:val="center"/>
            <w:hideMark/>
          </w:tcPr>
          <w:p w14:paraId="21F02F4E" w14:textId="77777777" w:rsidR="00FA4499" w:rsidRPr="00FA4499" w:rsidRDefault="00FA4499" w:rsidP="00FA4499">
            <w:pPr>
              <w:pStyle w:val="Noindent"/>
              <w:jc w:val="center"/>
              <w:rPr>
                <w:b/>
                <w:bCs/>
                <w:sz w:val="18"/>
                <w:szCs w:val="18"/>
              </w:rPr>
            </w:pPr>
          </w:p>
        </w:tc>
        <w:tc>
          <w:tcPr>
            <w:tcW w:w="0" w:type="auto"/>
            <w:vMerge/>
            <w:tcBorders>
              <w:top w:val="nil"/>
              <w:left w:val="nil"/>
              <w:bottom w:val="single" w:sz="8" w:space="0" w:color="000000"/>
              <w:right w:val="nil"/>
            </w:tcBorders>
            <w:vAlign w:val="center"/>
            <w:hideMark/>
          </w:tcPr>
          <w:p w14:paraId="16537C36" w14:textId="77777777" w:rsidR="00FA4499" w:rsidRPr="00FA4499" w:rsidRDefault="00FA4499" w:rsidP="00FA4499">
            <w:pPr>
              <w:pStyle w:val="Noindent"/>
              <w:jc w:val="center"/>
              <w:rPr>
                <w:b/>
                <w:bCs/>
                <w:sz w:val="18"/>
                <w:szCs w:val="18"/>
              </w:rPr>
            </w:pPr>
          </w:p>
        </w:tc>
        <w:tc>
          <w:tcPr>
            <w:tcW w:w="0" w:type="auto"/>
            <w:vMerge/>
            <w:tcBorders>
              <w:top w:val="nil"/>
              <w:left w:val="nil"/>
              <w:bottom w:val="single" w:sz="8" w:space="0" w:color="000000"/>
              <w:right w:val="nil"/>
            </w:tcBorders>
            <w:vAlign w:val="center"/>
            <w:hideMark/>
          </w:tcPr>
          <w:p w14:paraId="1BD0D1ED" w14:textId="77777777" w:rsidR="00FA4499" w:rsidRPr="00FA4499" w:rsidRDefault="00FA4499" w:rsidP="00FA4499">
            <w:pPr>
              <w:pStyle w:val="Noindent"/>
              <w:jc w:val="center"/>
              <w:rPr>
                <w:b/>
                <w:bCs/>
                <w:sz w:val="18"/>
                <w:szCs w:val="18"/>
              </w:rPr>
            </w:pPr>
          </w:p>
        </w:tc>
        <w:tc>
          <w:tcPr>
            <w:tcW w:w="0" w:type="auto"/>
            <w:vMerge/>
            <w:tcBorders>
              <w:top w:val="nil"/>
              <w:left w:val="nil"/>
              <w:bottom w:val="single" w:sz="8" w:space="0" w:color="000000"/>
              <w:right w:val="nil"/>
            </w:tcBorders>
            <w:vAlign w:val="center"/>
            <w:hideMark/>
          </w:tcPr>
          <w:p w14:paraId="35122E51" w14:textId="77777777" w:rsidR="00FA4499" w:rsidRPr="00FA4499" w:rsidRDefault="00FA4499" w:rsidP="00FA4499">
            <w:pPr>
              <w:pStyle w:val="Noindent"/>
              <w:jc w:val="center"/>
              <w:rPr>
                <w:b/>
                <w:bCs/>
                <w:sz w:val="18"/>
                <w:szCs w:val="18"/>
              </w:rPr>
            </w:pPr>
          </w:p>
        </w:tc>
      </w:tr>
      <w:tr w:rsidR="00FA4499" w:rsidRPr="00FA4499" w14:paraId="147C0FFE" w14:textId="77777777" w:rsidTr="00FA4499">
        <w:trPr>
          <w:trHeight w:val="367"/>
          <w:jc w:val="center"/>
        </w:trPr>
        <w:tc>
          <w:tcPr>
            <w:tcW w:w="0" w:type="auto"/>
            <w:tcBorders>
              <w:top w:val="nil"/>
              <w:left w:val="nil"/>
              <w:bottom w:val="nil"/>
              <w:right w:val="nil"/>
            </w:tcBorders>
            <w:shd w:val="clear" w:color="auto" w:fill="auto"/>
            <w:noWrap/>
            <w:vAlign w:val="center"/>
            <w:hideMark/>
          </w:tcPr>
          <w:p w14:paraId="0E829115" w14:textId="77777777" w:rsidR="00FA4499" w:rsidRPr="00FA4499" w:rsidRDefault="00FA4499" w:rsidP="00FA4499">
            <w:pPr>
              <w:pStyle w:val="Noindent"/>
              <w:jc w:val="center"/>
              <w:rPr>
                <w:sz w:val="18"/>
                <w:szCs w:val="18"/>
              </w:rPr>
            </w:pPr>
            <w:r w:rsidRPr="00FA4499">
              <w:rPr>
                <w:sz w:val="18"/>
                <w:szCs w:val="18"/>
              </w:rPr>
              <w:t>100</w:t>
            </w:r>
          </w:p>
        </w:tc>
        <w:tc>
          <w:tcPr>
            <w:tcW w:w="0" w:type="auto"/>
            <w:tcBorders>
              <w:top w:val="nil"/>
              <w:left w:val="nil"/>
              <w:bottom w:val="nil"/>
              <w:right w:val="nil"/>
            </w:tcBorders>
            <w:shd w:val="clear" w:color="auto" w:fill="auto"/>
            <w:noWrap/>
            <w:vAlign w:val="center"/>
            <w:hideMark/>
          </w:tcPr>
          <w:p w14:paraId="420484D5" w14:textId="77777777" w:rsidR="00FA4499" w:rsidRPr="00FA4499" w:rsidRDefault="00FA4499" w:rsidP="00FA4499">
            <w:pPr>
              <w:pStyle w:val="Noindent"/>
              <w:jc w:val="center"/>
              <w:rPr>
                <w:sz w:val="18"/>
                <w:szCs w:val="18"/>
              </w:rPr>
            </w:pPr>
            <w:r w:rsidRPr="00FA4499">
              <w:rPr>
                <w:sz w:val="18"/>
                <w:szCs w:val="18"/>
              </w:rPr>
              <w:t>2</w:t>
            </w:r>
          </w:p>
        </w:tc>
        <w:tc>
          <w:tcPr>
            <w:tcW w:w="0" w:type="auto"/>
            <w:tcBorders>
              <w:top w:val="nil"/>
              <w:left w:val="nil"/>
              <w:bottom w:val="nil"/>
              <w:right w:val="nil"/>
            </w:tcBorders>
            <w:shd w:val="clear" w:color="auto" w:fill="auto"/>
            <w:noWrap/>
            <w:vAlign w:val="center"/>
            <w:hideMark/>
          </w:tcPr>
          <w:p w14:paraId="4268ADAE" w14:textId="77777777" w:rsidR="00FA4499" w:rsidRPr="00FA4499" w:rsidRDefault="00FA4499" w:rsidP="00FA4499">
            <w:pPr>
              <w:pStyle w:val="Noindent"/>
              <w:jc w:val="center"/>
              <w:rPr>
                <w:sz w:val="18"/>
                <w:szCs w:val="18"/>
              </w:rPr>
            </w:pPr>
            <w:r w:rsidRPr="00FA4499">
              <w:rPr>
                <w:sz w:val="18"/>
                <w:szCs w:val="18"/>
              </w:rPr>
              <w:t>0.1</w:t>
            </w:r>
          </w:p>
        </w:tc>
        <w:tc>
          <w:tcPr>
            <w:tcW w:w="0" w:type="auto"/>
            <w:tcBorders>
              <w:top w:val="nil"/>
              <w:left w:val="nil"/>
              <w:bottom w:val="nil"/>
              <w:right w:val="nil"/>
            </w:tcBorders>
            <w:shd w:val="clear" w:color="auto" w:fill="auto"/>
            <w:noWrap/>
            <w:vAlign w:val="center"/>
            <w:hideMark/>
          </w:tcPr>
          <w:p w14:paraId="44DBBEEF" w14:textId="77777777" w:rsidR="00FA4499" w:rsidRPr="00FA4499" w:rsidRDefault="00FA4499" w:rsidP="00FA4499">
            <w:pPr>
              <w:pStyle w:val="Noindent"/>
              <w:jc w:val="center"/>
              <w:rPr>
                <w:sz w:val="18"/>
                <w:szCs w:val="18"/>
              </w:rPr>
            </w:pPr>
            <w:r w:rsidRPr="00FA4499">
              <w:rPr>
                <w:sz w:val="18"/>
                <w:szCs w:val="18"/>
              </w:rPr>
              <w:t>78.07</w:t>
            </w:r>
            <w:r w:rsidRPr="00FA4499">
              <w:rPr>
                <w:rFonts w:ascii="Calibri" w:hAnsi="Calibri"/>
                <w:sz w:val="18"/>
                <w:szCs w:val="18"/>
              </w:rPr>
              <w:t>±10.12</w:t>
            </w:r>
            <w:r w:rsidRPr="00FA4499">
              <w:rPr>
                <w:sz w:val="18"/>
                <w:szCs w:val="18"/>
                <w:vertAlign w:val="superscript"/>
              </w:rPr>
              <w:t>a</w:t>
            </w:r>
          </w:p>
        </w:tc>
        <w:tc>
          <w:tcPr>
            <w:tcW w:w="0" w:type="auto"/>
            <w:tcBorders>
              <w:top w:val="nil"/>
              <w:left w:val="nil"/>
              <w:bottom w:val="nil"/>
              <w:right w:val="nil"/>
            </w:tcBorders>
            <w:shd w:val="clear" w:color="auto" w:fill="auto"/>
            <w:noWrap/>
            <w:vAlign w:val="center"/>
            <w:hideMark/>
          </w:tcPr>
          <w:p w14:paraId="3D389EAE" w14:textId="77777777" w:rsidR="00FA4499" w:rsidRPr="00FA4499" w:rsidRDefault="00FA4499" w:rsidP="00FA4499">
            <w:pPr>
              <w:pStyle w:val="Noindent"/>
              <w:jc w:val="center"/>
              <w:rPr>
                <w:sz w:val="18"/>
                <w:szCs w:val="18"/>
              </w:rPr>
            </w:pPr>
            <w:r w:rsidRPr="00FA4499">
              <w:rPr>
                <w:sz w:val="18"/>
                <w:szCs w:val="18"/>
              </w:rPr>
              <w:t>77.92</w:t>
            </w:r>
            <w:r w:rsidRPr="00FA4499">
              <w:rPr>
                <w:rFonts w:ascii="Calibri" w:hAnsi="Calibri"/>
                <w:sz w:val="18"/>
                <w:szCs w:val="18"/>
              </w:rPr>
              <w:t>±6.27</w:t>
            </w:r>
            <w:r w:rsidRPr="00FA4499">
              <w:rPr>
                <w:sz w:val="18"/>
                <w:szCs w:val="18"/>
                <w:vertAlign w:val="superscript"/>
              </w:rPr>
              <w:t>a</w:t>
            </w:r>
          </w:p>
        </w:tc>
        <w:tc>
          <w:tcPr>
            <w:tcW w:w="0" w:type="auto"/>
            <w:tcBorders>
              <w:top w:val="nil"/>
              <w:left w:val="nil"/>
              <w:bottom w:val="nil"/>
              <w:right w:val="nil"/>
            </w:tcBorders>
            <w:shd w:val="clear" w:color="auto" w:fill="auto"/>
            <w:noWrap/>
            <w:vAlign w:val="center"/>
            <w:hideMark/>
          </w:tcPr>
          <w:p w14:paraId="402C5A78" w14:textId="77777777" w:rsidR="00FA4499" w:rsidRPr="00FA4499" w:rsidRDefault="00FA4499" w:rsidP="00FA4499">
            <w:pPr>
              <w:pStyle w:val="Noindent"/>
              <w:jc w:val="center"/>
              <w:rPr>
                <w:sz w:val="18"/>
                <w:szCs w:val="18"/>
              </w:rPr>
            </w:pPr>
            <w:r w:rsidRPr="00FA4499">
              <w:rPr>
                <w:sz w:val="18"/>
                <w:szCs w:val="18"/>
              </w:rPr>
              <w:t>79.90</w:t>
            </w:r>
            <w:r w:rsidRPr="00FA4499">
              <w:rPr>
                <w:rFonts w:ascii="Calibri" w:hAnsi="Calibri"/>
                <w:sz w:val="18"/>
                <w:szCs w:val="18"/>
              </w:rPr>
              <w:t>±8.35</w:t>
            </w:r>
            <w:r w:rsidRPr="00FA4499">
              <w:rPr>
                <w:sz w:val="18"/>
                <w:szCs w:val="18"/>
                <w:vertAlign w:val="superscript"/>
              </w:rPr>
              <w:t>a</w:t>
            </w:r>
          </w:p>
        </w:tc>
        <w:tc>
          <w:tcPr>
            <w:tcW w:w="0" w:type="auto"/>
            <w:tcBorders>
              <w:top w:val="nil"/>
              <w:left w:val="nil"/>
              <w:bottom w:val="nil"/>
              <w:right w:val="nil"/>
            </w:tcBorders>
            <w:shd w:val="clear" w:color="auto" w:fill="auto"/>
            <w:noWrap/>
            <w:vAlign w:val="center"/>
            <w:hideMark/>
          </w:tcPr>
          <w:p w14:paraId="00977E98" w14:textId="77777777" w:rsidR="00FA4499" w:rsidRPr="00FA4499" w:rsidRDefault="00FA4499" w:rsidP="00FA4499">
            <w:pPr>
              <w:pStyle w:val="Noindent"/>
              <w:jc w:val="center"/>
              <w:rPr>
                <w:sz w:val="18"/>
                <w:szCs w:val="18"/>
              </w:rPr>
            </w:pPr>
            <w:r w:rsidRPr="00FA4499">
              <w:rPr>
                <w:sz w:val="18"/>
                <w:szCs w:val="18"/>
              </w:rPr>
              <w:t>77.59</w:t>
            </w:r>
            <w:r w:rsidRPr="00FA4499">
              <w:rPr>
                <w:rFonts w:ascii="Calibri" w:hAnsi="Calibri"/>
                <w:sz w:val="18"/>
                <w:szCs w:val="18"/>
              </w:rPr>
              <w:t>±3.31</w:t>
            </w:r>
            <w:r w:rsidRPr="00FA4499">
              <w:rPr>
                <w:sz w:val="18"/>
                <w:szCs w:val="18"/>
                <w:vertAlign w:val="superscript"/>
              </w:rPr>
              <w:t>a</w:t>
            </w:r>
          </w:p>
        </w:tc>
        <w:tc>
          <w:tcPr>
            <w:tcW w:w="0" w:type="auto"/>
            <w:tcBorders>
              <w:top w:val="nil"/>
              <w:left w:val="nil"/>
              <w:bottom w:val="nil"/>
              <w:right w:val="nil"/>
            </w:tcBorders>
            <w:shd w:val="clear" w:color="auto" w:fill="auto"/>
            <w:noWrap/>
            <w:vAlign w:val="center"/>
            <w:hideMark/>
          </w:tcPr>
          <w:p w14:paraId="4EE04E42" w14:textId="77777777" w:rsidR="00FA4499" w:rsidRPr="00FA4499" w:rsidRDefault="00FA4499" w:rsidP="00FA4499">
            <w:pPr>
              <w:pStyle w:val="Noindent"/>
              <w:jc w:val="center"/>
              <w:rPr>
                <w:sz w:val="18"/>
                <w:szCs w:val="18"/>
              </w:rPr>
            </w:pPr>
            <w:r w:rsidRPr="00FA4499">
              <w:rPr>
                <w:sz w:val="18"/>
                <w:szCs w:val="18"/>
              </w:rPr>
              <w:t>75.68</w:t>
            </w:r>
            <w:r w:rsidRPr="00FA4499">
              <w:rPr>
                <w:rFonts w:ascii="Calibri" w:hAnsi="Calibri"/>
                <w:sz w:val="18"/>
                <w:szCs w:val="18"/>
              </w:rPr>
              <w:t>±0.26</w:t>
            </w:r>
            <w:r w:rsidRPr="00FA4499">
              <w:rPr>
                <w:sz w:val="18"/>
                <w:szCs w:val="18"/>
                <w:vertAlign w:val="superscript"/>
              </w:rPr>
              <w:t>a</w:t>
            </w:r>
          </w:p>
        </w:tc>
        <w:tc>
          <w:tcPr>
            <w:tcW w:w="0" w:type="auto"/>
            <w:tcBorders>
              <w:top w:val="nil"/>
              <w:left w:val="nil"/>
              <w:bottom w:val="nil"/>
              <w:right w:val="nil"/>
            </w:tcBorders>
            <w:shd w:val="clear" w:color="auto" w:fill="auto"/>
            <w:noWrap/>
            <w:vAlign w:val="center"/>
            <w:hideMark/>
          </w:tcPr>
          <w:p w14:paraId="0E2706EF" w14:textId="77777777" w:rsidR="00FA4499" w:rsidRPr="00FA4499" w:rsidRDefault="00FA4499" w:rsidP="00FA4499">
            <w:pPr>
              <w:pStyle w:val="Noindent"/>
              <w:jc w:val="center"/>
              <w:rPr>
                <w:sz w:val="18"/>
                <w:szCs w:val="18"/>
              </w:rPr>
            </w:pPr>
            <w:r w:rsidRPr="00FA4499">
              <w:rPr>
                <w:sz w:val="18"/>
                <w:szCs w:val="18"/>
              </w:rPr>
              <w:t>66.37</w:t>
            </w:r>
            <w:r w:rsidRPr="00FA4499">
              <w:rPr>
                <w:rFonts w:ascii="Calibri" w:hAnsi="Calibri"/>
                <w:sz w:val="18"/>
                <w:szCs w:val="18"/>
              </w:rPr>
              <w:t>±1.93</w:t>
            </w:r>
            <w:r w:rsidRPr="00FA4499">
              <w:rPr>
                <w:sz w:val="18"/>
                <w:szCs w:val="18"/>
                <w:vertAlign w:val="superscript"/>
              </w:rPr>
              <w:t>a</w:t>
            </w:r>
          </w:p>
        </w:tc>
        <w:tc>
          <w:tcPr>
            <w:tcW w:w="0" w:type="auto"/>
            <w:tcBorders>
              <w:top w:val="nil"/>
              <w:left w:val="nil"/>
              <w:bottom w:val="nil"/>
              <w:right w:val="nil"/>
            </w:tcBorders>
            <w:shd w:val="clear" w:color="auto" w:fill="auto"/>
            <w:noWrap/>
            <w:vAlign w:val="center"/>
            <w:hideMark/>
          </w:tcPr>
          <w:p w14:paraId="0A41AC4F" w14:textId="77777777" w:rsidR="00FA4499" w:rsidRPr="00FA4499" w:rsidRDefault="00FA4499" w:rsidP="00FA4499">
            <w:pPr>
              <w:pStyle w:val="Noindent"/>
              <w:jc w:val="center"/>
              <w:rPr>
                <w:sz w:val="18"/>
                <w:szCs w:val="18"/>
              </w:rPr>
            </w:pPr>
            <w:r w:rsidRPr="00FA4499">
              <w:rPr>
                <w:sz w:val="18"/>
                <w:szCs w:val="18"/>
              </w:rPr>
              <w:t>99.36</w:t>
            </w:r>
            <w:r w:rsidRPr="00FA4499">
              <w:rPr>
                <w:rFonts w:ascii="Calibri" w:hAnsi="Calibri"/>
                <w:sz w:val="18"/>
                <w:szCs w:val="18"/>
              </w:rPr>
              <w:t>±6.88</w:t>
            </w:r>
            <w:r w:rsidRPr="00FA4499">
              <w:rPr>
                <w:sz w:val="18"/>
                <w:szCs w:val="18"/>
                <w:vertAlign w:val="superscript"/>
              </w:rPr>
              <w:t>a</w:t>
            </w:r>
          </w:p>
        </w:tc>
      </w:tr>
      <w:tr w:rsidR="00FA4499" w:rsidRPr="00FA4499" w14:paraId="2EE407F2" w14:textId="77777777" w:rsidTr="00FA4499">
        <w:trPr>
          <w:trHeight w:val="367"/>
          <w:jc w:val="center"/>
        </w:trPr>
        <w:tc>
          <w:tcPr>
            <w:tcW w:w="0" w:type="auto"/>
            <w:tcBorders>
              <w:top w:val="nil"/>
              <w:left w:val="nil"/>
              <w:bottom w:val="nil"/>
              <w:right w:val="nil"/>
            </w:tcBorders>
            <w:shd w:val="clear" w:color="auto" w:fill="auto"/>
            <w:noWrap/>
            <w:vAlign w:val="center"/>
            <w:hideMark/>
          </w:tcPr>
          <w:p w14:paraId="767E4D13" w14:textId="77777777" w:rsidR="00FA4499" w:rsidRPr="00FA4499" w:rsidRDefault="00FA4499" w:rsidP="00FA4499">
            <w:pPr>
              <w:pStyle w:val="Noindent"/>
              <w:jc w:val="center"/>
              <w:rPr>
                <w:sz w:val="18"/>
                <w:szCs w:val="18"/>
              </w:rPr>
            </w:pPr>
            <w:r w:rsidRPr="00FA4499">
              <w:rPr>
                <w:sz w:val="18"/>
                <w:szCs w:val="18"/>
              </w:rPr>
              <w:t>300</w:t>
            </w:r>
          </w:p>
        </w:tc>
        <w:tc>
          <w:tcPr>
            <w:tcW w:w="0" w:type="auto"/>
            <w:tcBorders>
              <w:top w:val="nil"/>
              <w:left w:val="nil"/>
              <w:bottom w:val="nil"/>
              <w:right w:val="nil"/>
            </w:tcBorders>
            <w:shd w:val="clear" w:color="auto" w:fill="auto"/>
            <w:noWrap/>
            <w:vAlign w:val="center"/>
            <w:hideMark/>
          </w:tcPr>
          <w:p w14:paraId="665FCEE1" w14:textId="77777777" w:rsidR="00FA4499" w:rsidRPr="00FA4499" w:rsidRDefault="00FA4499" w:rsidP="00FA4499">
            <w:pPr>
              <w:pStyle w:val="Noindent"/>
              <w:jc w:val="center"/>
              <w:rPr>
                <w:sz w:val="18"/>
                <w:szCs w:val="18"/>
              </w:rPr>
            </w:pPr>
            <w:r w:rsidRPr="00FA4499">
              <w:rPr>
                <w:sz w:val="18"/>
                <w:szCs w:val="18"/>
              </w:rPr>
              <w:t>6</w:t>
            </w:r>
          </w:p>
        </w:tc>
        <w:tc>
          <w:tcPr>
            <w:tcW w:w="0" w:type="auto"/>
            <w:tcBorders>
              <w:top w:val="nil"/>
              <w:left w:val="nil"/>
              <w:bottom w:val="nil"/>
              <w:right w:val="nil"/>
            </w:tcBorders>
            <w:shd w:val="clear" w:color="auto" w:fill="auto"/>
            <w:noWrap/>
            <w:vAlign w:val="center"/>
            <w:hideMark/>
          </w:tcPr>
          <w:p w14:paraId="04908D0C" w14:textId="77777777" w:rsidR="00FA4499" w:rsidRPr="00FA4499" w:rsidRDefault="00FA4499" w:rsidP="00FA4499">
            <w:pPr>
              <w:pStyle w:val="Noindent"/>
              <w:jc w:val="center"/>
              <w:rPr>
                <w:sz w:val="18"/>
                <w:szCs w:val="18"/>
              </w:rPr>
            </w:pPr>
            <w:r w:rsidRPr="00FA4499">
              <w:rPr>
                <w:sz w:val="18"/>
                <w:szCs w:val="18"/>
              </w:rPr>
              <w:t>0.3</w:t>
            </w:r>
          </w:p>
        </w:tc>
        <w:tc>
          <w:tcPr>
            <w:tcW w:w="0" w:type="auto"/>
            <w:tcBorders>
              <w:top w:val="nil"/>
              <w:left w:val="nil"/>
              <w:bottom w:val="nil"/>
              <w:right w:val="nil"/>
            </w:tcBorders>
            <w:shd w:val="clear" w:color="auto" w:fill="auto"/>
            <w:noWrap/>
            <w:vAlign w:val="center"/>
            <w:hideMark/>
          </w:tcPr>
          <w:p w14:paraId="387FA9C6" w14:textId="77777777" w:rsidR="00FA4499" w:rsidRPr="00FA4499" w:rsidRDefault="00FA4499" w:rsidP="00FA4499">
            <w:pPr>
              <w:pStyle w:val="Noindent"/>
              <w:jc w:val="center"/>
              <w:rPr>
                <w:sz w:val="18"/>
                <w:szCs w:val="18"/>
              </w:rPr>
            </w:pPr>
            <w:r w:rsidRPr="00FA4499">
              <w:rPr>
                <w:sz w:val="18"/>
                <w:szCs w:val="18"/>
              </w:rPr>
              <w:t>91.59</w:t>
            </w:r>
            <w:r w:rsidRPr="00FA4499">
              <w:rPr>
                <w:rFonts w:ascii="Calibri" w:hAnsi="Calibri"/>
                <w:sz w:val="18"/>
                <w:szCs w:val="18"/>
              </w:rPr>
              <w:t>± 7.55</w:t>
            </w:r>
            <w:r w:rsidRPr="00FA4499">
              <w:rPr>
                <w:sz w:val="18"/>
                <w:szCs w:val="18"/>
                <w:vertAlign w:val="superscript"/>
              </w:rPr>
              <w:t>a</w:t>
            </w:r>
          </w:p>
        </w:tc>
        <w:tc>
          <w:tcPr>
            <w:tcW w:w="0" w:type="auto"/>
            <w:tcBorders>
              <w:top w:val="nil"/>
              <w:left w:val="nil"/>
              <w:bottom w:val="nil"/>
              <w:right w:val="nil"/>
            </w:tcBorders>
            <w:shd w:val="clear" w:color="auto" w:fill="auto"/>
            <w:noWrap/>
            <w:vAlign w:val="center"/>
            <w:hideMark/>
          </w:tcPr>
          <w:p w14:paraId="14A0F569" w14:textId="77777777" w:rsidR="00FA4499" w:rsidRPr="00FA4499" w:rsidRDefault="00FA4499" w:rsidP="00FA4499">
            <w:pPr>
              <w:pStyle w:val="Noindent"/>
              <w:jc w:val="center"/>
              <w:rPr>
                <w:sz w:val="18"/>
                <w:szCs w:val="18"/>
              </w:rPr>
            </w:pPr>
            <w:r w:rsidRPr="00FA4499">
              <w:rPr>
                <w:sz w:val="18"/>
                <w:szCs w:val="18"/>
              </w:rPr>
              <w:t>82.41</w:t>
            </w:r>
            <w:r w:rsidRPr="00FA4499">
              <w:rPr>
                <w:rFonts w:ascii="Calibri" w:hAnsi="Calibri"/>
                <w:sz w:val="18"/>
                <w:szCs w:val="18"/>
              </w:rPr>
              <w:t>±3.26</w:t>
            </w:r>
            <w:r w:rsidRPr="00FA4499">
              <w:rPr>
                <w:sz w:val="18"/>
                <w:szCs w:val="18"/>
                <w:vertAlign w:val="superscript"/>
              </w:rPr>
              <w:t>ab</w:t>
            </w:r>
          </w:p>
        </w:tc>
        <w:tc>
          <w:tcPr>
            <w:tcW w:w="0" w:type="auto"/>
            <w:tcBorders>
              <w:top w:val="nil"/>
              <w:left w:val="nil"/>
              <w:bottom w:val="nil"/>
              <w:right w:val="nil"/>
            </w:tcBorders>
            <w:shd w:val="clear" w:color="auto" w:fill="auto"/>
            <w:noWrap/>
            <w:vAlign w:val="center"/>
            <w:hideMark/>
          </w:tcPr>
          <w:p w14:paraId="7DF386DF" w14:textId="77777777" w:rsidR="00FA4499" w:rsidRPr="00FA4499" w:rsidRDefault="00FA4499" w:rsidP="00FA4499">
            <w:pPr>
              <w:pStyle w:val="Noindent"/>
              <w:jc w:val="center"/>
              <w:rPr>
                <w:sz w:val="18"/>
                <w:szCs w:val="18"/>
              </w:rPr>
            </w:pPr>
            <w:r w:rsidRPr="00FA4499">
              <w:rPr>
                <w:sz w:val="18"/>
                <w:szCs w:val="18"/>
              </w:rPr>
              <w:t>86.98</w:t>
            </w:r>
            <w:r w:rsidRPr="00FA4499">
              <w:rPr>
                <w:rFonts w:ascii="Calibri" w:hAnsi="Calibri"/>
                <w:sz w:val="18"/>
                <w:szCs w:val="18"/>
              </w:rPr>
              <w:t>±4.09</w:t>
            </w:r>
            <w:r w:rsidRPr="00FA4499">
              <w:rPr>
                <w:sz w:val="18"/>
                <w:szCs w:val="18"/>
                <w:vertAlign w:val="superscript"/>
              </w:rPr>
              <w:t>a</w:t>
            </w:r>
          </w:p>
        </w:tc>
        <w:tc>
          <w:tcPr>
            <w:tcW w:w="0" w:type="auto"/>
            <w:tcBorders>
              <w:top w:val="nil"/>
              <w:left w:val="nil"/>
              <w:bottom w:val="nil"/>
              <w:right w:val="nil"/>
            </w:tcBorders>
            <w:shd w:val="clear" w:color="auto" w:fill="auto"/>
            <w:noWrap/>
            <w:vAlign w:val="center"/>
            <w:hideMark/>
          </w:tcPr>
          <w:p w14:paraId="028A0F07" w14:textId="77777777" w:rsidR="00FA4499" w:rsidRPr="00FA4499" w:rsidRDefault="00FA4499" w:rsidP="00FA4499">
            <w:pPr>
              <w:pStyle w:val="Noindent"/>
              <w:jc w:val="center"/>
              <w:rPr>
                <w:sz w:val="18"/>
                <w:szCs w:val="18"/>
              </w:rPr>
            </w:pPr>
            <w:r w:rsidRPr="00FA4499">
              <w:rPr>
                <w:sz w:val="18"/>
                <w:szCs w:val="18"/>
              </w:rPr>
              <w:t>70.44</w:t>
            </w:r>
            <w:r w:rsidRPr="00FA4499">
              <w:rPr>
                <w:rFonts w:ascii="Calibri" w:hAnsi="Calibri"/>
                <w:sz w:val="18"/>
                <w:szCs w:val="18"/>
              </w:rPr>
              <w:t>±4.30</w:t>
            </w:r>
            <w:r w:rsidRPr="00FA4499">
              <w:rPr>
                <w:sz w:val="18"/>
                <w:szCs w:val="18"/>
                <w:vertAlign w:val="superscript"/>
              </w:rPr>
              <w:t>a</w:t>
            </w:r>
          </w:p>
        </w:tc>
        <w:tc>
          <w:tcPr>
            <w:tcW w:w="0" w:type="auto"/>
            <w:tcBorders>
              <w:top w:val="nil"/>
              <w:left w:val="nil"/>
              <w:bottom w:val="nil"/>
              <w:right w:val="nil"/>
            </w:tcBorders>
            <w:shd w:val="clear" w:color="auto" w:fill="auto"/>
            <w:noWrap/>
            <w:vAlign w:val="center"/>
            <w:hideMark/>
          </w:tcPr>
          <w:p w14:paraId="056F3652" w14:textId="77777777" w:rsidR="00FA4499" w:rsidRPr="00FA4499" w:rsidRDefault="00FA4499" w:rsidP="00FA4499">
            <w:pPr>
              <w:pStyle w:val="Noindent"/>
              <w:jc w:val="center"/>
              <w:rPr>
                <w:sz w:val="18"/>
                <w:szCs w:val="18"/>
              </w:rPr>
            </w:pPr>
            <w:r w:rsidRPr="00FA4499">
              <w:rPr>
                <w:sz w:val="18"/>
                <w:szCs w:val="18"/>
              </w:rPr>
              <w:t>79.22</w:t>
            </w:r>
            <w:r w:rsidRPr="00FA4499">
              <w:rPr>
                <w:rFonts w:ascii="Calibri" w:hAnsi="Calibri"/>
                <w:sz w:val="18"/>
                <w:szCs w:val="18"/>
              </w:rPr>
              <w:t>±1.08</w:t>
            </w:r>
            <w:r w:rsidRPr="00FA4499">
              <w:rPr>
                <w:sz w:val="18"/>
                <w:szCs w:val="18"/>
                <w:vertAlign w:val="superscript"/>
              </w:rPr>
              <w:t>ab</w:t>
            </w:r>
          </w:p>
        </w:tc>
        <w:tc>
          <w:tcPr>
            <w:tcW w:w="0" w:type="auto"/>
            <w:tcBorders>
              <w:top w:val="nil"/>
              <w:left w:val="nil"/>
              <w:bottom w:val="nil"/>
              <w:right w:val="nil"/>
            </w:tcBorders>
            <w:shd w:val="clear" w:color="auto" w:fill="auto"/>
            <w:noWrap/>
            <w:vAlign w:val="center"/>
            <w:hideMark/>
          </w:tcPr>
          <w:p w14:paraId="168392CE" w14:textId="77777777" w:rsidR="00FA4499" w:rsidRPr="00FA4499" w:rsidRDefault="00FA4499" w:rsidP="00FA4499">
            <w:pPr>
              <w:pStyle w:val="Noindent"/>
              <w:jc w:val="center"/>
              <w:rPr>
                <w:sz w:val="18"/>
                <w:szCs w:val="18"/>
              </w:rPr>
            </w:pPr>
            <w:r w:rsidRPr="00FA4499">
              <w:rPr>
                <w:sz w:val="18"/>
                <w:szCs w:val="18"/>
              </w:rPr>
              <w:t>71.42</w:t>
            </w:r>
            <w:r w:rsidRPr="00FA4499">
              <w:rPr>
                <w:rFonts w:ascii="Calibri" w:hAnsi="Calibri"/>
                <w:sz w:val="18"/>
                <w:szCs w:val="18"/>
              </w:rPr>
              <w:t>±2.34</w:t>
            </w:r>
            <w:r w:rsidRPr="00FA4499">
              <w:rPr>
                <w:sz w:val="18"/>
                <w:szCs w:val="18"/>
                <w:vertAlign w:val="superscript"/>
              </w:rPr>
              <w:t>a</w:t>
            </w:r>
          </w:p>
        </w:tc>
        <w:tc>
          <w:tcPr>
            <w:tcW w:w="0" w:type="auto"/>
            <w:tcBorders>
              <w:top w:val="nil"/>
              <w:left w:val="nil"/>
              <w:bottom w:val="nil"/>
              <w:right w:val="nil"/>
            </w:tcBorders>
            <w:shd w:val="clear" w:color="auto" w:fill="auto"/>
            <w:noWrap/>
            <w:vAlign w:val="center"/>
            <w:hideMark/>
          </w:tcPr>
          <w:p w14:paraId="50A396FB" w14:textId="77777777" w:rsidR="00FA4499" w:rsidRPr="00FA4499" w:rsidRDefault="00FA4499" w:rsidP="00FA4499">
            <w:pPr>
              <w:pStyle w:val="Noindent"/>
              <w:jc w:val="center"/>
              <w:rPr>
                <w:sz w:val="18"/>
                <w:szCs w:val="18"/>
              </w:rPr>
            </w:pPr>
            <w:r w:rsidRPr="00FA4499">
              <w:rPr>
                <w:sz w:val="18"/>
                <w:szCs w:val="18"/>
              </w:rPr>
              <w:t>86.09</w:t>
            </w:r>
            <w:r w:rsidRPr="00FA4499">
              <w:rPr>
                <w:rFonts w:ascii="Calibri" w:hAnsi="Calibri"/>
                <w:sz w:val="18"/>
                <w:szCs w:val="18"/>
              </w:rPr>
              <w:t>±10.53</w:t>
            </w:r>
            <w:r w:rsidRPr="00FA4499">
              <w:rPr>
                <w:sz w:val="18"/>
                <w:szCs w:val="18"/>
                <w:vertAlign w:val="superscript"/>
              </w:rPr>
              <w:t>a</w:t>
            </w:r>
          </w:p>
        </w:tc>
      </w:tr>
      <w:tr w:rsidR="00FA4499" w:rsidRPr="00FA4499" w14:paraId="11C55D20" w14:textId="77777777" w:rsidTr="00FA4499">
        <w:trPr>
          <w:trHeight w:val="367"/>
          <w:jc w:val="center"/>
        </w:trPr>
        <w:tc>
          <w:tcPr>
            <w:tcW w:w="0" w:type="auto"/>
            <w:tcBorders>
              <w:top w:val="nil"/>
              <w:left w:val="nil"/>
              <w:bottom w:val="nil"/>
              <w:right w:val="nil"/>
            </w:tcBorders>
            <w:shd w:val="clear" w:color="auto" w:fill="auto"/>
            <w:noWrap/>
            <w:vAlign w:val="center"/>
            <w:hideMark/>
          </w:tcPr>
          <w:p w14:paraId="7D118828" w14:textId="77777777" w:rsidR="00FA4499" w:rsidRPr="00FA4499" w:rsidRDefault="00FA4499" w:rsidP="00FA4499">
            <w:pPr>
              <w:pStyle w:val="Noindent"/>
              <w:jc w:val="center"/>
              <w:rPr>
                <w:sz w:val="18"/>
                <w:szCs w:val="18"/>
              </w:rPr>
            </w:pPr>
            <w:r w:rsidRPr="00FA4499">
              <w:rPr>
                <w:sz w:val="18"/>
                <w:szCs w:val="18"/>
              </w:rPr>
              <w:t>500</w:t>
            </w:r>
          </w:p>
        </w:tc>
        <w:tc>
          <w:tcPr>
            <w:tcW w:w="0" w:type="auto"/>
            <w:tcBorders>
              <w:top w:val="nil"/>
              <w:left w:val="nil"/>
              <w:bottom w:val="nil"/>
              <w:right w:val="nil"/>
            </w:tcBorders>
            <w:shd w:val="clear" w:color="auto" w:fill="auto"/>
            <w:noWrap/>
            <w:vAlign w:val="center"/>
            <w:hideMark/>
          </w:tcPr>
          <w:p w14:paraId="24A15E0B" w14:textId="77777777" w:rsidR="00FA4499" w:rsidRPr="00FA4499" w:rsidRDefault="00FA4499" w:rsidP="00FA4499">
            <w:pPr>
              <w:pStyle w:val="Noindent"/>
              <w:jc w:val="center"/>
              <w:rPr>
                <w:sz w:val="18"/>
                <w:szCs w:val="18"/>
              </w:rPr>
            </w:pPr>
            <w:r w:rsidRPr="00FA4499">
              <w:rPr>
                <w:sz w:val="18"/>
                <w:szCs w:val="18"/>
              </w:rPr>
              <w:t>10</w:t>
            </w:r>
          </w:p>
        </w:tc>
        <w:tc>
          <w:tcPr>
            <w:tcW w:w="0" w:type="auto"/>
            <w:tcBorders>
              <w:top w:val="nil"/>
              <w:left w:val="nil"/>
              <w:bottom w:val="nil"/>
              <w:right w:val="nil"/>
            </w:tcBorders>
            <w:shd w:val="clear" w:color="auto" w:fill="auto"/>
            <w:noWrap/>
            <w:vAlign w:val="center"/>
            <w:hideMark/>
          </w:tcPr>
          <w:p w14:paraId="5DA19B0B" w14:textId="77777777" w:rsidR="00FA4499" w:rsidRPr="00FA4499" w:rsidRDefault="00FA4499" w:rsidP="00FA4499">
            <w:pPr>
              <w:pStyle w:val="Noindent"/>
              <w:jc w:val="center"/>
              <w:rPr>
                <w:sz w:val="18"/>
                <w:szCs w:val="18"/>
              </w:rPr>
            </w:pPr>
            <w:r w:rsidRPr="00FA4499">
              <w:rPr>
                <w:sz w:val="18"/>
                <w:szCs w:val="18"/>
              </w:rPr>
              <w:t>0.5</w:t>
            </w:r>
          </w:p>
        </w:tc>
        <w:tc>
          <w:tcPr>
            <w:tcW w:w="0" w:type="auto"/>
            <w:tcBorders>
              <w:top w:val="nil"/>
              <w:left w:val="nil"/>
              <w:bottom w:val="nil"/>
              <w:right w:val="nil"/>
            </w:tcBorders>
            <w:shd w:val="clear" w:color="auto" w:fill="auto"/>
            <w:noWrap/>
            <w:vAlign w:val="center"/>
            <w:hideMark/>
          </w:tcPr>
          <w:p w14:paraId="1BC5E70A" w14:textId="77777777" w:rsidR="00FA4499" w:rsidRPr="00FA4499" w:rsidRDefault="00FA4499" w:rsidP="00FA4499">
            <w:pPr>
              <w:pStyle w:val="Noindent"/>
              <w:jc w:val="center"/>
              <w:rPr>
                <w:sz w:val="18"/>
                <w:szCs w:val="18"/>
              </w:rPr>
            </w:pPr>
            <w:r w:rsidRPr="00FA4499">
              <w:rPr>
                <w:sz w:val="18"/>
                <w:szCs w:val="18"/>
              </w:rPr>
              <w:t>99.13</w:t>
            </w:r>
            <w:r w:rsidRPr="00FA4499">
              <w:rPr>
                <w:rFonts w:ascii="Calibri" w:hAnsi="Calibri"/>
                <w:sz w:val="18"/>
                <w:szCs w:val="18"/>
              </w:rPr>
              <w:t>±8.72</w:t>
            </w:r>
            <w:r w:rsidRPr="00FA4499">
              <w:rPr>
                <w:sz w:val="18"/>
                <w:szCs w:val="18"/>
                <w:vertAlign w:val="superscript"/>
              </w:rPr>
              <w:t>a</w:t>
            </w:r>
          </w:p>
        </w:tc>
        <w:tc>
          <w:tcPr>
            <w:tcW w:w="0" w:type="auto"/>
            <w:tcBorders>
              <w:top w:val="nil"/>
              <w:left w:val="nil"/>
              <w:bottom w:val="nil"/>
              <w:right w:val="nil"/>
            </w:tcBorders>
            <w:shd w:val="clear" w:color="auto" w:fill="auto"/>
            <w:noWrap/>
            <w:vAlign w:val="center"/>
            <w:hideMark/>
          </w:tcPr>
          <w:p w14:paraId="123D2FA5" w14:textId="77777777" w:rsidR="00FA4499" w:rsidRPr="00FA4499" w:rsidRDefault="00FA4499" w:rsidP="00FA4499">
            <w:pPr>
              <w:pStyle w:val="Noindent"/>
              <w:jc w:val="center"/>
              <w:rPr>
                <w:sz w:val="18"/>
                <w:szCs w:val="18"/>
              </w:rPr>
            </w:pPr>
            <w:r w:rsidRPr="00FA4499">
              <w:rPr>
                <w:sz w:val="18"/>
                <w:szCs w:val="18"/>
              </w:rPr>
              <w:t>80.93</w:t>
            </w:r>
            <w:r w:rsidRPr="00FA4499">
              <w:rPr>
                <w:rFonts w:ascii="Calibri" w:hAnsi="Calibri"/>
                <w:sz w:val="18"/>
                <w:szCs w:val="18"/>
              </w:rPr>
              <w:t>±2.69</w:t>
            </w:r>
            <w:r w:rsidRPr="00FA4499">
              <w:rPr>
                <w:sz w:val="18"/>
                <w:szCs w:val="18"/>
                <w:vertAlign w:val="superscript"/>
              </w:rPr>
              <w:t>ab</w:t>
            </w:r>
          </w:p>
        </w:tc>
        <w:tc>
          <w:tcPr>
            <w:tcW w:w="0" w:type="auto"/>
            <w:tcBorders>
              <w:top w:val="nil"/>
              <w:left w:val="nil"/>
              <w:bottom w:val="nil"/>
              <w:right w:val="nil"/>
            </w:tcBorders>
            <w:shd w:val="clear" w:color="auto" w:fill="auto"/>
            <w:noWrap/>
            <w:vAlign w:val="center"/>
            <w:hideMark/>
          </w:tcPr>
          <w:p w14:paraId="50598B95" w14:textId="77777777" w:rsidR="00FA4499" w:rsidRPr="00FA4499" w:rsidRDefault="00FA4499" w:rsidP="00FA4499">
            <w:pPr>
              <w:pStyle w:val="Noindent"/>
              <w:jc w:val="center"/>
              <w:rPr>
                <w:sz w:val="18"/>
                <w:szCs w:val="18"/>
              </w:rPr>
            </w:pPr>
            <w:r w:rsidRPr="00FA4499">
              <w:rPr>
                <w:sz w:val="18"/>
                <w:szCs w:val="18"/>
              </w:rPr>
              <w:t>86.69</w:t>
            </w:r>
            <w:r w:rsidRPr="00FA4499">
              <w:rPr>
                <w:rFonts w:ascii="Calibri" w:hAnsi="Calibri"/>
                <w:sz w:val="18"/>
                <w:szCs w:val="18"/>
              </w:rPr>
              <w:t>±0.93</w:t>
            </w:r>
            <w:r w:rsidRPr="00FA4499">
              <w:rPr>
                <w:sz w:val="18"/>
                <w:szCs w:val="18"/>
                <w:vertAlign w:val="superscript"/>
              </w:rPr>
              <w:t>a</w:t>
            </w:r>
          </w:p>
        </w:tc>
        <w:tc>
          <w:tcPr>
            <w:tcW w:w="0" w:type="auto"/>
            <w:tcBorders>
              <w:top w:val="nil"/>
              <w:left w:val="nil"/>
              <w:bottom w:val="nil"/>
              <w:right w:val="nil"/>
            </w:tcBorders>
            <w:shd w:val="clear" w:color="auto" w:fill="auto"/>
            <w:noWrap/>
            <w:vAlign w:val="center"/>
            <w:hideMark/>
          </w:tcPr>
          <w:p w14:paraId="164CA747" w14:textId="77777777" w:rsidR="00FA4499" w:rsidRPr="00FA4499" w:rsidRDefault="00FA4499" w:rsidP="00FA4499">
            <w:pPr>
              <w:pStyle w:val="Noindent"/>
              <w:jc w:val="center"/>
              <w:rPr>
                <w:sz w:val="18"/>
                <w:szCs w:val="18"/>
              </w:rPr>
            </w:pPr>
            <w:r w:rsidRPr="00FA4499">
              <w:rPr>
                <w:sz w:val="18"/>
                <w:szCs w:val="18"/>
              </w:rPr>
              <w:t>65.91</w:t>
            </w:r>
            <w:r w:rsidRPr="00FA4499">
              <w:rPr>
                <w:rFonts w:ascii="Calibri" w:hAnsi="Calibri"/>
                <w:sz w:val="18"/>
                <w:szCs w:val="18"/>
              </w:rPr>
              <w:t>±7.57</w:t>
            </w:r>
            <w:r w:rsidRPr="00FA4499">
              <w:rPr>
                <w:sz w:val="18"/>
                <w:szCs w:val="18"/>
                <w:vertAlign w:val="superscript"/>
              </w:rPr>
              <w:t>a</w:t>
            </w:r>
          </w:p>
        </w:tc>
        <w:tc>
          <w:tcPr>
            <w:tcW w:w="0" w:type="auto"/>
            <w:tcBorders>
              <w:top w:val="nil"/>
              <w:left w:val="nil"/>
              <w:bottom w:val="nil"/>
              <w:right w:val="nil"/>
            </w:tcBorders>
            <w:shd w:val="clear" w:color="auto" w:fill="auto"/>
            <w:noWrap/>
            <w:vAlign w:val="center"/>
            <w:hideMark/>
          </w:tcPr>
          <w:p w14:paraId="15BA0199" w14:textId="77777777" w:rsidR="00FA4499" w:rsidRPr="00FA4499" w:rsidRDefault="00FA4499" w:rsidP="00FA4499">
            <w:pPr>
              <w:pStyle w:val="Noindent"/>
              <w:jc w:val="center"/>
              <w:rPr>
                <w:sz w:val="18"/>
                <w:szCs w:val="18"/>
              </w:rPr>
            </w:pPr>
            <w:r w:rsidRPr="00FA4499">
              <w:rPr>
                <w:sz w:val="18"/>
                <w:szCs w:val="18"/>
              </w:rPr>
              <w:t>77.60</w:t>
            </w:r>
            <w:r w:rsidRPr="00FA4499">
              <w:rPr>
                <w:rFonts w:ascii="Calibri" w:hAnsi="Calibri"/>
                <w:sz w:val="18"/>
                <w:szCs w:val="18"/>
              </w:rPr>
              <w:t>±2.22</w:t>
            </w:r>
            <w:r w:rsidRPr="00FA4499">
              <w:rPr>
                <w:sz w:val="18"/>
                <w:szCs w:val="18"/>
                <w:vertAlign w:val="superscript"/>
              </w:rPr>
              <w:t>a</w:t>
            </w:r>
          </w:p>
        </w:tc>
        <w:tc>
          <w:tcPr>
            <w:tcW w:w="0" w:type="auto"/>
            <w:tcBorders>
              <w:top w:val="nil"/>
              <w:left w:val="nil"/>
              <w:bottom w:val="nil"/>
              <w:right w:val="nil"/>
            </w:tcBorders>
            <w:shd w:val="clear" w:color="auto" w:fill="auto"/>
            <w:noWrap/>
            <w:vAlign w:val="center"/>
            <w:hideMark/>
          </w:tcPr>
          <w:p w14:paraId="1BDC03E8" w14:textId="77777777" w:rsidR="00FA4499" w:rsidRPr="00FA4499" w:rsidRDefault="00FA4499" w:rsidP="00FA4499">
            <w:pPr>
              <w:pStyle w:val="Noindent"/>
              <w:jc w:val="center"/>
              <w:rPr>
                <w:sz w:val="18"/>
                <w:szCs w:val="18"/>
              </w:rPr>
            </w:pPr>
            <w:r w:rsidRPr="00FA4499">
              <w:rPr>
                <w:sz w:val="18"/>
                <w:szCs w:val="18"/>
              </w:rPr>
              <w:t>71.56</w:t>
            </w:r>
            <w:r w:rsidRPr="00FA4499">
              <w:rPr>
                <w:rFonts w:ascii="Calibri" w:hAnsi="Calibri"/>
                <w:sz w:val="18"/>
                <w:szCs w:val="18"/>
              </w:rPr>
              <w:t>±2.46</w:t>
            </w:r>
            <w:r w:rsidRPr="00FA4499">
              <w:rPr>
                <w:sz w:val="18"/>
                <w:szCs w:val="18"/>
                <w:vertAlign w:val="superscript"/>
              </w:rPr>
              <w:t>a</w:t>
            </w:r>
          </w:p>
        </w:tc>
        <w:tc>
          <w:tcPr>
            <w:tcW w:w="0" w:type="auto"/>
            <w:tcBorders>
              <w:top w:val="nil"/>
              <w:left w:val="nil"/>
              <w:bottom w:val="nil"/>
              <w:right w:val="nil"/>
            </w:tcBorders>
            <w:shd w:val="clear" w:color="auto" w:fill="auto"/>
            <w:noWrap/>
            <w:vAlign w:val="center"/>
            <w:hideMark/>
          </w:tcPr>
          <w:p w14:paraId="628E8D08" w14:textId="77777777" w:rsidR="00FA4499" w:rsidRPr="00FA4499" w:rsidRDefault="00FA4499" w:rsidP="00FA4499">
            <w:pPr>
              <w:pStyle w:val="Noindent"/>
              <w:jc w:val="center"/>
              <w:rPr>
                <w:sz w:val="18"/>
                <w:szCs w:val="18"/>
              </w:rPr>
            </w:pPr>
            <w:r w:rsidRPr="00FA4499">
              <w:rPr>
                <w:sz w:val="18"/>
                <w:szCs w:val="18"/>
              </w:rPr>
              <w:t>79.02</w:t>
            </w:r>
            <w:r w:rsidRPr="00FA4499">
              <w:rPr>
                <w:rFonts w:ascii="Calibri" w:hAnsi="Calibri"/>
                <w:sz w:val="18"/>
                <w:szCs w:val="18"/>
              </w:rPr>
              <w:t>±6.17</w:t>
            </w:r>
            <w:r w:rsidRPr="00FA4499">
              <w:rPr>
                <w:sz w:val="18"/>
                <w:szCs w:val="18"/>
                <w:vertAlign w:val="superscript"/>
              </w:rPr>
              <w:t>a</w:t>
            </w:r>
          </w:p>
        </w:tc>
      </w:tr>
      <w:tr w:rsidR="00FA4499" w:rsidRPr="00FA4499" w14:paraId="27A63FF2" w14:textId="77777777" w:rsidTr="00FA4499">
        <w:trPr>
          <w:trHeight w:val="367"/>
          <w:jc w:val="center"/>
        </w:trPr>
        <w:tc>
          <w:tcPr>
            <w:tcW w:w="0" w:type="auto"/>
            <w:tcBorders>
              <w:top w:val="nil"/>
              <w:left w:val="nil"/>
              <w:bottom w:val="nil"/>
              <w:right w:val="nil"/>
            </w:tcBorders>
            <w:shd w:val="clear" w:color="auto" w:fill="auto"/>
            <w:noWrap/>
            <w:vAlign w:val="center"/>
            <w:hideMark/>
          </w:tcPr>
          <w:p w14:paraId="5B9259B5" w14:textId="77777777" w:rsidR="00FA4499" w:rsidRPr="00FA4499" w:rsidRDefault="00FA4499" w:rsidP="00FA4499">
            <w:pPr>
              <w:pStyle w:val="Noindent"/>
              <w:jc w:val="center"/>
              <w:rPr>
                <w:sz w:val="18"/>
                <w:szCs w:val="18"/>
              </w:rPr>
            </w:pPr>
            <w:r w:rsidRPr="00FA4499">
              <w:rPr>
                <w:sz w:val="18"/>
                <w:szCs w:val="18"/>
              </w:rPr>
              <w:t>5000</w:t>
            </w:r>
          </w:p>
        </w:tc>
        <w:tc>
          <w:tcPr>
            <w:tcW w:w="0" w:type="auto"/>
            <w:tcBorders>
              <w:top w:val="nil"/>
              <w:left w:val="nil"/>
              <w:bottom w:val="nil"/>
              <w:right w:val="nil"/>
            </w:tcBorders>
            <w:shd w:val="clear" w:color="auto" w:fill="auto"/>
            <w:noWrap/>
            <w:vAlign w:val="center"/>
            <w:hideMark/>
          </w:tcPr>
          <w:p w14:paraId="188860BA" w14:textId="77777777" w:rsidR="00FA4499" w:rsidRPr="00FA4499" w:rsidRDefault="00FA4499" w:rsidP="00FA4499">
            <w:pPr>
              <w:pStyle w:val="Noindent"/>
              <w:jc w:val="center"/>
              <w:rPr>
                <w:sz w:val="18"/>
                <w:szCs w:val="18"/>
              </w:rPr>
            </w:pPr>
            <w:r w:rsidRPr="00FA4499">
              <w:rPr>
                <w:sz w:val="18"/>
                <w:szCs w:val="18"/>
              </w:rPr>
              <w:t>100</w:t>
            </w:r>
          </w:p>
        </w:tc>
        <w:tc>
          <w:tcPr>
            <w:tcW w:w="0" w:type="auto"/>
            <w:tcBorders>
              <w:top w:val="nil"/>
              <w:left w:val="nil"/>
              <w:bottom w:val="nil"/>
              <w:right w:val="nil"/>
            </w:tcBorders>
            <w:shd w:val="clear" w:color="auto" w:fill="auto"/>
            <w:noWrap/>
            <w:vAlign w:val="center"/>
            <w:hideMark/>
          </w:tcPr>
          <w:p w14:paraId="42F38F98" w14:textId="77777777" w:rsidR="00FA4499" w:rsidRPr="00FA4499" w:rsidRDefault="00FA4499" w:rsidP="00FA4499">
            <w:pPr>
              <w:pStyle w:val="Noindent"/>
              <w:jc w:val="center"/>
              <w:rPr>
                <w:sz w:val="18"/>
                <w:szCs w:val="18"/>
              </w:rPr>
            </w:pPr>
            <w:r w:rsidRPr="00FA4499">
              <w:rPr>
                <w:sz w:val="18"/>
                <w:szCs w:val="18"/>
              </w:rPr>
              <w:t>5</w:t>
            </w:r>
          </w:p>
        </w:tc>
        <w:tc>
          <w:tcPr>
            <w:tcW w:w="0" w:type="auto"/>
            <w:tcBorders>
              <w:top w:val="nil"/>
              <w:left w:val="nil"/>
              <w:bottom w:val="nil"/>
              <w:right w:val="nil"/>
            </w:tcBorders>
            <w:shd w:val="clear" w:color="auto" w:fill="auto"/>
            <w:noWrap/>
            <w:vAlign w:val="center"/>
            <w:hideMark/>
          </w:tcPr>
          <w:p w14:paraId="14D893C3" w14:textId="77777777" w:rsidR="00FA4499" w:rsidRPr="00FA4499" w:rsidRDefault="00FA4499" w:rsidP="00FA4499">
            <w:pPr>
              <w:pStyle w:val="Noindent"/>
              <w:jc w:val="center"/>
              <w:rPr>
                <w:sz w:val="18"/>
                <w:szCs w:val="18"/>
              </w:rPr>
            </w:pPr>
            <w:r w:rsidRPr="00FA4499">
              <w:rPr>
                <w:sz w:val="18"/>
                <w:szCs w:val="18"/>
              </w:rPr>
              <w:t>96.64</w:t>
            </w:r>
            <w:r w:rsidRPr="00FA4499">
              <w:rPr>
                <w:rFonts w:ascii="Calibri" w:hAnsi="Calibri"/>
                <w:sz w:val="18"/>
                <w:szCs w:val="18"/>
              </w:rPr>
              <w:t>±27.41</w:t>
            </w:r>
            <w:r w:rsidRPr="00FA4499">
              <w:rPr>
                <w:sz w:val="18"/>
                <w:szCs w:val="18"/>
                <w:vertAlign w:val="superscript"/>
              </w:rPr>
              <w:t>a</w:t>
            </w:r>
          </w:p>
        </w:tc>
        <w:tc>
          <w:tcPr>
            <w:tcW w:w="0" w:type="auto"/>
            <w:tcBorders>
              <w:top w:val="nil"/>
              <w:left w:val="nil"/>
              <w:bottom w:val="nil"/>
              <w:right w:val="nil"/>
            </w:tcBorders>
            <w:shd w:val="clear" w:color="auto" w:fill="auto"/>
            <w:noWrap/>
            <w:vAlign w:val="center"/>
            <w:hideMark/>
          </w:tcPr>
          <w:p w14:paraId="53A955A3" w14:textId="77777777" w:rsidR="00FA4499" w:rsidRPr="00FA4499" w:rsidRDefault="00FA4499" w:rsidP="00FA4499">
            <w:pPr>
              <w:pStyle w:val="Noindent"/>
              <w:jc w:val="center"/>
              <w:rPr>
                <w:sz w:val="18"/>
                <w:szCs w:val="18"/>
              </w:rPr>
            </w:pPr>
            <w:r w:rsidRPr="00FA4499">
              <w:rPr>
                <w:sz w:val="18"/>
                <w:szCs w:val="18"/>
              </w:rPr>
              <w:t>91.66</w:t>
            </w:r>
            <w:r w:rsidRPr="00FA4499">
              <w:rPr>
                <w:rFonts w:ascii="Calibri" w:hAnsi="Calibri"/>
                <w:sz w:val="18"/>
                <w:szCs w:val="18"/>
              </w:rPr>
              <w:t>±5.88</w:t>
            </w:r>
            <w:r w:rsidRPr="00FA4499">
              <w:rPr>
                <w:sz w:val="18"/>
                <w:szCs w:val="18"/>
                <w:vertAlign w:val="superscript"/>
              </w:rPr>
              <w:t>b</w:t>
            </w:r>
          </w:p>
        </w:tc>
        <w:tc>
          <w:tcPr>
            <w:tcW w:w="0" w:type="auto"/>
            <w:tcBorders>
              <w:top w:val="nil"/>
              <w:left w:val="nil"/>
              <w:bottom w:val="nil"/>
              <w:right w:val="nil"/>
            </w:tcBorders>
            <w:shd w:val="clear" w:color="auto" w:fill="auto"/>
            <w:noWrap/>
            <w:vAlign w:val="center"/>
            <w:hideMark/>
          </w:tcPr>
          <w:p w14:paraId="22473817" w14:textId="77777777" w:rsidR="00FA4499" w:rsidRPr="00FA4499" w:rsidRDefault="00FA4499" w:rsidP="00FA4499">
            <w:pPr>
              <w:pStyle w:val="Noindent"/>
              <w:jc w:val="center"/>
              <w:rPr>
                <w:sz w:val="18"/>
                <w:szCs w:val="18"/>
              </w:rPr>
            </w:pPr>
            <w:r w:rsidRPr="00FA4499">
              <w:rPr>
                <w:sz w:val="18"/>
                <w:szCs w:val="18"/>
              </w:rPr>
              <w:t>93.22</w:t>
            </w:r>
            <w:r w:rsidRPr="00FA4499">
              <w:rPr>
                <w:rFonts w:ascii="Calibri" w:hAnsi="Calibri"/>
                <w:sz w:val="18"/>
                <w:szCs w:val="18"/>
              </w:rPr>
              <w:t>±3.82</w:t>
            </w:r>
            <w:r w:rsidRPr="00FA4499">
              <w:rPr>
                <w:sz w:val="18"/>
                <w:szCs w:val="18"/>
                <w:vertAlign w:val="superscript"/>
              </w:rPr>
              <w:t>a</w:t>
            </w:r>
          </w:p>
        </w:tc>
        <w:tc>
          <w:tcPr>
            <w:tcW w:w="0" w:type="auto"/>
            <w:tcBorders>
              <w:top w:val="nil"/>
              <w:left w:val="nil"/>
              <w:bottom w:val="nil"/>
              <w:right w:val="nil"/>
            </w:tcBorders>
            <w:shd w:val="clear" w:color="auto" w:fill="auto"/>
            <w:noWrap/>
            <w:vAlign w:val="center"/>
            <w:hideMark/>
          </w:tcPr>
          <w:p w14:paraId="213F9716" w14:textId="77777777" w:rsidR="00FA4499" w:rsidRPr="00FA4499" w:rsidRDefault="00FA4499" w:rsidP="00FA4499">
            <w:pPr>
              <w:pStyle w:val="Noindent"/>
              <w:jc w:val="center"/>
              <w:rPr>
                <w:sz w:val="18"/>
                <w:szCs w:val="18"/>
              </w:rPr>
            </w:pPr>
            <w:r w:rsidRPr="00FA4499">
              <w:rPr>
                <w:sz w:val="18"/>
                <w:szCs w:val="18"/>
              </w:rPr>
              <w:t>72.18</w:t>
            </w:r>
            <w:r w:rsidRPr="00FA4499">
              <w:rPr>
                <w:rFonts w:ascii="Calibri" w:hAnsi="Calibri"/>
                <w:sz w:val="18"/>
                <w:szCs w:val="18"/>
              </w:rPr>
              <w:t>±4.92</w:t>
            </w:r>
            <w:r w:rsidRPr="00FA4499">
              <w:rPr>
                <w:sz w:val="18"/>
                <w:szCs w:val="18"/>
                <w:vertAlign w:val="superscript"/>
              </w:rPr>
              <w:t>a</w:t>
            </w:r>
          </w:p>
        </w:tc>
        <w:tc>
          <w:tcPr>
            <w:tcW w:w="0" w:type="auto"/>
            <w:tcBorders>
              <w:top w:val="nil"/>
              <w:left w:val="nil"/>
              <w:bottom w:val="nil"/>
              <w:right w:val="nil"/>
            </w:tcBorders>
            <w:shd w:val="clear" w:color="auto" w:fill="auto"/>
            <w:noWrap/>
            <w:vAlign w:val="center"/>
            <w:hideMark/>
          </w:tcPr>
          <w:p w14:paraId="1F93DA78" w14:textId="77777777" w:rsidR="00FA4499" w:rsidRPr="00FA4499" w:rsidRDefault="00FA4499" w:rsidP="00FA4499">
            <w:pPr>
              <w:pStyle w:val="Noindent"/>
              <w:jc w:val="center"/>
              <w:rPr>
                <w:sz w:val="18"/>
                <w:szCs w:val="18"/>
              </w:rPr>
            </w:pPr>
            <w:r w:rsidRPr="00FA4499">
              <w:rPr>
                <w:sz w:val="18"/>
                <w:szCs w:val="18"/>
              </w:rPr>
              <w:t>87.55</w:t>
            </w:r>
            <w:r w:rsidRPr="00FA4499">
              <w:rPr>
                <w:rFonts w:ascii="Calibri" w:hAnsi="Calibri"/>
                <w:sz w:val="18"/>
                <w:szCs w:val="18"/>
              </w:rPr>
              <w:t>±4.22</w:t>
            </w:r>
            <w:r w:rsidRPr="00FA4499">
              <w:rPr>
                <w:sz w:val="18"/>
                <w:szCs w:val="18"/>
                <w:vertAlign w:val="superscript"/>
              </w:rPr>
              <w:t>b</w:t>
            </w:r>
          </w:p>
        </w:tc>
        <w:tc>
          <w:tcPr>
            <w:tcW w:w="0" w:type="auto"/>
            <w:tcBorders>
              <w:top w:val="nil"/>
              <w:left w:val="nil"/>
              <w:bottom w:val="nil"/>
              <w:right w:val="nil"/>
            </w:tcBorders>
            <w:shd w:val="clear" w:color="auto" w:fill="auto"/>
            <w:noWrap/>
            <w:vAlign w:val="center"/>
            <w:hideMark/>
          </w:tcPr>
          <w:p w14:paraId="0630FF45" w14:textId="77777777" w:rsidR="00FA4499" w:rsidRPr="00FA4499" w:rsidRDefault="00FA4499" w:rsidP="00FA4499">
            <w:pPr>
              <w:pStyle w:val="Noindent"/>
              <w:jc w:val="center"/>
              <w:rPr>
                <w:sz w:val="18"/>
                <w:szCs w:val="18"/>
              </w:rPr>
            </w:pPr>
            <w:r w:rsidRPr="00FA4499">
              <w:rPr>
                <w:sz w:val="18"/>
                <w:szCs w:val="18"/>
              </w:rPr>
              <w:t>62.28</w:t>
            </w:r>
            <w:r w:rsidRPr="00FA4499">
              <w:rPr>
                <w:rFonts w:ascii="Calibri" w:hAnsi="Calibri"/>
                <w:sz w:val="18"/>
                <w:szCs w:val="18"/>
              </w:rPr>
              <w:t>±2.95</w:t>
            </w:r>
            <w:r w:rsidRPr="00FA4499">
              <w:rPr>
                <w:sz w:val="18"/>
                <w:szCs w:val="18"/>
                <w:vertAlign w:val="superscript"/>
              </w:rPr>
              <w:t>a</w:t>
            </w:r>
          </w:p>
        </w:tc>
        <w:tc>
          <w:tcPr>
            <w:tcW w:w="0" w:type="auto"/>
            <w:tcBorders>
              <w:top w:val="nil"/>
              <w:left w:val="nil"/>
              <w:bottom w:val="nil"/>
              <w:right w:val="nil"/>
            </w:tcBorders>
            <w:shd w:val="clear" w:color="auto" w:fill="auto"/>
            <w:noWrap/>
            <w:vAlign w:val="center"/>
            <w:hideMark/>
          </w:tcPr>
          <w:p w14:paraId="20BDAD18" w14:textId="77777777" w:rsidR="00FA4499" w:rsidRPr="00FA4499" w:rsidRDefault="00FA4499" w:rsidP="00FA4499">
            <w:pPr>
              <w:pStyle w:val="Noindent"/>
              <w:jc w:val="center"/>
              <w:rPr>
                <w:sz w:val="18"/>
                <w:szCs w:val="18"/>
              </w:rPr>
            </w:pPr>
            <w:r w:rsidRPr="00FA4499">
              <w:rPr>
                <w:sz w:val="18"/>
                <w:szCs w:val="18"/>
              </w:rPr>
              <w:t>84.73</w:t>
            </w:r>
            <w:r w:rsidRPr="00FA4499">
              <w:rPr>
                <w:rFonts w:ascii="Calibri" w:hAnsi="Calibri"/>
                <w:sz w:val="18"/>
                <w:szCs w:val="18"/>
              </w:rPr>
              <w:t>±8.20</w:t>
            </w:r>
            <w:r w:rsidRPr="00FA4499">
              <w:rPr>
                <w:sz w:val="18"/>
                <w:szCs w:val="18"/>
                <w:vertAlign w:val="superscript"/>
              </w:rPr>
              <w:t>a</w:t>
            </w:r>
          </w:p>
        </w:tc>
      </w:tr>
    </w:tbl>
    <w:p w14:paraId="2FEFF2AB" w14:textId="77777777" w:rsidR="00FA4499" w:rsidRDefault="00FA4499" w:rsidP="00FA4499">
      <w:pPr>
        <w:pStyle w:val="Tabletitle"/>
      </w:pPr>
    </w:p>
    <w:p w14:paraId="233D561A" w14:textId="77777777" w:rsidR="00FA4499" w:rsidRDefault="00FA4499" w:rsidP="00FA4499">
      <w:pPr>
        <w:rPr>
          <w:rFonts w:eastAsia="SimSun"/>
          <w:b/>
          <w:bCs/>
          <w:sz w:val="20"/>
          <w:lang w:eastAsia="en-US"/>
        </w:rPr>
      </w:pPr>
      <w:r>
        <w:br w:type="page"/>
      </w:r>
    </w:p>
    <w:p w14:paraId="031CDDF8" w14:textId="77777777" w:rsidR="00FA4499" w:rsidRDefault="00FA4499" w:rsidP="00FA4499">
      <w:pPr>
        <w:pStyle w:val="Tabletitle"/>
      </w:pPr>
      <w:r>
        <w:lastRenderedPageBreak/>
        <w:t xml:space="preserve">Table 3. </w:t>
      </w:r>
      <w:r w:rsidRPr="000C2C35">
        <w:rPr>
          <w:b w:val="0"/>
          <w:bCs w:val="0"/>
        </w:rPr>
        <w:t xml:space="preserve">Intraday and </w:t>
      </w:r>
      <w:proofErr w:type="spellStart"/>
      <w:r w:rsidRPr="000C2C35">
        <w:rPr>
          <w:b w:val="0"/>
          <w:bCs w:val="0"/>
        </w:rPr>
        <w:t>interday</w:t>
      </w:r>
      <w:proofErr w:type="spellEnd"/>
      <w:r w:rsidRPr="000C2C35">
        <w:rPr>
          <w:b w:val="0"/>
          <w:bCs w:val="0"/>
        </w:rPr>
        <w:t xml:space="preserve"> precision</w:t>
      </w:r>
      <w:r>
        <w:rPr>
          <w:b w:val="0"/>
          <w:bCs w:val="0"/>
        </w:rPr>
        <w:t>s</w:t>
      </w:r>
      <w:r w:rsidRPr="000C2C35">
        <w:rPr>
          <w:b w:val="0"/>
          <w:bCs w:val="0"/>
        </w:rPr>
        <w:t xml:space="preserve"> at 4 concentrations</w:t>
      </w:r>
      <w:r>
        <w:rPr>
          <w:b w:val="0"/>
          <w:bCs w:val="0"/>
        </w:rPr>
        <w:t xml:space="preserve">. Precisions are expressed as relative standard deviations (%). Numbers reported here are the mean values from three separate preparations (n=3).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7"/>
        <w:gridCol w:w="1338"/>
        <w:gridCol w:w="1562"/>
        <w:gridCol w:w="718"/>
        <w:gridCol w:w="718"/>
        <w:gridCol w:w="718"/>
        <w:gridCol w:w="718"/>
        <w:gridCol w:w="716"/>
        <w:gridCol w:w="705"/>
        <w:gridCol w:w="720"/>
      </w:tblGrid>
      <w:tr w:rsidR="00FA4499" w:rsidRPr="00FA4499" w14:paraId="061469E6" w14:textId="77777777" w:rsidTr="00FA4499">
        <w:trPr>
          <w:trHeight w:val="242"/>
          <w:jc w:val="center"/>
        </w:trPr>
        <w:tc>
          <w:tcPr>
            <w:tcW w:w="0" w:type="auto"/>
            <w:gridSpan w:val="10"/>
            <w:tcBorders>
              <w:top w:val="single" w:sz="4" w:space="0" w:color="auto"/>
              <w:bottom w:val="single" w:sz="4" w:space="0" w:color="auto"/>
            </w:tcBorders>
            <w:noWrap/>
            <w:vAlign w:val="center"/>
            <w:hideMark/>
          </w:tcPr>
          <w:p w14:paraId="057C2141" w14:textId="77777777" w:rsidR="00FA4499" w:rsidRPr="00FA4499" w:rsidRDefault="00FA4499" w:rsidP="00FA4499">
            <w:pPr>
              <w:pStyle w:val="Noindent"/>
              <w:jc w:val="center"/>
              <w:rPr>
                <w:b/>
                <w:bCs/>
              </w:rPr>
            </w:pPr>
            <w:r w:rsidRPr="00FA4499">
              <w:rPr>
                <w:b/>
                <w:bCs/>
              </w:rPr>
              <w:t>Intraday precision</w:t>
            </w:r>
          </w:p>
        </w:tc>
      </w:tr>
      <w:tr w:rsidR="00FA4499" w:rsidRPr="007F7C6D" w14:paraId="72003B2C" w14:textId="77777777" w:rsidTr="00FA4499">
        <w:trPr>
          <w:trHeight w:val="288"/>
          <w:jc w:val="center"/>
        </w:trPr>
        <w:tc>
          <w:tcPr>
            <w:tcW w:w="0" w:type="auto"/>
            <w:vMerge w:val="restart"/>
            <w:tcBorders>
              <w:top w:val="single" w:sz="4" w:space="0" w:color="auto"/>
            </w:tcBorders>
            <w:vAlign w:val="center"/>
            <w:hideMark/>
          </w:tcPr>
          <w:p w14:paraId="582F5843" w14:textId="77777777" w:rsidR="00FA4499" w:rsidRPr="007F7C6D" w:rsidRDefault="00FA4499" w:rsidP="00FA4499">
            <w:pPr>
              <w:pStyle w:val="Noindent"/>
              <w:jc w:val="center"/>
            </w:pPr>
            <w:r w:rsidRPr="007F7C6D">
              <w:t>Spiking amount (ng)</w:t>
            </w:r>
          </w:p>
        </w:tc>
        <w:tc>
          <w:tcPr>
            <w:tcW w:w="0" w:type="auto"/>
            <w:gridSpan w:val="2"/>
            <w:tcBorders>
              <w:top w:val="single" w:sz="4" w:space="0" w:color="auto"/>
              <w:bottom w:val="single" w:sz="4" w:space="0" w:color="auto"/>
            </w:tcBorders>
            <w:noWrap/>
            <w:vAlign w:val="center"/>
            <w:hideMark/>
          </w:tcPr>
          <w:p w14:paraId="2B59EA5F" w14:textId="77777777" w:rsidR="00FA4499" w:rsidRPr="007F7C6D" w:rsidRDefault="00FA4499" w:rsidP="00FA4499">
            <w:pPr>
              <w:pStyle w:val="Noindent"/>
              <w:jc w:val="center"/>
            </w:pPr>
            <w:r w:rsidRPr="007F7C6D">
              <w:t>Expected concentration</w:t>
            </w:r>
          </w:p>
        </w:tc>
        <w:tc>
          <w:tcPr>
            <w:tcW w:w="0" w:type="auto"/>
            <w:vMerge w:val="restart"/>
            <w:tcBorders>
              <w:top w:val="single" w:sz="4" w:space="0" w:color="auto"/>
            </w:tcBorders>
            <w:noWrap/>
            <w:vAlign w:val="center"/>
            <w:hideMark/>
          </w:tcPr>
          <w:p w14:paraId="3380FDE7" w14:textId="77777777" w:rsidR="00FA4499" w:rsidRPr="007F7C6D" w:rsidRDefault="00FA4499" w:rsidP="00FA4499">
            <w:pPr>
              <w:pStyle w:val="Noindent"/>
              <w:jc w:val="center"/>
            </w:pPr>
            <w:r w:rsidRPr="007F7C6D">
              <w:t>OL</w:t>
            </w:r>
          </w:p>
        </w:tc>
        <w:tc>
          <w:tcPr>
            <w:tcW w:w="0" w:type="auto"/>
            <w:vMerge w:val="restart"/>
            <w:tcBorders>
              <w:top w:val="single" w:sz="4" w:space="0" w:color="auto"/>
            </w:tcBorders>
            <w:noWrap/>
            <w:vAlign w:val="center"/>
            <w:hideMark/>
          </w:tcPr>
          <w:p w14:paraId="76995404" w14:textId="77777777" w:rsidR="00FA4499" w:rsidRPr="007F7C6D" w:rsidRDefault="00FA4499" w:rsidP="00FA4499">
            <w:pPr>
              <w:pStyle w:val="Noindent"/>
              <w:jc w:val="center"/>
            </w:pPr>
            <w:r w:rsidRPr="007F7C6D">
              <w:t>CBD</w:t>
            </w:r>
          </w:p>
        </w:tc>
        <w:tc>
          <w:tcPr>
            <w:tcW w:w="0" w:type="auto"/>
            <w:vMerge w:val="restart"/>
            <w:tcBorders>
              <w:top w:val="single" w:sz="4" w:space="0" w:color="auto"/>
            </w:tcBorders>
            <w:noWrap/>
            <w:vAlign w:val="center"/>
            <w:hideMark/>
          </w:tcPr>
          <w:p w14:paraId="73391A22" w14:textId="77777777" w:rsidR="00FA4499" w:rsidRPr="007F7C6D" w:rsidRDefault="00FA4499" w:rsidP="00FA4499">
            <w:pPr>
              <w:pStyle w:val="Noindent"/>
              <w:jc w:val="center"/>
            </w:pPr>
            <w:r w:rsidRPr="007F7C6D">
              <w:t>THC</w:t>
            </w:r>
          </w:p>
        </w:tc>
        <w:tc>
          <w:tcPr>
            <w:tcW w:w="0" w:type="auto"/>
            <w:vMerge w:val="restart"/>
            <w:tcBorders>
              <w:top w:val="single" w:sz="4" w:space="0" w:color="auto"/>
            </w:tcBorders>
            <w:noWrap/>
            <w:vAlign w:val="center"/>
            <w:hideMark/>
          </w:tcPr>
          <w:p w14:paraId="70AC6DC7" w14:textId="77777777" w:rsidR="00FA4499" w:rsidRPr="007F7C6D" w:rsidRDefault="00FA4499" w:rsidP="00FA4499">
            <w:pPr>
              <w:pStyle w:val="Noindent"/>
              <w:jc w:val="center"/>
            </w:pPr>
            <w:r w:rsidRPr="007F7C6D">
              <w:t>OA</w:t>
            </w:r>
          </w:p>
        </w:tc>
        <w:tc>
          <w:tcPr>
            <w:tcW w:w="0" w:type="auto"/>
            <w:vMerge w:val="restart"/>
            <w:tcBorders>
              <w:top w:val="single" w:sz="4" w:space="0" w:color="auto"/>
            </w:tcBorders>
            <w:noWrap/>
            <w:vAlign w:val="center"/>
            <w:hideMark/>
          </w:tcPr>
          <w:p w14:paraId="21FC6CFF" w14:textId="77777777" w:rsidR="00FA4499" w:rsidRPr="007F7C6D" w:rsidRDefault="00FA4499" w:rsidP="00FA4499">
            <w:pPr>
              <w:pStyle w:val="Noindent"/>
              <w:jc w:val="center"/>
            </w:pPr>
            <w:r w:rsidRPr="007F7C6D">
              <w:t>CBDA</w:t>
            </w:r>
          </w:p>
        </w:tc>
        <w:tc>
          <w:tcPr>
            <w:tcW w:w="0" w:type="auto"/>
            <w:vMerge w:val="restart"/>
            <w:tcBorders>
              <w:top w:val="single" w:sz="4" w:space="0" w:color="auto"/>
            </w:tcBorders>
            <w:noWrap/>
            <w:vAlign w:val="center"/>
            <w:hideMark/>
          </w:tcPr>
          <w:p w14:paraId="6BEE364B" w14:textId="77777777" w:rsidR="00FA4499" w:rsidRPr="007F7C6D" w:rsidRDefault="00FA4499" w:rsidP="00FA4499">
            <w:pPr>
              <w:pStyle w:val="Noindent"/>
              <w:jc w:val="center"/>
            </w:pPr>
            <w:r w:rsidRPr="007F7C6D">
              <w:t>THCA</w:t>
            </w:r>
          </w:p>
        </w:tc>
        <w:tc>
          <w:tcPr>
            <w:tcW w:w="0" w:type="auto"/>
            <w:vMerge w:val="restart"/>
            <w:tcBorders>
              <w:top w:val="single" w:sz="4" w:space="0" w:color="auto"/>
            </w:tcBorders>
            <w:noWrap/>
            <w:vAlign w:val="center"/>
            <w:hideMark/>
          </w:tcPr>
          <w:p w14:paraId="2CA5DC46" w14:textId="77777777" w:rsidR="00FA4499" w:rsidRPr="007F7C6D" w:rsidRDefault="00FA4499" w:rsidP="00FA4499">
            <w:pPr>
              <w:pStyle w:val="Noindent"/>
              <w:jc w:val="center"/>
            </w:pPr>
            <w:r w:rsidRPr="007F7C6D">
              <w:t>CBGA</w:t>
            </w:r>
          </w:p>
        </w:tc>
      </w:tr>
      <w:tr w:rsidR="00FA4499" w:rsidRPr="007F7C6D" w14:paraId="5886A602" w14:textId="77777777" w:rsidTr="00FA4499">
        <w:trPr>
          <w:trHeight w:val="288"/>
          <w:jc w:val="center"/>
        </w:trPr>
        <w:tc>
          <w:tcPr>
            <w:tcW w:w="0" w:type="auto"/>
            <w:vMerge/>
            <w:tcBorders>
              <w:bottom w:val="single" w:sz="4" w:space="0" w:color="auto"/>
            </w:tcBorders>
            <w:vAlign w:val="center"/>
            <w:hideMark/>
          </w:tcPr>
          <w:p w14:paraId="0DEB0DB5" w14:textId="77777777" w:rsidR="00FA4499" w:rsidRPr="007F7C6D" w:rsidRDefault="00FA4499" w:rsidP="00FA4499">
            <w:pPr>
              <w:pStyle w:val="Noindent"/>
              <w:jc w:val="center"/>
            </w:pPr>
          </w:p>
        </w:tc>
        <w:tc>
          <w:tcPr>
            <w:tcW w:w="0" w:type="auto"/>
            <w:tcBorders>
              <w:top w:val="single" w:sz="4" w:space="0" w:color="auto"/>
              <w:bottom w:val="single" w:sz="4" w:space="0" w:color="auto"/>
            </w:tcBorders>
            <w:vAlign w:val="center"/>
            <w:hideMark/>
          </w:tcPr>
          <w:p w14:paraId="0D79A303" w14:textId="77777777" w:rsidR="00FA4499" w:rsidRPr="007F7C6D" w:rsidRDefault="00FA4499" w:rsidP="00FA4499">
            <w:pPr>
              <w:pStyle w:val="Noindent"/>
              <w:jc w:val="center"/>
            </w:pPr>
            <w:r w:rsidRPr="007F7C6D">
              <w:t>In culture (ppb)</w:t>
            </w:r>
          </w:p>
        </w:tc>
        <w:tc>
          <w:tcPr>
            <w:tcW w:w="0" w:type="auto"/>
            <w:tcBorders>
              <w:top w:val="single" w:sz="4" w:space="0" w:color="auto"/>
              <w:bottom w:val="single" w:sz="4" w:space="0" w:color="auto"/>
            </w:tcBorders>
            <w:vAlign w:val="center"/>
            <w:hideMark/>
          </w:tcPr>
          <w:p w14:paraId="0E6F5DCB" w14:textId="77777777" w:rsidR="00FA4499" w:rsidRPr="007F7C6D" w:rsidRDefault="00FA4499" w:rsidP="00FA4499">
            <w:pPr>
              <w:pStyle w:val="Noindent"/>
              <w:jc w:val="center"/>
            </w:pPr>
            <w:r w:rsidRPr="007F7C6D">
              <w:t>In methanol (ppm)</w:t>
            </w:r>
          </w:p>
        </w:tc>
        <w:tc>
          <w:tcPr>
            <w:tcW w:w="0" w:type="auto"/>
            <w:vMerge/>
            <w:tcBorders>
              <w:bottom w:val="single" w:sz="4" w:space="0" w:color="auto"/>
            </w:tcBorders>
            <w:vAlign w:val="center"/>
            <w:hideMark/>
          </w:tcPr>
          <w:p w14:paraId="616DF4F5" w14:textId="77777777" w:rsidR="00FA4499" w:rsidRPr="007F7C6D" w:rsidRDefault="00FA4499" w:rsidP="00FA4499">
            <w:pPr>
              <w:pStyle w:val="Noindent"/>
              <w:jc w:val="center"/>
            </w:pPr>
          </w:p>
        </w:tc>
        <w:tc>
          <w:tcPr>
            <w:tcW w:w="0" w:type="auto"/>
            <w:vMerge/>
            <w:tcBorders>
              <w:bottom w:val="single" w:sz="4" w:space="0" w:color="auto"/>
            </w:tcBorders>
            <w:vAlign w:val="center"/>
            <w:hideMark/>
          </w:tcPr>
          <w:p w14:paraId="525B4E65" w14:textId="77777777" w:rsidR="00FA4499" w:rsidRPr="007F7C6D" w:rsidRDefault="00FA4499" w:rsidP="00FA4499">
            <w:pPr>
              <w:pStyle w:val="Noindent"/>
              <w:jc w:val="center"/>
            </w:pPr>
          </w:p>
        </w:tc>
        <w:tc>
          <w:tcPr>
            <w:tcW w:w="0" w:type="auto"/>
            <w:vMerge/>
            <w:tcBorders>
              <w:bottom w:val="single" w:sz="4" w:space="0" w:color="auto"/>
            </w:tcBorders>
            <w:vAlign w:val="center"/>
            <w:hideMark/>
          </w:tcPr>
          <w:p w14:paraId="13DB480B" w14:textId="77777777" w:rsidR="00FA4499" w:rsidRPr="007F7C6D" w:rsidRDefault="00FA4499" w:rsidP="00FA4499">
            <w:pPr>
              <w:pStyle w:val="Noindent"/>
              <w:jc w:val="center"/>
            </w:pPr>
          </w:p>
        </w:tc>
        <w:tc>
          <w:tcPr>
            <w:tcW w:w="0" w:type="auto"/>
            <w:vMerge/>
            <w:tcBorders>
              <w:bottom w:val="single" w:sz="4" w:space="0" w:color="auto"/>
            </w:tcBorders>
            <w:vAlign w:val="center"/>
            <w:hideMark/>
          </w:tcPr>
          <w:p w14:paraId="5E678F2F" w14:textId="77777777" w:rsidR="00FA4499" w:rsidRPr="007F7C6D" w:rsidRDefault="00FA4499" w:rsidP="00FA4499">
            <w:pPr>
              <w:pStyle w:val="Noindent"/>
              <w:jc w:val="center"/>
            </w:pPr>
          </w:p>
        </w:tc>
        <w:tc>
          <w:tcPr>
            <w:tcW w:w="0" w:type="auto"/>
            <w:vMerge/>
            <w:tcBorders>
              <w:bottom w:val="single" w:sz="4" w:space="0" w:color="auto"/>
            </w:tcBorders>
            <w:vAlign w:val="center"/>
            <w:hideMark/>
          </w:tcPr>
          <w:p w14:paraId="45ECD8F6" w14:textId="77777777" w:rsidR="00FA4499" w:rsidRPr="007F7C6D" w:rsidRDefault="00FA4499" w:rsidP="00FA4499">
            <w:pPr>
              <w:pStyle w:val="Noindent"/>
              <w:jc w:val="center"/>
            </w:pPr>
          </w:p>
        </w:tc>
        <w:tc>
          <w:tcPr>
            <w:tcW w:w="0" w:type="auto"/>
            <w:vMerge/>
            <w:tcBorders>
              <w:bottom w:val="single" w:sz="4" w:space="0" w:color="auto"/>
            </w:tcBorders>
            <w:vAlign w:val="center"/>
            <w:hideMark/>
          </w:tcPr>
          <w:p w14:paraId="2A4C3BDF" w14:textId="77777777" w:rsidR="00FA4499" w:rsidRPr="007F7C6D" w:rsidRDefault="00FA4499" w:rsidP="00FA4499">
            <w:pPr>
              <w:pStyle w:val="Noindent"/>
              <w:jc w:val="center"/>
            </w:pPr>
          </w:p>
        </w:tc>
        <w:tc>
          <w:tcPr>
            <w:tcW w:w="0" w:type="auto"/>
            <w:vMerge/>
            <w:tcBorders>
              <w:bottom w:val="single" w:sz="4" w:space="0" w:color="auto"/>
            </w:tcBorders>
            <w:vAlign w:val="center"/>
            <w:hideMark/>
          </w:tcPr>
          <w:p w14:paraId="49A1A012" w14:textId="77777777" w:rsidR="00FA4499" w:rsidRPr="007F7C6D" w:rsidRDefault="00FA4499" w:rsidP="00FA4499">
            <w:pPr>
              <w:pStyle w:val="Noindent"/>
              <w:jc w:val="center"/>
            </w:pPr>
          </w:p>
        </w:tc>
      </w:tr>
      <w:tr w:rsidR="00FA4499" w:rsidRPr="007F7C6D" w14:paraId="6764742F" w14:textId="77777777" w:rsidTr="00FA4499">
        <w:trPr>
          <w:trHeight w:val="288"/>
          <w:jc w:val="center"/>
        </w:trPr>
        <w:tc>
          <w:tcPr>
            <w:tcW w:w="0" w:type="auto"/>
            <w:tcBorders>
              <w:top w:val="single" w:sz="4" w:space="0" w:color="auto"/>
            </w:tcBorders>
            <w:noWrap/>
            <w:vAlign w:val="center"/>
            <w:hideMark/>
          </w:tcPr>
          <w:p w14:paraId="409B81E7" w14:textId="77777777" w:rsidR="00FA4499" w:rsidRPr="007F7C6D" w:rsidRDefault="00FA4499" w:rsidP="00FA4499">
            <w:pPr>
              <w:pStyle w:val="Noindent"/>
              <w:jc w:val="center"/>
            </w:pPr>
            <w:r w:rsidRPr="007F7C6D">
              <w:t>100</w:t>
            </w:r>
          </w:p>
        </w:tc>
        <w:tc>
          <w:tcPr>
            <w:tcW w:w="0" w:type="auto"/>
            <w:tcBorders>
              <w:top w:val="single" w:sz="4" w:space="0" w:color="auto"/>
            </w:tcBorders>
            <w:noWrap/>
            <w:vAlign w:val="center"/>
            <w:hideMark/>
          </w:tcPr>
          <w:p w14:paraId="28D35954" w14:textId="77777777" w:rsidR="00FA4499" w:rsidRPr="007F7C6D" w:rsidRDefault="00FA4499" w:rsidP="00FA4499">
            <w:pPr>
              <w:pStyle w:val="Noindent"/>
              <w:jc w:val="center"/>
            </w:pPr>
            <w:r w:rsidRPr="007F7C6D">
              <w:t>2</w:t>
            </w:r>
          </w:p>
        </w:tc>
        <w:tc>
          <w:tcPr>
            <w:tcW w:w="0" w:type="auto"/>
            <w:tcBorders>
              <w:top w:val="single" w:sz="4" w:space="0" w:color="auto"/>
            </w:tcBorders>
            <w:noWrap/>
            <w:vAlign w:val="center"/>
            <w:hideMark/>
          </w:tcPr>
          <w:p w14:paraId="4F16C042" w14:textId="77777777" w:rsidR="00FA4499" w:rsidRPr="007F7C6D" w:rsidRDefault="00FA4499" w:rsidP="00FA4499">
            <w:pPr>
              <w:pStyle w:val="Noindent"/>
              <w:jc w:val="center"/>
            </w:pPr>
            <w:r w:rsidRPr="007F7C6D">
              <w:t>0.1</w:t>
            </w:r>
          </w:p>
        </w:tc>
        <w:tc>
          <w:tcPr>
            <w:tcW w:w="0" w:type="auto"/>
            <w:tcBorders>
              <w:top w:val="single" w:sz="4" w:space="0" w:color="auto"/>
            </w:tcBorders>
            <w:noWrap/>
            <w:vAlign w:val="center"/>
            <w:hideMark/>
          </w:tcPr>
          <w:p w14:paraId="36DA8E87" w14:textId="77777777" w:rsidR="00FA4499" w:rsidRPr="007F7C6D" w:rsidRDefault="00FA4499" w:rsidP="00FA4499">
            <w:pPr>
              <w:pStyle w:val="Noindent"/>
              <w:jc w:val="center"/>
            </w:pPr>
            <w:r w:rsidRPr="007F7C6D">
              <w:t>12.97</w:t>
            </w:r>
          </w:p>
        </w:tc>
        <w:tc>
          <w:tcPr>
            <w:tcW w:w="0" w:type="auto"/>
            <w:tcBorders>
              <w:top w:val="single" w:sz="4" w:space="0" w:color="auto"/>
            </w:tcBorders>
            <w:noWrap/>
            <w:vAlign w:val="center"/>
            <w:hideMark/>
          </w:tcPr>
          <w:p w14:paraId="799A8FC1" w14:textId="77777777" w:rsidR="00FA4499" w:rsidRPr="007F7C6D" w:rsidRDefault="00FA4499" w:rsidP="00FA4499">
            <w:pPr>
              <w:pStyle w:val="Noindent"/>
              <w:jc w:val="center"/>
            </w:pPr>
            <w:r w:rsidRPr="007F7C6D">
              <w:t>8.05</w:t>
            </w:r>
          </w:p>
        </w:tc>
        <w:tc>
          <w:tcPr>
            <w:tcW w:w="0" w:type="auto"/>
            <w:tcBorders>
              <w:top w:val="single" w:sz="4" w:space="0" w:color="auto"/>
            </w:tcBorders>
            <w:noWrap/>
            <w:vAlign w:val="center"/>
            <w:hideMark/>
          </w:tcPr>
          <w:p w14:paraId="3989E097" w14:textId="77777777" w:rsidR="00FA4499" w:rsidRPr="007F7C6D" w:rsidRDefault="00FA4499" w:rsidP="00FA4499">
            <w:pPr>
              <w:pStyle w:val="Noindent"/>
              <w:jc w:val="center"/>
            </w:pPr>
            <w:r w:rsidRPr="007F7C6D">
              <w:t>10.45</w:t>
            </w:r>
          </w:p>
        </w:tc>
        <w:tc>
          <w:tcPr>
            <w:tcW w:w="0" w:type="auto"/>
            <w:tcBorders>
              <w:top w:val="single" w:sz="4" w:space="0" w:color="auto"/>
            </w:tcBorders>
            <w:noWrap/>
            <w:vAlign w:val="center"/>
            <w:hideMark/>
          </w:tcPr>
          <w:p w14:paraId="7979D5E5" w14:textId="77777777" w:rsidR="00FA4499" w:rsidRPr="007F7C6D" w:rsidRDefault="00FA4499" w:rsidP="00FA4499">
            <w:pPr>
              <w:pStyle w:val="Noindent"/>
              <w:jc w:val="center"/>
            </w:pPr>
            <w:r w:rsidRPr="007F7C6D">
              <w:t>9.45</w:t>
            </w:r>
          </w:p>
        </w:tc>
        <w:tc>
          <w:tcPr>
            <w:tcW w:w="0" w:type="auto"/>
            <w:tcBorders>
              <w:top w:val="single" w:sz="4" w:space="0" w:color="auto"/>
            </w:tcBorders>
            <w:noWrap/>
            <w:vAlign w:val="center"/>
            <w:hideMark/>
          </w:tcPr>
          <w:p w14:paraId="520FB89D" w14:textId="77777777" w:rsidR="00FA4499" w:rsidRPr="007F7C6D" w:rsidRDefault="00FA4499" w:rsidP="00FA4499">
            <w:pPr>
              <w:pStyle w:val="Noindent"/>
              <w:jc w:val="center"/>
            </w:pPr>
            <w:r w:rsidRPr="007F7C6D">
              <w:t>7.67</w:t>
            </w:r>
          </w:p>
        </w:tc>
        <w:tc>
          <w:tcPr>
            <w:tcW w:w="0" w:type="auto"/>
            <w:tcBorders>
              <w:top w:val="single" w:sz="4" w:space="0" w:color="auto"/>
            </w:tcBorders>
            <w:noWrap/>
            <w:vAlign w:val="center"/>
            <w:hideMark/>
          </w:tcPr>
          <w:p w14:paraId="402A33C8" w14:textId="77777777" w:rsidR="00FA4499" w:rsidRPr="007F7C6D" w:rsidRDefault="00FA4499" w:rsidP="00FA4499">
            <w:pPr>
              <w:pStyle w:val="Noindent"/>
              <w:jc w:val="center"/>
            </w:pPr>
            <w:r w:rsidRPr="007F7C6D">
              <w:t>9.99</w:t>
            </w:r>
          </w:p>
        </w:tc>
        <w:tc>
          <w:tcPr>
            <w:tcW w:w="0" w:type="auto"/>
            <w:tcBorders>
              <w:top w:val="single" w:sz="4" w:space="0" w:color="auto"/>
            </w:tcBorders>
            <w:noWrap/>
            <w:vAlign w:val="center"/>
            <w:hideMark/>
          </w:tcPr>
          <w:p w14:paraId="2E1143D8" w14:textId="77777777" w:rsidR="00FA4499" w:rsidRPr="007F7C6D" w:rsidRDefault="00FA4499" w:rsidP="00FA4499">
            <w:pPr>
              <w:pStyle w:val="Noindent"/>
              <w:jc w:val="center"/>
            </w:pPr>
            <w:r w:rsidRPr="007F7C6D">
              <w:t>4.00</w:t>
            </w:r>
          </w:p>
        </w:tc>
      </w:tr>
      <w:tr w:rsidR="00FA4499" w:rsidRPr="007F7C6D" w14:paraId="6C4FF9EA" w14:textId="77777777" w:rsidTr="00FA4499">
        <w:trPr>
          <w:trHeight w:val="288"/>
          <w:jc w:val="center"/>
        </w:trPr>
        <w:tc>
          <w:tcPr>
            <w:tcW w:w="0" w:type="auto"/>
            <w:noWrap/>
            <w:vAlign w:val="center"/>
            <w:hideMark/>
          </w:tcPr>
          <w:p w14:paraId="13CA0A31" w14:textId="77777777" w:rsidR="00FA4499" w:rsidRPr="007F7C6D" w:rsidRDefault="00FA4499" w:rsidP="00FA4499">
            <w:pPr>
              <w:pStyle w:val="Noindent"/>
              <w:jc w:val="center"/>
            </w:pPr>
            <w:r w:rsidRPr="007F7C6D">
              <w:t>300</w:t>
            </w:r>
          </w:p>
        </w:tc>
        <w:tc>
          <w:tcPr>
            <w:tcW w:w="0" w:type="auto"/>
            <w:noWrap/>
            <w:vAlign w:val="center"/>
            <w:hideMark/>
          </w:tcPr>
          <w:p w14:paraId="48F5A87B" w14:textId="77777777" w:rsidR="00FA4499" w:rsidRPr="007F7C6D" w:rsidRDefault="00FA4499" w:rsidP="00FA4499">
            <w:pPr>
              <w:pStyle w:val="Noindent"/>
              <w:jc w:val="center"/>
            </w:pPr>
            <w:r w:rsidRPr="007F7C6D">
              <w:t>6</w:t>
            </w:r>
          </w:p>
        </w:tc>
        <w:tc>
          <w:tcPr>
            <w:tcW w:w="0" w:type="auto"/>
            <w:noWrap/>
            <w:vAlign w:val="center"/>
            <w:hideMark/>
          </w:tcPr>
          <w:p w14:paraId="134D56BF" w14:textId="77777777" w:rsidR="00FA4499" w:rsidRPr="007F7C6D" w:rsidRDefault="00FA4499" w:rsidP="00FA4499">
            <w:pPr>
              <w:pStyle w:val="Noindent"/>
              <w:jc w:val="center"/>
            </w:pPr>
            <w:r w:rsidRPr="007F7C6D">
              <w:t>0.3</w:t>
            </w:r>
          </w:p>
        </w:tc>
        <w:tc>
          <w:tcPr>
            <w:tcW w:w="0" w:type="auto"/>
            <w:noWrap/>
            <w:vAlign w:val="center"/>
            <w:hideMark/>
          </w:tcPr>
          <w:p w14:paraId="19058B9F" w14:textId="77777777" w:rsidR="00FA4499" w:rsidRPr="007F7C6D" w:rsidRDefault="00FA4499" w:rsidP="00FA4499">
            <w:pPr>
              <w:pStyle w:val="Noindent"/>
              <w:jc w:val="center"/>
            </w:pPr>
            <w:r w:rsidRPr="007F7C6D">
              <w:t>8.24</w:t>
            </w:r>
          </w:p>
        </w:tc>
        <w:tc>
          <w:tcPr>
            <w:tcW w:w="0" w:type="auto"/>
            <w:noWrap/>
            <w:vAlign w:val="center"/>
            <w:hideMark/>
          </w:tcPr>
          <w:p w14:paraId="04CA0904" w14:textId="77777777" w:rsidR="00FA4499" w:rsidRPr="007F7C6D" w:rsidRDefault="00FA4499" w:rsidP="00FA4499">
            <w:pPr>
              <w:pStyle w:val="Noindent"/>
              <w:jc w:val="center"/>
            </w:pPr>
            <w:r w:rsidRPr="007F7C6D">
              <w:t>3.95</w:t>
            </w:r>
          </w:p>
        </w:tc>
        <w:tc>
          <w:tcPr>
            <w:tcW w:w="0" w:type="auto"/>
            <w:noWrap/>
            <w:vAlign w:val="center"/>
            <w:hideMark/>
          </w:tcPr>
          <w:p w14:paraId="55C87F0C" w14:textId="77777777" w:rsidR="00FA4499" w:rsidRPr="007F7C6D" w:rsidRDefault="00FA4499" w:rsidP="00FA4499">
            <w:pPr>
              <w:pStyle w:val="Noindent"/>
              <w:jc w:val="center"/>
            </w:pPr>
            <w:r w:rsidRPr="007F7C6D">
              <w:t>4.71</w:t>
            </w:r>
          </w:p>
        </w:tc>
        <w:tc>
          <w:tcPr>
            <w:tcW w:w="0" w:type="auto"/>
            <w:noWrap/>
            <w:vAlign w:val="center"/>
            <w:hideMark/>
          </w:tcPr>
          <w:p w14:paraId="07BEC9BA" w14:textId="77777777" w:rsidR="00FA4499" w:rsidRPr="007F7C6D" w:rsidRDefault="00FA4499" w:rsidP="00FA4499">
            <w:pPr>
              <w:pStyle w:val="Noindent"/>
              <w:jc w:val="center"/>
            </w:pPr>
            <w:r w:rsidRPr="007F7C6D">
              <w:t>6.10</w:t>
            </w:r>
          </w:p>
        </w:tc>
        <w:tc>
          <w:tcPr>
            <w:tcW w:w="0" w:type="auto"/>
            <w:noWrap/>
            <w:vAlign w:val="center"/>
            <w:hideMark/>
          </w:tcPr>
          <w:p w14:paraId="3D4D9A4B" w14:textId="77777777" w:rsidR="00FA4499" w:rsidRPr="007F7C6D" w:rsidRDefault="00FA4499" w:rsidP="00FA4499">
            <w:pPr>
              <w:pStyle w:val="Noindent"/>
              <w:jc w:val="center"/>
            </w:pPr>
            <w:r w:rsidRPr="007F7C6D">
              <w:t>1.37</w:t>
            </w:r>
          </w:p>
        </w:tc>
        <w:tc>
          <w:tcPr>
            <w:tcW w:w="0" w:type="auto"/>
            <w:noWrap/>
            <w:vAlign w:val="center"/>
            <w:hideMark/>
          </w:tcPr>
          <w:p w14:paraId="65251226" w14:textId="77777777" w:rsidR="00FA4499" w:rsidRPr="007F7C6D" w:rsidRDefault="00FA4499" w:rsidP="00FA4499">
            <w:pPr>
              <w:pStyle w:val="Noindent"/>
              <w:jc w:val="center"/>
            </w:pPr>
            <w:r w:rsidRPr="007F7C6D">
              <w:t>3.28</w:t>
            </w:r>
          </w:p>
        </w:tc>
        <w:tc>
          <w:tcPr>
            <w:tcW w:w="0" w:type="auto"/>
            <w:noWrap/>
            <w:vAlign w:val="center"/>
            <w:hideMark/>
          </w:tcPr>
          <w:p w14:paraId="5A363304" w14:textId="77777777" w:rsidR="00FA4499" w:rsidRPr="007F7C6D" w:rsidRDefault="00FA4499" w:rsidP="00FA4499">
            <w:pPr>
              <w:pStyle w:val="Noindent"/>
              <w:jc w:val="center"/>
            </w:pPr>
            <w:r w:rsidRPr="007F7C6D">
              <w:t>12.23</w:t>
            </w:r>
          </w:p>
        </w:tc>
      </w:tr>
      <w:tr w:rsidR="00FA4499" w:rsidRPr="007F7C6D" w14:paraId="65735CE4" w14:textId="77777777" w:rsidTr="00FA4499">
        <w:trPr>
          <w:trHeight w:val="288"/>
          <w:jc w:val="center"/>
        </w:trPr>
        <w:tc>
          <w:tcPr>
            <w:tcW w:w="0" w:type="auto"/>
            <w:noWrap/>
            <w:vAlign w:val="center"/>
            <w:hideMark/>
          </w:tcPr>
          <w:p w14:paraId="53338190" w14:textId="77777777" w:rsidR="00FA4499" w:rsidRPr="007F7C6D" w:rsidRDefault="00FA4499" w:rsidP="00FA4499">
            <w:pPr>
              <w:pStyle w:val="Noindent"/>
              <w:jc w:val="center"/>
            </w:pPr>
            <w:r w:rsidRPr="007F7C6D">
              <w:t>500</w:t>
            </w:r>
          </w:p>
        </w:tc>
        <w:tc>
          <w:tcPr>
            <w:tcW w:w="0" w:type="auto"/>
            <w:noWrap/>
            <w:vAlign w:val="center"/>
            <w:hideMark/>
          </w:tcPr>
          <w:p w14:paraId="79FE5F61" w14:textId="77777777" w:rsidR="00FA4499" w:rsidRPr="007F7C6D" w:rsidRDefault="00FA4499" w:rsidP="00FA4499">
            <w:pPr>
              <w:pStyle w:val="Noindent"/>
              <w:jc w:val="center"/>
            </w:pPr>
            <w:r w:rsidRPr="007F7C6D">
              <w:t>10</w:t>
            </w:r>
          </w:p>
        </w:tc>
        <w:tc>
          <w:tcPr>
            <w:tcW w:w="0" w:type="auto"/>
            <w:noWrap/>
            <w:vAlign w:val="center"/>
            <w:hideMark/>
          </w:tcPr>
          <w:p w14:paraId="2E9E05EC" w14:textId="77777777" w:rsidR="00FA4499" w:rsidRPr="007F7C6D" w:rsidRDefault="00FA4499" w:rsidP="00FA4499">
            <w:pPr>
              <w:pStyle w:val="Noindent"/>
              <w:jc w:val="center"/>
            </w:pPr>
            <w:r w:rsidRPr="007F7C6D">
              <w:t>0.5</w:t>
            </w:r>
          </w:p>
        </w:tc>
        <w:tc>
          <w:tcPr>
            <w:tcW w:w="0" w:type="auto"/>
            <w:noWrap/>
            <w:vAlign w:val="center"/>
            <w:hideMark/>
          </w:tcPr>
          <w:p w14:paraId="7F5607F8" w14:textId="77777777" w:rsidR="00FA4499" w:rsidRPr="007F7C6D" w:rsidRDefault="00FA4499" w:rsidP="00FA4499">
            <w:pPr>
              <w:pStyle w:val="Noindent"/>
              <w:jc w:val="center"/>
            </w:pPr>
            <w:r w:rsidRPr="007F7C6D">
              <w:t>8.80</w:t>
            </w:r>
          </w:p>
        </w:tc>
        <w:tc>
          <w:tcPr>
            <w:tcW w:w="0" w:type="auto"/>
            <w:noWrap/>
            <w:vAlign w:val="center"/>
            <w:hideMark/>
          </w:tcPr>
          <w:p w14:paraId="227CC21C" w14:textId="77777777" w:rsidR="00FA4499" w:rsidRPr="007F7C6D" w:rsidRDefault="00FA4499" w:rsidP="00FA4499">
            <w:pPr>
              <w:pStyle w:val="Noindent"/>
              <w:jc w:val="center"/>
            </w:pPr>
            <w:r w:rsidRPr="007F7C6D">
              <w:t>3.32</w:t>
            </w:r>
          </w:p>
        </w:tc>
        <w:tc>
          <w:tcPr>
            <w:tcW w:w="0" w:type="auto"/>
            <w:noWrap/>
            <w:vAlign w:val="center"/>
            <w:hideMark/>
          </w:tcPr>
          <w:p w14:paraId="272F8051" w14:textId="77777777" w:rsidR="00FA4499" w:rsidRPr="007F7C6D" w:rsidRDefault="00FA4499" w:rsidP="00FA4499">
            <w:pPr>
              <w:pStyle w:val="Noindent"/>
              <w:jc w:val="center"/>
            </w:pPr>
            <w:r w:rsidRPr="007F7C6D">
              <w:t>1.07</w:t>
            </w:r>
          </w:p>
        </w:tc>
        <w:tc>
          <w:tcPr>
            <w:tcW w:w="0" w:type="auto"/>
            <w:noWrap/>
            <w:vAlign w:val="center"/>
            <w:hideMark/>
          </w:tcPr>
          <w:p w14:paraId="645A7C97" w14:textId="77777777" w:rsidR="00FA4499" w:rsidRPr="007F7C6D" w:rsidRDefault="00FA4499" w:rsidP="00FA4499">
            <w:pPr>
              <w:pStyle w:val="Noindent"/>
              <w:jc w:val="center"/>
            </w:pPr>
            <w:r w:rsidRPr="007F7C6D">
              <w:t>11.48</w:t>
            </w:r>
          </w:p>
        </w:tc>
        <w:tc>
          <w:tcPr>
            <w:tcW w:w="0" w:type="auto"/>
            <w:noWrap/>
            <w:vAlign w:val="center"/>
            <w:hideMark/>
          </w:tcPr>
          <w:p w14:paraId="7E6A8C89" w14:textId="77777777" w:rsidR="00FA4499" w:rsidRPr="007F7C6D" w:rsidRDefault="00FA4499" w:rsidP="00FA4499">
            <w:pPr>
              <w:pStyle w:val="Noindent"/>
              <w:jc w:val="center"/>
            </w:pPr>
            <w:r w:rsidRPr="007F7C6D">
              <w:t>2.86</w:t>
            </w:r>
          </w:p>
        </w:tc>
        <w:tc>
          <w:tcPr>
            <w:tcW w:w="0" w:type="auto"/>
            <w:noWrap/>
            <w:vAlign w:val="center"/>
            <w:hideMark/>
          </w:tcPr>
          <w:p w14:paraId="589E623F" w14:textId="77777777" w:rsidR="00FA4499" w:rsidRPr="007F7C6D" w:rsidRDefault="00FA4499" w:rsidP="00FA4499">
            <w:pPr>
              <w:pStyle w:val="Noindent"/>
              <w:jc w:val="center"/>
            </w:pPr>
            <w:r w:rsidRPr="007F7C6D">
              <w:t>3.44</w:t>
            </w:r>
          </w:p>
        </w:tc>
        <w:tc>
          <w:tcPr>
            <w:tcW w:w="0" w:type="auto"/>
            <w:noWrap/>
            <w:vAlign w:val="center"/>
            <w:hideMark/>
          </w:tcPr>
          <w:p w14:paraId="4F2BFC1A" w14:textId="77777777" w:rsidR="00FA4499" w:rsidRPr="007F7C6D" w:rsidRDefault="00FA4499" w:rsidP="00FA4499">
            <w:pPr>
              <w:pStyle w:val="Noindent"/>
              <w:jc w:val="center"/>
            </w:pPr>
            <w:r w:rsidRPr="007F7C6D">
              <w:t>7.81</w:t>
            </w:r>
          </w:p>
        </w:tc>
      </w:tr>
      <w:tr w:rsidR="00FA4499" w:rsidRPr="007F7C6D" w14:paraId="7DF46E98" w14:textId="77777777" w:rsidTr="00FA4499">
        <w:trPr>
          <w:trHeight w:val="288"/>
          <w:jc w:val="center"/>
        </w:trPr>
        <w:tc>
          <w:tcPr>
            <w:tcW w:w="0" w:type="auto"/>
            <w:noWrap/>
            <w:vAlign w:val="center"/>
            <w:hideMark/>
          </w:tcPr>
          <w:p w14:paraId="15BF82CD" w14:textId="77777777" w:rsidR="00FA4499" w:rsidRPr="007F7C6D" w:rsidRDefault="00FA4499" w:rsidP="00FA4499">
            <w:pPr>
              <w:pStyle w:val="Noindent"/>
              <w:jc w:val="center"/>
            </w:pPr>
            <w:r w:rsidRPr="007F7C6D">
              <w:t>5000</w:t>
            </w:r>
          </w:p>
        </w:tc>
        <w:tc>
          <w:tcPr>
            <w:tcW w:w="0" w:type="auto"/>
            <w:noWrap/>
            <w:vAlign w:val="center"/>
            <w:hideMark/>
          </w:tcPr>
          <w:p w14:paraId="6F09C27E" w14:textId="77777777" w:rsidR="00FA4499" w:rsidRPr="007F7C6D" w:rsidRDefault="00FA4499" w:rsidP="00FA4499">
            <w:pPr>
              <w:pStyle w:val="Noindent"/>
              <w:jc w:val="center"/>
            </w:pPr>
            <w:r w:rsidRPr="007F7C6D">
              <w:t>100</w:t>
            </w:r>
          </w:p>
        </w:tc>
        <w:tc>
          <w:tcPr>
            <w:tcW w:w="0" w:type="auto"/>
            <w:noWrap/>
            <w:vAlign w:val="center"/>
            <w:hideMark/>
          </w:tcPr>
          <w:p w14:paraId="64775BAD" w14:textId="77777777" w:rsidR="00FA4499" w:rsidRPr="007F7C6D" w:rsidRDefault="00FA4499" w:rsidP="00FA4499">
            <w:pPr>
              <w:pStyle w:val="Noindent"/>
              <w:jc w:val="center"/>
            </w:pPr>
            <w:r w:rsidRPr="007F7C6D">
              <w:t>5</w:t>
            </w:r>
          </w:p>
        </w:tc>
        <w:tc>
          <w:tcPr>
            <w:tcW w:w="0" w:type="auto"/>
            <w:noWrap/>
            <w:vAlign w:val="center"/>
            <w:hideMark/>
          </w:tcPr>
          <w:p w14:paraId="5204D815" w14:textId="77777777" w:rsidR="00FA4499" w:rsidRPr="007F7C6D" w:rsidRDefault="00FA4499" w:rsidP="00FA4499">
            <w:pPr>
              <w:pStyle w:val="Noindent"/>
              <w:jc w:val="center"/>
            </w:pPr>
            <w:r w:rsidRPr="007F7C6D">
              <w:t>28.36</w:t>
            </w:r>
          </w:p>
        </w:tc>
        <w:tc>
          <w:tcPr>
            <w:tcW w:w="0" w:type="auto"/>
            <w:noWrap/>
            <w:vAlign w:val="center"/>
            <w:hideMark/>
          </w:tcPr>
          <w:p w14:paraId="1EE28E79" w14:textId="77777777" w:rsidR="00FA4499" w:rsidRPr="007F7C6D" w:rsidRDefault="00FA4499" w:rsidP="00FA4499">
            <w:pPr>
              <w:pStyle w:val="Noindent"/>
              <w:jc w:val="center"/>
            </w:pPr>
            <w:r w:rsidRPr="007F7C6D">
              <w:t>6.41</w:t>
            </w:r>
          </w:p>
        </w:tc>
        <w:tc>
          <w:tcPr>
            <w:tcW w:w="0" w:type="auto"/>
            <w:noWrap/>
            <w:vAlign w:val="center"/>
            <w:hideMark/>
          </w:tcPr>
          <w:p w14:paraId="7480808F" w14:textId="77777777" w:rsidR="00FA4499" w:rsidRPr="007F7C6D" w:rsidRDefault="00FA4499" w:rsidP="00FA4499">
            <w:pPr>
              <w:pStyle w:val="Noindent"/>
              <w:jc w:val="center"/>
            </w:pPr>
            <w:r w:rsidRPr="007F7C6D">
              <w:t>4.10</w:t>
            </w:r>
          </w:p>
        </w:tc>
        <w:tc>
          <w:tcPr>
            <w:tcW w:w="0" w:type="auto"/>
            <w:noWrap/>
            <w:vAlign w:val="center"/>
            <w:hideMark/>
          </w:tcPr>
          <w:p w14:paraId="00D0EE88" w14:textId="77777777" w:rsidR="00FA4499" w:rsidRPr="007F7C6D" w:rsidRDefault="00FA4499" w:rsidP="00FA4499">
            <w:pPr>
              <w:pStyle w:val="Noindent"/>
              <w:jc w:val="center"/>
            </w:pPr>
            <w:r w:rsidRPr="007F7C6D">
              <w:t>6.81</w:t>
            </w:r>
          </w:p>
        </w:tc>
        <w:tc>
          <w:tcPr>
            <w:tcW w:w="0" w:type="auto"/>
            <w:noWrap/>
            <w:vAlign w:val="center"/>
            <w:hideMark/>
          </w:tcPr>
          <w:p w14:paraId="6A5B7F31" w14:textId="77777777" w:rsidR="00FA4499" w:rsidRPr="007F7C6D" w:rsidRDefault="00FA4499" w:rsidP="00FA4499">
            <w:pPr>
              <w:pStyle w:val="Noindent"/>
              <w:jc w:val="center"/>
            </w:pPr>
            <w:r w:rsidRPr="007F7C6D">
              <w:t>4.82</w:t>
            </w:r>
          </w:p>
        </w:tc>
        <w:tc>
          <w:tcPr>
            <w:tcW w:w="0" w:type="auto"/>
            <w:noWrap/>
            <w:vAlign w:val="center"/>
            <w:hideMark/>
          </w:tcPr>
          <w:p w14:paraId="532B65F3" w14:textId="77777777" w:rsidR="00FA4499" w:rsidRPr="007F7C6D" w:rsidRDefault="00FA4499" w:rsidP="00FA4499">
            <w:pPr>
              <w:pStyle w:val="Noindent"/>
              <w:jc w:val="center"/>
            </w:pPr>
            <w:r w:rsidRPr="007F7C6D">
              <w:t>4.74</w:t>
            </w:r>
          </w:p>
        </w:tc>
        <w:tc>
          <w:tcPr>
            <w:tcW w:w="0" w:type="auto"/>
            <w:noWrap/>
            <w:vAlign w:val="center"/>
            <w:hideMark/>
          </w:tcPr>
          <w:p w14:paraId="42F2F6D7" w14:textId="77777777" w:rsidR="00FA4499" w:rsidRPr="007F7C6D" w:rsidRDefault="00FA4499" w:rsidP="00FA4499">
            <w:pPr>
              <w:pStyle w:val="Noindent"/>
              <w:jc w:val="center"/>
            </w:pPr>
            <w:r w:rsidRPr="007F7C6D">
              <w:t>9.68</w:t>
            </w:r>
          </w:p>
        </w:tc>
      </w:tr>
      <w:tr w:rsidR="00FA4499" w:rsidRPr="00FA4499" w14:paraId="3000A9DA" w14:textId="77777777" w:rsidTr="00FA4499">
        <w:trPr>
          <w:trHeight w:val="288"/>
          <w:jc w:val="center"/>
        </w:trPr>
        <w:tc>
          <w:tcPr>
            <w:tcW w:w="0" w:type="auto"/>
            <w:gridSpan w:val="10"/>
            <w:tcBorders>
              <w:top w:val="single" w:sz="4" w:space="0" w:color="auto"/>
            </w:tcBorders>
            <w:noWrap/>
            <w:vAlign w:val="center"/>
            <w:hideMark/>
          </w:tcPr>
          <w:p w14:paraId="2543AAEA" w14:textId="77777777" w:rsidR="00FA4499" w:rsidRPr="00FA4499" w:rsidRDefault="00FA4499" w:rsidP="00FA4499">
            <w:pPr>
              <w:pStyle w:val="Noindent"/>
              <w:jc w:val="center"/>
              <w:rPr>
                <w:b/>
                <w:bCs/>
              </w:rPr>
            </w:pPr>
            <w:proofErr w:type="spellStart"/>
            <w:r w:rsidRPr="00FA4499">
              <w:rPr>
                <w:b/>
                <w:bCs/>
              </w:rPr>
              <w:t>Interday</w:t>
            </w:r>
            <w:proofErr w:type="spellEnd"/>
            <w:r w:rsidRPr="00FA4499">
              <w:rPr>
                <w:b/>
                <w:bCs/>
              </w:rPr>
              <w:t xml:space="preserve"> precision</w:t>
            </w:r>
          </w:p>
        </w:tc>
      </w:tr>
      <w:tr w:rsidR="00FA4499" w:rsidRPr="007F7C6D" w14:paraId="1FD55CDF" w14:textId="77777777" w:rsidTr="00FA4499">
        <w:trPr>
          <w:trHeight w:val="233"/>
          <w:jc w:val="center"/>
        </w:trPr>
        <w:tc>
          <w:tcPr>
            <w:tcW w:w="0" w:type="auto"/>
            <w:vMerge w:val="restart"/>
            <w:tcBorders>
              <w:top w:val="single" w:sz="4" w:space="0" w:color="auto"/>
            </w:tcBorders>
            <w:vAlign w:val="center"/>
            <w:hideMark/>
          </w:tcPr>
          <w:p w14:paraId="2480D7AE" w14:textId="77777777" w:rsidR="00FA4499" w:rsidRPr="007F7C6D" w:rsidRDefault="00FA4499" w:rsidP="00FA4499">
            <w:pPr>
              <w:pStyle w:val="Noindent"/>
              <w:jc w:val="center"/>
            </w:pPr>
            <w:r w:rsidRPr="007F7C6D">
              <w:t>Spiking amount (ng)</w:t>
            </w:r>
          </w:p>
        </w:tc>
        <w:tc>
          <w:tcPr>
            <w:tcW w:w="0" w:type="auto"/>
            <w:gridSpan w:val="2"/>
            <w:tcBorders>
              <w:top w:val="single" w:sz="4" w:space="0" w:color="auto"/>
            </w:tcBorders>
            <w:noWrap/>
            <w:vAlign w:val="center"/>
            <w:hideMark/>
          </w:tcPr>
          <w:p w14:paraId="7DDEEC9F" w14:textId="77777777" w:rsidR="00FA4499" w:rsidRPr="007F7C6D" w:rsidRDefault="00FA4499" w:rsidP="00FA4499">
            <w:pPr>
              <w:pStyle w:val="Noindent"/>
              <w:jc w:val="center"/>
            </w:pPr>
            <w:r w:rsidRPr="007F7C6D">
              <w:t>Expected concentration</w:t>
            </w:r>
          </w:p>
        </w:tc>
        <w:tc>
          <w:tcPr>
            <w:tcW w:w="0" w:type="auto"/>
            <w:vMerge w:val="restart"/>
            <w:tcBorders>
              <w:top w:val="single" w:sz="4" w:space="0" w:color="auto"/>
            </w:tcBorders>
            <w:noWrap/>
            <w:vAlign w:val="center"/>
            <w:hideMark/>
          </w:tcPr>
          <w:p w14:paraId="6C289BBA" w14:textId="77777777" w:rsidR="00FA4499" w:rsidRPr="007F7C6D" w:rsidRDefault="00FA4499" w:rsidP="00FA4499">
            <w:pPr>
              <w:pStyle w:val="Noindent"/>
              <w:jc w:val="center"/>
            </w:pPr>
            <w:r w:rsidRPr="007F7C6D">
              <w:t>OL</w:t>
            </w:r>
          </w:p>
        </w:tc>
        <w:tc>
          <w:tcPr>
            <w:tcW w:w="0" w:type="auto"/>
            <w:vMerge w:val="restart"/>
            <w:tcBorders>
              <w:top w:val="single" w:sz="4" w:space="0" w:color="auto"/>
            </w:tcBorders>
            <w:noWrap/>
            <w:vAlign w:val="center"/>
            <w:hideMark/>
          </w:tcPr>
          <w:p w14:paraId="6CEB1419" w14:textId="77777777" w:rsidR="00FA4499" w:rsidRPr="007F7C6D" w:rsidRDefault="00FA4499" w:rsidP="00FA4499">
            <w:pPr>
              <w:pStyle w:val="Noindent"/>
              <w:jc w:val="center"/>
            </w:pPr>
            <w:r w:rsidRPr="007F7C6D">
              <w:t>CBD</w:t>
            </w:r>
          </w:p>
        </w:tc>
        <w:tc>
          <w:tcPr>
            <w:tcW w:w="0" w:type="auto"/>
            <w:vMerge w:val="restart"/>
            <w:tcBorders>
              <w:top w:val="single" w:sz="4" w:space="0" w:color="auto"/>
            </w:tcBorders>
            <w:noWrap/>
            <w:vAlign w:val="center"/>
            <w:hideMark/>
          </w:tcPr>
          <w:p w14:paraId="116EE1B8" w14:textId="77777777" w:rsidR="00FA4499" w:rsidRPr="007F7C6D" w:rsidRDefault="00FA4499" w:rsidP="00FA4499">
            <w:pPr>
              <w:pStyle w:val="Noindent"/>
              <w:jc w:val="center"/>
            </w:pPr>
            <w:r w:rsidRPr="007F7C6D">
              <w:t>THC</w:t>
            </w:r>
          </w:p>
        </w:tc>
        <w:tc>
          <w:tcPr>
            <w:tcW w:w="0" w:type="auto"/>
            <w:vMerge w:val="restart"/>
            <w:tcBorders>
              <w:top w:val="single" w:sz="4" w:space="0" w:color="auto"/>
            </w:tcBorders>
            <w:noWrap/>
            <w:vAlign w:val="center"/>
            <w:hideMark/>
          </w:tcPr>
          <w:p w14:paraId="65D61334" w14:textId="77777777" w:rsidR="00FA4499" w:rsidRPr="007F7C6D" w:rsidRDefault="00FA4499" w:rsidP="00FA4499">
            <w:pPr>
              <w:pStyle w:val="Noindent"/>
              <w:jc w:val="center"/>
            </w:pPr>
            <w:r w:rsidRPr="007F7C6D">
              <w:t>OA</w:t>
            </w:r>
          </w:p>
        </w:tc>
        <w:tc>
          <w:tcPr>
            <w:tcW w:w="0" w:type="auto"/>
            <w:vMerge w:val="restart"/>
            <w:tcBorders>
              <w:top w:val="single" w:sz="4" w:space="0" w:color="auto"/>
            </w:tcBorders>
            <w:noWrap/>
            <w:vAlign w:val="center"/>
            <w:hideMark/>
          </w:tcPr>
          <w:p w14:paraId="60AB970B" w14:textId="77777777" w:rsidR="00FA4499" w:rsidRPr="007F7C6D" w:rsidRDefault="00FA4499" w:rsidP="00FA4499">
            <w:pPr>
              <w:pStyle w:val="Noindent"/>
              <w:jc w:val="center"/>
            </w:pPr>
            <w:r w:rsidRPr="007F7C6D">
              <w:t>CBDA</w:t>
            </w:r>
          </w:p>
        </w:tc>
        <w:tc>
          <w:tcPr>
            <w:tcW w:w="0" w:type="auto"/>
            <w:vMerge w:val="restart"/>
            <w:tcBorders>
              <w:top w:val="single" w:sz="4" w:space="0" w:color="auto"/>
            </w:tcBorders>
            <w:noWrap/>
            <w:vAlign w:val="center"/>
            <w:hideMark/>
          </w:tcPr>
          <w:p w14:paraId="31CE6314" w14:textId="77777777" w:rsidR="00FA4499" w:rsidRPr="007F7C6D" w:rsidRDefault="00FA4499" w:rsidP="00FA4499">
            <w:pPr>
              <w:pStyle w:val="Noindent"/>
              <w:jc w:val="center"/>
            </w:pPr>
            <w:r w:rsidRPr="007F7C6D">
              <w:t>THCA</w:t>
            </w:r>
          </w:p>
        </w:tc>
        <w:tc>
          <w:tcPr>
            <w:tcW w:w="0" w:type="auto"/>
            <w:vMerge w:val="restart"/>
            <w:tcBorders>
              <w:top w:val="single" w:sz="4" w:space="0" w:color="auto"/>
            </w:tcBorders>
            <w:noWrap/>
            <w:vAlign w:val="center"/>
            <w:hideMark/>
          </w:tcPr>
          <w:p w14:paraId="55BBC730" w14:textId="77777777" w:rsidR="00FA4499" w:rsidRPr="007F7C6D" w:rsidRDefault="00FA4499" w:rsidP="00FA4499">
            <w:pPr>
              <w:pStyle w:val="Noindent"/>
              <w:jc w:val="center"/>
            </w:pPr>
            <w:r w:rsidRPr="007F7C6D">
              <w:t>CBGA</w:t>
            </w:r>
          </w:p>
        </w:tc>
      </w:tr>
      <w:tr w:rsidR="00FA4499" w:rsidRPr="007F7C6D" w14:paraId="4CE0D459" w14:textId="77777777" w:rsidTr="00FA4499">
        <w:trPr>
          <w:trHeight w:val="288"/>
          <w:jc w:val="center"/>
        </w:trPr>
        <w:tc>
          <w:tcPr>
            <w:tcW w:w="0" w:type="auto"/>
            <w:vMerge/>
            <w:tcBorders>
              <w:bottom w:val="single" w:sz="4" w:space="0" w:color="auto"/>
            </w:tcBorders>
            <w:vAlign w:val="center"/>
            <w:hideMark/>
          </w:tcPr>
          <w:p w14:paraId="5758A815" w14:textId="77777777" w:rsidR="00FA4499" w:rsidRPr="007F7C6D" w:rsidRDefault="00FA4499" w:rsidP="00FA4499">
            <w:pPr>
              <w:pStyle w:val="Noindent"/>
              <w:jc w:val="center"/>
            </w:pPr>
          </w:p>
        </w:tc>
        <w:tc>
          <w:tcPr>
            <w:tcW w:w="0" w:type="auto"/>
            <w:tcBorders>
              <w:top w:val="single" w:sz="4" w:space="0" w:color="auto"/>
              <w:bottom w:val="single" w:sz="4" w:space="0" w:color="auto"/>
            </w:tcBorders>
            <w:vAlign w:val="center"/>
            <w:hideMark/>
          </w:tcPr>
          <w:p w14:paraId="7F351BFF" w14:textId="77777777" w:rsidR="00FA4499" w:rsidRPr="007F7C6D" w:rsidRDefault="00FA4499" w:rsidP="00FA4499">
            <w:pPr>
              <w:pStyle w:val="Noindent"/>
              <w:jc w:val="center"/>
            </w:pPr>
            <w:r w:rsidRPr="007F7C6D">
              <w:t>In culture (ppb)</w:t>
            </w:r>
          </w:p>
        </w:tc>
        <w:tc>
          <w:tcPr>
            <w:tcW w:w="0" w:type="auto"/>
            <w:tcBorders>
              <w:top w:val="single" w:sz="4" w:space="0" w:color="auto"/>
              <w:bottom w:val="single" w:sz="4" w:space="0" w:color="auto"/>
            </w:tcBorders>
            <w:vAlign w:val="center"/>
            <w:hideMark/>
          </w:tcPr>
          <w:p w14:paraId="337FF4D5" w14:textId="77777777" w:rsidR="00FA4499" w:rsidRPr="007F7C6D" w:rsidRDefault="00FA4499" w:rsidP="00FA4499">
            <w:pPr>
              <w:pStyle w:val="Noindent"/>
              <w:jc w:val="center"/>
            </w:pPr>
            <w:r w:rsidRPr="007F7C6D">
              <w:t>In methanol (ppm)</w:t>
            </w:r>
          </w:p>
        </w:tc>
        <w:tc>
          <w:tcPr>
            <w:tcW w:w="0" w:type="auto"/>
            <w:vMerge/>
            <w:tcBorders>
              <w:bottom w:val="single" w:sz="4" w:space="0" w:color="auto"/>
            </w:tcBorders>
            <w:vAlign w:val="center"/>
            <w:hideMark/>
          </w:tcPr>
          <w:p w14:paraId="4EE05822" w14:textId="77777777" w:rsidR="00FA4499" w:rsidRPr="007F7C6D" w:rsidRDefault="00FA4499" w:rsidP="00FA4499">
            <w:pPr>
              <w:pStyle w:val="Noindent"/>
              <w:jc w:val="center"/>
            </w:pPr>
          </w:p>
        </w:tc>
        <w:tc>
          <w:tcPr>
            <w:tcW w:w="0" w:type="auto"/>
            <w:vMerge/>
            <w:tcBorders>
              <w:bottom w:val="single" w:sz="4" w:space="0" w:color="auto"/>
            </w:tcBorders>
            <w:vAlign w:val="center"/>
            <w:hideMark/>
          </w:tcPr>
          <w:p w14:paraId="0FA1F881" w14:textId="77777777" w:rsidR="00FA4499" w:rsidRPr="007F7C6D" w:rsidRDefault="00FA4499" w:rsidP="00FA4499">
            <w:pPr>
              <w:pStyle w:val="Noindent"/>
              <w:jc w:val="center"/>
            </w:pPr>
          </w:p>
        </w:tc>
        <w:tc>
          <w:tcPr>
            <w:tcW w:w="0" w:type="auto"/>
            <w:vMerge/>
            <w:tcBorders>
              <w:bottom w:val="single" w:sz="4" w:space="0" w:color="auto"/>
            </w:tcBorders>
            <w:vAlign w:val="center"/>
            <w:hideMark/>
          </w:tcPr>
          <w:p w14:paraId="53C732C5" w14:textId="77777777" w:rsidR="00FA4499" w:rsidRPr="007F7C6D" w:rsidRDefault="00FA4499" w:rsidP="00FA4499">
            <w:pPr>
              <w:pStyle w:val="Noindent"/>
              <w:jc w:val="center"/>
            </w:pPr>
          </w:p>
        </w:tc>
        <w:tc>
          <w:tcPr>
            <w:tcW w:w="0" w:type="auto"/>
            <w:vMerge/>
            <w:tcBorders>
              <w:bottom w:val="single" w:sz="4" w:space="0" w:color="auto"/>
            </w:tcBorders>
            <w:vAlign w:val="center"/>
            <w:hideMark/>
          </w:tcPr>
          <w:p w14:paraId="1BF39B77" w14:textId="77777777" w:rsidR="00FA4499" w:rsidRPr="007F7C6D" w:rsidRDefault="00FA4499" w:rsidP="00FA4499">
            <w:pPr>
              <w:pStyle w:val="Noindent"/>
              <w:jc w:val="center"/>
            </w:pPr>
          </w:p>
        </w:tc>
        <w:tc>
          <w:tcPr>
            <w:tcW w:w="0" w:type="auto"/>
            <w:vMerge/>
            <w:tcBorders>
              <w:bottom w:val="single" w:sz="4" w:space="0" w:color="auto"/>
            </w:tcBorders>
            <w:vAlign w:val="center"/>
            <w:hideMark/>
          </w:tcPr>
          <w:p w14:paraId="6B9FED49" w14:textId="77777777" w:rsidR="00FA4499" w:rsidRPr="007F7C6D" w:rsidRDefault="00FA4499" w:rsidP="00FA4499">
            <w:pPr>
              <w:pStyle w:val="Noindent"/>
              <w:jc w:val="center"/>
            </w:pPr>
          </w:p>
        </w:tc>
        <w:tc>
          <w:tcPr>
            <w:tcW w:w="0" w:type="auto"/>
            <w:vMerge/>
            <w:tcBorders>
              <w:bottom w:val="single" w:sz="4" w:space="0" w:color="auto"/>
            </w:tcBorders>
            <w:vAlign w:val="center"/>
            <w:hideMark/>
          </w:tcPr>
          <w:p w14:paraId="715EE72D" w14:textId="77777777" w:rsidR="00FA4499" w:rsidRPr="007F7C6D" w:rsidRDefault="00FA4499" w:rsidP="00FA4499">
            <w:pPr>
              <w:pStyle w:val="Noindent"/>
              <w:jc w:val="center"/>
            </w:pPr>
          </w:p>
        </w:tc>
        <w:tc>
          <w:tcPr>
            <w:tcW w:w="0" w:type="auto"/>
            <w:vMerge/>
            <w:tcBorders>
              <w:bottom w:val="single" w:sz="4" w:space="0" w:color="auto"/>
            </w:tcBorders>
            <w:vAlign w:val="center"/>
            <w:hideMark/>
          </w:tcPr>
          <w:p w14:paraId="60D7ABA5" w14:textId="77777777" w:rsidR="00FA4499" w:rsidRPr="007F7C6D" w:rsidRDefault="00FA4499" w:rsidP="00FA4499">
            <w:pPr>
              <w:pStyle w:val="Noindent"/>
              <w:jc w:val="center"/>
            </w:pPr>
          </w:p>
        </w:tc>
      </w:tr>
      <w:tr w:rsidR="00FA4499" w:rsidRPr="007F7C6D" w14:paraId="40DB5065" w14:textId="77777777" w:rsidTr="00FA4499">
        <w:trPr>
          <w:trHeight w:val="288"/>
          <w:jc w:val="center"/>
        </w:trPr>
        <w:tc>
          <w:tcPr>
            <w:tcW w:w="0" w:type="auto"/>
            <w:tcBorders>
              <w:top w:val="single" w:sz="4" w:space="0" w:color="auto"/>
            </w:tcBorders>
            <w:noWrap/>
            <w:vAlign w:val="center"/>
            <w:hideMark/>
          </w:tcPr>
          <w:p w14:paraId="683F3A63" w14:textId="77777777" w:rsidR="00FA4499" w:rsidRPr="007F7C6D" w:rsidRDefault="00FA4499" w:rsidP="00FA4499">
            <w:pPr>
              <w:pStyle w:val="Noindent"/>
              <w:jc w:val="center"/>
            </w:pPr>
            <w:r w:rsidRPr="007F7C6D">
              <w:t>100</w:t>
            </w:r>
          </w:p>
        </w:tc>
        <w:tc>
          <w:tcPr>
            <w:tcW w:w="0" w:type="auto"/>
            <w:tcBorders>
              <w:top w:val="single" w:sz="4" w:space="0" w:color="auto"/>
            </w:tcBorders>
            <w:noWrap/>
            <w:vAlign w:val="center"/>
            <w:hideMark/>
          </w:tcPr>
          <w:p w14:paraId="5CAFE2EC" w14:textId="77777777" w:rsidR="00FA4499" w:rsidRPr="007F7C6D" w:rsidRDefault="00FA4499" w:rsidP="00FA4499">
            <w:pPr>
              <w:pStyle w:val="Noindent"/>
              <w:jc w:val="center"/>
            </w:pPr>
            <w:r w:rsidRPr="007F7C6D">
              <w:t>2</w:t>
            </w:r>
          </w:p>
        </w:tc>
        <w:tc>
          <w:tcPr>
            <w:tcW w:w="0" w:type="auto"/>
            <w:tcBorders>
              <w:top w:val="single" w:sz="4" w:space="0" w:color="auto"/>
            </w:tcBorders>
            <w:noWrap/>
            <w:vAlign w:val="center"/>
            <w:hideMark/>
          </w:tcPr>
          <w:p w14:paraId="62A15458" w14:textId="77777777" w:rsidR="00FA4499" w:rsidRPr="007F7C6D" w:rsidRDefault="00FA4499" w:rsidP="00FA4499">
            <w:pPr>
              <w:pStyle w:val="Noindent"/>
              <w:jc w:val="center"/>
            </w:pPr>
            <w:r w:rsidRPr="007F7C6D">
              <w:t>0.1</w:t>
            </w:r>
          </w:p>
        </w:tc>
        <w:tc>
          <w:tcPr>
            <w:tcW w:w="0" w:type="auto"/>
            <w:tcBorders>
              <w:top w:val="single" w:sz="4" w:space="0" w:color="auto"/>
            </w:tcBorders>
            <w:noWrap/>
            <w:vAlign w:val="center"/>
            <w:hideMark/>
          </w:tcPr>
          <w:p w14:paraId="622DA14A" w14:textId="77777777" w:rsidR="00FA4499" w:rsidRPr="007F7C6D" w:rsidRDefault="00FA4499" w:rsidP="00FA4499">
            <w:pPr>
              <w:pStyle w:val="Noindent"/>
              <w:jc w:val="center"/>
            </w:pPr>
            <w:r w:rsidRPr="007F7C6D">
              <w:t>4.35</w:t>
            </w:r>
          </w:p>
        </w:tc>
        <w:tc>
          <w:tcPr>
            <w:tcW w:w="0" w:type="auto"/>
            <w:tcBorders>
              <w:top w:val="single" w:sz="4" w:space="0" w:color="auto"/>
            </w:tcBorders>
            <w:noWrap/>
            <w:vAlign w:val="center"/>
            <w:hideMark/>
          </w:tcPr>
          <w:p w14:paraId="0B916E40" w14:textId="77777777" w:rsidR="00FA4499" w:rsidRPr="007F7C6D" w:rsidRDefault="00FA4499" w:rsidP="00FA4499">
            <w:pPr>
              <w:pStyle w:val="Noindent"/>
              <w:jc w:val="center"/>
            </w:pPr>
            <w:r w:rsidRPr="007F7C6D">
              <w:t>13.39</w:t>
            </w:r>
          </w:p>
        </w:tc>
        <w:tc>
          <w:tcPr>
            <w:tcW w:w="0" w:type="auto"/>
            <w:tcBorders>
              <w:top w:val="single" w:sz="4" w:space="0" w:color="auto"/>
            </w:tcBorders>
            <w:noWrap/>
            <w:vAlign w:val="center"/>
            <w:hideMark/>
          </w:tcPr>
          <w:p w14:paraId="653F42F9" w14:textId="77777777" w:rsidR="00FA4499" w:rsidRPr="007F7C6D" w:rsidRDefault="00FA4499" w:rsidP="00FA4499">
            <w:pPr>
              <w:pStyle w:val="Noindent"/>
              <w:jc w:val="center"/>
            </w:pPr>
            <w:r w:rsidRPr="007F7C6D">
              <w:t>10.34</w:t>
            </w:r>
          </w:p>
        </w:tc>
        <w:tc>
          <w:tcPr>
            <w:tcW w:w="0" w:type="auto"/>
            <w:tcBorders>
              <w:top w:val="single" w:sz="4" w:space="0" w:color="auto"/>
            </w:tcBorders>
            <w:noWrap/>
            <w:vAlign w:val="center"/>
            <w:hideMark/>
          </w:tcPr>
          <w:p w14:paraId="46F92D5D" w14:textId="77777777" w:rsidR="00FA4499" w:rsidRPr="007F7C6D" w:rsidRDefault="00FA4499" w:rsidP="00FA4499">
            <w:pPr>
              <w:pStyle w:val="Noindent"/>
              <w:jc w:val="center"/>
            </w:pPr>
            <w:r w:rsidRPr="007F7C6D">
              <w:t>5.07</w:t>
            </w:r>
          </w:p>
        </w:tc>
        <w:tc>
          <w:tcPr>
            <w:tcW w:w="0" w:type="auto"/>
            <w:tcBorders>
              <w:top w:val="single" w:sz="4" w:space="0" w:color="auto"/>
            </w:tcBorders>
            <w:noWrap/>
            <w:vAlign w:val="center"/>
            <w:hideMark/>
          </w:tcPr>
          <w:p w14:paraId="604E19A2" w14:textId="77777777" w:rsidR="00FA4499" w:rsidRPr="007F7C6D" w:rsidRDefault="00FA4499" w:rsidP="00FA4499">
            <w:pPr>
              <w:pStyle w:val="Noindent"/>
              <w:jc w:val="center"/>
            </w:pPr>
            <w:r w:rsidRPr="007F7C6D">
              <w:t>6.60</w:t>
            </w:r>
          </w:p>
        </w:tc>
        <w:tc>
          <w:tcPr>
            <w:tcW w:w="0" w:type="auto"/>
            <w:tcBorders>
              <w:top w:val="single" w:sz="4" w:space="0" w:color="auto"/>
            </w:tcBorders>
            <w:noWrap/>
            <w:vAlign w:val="center"/>
            <w:hideMark/>
          </w:tcPr>
          <w:p w14:paraId="2F3A3551" w14:textId="77777777" w:rsidR="00FA4499" w:rsidRPr="007F7C6D" w:rsidRDefault="00FA4499" w:rsidP="00FA4499">
            <w:pPr>
              <w:pStyle w:val="Noindent"/>
              <w:jc w:val="center"/>
            </w:pPr>
            <w:r w:rsidRPr="007F7C6D">
              <w:t>5.68</w:t>
            </w:r>
          </w:p>
        </w:tc>
        <w:tc>
          <w:tcPr>
            <w:tcW w:w="0" w:type="auto"/>
            <w:tcBorders>
              <w:top w:val="single" w:sz="4" w:space="0" w:color="auto"/>
            </w:tcBorders>
            <w:noWrap/>
            <w:vAlign w:val="center"/>
            <w:hideMark/>
          </w:tcPr>
          <w:p w14:paraId="671C399E" w14:textId="77777777" w:rsidR="00FA4499" w:rsidRPr="007F7C6D" w:rsidRDefault="00FA4499" w:rsidP="00FA4499">
            <w:pPr>
              <w:pStyle w:val="Noindent"/>
              <w:jc w:val="center"/>
            </w:pPr>
            <w:r w:rsidRPr="007F7C6D">
              <w:t>10.00</w:t>
            </w:r>
          </w:p>
        </w:tc>
      </w:tr>
      <w:tr w:rsidR="00FA4499" w:rsidRPr="007F7C6D" w14:paraId="361AF183" w14:textId="77777777" w:rsidTr="00FA4499">
        <w:trPr>
          <w:trHeight w:val="288"/>
          <w:jc w:val="center"/>
        </w:trPr>
        <w:tc>
          <w:tcPr>
            <w:tcW w:w="0" w:type="auto"/>
            <w:noWrap/>
            <w:vAlign w:val="center"/>
            <w:hideMark/>
          </w:tcPr>
          <w:p w14:paraId="38A7FF0B" w14:textId="77777777" w:rsidR="00FA4499" w:rsidRPr="007F7C6D" w:rsidRDefault="00FA4499" w:rsidP="00FA4499">
            <w:pPr>
              <w:pStyle w:val="Noindent"/>
              <w:jc w:val="center"/>
            </w:pPr>
            <w:r w:rsidRPr="007F7C6D">
              <w:t>300</w:t>
            </w:r>
          </w:p>
        </w:tc>
        <w:tc>
          <w:tcPr>
            <w:tcW w:w="0" w:type="auto"/>
            <w:noWrap/>
            <w:vAlign w:val="center"/>
            <w:hideMark/>
          </w:tcPr>
          <w:p w14:paraId="1FF0265C" w14:textId="77777777" w:rsidR="00FA4499" w:rsidRPr="007F7C6D" w:rsidRDefault="00FA4499" w:rsidP="00FA4499">
            <w:pPr>
              <w:pStyle w:val="Noindent"/>
              <w:jc w:val="center"/>
            </w:pPr>
            <w:r w:rsidRPr="007F7C6D">
              <w:t>6</w:t>
            </w:r>
          </w:p>
        </w:tc>
        <w:tc>
          <w:tcPr>
            <w:tcW w:w="0" w:type="auto"/>
            <w:noWrap/>
            <w:vAlign w:val="center"/>
            <w:hideMark/>
          </w:tcPr>
          <w:p w14:paraId="5AFC5756" w14:textId="77777777" w:rsidR="00FA4499" w:rsidRPr="007F7C6D" w:rsidRDefault="00FA4499" w:rsidP="00FA4499">
            <w:pPr>
              <w:pStyle w:val="Noindent"/>
              <w:jc w:val="center"/>
            </w:pPr>
            <w:r w:rsidRPr="007F7C6D">
              <w:t>0.3</w:t>
            </w:r>
          </w:p>
        </w:tc>
        <w:tc>
          <w:tcPr>
            <w:tcW w:w="0" w:type="auto"/>
            <w:noWrap/>
            <w:vAlign w:val="center"/>
            <w:hideMark/>
          </w:tcPr>
          <w:p w14:paraId="1DAF55C3" w14:textId="77777777" w:rsidR="00FA4499" w:rsidRPr="007F7C6D" w:rsidRDefault="00FA4499" w:rsidP="00FA4499">
            <w:pPr>
              <w:pStyle w:val="Noindent"/>
              <w:jc w:val="center"/>
            </w:pPr>
            <w:r w:rsidRPr="007F7C6D">
              <w:t>9.68</w:t>
            </w:r>
          </w:p>
        </w:tc>
        <w:tc>
          <w:tcPr>
            <w:tcW w:w="0" w:type="auto"/>
            <w:noWrap/>
            <w:vAlign w:val="center"/>
            <w:hideMark/>
          </w:tcPr>
          <w:p w14:paraId="6A79D34F" w14:textId="77777777" w:rsidR="00FA4499" w:rsidRPr="007F7C6D" w:rsidRDefault="00FA4499" w:rsidP="00FA4499">
            <w:pPr>
              <w:pStyle w:val="Noindent"/>
              <w:jc w:val="center"/>
            </w:pPr>
            <w:r w:rsidRPr="007F7C6D">
              <w:t>11.58</w:t>
            </w:r>
          </w:p>
        </w:tc>
        <w:tc>
          <w:tcPr>
            <w:tcW w:w="0" w:type="auto"/>
            <w:noWrap/>
            <w:vAlign w:val="center"/>
            <w:hideMark/>
          </w:tcPr>
          <w:p w14:paraId="5EAC63C0" w14:textId="77777777" w:rsidR="00FA4499" w:rsidRPr="007F7C6D" w:rsidRDefault="00FA4499" w:rsidP="00FA4499">
            <w:pPr>
              <w:pStyle w:val="Noindent"/>
              <w:jc w:val="center"/>
            </w:pPr>
            <w:r w:rsidRPr="007F7C6D">
              <w:t>13.16</w:t>
            </w:r>
          </w:p>
        </w:tc>
        <w:tc>
          <w:tcPr>
            <w:tcW w:w="0" w:type="auto"/>
            <w:noWrap/>
            <w:vAlign w:val="center"/>
            <w:hideMark/>
          </w:tcPr>
          <w:p w14:paraId="167BA5BA" w14:textId="77777777" w:rsidR="00FA4499" w:rsidRPr="007F7C6D" w:rsidRDefault="00FA4499" w:rsidP="00FA4499">
            <w:pPr>
              <w:pStyle w:val="Noindent"/>
              <w:jc w:val="center"/>
            </w:pPr>
            <w:r w:rsidRPr="007F7C6D">
              <w:t>6.02</w:t>
            </w:r>
          </w:p>
        </w:tc>
        <w:tc>
          <w:tcPr>
            <w:tcW w:w="0" w:type="auto"/>
            <w:noWrap/>
            <w:vAlign w:val="center"/>
            <w:hideMark/>
          </w:tcPr>
          <w:p w14:paraId="20919668" w14:textId="77777777" w:rsidR="00FA4499" w:rsidRPr="007F7C6D" w:rsidRDefault="00FA4499" w:rsidP="00FA4499">
            <w:pPr>
              <w:pStyle w:val="Noindent"/>
              <w:jc w:val="center"/>
            </w:pPr>
            <w:r w:rsidRPr="007F7C6D">
              <w:t>2.63</w:t>
            </w:r>
          </w:p>
        </w:tc>
        <w:tc>
          <w:tcPr>
            <w:tcW w:w="0" w:type="auto"/>
            <w:noWrap/>
            <w:vAlign w:val="center"/>
            <w:hideMark/>
          </w:tcPr>
          <w:p w14:paraId="0C43D25A" w14:textId="77777777" w:rsidR="00FA4499" w:rsidRPr="007F7C6D" w:rsidRDefault="00FA4499" w:rsidP="00FA4499">
            <w:pPr>
              <w:pStyle w:val="Noindent"/>
              <w:jc w:val="center"/>
            </w:pPr>
            <w:r w:rsidRPr="007F7C6D">
              <w:t>4.50</w:t>
            </w:r>
          </w:p>
        </w:tc>
        <w:tc>
          <w:tcPr>
            <w:tcW w:w="0" w:type="auto"/>
            <w:noWrap/>
            <w:vAlign w:val="center"/>
            <w:hideMark/>
          </w:tcPr>
          <w:p w14:paraId="20E96D83" w14:textId="77777777" w:rsidR="00FA4499" w:rsidRPr="007F7C6D" w:rsidRDefault="00FA4499" w:rsidP="00FA4499">
            <w:pPr>
              <w:pStyle w:val="Noindent"/>
              <w:jc w:val="center"/>
            </w:pPr>
            <w:r w:rsidRPr="007F7C6D">
              <w:t>4.92</w:t>
            </w:r>
          </w:p>
        </w:tc>
      </w:tr>
      <w:tr w:rsidR="00FA4499" w:rsidRPr="007F7C6D" w14:paraId="35F0A4FE" w14:textId="77777777" w:rsidTr="00FA4499">
        <w:trPr>
          <w:trHeight w:val="288"/>
          <w:jc w:val="center"/>
        </w:trPr>
        <w:tc>
          <w:tcPr>
            <w:tcW w:w="0" w:type="auto"/>
            <w:noWrap/>
            <w:vAlign w:val="center"/>
            <w:hideMark/>
          </w:tcPr>
          <w:p w14:paraId="42B00DE6" w14:textId="77777777" w:rsidR="00FA4499" w:rsidRPr="007F7C6D" w:rsidRDefault="00FA4499" w:rsidP="00FA4499">
            <w:pPr>
              <w:pStyle w:val="Noindent"/>
              <w:jc w:val="center"/>
            </w:pPr>
            <w:r w:rsidRPr="007F7C6D">
              <w:t>500</w:t>
            </w:r>
          </w:p>
        </w:tc>
        <w:tc>
          <w:tcPr>
            <w:tcW w:w="0" w:type="auto"/>
            <w:noWrap/>
            <w:vAlign w:val="center"/>
            <w:hideMark/>
          </w:tcPr>
          <w:p w14:paraId="77120C30" w14:textId="77777777" w:rsidR="00FA4499" w:rsidRPr="007F7C6D" w:rsidRDefault="00FA4499" w:rsidP="00FA4499">
            <w:pPr>
              <w:pStyle w:val="Noindent"/>
              <w:jc w:val="center"/>
            </w:pPr>
            <w:r w:rsidRPr="007F7C6D">
              <w:t>10</w:t>
            </w:r>
          </w:p>
        </w:tc>
        <w:tc>
          <w:tcPr>
            <w:tcW w:w="0" w:type="auto"/>
            <w:noWrap/>
            <w:vAlign w:val="center"/>
            <w:hideMark/>
          </w:tcPr>
          <w:p w14:paraId="0A6A9343" w14:textId="77777777" w:rsidR="00FA4499" w:rsidRPr="007F7C6D" w:rsidRDefault="00FA4499" w:rsidP="00FA4499">
            <w:pPr>
              <w:pStyle w:val="Noindent"/>
              <w:jc w:val="center"/>
            </w:pPr>
            <w:r w:rsidRPr="007F7C6D">
              <w:t>0.5</w:t>
            </w:r>
          </w:p>
        </w:tc>
        <w:tc>
          <w:tcPr>
            <w:tcW w:w="0" w:type="auto"/>
            <w:noWrap/>
            <w:vAlign w:val="center"/>
            <w:hideMark/>
          </w:tcPr>
          <w:p w14:paraId="35A034B4" w14:textId="77777777" w:rsidR="00FA4499" w:rsidRPr="007F7C6D" w:rsidRDefault="00FA4499" w:rsidP="00FA4499">
            <w:pPr>
              <w:pStyle w:val="Noindent"/>
              <w:jc w:val="center"/>
            </w:pPr>
            <w:r w:rsidRPr="007F7C6D">
              <w:t>14.74</w:t>
            </w:r>
          </w:p>
        </w:tc>
        <w:tc>
          <w:tcPr>
            <w:tcW w:w="0" w:type="auto"/>
            <w:noWrap/>
            <w:vAlign w:val="center"/>
            <w:hideMark/>
          </w:tcPr>
          <w:p w14:paraId="5E129C2E" w14:textId="77777777" w:rsidR="00FA4499" w:rsidRPr="007F7C6D" w:rsidRDefault="00FA4499" w:rsidP="00FA4499">
            <w:pPr>
              <w:pStyle w:val="Noindent"/>
              <w:jc w:val="center"/>
            </w:pPr>
            <w:r w:rsidRPr="007F7C6D">
              <w:t>11.77</w:t>
            </w:r>
          </w:p>
        </w:tc>
        <w:tc>
          <w:tcPr>
            <w:tcW w:w="0" w:type="auto"/>
            <w:noWrap/>
            <w:vAlign w:val="center"/>
            <w:hideMark/>
          </w:tcPr>
          <w:p w14:paraId="0AFE72CC" w14:textId="77777777" w:rsidR="00FA4499" w:rsidRPr="007F7C6D" w:rsidRDefault="00FA4499" w:rsidP="00FA4499">
            <w:pPr>
              <w:pStyle w:val="Noindent"/>
              <w:jc w:val="center"/>
            </w:pPr>
            <w:r w:rsidRPr="007F7C6D">
              <w:t>9.78</w:t>
            </w:r>
          </w:p>
        </w:tc>
        <w:tc>
          <w:tcPr>
            <w:tcW w:w="0" w:type="auto"/>
            <w:noWrap/>
            <w:vAlign w:val="center"/>
            <w:hideMark/>
          </w:tcPr>
          <w:p w14:paraId="5E86A6AB" w14:textId="77777777" w:rsidR="00FA4499" w:rsidRPr="007F7C6D" w:rsidRDefault="00FA4499" w:rsidP="00FA4499">
            <w:pPr>
              <w:pStyle w:val="Noindent"/>
              <w:jc w:val="center"/>
            </w:pPr>
            <w:r w:rsidRPr="007F7C6D">
              <w:t>7.09</w:t>
            </w:r>
          </w:p>
        </w:tc>
        <w:tc>
          <w:tcPr>
            <w:tcW w:w="0" w:type="auto"/>
            <w:noWrap/>
            <w:vAlign w:val="center"/>
            <w:hideMark/>
          </w:tcPr>
          <w:p w14:paraId="6EB4CE8D" w14:textId="77777777" w:rsidR="00FA4499" w:rsidRPr="007F7C6D" w:rsidRDefault="00FA4499" w:rsidP="00FA4499">
            <w:pPr>
              <w:pStyle w:val="Noindent"/>
              <w:jc w:val="center"/>
            </w:pPr>
            <w:r w:rsidRPr="007F7C6D">
              <w:t>1.64</w:t>
            </w:r>
          </w:p>
        </w:tc>
        <w:tc>
          <w:tcPr>
            <w:tcW w:w="0" w:type="auto"/>
            <w:noWrap/>
            <w:vAlign w:val="center"/>
            <w:hideMark/>
          </w:tcPr>
          <w:p w14:paraId="2964EEA9" w14:textId="77777777" w:rsidR="00FA4499" w:rsidRPr="007F7C6D" w:rsidRDefault="00FA4499" w:rsidP="00FA4499">
            <w:pPr>
              <w:pStyle w:val="Noindent"/>
              <w:jc w:val="center"/>
            </w:pPr>
            <w:r w:rsidRPr="007F7C6D">
              <w:t>2.27</w:t>
            </w:r>
          </w:p>
        </w:tc>
        <w:tc>
          <w:tcPr>
            <w:tcW w:w="0" w:type="auto"/>
            <w:noWrap/>
            <w:vAlign w:val="center"/>
            <w:hideMark/>
          </w:tcPr>
          <w:p w14:paraId="2024918E" w14:textId="77777777" w:rsidR="00FA4499" w:rsidRPr="007F7C6D" w:rsidRDefault="00FA4499" w:rsidP="00FA4499">
            <w:pPr>
              <w:pStyle w:val="Noindent"/>
              <w:jc w:val="center"/>
            </w:pPr>
            <w:r w:rsidRPr="007F7C6D">
              <w:t>5.49</w:t>
            </w:r>
          </w:p>
        </w:tc>
      </w:tr>
      <w:tr w:rsidR="00FA4499" w:rsidRPr="007F7C6D" w14:paraId="41454A90" w14:textId="77777777" w:rsidTr="00FA4499">
        <w:trPr>
          <w:trHeight w:val="288"/>
          <w:jc w:val="center"/>
        </w:trPr>
        <w:tc>
          <w:tcPr>
            <w:tcW w:w="0" w:type="auto"/>
            <w:tcBorders>
              <w:bottom w:val="single" w:sz="4" w:space="0" w:color="auto"/>
            </w:tcBorders>
            <w:noWrap/>
            <w:vAlign w:val="center"/>
            <w:hideMark/>
          </w:tcPr>
          <w:p w14:paraId="6BF664C9" w14:textId="77777777" w:rsidR="00FA4499" w:rsidRPr="007F7C6D" w:rsidRDefault="00FA4499" w:rsidP="00FA4499">
            <w:pPr>
              <w:pStyle w:val="Noindent"/>
              <w:jc w:val="center"/>
            </w:pPr>
            <w:r w:rsidRPr="007F7C6D">
              <w:t>5000</w:t>
            </w:r>
          </w:p>
        </w:tc>
        <w:tc>
          <w:tcPr>
            <w:tcW w:w="0" w:type="auto"/>
            <w:tcBorders>
              <w:bottom w:val="single" w:sz="4" w:space="0" w:color="auto"/>
            </w:tcBorders>
            <w:noWrap/>
            <w:vAlign w:val="center"/>
            <w:hideMark/>
          </w:tcPr>
          <w:p w14:paraId="66855BEB" w14:textId="77777777" w:rsidR="00FA4499" w:rsidRPr="007F7C6D" w:rsidRDefault="00FA4499" w:rsidP="00FA4499">
            <w:pPr>
              <w:pStyle w:val="Noindent"/>
              <w:jc w:val="center"/>
            </w:pPr>
            <w:r w:rsidRPr="007F7C6D">
              <w:t>100</w:t>
            </w:r>
          </w:p>
        </w:tc>
        <w:tc>
          <w:tcPr>
            <w:tcW w:w="0" w:type="auto"/>
            <w:tcBorders>
              <w:bottom w:val="single" w:sz="4" w:space="0" w:color="auto"/>
            </w:tcBorders>
            <w:noWrap/>
            <w:vAlign w:val="center"/>
            <w:hideMark/>
          </w:tcPr>
          <w:p w14:paraId="25242B9A" w14:textId="77777777" w:rsidR="00FA4499" w:rsidRPr="007F7C6D" w:rsidRDefault="00FA4499" w:rsidP="00FA4499">
            <w:pPr>
              <w:pStyle w:val="Noindent"/>
              <w:jc w:val="center"/>
            </w:pPr>
            <w:r w:rsidRPr="007F7C6D">
              <w:t>5</w:t>
            </w:r>
          </w:p>
        </w:tc>
        <w:tc>
          <w:tcPr>
            <w:tcW w:w="0" w:type="auto"/>
            <w:tcBorders>
              <w:bottom w:val="single" w:sz="4" w:space="0" w:color="auto"/>
            </w:tcBorders>
            <w:noWrap/>
            <w:vAlign w:val="center"/>
            <w:hideMark/>
          </w:tcPr>
          <w:p w14:paraId="77A975A1" w14:textId="77777777" w:rsidR="00FA4499" w:rsidRPr="007F7C6D" w:rsidRDefault="00FA4499" w:rsidP="00FA4499">
            <w:pPr>
              <w:pStyle w:val="Noindent"/>
              <w:jc w:val="center"/>
            </w:pPr>
            <w:r w:rsidRPr="007F7C6D">
              <w:t>9.03</w:t>
            </w:r>
          </w:p>
        </w:tc>
        <w:tc>
          <w:tcPr>
            <w:tcW w:w="0" w:type="auto"/>
            <w:tcBorders>
              <w:bottom w:val="single" w:sz="4" w:space="0" w:color="auto"/>
            </w:tcBorders>
            <w:noWrap/>
            <w:vAlign w:val="center"/>
            <w:hideMark/>
          </w:tcPr>
          <w:p w14:paraId="3B1294A7" w14:textId="77777777" w:rsidR="00FA4499" w:rsidRPr="007F7C6D" w:rsidRDefault="00FA4499" w:rsidP="00FA4499">
            <w:pPr>
              <w:pStyle w:val="Noindent"/>
              <w:jc w:val="center"/>
            </w:pPr>
            <w:r w:rsidRPr="007F7C6D">
              <w:t>12.13</w:t>
            </w:r>
          </w:p>
        </w:tc>
        <w:tc>
          <w:tcPr>
            <w:tcW w:w="0" w:type="auto"/>
            <w:tcBorders>
              <w:bottom w:val="single" w:sz="4" w:space="0" w:color="auto"/>
            </w:tcBorders>
            <w:noWrap/>
            <w:vAlign w:val="center"/>
            <w:hideMark/>
          </w:tcPr>
          <w:p w14:paraId="52DDAB8D" w14:textId="77777777" w:rsidR="00FA4499" w:rsidRPr="007F7C6D" w:rsidRDefault="00FA4499" w:rsidP="00FA4499">
            <w:pPr>
              <w:pStyle w:val="Noindent"/>
              <w:jc w:val="center"/>
            </w:pPr>
            <w:r w:rsidRPr="007F7C6D">
              <w:t>9.99</w:t>
            </w:r>
          </w:p>
        </w:tc>
        <w:tc>
          <w:tcPr>
            <w:tcW w:w="0" w:type="auto"/>
            <w:tcBorders>
              <w:bottom w:val="single" w:sz="4" w:space="0" w:color="auto"/>
            </w:tcBorders>
            <w:noWrap/>
            <w:vAlign w:val="center"/>
            <w:hideMark/>
          </w:tcPr>
          <w:p w14:paraId="1D0B14BF" w14:textId="77777777" w:rsidR="00FA4499" w:rsidRPr="007F7C6D" w:rsidRDefault="00FA4499" w:rsidP="00FA4499">
            <w:pPr>
              <w:pStyle w:val="Noindent"/>
              <w:jc w:val="center"/>
            </w:pPr>
            <w:r w:rsidRPr="007F7C6D">
              <w:t>10.20</w:t>
            </w:r>
          </w:p>
        </w:tc>
        <w:tc>
          <w:tcPr>
            <w:tcW w:w="0" w:type="auto"/>
            <w:tcBorders>
              <w:bottom w:val="single" w:sz="4" w:space="0" w:color="auto"/>
            </w:tcBorders>
            <w:noWrap/>
            <w:vAlign w:val="center"/>
            <w:hideMark/>
          </w:tcPr>
          <w:p w14:paraId="4D2792AA" w14:textId="77777777" w:rsidR="00FA4499" w:rsidRPr="007F7C6D" w:rsidRDefault="00FA4499" w:rsidP="00FA4499">
            <w:pPr>
              <w:pStyle w:val="Noindent"/>
              <w:jc w:val="center"/>
            </w:pPr>
            <w:r w:rsidRPr="007F7C6D">
              <w:t>4.79</w:t>
            </w:r>
          </w:p>
        </w:tc>
        <w:tc>
          <w:tcPr>
            <w:tcW w:w="0" w:type="auto"/>
            <w:tcBorders>
              <w:bottom w:val="single" w:sz="4" w:space="0" w:color="auto"/>
            </w:tcBorders>
            <w:noWrap/>
            <w:vAlign w:val="center"/>
            <w:hideMark/>
          </w:tcPr>
          <w:p w14:paraId="02327534" w14:textId="77777777" w:rsidR="00FA4499" w:rsidRPr="007F7C6D" w:rsidRDefault="00FA4499" w:rsidP="00FA4499">
            <w:pPr>
              <w:pStyle w:val="Noindent"/>
              <w:jc w:val="center"/>
            </w:pPr>
            <w:r w:rsidRPr="007F7C6D">
              <w:t>8.75</w:t>
            </w:r>
          </w:p>
        </w:tc>
        <w:tc>
          <w:tcPr>
            <w:tcW w:w="0" w:type="auto"/>
            <w:tcBorders>
              <w:bottom w:val="single" w:sz="4" w:space="0" w:color="auto"/>
            </w:tcBorders>
            <w:noWrap/>
            <w:vAlign w:val="center"/>
            <w:hideMark/>
          </w:tcPr>
          <w:p w14:paraId="64C6FF84" w14:textId="77777777" w:rsidR="00FA4499" w:rsidRPr="007F7C6D" w:rsidRDefault="00FA4499" w:rsidP="00FA4499">
            <w:pPr>
              <w:pStyle w:val="Noindent"/>
              <w:jc w:val="center"/>
            </w:pPr>
            <w:r w:rsidRPr="007F7C6D">
              <w:t>7.49</w:t>
            </w:r>
          </w:p>
        </w:tc>
      </w:tr>
    </w:tbl>
    <w:p w14:paraId="1A4A5E77" w14:textId="77777777" w:rsidR="00FA4499" w:rsidRDefault="00FA4499" w:rsidP="00FA4499"/>
    <w:p w14:paraId="44F4FC2E" w14:textId="057B49BB" w:rsidR="00FA4499" w:rsidRDefault="00FA4499" w:rsidP="00FA4499">
      <w:pPr>
        <w:pStyle w:val="Noindent"/>
      </w:pPr>
    </w:p>
    <w:p w14:paraId="65C83651" w14:textId="77777777" w:rsidR="00FA4499" w:rsidRDefault="00FA4499" w:rsidP="00FA4499">
      <w:pPr>
        <w:pStyle w:val="Noindent"/>
      </w:pPr>
    </w:p>
    <w:p w14:paraId="08DE4216" w14:textId="77777777" w:rsidR="00FA4499" w:rsidRDefault="00FA4499">
      <w:pPr>
        <w:spacing w:after="160"/>
        <w:ind w:firstLine="0"/>
        <w:rPr>
          <w:lang w:eastAsia="en-US"/>
        </w:rPr>
      </w:pPr>
      <w:r>
        <w:br w:type="page"/>
      </w:r>
    </w:p>
    <w:p w14:paraId="7B69BD86" w14:textId="5199EEFA" w:rsidR="00FA4499" w:rsidRDefault="00FA4499" w:rsidP="00FA4499">
      <w:pPr>
        <w:pStyle w:val="Heading1"/>
      </w:pPr>
      <w:r>
        <w:lastRenderedPageBreak/>
        <w:t>Figure legends</w:t>
      </w:r>
    </w:p>
    <w:p w14:paraId="4AEBD450" w14:textId="77777777" w:rsidR="00FA4499" w:rsidRPr="002C6792" w:rsidRDefault="00FA4499" w:rsidP="00FA4499">
      <w:pPr>
        <w:pStyle w:val="Figurecaption"/>
        <w:rPr>
          <w:b w:val="0"/>
          <w:bCs w:val="0"/>
        </w:rPr>
      </w:pPr>
      <w:r w:rsidRPr="007D0A7C">
        <w:t>Fig</w:t>
      </w:r>
      <w:r>
        <w:t>.</w:t>
      </w:r>
      <w:r w:rsidRPr="007D0A7C">
        <w:t xml:space="preserve"> 1. </w:t>
      </w:r>
      <w:r w:rsidRPr="00080E4E">
        <w:rPr>
          <w:b w:val="0"/>
          <w:bCs w:val="0"/>
        </w:rPr>
        <w:t>Recovery rates of TMS derivatives after reconstitution in hexane. Three micrograms of each analyte were derivatized and reconstituted in hexane. The experiment was done in triplicate. Error bars represent 95% confidence intervals. Asterisk (*) indicates a significant (p &lt; 0.05) difference between before and after reconstitution in hexane based on t-test.</w:t>
      </w:r>
    </w:p>
    <w:p w14:paraId="3FEB4777" w14:textId="12C8B967" w:rsidR="00FA4499" w:rsidRPr="0081426A" w:rsidRDefault="00FA4499" w:rsidP="00FA4499">
      <w:pPr>
        <w:pStyle w:val="Figurecaption"/>
        <w:rPr>
          <w:b w:val="0"/>
          <w:bCs w:val="0"/>
        </w:rPr>
      </w:pPr>
      <w:r w:rsidRPr="007D0A7C">
        <w:t>Fig</w:t>
      </w:r>
      <w:r>
        <w:t>.</w:t>
      </w:r>
      <w:r w:rsidRPr="007D0A7C">
        <w:t xml:space="preserve"> 2. </w:t>
      </w:r>
      <w:r w:rsidRPr="00080E4E">
        <w:rPr>
          <w:b w:val="0"/>
          <w:bCs w:val="0"/>
        </w:rPr>
        <w:t>Extraction efficiency (%) of solvents</w:t>
      </w:r>
      <w:r w:rsidR="00080E4E" w:rsidRPr="00080E4E">
        <w:rPr>
          <w:b w:val="0"/>
          <w:bCs w:val="0"/>
        </w:rPr>
        <w:t xml:space="preserve">. Column heights represent mean values (n=3). </w:t>
      </w:r>
      <w:r w:rsidRPr="00080E4E">
        <w:rPr>
          <w:b w:val="0"/>
          <w:bCs w:val="0"/>
        </w:rPr>
        <w:t xml:space="preserve">Error bars represent standard deviations. For each analyte, asterisk (*) indicates the solvent had a significantly (p &lt; 0.05) lower extraction efficiency than methanol in </w:t>
      </w:r>
      <w:r w:rsidRPr="00080E4E">
        <w:rPr>
          <w:b w:val="0"/>
          <w:bCs w:val="0"/>
          <w:i/>
          <w:iCs/>
        </w:rPr>
        <w:t>Post Hoc</w:t>
      </w:r>
      <w:r w:rsidRPr="00080E4E">
        <w:rPr>
          <w:b w:val="0"/>
          <w:bCs w:val="0"/>
        </w:rPr>
        <w:t xml:space="preserve"> REGWQ test.</w:t>
      </w:r>
    </w:p>
    <w:p w14:paraId="1971D460" w14:textId="13FCADBA" w:rsidR="00FA4499" w:rsidRDefault="00FA4499" w:rsidP="00FA4499">
      <w:pPr>
        <w:pStyle w:val="Noindent"/>
      </w:pPr>
      <w:r w:rsidRPr="00FA4499">
        <w:rPr>
          <w:rFonts w:eastAsia="SimSun"/>
          <w:b/>
          <w:bCs/>
          <w:sz w:val="20"/>
        </w:rPr>
        <w:t xml:space="preserve">Fig. 3. </w:t>
      </w:r>
      <w:r w:rsidRPr="00001B98">
        <w:rPr>
          <w:rFonts w:eastAsia="SimSun"/>
          <w:sz w:val="20"/>
          <w:szCs w:val="20"/>
        </w:rPr>
        <w:t>Stability of TMS derivatives: (a) in pyridine and MSTFA at room temperature, (b) in pyridine and MSTFA at -20</w:t>
      </w:r>
      <w:r w:rsidRPr="00001B98">
        <w:rPr>
          <w:rFonts w:ascii="Calibri" w:eastAsia="SimSun" w:hAnsi="Calibri"/>
          <w:sz w:val="20"/>
          <w:szCs w:val="20"/>
        </w:rPr>
        <w:t>°</w:t>
      </w:r>
      <w:r w:rsidRPr="00001B98">
        <w:rPr>
          <w:rFonts w:eastAsia="SimSun" w:hint="eastAsia"/>
          <w:sz w:val="20"/>
          <w:szCs w:val="20"/>
          <w:lang w:eastAsia="zh-CN"/>
        </w:rPr>
        <w:t>C</w:t>
      </w:r>
      <w:r w:rsidRPr="00001B98">
        <w:rPr>
          <w:rFonts w:eastAsia="SimSun"/>
          <w:sz w:val="20"/>
          <w:szCs w:val="20"/>
          <w:lang w:eastAsia="zh-CN"/>
        </w:rPr>
        <w:t>,</w:t>
      </w:r>
      <w:r w:rsidRPr="00001B98">
        <w:rPr>
          <w:rFonts w:eastAsia="SimSun"/>
          <w:sz w:val="20"/>
          <w:szCs w:val="20"/>
        </w:rPr>
        <w:t xml:space="preserve"> (c) in hexane at room temperature, and (d) in hexane at -20</w:t>
      </w:r>
      <w:r w:rsidRPr="00001B98">
        <w:rPr>
          <w:rFonts w:ascii="Calibri" w:eastAsia="SimSun" w:hAnsi="Calibri"/>
          <w:sz w:val="20"/>
          <w:szCs w:val="20"/>
        </w:rPr>
        <w:t>°</w:t>
      </w:r>
      <w:r w:rsidRPr="00001B98">
        <w:rPr>
          <w:rFonts w:eastAsia="SimSun" w:hint="eastAsia"/>
          <w:sz w:val="20"/>
          <w:szCs w:val="20"/>
          <w:lang w:eastAsia="zh-CN"/>
        </w:rPr>
        <w:t>C</w:t>
      </w:r>
      <w:r w:rsidRPr="00001B98">
        <w:rPr>
          <w:rFonts w:eastAsia="SimSun"/>
          <w:sz w:val="20"/>
          <w:szCs w:val="20"/>
        </w:rPr>
        <w:t>. Column heights represent mean values (n=3). Error bars represent standard deviations.</w:t>
      </w:r>
      <w:r w:rsidRPr="00001B98">
        <w:rPr>
          <w:sz w:val="20"/>
          <w:szCs w:val="20"/>
          <w:lang w:eastAsia="zh-CN"/>
        </w:rPr>
        <w:t xml:space="preserve"> For each analyte, asterisk (*) indicates a significant difference (p &lt; 0.05) from Day 1 in </w:t>
      </w:r>
      <w:r w:rsidRPr="00001B98">
        <w:rPr>
          <w:i/>
          <w:iCs/>
          <w:sz w:val="20"/>
          <w:szCs w:val="20"/>
          <w:lang w:eastAsia="zh-CN"/>
        </w:rPr>
        <w:t>Post Hoc</w:t>
      </w:r>
      <w:r w:rsidRPr="00001B98">
        <w:rPr>
          <w:sz w:val="20"/>
          <w:szCs w:val="20"/>
          <w:lang w:eastAsia="zh-CN"/>
        </w:rPr>
        <w:t xml:space="preserve"> REGWQ test.</w:t>
      </w:r>
    </w:p>
    <w:sectPr w:rsidR="00FA4499" w:rsidSect="006B3FE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E659A9" w14:textId="77777777" w:rsidR="00B7699F" w:rsidRDefault="00B7699F" w:rsidP="00D06B29">
      <w:r>
        <w:separator/>
      </w:r>
    </w:p>
  </w:endnote>
  <w:endnote w:type="continuationSeparator" w:id="0">
    <w:p w14:paraId="47BCD7C0" w14:textId="77777777" w:rsidR="00B7699F" w:rsidRDefault="00B7699F" w:rsidP="00D06B29">
      <w:r>
        <w:continuationSeparator/>
      </w:r>
    </w:p>
  </w:endnote>
  <w:endnote w:type="continuationNotice" w:id="1">
    <w:p w14:paraId="4F6E726C" w14:textId="77777777" w:rsidR="00B7699F" w:rsidRDefault="00B769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62760247"/>
      <w:docPartObj>
        <w:docPartGallery w:val="Page Numbers (Bottom of Page)"/>
        <w:docPartUnique/>
      </w:docPartObj>
    </w:sdtPr>
    <w:sdtEndPr>
      <w:rPr>
        <w:noProof/>
      </w:rPr>
    </w:sdtEndPr>
    <w:sdtContent>
      <w:p w14:paraId="2438B0BE" w14:textId="3253D20D" w:rsidR="00BF61FF" w:rsidRDefault="00BF61FF" w:rsidP="00D06B29">
        <w:pPr>
          <w:pStyle w:val="Footer"/>
        </w:pPr>
        <w:r>
          <w:fldChar w:fldCharType="begin"/>
        </w:r>
        <w:r>
          <w:instrText xml:space="preserve"> PAGE   \* MERGEFORMAT </w:instrText>
        </w:r>
        <w:r>
          <w:fldChar w:fldCharType="separate"/>
        </w:r>
        <w:r>
          <w:rPr>
            <w:noProof/>
          </w:rPr>
          <w:t>2</w:t>
        </w:r>
        <w:r>
          <w:rPr>
            <w:noProof/>
          </w:rPr>
          <w:fldChar w:fldCharType="end"/>
        </w:r>
      </w:p>
    </w:sdtContent>
  </w:sdt>
  <w:p w14:paraId="3F18DE88" w14:textId="77777777" w:rsidR="00BF61FF" w:rsidRDefault="00BF61FF" w:rsidP="00D06B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BC2EC1" w14:textId="77777777" w:rsidR="00B7699F" w:rsidRDefault="00B7699F" w:rsidP="00D06B29">
      <w:r>
        <w:separator/>
      </w:r>
    </w:p>
  </w:footnote>
  <w:footnote w:type="continuationSeparator" w:id="0">
    <w:p w14:paraId="639F56CC" w14:textId="77777777" w:rsidR="00B7699F" w:rsidRDefault="00B7699F" w:rsidP="00D06B29">
      <w:r>
        <w:continuationSeparator/>
      </w:r>
    </w:p>
  </w:footnote>
  <w:footnote w:type="continuationNotice" w:id="1">
    <w:p w14:paraId="760080EE" w14:textId="77777777" w:rsidR="00B7699F" w:rsidRDefault="00B769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57123" w14:textId="77777777" w:rsidR="003F3F61" w:rsidRDefault="003F3F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A5D"/>
    <w:rsid w:val="00000CB3"/>
    <w:rsid w:val="00001B98"/>
    <w:rsid w:val="00002305"/>
    <w:rsid w:val="000109A1"/>
    <w:rsid w:val="00016489"/>
    <w:rsid w:val="00025380"/>
    <w:rsid w:val="00026184"/>
    <w:rsid w:val="00033810"/>
    <w:rsid w:val="00035446"/>
    <w:rsid w:val="000360E5"/>
    <w:rsid w:val="00051B04"/>
    <w:rsid w:val="00052332"/>
    <w:rsid w:val="00061B57"/>
    <w:rsid w:val="00063CF9"/>
    <w:rsid w:val="0006741C"/>
    <w:rsid w:val="00077AA9"/>
    <w:rsid w:val="000804F1"/>
    <w:rsid w:val="00080E4E"/>
    <w:rsid w:val="000821B2"/>
    <w:rsid w:val="00082404"/>
    <w:rsid w:val="00083C6E"/>
    <w:rsid w:val="000905F4"/>
    <w:rsid w:val="00092E70"/>
    <w:rsid w:val="000949C2"/>
    <w:rsid w:val="000950DD"/>
    <w:rsid w:val="00095B8E"/>
    <w:rsid w:val="00097EB2"/>
    <w:rsid w:val="000A3615"/>
    <w:rsid w:val="000A6150"/>
    <w:rsid w:val="000A7E4A"/>
    <w:rsid w:val="000B08D7"/>
    <w:rsid w:val="000B57D3"/>
    <w:rsid w:val="000C2550"/>
    <w:rsid w:val="000C56A9"/>
    <w:rsid w:val="000C56D6"/>
    <w:rsid w:val="000D08FE"/>
    <w:rsid w:val="000D6172"/>
    <w:rsid w:val="000D634B"/>
    <w:rsid w:val="000E11DC"/>
    <w:rsid w:val="000F1756"/>
    <w:rsid w:val="000F19D1"/>
    <w:rsid w:val="000F79F3"/>
    <w:rsid w:val="00100687"/>
    <w:rsid w:val="00101C39"/>
    <w:rsid w:val="00102F0B"/>
    <w:rsid w:val="0010318A"/>
    <w:rsid w:val="001056A4"/>
    <w:rsid w:val="00111701"/>
    <w:rsid w:val="00112841"/>
    <w:rsid w:val="00114631"/>
    <w:rsid w:val="0012161C"/>
    <w:rsid w:val="0012418D"/>
    <w:rsid w:val="0012562D"/>
    <w:rsid w:val="00125DF6"/>
    <w:rsid w:val="001260B8"/>
    <w:rsid w:val="00130EFB"/>
    <w:rsid w:val="0013113E"/>
    <w:rsid w:val="001319D4"/>
    <w:rsid w:val="00133775"/>
    <w:rsid w:val="00142840"/>
    <w:rsid w:val="00152478"/>
    <w:rsid w:val="00154FBF"/>
    <w:rsid w:val="001716CB"/>
    <w:rsid w:val="0018232A"/>
    <w:rsid w:val="001952B9"/>
    <w:rsid w:val="001A5A04"/>
    <w:rsid w:val="001A7361"/>
    <w:rsid w:val="001B5692"/>
    <w:rsid w:val="001B70F8"/>
    <w:rsid w:val="001C1E81"/>
    <w:rsid w:val="001C3B1A"/>
    <w:rsid w:val="001C79D7"/>
    <w:rsid w:val="001D083D"/>
    <w:rsid w:val="001D35CB"/>
    <w:rsid w:val="001D7761"/>
    <w:rsid w:val="001E20AD"/>
    <w:rsid w:val="001E35F4"/>
    <w:rsid w:val="001F458A"/>
    <w:rsid w:val="001F65F0"/>
    <w:rsid w:val="001F7EBF"/>
    <w:rsid w:val="00201B00"/>
    <w:rsid w:val="00202432"/>
    <w:rsid w:val="00210A79"/>
    <w:rsid w:val="002202E9"/>
    <w:rsid w:val="00226CAE"/>
    <w:rsid w:val="0023438D"/>
    <w:rsid w:val="002407DD"/>
    <w:rsid w:val="00243D4D"/>
    <w:rsid w:val="0024433B"/>
    <w:rsid w:val="002500AE"/>
    <w:rsid w:val="00250F24"/>
    <w:rsid w:val="00254C9F"/>
    <w:rsid w:val="002557B8"/>
    <w:rsid w:val="00261E65"/>
    <w:rsid w:val="00262EC4"/>
    <w:rsid w:val="002664F0"/>
    <w:rsid w:val="00266964"/>
    <w:rsid w:val="00266CB2"/>
    <w:rsid w:val="00266D18"/>
    <w:rsid w:val="002717DC"/>
    <w:rsid w:val="00273483"/>
    <w:rsid w:val="002773EB"/>
    <w:rsid w:val="00280ACA"/>
    <w:rsid w:val="00282ECF"/>
    <w:rsid w:val="00291467"/>
    <w:rsid w:val="00291C60"/>
    <w:rsid w:val="00294D78"/>
    <w:rsid w:val="002962A6"/>
    <w:rsid w:val="002A01A4"/>
    <w:rsid w:val="002A46D6"/>
    <w:rsid w:val="002A5E63"/>
    <w:rsid w:val="002B0A83"/>
    <w:rsid w:val="002B13FA"/>
    <w:rsid w:val="002B58A4"/>
    <w:rsid w:val="002C2B99"/>
    <w:rsid w:val="002C2D63"/>
    <w:rsid w:val="002C333D"/>
    <w:rsid w:val="002C3E6E"/>
    <w:rsid w:val="002D0101"/>
    <w:rsid w:val="002D15E6"/>
    <w:rsid w:val="002D7DCF"/>
    <w:rsid w:val="002E34DD"/>
    <w:rsid w:val="002E3E0C"/>
    <w:rsid w:val="002E49FB"/>
    <w:rsid w:val="002E5473"/>
    <w:rsid w:val="002E58B5"/>
    <w:rsid w:val="002F0294"/>
    <w:rsid w:val="002F3C1A"/>
    <w:rsid w:val="0030181E"/>
    <w:rsid w:val="003032AD"/>
    <w:rsid w:val="003037AF"/>
    <w:rsid w:val="003038CD"/>
    <w:rsid w:val="00305C8E"/>
    <w:rsid w:val="00307E2D"/>
    <w:rsid w:val="00310981"/>
    <w:rsid w:val="0031155B"/>
    <w:rsid w:val="0031296D"/>
    <w:rsid w:val="00313AB8"/>
    <w:rsid w:val="00315F45"/>
    <w:rsid w:val="00316EE6"/>
    <w:rsid w:val="003214B0"/>
    <w:rsid w:val="0032391E"/>
    <w:rsid w:val="003275D3"/>
    <w:rsid w:val="003279E5"/>
    <w:rsid w:val="00332338"/>
    <w:rsid w:val="00336068"/>
    <w:rsid w:val="00340AA3"/>
    <w:rsid w:val="00345386"/>
    <w:rsid w:val="00355D5E"/>
    <w:rsid w:val="00356175"/>
    <w:rsid w:val="00362B5F"/>
    <w:rsid w:val="00362BBD"/>
    <w:rsid w:val="0036703D"/>
    <w:rsid w:val="00370F71"/>
    <w:rsid w:val="00372B3F"/>
    <w:rsid w:val="00384856"/>
    <w:rsid w:val="00386A2E"/>
    <w:rsid w:val="00390FF9"/>
    <w:rsid w:val="003934F3"/>
    <w:rsid w:val="003948E3"/>
    <w:rsid w:val="003A1B38"/>
    <w:rsid w:val="003A58F1"/>
    <w:rsid w:val="003B518D"/>
    <w:rsid w:val="003C4FBD"/>
    <w:rsid w:val="003C7298"/>
    <w:rsid w:val="003D6A12"/>
    <w:rsid w:val="003E1E76"/>
    <w:rsid w:val="003E2C10"/>
    <w:rsid w:val="003E5128"/>
    <w:rsid w:val="003E5E00"/>
    <w:rsid w:val="003F339D"/>
    <w:rsid w:val="003F3F50"/>
    <w:rsid w:val="003F3F61"/>
    <w:rsid w:val="00405860"/>
    <w:rsid w:val="00405F3B"/>
    <w:rsid w:val="00410579"/>
    <w:rsid w:val="00414699"/>
    <w:rsid w:val="00425335"/>
    <w:rsid w:val="00426063"/>
    <w:rsid w:val="00431C21"/>
    <w:rsid w:val="004321DC"/>
    <w:rsid w:val="00434EF2"/>
    <w:rsid w:val="00435847"/>
    <w:rsid w:val="00442804"/>
    <w:rsid w:val="004553A4"/>
    <w:rsid w:val="0045619F"/>
    <w:rsid w:val="00456A25"/>
    <w:rsid w:val="00456B47"/>
    <w:rsid w:val="0045784E"/>
    <w:rsid w:val="004700D3"/>
    <w:rsid w:val="00470618"/>
    <w:rsid w:val="00470A38"/>
    <w:rsid w:val="00470D26"/>
    <w:rsid w:val="004716B2"/>
    <w:rsid w:val="00472AE8"/>
    <w:rsid w:val="0047473A"/>
    <w:rsid w:val="00475764"/>
    <w:rsid w:val="004767BF"/>
    <w:rsid w:val="00480D09"/>
    <w:rsid w:val="0048228C"/>
    <w:rsid w:val="00486E43"/>
    <w:rsid w:val="004935C3"/>
    <w:rsid w:val="00494A4E"/>
    <w:rsid w:val="00494F86"/>
    <w:rsid w:val="00495E42"/>
    <w:rsid w:val="004A38DA"/>
    <w:rsid w:val="004A5AF4"/>
    <w:rsid w:val="004B2153"/>
    <w:rsid w:val="004B4D26"/>
    <w:rsid w:val="004C0942"/>
    <w:rsid w:val="004C1457"/>
    <w:rsid w:val="004C3CE5"/>
    <w:rsid w:val="004C6307"/>
    <w:rsid w:val="004C7028"/>
    <w:rsid w:val="004D4586"/>
    <w:rsid w:val="004D51E4"/>
    <w:rsid w:val="004D573D"/>
    <w:rsid w:val="004D7486"/>
    <w:rsid w:val="004E5DCE"/>
    <w:rsid w:val="004E659B"/>
    <w:rsid w:val="004F29A6"/>
    <w:rsid w:val="004F42A9"/>
    <w:rsid w:val="00500F28"/>
    <w:rsid w:val="005015AD"/>
    <w:rsid w:val="00503E89"/>
    <w:rsid w:val="00504DA0"/>
    <w:rsid w:val="0050568E"/>
    <w:rsid w:val="0051331C"/>
    <w:rsid w:val="00513420"/>
    <w:rsid w:val="005153B9"/>
    <w:rsid w:val="00516457"/>
    <w:rsid w:val="005164E2"/>
    <w:rsid w:val="00516587"/>
    <w:rsid w:val="00517B0B"/>
    <w:rsid w:val="0052550C"/>
    <w:rsid w:val="0053078E"/>
    <w:rsid w:val="00530EE6"/>
    <w:rsid w:val="00532ACD"/>
    <w:rsid w:val="00533E40"/>
    <w:rsid w:val="00540FCD"/>
    <w:rsid w:val="00541B11"/>
    <w:rsid w:val="00542E3E"/>
    <w:rsid w:val="005434DF"/>
    <w:rsid w:val="00545A24"/>
    <w:rsid w:val="00552BCC"/>
    <w:rsid w:val="00553D0A"/>
    <w:rsid w:val="00555A5D"/>
    <w:rsid w:val="005570E3"/>
    <w:rsid w:val="00560A4F"/>
    <w:rsid w:val="00562AAB"/>
    <w:rsid w:val="00565F3C"/>
    <w:rsid w:val="005660D5"/>
    <w:rsid w:val="00566251"/>
    <w:rsid w:val="00573893"/>
    <w:rsid w:val="00580237"/>
    <w:rsid w:val="0058429A"/>
    <w:rsid w:val="00584742"/>
    <w:rsid w:val="00585CF4"/>
    <w:rsid w:val="00587CDD"/>
    <w:rsid w:val="00592C76"/>
    <w:rsid w:val="005963E4"/>
    <w:rsid w:val="00596419"/>
    <w:rsid w:val="0059778B"/>
    <w:rsid w:val="005A1E60"/>
    <w:rsid w:val="005A3A04"/>
    <w:rsid w:val="005A3D5D"/>
    <w:rsid w:val="005C05BC"/>
    <w:rsid w:val="005C19A0"/>
    <w:rsid w:val="005C2D65"/>
    <w:rsid w:val="005C4B97"/>
    <w:rsid w:val="005D024D"/>
    <w:rsid w:val="005D4A42"/>
    <w:rsid w:val="005D64E4"/>
    <w:rsid w:val="005D7818"/>
    <w:rsid w:val="005E1E7A"/>
    <w:rsid w:val="005E5E78"/>
    <w:rsid w:val="005E6597"/>
    <w:rsid w:val="005F15BC"/>
    <w:rsid w:val="005F48D0"/>
    <w:rsid w:val="00601E24"/>
    <w:rsid w:val="006023AA"/>
    <w:rsid w:val="00602ADA"/>
    <w:rsid w:val="0060411F"/>
    <w:rsid w:val="006103FF"/>
    <w:rsid w:val="00614539"/>
    <w:rsid w:val="00616F27"/>
    <w:rsid w:val="00620D08"/>
    <w:rsid w:val="00624CFA"/>
    <w:rsid w:val="00624E2D"/>
    <w:rsid w:val="00627C63"/>
    <w:rsid w:val="00634652"/>
    <w:rsid w:val="00635A93"/>
    <w:rsid w:val="0064056C"/>
    <w:rsid w:val="00644729"/>
    <w:rsid w:val="00644D84"/>
    <w:rsid w:val="006452D1"/>
    <w:rsid w:val="006474E2"/>
    <w:rsid w:val="006505CF"/>
    <w:rsid w:val="006548A9"/>
    <w:rsid w:val="00654A48"/>
    <w:rsid w:val="006557E3"/>
    <w:rsid w:val="00657C0D"/>
    <w:rsid w:val="0066084D"/>
    <w:rsid w:val="00663D0F"/>
    <w:rsid w:val="00664B24"/>
    <w:rsid w:val="00667F4C"/>
    <w:rsid w:val="00670ACD"/>
    <w:rsid w:val="006712A6"/>
    <w:rsid w:val="006728F3"/>
    <w:rsid w:val="00674689"/>
    <w:rsid w:val="00675A5E"/>
    <w:rsid w:val="006761CC"/>
    <w:rsid w:val="00677128"/>
    <w:rsid w:val="0068243E"/>
    <w:rsid w:val="00682457"/>
    <w:rsid w:val="00684A6C"/>
    <w:rsid w:val="0068589F"/>
    <w:rsid w:val="0068753E"/>
    <w:rsid w:val="00692E4B"/>
    <w:rsid w:val="0069584B"/>
    <w:rsid w:val="00697391"/>
    <w:rsid w:val="006A3B69"/>
    <w:rsid w:val="006B0C76"/>
    <w:rsid w:val="006B1294"/>
    <w:rsid w:val="006B2A7F"/>
    <w:rsid w:val="006B2DF5"/>
    <w:rsid w:val="006B3FE6"/>
    <w:rsid w:val="006B665D"/>
    <w:rsid w:val="006C154E"/>
    <w:rsid w:val="006C21AC"/>
    <w:rsid w:val="006C5855"/>
    <w:rsid w:val="006D0556"/>
    <w:rsid w:val="006D4316"/>
    <w:rsid w:val="006D6370"/>
    <w:rsid w:val="006D745C"/>
    <w:rsid w:val="006E0711"/>
    <w:rsid w:val="006E43A4"/>
    <w:rsid w:val="006E7BB9"/>
    <w:rsid w:val="006F04D2"/>
    <w:rsid w:val="006F0D42"/>
    <w:rsid w:val="006F3185"/>
    <w:rsid w:val="006F3208"/>
    <w:rsid w:val="007124BF"/>
    <w:rsid w:val="00725198"/>
    <w:rsid w:val="00730599"/>
    <w:rsid w:val="00731A49"/>
    <w:rsid w:val="007353B4"/>
    <w:rsid w:val="007473E6"/>
    <w:rsid w:val="007601BD"/>
    <w:rsid w:val="00762C0C"/>
    <w:rsid w:val="007641F2"/>
    <w:rsid w:val="00764897"/>
    <w:rsid w:val="00772D87"/>
    <w:rsid w:val="007805B0"/>
    <w:rsid w:val="00781CF6"/>
    <w:rsid w:val="0078433F"/>
    <w:rsid w:val="00785E93"/>
    <w:rsid w:val="0078671C"/>
    <w:rsid w:val="00787358"/>
    <w:rsid w:val="00787708"/>
    <w:rsid w:val="00793E87"/>
    <w:rsid w:val="007977CC"/>
    <w:rsid w:val="00797A45"/>
    <w:rsid w:val="007A3922"/>
    <w:rsid w:val="007A6EB2"/>
    <w:rsid w:val="007B21CF"/>
    <w:rsid w:val="007B4128"/>
    <w:rsid w:val="007B4530"/>
    <w:rsid w:val="007B75E9"/>
    <w:rsid w:val="007C3DC9"/>
    <w:rsid w:val="007C417F"/>
    <w:rsid w:val="007C4884"/>
    <w:rsid w:val="007C5B25"/>
    <w:rsid w:val="007D054D"/>
    <w:rsid w:val="007D0A7C"/>
    <w:rsid w:val="007D6485"/>
    <w:rsid w:val="007D71E9"/>
    <w:rsid w:val="007E0466"/>
    <w:rsid w:val="007E0D37"/>
    <w:rsid w:val="007E0E4B"/>
    <w:rsid w:val="007F20E3"/>
    <w:rsid w:val="007F45BC"/>
    <w:rsid w:val="007F5C26"/>
    <w:rsid w:val="007F6D3B"/>
    <w:rsid w:val="00800FBE"/>
    <w:rsid w:val="008110BF"/>
    <w:rsid w:val="0081426A"/>
    <w:rsid w:val="008144C3"/>
    <w:rsid w:val="00815BE4"/>
    <w:rsid w:val="008176F8"/>
    <w:rsid w:val="0082206A"/>
    <w:rsid w:val="00823174"/>
    <w:rsid w:val="00823912"/>
    <w:rsid w:val="00831865"/>
    <w:rsid w:val="008376B9"/>
    <w:rsid w:val="0084088A"/>
    <w:rsid w:val="0084219F"/>
    <w:rsid w:val="00844593"/>
    <w:rsid w:val="00845251"/>
    <w:rsid w:val="00846CD3"/>
    <w:rsid w:val="00850671"/>
    <w:rsid w:val="00852875"/>
    <w:rsid w:val="00852A3D"/>
    <w:rsid w:val="008552CA"/>
    <w:rsid w:val="00857E39"/>
    <w:rsid w:val="0086170B"/>
    <w:rsid w:val="00863E57"/>
    <w:rsid w:val="00867024"/>
    <w:rsid w:val="0087739E"/>
    <w:rsid w:val="00882BD8"/>
    <w:rsid w:val="00883CF5"/>
    <w:rsid w:val="008922DC"/>
    <w:rsid w:val="008963B4"/>
    <w:rsid w:val="008A546A"/>
    <w:rsid w:val="008B19B7"/>
    <w:rsid w:val="008B1E5B"/>
    <w:rsid w:val="008B5857"/>
    <w:rsid w:val="008B656B"/>
    <w:rsid w:val="008D4851"/>
    <w:rsid w:val="008D791B"/>
    <w:rsid w:val="008E6A65"/>
    <w:rsid w:val="008F126C"/>
    <w:rsid w:val="008F33D3"/>
    <w:rsid w:val="008F36F4"/>
    <w:rsid w:val="008F4071"/>
    <w:rsid w:val="008F79EC"/>
    <w:rsid w:val="00903035"/>
    <w:rsid w:val="00905EBB"/>
    <w:rsid w:val="00910EE5"/>
    <w:rsid w:val="00916033"/>
    <w:rsid w:val="00916EEC"/>
    <w:rsid w:val="0091778F"/>
    <w:rsid w:val="00917B01"/>
    <w:rsid w:val="009245F0"/>
    <w:rsid w:val="009260BD"/>
    <w:rsid w:val="00926A84"/>
    <w:rsid w:val="00927313"/>
    <w:rsid w:val="009321AA"/>
    <w:rsid w:val="00932650"/>
    <w:rsid w:val="00932D53"/>
    <w:rsid w:val="00935FAE"/>
    <w:rsid w:val="009378CD"/>
    <w:rsid w:val="00943A9F"/>
    <w:rsid w:val="0095019C"/>
    <w:rsid w:val="0095413B"/>
    <w:rsid w:val="00964F2B"/>
    <w:rsid w:val="00965441"/>
    <w:rsid w:val="00975FBA"/>
    <w:rsid w:val="009763DF"/>
    <w:rsid w:val="00977231"/>
    <w:rsid w:val="009777CF"/>
    <w:rsid w:val="00977F14"/>
    <w:rsid w:val="00980AB6"/>
    <w:rsid w:val="00981E0D"/>
    <w:rsid w:val="00982500"/>
    <w:rsid w:val="00985361"/>
    <w:rsid w:val="00986ACF"/>
    <w:rsid w:val="00992CAB"/>
    <w:rsid w:val="00994568"/>
    <w:rsid w:val="009949F5"/>
    <w:rsid w:val="00995347"/>
    <w:rsid w:val="009A0ECD"/>
    <w:rsid w:val="009A21D4"/>
    <w:rsid w:val="009A2841"/>
    <w:rsid w:val="009A2D3B"/>
    <w:rsid w:val="009A3283"/>
    <w:rsid w:val="009A39B4"/>
    <w:rsid w:val="009B48EA"/>
    <w:rsid w:val="009B682C"/>
    <w:rsid w:val="009C4EC3"/>
    <w:rsid w:val="009D4AFD"/>
    <w:rsid w:val="009D5488"/>
    <w:rsid w:val="009D751E"/>
    <w:rsid w:val="009D7624"/>
    <w:rsid w:val="009E3D2B"/>
    <w:rsid w:val="009F0A3A"/>
    <w:rsid w:val="00A004AF"/>
    <w:rsid w:val="00A021EF"/>
    <w:rsid w:val="00A047ED"/>
    <w:rsid w:val="00A0754B"/>
    <w:rsid w:val="00A07C04"/>
    <w:rsid w:val="00A12D69"/>
    <w:rsid w:val="00A15433"/>
    <w:rsid w:val="00A17092"/>
    <w:rsid w:val="00A20589"/>
    <w:rsid w:val="00A21635"/>
    <w:rsid w:val="00A21ADB"/>
    <w:rsid w:val="00A34CAE"/>
    <w:rsid w:val="00A36166"/>
    <w:rsid w:val="00A41FCE"/>
    <w:rsid w:val="00A422C7"/>
    <w:rsid w:val="00A4732E"/>
    <w:rsid w:val="00A52AE6"/>
    <w:rsid w:val="00A5587E"/>
    <w:rsid w:val="00A60B13"/>
    <w:rsid w:val="00A60D24"/>
    <w:rsid w:val="00A63D7C"/>
    <w:rsid w:val="00A64C18"/>
    <w:rsid w:val="00A674DA"/>
    <w:rsid w:val="00A77017"/>
    <w:rsid w:val="00A774BD"/>
    <w:rsid w:val="00A82C93"/>
    <w:rsid w:val="00A87559"/>
    <w:rsid w:val="00A941C3"/>
    <w:rsid w:val="00A95511"/>
    <w:rsid w:val="00AA1067"/>
    <w:rsid w:val="00AA3B0D"/>
    <w:rsid w:val="00AA6E4A"/>
    <w:rsid w:val="00AB2FB3"/>
    <w:rsid w:val="00AB432E"/>
    <w:rsid w:val="00AB6BF1"/>
    <w:rsid w:val="00AC083D"/>
    <w:rsid w:val="00AC2BEF"/>
    <w:rsid w:val="00AC6F54"/>
    <w:rsid w:val="00AD1B46"/>
    <w:rsid w:val="00AD692B"/>
    <w:rsid w:val="00AD76DF"/>
    <w:rsid w:val="00AE71CD"/>
    <w:rsid w:val="00AF1402"/>
    <w:rsid w:val="00AF4420"/>
    <w:rsid w:val="00AF63BE"/>
    <w:rsid w:val="00B017FF"/>
    <w:rsid w:val="00B02B0D"/>
    <w:rsid w:val="00B074DE"/>
    <w:rsid w:val="00B212F4"/>
    <w:rsid w:val="00B22A86"/>
    <w:rsid w:val="00B43D5E"/>
    <w:rsid w:val="00B528E1"/>
    <w:rsid w:val="00B601F8"/>
    <w:rsid w:val="00B67133"/>
    <w:rsid w:val="00B71B5D"/>
    <w:rsid w:val="00B73425"/>
    <w:rsid w:val="00B74E54"/>
    <w:rsid w:val="00B7699F"/>
    <w:rsid w:val="00B774CE"/>
    <w:rsid w:val="00B77D34"/>
    <w:rsid w:val="00B80146"/>
    <w:rsid w:val="00B80D7E"/>
    <w:rsid w:val="00B82E69"/>
    <w:rsid w:val="00B83047"/>
    <w:rsid w:val="00B8583F"/>
    <w:rsid w:val="00B86946"/>
    <w:rsid w:val="00B87F1C"/>
    <w:rsid w:val="00B93B11"/>
    <w:rsid w:val="00B9665A"/>
    <w:rsid w:val="00B9719F"/>
    <w:rsid w:val="00BA2833"/>
    <w:rsid w:val="00BA2942"/>
    <w:rsid w:val="00BA3736"/>
    <w:rsid w:val="00BA613B"/>
    <w:rsid w:val="00BA7B2E"/>
    <w:rsid w:val="00BB4E74"/>
    <w:rsid w:val="00BB6B74"/>
    <w:rsid w:val="00BB6E2C"/>
    <w:rsid w:val="00BC2A8F"/>
    <w:rsid w:val="00BC53EE"/>
    <w:rsid w:val="00BC7E92"/>
    <w:rsid w:val="00BD05C9"/>
    <w:rsid w:val="00BD57EC"/>
    <w:rsid w:val="00BD6977"/>
    <w:rsid w:val="00BE1358"/>
    <w:rsid w:val="00BE3EB3"/>
    <w:rsid w:val="00BE4A9C"/>
    <w:rsid w:val="00BF0C1C"/>
    <w:rsid w:val="00BF2679"/>
    <w:rsid w:val="00BF4AEF"/>
    <w:rsid w:val="00BF61FF"/>
    <w:rsid w:val="00BF7EC0"/>
    <w:rsid w:val="00C045A9"/>
    <w:rsid w:val="00C053D3"/>
    <w:rsid w:val="00C07FC1"/>
    <w:rsid w:val="00C11B06"/>
    <w:rsid w:val="00C158CD"/>
    <w:rsid w:val="00C15E96"/>
    <w:rsid w:val="00C23AEA"/>
    <w:rsid w:val="00C333CB"/>
    <w:rsid w:val="00C442AB"/>
    <w:rsid w:val="00C5250E"/>
    <w:rsid w:val="00C53AB4"/>
    <w:rsid w:val="00C53E37"/>
    <w:rsid w:val="00C62D3A"/>
    <w:rsid w:val="00C72BBA"/>
    <w:rsid w:val="00C72F62"/>
    <w:rsid w:val="00C75B90"/>
    <w:rsid w:val="00C8224A"/>
    <w:rsid w:val="00C82D1F"/>
    <w:rsid w:val="00C92269"/>
    <w:rsid w:val="00C9547A"/>
    <w:rsid w:val="00C96388"/>
    <w:rsid w:val="00C9721A"/>
    <w:rsid w:val="00CA4E02"/>
    <w:rsid w:val="00CB0B99"/>
    <w:rsid w:val="00CB41CC"/>
    <w:rsid w:val="00CB44F3"/>
    <w:rsid w:val="00CB5BF0"/>
    <w:rsid w:val="00CB6A6E"/>
    <w:rsid w:val="00CC20A8"/>
    <w:rsid w:val="00CC2C64"/>
    <w:rsid w:val="00CC3AEA"/>
    <w:rsid w:val="00CC4F2A"/>
    <w:rsid w:val="00CD1859"/>
    <w:rsid w:val="00CD2E59"/>
    <w:rsid w:val="00CD568F"/>
    <w:rsid w:val="00CD7B95"/>
    <w:rsid w:val="00CE11AE"/>
    <w:rsid w:val="00CE767E"/>
    <w:rsid w:val="00CF5509"/>
    <w:rsid w:val="00CF65E6"/>
    <w:rsid w:val="00CF79F9"/>
    <w:rsid w:val="00D058C9"/>
    <w:rsid w:val="00D06B29"/>
    <w:rsid w:val="00D13EC4"/>
    <w:rsid w:val="00D14D52"/>
    <w:rsid w:val="00D21C02"/>
    <w:rsid w:val="00D2430B"/>
    <w:rsid w:val="00D27BE0"/>
    <w:rsid w:val="00D327E8"/>
    <w:rsid w:val="00D34A19"/>
    <w:rsid w:val="00D417A2"/>
    <w:rsid w:val="00D44224"/>
    <w:rsid w:val="00D50D56"/>
    <w:rsid w:val="00D5283F"/>
    <w:rsid w:val="00D5350A"/>
    <w:rsid w:val="00D6142F"/>
    <w:rsid w:val="00D631C4"/>
    <w:rsid w:val="00D65D49"/>
    <w:rsid w:val="00D660DE"/>
    <w:rsid w:val="00D71529"/>
    <w:rsid w:val="00D744C9"/>
    <w:rsid w:val="00D839EB"/>
    <w:rsid w:val="00D86B4A"/>
    <w:rsid w:val="00DA1419"/>
    <w:rsid w:val="00DA6D12"/>
    <w:rsid w:val="00DA7A99"/>
    <w:rsid w:val="00DB0894"/>
    <w:rsid w:val="00DB65F0"/>
    <w:rsid w:val="00DB7D99"/>
    <w:rsid w:val="00DC189B"/>
    <w:rsid w:val="00DC234F"/>
    <w:rsid w:val="00DC39BC"/>
    <w:rsid w:val="00DC44F9"/>
    <w:rsid w:val="00DC5667"/>
    <w:rsid w:val="00DC5A3C"/>
    <w:rsid w:val="00DD69FC"/>
    <w:rsid w:val="00DE02FB"/>
    <w:rsid w:val="00DE1EAD"/>
    <w:rsid w:val="00DE5E8A"/>
    <w:rsid w:val="00DE7F08"/>
    <w:rsid w:val="00DF1D54"/>
    <w:rsid w:val="00DF2FF2"/>
    <w:rsid w:val="00DF3FCA"/>
    <w:rsid w:val="00DF6F75"/>
    <w:rsid w:val="00E246D6"/>
    <w:rsid w:val="00E269A4"/>
    <w:rsid w:val="00E26F0E"/>
    <w:rsid w:val="00E32AF0"/>
    <w:rsid w:val="00E40C5D"/>
    <w:rsid w:val="00E473EC"/>
    <w:rsid w:val="00E530F3"/>
    <w:rsid w:val="00E567F7"/>
    <w:rsid w:val="00E61615"/>
    <w:rsid w:val="00E62689"/>
    <w:rsid w:val="00E679D6"/>
    <w:rsid w:val="00E70683"/>
    <w:rsid w:val="00E73693"/>
    <w:rsid w:val="00E7784F"/>
    <w:rsid w:val="00E806FA"/>
    <w:rsid w:val="00E80FD1"/>
    <w:rsid w:val="00E81BD6"/>
    <w:rsid w:val="00E8409E"/>
    <w:rsid w:val="00E86F6A"/>
    <w:rsid w:val="00E921CD"/>
    <w:rsid w:val="00E923D2"/>
    <w:rsid w:val="00E96ED3"/>
    <w:rsid w:val="00EA139F"/>
    <w:rsid w:val="00EA1B65"/>
    <w:rsid w:val="00EA4280"/>
    <w:rsid w:val="00EA5725"/>
    <w:rsid w:val="00EB35B1"/>
    <w:rsid w:val="00EB72CA"/>
    <w:rsid w:val="00EC2CE1"/>
    <w:rsid w:val="00ED433F"/>
    <w:rsid w:val="00ED5A39"/>
    <w:rsid w:val="00ED7E35"/>
    <w:rsid w:val="00EE7168"/>
    <w:rsid w:val="00EF0E39"/>
    <w:rsid w:val="00EF2C5E"/>
    <w:rsid w:val="00EF734A"/>
    <w:rsid w:val="00F01743"/>
    <w:rsid w:val="00F076A0"/>
    <w:rsid w:val="00F1088D"/>
    <w:rsid w:val="00F12A54"/>
    <w:rsid w:val="00F12ADE"/>
    <w:rsid w:val="00F138CE"/>
    <w:rsid w:val="00F206F2"/>
    <w:rsid w:val="00F2341D"/>
    <w:rsid w:val="00F2415F"/>
    <w:rsid w:val="00F258C9"/>
    <w:rsid w:val="00F26FBF"/>
    <w:rsid w:val="00F27215"/>
    <w:rsid w:val="00F325E5"/>
    <w:rsid w:val="00F33464"/>
    <w:rsid w:val="00F46D5E"/>
    <w:rsid w:val="00F47D86"/>
    <w:rsid w:val="00F5355E"/>
    <w:rsid w:val="00F546DC"/>
    <w:rsid w:val="00F554F6"/>
    <w:rsid w:val="00F6180A"/>
    <w:rsid w:val="00F6206A"/>
    <w:rsid w:val="00F63042"/>
    <w:rsid w:val="00F7065A"/>
    <w:rsid w:val="00F70F80"/>
    <w:rsid w:val="00F719B5"/>
    <w:rsid w:val="00F71CCB"/>
    <w:rsid w:val="00F73233"/>
    <w:rsid w:val="00F802F1"/>
    <w:rsid w:val="00F831AB"/>
    <w:rsid w:val="00F85FD4"/>
    <w:rsid w:val="00FA3727"/>
    <w:rsid w:val="00FA40B4"/>
    <w:rsid w:val="00FA4499"/>
    <w:rsid w:val="00FA6407"/>
    <w:rsid w:val="00FA68E1"/>
    <w:rsid w:val="00FB0116"/>
    <w:rsid w:val="00FB12D7"/>
    <w:rsid w:val="00FB7516"/>
    <w:rsid w:val="00FC2AA6"/>
    <w:rsid w:val="00FC3078"/>
    <w:rsid w:val="00FC4A52"/>
    <w:rsid w:val="00FC53C3"/>
    <w:rsid w:val="00FC688D"/>
    <w:rsid w:val="00FD6BD0"/>
    <w:rsid w:val="00FE170D"/>
    <w:rsid w:val="00FE39DC"/>
    <w:rsid w:val="00FE7980"/>
    <w:rsid w:val="00FF29B8"/>
    <w:rsid w:val="00FF381B"/>
    <w:rsid w:val="00FF4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60B8F"/>
  <w15:chartTrackingRefBased/>
  <w15:docId w15:val="{1337F1B5-91F7-407D-989A-D2549E994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B29"/>
    <w:pPr>
      <w:spacing w:after="120"/>
      <w:ind w:firstLine="288"/>
    </w:pPr>
  </w:style>
  <w:style w:type="paragraph" w:styleId="Heading1">
    <w:name w:val="heading 1"/>
    <w:next w:val="Normal"/>
    <w:link w:val="Heading1Char"/>
    <w:autoRedefine/>
    <w:uiPriority w:val="9"/>
    <w:qFormat/>
    <w:rsid w:val="001F7EBF"/>
    <w:pPr>
      <w:keepNext/>
      <w:keepLines/>
      <w:spacing w:before="240" w:after="120" w:line="240" w:lineRule="auto"/>
      <w:outlineLvl w:val="0"/>
    </w:pPr>
    <w:rPr>
      <w:rFonts w:eastAsiaTheme="majorEastAsia" w:cstheme="majorBidi"/>
      <w:b/>
      <w:bCs/>
      <w:sz w:val="28"/>
      <w:szCs w:val="28"/>
      <w:lang w:eastAsia="en-US"/>
    </w:rPr>
  </w:style>
  <w:style w:type="paragraph" w:styleId="Heading2">
    <w:name w:val="heading 2"/>
    <w:basedOn w:val="Normal"/>
    <w:next w:val="Normal"/>
    <w:link w:val="Heading2Char"/>
    <w:autoRedefine/>
    <w:uiPriority w:val="9"/>
    <w:unhideWhenUsed/>
    <w:qFormat/>
    <w:rsid w:val="00982500"/>
    <w:pPr>
      <w:keepNext/>
      <w:keepLines/>
      <w:spacing w:before="120" w:line="240" w:lineRule="auto"/>
      <w:ind w:firstLine="0"/>
      <w:outlineLvl w:val="1"/>
    </w:pPr>
    <w:rPr>
      <w:rFonts w:cstheme="minorHAnsi"/>
      <w:b/>
      <w:bCs/>
      <w:sz w:val="24"/>
      <w:szCs w:val="26"/>
      <w:lang w:eastAsia="en-US"/>
    </w:rPr>
  </w:style>
  <w:style w:type="paragraph" w:styleId="Heading3">
    <w:name w:val="heading 3"/>
    <w:basedOn w:val="Normal"/>
    <w:next w:val="Normal"/>
    <w:link w:val="Heading3Char"/>
    <w:autoRedefine/>
    <w:uiPriority w:val="9"/>
    <w:unhideWhenUsed/>
    <w:qFormat/>
    <w:rsid w:val="006E43A4"/>
    <w:pPr>
      <w:keepNext/>
      <w:keepLines/>
      <w:spacing w:line="240" w:lineRule="auto"/>
      <w:ind w:firstLine="0"/>
      <w:outlineLvl w:val="2"/>
    </w:pPr>
    <w:rPr>
      <w:rFonts w:eastAsiaTheme="majorEastAsia" w:cstheme="majorBidi"/>
      <w: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E530F3"/>
    <w:pPr>
      <w:spacing w:after="0" w:line="480" w:lineRule="auto"/>
      <w:ind w:left="720" w:hanging="720"/>
    </w:pPr>
  </w:style>
  <w:style w:type="table" w:styleId="TableGrid">
    <w:name w:val="Table Grid"/>
    <w:basedOn w:val="TableNormal"/>
    <w:uiPriority w:val="39"/>
    <w:rsid w:val="00542E3E"/>
    <w:pPr>
      <w:spacing w:after="0" w:line="240" w:lineRule="auto"/>
    </w:pPr>
    <w:rPr>
      <w:rFonts w:eastAsia="SimSu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216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1635"/>
    <w:rPr>
      <w:rFonts w:ascii="Segoe UI" w:hAnsi="Segoe UI" w:cs="Segoe UI"/>
      <w:sz w:val="18"/>
      <w:szCs w:val="18"/>
    </w:rPr>
  </w:style>
  <w:style w:type="paragraph" w:styleId="Header">
    <w:name w:val="header"/>
    <w:basedOn w:val="Normal"/>
    <w:link w:val="HeaderChar"/>
    <w:uiPriority w:val="99"/>
    <w:unhideWhenUsed/>
    <w:rsid w:val="00BC7E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7E92"/>
  </w:style>
  <w:style w:type="paragraph" w:styleId="Footer">
    <w:name w:val="footer"/>
    <w:basedOn w:val="Normal"/>
    <w:link w:val="FooterChar"/>
    <w:uiPriority w:val="99"/>
    <w:unhideWhenUsed/>
    <w:rsid w:val="00BC7E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7E92"/>
  </w:style>
  <w:style w:type="character" w:customStyle="1" w:styleId="Heading1Char">
    <w:name w:val="Heading 1 Char"/>
    <w:basedOn w:val="DefaultParagraphFont"/>
    <w:link w:val="Heading1"/>
    <w:uiPriority w:val="9"/>
    <w:rsid w:val="001F7EBF"/>
    <w:rPr>
      <w:rFonts w:eastAsiaTheme="majorEastAsia" w:cstheme="majorBidi"/>
      <w:b/>
      <w:bCs/>
      <w:sz w:val="28"/>
      <w:szCs w:val="28"/>
      <w:lang w:eastAsia="en-US"/>
    </w:rPr>
  </w:style>
  <w:style w:type="character" w:customStyle="1" w:styleId="Heading2Char">
    <w:name w:val="Heading 2 Char"/>
    <w:basedOn w:val="DefaultParagraphFont"/>
    <w:link w:val="Heading2"/>
    <w:uiPriority w:val="9"/>
    <w:rsid w:val="00982500"/>
    <w:rPr>
      <w:rFonts w:cstheme="minorHAnsi"/>
      <w:b/>
      <w:bCs/>
      <w:sz w:val="24"/>
      <w:szCs w:val="26"/>
      <w:lang w:eastAsia="en-US"/>
    </w:rPr>
  </w:style>
  <w:style w:type="character" w:customStyle="1" w:styleId="Heading3Char">
    <w:name w:val="Heading 3 Char"/>
    <w:basedOn w:val="DefaultParagraphFont"/>
    <w:link w:val="Heading3"/>
    <w:uiPriority w:val="9"/>
    <w:rsid w:val="006E43A4"/>
    <w:rPr>
      <w:rFonts w:eastAsiaTheme="majorEastAsia" w:cstheme="majorBidi"/>
      <w:i/>
      <w:sz w:val="24"/>
      <w:szCs w:val="24"/>
      <w:lang w:eastAsia="en-US"/>
    </w:rPr>
  </w:style>
  <w:style w:type="paragraph" w:customStyle="1" w:styleId="Noindent">
    <w:name w:val="No indent"/>
    <w:basedOn w:val="Normal"/>
    <w:link w:val="NoindentChar"/>
    <w:qFormat/>
    <w:rsid w:val="00C72F62"/>
    <w:pPr>
      <w:ind w:firstLine="0"/>
    </w:pPr>
    <w:rPr>
      <w:lang w:eastAsia="en-US"/>
    </w:rPr>
  </w:style>
  <w:style w:type="character" w:customStyle="1" w:styleId="NoindentChar">
    <w:name w:val="No indent Char"/>
    <w:basedOn w:val="DefaultParagraphFont"/>
    <w:link w:val="Noindent"/>
    <w:rsid w:val="00C72F62"/>
    <w:rPr>
      <w:lang w:eastAsia="en-US"/>
    </w:rPr>
  </w:style>
  <w:style w:type="character" w:styleId="CommentReference">
    <w:name w:val="annotation reference"/>
    <w:basedOn w:val="DefaultParagraphFont"/>
    <w:uiPriority w:val="99"/>
    <w:semiHidden/>
    <w:unhideWhenUsed/>
    <w:rsid w:val="00644D84"/>
    <w:rPr>
      <w:sz w:val="16"/>
      <w:szCs w:val="16"/>
    </w:rPr>
  </w:style>
  <w:style w:type="paragraph" w:styleId="CommentText">
    <w:name w:val="annotation text"/>
    <w:basedOn w:val="Normal"/>
    <w:link w:val="CommentTextChar"/>
    <w:uiPriority w:val="99"/>
    <w:semiHidden/>
    <w:unhideWhenUsed/>
    <w:rsid w:val="00644D84"/>
    <w:pPr>
      <w:spacing w:line="240" w:lineRule="auto"/>
    </w:pPr>
    <w:rPr>
      <w:sz w:val="20"/>
      <w:szCs w:val="20"/>
    </w:rPr>
  </w:style>
  <w:style w:type="character" w:customStyle="1" w:styleId="CommentTextChar">
    <w:name w:val="Comment Text Char"/>
    <w:basedOn w:val="DefaultParagraphFont"/>
    <w:link w:val="CommentText"/>
    <w:uiPriority w:val="99"/>
    <w:semiHidden/>
    <w:rsid w:val="00644D84"/>
    <w:rPr>
      <w:sz w:val="20"/>
      <w:szCs w:val="20"/>
    </w:rPr>
  </w:style>
  <w:style w:type="paragraph" w:styleId="CommentSubject">
    <w:name w:val="annotation subject"/>
    <w:basedOn w:val="CommentText"/>
    <w:next w:val="CommentText"/>
    <w:link w:val="CommentSubjectChar"/>
    <w:uiPriority w:val="99"/>
    <w:semiHidden/>
    <w:unhideWhenUsed/>
    <w:rsid w:val="00644D84"/>
    <w:rPr>
      <w:b/>
      <w:bCs/>
    </w:rPr>
  </w:style>
  <w:style w:type="character" w:customStyle="1" w:styleId="CommentSubjectChar">
    <w:name w:val="Comment Subject Char"/>
    <w:basedOn w:val="CommentTextChar"/>
    <w:link w:val="CommentSubject"/>
    <w:uiPriority w:val="99"/>
    <w:semiHidden/>
    <w:rsid w:val="00644D84"/>
    <w:rPr>
      <w:b/>
      <w:bCs/>
      <w:sz w:val="20"/>
      <w:szCs w:val="20"/>
    </w:rPr>
  </w:style>
  <w:style w:type="paragraph" w:styleId="Revision">
    <w:name w:val="Revision"/>
    <w:hidden/>
    <w:uiPriority w:val="99"/>
    <w:semiHidden/>
    <w:rsid w:val="00F63042"/>
    <w:pPr>
      <w:spacing w:after="0" w:line="240" w:lineRule="auto"/>
    </w:pPr>
  </w:style>
  <w:style w:type="paragraph" w:customStyle="1" w:styleId="Tabletitle">
    <w:name w:val="Table title"/>
    <w:basedOn w:val="Normal"/>
    <w:link w:val="TabletitleChar"/>
    <w:qFormat/>
    <w:rsid w:val="00FA4499"/>
    <w:pPr>
      <w:ind w:firstLine="0"/>
    </w:pPr>
    <w:rPr>
      <w:rFonts w:eastAsia="SimSun"/>
      <w:b/>
      <w:bCs/>
      <w:sz w:val="20"/>
      <w:lang w:eastAsia="en-US"/>
    </w:rPr>
  </w:style>
  <w:style w:type="character" w:customStyle="1" w:styleId="TabletitleChar">
    <w:name w:val="Table title Char"/>
    <w:basedOn w:val="DefaultParagraphFont"/>
    <w:link w:val="Tabletitle"/>
    <w:rsid w:val="00FA4499"/>
    <w:rPr>
      <w:rFonts w:eastAsia="SimSun"/>
      <w:b/>
      <w:bCs/>
      <w:sz w:val="20"/>
      <w:lang w:eastAsia="en-US"/>
    </w:rPr>
  </w:style>
  <w:style w:type="paragraph" w:customStyle="1" w:styleId="Figurecaption">
    <w:name w:val="Figure caption"/>
    <w:basedOn w:val="Normal"/>
    <w:link w:val="FigurecaptionChar"/>
    <w:autoRedefine/>
    <w:qFormat/>
    <w:rsid w:val="00FA4499"/>
    <w:pPr>
      <w:ind w:firstLine="0"/>
    </w:pPr>
    <w:rPr>
      <w:rFonts w:eastAsia="SimSun"/>
      <w:b/>
      <w:bCs/>
      <w:sz w:val="20"/>
      <w:lang w:eastAsia="en-US"/>
    </w:rPr>
  </w:style>
  <w:style w:type="character" w:customStyle="1" w:styleId="FigurecaptionChar">
    <w:name w:val="Figure caption Char"/>
    <w:basedOn w:val="DefaultParagraphFont"/>
    <w:link w:val="Figurecaption"/>
    <w:rsid w:val="00FA4499"/>
    <w:rPr>
      <w:rFonts w:eastAsia="SimSun"/>
      <w:b/>
      <w:bCs/>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3229">
      <w:bodyDiv w:val="1"/>
      <w:marLeft w:val="0"/>
      <w:marRight w:val="0"/>
      <w:marTop w:val="0"/>
      <w:marBottom w:val="0"/>
      <w:divBdr>
        <w:top w:val="none" w:sz="0" w:space="0" w:color="auto"/>
        <w:left w:val="none" w:sz="0" w:space="0" w:color="auto"/>
        <w:bottom w:val="none" w:sz="0" w:space="0" w:color="auto"/>
        <w:right w:val="none" w:sz="0" w:space="0" w:color="auto"/>
      </w:divBdr>
    </w:div>
    <w:div w:id="394742789">
      <w:bodyDiv w:val="1"/>
      <w:marLeft w:val="0"/>
      <w:marRight w:val="0"/>
      <w:marTop w:val="0"/>
      <w:marBottom w:val="0"/>
      <w:divBdr>
        <w:top w:val="none" w:sz="0" w:space="0" w:color="auto"/>
        <w:left w:val="none" w:sz="0" w:space="0" w:color="auto"/>
        <w:bottom w:val="none" w:sz="0" w:space="0" w:color="auto"/>
        <w:right w:val="none" w:sz="0" w:space="0" w:color="auto"/>
      </w:divBdr>
    </w:div>
    <w:div w:id="726494213">
      <w:bodyDiv w:val="1"/>
      <w:marLeft w:val="0"/>
      <w:marRight w:val="0"/>
      <w:marTop w:val="0"/>
      <w:marBottom w:val="0"/>
      <w:divBdr>
        <w:top w:val="none" w:sz="0" w:space="0" w:color="auto"/>
        <w:left w:val="none" w:sz="0" w:space="0" w:color="auto"/>
        <w:bottom w:val="none" w:sz="0" w:space="0" w:color="auto"/>
        <w:right w:val="none" w:sz="0" w:space="0" w:color="auto"/>
      </w:divBdr>
    </w:div>
    <w:div w:id="1243950719">
      <w:bodyDiv w:val="1"/>
      <w:marLeft w:val="0"/>
      <w:marRight w:val="0"/>
      <w:marTop w:val="0"/>
      <w:marBottom w:val="0"/>
      <w:divBdr>
        <w:top w:val="none" w:sz="0" w:space="0" w:color="auto"/>
        <w:left w:val="none" w:sz="0" w:space="0" w:color="auto"/>
        <w:bottom w:val="none" w:sz="0" w:space="0" w:color="auto"/>
        <w:right w:val="none" w:sz="0" w:space="0" w:color="auto"/>
      </w:divBdr>
    </w:div>
    <w:div w:id="1403602844">
      <w:bodyDiv w:val="1"/>
      <w:marLeft w:val="0"/>
      <w:marRight w:val="0"/>
      <w:marTop w:val="0"/>
      <w:marBottom w:val="0"/>
      <w:divBdr>
        <w:top w:val="none" w:sz="0" w:space="0" w:color="auto"/>
        <w:left w:val="none" w:sz="0" w:space="0" w:color="auto"/>
        <w:bottom w:val="none" w:sz="0" w:space="0" w:color="auto"/>
        <w:right w:val="none" w:sz="0" w:space="0" w:color="auto"/>
      </w:divBdr>
    </w:div>
    <w:div w:id="1404569104">
      <w:bodyDiv w:val="1"/>
      <w:marLeft w:val="0"/>
      <w:marRight w:val="0"/>
      <w:marTop w:val="0"/>
      <w:marBottom w:val="0"/>
      <w:divBdr>
        <w:top w:val="none" w:sz="0" w:space="0" w:color="auto"/>
        <w:left w:val="none" w:sz="0" w:space="0" w:color="auto"/>
        <w:bottom w:val="none" w:sz="0" w:space="0" w:color="auto"/>
        <w:right w:val="none" w:sz="0" w:space="0" w:color="auto"/>
      </w:divBdr>
      <w:divsChild>
        <w:div w:id="1868060380">
          <w:marLeft w:val="480"/>
          <w:marRight w:val="0"/>
          <w:marTop w:val="0"/>
          <w:marBottom w:val="0"/>
          <w:divBdr>
            <w:top w:val="none" w:sz="0" w:space="0" w:color="auto"/>
            <w:left w:val="none" w:sz="0" w:space="0" w:color="auto"/>
            <w:bottom w:val="none" w:sz="0" w:space="0" w:color="auto"/>
            <w:right w:val="none" w:sz="0" w:space="0" w:color="auto"/>
          </w:divBdr>
          <w:divsChild>
            <w:div w:id="106772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DB6E2-FFDE-493A-9DD5-79F86499D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21</Pages>
  <Words>8731</Words>
  <Characters>49769</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Sue_Per Freak User</dc:creator>
  <cp:keywords/>
  <dc:description/>
  <cp:lastModifiedBy>Liyun Ye</cp:lastModifiedBy>
  <cp:revision>9</cp:revision>
  <cp:lastPrinted>2021-05-23T01:31:00Z</cp:lastPrinted>
  <dcterms:created xsi:type="dcterms:W3CDTF">2021-08-06T08:06:00Z</dcterms:created>
  <dcterms:modified xsi:type="dcterms:W3CDTF">2021-08-08T09:37:00Z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zotero-version="5.0.91"&gt;&lt;session id="muM2a9S0"/&gt;&lt;style id="http://www.zotero.org/styles/apa-6th-edition" locale="en-US" hasBibliography="1" bibliographyStyleHasBeenSet="1"/&gt;&lt;prefs&gt;&lt;pref name="fieldType" value="Field"/&gt;&lt;/prefs&gt;&lt;/data</vt:lpwstr>
  </property>
  <property fmtid="{D5CDD505-2E9C-101B-9397-08002B2CF9AE}" pid="3" name="ZOTERO_PREF_2">
    <vt:lpwstr>&gt;</vt:lpwstr>
  </property>
</Properties>
</file>