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E158D" w14:textId="729CB56B" w:rsidR="0041711F" w:rsidRPr="00EC2EF4" w:rsidRDefault="000A21BB" w:rsidP="002900A3">
      <w:pPr>
        <w:spacing w:line="480" w:lineRule="auto"/>
        <w:rPr>
          <w:lang w:val="en-GB"/>
        </w:rPr>
      </w:pPr>
      <w:r w:rsidRPr="00EC2EF4">
        <w:rPr>
          <w:b/>
          <w:bCs/>
          <w:lang w:val="en-GB"/>
        </w:rPr>
        <w:t>Introduction</w:t>
      </w:r>
    </w:p>
    <w:p w14:paraId="15BCDFB6" w14:textId="46D99A25" w:rsidR="0061531F" w:rsidRPr="00EC2EF4" w:rsidRDefault="00162883">
      <w:pPr>
        <w:spacing w:line="480" w:lineRule="auto"/>
        <w:jc w:val="both"/>
        <w:rPr>
          <w:rFonts w:eastAsia="Calibri"/>
          <w:lang w:val="en-GB"/>
        </w:rPr>
      </w:pPr>
      <w:r w:rsidRPr="00EC2EF4">
        <w:rPr>
          <w:lang w:val="en-GB"/>
        </w:rPr>
        <w:t xml:space="preserve">Antimicrobial resistance (AMR) is one of the most serious threats to public health worldwide </w:t>
      </w:r>
      <w:r w:rsidR="006D722C" w:rsidRPr="00EC2EF4">
        <w:rPr>
          <w:lang w:val="en-GB"/>
        </w:rPr>
        <w:t>[1-2]</w:t>
      </w:r>
      <w:r w:rsidRPr="00EC2EF4">
        <w:rPr>
          <w:rFonts w:eastAsia="Calibri"/>
          <w:lang w:val="en-GB"/>
        </w:rPr>
        <w:t xml:space="preserve"> being the cause of severe </w:t>
      </w:r>
      <w:r w:rsidR="00D02171" w:rsidRPr="00EC2EF4">
        <w:rPr>
          <w:rFonts w:eastAsia="Calibri"/>
          <w:lang w:val="en-GB"/>
        </w:rPr>
        <w:t xml:space="preserve">health </w:t>
      </w:r>
      <w:r w:rsidRPr="00EC2EF4">
        <w:rPr>
          <w:rFonts w:eastAsia="Calibri"/>
          <w:lang w:val="en-GB"/>
        </w:rPr>
        <w:t xml:space="preserve">complications for patients, including longer illnesses, increased morbidity and mortality, prolonged stays in hospital, loss of protection for patients undergoing surgical operations and other medical procedures, and consequently increased healthcare costs </w:t>
      </w:r>
      <w:r w:rsidR="006D722C" w:rsidRPr="00EC2EF4">
        <w:rPr>
          <w:lang w:val="en-GB"/>
        </w:rPr>
        <w:t>[3-4]</w:t>
      </w:r>
      <w:r w:rsidR="00773EC0" w:rsidRPr="00EC2EF4">
        <w:rPr>
          <w:lang w:val="en-GB"/>
        </w:rPr>
        <w:t xml:space="preserve">. </w:t>
      </w:r>
      <w:r w:rsidR="00E67A82" w:rsidRPr="00EC2EF4">
        <w:rPr>
          <w:rFonts w:eastAsia="Calibri"/>
          <w:lang w:val="en-GB"/>
        </w:rPr>
        <w:t>A correlation has been demonstrated between the use of antibiotics, especially if they are broad-spectrum, and a high proportion of AMR, both in the hospital and community settings</w:t>
      </w:r>
      <w:r w:rsidR="00D864CF" w:rsidRPr="00EC2EF4">
        <w:rPr>
          <w:rFonts w:eastAsia="Calibri"/>
          <w:lang w:val="en-GB"/>
        </w:rPr>
        <w:t xml:space="preserve"> [</w:t>
      </w:r>
      <w:r w:rsidR="005848BD" w:rsidRPr="00EC2EF4">
        <w:rPr>
          <w:rFonts w:eastAsia="Calibri"/>
          <w:lang w:val="en-GB"/>
        </w:rPr>
        <w:t>5-6</w:t>
      </w:r>
      <w:r w:rsidR="00773EC0" w:rsidRPr="00EC2EF4">
        <w:rPr>
          <w:rFonts w:eastAsia="Calibri"/>
          <w:lang w:val="en-GB"/>
        </w:rPr>
        <w:t>]</w:t>
      </w:r>
      <w:r w:rsidR="00BC067E" w:rsidRPr="00EC2EF4">
        <w:rPr>
          <w:rFonts w:eastAsia="Calibri"/>
          <w:lang w:val="en-GB"/>
        </w:rPr>
        <w:t xml:space="preserve">. </w:t>
      </w:r>
      <w:r w:rsidR="002D3A52" w:rsidRPr="00EC2EF4">
        <w:rPr>
          <w:rFonts w:eastAsia="Calibri"/>
          <w:lang w:val="en-GB"/>
        </w:rPr>
        <w:t xml:space="preserve">In response to antimicrobial resistance threatens </w:t>
      </w:r>
      <w:r w:rsidR="005E360B" w:rsidRPr="00EC2EF4">
        <w:rPr>
          <w:rFonts w:eastAsia="Calibri"/>
          <w:lang w:val="en-GB"/>
        </w:rPr>
        <w:t xml:space="preserve">in </w:t>
      </w:r>
      <w:r w:rsidR="002D3A52" w:rsidRPr="00EC2EF4">
        <w:rPr>
          <w:rFonts w:eastAsia="Calibri"/>
          <w:lang w:val="en-GB"/>
        </w:rPr>
        <w:t xml:space="preserve">May 2015 </w:t>
      </w:r>
      <w:r w:rsidR="005E360B" w:rsidRPr="00EC2EF4">
        <w:rPr>
          <w:rFonts w:eastAsia="Calibri"/>
          <w:lang w:val="en-GB"/>
        </w:rPr>
        <w:t xml:space="preserve">the </w:t>
      </w:r>
      <w:r w:rsidR="002D3A52" w:rsidRPr="00EC2EF4">
        <w:rPr>
          <w:rFonts w:eastAsia="Calibri"/>
          <w:lang w:val="en-GB"/>
        </w:rPr>
        <w:t xml:space="preserve">World Health Assembly adopted </w:t>
      </w:r>
      <w:r w:rsidR="00D02171" w:rsidRPr="00EC2EF4">
        <w:rPr>
          <w:rFonts w:eastAsia="Calibri"/>
          <w:lang w:val="en-GB"/>
        </w:rPr>
        <w:t xml:space="preserve">the so-called “One Health Approach”, a </w:t>
      </w:r>
      <w:r w:rsidR="002D3A52" w:rsidRPr="00EC2EF4">
        <w:rPr>
          <w:rFonts w:eastAsia="Calibri"/>
          <w:lang w:val="en-GB"/>
        </w:rPr>
        <w:t xml:space="preserve">global action plan </w:t>
      </w:r>
      <w:r w:rsidR="000D4071" w:rsidRPr="00EC2EF4">
        <w:rPr>
          <w:rFonts w:eastAsia="Calibri"/>
          <w:lang w:val="en-GB"/>
        </w:rPr>
        <w:t>involving the coordination among countries and international agencies</w:t>
      </w:r>
      <w:r w:rsidR="0061531F" w:rsidRPr="00EC2EF4">
        <w:rPr>
          <w:rFonts w:eastAsia="Calibri"/>
          <w:lang w:val="en-GB"/>
        </w:rPr>
        <w:t>, different sectors and actors,</w:t>
      </w:r>
      <w:r w:rsidR="000D4071" w:rsidRPr="00EC2EF4">
        <w:rPr>
          <w:rFonts w:eastAsia="Calibri"/>
          <w:lang w:val="en-GB"/>
        </w:rPr>
        <w:t xml:space="preserve"> </w:t>
      </w:r>
      <w:r w:rsidR="00D02171" w:rsidRPr="00EC2EF4">
        <w:rPr>
          <w:rFonts w:eastAsia="Calibri"/>
          <w:lang w:val="en-GB"/>
        </w:rPr>
        <w:t xml:space="preserve">including </w:t>
      </w:r>
      <w:r w:rsidR="009A1713" w:rsidRPr="00EC2EF4">
        <w:rPr>
          <w:rFonts w:eastAsia="Calibri"/>
          <w:lang w:val="en-GB"/>
        </w:rPr>
        <w:t xml:space="preserve">both </w:t>
      </w:r>
      <w:r w:rsidR="00D02171" w:rsidRPr="00EC2EF4">
        <w:rPr>
          <w:rFonts w:eastAsia="Calibri"/>
          <w:lang w:val="en-GB"/>
        </w:rPr>
        <w:t>human and veterinary medicine</w:t>
      </w:r>
      <w:r w:rsidR="00773EC0" w:rsidRPr="00EC2EF4">
        <w:rPr>
          <w:rFonts w:eastAsia="Calibri"/>
          <w:lang w:val="en-GB"/>
        </w:rPr>
        <w:t>s</w:t>
      </w:r>
      <w:r w:rsidR="0061531F" w:rsidRPr="00EC2EF4">
        <w:rPr>
          <w:rFonts w:eastAsia="Calibri"/>
          <w:lang w:val="en-GB"/>
        </w:rPr>
        <w:t>,</w:t>
      </w:r>
      <w:r w:rsidR="00D02171" w:rsidRPr="00EC2EF4">
        <w:rPr>
          <w:rFonts w:eastAsia="Calibri"/>
          <w:lang w:val="en-GB"/>
        </w:rPr>
        <w:t xml:space="preserve"> </w:t>
      </w:r>
      <w:r w:rsidR="0061531F" w:rsidRPr="00EC2EF4">
        <w:rPr>
          <w:rFonts w:eastAsia="Calibri"/>
          <w:lang w:val="en-GB"/>
        </w:rPr>
        <w:t>to globally address AMR</w:t>
      </w:r>
      <w:r w:rsidR="0061531F" w:rsidRPr="00EC2EF4" w:rsidDel="00D02171">
        <w:rPr>
          <w:rFonts w:eastAsia="Calibri"/>
          <w:lang w:val="en-GB"/>
        </w:rPr>
        <w:t xml:space="preserve"> </w:t>
      </w:r>
      <w:r w:rsidR="00B7526A" w:rsidRPr="00EC2EF4">
        <w:rPr>
          <w:rFonts w:eastAsia="Calibri"/>
          <w:lang w:val="en-GB"/>
        </w:rPr>
        <w:t xml:space="preserve">problem </w:t>
      </w:r>
      <w:r w:rsidR="00EB1F4F" w:rsidRPr="00EC2EF4">
        <w:rPr>
          <w:rFonts w:eastAsia="Calibri"/>
          <w:lang w:val="en-GB"/>
        </w:rPr>
        <w:t>[</w:t>
      </w:r>
      <w:r w:rsidR="00BF137C" w:rsidRPr="00EC2EF4">
        <w:rPr>
          <w:rFonts w:eastAsia="Calibri"/>
          <w:lang w:val="en-GB"/>
        </w:rPr>
        <w:t>7-8</w:t>
      </w:r>
      <w:r w:rsidR="00EB1F4F" w:rsidRPr="00EC2EF4">
        <w:rPr>
          <w:rFonts w:eastAsia="Calibri"/>
          <w:lang w:val="en-GB"/>
        </w:rPr>
        <w:t>]</w:t>
      </w:r>
      <w:r w:rsidR="002D3A52" w:rsidRPr="00EC2EF4">
        <w:rPr>
          <w:rFonts w:eastAsia="Calibri"/>
          <w:lang w:val="en-GB"/>
        </w:rPr>
        <w:t xml:space="preserve">. </w:t>
      </w:r>
    </w:p>
    <w:p w14:paraId="68A81F7C" w14:textId="09AE1B10" w:rsidR="00F8521C" w:rsidRPr="00EC2EF4" w:rsidRDefault="00AF5C22">
      <w:pPr>
        <w:spacing w:line="480" w:lineRule="auto"/>
        <w:jc w:val="both"/>
        <w:rPr>
          <w:rFonts w:eastAsia="Calibri"/>
          <w:lang w:val="en-GB"/>
        </w:rPr>
      </w:pPr>
      <w:bookmarkStart w:id="0" w:name="_Hlk36552997"/>
      <w:r w:rsidRPr="00EC2EF4">
        <w:rPr>
          <w:rFonts w:eastAsia="Calibri"/>
          <w:lang w:val="en-GB"/>
        </w:rPr>
        <w:t xml:space="preserve">In Italy the resistance to antibiotics for all pathogens under surveillance remains high, generally above the European average </w:t>
      </w:r>
      <w:bookmarkEnd w:id="0"/>
      <w:r w:rsidRPr="00EC2EF4">
        <w:rPr>
          <w:rFonts w:eastAsia="Calibri"/>
          <w:lang w:val="en-GB"/>
        </w:rPr>
        <w:t>[</w:t>
      </w:r>
      <w:r w:rsidR="00BF137C" w:rsidRPr="00EC2EF4">
        <w:rPr>
          <w:rFonts w:eastAsia="Calibri"/>
          <w:lang w:val="en-GB"/>
        </w:rPr>
        <w:t>9-10</w:t>
      </w:r>
      <w:r w:rsidRPr="00EC2EF4">
        <w:rPr>
          <w:rFonts w:eastAsia="Calibri"/>
          <w:lang w:val="en-GB"/>
        </w:rPr>
        <w:t xml:space="preserve">]. </w:t>
      </w:r>
      <w:r w:rsidR="002B147E" w:rsidRPr="00EC2EF4">
        <w:rPr>
          <w:rFonts w:eastAsia="Calibri"/>
          <w:lang w:val="en-GB"/>
        </w:rPr>
        <w:t>The Italian antibiotics’ consumption, both in the community and hospital se</w:t>
      </w:r>
      <w:r w:rsidR="006E4509" w:rsidRPr="00EC2EF4">
        <w:rPr>
          <w:rFonts w:eastAsia="Calibri"/>
          <w:lang w:val="en-GB"/>
        </w:rPr>
        <w:t>tting</w:t>
      </w:r>
      <w:r w:rsidR="00D47CCD" w:rsidRPr="00EC2EF4">
        <w:rPr>
          <w:rFonts w:eastAsia="Calibri"/>
          <w:lang w:val="en-GB"/>
        </w:rPr>
        <w:t>,</w:t>
      </w:r>
      <w:r w:rsidR="002B147E" w:rsidRPr="00EC2EF4">
        <w:rPr>
          <w:rFonts w:eastAsia="Calibri"/>
          <w:lang w:val="en-GB"/>
        </w:rPr>
        <w:t xml:space="preserve"> is steadily higher than the average consumption </w:t>
      </w:r>
      <w:r w:rsidR="00D47CCD" w:rsidRPr="00EC2EF4">
        <w:rPr>
          <w:rFonts w:eastAsia="Calibri"/>
          <w:lang w:val="en-GB"/>
        </w:rPr>
        <w:t xml:space="preserve">in </w:t>
      </w:r>
      <w:r w:rsidR="002B147E" w:rsidRPr="00EC2EF4">
        <w:rPr>
          <w:rFonts w:eastAsia="Calibri"/>
          <w:lang w:val="en-GB"/>
        </w:rPr>
        <w:t>EU Member States and EEA countries</w:t>
      </w:r>
      <w:r w:rsidR="00D47CCD" w:rsidRPr="00EC2EF4">
        <w:rPr>
          <w:rFonts w:eastAsia="Calibri"/>
          <w:lang w:val="en-GB"/>
        </w:rPr>
        <w:t xml:space="preserve"> (+6.5%), </w:t>
      </w:r>
      <w:r w:rsidR="00102AE4" w:rsidRPr="00EC2EF4">
        <w:rPr>
          <w:rFonts w:eastAsia="Calibri"/>
          <w:lang w:val="en-GB"/>
        </w:rPr>
        <w:t xml:space="preserve">with high </w:t>
      </w:r>
      <w:r w:rsidR="00102AE4" w:rsidRPr="00EC2EF4">
        <w:rPr>
          <w:lang w:val="en-GB"/>
        </w:rPr>
        <w:t xml:space="preserve">levels of inappropriate use, </w:t>
      </w:r>
      <w:r w:rsidR="00D47CCD" w:rsidRPr="00EC2EF4">
        <w:rPr>
          <w:rFonts w:eastAsia="Calibri"/>
          <w:lang w:val="en-GB"/>
        </w:rPr>
        <w:t>although with a decreasing trend in the last decade</w:t>
      </w:r>
      <w:r w:rsidR="00EB1F4F" w:rsidRPr="00EC2EF4">
        <w:rPr>
          <w:rFonts w:eastAsia="Calibri"/>
          <w:lang w:val="en-GB"/>
        </w:rPr>
        <w:t xml:space="preserve"> [</w:t>
      </w:r>
      <w:r w:rsidR="00BF137C" w:rsidRPr="00EC2EF4">
        <w:rPr>
          <w:rFonts w:eastAsia="Calibri"/>
          <w:lang w:val="en-GB"/>
        </w:rPr>
        <w:t>11</w:t>
      </w:r>
      <w:r w:rsidR="00EB1F4F" w:rsidRPr="00EC2EF4">
        <w:rPr>
          <w:rFonts w:eastAsia="Calibri"/>
          <w:lang w:val="en-GB"/>
        </w:rPr>
        <w:t>]</w:t>
      </w:r>
      <w:r w:rsidR="00A06857" w:rsidRPr="00EC2EF4">
        <w:rPr>
          <w:lang w:val="en-GB"/>
        </w:rPr>
        <w:t xml:space="preserve">. </w:t>
      </w:r>
      <w:r w:rsidR="00276479" w:rsidRPr="00EC2EF4">
        <w:rPr>
          <w:lang w:val="en-GB"/>
        </w:rPr>
        <w:t xml:space="preserve">In </w:t>
      </w:r>
      <w:r w:rsidR="00B7526A" w:rsidRPr="00EC2EF4">
        <w:rPr>
          <w:lang w:val="en-GB"/>
        </w:rPr>
        <w:t xml:space="preserve">such a </w:t>
      </w:r>
      <w:r w:rsidR="00276479" w:rsidRPr="00EC2EF4">
        <w:rPr>
          <w:lang w:val="en-GB"/>
        </w:rPr>
        <w:t xml:space="preserve">context, </w:t>
      </w:r>
      <w:r w:rsidR="00276479" w:rsidRPr="00BB4AA8">
        <w:rPr>
          <w:rFonts w:eastAsia="Calibri"/>
          <w:lang w:val="en-GB"/>
        </w:rPr>
        <w:t>i</w:t>
      </w:r>
      <w:r w:rsidR="00F9044D" w:rsidRPr="00BB4AA8">
        <w:rPr>
          <w:rFonts w:eastAsia="Calibri"/>
          <w:lang w:val="en-GB"/>
        </w:rPr>
        <w:t>n 2017 the first National Action Plan on Antimicrobial Resistance (</w:t>
      </w:r>
      <w:r w:rsidR="00341CE1" w:rsidRPr="00BB4AA8">
        <w:rPr>
          <w:rFonts w:eastAsia="Calibri"/>
          <w:i/>
          <w:lang w:val="en-GB"/>
        </w:rPr>
        <w:t>PNCAR,</w:t>
      </w:r>
      <w:r w:rsidR="00341CE1" w:rsidRPr="00BB4AA8">
        <w:rPr>
          <w:rFonts w:eastAsia="Calibri"/>
          <w:lang w:val="en-GB"/>
        </w:rPr>
        <w:t xml:space="preserve"> </w:t>
      </w:r>
      <w:r w:rsidR="00E67A82" w:rsidRPr="00BB4AA8">
        <w:rPr>
          <w:rFonts w:eastAsia="Calibri"/>
          <w:i/>
          <w:lang w:val="en-GB"/>
        </w:rPr>
        <w:t xml:space="preserve">Piano Nazionale per </w:t>
      </w:r>
      <w:proofErr w:type="spellStart"/>
      <w:r w:rsidR="00E67A82" w:rsidRPr="00BB4AA8">
        <w:rPr>
          <w:rFonts w:eastAsia="Calibri"/>
          <w:i/>
          <w:lang w:val="en-GB"/>
        </w:rPr>
        <w:t>il</w:t>
      </w:r>
      <w:proofErr w:type="spellEnd"/>
      <w:r w:rsidR="00E67A82" w:rsidRPr="00BB4AA8">
        <w:rPr>
          <w:rFonts w:eastAsia="Calibri"/>
          <w:i/>
          <w:lang w:val="en-GB"/>
        </w:rPr>
        <w:t xml:space="preserve"> </w:t>
      </w:r>
      <w:proofErr w:type="spellStart"/>
      <w:r w:rsidR="00E67A82" w:rsidRPr="00BB4AA8">
        <w:rPr>
          <w:rFonts w:eastAsia="Calibri"/>
          <w:i/>
          <w:lang w:val="en-GB"/>
        </w:rPr>
        <w:t>Contrasto</w:t>
      </w:r>
      <w:proofErr w:type="spellEnd"/>
      <w:r w:rsidR="00E67A82" w:rsidRPr="00BB4AA8">
        <w:rPr>
          <w:rFonts w:eastAsia="Calibri"/>
          <w:i/>
          <w:lang w:val="en-GB"/>
        </w:rPr>
        <w:t xml:space="preserve"> </w:t>
      </w:r>
      <w:proofErr w:type="spellStart"/>
      <w:r w:rsidR="00E67A82" w:rsidRPr="00BB4AA8">
        <w:rPr>
          <w:rFonts w:eastAsia="Calibri"/>
          <w:i/>
          <w:lang w:val="en-GB"/>
        </w:rPr>
        <w:t>dell’Antimicrobico-Resistenza</w:t>
      </w:r>
      <w:proofErr w:type="spellEnd"/>
      <w:r w:rsidR="00F9044D" w:rsidRPr="00211755">
        <w:rPr>
          <w:rFonts w:eastAsia="Calibri"/>
          <w:lang w:val="en-GB"/>
        </w:rPr>
        <w:t>) was adopted in Italy [</w:t>
      </w:r>
      <w:r w:rsidR="00BF137C" w:rsidRPr="00EC2EF4">
        <w:rPr>
          <w:rFonts w:eastAsia="Calibri"/>
          <w:lang w:val="en-GB"/>
        </w:rPr>
        <w:t>12</w:t>
      </w:r>
      <w:r w:rsidR="00F9044D" w:rsidRPr="00EC2EF4">
        <w:rPr>
          <w:rFonts w:eastAsia="Calibri"/>
          <w:lang w:val="en-GB"/>
        </w:rPr>
        <w:t xml:space="preserve">]. In agreement with the WHO Action Plan, </w:t>
      </w:r>
      <w:r w:rsidR="008316F9" w:rsidRPr="00EC2EF4">
        <w:rPr>
          <w:rFonts w:eastAsia="Calibri"/>
          <w:lang w:val="en-GB"/>
        </w:rPr>
        <w:t xml:space="preserve">the Italian </w:t>
      </w:r>
      <w:r w:rsidR="00A6498D" w:rsidRPr="00EC2EF4">
        <w:rPr>
          <w:rFonts w:eastAsia="Calibri"/>
          <w:lang w:val="en-GB"/>
        </w:rPr>
        <w:t xml:space="preserve">PNCAR </w:t>
      </w:r>
      <w:r w:rsidR="00A46006" w:rsidRPr="00EC2EF4">
        <w:rPr>
          <w:rFonts w:eastAsia="Calibri"/>
          <w:lang w:val="en-GB"/>
        </w:rPr>
        <w:t>applies</w:t>
      </w:r>
      <w:r w:rsidR="002B147E" w:rsidRPr="00EC2EF4">
        <w:rPr>
          <w:rFonts w:eastAsia="Calibri"/>
          <w:lang w:val="en-GB"/>
        </w:rPr>
        <w:t xml:space="preserve"> </w:t>
      </w:r>
      <w:r w:rsidR="008316F9" w:rsidRPr="00EC2EF4">
        <w:rPr>
          <w:rFonts w:eastAsia="Calibri"/>
          <w:lang w:val="en-GB"/>
        </w:rPr>
        <w:t xml:space="preserve">the </w:t>
      </w:r>
      <w:r w:rsidR="00A46006" w:rsidRPr="00EC2EF4">
        <w:rPr>
          <w:rFonts w:eastAsia="Calibri"/>
          <w:lang w:val="en-GB"/>
        </w:rPr>
        <w:t>“</w:t>
      </w:r>
      <w:r w:rsidR="002B147E" w:rsidRPr="00EC2EF4">
        <w:rPr>
          <w:rFonts w:eastAsia="Calibri"/>
          <w:lang w:val="en-GB"/>
        </w:rPr>
        <w:t xml:space="preserve">one health </w:t>
      </w:r>
      <w:r w:rsidR="00A46006" w:rsidRPr="00EC2EF4">
        <w:rPr>
          <w:rFonts w:eastAsiaTheme="minorHAnsi"/>
          <w:lang w:val="en-GB"/>
        </w:rPr>
        <w:t>approach</w:t>
      </w:r>
      <w:r w:rsidR="00992D87" w:rsidRPr="00EC2EF4">
        <w:rPr>
          <w:rFonts w:eastAsiaTheme="minorHAnsi"/>
          <w:lang w:val="en-GB"/>
        </w:rPr>
        <w:t>”</w:t>
      </w:r>
      <w:r w:rsidR="002B147E" w:rsidRPr="00EC2EF4">
        <w:rPr>
          <w:rFonts w:eastAsiaTheme="minorHAnsi"/>
          <w:lang w:val="en-GB"/>
        </w:rPr>
        <w:t xml:space="preserve"> through the synergy </w:t>
      </w:r>
      <w:r w:rsidR="008316F9" w:rsidRPr="00EC2EF4">
        <w:rPr>
          <w:rFonts w:eastAsiaTheme="minorHAnsi"/>
          <w:lang w:val="en-GB"/>
        </w:rPr>
        <w:t xml:space="preserve">of </w:t>
      </w:r>
      <w:r w:rsidR="00B7526A" w:rsidRPr="00EC2EF4">
        <w:rPr>
          <w:rFonts w:eastAsiaTheme="minorHAnsi"/>
          <w:lang w:val="en-GB"/>
        </w:rPr>
        <w:t xml:space="preserve">the antibiotic stewardship </w:t>
      </w:r>
      <w:r w:rsidR="008316F9" w:rsidRPr="00EC2EF4">
        <w:rPr>
          <w:rFonts w:eastAsiaTheme="minorHAnsi"/>
          <w:lang w:val="en-GB"/>
        </w:rPr>
        <w:t xml:space="preserve">interventions </w:t>
      </w:r>
      <w:r w:rsidR="002B147E" w:rsidRPr="00EC2EF4">
        <w:rPr>
          <w:rFonts w:eastAsiaTheme="minorHAnsi"/>
          <w:lang w:val="en-GB"/>
        </w:rPr>
        <w:t>between national, regional, and local levels</w:t>
      </w:r>
      <w:r w:rsidR="00A46006" w:rsidRPr="00EC2EF4">
        <w:rPr>
          <w:rFonts w:eastAsiaTheme="minorHAnsi"/>
          <w:lang w:val="en-GB"/>
        </w:rPr>
        <w:t xml:space="preserve">, both in human and in veterinary field. </w:t>
      </w:r>
      <w:r w:rsidR="009258A6" w:rsidRPr="00EC2EF4">
        <w:rPr>
          <w:rFonts w:eastAsiaTheme="minorHAnsi"/>
          <w:lang w:val="en-GB"/>
        </w:rPr>
        <w:t>S</w:t>
      </w:r>
      <w:r w:rsidR="009258A6" w:rsidRPr="00EC2EF4">
        <w:rPr>
          <w:lang w:val="en-GB"/>
        </w:rPr>
        <w:t>ince antibiotic overuse in humans</w:t>
      </w:r>
      <w:r w:rsidR="005B2147" w:rsidRPr="00EC2EF4">
        <w:rPr>
          <w:lang w:val="en-GB"/>
        </w:rPr>
        <w:t xml:space="preserve">, especially in the outpatient setting, </w:t>
      </w:r>
      <w:r w:rsidR="009258A6" w:rsidRPr="00EC2EF4">
        <w:rPr>
          <w:lang w:val="en-GB"/>
        </w:rPr>
        <w:t xml:space="preserve">is one of the most important modifiable drivers of AMR </w:t>
      </w:r>
      <w:r w:rsidR="00BF137C" w:rsidRPr="00EC2EF4">
        <w:rPr>
          <w:lang w:val="en-GB"/>
        </w:rPr>
        <w:t>[13]</w:t>
      </w:r>
      <w:r w:rsidR="009258A6" w:rsidRPr="00EC2EF4">
        <w:rPr>
          <w:lang w:val="en-GB"/>
        </w:rPr>
        <w:t>,</w:t>
      </w:r>
      <w:r w:rsidR="009D5767" w:rsidRPr="00EC2EF4">
        <w:rPr>
          <w:lang w:val="en-GB"/>
        </w:rPr>
        <w:t xml:space="preserve"> </w:t>
      </w:r>
      <w:r w:rsidR="009C6E66" w:rsidRPr="00EC2EF4">
        <w:rPr>
          <w:rFonts w:eastAsiaTheme="minorHAnsi"/>
          <w:lang w:val="en-GB"/>
        </w:rPr>
        <w:t xml:space="preserve">the PNCAR </w:t>
      </w:r>
      <w:r w:rsidR="009258A6" w:rsidRPr="00EC2EF4">
        <w:rPr>
          <w:rFonts w:eastAsiaTheme="minorHAnsi"/>
          <w:lang w:val="en-GB"/>
        </w:rPr>
        <w:t>provides specific objectives and actions</w:t>
      </w:r>
      <w:r w:rsidR="000D7958" w:rsidRPr="00EC2EF4">
        <w:rPr>
          <w:rFonts w:eastAsiaTheme="minorHAnsi"/>
          <w:lang w:val="en-GB"/>
        </w:rPr>
        <w:t xml:space="preserve"> to promote a more rational use of antibiotics for human use</w:t>
      </w:r>
      <w:r w:rsidR="009258A6" w:rsidRPr="00EC2EF4">
        <w:rPr>
          <w:rFonts w:eastAsiaTheme="minorHAnsi"/>
          <w:lang w:val="en-GB"/>
        </w:rPr>
        <w:t xml:space="preserve">, including the monitoring of </w:t>
      </w:r>
      <w:r w:rsidR="000D7958" w:rsidRPr="00EC2EF4">
        <w:rPr>
          <w:rFonts w:eastAsiaTheme="minorHAnsi"/>
          <w:lang w:val="en-GB"/>
        </w:rPr>
        <w:t>the national consumption</w:t>
      </w:r>
      <w:r w:rsidR="009D5767" w:rsidRPr="00EC2EF4">
        <w:rPr>
          <w:rFonts w:eastAsiaTheme="minorHAnsi"/>
          <w:lang w:val="en-GB"/>
        </w:rPr>
        <w:t xml:space="preserve"> and </w:t>
      </w:r>
      <w:r w:rsidR="009258A6" w:rsidRPr="00EC2EF4">
        <w:rPr>
          <w:lang w:val="en-GB"/>
        </w:rPr>
        <w:t xml:space="preserve">trying to improve their appropriate use, particularly where they are used in high volumes. </w:t>
      </w:r>
      <w:r w:rsidR="00F8521C" w:rsidRPr="00EC2EF4">
        <w:rPr>
          <w:rFonts w:eastAsiaTheme="minorHAnsi"/>
          <w:lang w:val="en-GB"/>
        </w:rPr>
        <w:t xml:space="preserve">Among the indicators proposed, there was the reduction of the use of fluoroquinolones both in community and hospital setting. </w:t>
      </w:r>
      <w:r w:rsidR="009D5767" w:rsidRPr="00EC2EF4">
        <w:rPr>
          <w:rFonts w:eastAsiaTheme="minorHAnsi"/>
          <w:lang w:val="en-GB"/>
        </w:rPr>
        <w:t xml:space="preserve">This </w:t>
      </w:r>
      <w:r w:rsidR="00A6549E" w:rsidRPr="00EC2EF4">
        <w:rPr>
          <w:rFonts w:eastAsiaTheme="minorHAnsi"/>
          <w:lang w:val="en-GB"/>
        </w:rPr>
        <w:t>objective</w:t>
      </w:r>
      <w:r w:rsidR="009D5767" w:rsidRPr="00EC2EF4">
        <w:rPr>
          <w:rFonts w:eastAsiaTheme="minorHAnsi"/>
          <w:lang w:val="en-GB"/>
        </w:rPr>
        <w:t xml:space="preserve"> seems to be even more urgent </w:t>
      </w:r>
      <w:r w:rsidR="00A6549E" w:rsidRPr="00EC2EF4">
        <w:rPr>
          <w:rFonts w:eastAsiaTheme="minorHAnsi"/>
          <w:lang w:val="en-GB"/>
        </w:rPr>
        <w:t>after</w:t>
      </w:r>
      <w:r w:rsidR="009D5767" w:rsidRPr="00EC2EF4">
        <w:rPr>
          <w:rFonts w:eastAsiaTheme="minorHAnsi"/>
          <w:lang w:val="en-GB"/>
        </w:rPr>
        <w:t xml:space="preserve"> the communication of the </w:t>
      </w:r>
      <w:r w:rsidR="00F8521C" w:rsidRPr="00EC2EF4">
        <w:rPr>
          <w:rFonts w:eastAsiaTheme="minorHAnsi"/>
          <w:lang w:val="en-GB"/>
        </w:rPr>
        <w:t xml:space="preserve">European Medicines Agency (EMA) </w:t>
      </w:r>
      <w:r w:rsidR="009D5767" w:rsidRPr="00EC2EF4">
        <w:rPr>
          <w:rFonts w:eastAsiaTheme="minorHAnsi"/>
          <w:lang w:val="en-GB"/>
        </w:rPr>
        <w:t xml:space="preserve">in November 2018 </w:t>
      </w:r>
      <w:r w:rsidR="00F8521C" w:rsidRPr="00EC2EF4">
        <w:rPr>
          <w:rFonts w:eastAsiaTheme="minorHAnsi"/>
          <w:lang w:val="en-GB"/>
        </w:rPr>
        <w:lastRenderedPageBreak/>
        <w:t>requesting the suspension of the marketing authorisation of quinolones and the restriction of the indications for the prescription of fluoroquinolones due to potential serious toxic effects [</w:t>
      </w:r>
      <w:r w:rsidR="005301F9" w:rsidRPr="00EC2EF4">
        <w:rPr>
          <w:rFonts w:eastAsiaTheme="minorHAnsi"/>
          <w:lang w:val="en-GB"/>
        </w:rPr>
        <w:t>14</w:t>
      </w:r>
      <w:r w:rsidR="00F8521C" w:rsidRPr="00EC2EF4">
        <w:rPr>
          <w:rFonts w:eastAsiaTheme="minorHAnsi"/>
          <w:lang w:val="en-GB"/>
        </w:rPr>
        <w:t>].</w:t>
      </w:r>
      <w:r w:rsidR="00F8521C" w:rsidRPr="00EC2EF4">
        <w:rPr>
          <w:lang w:val="en-GB"/>
        </w:rPr>
        <w:t xml:space="preserve"> </w:t>
      </w:r>
    </w:p>
    <w:p w14:paraId="591E9D8B" w14:textId="1A0020F2" w:rsidR="002D3A52" w:rsidRPr="00EC2EF4" w:rsidRDefault="00F8521C">
      <w:pPr>
        <w:spacing w:line="480" w:lineRule="auto"/>
        <w:jc w:val="both"/>
        <w:rPr>
          <w:rFonts w:eastAsia="Calibri"/>
          <w:lang w:val="en-GB"/>
        </w:rPr>
      </w:pPr>
      <w:r w:rsidRPr="00EC2EF4">
        <w:rPr>
          <w:rFonts w:eastAsiaTheme="minorHAnsi"/>
          <w:lang w:val="en-GB"/>
        </w:rPr>
        <w:t xml:space="preserve">Since the PNCAR came into force, two </w:t>
      </w:r>
      <w:r w:rsidR="00A46006" w:rsidRPr="00EC2EF4">
        <w:rPr>
          <w:rFonts w:eastAsiaTheme="minorHAnsi"/>
          <w:lang w:val="en-GB"/>
        </w:rPr>
        <w:t xml:space="preserve">dedicated </w:t>
      </w:r>
      <w:r w:rsidR="00B227DF" w:rsidRPr="00EC2EF4">
        <w:rPr>
          <w:rFonts w:eastAsiaTheme="minorHAnsi"/>
          <w:lang w:val="en-GB"/>
        </w:rPr>
        <w:t xml:space="preserve">annual </w:t>
      </w:r>
      <w:r w:rsidR="005E360B" w:rsidRPr="00EC2EF4">
        <w:rPr>
          <w:rFonts w:eastAsiaTheme="minorHAnsi"/>
          <w:lang w:val="en-GB"/>
        </w:rPr>
        <w:t xml:space="preserve">National </w:t>
      </w:r>
      <w:r w:rsidR="00A46006" w:rsidRPr="00EC2EF4">
        <w:rPr>
          <w:rFonts w:eastAsiaTheme="minorHAnsi"/>
          <w:lang w:val="en-GB"/>
        </w:rPr>
        <w:t>Report</w:t>
      </w:r>
      <w:r w:rsidR="00B227DF" w:rsidRPr="00EC2EF4">
        <w:rPr>
          <w:rFonts w:eastAsiaTheme="minorHAnsi"/>
          <w:lang w:val="en-GB"/>
        </w:rPr>
        <w:t xml:space="preserve"> </w:t>
      </w:r>
      <w:r w:rsidRPr="00EC2EF4">
        <w:rPr>
          <w:rFonts w:eastAsiaTheme="minorHAnsi"/>
          <w:lang w:val="en-GB"/>
        </w:rPr>
        <w:t xml:space="preserve">on Antibiotics’ use in humans </w:t>
      </w:r>
      <w:r w:rsidR="00B83D97" w:rsidRPr="00EC2EF4">
        <w:rPr>
          <w:rFonts w:eastAsiaTheme="minorHAnsi"/>
          <w:lang w:val="en-GB"/>
        </w:rPr>
        <w:t>have be</w:t>
      </w:r>
      <w:r w:rsidR="00D13946" w:rsidRPr="00EC2EF4">
        <w:rPr>
          <w:rFonts w:eastAsiaTheme="minorHAnsi"/>
          <w:lang w:val="en-GB"/>
        </w:rPr>
        <w:t>e</w:t>
      </w:r>
      <w:r w:rsidR="00B83D97" w:rsidRPr="00EC2EF4">
        <w:rPr>
          <w:rFonts w:eastAsiaTheme="minorHAnsi"/>
          <w:lang w:val="en-GB"/>
        </w:rPr>
        <w:t>n</w:t>
      </w:r>
      <w:r w:rsidRPr="00EC2EF4">
        <w:rPr>
          <w:rFonts w:eastAsiaTheme="minorHAnsi"/>
          <w:lang w:val="en-GB"/>
        </w:rPr>
        <w:t xml:space="preserve"> published </w:t>
      </w:r>
      <w:r w:rsidR="00B227DF" w:rsidRPr="00EC2EF4">
        <w:rPr>
          <w:rFonts w:eastAsiaTheme="minorHAnsi"/>
          <w:lang w:val="en-GB"/>
        </w:rPr>
        <w:t xml:space="preserve">by </w:t>
      </w:r>
      <w:r w:rsidR="00B227DF" w:rsidRPr="00EC2EF4">
        <w:rPr>
          <w:rFonts w:eastAsia="Calibri"/>
          <w:lang w:val="en-GB"/>
        </w:rPr>
        <w:t>the Medicines Utilisation Monitoring Centre (</w:t>
      </w:r>
      <w:proofErr w:type="spellStart"/>
      <w:r w:rsidR="00B227DF" w:rsidRPr="00EC2EF4">
        <w:rPr>
          <w:rFonts w:eastAsia="Calibri"/>
          <w:i/>
          <w:lang w:val="en-GB"/>
        </w:rPr>
        <w:t>OsMed</w:t>
      </w:r>
      <w:proofErr w:type="spellEnd"/>
      <w:r w:rsidR="00B227DF" w:rsidRPr="00EC2EF4">
        <w:rPr>
          <w:rFonts w:eastAsia="Calibri"/>
          <w:i/>
          <w:lang w:val="en-GB"/>
        </w:rPr>
        <w:t xml:space="preserve"> – </w:t>
      </w:r>
      <w:proofErr w:type="spellStart"/>
      <w:r w:rsidR="00B227DF" w:rsidRPr="00EC2EF4">
        <w:rPr>
          <w:rFonts w:eastAsia="Calibri"/>
          <w:i/>
          <w:lang w:val="en-GB"/>
        </w:rPr>
        <w:t>Osservatorio</w:t>
      </w:r>
      <w:proofErr w:type="spellEnd"/>
      <w:r w:rsidR="00B227DF" w:rsidRPr="00EC2EF4">
        <w:rPr>
          <w:rFonts w:eastAsia="Calibri"/>
          <w:i/>
          <w:lang w:val="en-GB"/>
        </w:rPr>
        <w:t xml:space="preserve"> Nazionale </w:t>
      </w:r>
      <w:proofErr w:type="spellStart"/>
      <w:r w:rsidR="00B227DF" w:rsidRPr="00EC2EF4">
        <w:rPr>
          <w:rFonts w:eastAsia="Calibri"/>
          <w:i/>
          <w:lang w:val="en-GB"/>
        </w:rPr>
        <w:t>sull’impiego</w:t>
      </w:r>
      <w:proofErr w:type="spellEnd"/>
      <w:r w:rsidR="00B227DF" w:rsidRPr="00EC2EF4">
        <w:rPr>
          <w:rFonts w:eastAsia="Calibri"/>
          <w:i/>
          <w:lang w:val="en-GB"/>
        </w:rPr>
        <w:t xml:space="preserve"> </w:t>
      </w:r>
      <w:proofErr w:type="spellStart"/>
      <w:r w:rsidR="00B227DF" w:rsidRPr="00EC2EF4">
        <w:rPr>
          <w:rFonts w:eastAsia="Calibri"/>
          <w:i/>
          <w:lang w:val="en-GB"/>
        </w:rPr>
        <w:t>dei</w:t>
      </w:r>
      <w:proofErr w:type="spellEnd"/>
      <w:r w:rsidR="00B227DF" w:rsidRPr="00EC2EF4">
        <w:rPr>
          <w:rFonts w:eastAsia="Calibri"/>
          <w:i/>
          <w:lang w:val="en-GB"/>
        </w:rPr>
        <w:t xml:space="preserve"> </w:t>
      </w:r>
      <w:proofErr w:type="spellStart"/>
      <w:r w:rsidR="00B227DF" w:rsidRPr="00EC2EF4">
        <w:rPr>
          <w:rFonts w:eastAsia="Calibri"/>
          <w:i/>
          <w:lang w:val="en-GB"/>
        </w:rPr>
        <w:t>Medicinali</w:t>
      </w:r>
      <w:proofErr w:type="spellEnd"/>
      <w:r w:rsidR="00B227DF" w:rsidRPr="00EC2EF4">
        <w:rPr>
          <w:rFonts w:eastAsia="Calibri"/>
          <w:lang w:val="en-GB"/>
        </w:rPr>
        <w:t>)</w:t>
      </w:r>
      <w:r w:rsidRPr="00EC2EF4">
        <w:rPr>
          <w:rFonts w:eastAsia="Calibri"/>
          <w:lang w:val="en-GB"/>
        </w:rPr>
        <w:t xml:space="preserve"> of the </w:t>
      </w:r>
      <w:r w:rsidR="00B227DF" w:rsidRPr="00EC2EF4">
        <w:rPr>
          <w:rFonts w:eastAsia="Calibri"/>
          <w:lang w:val="en-GB"/>
        </w:rPr>
        <w:t>Italian Medicines Agency (</w:t>
      </w:r>
      <w:r w:rsidR="00B227DF" w:rsidRPr="00EC2EF4">
        <w:rPr>
          <w:rFonts w:eastAsia="Calibri"/>
          <w:i/>
          <w:lang w:val="en-GB"/>
        </w:rPr>
        <w:t xml:space="preserve">AIFA, </w:t>
      </w:r>
      <w:proofErr w:type="spellStart"/>
      <w:r w:rsidR="00B227DF" w:rsidRPr="00EC2EF4">
        <w:rPr>
          <w:rFonts w:eastAsia="Calibri"/>
          <w:i/>
          <w:lang w:val="en-GB"/>
        </w:rPr>
        <w:t>Agenzia</w:t>
      </w:r>
      <w:proofErr w:type="spellEnd"/>
      <w:r w:rsidR="00B227DF" w:rsidRPr="00EC2EF4">
        <w:rPr>
          <w:rFonts w:eastAsia="Calibri"/>
          <w:i/>
          <w:lang w:val="en-GB"/>
        </w:rPr>
        <w:t xml:space="preserve"> </w:t>
      </w:r>
      <w:proofErr w:type="spellStart"/>
      <w:r w:rsidR="00B227DF" w:rsidRPr="00EC2EF4">
        <w:rPr>
          <w:rFonts w:eastAsia="Calibri"/>
          <w:i/>
          <w:lang w:val="en-GB"/>
        </w:rPr>
        <w:t>Italiana</w:t>
      </w:r>
      <w:proofErr w:type="spellEnd"/>
      <w:r w:rsidR="00B227DF" w:rsidRPr="00EC2EF4">
        <w:rPr>
          <w:rFonts w:eastAsia="Calibri"/>
          <w:i/>
          <w:lang w:val="en-GB"/>
        </w:rPr>
        <w:t xml:space="preserve"> del Farmaco</w:t>
      </w:r>
      <w:r w:rsidR="00B227DF" w:rsidRPr="00EC2EF4">
        <w:rPr>
          <w:rFonts w:eastAsia="Calibri"/>
          <w:lang w:val="en-GB"/>
        </w:rPr>
        <w:t xml:space="preserve">) </w:t>
      </w:r>
      <w:r w:rsidR="009258A6" w:rsidRPr="00EC2EF4">
        <w:rPr>
          <w:rFonts w:eastAsiaTheme="minorHAnsi"/>
          <w:lang w:val="en-GB"/>
        </w:rPr>
        <w:t>[</w:t>
      </w:r>
      <w:r w:rsidR="005301F9" w:rsidRPr="00EC2EF4">
        <w:rPr>
          <w:rFonts w:eastAsiaTheme="minorHAnsi"/>
          <w:lang w:val="en-GB"/>
        </w:rPr>
        <w:t>15-16</w:t>
      </w:r>
      <w:r w:rsidR="009258A6" w:rsidRPr="00EC2EF4">
        <w:rPr>
          <w:rFonts w:eastAsiaTheme="minorHAnsi"/>
          <w:lang w:val="en-GB"/>
        </w:rPr>
        <w:t>]</w:t>
      </w:r>
      <w:r w:rsidRPr="00EC2EF4">
        <w:rPr>
          <w:rFonts w:eastAsiaTheme="minorHAnsi"/>
          <w:lang w:val="en-GB"/>
        </w:rPr>
        <w:t>, although a previous one was</w:t>
      </w:r>
      <w:r w:rsidRPr="00EC2EF4">
        <w:rPr>
          <w:lang w:val="en-GB"/>
        </w:rPr>
        <w:t xml:space="preserve"> published in 2009 [1</w:t>
      </w:r>
      <w:r w:rsidR="005301F9" w:rsidRPr="00EC2EF4">
        <w:rPr>
          <w:lang w:val="en-GB"/>
        </w:rPr>
        <w:t>7</w:t>
      </w:r>
      <w:r w:rsidR="0068292D" w:rsidRPr="00EC2EF4">
        <w:rPr>
          <w:lang w:val="en-GB"/>
        </w:rPr>
        <w:t>]</w:t>
      </w:r>
      <w:r w:rsidR="00A46006" w:rsidRPr="00EC2EF4">
        <w:rPr>
          <w:rFonts w:eastAsiaTheme="minorHAnsi"/>
          <w:lang w:val="en-GB"/>
        </w:rPr>
        <w:t>.</w:t>
      </w:r>
      <w:r w:rsidR="00D47CCD" w:rsidRPr="00EC2EF4">
        <w:rPr>
          <w:rFonts w:eastAsiaTheme="minorHAnsi"/>
          <w:lang w:val="en-GB"/>
        </w:rPr>
        <w:t xml:space="preserve"> </w:t>
      </w:r>
      <w:r w:rsidR="003D59FD" w:rsidRPr="00EC2EF4">
        <w:rPr>
          <w:rFonts w:eastAsiaTheme="minorHAnsi"/>
          <w:lang w:val="en-GB"/>
        </w:rPr>
        <w:t xml:space="preserve">Other studies were </w:t>
      </w:r>
      <w:r w:rsidR="00DD6861" w:rsidRPr="00EC2EF4">
        <w:rPr>
          <w:rFonts w:eastAsiaTheme="minorHAnsi"/>
          <w:lang w:val="en-GB"/>
        </w:rPr>
        <w:t xml:space="preserve">recently </w:t>
      </w:r>
      <w:r w:rsidR="003D59FD" w:rsidRPr="00EC2EF4">
        <w:rPr>
          <w:rFonts w:eastAsiaTheme="minorHAnsi"/>
          <w:lang w:val="en-GB"/>
        </w:rPr>
        <w:t xml:space="preserve">published on </w:t>
      </w:r>
      <w:r w:rsidR="005301F9" w:rsidRPr="00EC2EF4">
        <w:rPr>
          <w:rFonts w:eastAsiaTheme="minorHAnsi"/>
          <w:lang w:val="en-GB"/>
        </w:rPr>
        <w:t>antibiotics ‘use</w:t>
      </w:r>
      <w:r w:rsidR="003D59FD" w:rsidRPr="00EC2EF4">
        <w:rPr>
          <w:rFonts w:eastAsiaTheme="minorHAnsi"/>
          <w:lang w:val="en-GB"/>
        </w:rPr>
        <w:t xml:space="preserve"> </w:t>
      </w:r>
      <w:r w:rsidR="00DD6861" w:rsidRPr="00EC2EF4">
        <w:rPr>
          <w:rFonts w:eastAsiaTheme="minorHAnsi"/>
          <w:lang w:val="en-GB"/>
        </w:rPr>
        <w:t xml:space="preserve">in </w:t>
      </w:r>
      <w:r w:rsidR="00FA1048" w:rsidRPr="00EC2EF4">
        <w:rPr>
          <w:rFonts w:eastAsiaTheme="minorHAnsi"/>
          <w:lang w:val="en-GB"/>
        </w:rPr>
        <w:t xml:space="preserve">Italy </w:t>
      </w:r>
      <w:r w:rsidR="003D59FD" w:rsidRPr="00EC2EF4">
        <w:rPr>
          <w:rFonts w:eastAsiaTheme="minorHAnsi"/>
          <w:lang w:val="en-GB"/>
        </w:rPr>
        <w:t xml:space="preserve">but </w:t>
      </w:r>
      <w:r w:rsidR="00155039" w:rsidRPr="00EC2EF4">
        <w:rPr>
          <w:rFonts w:eastAsiaTheme="minorHAnsi"/>
          <w:lang w:val="en-GB"/>
        </w:rPr>
        <w:t xml:space="preserve">they </w:t>
      </w:r>
      <w:r w:rsidR="005B2147" w:rsidRPr="00EC2EF4">
        <w:rPr>
          <w:rFonts w:eastAsiaTheme="minorHAnsi"/>
          <w:lang w:val="en-GB"/>
        </w:rPr>
        <w:t>reported</w:t>
      </w:r>
      <w:r w:rsidR="00FA1048" w:rsidRPr="00EC2EF4">
        <w:rPr>
          <w:rFonts w:eastAsiaTheme="minorHAnsi"/>
          <w:lang w:val="en-GB"/>
        </w:rPr>
        <w:t xml:space="preserve"> </w:t>
      </w:r>
      <w:r w:rsidR="008D6F14" w:rsidRPr="00EC2EF4">
        <w:rPr>
          <w:rFonts w:eastAsiaTheme="minorHAnsi"/>
          <w:lang w:val="en-GB"/>
        </w:rPr>
        <w:t>data only for some Italian region</w:t>
      </w:r>
      <w:r w:rsidR="00773EC0" w:rsidRPr="00EC2EF4">
        <w:rPr>
          <w:rFonts w:eastAsiaTheme="minorHAnsi"/>
          <w:lang w:val="en-GB"/>
        </w:rPr>
        <w:t>s</w:t>
      </w:r>
      <w:r w:rsidR="008D6F14" w:rsidRPr="00EC2EF4">
        <w:rPr>
          <w:rFonts w:eastAsiaTheme="minorHAnsi"/>
          <w:lang w:val="en-GB"/>
        </w:rPr>
        <w:t xml:space="preserve"> </w:t>
      </w:r>
      <w:r w:rsidR="005301F9" w:rsidRPr="00EC2EF4">
        <w:rPr>
          <w:rFonts w:eastAsiaTheme="minorHAnsi"/>
          <w:lang w:val="en-GB"/>
        </w:rPr>
        <w:t>18-19]</w:t>
      </w:r>
      <w:r w:rsidR="005B2147" w:rsidRPr="00EC2EF4">
        <w:rPr>
          <w:lang w:val="en-GB"/>
        </w:rPr>
        <w:t xml:space="preserve">, with scant </w:t>
      </w:r>
      <w:r w:rsidR="008D6F14" w:rsidRPr="00EC2EF4">
        <w:rPr>
          <w:lang w:val="en-GB"/>
        </w:rPr>
        <w:t>or in</w:t>
      </w:r>
      <w:r w:rsidR="005B2147" w:rsidRPr="00EC2EF4">
        <w:rPr>
          <w:lang w:val="en-GB"/>
        </w:rPr>
        <w:t xml:space="preserve">complete information on regional </w:t>
      </w:r>
      <w:r w:rsidR="008D6F14" w:rsidRPr="00EC2EF4">
        <w:rPr>
          <w:lang w:val="en-GB"/>
        </w:rPr>
        <w:t>variability</w:t>
      </w:r>
      <w:r w:rsidR="00287A11" w:rsidRPr="00EC2EF4">
        <w:rPr>
          <w:lang w:val="en-GB"/>
        </w:rPr>
        <w:t xml:space="preserve">. </w:t>
      </w:r>
      <w:r w:rsidR="00A46006" w:rsidRPr="00EC2EF4">
        <w:rPr>
          <w:rFonts w:eastAsiaTheme="minorHAnsi"/>
          <w:lang w:val="en-GB"/>
        </w:rPr>
        <w:t>The aim of th</w:t>
      </w:r>
      <w:r w:rsidRPr="00EC2EF4">
        <w:rPr>
          <w:rFonts w:eastAsiaTheme="minorHAnsi"/>
          <w:lang w:val="en-GB"/>
        </w:rPr>
        <w:t>is</w:t>
      </w:r>
      <w:r w:rsidR="00A46006" w:rsidRPr="00EC2EF4">
        <w:rPr>
          <w:rFonts w:eastAsiaTheme="minorHAnsi"/>
          <w:lang w:val="en-GB"/>
        </w:rPr>
        <w:t xml:space="preserve"> </w:t>
      </w:r>
      <w:r w:rsidR="00B227DF" w:rsidRPr="00EC2EF4">
        <w:rPr>
          <w:rFonts w:eastAsiaTheme="minorHAnsi"/>
          <w:lang w:val="en-GB"/>
        </w:rPr>
        <w:t xml:space="preserve">article </w:t>
      </w:r>
      <w:r w:rsidR="00A46006" w:rsidRPr="00EC2EF4">
        <w:rPr>
          <w:rFonts w:eastAsiaTheme="minorHAnsi"/>
          <w:lang w:val="en-GB"/>
        </w:rPr>
        <w:t>is to describe</w:t>
      </w:r>
      <w:r w:rsidR="00C36826" w:rsidRPr="00EC2EF4">
        <w:rPr>
          <w:rFonts w:eastAsiaTheme="minorHAnsi"/>
          <w:lang w:val="en-GB"/>
        </w:rPr>
        <w:t xml:space="preserve"> </w:t>
      </w:r>
      <w:r w:rsidR="001A2D39" w:rsidRPr="00EC2EF4">
        <w:rPr>
          <w:rFonts w:eastAsiaTheme="minorHAnsi"/>
          <w:lang w:val="en-GB"/>
        </w:rPr>
        <w:t xml:space="preserve">the pattern of </w:t>
      </w:r>
      <w:r w:rsidR="00B227DF" w:rsidRPr="00EC2EF4">
        <w:rPr>
          <w:rFonts w:eastAsiaTheme="minorHAnsi"/>
          <w:lang w:val="en-GB"/>
        </w:rPr>
        <w:t xml:space="preserve">antibiotic </w:t>
      </w:r>
      <w:r w:rsidR="005F4249" w:rsidRPr="00EC2EF4">
        <w:rPr>
          <w:rFonts w:eastAsiaTheme="minorHAnsi"/>
          <w:lang w:val="en-GB"/>
        </w:rPr>
        <w:t>consumption</w:t>
      </w:r>
      <w:r w:rsidR="00C06D0E" w:rsidRPr="00EC2EF4">
        <w:rPr>
          <w:rFonts w:eastAsiaTheme="minorHAnsi"/>
          <w:lang w:val="en-GB"/>
        </w:rPr>
        <w:t xml:space="preserve"> </w:t>
      </w:r>
      <w:r w:rsidR="008F3FF5" w:rsidRPr="00EC2EF4">
        <w:rPr>
          <w:rFonts w:eastAsia="Calibri"/>
          <w:lang w:val="en-GB"/>
        </w:rPr>
        <w:t xml:space="preserve">in the </w:t>
      </w:r>
      <w:r w:rsidR="009C6E66" w:rsidRPr="00EC2EF4">
        <w:rPr>
          <w:rFonts w:eastAsia="Calibri"/>
          <w:lang w:val="en-GB"/>
        </w:rPr>
        <w:t>community</w:t>
      </w:r>
      <w:r w:rsidR="00DD6861" w:rsidRPr="00EC2EF4">
        <w:rPr>
          <w:rFonts w:eastAsia="Calibri"/>
          <w:lang w:val="en-GB"/>
        </w:rPr>
        <w:t xml:space="preserve"> </w:t>
      </w:r>
      <w:r w:rsidR="006E4509" w:rsidRPr="00EC2EF4">
        <w:rPr>
          <w:rFonts w:eastAsia="Calibri"/>
          <w:lang w:val="en-GB"/>
        </w:rPr>
        <w:t>setting</w:t>
      </w:r>
      <w:r w:rsidR="001A2D39" w:rsidRPr="00EC2EF4">
        <w:rPr>
          <w:rFonts w:eastAsia="Calibri"/>
          <w:lang w:val="en-GB"/>
        </w:rPr>
        <w:t xml:space="preserve"> in Italy</w:t>
      </w:r>
      <w:r w:rsidR="00A94DA1" w:rsidRPr="00EC2EF4">
        <w:rPr>
          <w:rFonts w:eastAsia="Calibri"/>
          <w:lang w:val="en-GB"/>
        </w:rPr>
        <w:t>,</w:t>
      </w:r>
      <w:r w:rsidR="00A46006" w:rsidRPr="00EC2EF4">
        <w:rPr>
          <w:rFonts w:eastAsia="Calibri"/>
          <w:lang w:val="en-GB"/>
        </w:rPr>
        <w:t xml:space="preserve"> </w:t>
      </w:r>
      <w:r w:rsidR="00DD6861" w:rsidRPr="00EC2EF4">
        <w:rPr>
          <w:rFonts w:eastAsia="Calibri"/>
          <w:lang w:val="en-GB"/>
        </w:rPr>
        <w:t>both at national and regional level</w:t>
      </w:r>
      <w:r w:rsidR="00A94DA1" w:rsidRPr="00EC2EF4">
        <w:rPr>
          <w:rFonts w:eastAsia="Calibri"/>
          <w:lang w:val="en-GB"/>
        </w:rPr>
        <w:t>,</w:t>
      </w:r>
      <w:r w:rsidR="00DD6861" w:rsidRPr="00EC2EF4">
        <w:rPr>
          <w:rFonts w:eastAsia="Calibri"/>
          <w:lang w:val="en-GB"/>
        </w:rPr>
        <w:t xml:space="preserve"> </w:t>
      </w:r>
      <w:r w:rsidR="00A46006" w:rsidRPr="00EC2EF4">
        <w:rPr>
          <w:rFonts w:eastAsia="Calibri"/>
          <w:lang w:val="en-GB"/>
        </w:rPr>
        <w:t xml:space="preserve">from </w:t>
      </w:r>
      <w:r w:rsidR="00370300" w:rsidRPr="00EC2EF4">
        <w:rPr>
          <w:rFonts w:eastAsia="Calibri"/>
          <w:lang w:val="en-GB"/>
        </w:rPr>
        <w:t>201</w:t>
      </w:r>
      <w:r w:rsidR="00841D70" w:rsidRPr="00EC2EF4">
        <w:rPr>
          <w:rFonts w:eastAsia="Calibri"/>
          <w:lang w:val="en-GB"/>
        </w:rPr>
        <w:t>3</w:t>
      </w:r>
      <w:r w:rsidR="00370300" w:rsidRPr="00EC2EF4">
        <w:rPr>
          <w:rFonts w:eastAsia="Calibri"/>
          <w:lang w:val="en-GB"/>
        </w:rPr>
        <w:t xml:space="preserve"> </w:t>
      </w:r>
      <w:r w:rsidR="00A46006" w:rsidRPr="00EC2EF4">
        <w:rPr>
          <w:rFonts w:eastAsia="Calibri"/>
          <w:lang w:val="en-GB"/>
        </w:rPr>
        <w:t>to 201</w:t>
      </w:r>
      <w:r w:rsidR="001A2D39" w:rsidRPr="00EC2EF4">
        <w:rPr>
          <w:rFonts w:eastAsia="Calibri"/>
          <w:lang w:val="en-GB"/>
        </w:rPr>
        <w:t>8</w:t>
      </w:r>
      <w:r w:rsidR="00323B4C" w:rsidRPr="00EC2EF4">
        <w:rPr>
          <w:rFonts w:eastAsia="Calibri"/>
          <w:lang w:val="en-GB"/>
        </w:rPr>
        <w:t xml:space="preserve">., including some indicators on </w:t>
      </w:r>
      <w:r w:rsidR="005F4249" w:rsidRPr="00EC2EF4">
        <w:rPr>
          <w:rFonts w:eastAsia="Calibri"/>
          <w:lang w:val="en-GB"/>
        </w:rPr>
        <w:t>appropriateness of use.</w:t>
      </w:r>
    </w:p>
    <w:p w14:paraId="2FDE930C" w14:textId="053C512A" w:rsidR="005B2147" w:rsidRPr="00EC2EF4" w:rsidRDefault="00C06D0E">
      <w:pPr>
        <w:spacing w:line="480" w:lineRule="auto"/>
        <w:jc w:val="both"/>
        <w:rPr>
          <w:rFonts w:eastAsia="Calibri"/>
          <w:lang w:val="en-GB"/>
        </w:rPr>
      </w:pPr>
      <w:r w:rsidRPr="00EC2EF4">
        <w:rPr>
          <w:rFonts w:eastAsia="Calibri"/>
          <w:lang w:val="en-GB"/>
        </w:rPr>
        <w:t xml:space="preserve"> </w:t>
      </w:r>
    </w:p>
    <w:p w14:paraId="302B1C85" w14:textId="00F1F62F" w:rsidR="005B2147" w:rsidRPr="00EC2EF4" w:rsidRDefault="005B2147">
      <w:pPr>
        <w:spacing w:line="480" w:lineRule="auto"/>
        <w:jc w:val="both"/>
        <w:rPr>
          <w:rFonts w:eastAsia="Calibri"/>
          <w:lang w:val="en-GB"/>
        </w:rPr>
      </w:pPr>
    </w:p>
    <w:p w14:paraId="5D7E10B6" w14:textId="77777777" w:rsidR="005B2147" w:rsidRPr="00EC2EF4" w:rsidRDefault="005B2147" w:rsidP="002900A3">
      <w:pPr>
        <w:spacing w:line="480" w:lineRule="auto"/>
        <w:jc w:val="both"/>
        <w:rPr>
          <w:rFonts w:eastAsia="Calibri"/>
          <w:lang w:val="en-GB"/>
        </w:rPr>
      </w:pPr>
    </w:p>
    <w:p w14:paraId="068ED22A" w14:textId="77777777" w:rsidR="007676BA" w:rsidRPr="00EC2EF4" w:rsidRDefault="007676BA" w:rsidP="002900A3">
      <w:pPr>
        <w:spacing w:line="480" w:lineRule="auto"/>
        <w:rPr>
          <w:b/>
          <w:lang w:val="en-GB"/>
        </w:rPr>
      </w:pPr>
      <w:r w:rsidRPr="00EC2EF4">
        <w:rPr>
          <w:b/>
          <w:lang w:val="en-GB"/>
        </w:rPr>
        <w:br w:type="page"/>
      </w:r>
    </w:p>
    <w:p w14:paraId="3021419E" w14:textId="77777777" w:rsidR="001E01A1" w:rsidRPr="00EC2EF4" w:rsidRDefault="005059F0" w:rsidP="002900A3">
      <w:pPr>
        <w:spacing w:line="480" w:lineRule="auto"/>
        <w:rPr>
          <w:b/>
          <w:lang w:val="en-GB"/>
        </w:rPr>
      </w:pPr>
      <w:r w:rsidRPr="00EC2EF4">
        <w:rPr>
          <w:b/>
          <w:lang w:val="en-GB"/>
        </w:rPr>
        <w:lastRenderedPageBreak/>
        <w:t xml:space="preserve">Sources and </w:t>
      </w:r>
      <w:r w:rsidR="001E01A1" w:rsidRPr="00EC2EF4">
        <w:rPr>
          <w:b/>
          <w:lang w:val="en-GB"/>
        </w:rPr>
        <w:t>Methods</w:t>
      </w:r>
    </w:p>
    <w:p w14:paraId="06DF1242" w14:textId="39409903" w:rsidR="00AE1C37" w:rsidRPr="00EC2EF4" w:rsidRDefault="00A94DA1" w:rsidP="002900A3">
      <w:pPr>
        <w:spacing w:line="480" w:lineRule="auto"/>
        <w:jc w:val="both"/>
        <w:rPr>
          <w:rFonts w:eastAsia="Calibri"/>
          <w:lang w:val="en-GB"/>
        </w:rPr>
      </w:pPr>
      <w:r w:rsidRPr="00EC2EF4">
        <w:rPr>
          <w:rFonts w:eastAsia="Calibri"/>
          <w:lang w:val="en-GB"/>
        </w:rPr>
        <w:t>The c</w:t>
      </w:r>
      <w:r w:rsidR="001A2D39" w:rsidRPr="00EC2EF4">
        <w:rPr>
          <w:rFonts w:eastAsia="Calibri"/>
          <w:lang w:val="en-GB"/>
        </w:rPr>
        <w:t xml:space="preserve">onsumption data for </w:t>
      </w:r>
      <w:r w:rsidR="009774BF" w:rsidRPr="00EC2EF4">
        <w:rPr>
          <w:rFonts w:eastAsia="Calibri"/>
          <w:lang w:val="en-GB"/>
        </w:rPr>
        <w:t>reimbursed antibiotics dispensed by</w:t>
      </w:r>
      <w:r w:rsidR="001A2D39" w:rsidRPr="00EC2EF4">
        <w:rPr>
          <w:rFonts w:eastAsia="Calibri"/>
          <w:lang w:val="en-GB"/>
        </w:rPr>
        <w:t xml:space="preserve"> community</w:t>
      </w:r>
      <w:r w:rsidR="009774BF" w:rsidRPr="00EC2EF4">
        <w:rPr>
          <w:rFonts w:eastAsia="Calibri"/>
          <w:lang w:val="en-GB"/>
        </w:rPr>
        <w:t xml:space="preserve"> pharmacies</w:t>
      </w:r>
      <w:r w:rsidR="00FF2BAE" w:rsidRPr="00EC2EF4">
        <w:rPr>
          <w:rFonts w:eastAsia="Calibri"/>
          <w:lang w:val="en-GB"/>
        </w:rPr>
        <w:t xml:space="preserve"> were </w:t>
      </w:r>
      <w:r w:rsidRPr="00EC2EF4">
        <w:rPr>
          <w:rFonts w:eastAsia="Calibri"/>
          <w:lang w:val="en-GB"/>
        </w:rPr>
        <w:t>considered</w:t>
      </w:r>
      <w:r w:rsidR="001A2D39" w:rsidRPr="00EC2EF4">
        <w:rPr>
          <w:rFonts w:eastAsia="Calibri"/>
          <w:lang w:val="en-GB"/>
        </w:rPr>
        <w:t xml:space="preserve">. Different </w:t>
      </w:r>
      <w:r w:rsidR="00A81E1E" w:rsidRPr="00EC2EF4">
        <w:rPr>
          <w:rFonts w:eastAsia="Calibri"/>
          <w:lang w:val="en-GB"/>
        </w:rPr>
        <w:t xml:space="preserve">data sources </w:t>
      </w:r>
      <w:r w:rsidR="001A2D39" w:rsidRPr="00EC2EF4">
        <w:rPr>
          <w:rFonts w:eastAsia="Calibri"/>
          <w:lang w:val="en-GB"/>
        </w:rPr>
        <w:t xml:space="preserve">were used: 1. </w:t>
      </w:r>
      <w:proofErr w:type="spellStart"/>
      <w:r w:rsidR="001A2D39" w:rsidRPr="00EC2EF4">
        <w:rPr>
          <w:rFonts w:eastAsia="Calibri"/>
          <w:lang w:val="en-GB"/>
        </w:rPr>
        <w:t>OsMed</w:t>
      </w:r>
      <w:proofErr w:type="spellEnd"/>
      <w:r w:rsidR="001A2D39" w:rsidRPr="00EC2EF4">
        <w:rPr>
          <w:rFonts w:eastAsia="Calibri"/>
          <w:lang w:val="en-GB"/>
        </w:rPr>
        <w:t xml:space="preserve"> </w:t>
      </w:r>
      <w:r w:rsidR="00986012" w:rsidRPr="00EC2EF4">
        <w:rPr>
          <w:rFonts w:eastAsia="Calibri"/>
          <w:lang w:val="en-GB"/>
        </w:rPr>
        <w:t>database</w:t>
      </w:r>
      <w:r w:rsidR="001A2D39" w:rsidRPr="00EC2EF4">
        <w:rPr>
          <w:rFonts w:eastAsia="Calibri"/>
          <w:lang w:val="en-GB"/>
        </w:rPr>
        <w:t xml:space="preserve">, collecting data regarding the </w:t>
      </w:r>
      <w:r w:rsidR="00426161" w:rsidRPr="00EC2EF4">
        <w:rPr>
          <w:rFonts w:eastAsia="Calibri"/>
          <w:lang w:val="en-GB"/>
        </w:rPr>
        <w:t>consump</w:t>
      </w:r>
      <w:r w:rsidR="00A70010" w:rsidRPr="00EC2EF4">
        <w:rPr>
          <w:rFonts w:eastAsia="Calibri"/>
          <w:lang w:val="en-GB"/>
        </w:rPr>
        <w:t>t</w:t>
      </w:r>
      <w:r w:rsidR="00426161" w:rsidRPr="00EC2EF4">
        <w:rPr>
          <w:rFonts w:eastAsia="Calibri"/>
          <w:lang w:val="en-GB"/>
        </w:rPr>
        <w:t xml:space="preserve">ion </w:t>
      </w:r>
      <w:r w:rsidR="001A2D39" w:rsidRPr="00EC2EF4">
        <w:rPr>
          <w:rFonts w:eastAsia="Calibri"/>
          <w:lang w:val="en-GB"/>
        </w:rPr>
        <w:t xml:space="preserve">of medicines dispensed by community pharmacies and reimbursed by </w:t>
      </w:r>
      <w:r w:rsidR="00FF2BAE" w:rsidRPr="00EC2EF4">
        <w:rPr>
          <w:rFonts w:eastAsia="Calibri"/>
          <w:lang w:val="en-GB"/>
        </w:rPr>
        <w:t xml:space="preserve">the Italian </w:t>
      </w:r>
      <w:r w:rsidRPr="00EC2EF4">
        <w:rPr>
          <w:rFonts w:eastAsia="Calibri"/>
          <w:lang w:val="en-GB"/>
        </w:rPr>
        <w:t>National Health Care Service (</w:t>
      </w:r>
      <w:r w:rsidR="001A2D39" w:rsidRPr="00EC2EF4">
        <w:rPr>
          <w:rFonts w:eastAsia="Calibri"/>
          <w:lang w:val="en-GB"/>
        </w:rPr>
        <w:t>NHCS</w:t>
      </w:r>
      <w:r w:rsidRPr="00EC2EF4">
        <w:rPr>
          <w:rFonts w:eastAsia="Calibri"/>
          <w:lang w:val="en-GB"/>
        </w:rPr>
        <w:t>)</w:t>
      </w:r>
      <w:r w:rsidR="001A2D39" w:rsidRPr="00EC2EF4">
        <w:rPr>
          <w:rFonts w:eastAsia="Calibri"/>
          <w:lang w:val="en-GB"/>
        </w:rPr>
        <w:t xml:space="preserve">; 2. Pharmaceutical Prescriptions </w:t>
      </w:r>
      <w:r w:rsidR="00986012" w:rsidRPr="00EC2EF4">
        <w:rPr>
          <w:rFonts w:eastAsia="Calibri"/>
          <w:lang w:val="en-GB"/>
        </w:rPr>
        <w:t xml:space="preserve">database </w:t>
      </w:r>
      <w:r w:rsidR="001A2D39" w:rsidRPr="00EC2EF4">
        <w:rPr>
          <w:rFonts w:eastAsia="Calibri"/>
          <w:lang w:val="en-GB"/>
        </w:rPr>
        <w:t>(</w:t>
      </w:r>
      <w:r w:rsidR="005D6B3B" w:rsidRPr="00EC2EF4">
        <w:rPr>
          <w:rFonts w:eastAsia="Calibri"/>
          <w:lang w:val="en-GB"/>
        </w:rPr>
        <w:t xml:space="preserve">also named </w:t>
      </w:r>
      <w:r w:rsidR="00377B78" w:rsidRPr="00EC2EF4">
        <w:rPr>
          <w:rFonts w:eastAsia="Calibri"/>
          <w:lang w:val="en-GB"/>
        </w:rPr>
        <w:t>“</w:t>
      </w:r>
      <w:r w:rsidR="001A2D39" w:rsidRPr="00EC2EF4">
        <w:rPr>
          <w:rFonts w:eastAsia="Calibri"/>
          <w:lang w:val="en-GB"/>
        </w:rPr>
        <w:t>Italian Health Insurance Card</w:t>
      </w:r>
      <w:r w:rsidR="005D6B3B" w:rsidRPr="00EC2EF4">
        <w:rPr>
          <w:rFonts w:eastAsia="Calibri"/>
          <w:lang w:val="en-GB"/>
        </w:rPr>
        <w:t xml:space="preserve"> </w:t>
      </w:r>
      <w:r w:rsidR="00986012" w:rsidRPr="00EC2EF4">
        <w:rPr>
          <w:rFonts w:eastAsia="Calibri"/>
          <w:lang w:val="en-GB"/>
        </w:rPr>
        <w:t>database</w:t>
      </w:r>
      <w:r w:rsidR="00377B78" w:rsidRPr="00EC2EF4">
        <w:rPr>
          <w:rFonts w:eastAsia="Calibri"/>
          <w:lang w:val="en-GB"/>
        </w:rPr>
        <w:t>”</w:t>
      </w:r>
      <w:r w:rsidR="001A2D39" w:rsidRPr="00EC2EF4">
        <w:rPr>
          <w:rFonts w:eastAsia="Calibri"/>
          <w:lang w:val="en-GB"/>
        </w:rPr>
        <w:t xml:space="preserve">) </w:t>
      </w:r>
      <w:r w:rsidR="00CD433B" w:rsidRPr="00EC2EF4">
        <w:rPr>
          <w:rFonts w:eastAsia="Calibri"/>
          <w:lang w:val="en-GB"/>
        </w:rPr>
        <w:t xml:space="preserve">collecting patient level data </w:t>
      </w:r>
      <w:r w:rsidR="002B5BD0" w:rsidRPr="00EC2EF4">
        <w:rPr>
          <w:rFonts w:eastAsia="Calibri"/>
          <w:lang w:val="en-GB"/>
        </w:rPr>
        <w:t xml:space="preserve">on medicines dispensed by community pharmacies and </w:t>
      </w:r>
      <w:r w:rsidRPr="00EC2EF4">
        <w:rPr>
          <w:rFonts w:eastAsia="Calibri"/>
          <w:lang w:val="en-GB"/>
        </w:rPr>
        <w:t xml:space="preserve">reimbursed </w:t>
      </w:r>
      <w:r w:rsidR="002B5BD0" w:rsidRPr="00EC2EF4">
        <w:rPr>
          <w:rFonts w:eastAsia="Calibri"/>
          <w:lang w:val="en-GB"/>
        </w:rPr>
        <w:t xml:space="preserve">by </w:t>
      </w:r>
      <w:r w:rsidR="00463957" w:rsidRPr="00EC2EF4">
        <w:rPr>
          <w:rFonts w:eastAsia="Calibri"/>
          <w:lang w:val="en-GB"/>
        </w:rPr>
        <w:t>Italian NHCS</w:t>
      </w:r>
      <w:r w:rsidR="0063214A" w:rsidRPr="00EC2EF4">
        <w:rPr>
          <w:rFonts w:eastAsia="Calibri"/>
          <w:lang w:val="en-GB"/>
        </w:rPr>
        <w:t>, used to evaluate</w:t>
      </w:r>
      <w:r w:rsidR="00BF3CDD" w:rsidRPr="00EC2EF4">
        <w:rPr>
          <w:rFonts w:eastAsia="Calibri"/>
          <w:lang w:val="en-GB"/>
        </w:rPr>
        <w:t xml:space="preserve"> the use of antibiotics in the Italian population by age and gender</w:t>
      </w:r>
      <w:r w:rsidR="002E3384" w:rsidRPr="00EC2EF4">
        <w:rPr>
          <w:rFonts w:eastAsia="Calibri"/>
          <w:lang w:val="en-GB"/>
        </w:rPr>
        <w:t>;</w:t>
      </w:r>
      <w:r w:rsidR="001A2D39" w:rsidRPr="00EC2EF4">
        <w:rPr>
          <w:rFonts w:eastAsia="Calibri"/>
          <w:lang w:val="en-GB"/>
        </w:rPr>
        <w:t xml:space="preserve"> </w:t>
      </w:r>
      <w:r w:rsidR="009774BF" w:rsidRPr="00EC2EF4">
        <w:rPr>
          <w:rFonts w:eastAsia="Calibri"/>
          <w:lang w:val="en-GB"/>
        </w:rPr>
        <w:t>3</w:t>
      </w:r>
      <w:r w:rsidR="001A2D39" w:rsidRPr="00EC2EF4">
        <w:rPr>
          <w:rFonts w:eastAsia="Calibri"/>
          <w:lang w:val="en-GB"/>
        </w:rPr>
        <w:t xml:space="preserve">. </w:t>
      </w:r>
      <w:r w:rsidR="00426161" w:rsidRPr="00EC2EF4">
        <w:rPr>
          <w:rFonts w:eastAsia="Calibri"/>
          <w:lang w:val="en-GB"/>
        </w:rPr>
        <w:t>D</w:t>
      </w:r>
      <w:r w:rsidR="00E530B0" w:rsidRPr="00EC2EF4">
        <w:rPr>
          <w:rFonts w:eastAsia="Calibri"/>
          <w:lang w:val="en-GB"/>
        </w:rPr>
        <w:t>iagnosis and prescription</w:t>
      </w:r>
      <w:r w:rsidR="001A2D39" w:rsidRPr="00EC2EF4">
        <w:rPr>
          <w:rFonts w:eastAsia="Calibri"/>
          <w:lang w:val="en-GB"/>
        </w:rPr>
        <w:t xml:space="preserve"> </w:t>
      </w:r>
      <w:r w:rsidR="00E530B0" w:rsidRPr="00EC2EF4">
        <w:rPr>
          <w:rFonts w:eastAsia="Calibri"/>
          <w:lang w:val="en-GB"/>
        </w:rPr>
        <w:t>datab</w:t>
      </w:r>
      <w:r w:rsidR="00986012" w:rsidRPr="00EC2EF4">
        <w:rPr>
          <w:rFonts w:eastAsia="Calibri"/>
          <w:lang w:val="en-GB"/>
        </w:rPr>
        <w:t>a</w:t>
      </w:r>
      <w:r w:rsidR="00E530B0" w:rsidRPr="00EC2EF4">
        <w:rPr>
          <w:rFonts w:eastAsia="Calibri"/>
          <w:lang w:val="en-GB"/>
        </w:rPr>
        <w:t xml:space="preserve">se </w:t>
      </w:r>
      <w:r w:rsidR="00EF3510" w:rsidRPr="00EC2EF4">
        <w:rPr>
          <w:rFonts w:eastAsia="Calibri"/>
          <w:lang w:val="en-GB"/>
        </w:rPr>
        <w:t xml:space="preserve">(Health Search-IQVIA LPD) </w:t>
      </w:r>
      <w:r w:rsidR="00E530B0" w:rsidRPr="00EC2EF4">
        <w:rPr>
          <w:rFonts w:eastAsia="Calibri"/>
          <w:lang w:val="en-GB"/>
        </w:rPr>
        <w:t xml:space="preserve">of </w:t>
      </w:r>
      <w:r w:rsidR="002E3384" w:rsidRPr="00EC2EF4">
        <w:rPr>
          <w:rFonts w:eastAsia="Calibri"/>
          <w:lang w:val="en-GB"/>
        </w:rPr>
        <w:t xml:space="preserve">a </w:t>
      </w:r>
      <w:r w:rsidR="001A2D39" w:rsidRPr="00EC2EF4">
        <w:rPr>
          <w:rFonts w:eastAsia="Calibri"/>
          <w:lang w:val="en-GB"/>
        </w:rPr>
        <w:t>sentinel network of 800 general practitioners</w:t>
      </w:r>
      <w:r w:rsidR="00F721CC" w:rsidRPr="00EC2EF4">
        <w:rPr>
          <w:rFonts w:eastAsia="Calibri"/>
          <w:lang w:val="en-GB"/>
        </w:rPr>
        <w:t xml:space="preserve"> (GPs)</w:t>
      </w:r>
      <w:r w:rsidR="001A2D39" w:rsidRPr="00EC2EF4">
        <w:rPr>
          <w:rFonts w:eastAsia="Calibri"/>
          <w:lang w:val="en-GB"/>
        </w:rPr>
        <w:t xml:space="preserve"> </w:t>
      </w:r>
      <w:r w:rsidR="00F721CC" w:rsidRPr="00EC2EF4">
        <w:rPr>
          <w:rFonts w:eastAsia="Calibri"/>
          <w:lang w:val="en-GB"/>
        </w:rPr>
        <w:t xml:space="preserve">related to </w:t>
      </w:r>
      <w:r w:rsidR="001A2D39" w:rsidRPr="00EC2EF4">
        <w:rPr>
          <w:rFonts w:eastAsia="Calibri"/>
          <w:lang w:val="en-GB"/>
        </w:rPr>
        <w:t>1.006.424 patient</w:t>
      </w:r>
      <w:r w:rsidR="005B15D0" w:rsidRPr="00EC2EF4">
        <w:rPr>
          <w:rFonts w:eastAsia="Calibri"/>
          <w:lang w:val="en-GB"/>
        </w:rPr>
        <w:t>s</w:t>
      </w:r>
      <w:r w:rsidR="001A2D39" w:rsidRPr="00EC2EF4">
        <w:rPr>
          <w:rFonts w:eastAsia="Calibri"/>
          <w:lang w:val="en-GB"/>
        </w:rPr>
        <w:t xml:space="preserve"> </w:t>
      </w:r>
      <w:r w:rsidR="005B15D0" w:rsidRPr="00EC2EF4">
        <w:rPr>
          <w:rFonts w:eastAsia="Calibri"/>
          <w:lang w:val="en-GB"/>
        </w:rPr>
        <w:t>aged</w:t>
      </w:r>
      <w:r w:rsidR="001A2D39" w:rsidRPr="00EC2EF4">
        <w:rPr>
          <w:rFonts w:eastAsia="Calibri"/>
          <w:lang w:val="en-GB"/>
        </w:rPr>
        <w:t xml:space="preserve"> 14 years</w:t>
      </w:r>
      <w:r w:rsidR="005B15D0" w:rsidRPr="00EC2EF4">
        <w:rPr>
          <w:rFonts w:eastAsia="Calibri"/>
          <w:lang w:val="en-GB"/>
        </w:rPr>
        <w:t xml:space="preserve"> or over</w:t>
      </w:r>
      <w:r w:rsidR="002E3384" w:rsidRPr="00EC2EF4">
        <w:rPr>
          <w:rFonts w:eastAsia="Calibri"/>
          <w:lang w:val="en-GB"/>
        </w:rPr>
        <w:t xml:space="preserve">, representative of the </w:t>
      </w:r>
      <w:r w:rsidR="006D67F1" w:rsidRPr="00EC2EF4">
        <w:rPr>
          <w:rFonts w:eastAsia="Calibri"/>
          <w:lang w:val="en-GB"/>
        </w:rPr>
        <w:t xml:space="preserve">adult </w:t>
      </w:r>
      <w:r w:rsidR="002E3384" w:rsidRPr="00EC2EF4">
        <w:rPr>
          <w:rFonts w:eastAsia="Calibri"/>
          <w:lang w:val="en-GB"/>
        </w:rPr>
        <w:t>primary care se</w:t>
      </w:r>
      <w:r w:rsidR="006D67F1" w:rsidRPr="00EC2EF4">
        <w:rPr>
          <w:rFonts w:eastAsia="Calibri"/>
          <w:lang w:val="en-GB"/>
        </w:rPr>
        <w:t>r</w:t>
      </w:r>
      <w:r w:rsidR="002E3384" w:rsidRPr="00EC2EF4">
        <w:rPr>
          <w:rFonts w:eastAsia="Calibri"/>
          <w:lang w:val="en-GB"/>
        </w:rPr>
        <w:t>vice at the national level,</w:t>
      </w:r>
      <w:r w:rsidR="001A2D39" w:rsidRPr="00EC2EF4">
        <w:rPr>
          <w:rFonts w:eastAsia="Calibri"/>
          <w:lang w:val="en-GB"/>
        </w:rPr>
        <w:t xml:space="preserve"> </w:t>
      </w:r>
      <w:r w:rsidR="00426161" w:rsidRPr="00EC2EF4">
        <w:rPr>
          <w:rFonts w:eastAsia="Calibri"/>
          <w:lang w:val="en-GB"/>
        </w:rPr>
        <w:t>used</w:t>
      </w:r>
      <w:r w:rsidR="00F721CC" w:rsidRPr="00EC2EF4">
        <w:rPr>
          <w:rFonts w:eastAsia="Calibri"/>
          <w:lang w:val="en-GB"/>
        </w:rPr>
        <w:t xml:space="preserve"> </w:t>
      </w:r>
      <w:r w:rsidR="001A2D39" w:rsidRPr="00EC2EF4">
        <w:rPr>
          <w:rFonts w:eastAsia="Calibri"/>
          <w:lang w:val="en-GB"/>
        </w:rPr>
        <w:t xml:space="preserve">to evaluate the appropriate use of antibiotics. </w:t>
      </w:r>
    </w:p>
    <w:p w14:paraId="36CC28DF" w14:textId="2D8CDFAE" w:rsidR="00CA57ED" w:rsidRPr="00EC2EF4" w:rsidRDefault="00CA57ED" w:rsidP="002900A3">
      <w:pPr>
        <w:spacing w:line="480" w:lineRule="auto"/>
        <w:jc w:val="both"/>
        <w:rPr>
          <w:rFonts w:eastAsia="Calibri"/>
          <w:lang w:val="en-GB"/>
        </w:rPr>
      </w:pPr>
      <w:r w:rsidRPr="00EC2EF4">
        <w:rPr>
          <w:rFonts w:eastAsia="Calibri"/>
          <w:lang w:val="en-GB"/>
        </w:rPr>
        <w:t xml:space="preserve">Data from </w:t>
      </w:r>
      <w:proofErr w:type="spellStart"/>
      <w:r w:rsidRPr="00EC2EF4">
        <w:rPr>
          <w:rFonts w:eastAsia="Calibri"/>
          <w:lang w:val="en-GB"/>
        </w:rPr>
        <w:t>influ</w:t>
      </w:r>
      <w:r w:rsidR="00E67A82" w:rsidRPr="00EC2EF4">
        <w:rPr>
          <w:rFonts w:eastAsia="Calibri"/>
          <w:i/>
          <w:lang w:val="en-GB"/>
        </w:rPr>
        <w:t>Net</w:t>
      </w:r>
      <w:proofErr w:type="spellEnd"/>
      <w:r w:rsidRPr="00EC2EF4">
        <w:rPr>
          <w:rFonts w:eastAsia="Calibri"/>
          <w:lang w:val="en-GB"/>
        </w:rPr>
        <w:t xml:space="preserve"> surveillance system, a network </w:t>
      </w:r>
      <w:r w:rsidR="00E7323C">
        <w:rPr>
          <w:rFonts w:eastAsia="Calibri"/>
          <w:lang w:val="en-GB"/>
        </w:rPr>
        <w:t>coordinated by National Institute of Health</w:t>
      </w:r>
      <w:r w:rsidR="00E7323C" w:rsidRPr="00EC2EF4">
        <w:rPr>
          <w:rFonts w:eastAsia="Calibri"/>
          <w:lang w:val="en-GB"/>
        </w:rPr>
        <w:t xml:space="preserve"> </w:t>
      </w:r>
      <w:r w:rsidRPr="00EC2EF4">
        <w:rPr>
          <w:rFonts w:eastAsia="Calibri"/>
          <w:lang w:val="en-GB"/>
        </w:rPr>
        <w:t xml:space="preserve">of sentinel physicians made up of general practitioners and </w:t>
      </w:r>
      <w:r w:rsidR="00211755" w:rsidRPr="00BB4AA8">
        <w:rPr>
          <w:rFonts w:eastAsia="Calibri"/>
          <w:lang w:val="en-GB"/>
        </w:rPr>
        <w:t>paediatricians</w:t>
      </w:r>
      <w:r w:rsidRPr="00EC2EF4">
        <w:rPr>
          <w:rFonts w:eastAsia="Calibri"/>
          <w:lang w:val="en-GB"/>
        </w:rPr>
        <w:t xml:space="preserve"> who report cases of flu-like syndromes, were used to analyse the correlation between the antibiotics’ consumption and the incidence of flu syndromes in the October 2014-April 2019 period. </w:t>
      </w:r>
    </w:p>
    <w:p w14:paraId="5EB8BCB3" w14:textId="4AE1EC18" w:rsidR="001F311B" w:rsidRPr="00EC2EF4" w:rsidRDefault="001A2D39" w:rsidP="002900A3">
      <w:pPr>
        <w:spacing w:line="480" w:lineRule="auto"/>
        <w:jc w:val="both"/>
        <w:rPr>
          <w:lang w:val="en-GB"/>
        </w:rPr>
      </w:pPr>
      <w:r w:rsidRPr="00EC2EF4">
        <w:rPr>
          <w:rFonts w:eastAsia="Calibri"/>
          <w:lang w:val="en-GB"/>
        </w:rPr>
        <w:t xml:space="preserve">Data </w:t>
      </w:r>
      <w:r w:rsidR="00AA677B" w:rsidRPr="00EC2EF4">
        <w:rPr>
          <w:rFonts w:eastAsia="Calibri"/>
          <w:lang w:val="en-GB"/>
        </w:rPr>
        <w:t xml:space="preserve">were </w:t>
      </w:r>
      <w:r w:rsidRPr="00EC2EF4">
        <w:rPr>
          <w:rFonts w:eastAsia="Calibri"/>
          <w:lang w:val="en-GB"/>
        </w:rPr>
        <w:t>arranged according to the Anatomical Therapeutic Chemical</w:t>
      </w:r>
      <w:r w:rsidR="00377B78" w:rsidRPr="00EC2EF4">
        <w:rPr>
          <w:rFonts w:eastAsia="Calibri"/>
          <w:lang w:val="en-GB"/>
        </w:rPr>
        <w:t xml:space="preserve"> (ATC)</w:t>
      </w:r>
      <w:r w:rsidRPr="00EC2EF4">
        <w:rPr>
          <w:rFonts w:eastAsia="Calibri"/>
          <w:lang w:val="en-GB"/>
        </w:rPr>
        <w:t xml:space="preserve"> classification</w:t>
      </w:r>
      <w:r w:rsidR="0071322A" w:rsidRPr="00EC2EF4">
        <w:rPr>
          <w:rFonts w:eastAsia="Calibri"/>
          <w:lang w:val="en-GB"/>
        </w:rPr>
        <w:t xml:space="preserve"> established by the World Health Organization Collaborating Centre (WHOCC) for Drug Statistics Methodology</w:t>
      </w:r>
      <w:r w:rsidR="001F311B" w:rsidRPr="00EC2EF4">
        <w:rPr>
          <w:rFonts w:eastAsia="Calibri"/>
          <w:lang w:val="en-GB"/>
        </w:rPr>
        <w:t xml:space="preserve"> as following: </w:t>
      </w:r>
      <w:proofErr w:type="spellStart"/>
      <w:r w:rsidR="001F311B" w:rsidRPr="00EC2EF4">
        <w:rPr>
          <w:rFonts w:eastAsia="Calibri"/>
          <w:lang w:val="en-GB"/>
        </w:rPr>
        <w:t>antibacterial</w:t>
      </w:r>
      <w:r w:rsidR="00773EC0" w:rsidRPr="00EC2EF4">
        <w:rPr>
          <w:rFonts w:eastAsia="Calibri"/>
          <w:lang w:val="en-GB"/>
        </w:rPr>
        <w:t>s</w:t>
      </w:r>
      <w:proofErr w:type="spellEnd"/>
      <w:r w:rsidR="001F311B" w:rsidRPr="00EC2EF4">
        <w:rPr>
          <w:rFonts w:eastAsia="Calibri"/>
          <w:lang w:val="en-GB"/>
        </w:rPr>
        <w:t xml:space="preserve"> for systemic use (J01), fluoroquinolones (</w:t>
      </w:r>
      <w:r w:rsidR="001F311B" w:rsidRPr="00EC2EF4">
        <w:rPr>
          <w:color w:val="000000"/>
          <w:shd w:val="clear" w:color="auto" w:fill="FFFFFF"/>
          <w:lang w:val="en-GB"/>
        </w:rPr>
        <w:t>J01MA</w:t>
      </w:r>
      <w:r w:rsidR="001F311B" w:rsidRPr="00EC2EF4">
        <w:rPr>
          <w:rFonts w:eastAsia="Calibri"/>
          <w:lang w:val="en-GB"/>
        </w:rPr>
        <w:t xml:space="preserve">), broad-spectrum </w:t>
      </w:r>
      <w:proofErr w:type="spellStart"/>
      <w:r w:rsidR="001F311B" w:rsidRPr="00EC2EF4">
        <w:rPr>
          <w:rFonts w:eastAsia="Calibri"/>
          <w:lang w:val="en-GB"/>
        </w:rPr>
        <w:t>penicillins</w:t>
      </w:r>
      <w:proofErr w:type="spellEnd"/>
      <w:r w:rsidR="001F311B" w:rsidRPr="00EC2EF4">
        <w:rPr>
          <w:rFonts w:eastAsia="Calibri"/>
          <w:lang w:val="en-GB"/>
        </w:rPr>
        <w:t xml:space="preserve"> (J01CA-CE-CF), combinations of </w:t>
      </w:r>
      <w:proofErr w:type="spellStart"/>
      <w:r w:rsidR="001F311B" w:rsidRPr="00EC2EF4">
        <w:rPr>
          <w:rFonts w:eastAsia="Calibri"/>
          <w:lang w:val="en-GB"/>
        </w:rPr>
        <w:t>penicillins</w:t>
      </w:r>
      <w:proofErr w:type="spellEnd"/>
      <w:r w:rsidR="001F311B" w:rsidRPr="00EC2EF4">
        <w:rPr>
          <w:rFonts w:eastAsia="Calibri"/>
          <w:lang w:val="en-GB"/>
        </w:rPr>
        <w:t xml:space="preserve">, incl. beta-lactamase inhibitors (J01CR) cephalosporins (J01DB-DC-DD-DE), macrolides (J01FA). </w:t>
      </w:r>
    </w:p>
    <w:p w14:paraId="5148C402" w14:textId="357BBD40" w:rsidR="0063214A" w:rsidRPr="00EC2EF4" w:rsidRDefault="00AE1C37" w:rsidP="002900A3">
      <w:pPr>
        <w:spacing w:line="480" w:lineRule="auto"/>
        <w:jc w:val="both"/>
        <w:rPr>
          <w:rFonts w:eastAsia="Calibri"/>
          <w:lang w:val="en-GB"/>
        </w:rPr>
      </w:pPr>
      <w:r w:rsidRPr="00EC2EF4">
        <w:rPr>
          <w:rFonts w:eastAsia="Calibri"/>
          <w:lang w:val="en-GB"/>
        </w:rPr>
        <w:t xml:space="preserve">Drug </w:t>
      </w:r>
      <w:r w:rsidR="001A2D39" w:rsidRPr="00EC2EF4">
        <w:rPr>
          <w:rFonts w:eastAsia="Calibri"/>
          <w:lang w:val="en-GB"/>
        </w:rPr>
        <w:t xml:space="preserve">consumption </w:t>
      </w:r>
      <w:r w:rsidRPr="00EC2EF4">
        <w:rPr>
          <w:rFonts w:eastAsia="Calibri"/>
          <w:lang w:val="en-GB"/>
        </w:rPr>
        <w:t>was</w:t>
      </w:r>
      <w:r w:rsidR="001A2D39" w:rsidRPr="00EC2EF4">
        <w:rPr>
          <w:rFonts w:eastAsia="Calibri"/>
          <w:lang w:val="en-GB"/>
        </w:rPr>
        <w:t xml:space="preserve"> measured </w:t>
      </w:r>
      <w:r w:rsidR="00E06668" w:rsidRPr="00EC2EF4">
        <w:rPr>
          <w:rFonts w:eastAsia="Calibri"/>
          <w:lang w:val="en-GB"/>
        </w:rPr>
        <w:t>as number of</w:t>
      </w:r>
      <w:r w:rsidR="001A2D39" w:rsidRPr="00EC2EF4">
        <w:rPr>
          <w:rFonts w:eastAsia="Calibri"/>
          <w:lang w:val="en-GB"/>
        </w:rPr>
        <w:t xml:space="preserve"> </w:t>
      </w:r>
      <w:r w:rsidR="00377B78" w:rsidRPr="00EC2EF4">
        <w:rPr>
          <w:rFonts w:eastAsia="Calibri"/>
          <w:lang w:val="en-GB"/>
        </w:rPr>
        <w:t>D</w:t>
      </w:r>
      <w:r w:rsidR="001A2D39" w:rsidRPr="00EC2EF4">
        <w:rPr>
          <w:rFonts w:eastAsia="Calibri"/>
          <w:lang w:val="en-GB"/>
        </w:rPr>
        <w:t xml:space="preserve">efined </w:t>
      </w:r>
      <w:r w:rsidR="00377B78" w:rsidRPr="00EC2EF4">
        <w:rPr>
          <w:rFonts w:eastAsia="Calibri"/>
          <w:lang w:val="en-GB"/>
        </w:rPr>
        <w:t>D</w:t>
      </w:r>
      <w:r w:rsidR="001A2D39" w:rsidRPr="00EC2EF4">
        <w:rPr>
          <w:rFonts w:eastAsia="Calibri"/>
          <w:lang w:val="en-GB"/>
        </w:rPr>
        <w:t xml:space="preserve">aily </w:t>
      </w:r>
      <w:r w:rsidR="00377B78" w:rsidRPr="00EC2EF4">
        <w:rPr>
          <w:rFonts w:eastAsia="Calibri"/>
          <w:lang w:val="en-GB"/>
        </w:rPr>
        <w:t>D</w:t>
      </w:r>
      <w:r w:rsidR="001A2D39" w:rsidRPr="00EC2EF4">
        <w:rPr>
          <w:rFonts w:eastAsia="Calibri"/>
          <w:lang w:val="en-GB"/>
        </w:rPr>
        <w:t>ose</w:t>
      </w:r>
      <w:r w:rsidR="00377B78" w:rsidRPr="00EC2EF4">
        <w:rPr>
          <w:rFonts w:eastAsia="Calibri"/>
          <w:lang w:val="en-GB"/>
        </w:rPr>
        <w:t xml:space="preserve"> (DDD</w:t>
      </w:r>
      <w:r w:rsidR="0071322A" w:rsidRPr="00EC2EF4">
        <w:rPr>
          <w:rFonts w:eastAsia="Calibri"/>
          <w:lang w:val="en-GB"/>
        </w:rPr>
        <w:t>)</w:t>
      </w:r>
      <w:r w:rsidR="00426161" w:rsidRPr="00EC2EF4">
        <w:rPr>
          <w:rFonts w:eastAsia="Calibri"/>
          <w:lang w:val="en-GB"/>
        </w:rPr>
        <w:t>,</w:t>
      </w:r>
      <w:r w:rsidR="0071322A" w:rsidRPr="00EC2EF4">
        <w:rPr>
          <w:rFonts w:eastAsia="Calibri"/>
          <w:lang w:val="en-GB"/>
        </w:rPr>
        <w:t xml:space="preserve"> which is the assumed average maintenance dose per day for a drug used for its main indication in adults</w:t>
      </w:r>
      <w:r w:rsidR="0007728C" w:rsidRPr="00EC2EF4">
        <w:rPr>
          <w:rFonts w:eastAsia="Calibri"/>
          <w:lang w:val="en-GB"/>
        </w:rPr>
        <w:t xml:space="preserve"> [</w:t>
      </w:r>
      <w:r w:rsidR="005301F9" w:rsidRPr="00EC2EF4">
        <w:rPr>
          <w:rFonts w:eastAsia="Calibri"/>
          <w:lang w:val="en-GB"/>
        </w:rPr>
        <w:t>20</w:t>
      </w:r>
      <w:r w:rsidR="00E67A82" w:rsidRPr="00EC2EF4">
        <w:rPr>
          <w:rFonts w:eastAsia="Calibri"/>
          <w:lang w:val="en-GB"/>
        </w:rPr>
        <w:t>]</w:t>
      </w:r>
      <w:r w:rsidR="0071322A" w:rsidRPr="00EC2EF4">
        <w:rPr>
          <w:rFonts w:eastAsia="Calibri"/>
          <w:lang w:val="en-GB"/>
        </w:rPr>
        <w:t>.</w:t>
      </w:r>
      <w:r w:rsidR="001A2D39" w:rsidRPr="00EC2EF4">
        <w:rPr>
          <w:rFonts w:eastAsia="Calibri"/>
          <w:lang w:val="en-GB"/>
        </w:rPr>
        <w:t xml:space="preserve"> It represents a standard in performing valid and reliable cross-national or longitudinal studies o</w:t>
      </w:r>
      <w:r w:rsidR="00B95E7A" w:rsidRPr="00EC2EF4">
        <w:rPr>
          <w:rFonts w:eastAsia="Calibri"/>
          <w:lang w:val="en-GB"/>
        </w:rPr>
        <w:t>n</w:t>
      </w:r>
      <w:r w:rsidR="001A2D39" w:rsidRPr="00EC2EF4">
        <w:rPr>
          <w:rFonts w:eastAsia="Calibri"/>
          <w:lang w:val="en-GB"/>
        </w:rPr>
        <w:t xml:space="preserve"> </w:t>
      </w:r>
      <w:r w:rsidR="00377B78" w:rsidRPr="00EC2EF4">
        <w:rPr>
          <w:rFonts w:eastAsia="Calibri"/>
          <w:lang w:val="en-GB"/>
        </w:rPr>
        <w:t xml:space="preserve">drug </w:t>
      </w:r>
      <w:r w:rsidR="001A2D39" w:rsidRPr="00EC2EF4">
        <w:rPr>
          <w:rFonts w:eastAsia="Calibri"/>
          <w:lang w:val="en-GB"/>
        </w:rPr>
        <w:t xml:space="preserve">consumption. </w:t>
      </w:r>
      <w:r w:rsidRPr="00EC2EF4">
        <w:rPr>
          <w:rFonts w:eastAsia="Calibri"/>
          <w:lang w:val="en-GB"/>
        </w:rPr>
        <w:t xml:space="preserve">Since </w:t>
      </w:r>
      <w:r w:rsidR="001A2D39" w:rsidRPr="00EC2EF4">
        <w:rPr>
          <w:rFonts w:eastAsia="Calibri"/>
          <w:lang w:val="en-GB"/>
        </w:rPr>
        <w:t>DDD values of some medicines may change over time because of alterations in the main indication, or regulatory amendments for the recommended or prescribed daily dose</w:t>
      </w:r>
      <w:r w:rsidRPr="00EC2EF4">
        <w:rPr>
          <w:rFonts w:eastAsia="Calibri"/>
          <w:lang w:val="en-GB"/>
        </w:rPr>
        <w:t xml:space="preserve">, </w:t>
      </w:r>
      <w:r w:rsidR="001A2D39" w:rsidRPr="00EC2EF4">
        <w:rPr>
          <w:rFonts w:eastAsia="Calibri"/>
          <w:lang w:val="en-GB"/>
        </w:rPr>
        <w:t xml:space="preserve">all historical data </w:t>
      </w:r>
      <w:r w:rsidR="00AA677B" w:rsidRPr="00EC2EF4">
        <w:rPr>
          <w:rFonts w:eastAsia="Calibri"/>
          <w:lang w:val="en-GB"/>
        </w:rPr>
        <w:t>we</w:t>
      </w:r>
      <w:r w:rsidR="001A2D39" w:rsidRPr="00EC2EF4">
        <w:rPr>
          <w:rFonts w:eastAsia="Calibri"/>
          <w:lang w:val="en-GB"/>
        </w:rPr>
        <w:t xml:space="preserve">re retrospectively adjusted to the latest </w:t>
      </w:r>
      <w:r w:rsidR="00377B78" w:rsidRPr="00EC2EF4">
        <w:rPr>
          <w:rFonts w:eastAsia="Calibri"/>
          <w:lang w:val="en-GB"/>
        </w:rPr>
        <w:t xml:space="preserve">version of the </w:t>
      </w:r>
      <w:r w:rsidR="001A2D39" w:rsidRPr="00EC2EF4">
        <w:rPr>
          <w:rFonts w:eastAsia="Calibri"/>
          <w:lang w:val="en-GB"/>
        </w:rPr>
        <w:t xml:space="preserve">DDD/ATC index. </w:t>
      </w:r>
    </w:p>
    <w:p w14:paraId="067CA586" w14:textId="451C1257" w:rsidR="00E06668" w:rsidRPr="00EC2EF4" w:rsidRDefault="001A2D39" w:rsidP="00E95D46">
      <w:pPr>
        <w:spacing w:line="480" w:lineRule="auto"/>
        <w:jc w:val="both"/>
        <w:rPr>
          <w:rFonts w:eastAsia="Calibri"/>
          <w:lang w:val="en-GB"/>
        </w:rPr>
      </w:pPr>
      <w:r w:rsidRPr="00EC2EF4">
        <w:rPr>
          <w:rFonts w:eastAsia="Calibri"/>
          <w:lang w:val="en-GB"/>
        </w:rPr>
        <w:lastRenderedPageBreak/>
        <w:t xml:space="preserve">The indicator </w:t>
      </w:r>
      <w:r w:rsidR="00210AB2" w:rsidRPr="00EC2EF4">
        <w:rPr>
          <w:rFonts w:eastAsia="Calibri"/>
          <w:lang w:val="en-GB"/>
        </w:rPr>
        <w:t xml:space="preserve">calculated as </w:t>
      </w:r>
      <w:r w:rsidR="00E06668" w:rsidRPr="00EC2EF4">
        <w:rPr>
          <w:rFonts w:eastAsia="Calibri"/>
          <w:lang w:val="en-GB"/>
        </w:rPr>
        <w:t xml:space="preserve">“number of </w:t>
      </w:r>
      <w:r w:rsidRPr="00EC2EF4">
        <w:rPr>
          <w:rFonts w:eastAsia="Calibri"/>
          <w:lang w:val="en-GB"/>
        </w:rPr>
        <w:t xml:space="preserve">DDD per 1,000 inhabitants per day” </w:t>
      </w:r>
      <w:r w:rsidR="00210AB2" w:rsidRPr="00EC2EF4">
        <w:rPr>
          <w:rFonts w:eastAsia="Calibri"/>
          <w:lang w:val="en-GB"/>
        </w:rPr>
        <w:t>wa</w:t>
      </w:r>
      <w:r w:rsidRPr="00EC2EF4">
        <w:rPr>
          <w:rFonts w:eastAsia="Calibri"/>
          <w:lang w:val="en-GB"/>
        </w:rPr>
        <w:t xml:space="preserve">s used. </w:t>
      </w:r>
      <w:r w:rsidR="00B21263" w:rsidRPr="00EC2EF4">
        <w:rPr>
          <w:rFonts w:eastAsia="Calibri"/>
          <w:lang w:val="en-GB"/>
        </w:rPr>
        <w:t>To make</w:t>
      </w:r>
      <w:r w:rsidRPr="00EC2EF4">
        <w:rPr>
          <w:rFonts w:eastAsia="Calibri"/>
          <w:lang w:val="en-GB"/>
        </w:rPr>
        <w:t xml:space="preserve"> </w:t>
      </w:r>
      <w:r w:rsidR="00E308D9" w:rsidRPr="00EC2EF4">
        <w:rPr>
          <w:rFonts w:eastAsia="Calibri"/>
          <w:lang w:val="en-GB"/>
        </w:rPr>
        <w:t xml:space="preserve">regional </w:t>
      </w:r>
      <w:r w:rsidRPr="00EC2EF4">
        <w:rPr>
          <w:rFonts w:eastAsia="Calibri"/>
          <w:lang w:val="en-GB"/>
        </w:rPr>
        <w:t>comparison</w:t>
      </w:r>
      <w:r w:rsidR="0090321B" w:rsidRPr="00EC2EF4">
        <w:rPr>
          <w:rFonts w:eastAsia="Calibri"/>
          <w:lang w:val="en-GB"/>
        </w:rPr>
        <w:t>s</w:t>
      </w:r>
      <w:r w:rsidRPr="00EC2EF4">
        <w:rPr>
          <w:rFonts w:eastAsia="Calibri"/>
          <w:lang w:val="en-GB"/>
        </w:rPr>
        <w:t xml:space="preserve"> a weighted population was applied</w:t>
      </w:r>
      <w:r w:rsidR="00DC7EB8" w:rsidRPr="00EC2EF4">
        <w:rPr>
          <w:rFonts w:eastAsia="Calibri"/>
          <w:lang w:val="en-GB"/>
        </w:rPr>
        <w:t xml:space="preserve"> in the indicator calculation</w:t>
      </w:r>
      <w:r w:rsidRPr="00EC2EF4">
        <w:rPr>
          <w:rFonts w:eastAsia="Calibri"/>
          <w:lang w:val="en-GB"/>
        </w:rPr>
        <w:t xml:space="preserve">, </w:t>
      </w:r>
      <w:r w:rsidR="00AE1C37" w:rsidRPr="00EC2EF4">
        <w:rPr>
          <w:rFonts w:eastAsia="Calibri"/>
          <w:lang w:val="en-GB"/>
        </w:rPr>
        <w:t xml:space="preserve">in order </w:t>
      </w:r>
      <w:r w:rsidRPr="00EC2EF4">
        <w:rPr>
          <w:rFonts w:eastAsia="Calibri"/>
          <w:lang w:val="en-GB"/>
        </w:rPr>
        <w:t xml:space="preserve">to take into account </w:t>
      </w:r>
      <w:r w:rsidR="009C6EA0" w:rsidRPr="00EC2EF4">
        <w:rPr>
          <w:rFonts w:eastAsia="Calibri"/>
          <w:lang w:val="en-GB"/>
        </w:rPr>
        <w:t>age and gender</w:t>
      </w:r>
      <w:r w:rsidRPr="00EC2EF4">
        <w:rPr>
          <w:rFonts w:eastAsia="Calibri"/>
          <w:lang w:val="en-GB"/>
        </w:rPr>
        <w:t xml:space="preserve"> difference</w:t>
      </w:r>
      <w:r w:rsidR="009C6EA0" w:rsidRPr="00EC2EF4">
        <w:rPr>
          <w:rFonts w:eastAsia="Calibri"/>
          <w:lang w:val="en-GB"/>
        </w:rPr>
        <w:t>s</w:t>
      </w:r>
      <w:r w:rsidR="00545711" w:rsidRPr="00EC2EF4">
        <w:rPr>
          <w:rFonts w:eastAsia="Calibri"/>
          <w:lang w:val="en-GB"/>
        </w:rPr>
        <w:t xml:space="preserve"> a</w:t>
      </w:r>
      <w:r w:rsidR="00A41EF0" w:rsidRPr="00EC2EF4">
        <w:rPr>
          <w:rFonts w:eastAsia="Calibri"/>
          <w:lang w:val="en-GB"/>
        </w:rPr>
        <w:t xml:space="preserve">cross </w:t>
      </w:r>
      <w:r w:rsidR="00E308D9" w:rsidRPr="00EC2EF4">
        <w:rPr>
          <w:rFonts w:eastAsia="Calibri"/>
          <w:lang w:val="en-GB"/>
        </w:rPr>
        <w:t>Italian regions</w:t>
      </w:r>
      <w:r w:rsidR="00863083" w:rsidRPr="00EC2EF4">
        <w:rPr>
          <w:rFonts w:eastAsia="Calibri"/>
          <w:lang w:val="en-GB"/>
        </w:rPr>
        <w:t xml:space="preserve"> [</w:t>
      </w:r>
      <w:r w:rsidR="005301F9" w:rsidRPr="00EC2EF4">
        <w:rPr>
          <w:rFonts w:eastAsia="Calibri"/>
          <w:lang w:val="en-GB"/>
        </w:rPr>
        <w:t>21</w:t>
      </w:r>
      <w:r w:rsidR="00863083" w:rsidRPr="00EC2EF4">
        <w:rPr>
          <w:rFonts w:eastAsia="Calibri"/>
          <w:lang w:val="en-GB"/>
        </w:rPr>
        <w:t>]</w:t>
      </w:r>
      <w:r w:rsidR="009C6EA0" w:rsidRPr="00EC2EF4">
        <w:rPr>
          <w:rFonts w:eastAsia="Calibri"/>
          <w:lang w:val="en-GB"/>
        </w:rPr>
        <w:t>.</w:t>
      </w:r>
      <w:r w:rsidR="009774BF" w:rsidRPr="00EC2EF4">
        <w:rPr>
          <w:rFonts w:eastAsia="Calibri"/>
          <w:lang w:val="en-GB"/>
        </w:rPr>
        <w:t xml:space="preserve"> Since </w:t>
      </w:r>
      <w:r w:rsidR="0056585F" w:rsidRPr="00EC2EF4">
        <w:rPr>
          <w:rFonts w:eastAsia="Calibri"/>
          <w:lang w:val="en-GB"/>
        </w:rPr>
        <w:t xml:space="preserve">it is not possible to analyse medicines </w:t>
      </w:r>
      <w:r w:rsidR="009774BF" w:rsidRPr="00EC2EF4">
        <w:rPr>
          <w:rFonts w:eastAsia="Calibri"/>
          <w:lang w:val="en-GB"/>
        </w:rPr>
        <w:t>use in children by using DDDs owing to the variability of children’s doses</w:t>
      </w:r>
      <w:r w:rsidR="00DC7EB8" w:rsidRPr="00EC2EF4">
        <w:rPr>
          <w:rFonts w:eastAsia="Calibri"/>
          <w:lang w:val="en-GB"/>
        </w:rPr>
        <w:t xml:space="preserve"> and to fact that the </w:t>
      </w:r>
      <w:r w:rsidR="002A71C3" w:rsidRPr="00EC2EF4">
        <w:rPr>
          <w:rFonts w:eastAsia="Calibri"/>
          <w:lang w:val="en-GB"/>
        </w:rPr>
        <w:t xml:space="preserve">WHO </w:t>
      </w:r>
      <w:r w:rsidR="00DC7EB8" w:rsidRPr="00EC2EF4">
        <w:rPr>
          <w:rFonts w:eastAsia="Calibri"/>
          <w:lang w:val="en-GB"/>
        </w:rPr>
        <w:t xml:space="preserve">DDD/ATC index reports DDD </w:t>
      </w:r>
      <w:r w:rsidR="002A71C3" w:rsidRPr="00EC2EF4">
        <w:rPr>
          <w:rFonts w:eastAsia="Calibri"/>
          <w:lang w:val="en-GB"/>
        </w:rPr>
        <w:t>referred to a</w:t>
      </w:r>
      <w:r w:rsidR="00DC7EB8" w:rsidRPr="00EC2EF4">
        <w:rPr>
          <w:rFonts w:eastAsia="Calibri"/>
          <w:lang w:val="en-GB"/>
        </w:rPr>
        <w:t>dult subjects only</w:t>
      </w:r>
      <w:r w:rsidR="0056585F" w:rsidRPr="00EC2EF4">
        <w:rPr>
          <w:rFonts w:eastAsia="Calibri"/>
          <w:lang w:val="en-GB"/>
        </w:rPr>
        <w:t>,</w:t>
      </w:r>
      <w:r w:rsidR="009774BF" w:rsidRPr="00EC2EF4">
        <w:rPr>
          <w:rFonts w:eastAsia="Calibri"/>
          <w:lang w:val="en-GB"/>
        </w:rPr>
        <w:t xml:space="preserve"> </w:t>
      </w:r>
      <w:r w:rsidR="0056585F" w:rsidRPr="00EC2EF4">
        <w:rPr>
          <w:rFonts w:eastAsia="Calibri"/>
          <w:lang w:val="en-GB"/>
        </w:rPr>
        <w:t xml:space="preserve">the </w:t>
      </w:r>
      <w:r w:rsidR="00426161" w:rsidRPr="00EC2EF4">
        <w:rPr>
          <w:rFonts w:eastAsia="Calibri"/>
          <w:lang w:val="en-GB"/>
        </w:rPr>
        <w:t xml:space="preserve">indicators used to report </w:t>
      </w:r>
      <w:r w:rsidR="00CA3CF9" w:rsidRPr="00EC2EF4">
        <w:rPr>
          <w:rFonts w:eastAsia="Calibri"/>
          <w:lang w:val="en-GB"/>
        </w:rPr>
        <w:t xml:space="preserve">antibiotic </w:t>
      </w:r>
      <w:r w:rsidR="0056585F" w:rsidRPr="00EC2EF4">
        <w:rPr>
          <w:rFonts w:eastAsia="Calibri"/>
          <w:lang w:val="en-GB"/>
        </w:rPr>
        <w:t xml:space="preserve">use </w:t>
      </w:r>
      <w:r w:rsidR="00DC7EB8" w:rsidRPr="00EC2EF4">
        <w:rPr>
          <w:rFonts w:eastAsia="Calibri"/>
          <w:lang w:val="en-GB"/>
        </w:rPr>
        <w:t xml:space="preserve">in the paediatric population </w:t>
      </w:r>
      <w:r w:rsidR="002A112E" w:rsidRPr="00EC2EF4">
        <w:rPr>
          <w:rFonts w:eastAsia="Calibri"/>
          <w:lang w:val="en-GB"/>
        </w:rPr>
        <w:t xml:space="preserve">(aged </w:t>
      </w:r>
      <w:r w:rsidR="002A112E" w:rsidRPr="00EC2EF4">
        <w:rPr>
          <w:lang w:val="en-GB"/>
        </w:rPr>
        <w:t>between 0 and 13 years</w:t>
      </w:r>
      <w:r w:rsidR="002A112E" w:rsidRPr="00EC2EF4">
        <w:rPr>
          <w:rFonts w:eastAsia="Calibri"/>
          <w:lang w:val="en-GB"/>
        </w:rPr>
        <w:t xml:space="preserve">) </w:t>
      </w:r>
      <w:r w:rsidR="0056585F" w:rsidRPr="00EC2EF4">
        <w:rPr>
          <w:rFonts w:eastAsia="Calibri"/>
          <w:lang w:val="en-GB"/>
        </w:rPr>
        <w:t>w</w:t>
      </w:r>
      <w:r w:rsidR="00426161" w:rsidRPr="00EC2EF4">
        <w:rPr>
          <w:rFonts w:eastAsia="Calibri"/>
          <w:lang w:val="en-GB"/>
        </w:rPr>
        <w:t>ere the</w:t>
      </w:r>
      <w:r w:rsidR="0063214A" w:rsidRPr="00EC2EF4">
        <w:rPr>
          <w:rFonts w:eastAsia="Calibri"/>
          <w:lang w:val="en-GB"/>
        </w:rPr>
        <w:t xml:space="preserve"> </w:t>
      </w:r>
      <w:r w:rsidR="009774BF" w:rsidRPr="00EC2EF4">
        <w:rPr>
          <w:rFonts w:eastAsia="Calibri"/>
          <w:lang w:val="en-GB"/>
        </w:rPr>
        <w:t>prescription rate (</w:t>
      </w:r>
      <w:r w:rsidR="00DC7EB8" w:rsidRPr="00EC2EF4">
        <w:rPr>
          <w:rFonts w:eastAsia="Calibri"/>
          <w:lang w:val="en-GB"/>
        </w:rPr>
        <w:t xml:space="preserve">expressed as number of </w:t>
      </w:r>
      <w:r w:rsidR="009774BF" w:rsidRPr="00EC2EF4">
        <w:rPr>
          <w:rFonts w:eastAsia="Calibri"/>
          <w:lang w:val="en-GB"/>
        </w:rPr>
        <w:t>prescription</w:t>
      </w:r>
      <w:r w:rsidR="00DC7EB8" w:rsidRPr="00EC2EF4">
        <w:rPr>
          <w:rFonts w:eastAsia="Calibri"/>
          <w:lang w:val="en-GB"/>
        </w:rPr>
        <w:t>s</w:t>
      </w:r>
      <w:r w:rsidR="009774BF" w:rsidRPr="00EC2EF4">
        <w:rPr>
          <w:rFonts w:eastAsia="Calibri"/>
          <w:lang w:val="en-GB"/>
        </w:rPr>
        <w:t xml:space="preserve"> per 1</w:t>
      </w:r>
      <w:r w:rsidR="00DC7EB8" w:rsidRPr="00EC2EF4">
        <w:rPr>
          <w:rFonts w:eastAsia="Calibri"/>
          <w:lang w:val="en-GB"/>
        </w:rPr>
        <w:t>,</w:t>
      </w:r>
      <w:r w:rsidR="009774BF" w:rsidRPr="00EC2EF4">
        <w:rPr>
          <w:rFonts w:eastAsia="Calibri"/>
          <w:lang w:val="en-GB"/>
        </w:rPr>
        <w:t xml:space="preserve">000 </w:t>
      </w:r>
      <w:r w:rsidR="0056585F" w:rsidRPr="00EC2EF4">
        <w:rPr>
          <w:rFonts w:eastAsia="Calibri"/>
          <w:lang w:val="en-GB"/>
        </w:rPr>
        <w:t>children</w:t>
      </w:r>
      <w:r w:rsidR="009774BF" w:rsidRPr="00EC2EF4">
        <w:rPr>
          <w:rFonts w:eastAsia="Calibri"/>
          <w:lang w:val="en-GB"/>
        </w:rPr>
        <w:t>)</w:t>
      </w:r>
      <w:r w:rsidR="0056585F" w:rsidRPr="00EC2EF4">
        <w:rPr>
          <w:rFonts w:eastAsia="Calibri"/>
          <w:lang w:val="en-GB"/>
        </w:rPr>
        <w:t xml:space="preserve"> </w:t>
      </w:r>
      <w:r w:rsidR="00DD6077" w:rsidRPr="00EC2EF4">
        <w:rPr>
          <w:rFonts w:eastAsia="Calibri"/>
          <w:lang w:val="en-GB"/>
        </w:rPr>
        <w:t>and prevalence of use (</w:t>
      </w:r>
      <w:r w:rsidR="00E95D46">
        <w:rPr>
          <w:rFonts w:eastAsia="Calibri"/>
          <w:lang w:val="en-GB"/>
        </w:rPr>
        <w:t>t</w:t>
      </w:r>
      <w:r w:rsidR="00E95D46" w:rsidRPr="00E95D46">
        <w:rPr>
          <w:rFonts w:eastAsia="Calibri"/>
          <w:lang w:val="en-GB"/>
        </w:rPr>
        <w:t xml:space="preserve">he proportion of </w:t>
      </w:r>
      <w:r w:rsidR="00E95D46">
        <w:rPr>
          <w:rFonts w:eastAsia="Calibri"/>
          <w:lang w:val="en-GB"/>
        </w:rPr>
        <w:t>the paediatric</w:t>
      </w:r>
      <w:r w:rsidR="00E95D46" w:rsidRPr="00E95D46">
        <w:rPr>
          <w:rFonts w:eastAsia="Calibri"/>
          <w:lang w:val="en-GB"/>
        </w:rPr>
        <w:t xml:space="preserve"> population that uses </w:t>
      </w:r>
      <w:r w:rsidR="00E95D46">
        <w:rPr>
          <w:rFonts w:eastAsia="Calibri"/>
          <w:lang w:val="en-GB"/>
        </w:rPr>
        <w:t>antibiotics</w:t>
      </w:r>
      <w:r w:rsidR="00DD6077" w:rsidRPr="00EC2EF4">
        <w:rPr>
          <w:rFonts w:eastAsia="Calibri"/>
          <w:lang w:val="en-GB"/>
        </w:rPr>
        <w:t xml:space="preserve">) </w:t>
      </w:r>
      <w:r w:rsidR="003E1D4A" w:rsidRPr="00EC2EF4">
        <w:rPr>
          <w:rFonts w:eastAsia="Calibri"/>
          <w:lang w:val="en-GB"/>
        </w:rPr>
        <w:t>[</w:t>
      </w:r>
      <w:r w:rsidR="005301F9" w:rsidRPr="00EC2EF4">
        <w:rPr>
          <w:rFonts w:eastAsia="Calibri"/>
          <w:lang w:val="en-GB"/>
        </w:rPr>
        <w:t>22</w:t>
      </w:r>
      <w:r w:rsidR="003E1D4A" w:rsidRPr="00EC2EF4">
        <w:rPr>
          <w:rFonts w:eastAsia="Calibri"/>
          <w:lang w:val="en-GB"/>
        </w:rPr>
        <w:t xml:space="preserve">] calculated by using </w:t>
      </w:r>
      <w:r w:rsidR="00BF3CDD" w:rsidRPr="00EC2EF4">
        <w:rPr>
          <w:rFonts w:eastAsia="Calibri"/>
          <w:lang w:val="en-GB"/>
        </w:rPr>
        <w:t xml:space="preserve">the </w:t>
      </w:r>
      <w:r w:rsidR="003E1D4A" w:rsidRPr="00EC2EF4">
        <w:rPr>
          <w:rFonts w:eastAsia="Calibri"/>
          <w:lang w:val="en-GB"/>
        </w:rPr>
        <w:t>patient level data from Pharmaceutical Prescriptions database</w:t>
      </w:r>
      <w:r w:rsidR="00F62C7A" w:rsidRPr="00EC2EF4">
        <w:rPr>
          <w:rFonts w:eastAsia="Calibri"/>
          <w:lang w:val="en-GB"/>
        </w:rPr>
        <w:t>.</w:t>
      </w:r>
      <w:r w:rsidR="00E06668" w:rsidRPr="00EC2EF4">
        <w:rPr>
          <w:rFonts w:eastAsia="Calibri"/>
          <w:lang w:val="en-GB"/>
        </w:rPr>
        <w:t xml:space="preserve"> </w:t>
      </w:r>
    </w:p>
    <w:p w14:paraId="2B6B86F1" w14:textId="77777777" w:rsidR="00F42036" w:rsidRPr="00EC2EF4" w:rsidRDefault="00F42036" w:rsidP="002900A3">
      <w:pPr>
        <w:spacing w:line="480" w:lineRule="auto"/>
        <w:rPr>
          <w:lang w:val="en-GB"/>
        </w:rPr>
      </w:pPr>
      <w:r w:rsidRPr="00EC2EF4">
        <w:rPr>
          <w:lang w:val="en-GB"/>
        </w:rPr>
        <w:br w:type="page"/>
      </w:r>
    </w:p>
    <w:p w14:paraId="2509E04A" w14:textId="12C662FD" w:rsidR="00E85AE6" w:rsidRPr="00EC2EF4" w:rsidRDefault="005059F0" w:rsidP="002900A3">
      <w:pPr>
        <w:spacing w:line="480" w:lineRule="auto"/>
        <w:rPr>
          <w:b/>
          <w:lang w:val="en-GB"/>
        </w:rPr>
      </w:pPr>
      <w:r w:rsidRPr="00EC2EF4">
        <w:rPr>
          <w:b/>
          <w:lang w:val="en-GB"/>
        </w:rPr>
        <w:lastRenderedPageBreak/>
        <w:t>Results</w:t>
      </w:r>
    </w:p>
    <w:p w14:paraId="06EE4B2E" w14:textId="6FFCA139" w:rsidR="00210691" w:rsidRPr="00EC2EF4" w:rsidRDefault="00DC01CA" w:rsidP="002900A3">
      <w:pPr>
        <w:spacing w:line="480" w:lineRule="auto"/>
        <w:jc w:val="both"/>
        <w:rPr>
          <w:lang w:val="en-GB"/>
        </w:rPr>
      </w:pPr>
      <w:r w:rsidRPr="00EC2EF4">
        <w:rPr>
          <w:lang w:val="en-GB"/>
        </w:rPr>
        <w:t xml:space="preserve">In 2018 the consumption of </w:t>
      </w:r>
      <w:r w:rsidR="00C06D0E" w:rsidRPr="00EC2EF4">
        <w:rPr>
          <w:lang w:val="en-GB"/>
        </w:rPr>
        <w:t xml:space="preserve">reimbursed </w:t>
      </w:r>
      <w:r w:rsidRPr="00EC2EF4">
        <w:rPr>
          <w:lang w:val="en-GB"/>
        </w:rPr>
        <w:t xml:space="preserve">antibiotics </w:t>
      </w:r>
      <w:r w:rsidR="00CD433B" w:rsidRPr="00EC2EF4">
        <w:rPr>
          <w:lang w:val="en-GB"/>
        </w:rPr>
        <w:t>and dispensed by community pharmacies</w:t>
      </w:r>
      <w:r w:rsidRPr="00EC2EF4">
        <w:rPr>
          <w:lang w:val="en-GB"/>
        </w:rPr>
        <w:t xml:space="preserve"> in Italy amounted to </w:t>
      </w:r>
      <w:r w:rsidR="00852EDA" w:rsidRPr="00EC2EF4">
        <w:rPr>
          <w:lang w:val="en-GB"/>
        </w:rPr>
        <w:t>16.1</w:t>
      </w:r>
      <w:r w:rsidRPr="00EC2EF4">
        <w:rPr>
          <w:lang w:val="en-GB"/>
        </w:rPr>
        <w:t xml:space="preserve"> DDD per 1</w:t>
      </w:r>
      <w:r w:rsidR="00CA3CF9" w:rsidRPr="00EC2EF4">
        <w:rPr>
          <w:lang w:val="en-GB"/>
        </w:rPr>
        <w:t>,</w:t>
      </w:r>
      <w:r w:rsidRPr="00EC2EF4">
        <w:rPr>
          <w:lang w:val="en-GB"/>
        </w:rPr>
        <w:t>000 inhabitants per day</w:t>
      </w:r>
      <w:r w:rsidR="0000249A" w:rsidRPr="00EC2EF4">
        <w:rPr>
          <w:lang w:val="en-GB"/>
        </w:rPr>
        <w:t xml:space="preserve"> </w:t>
      </w:r>
      <w:r w:rsidR="004B5CF8" w:rsidRPr="00EC2EF4">
        <w:rPr>
          <w:lang w:val="en-GB"/>
        </w:rPr>
        <w:t>(g</w:t>
      </w:r>
      <w:r w:rsidR="00E258D0" w:rsidRPr="00EC2EF4">
        <w:rPr>
          <w:lang w:val="en-GB"/>
        </w:rPr>
        <w:t xml:space="preserve">eographical </w:t>
      </w:r>
      <w:r w:rsidRPr="00EC2EF4">
        <w:rPr>
          <w:lang w:val="en-GB"/>
        </w:rPr>
        <w:t xml:space="preserve">variations are </w:t>
      </w:r>
      <w:r w:rsidR="00EA2D47" w:rsidRPr="00EC2EF4">
        <w:rPr>
          <w:lang w:val="en-GB"/>
        </w:rPr>
        <w:t>presented</w:t>
      </w:r>
      <w:r w:rsidRPr="00EC2EF4">
        <w:rPr>
          <w:lang w:val="en-GB"/>
        </w:rPr>
        <w:t xml:space="preserve"> in detail in </w:t>
      </w:r>
      <w:r w:rsidRPr="00EC2EF4">
        <w:rPr>
          <w:b/>
          <w:lang w:val="en-GB"/>
        </w:rPr>
        <w:t xml:space="preserve">Table </w:t>
      </w:r>
      <w:r w:rsidR="008328DF" w:rsidRPr="00EC2EF4">
        <w:rPr>
          <w:b/>
          <w:lang w:val="en-GB"/>
        </w:rPr>
        <w:t>1</w:t>
      </w:r>
      <w:r w:rsidR="004B5CF8" w:rsidRPr="00EC2EF4">
        <w:rPr>
          <w:b/>
          <w:lang w:val="en-GB"/>
        </w:rPr>
        <w:t>)</w:t>
      </w:r>
      <w:r w:rsidRPr="00EC2EF4">
        <w:rPr>
          <w:lang w:val="en-GB"/>
        </w:rPr>
        <w:t xml:space="preserve">. </w:t>
      </w:r>
      <w:r w:rsidR="00342583" w:rsidRPr="00EC2EF4">
        <w:rPr>
          <w:lang w:val="en-GB"/>
        </w:rPr>
        <w:t xml:space="preserve">The differences between </w:t>
      </w:r>
      <w:r w:rsidR="00C92230" w:rsidRPr="00EC2EF4">
        <w:rPr>
          <w:lang w:val="en-GB"/>
        </w:rPr>
        <w:t xml:space="preserve">geographical </w:t>
      </w:r>
      <w:r w:rsidR="00210691" w:rsidRPr="00EC2EF4">
        <w:rPr>
          <w:lang w:val="en-GB"/>
        </w:rPr>
        <w:t>a</w:t>
      </w:r>
      <w:r w:rsidR="00342583" w:rsidRPr="00EC2EF4">
        <w:rPr>
          <w:lang w:val="en-GB"/>
        </w:rPr>
        <w:t>reas</w:t>
      </w:r>
      <w:r w:rsidR="00C92230" w:rsidRPr="00EC2EF4">
        <w:rPr>
          <w:lang w:val="en-GB"/>
        </w:rPr>
        <w:t xml:space="preserve"> and regions</w:t>
      </w:r>
      <w:r w:rsidR="00342583" w:rsidRPr="00EC2EF4">
        <w:rPr>
          <w:lang w:val="en-GB"/>
        </w:rPr>
        <w:t xml:space="preserve"> show</w:t>
      </w:r>
      <w:r w:rsidR="00C92230" w:rsidRPr="00EC2EF4">
        <w:rPr>
          <w:lang w:val="en-GB"/>
        </w:rPr>
        <w:t>ed</w:t>
      </w:r>
      <w:r w:rsidR="00342583" w:rsidRPr="00EC2EF4">
        <w:rPr>
          <w:lang w:val="en-GB"/>
        </w:rPr>
        <w:t xml:space="preserve"> a spatial trend of growth in antibiotic consumption going from </w:t>
      </w:r>
      <w:r w:rsidR="00C92230" w:rsidRPr="00EC2EF4">
        <w:rPr>
          <w:lang w:val="en-GB"/>
        </w:rPr>
        <w:t xml:space="preserve">the </w:t>
      </w:r>
      <w:r w:rsidR="00524B49" w:rsidRPr="00EC2EF4">
        <w:rPr>
          <w:lang w:val="en-GB"/>
        </w:rPr>
        <w:t>North</w:t>
      </w:r>
      <w:r w:rsidR="00342583" w:rsidRPr="00EC2EF4">
        <w:rPr>
          <w:lang w:val="en-GB"/>
        </w:rPr>
        <w:t xml:space="preserve"> to </w:t>
      </w:r>
      <w:r w:rsidR="00C92230" w:rsidRPr="00EC2EF4">
        <w:rPr>
          <w:lang w:val="en-GB"/>
        </w:rPr>
        <w:t xml:space="preserve">the </w:t>
      </w:r>
      <w:r w:rsidR="00524B49" w:rsidRPr="00EC2EF4">
        <w:rPr>
          <w:lang w:val="en-GB"/>
        </w:rPr>
        <w:t>South</w:t>
      </w:r>
      <w:r w:rsidR="005744A3" w:rsidRPr="00EC2EF4">
        <w:rPr>
          <w:lang w:val="en-GB"/>
        </w:rPr>
        <w:t xml:space="preserve"> of Italy</w:t>
      </w:r>
      <w:r w:rsidR="00342583" w:rsidRPr="00EC2EF4">
        <w:rPr>
          <w:lang w:val="en-GB"/>
        </w:rPr>
        <w:t xml:space="preserve">. </w:t>
      </w:r>
      <w:r w:rsidRPr="00EC2EF4">
        <w:rPr>
          <w:lang w:val="en-GB"/>
        </w:rPr>
        <w:t xml:space="preserve">The </w:t>
      </w:r>
      <w:r w:rsidR="00E258D0" w:rsidRPr="00EC2EF4">
        <w:rPr>
          <w:lang w:val="en-GB"/>
        </w:rPr>
        <w:t xml:space="preserve">2018 </w:t>
      </w:r>
      <w:r w:rsidRPr="00EC2EF4">
        <w:rPr>
          <w:lang w:val="en-GB"/>
        </w:rPr>
        <w:t>rate</w:t>
      </w:r>
      <w:r w:rsidR="00CA3CF9" w:rsidRPr="00EC2EF4">
        <w:rPr>
          <w:lang w:val="en-GB"/>
        </w:rPr>
        <w:t>s</w:t>
      </w:r>
      <w:r w:rsidRPr="00EC2EF4">
        <w:rPr>
          <w:lang w:val="en-GB"/>
        </w:rPr>
        <w:t xml:space="preserve"> of </w:t>
      </w:r>
      <w:r w:rsidR="00827F66" w:rsidRPr="00EC2EF4">
        <w:rPr>
          <w:lang w:val="en-GB"/>
        </w:rPr>
        <w:t xml:space="preserve">antibiotic </w:t>
      </w:r>
      <w:r w:rsidRPr="00EC2EF4">
        <w:rPr>
          <w:lang w:val="en-GB"/>
        </w:rPr>
        <w:t xml:space="preserve">consumption </w:t>
      </w:r>
      <w:r w:rsidR="00CA3CF9" w:rsidRPr="00EC2EF4">
        <w:rPr>
          <w:lang w:val="en-GB"/>
        </w:rPr>
        <w:t xml:space="preserve">by areas </w:t>
      </w:r>
      <w:r w:rsidRPr="00EC2EF4">
        <w:rPr>
          <w:lang w:val="en-GB"/>
        </w:rPr>
        <w:t>w</w:t>
      </w:r>
      <w:r w:rsidR="00CA3CF9" w:rsidRPr="00EC2EF4">
        <w:rPr>
          <w:lang w:val="en-GB"/>
        </w:rPr>
        <w:t>ere</w:t>
      </w:r>
      <w:r w:rsidRPr="00EC2EF4">
        <w:rPr>
          <w:lang w:val="en-GB"/>
        </w:rPr>
        <w:t xml:space="preserve"> </w:t>
      </w:r>
      <w:r w:rsidR="00852EDA" w:rsidRPr="00EC2EF4">
        <w:rPr>
          <w:lang w:val="en-GB"/>
        </w:rPr>
        <w:t>12.7 DDD per 1</w:t>
      </w:r>
      <w:r w:rsidR="00CA3CF9" w:rsidRPr="00EC2EF4">
        <w:rPr>
          <w:lang w:val="en-GB"/>
        </w:rPr>
        <w:t>,</w:t>
      </w:r>
      <w:r w:rsidR="00852EDA" w:rsidRPr="00EC2EF4">
        <w:rPr>
          <w:lang w:val="en-GB"/>
        </w:rPr>
        <w:t>000 inhabitants per day</w:t>
      </w:r>
      <w:r w:rsidRPr="00EC2EF4">
        <w:rPr>
          <w:lang w:val="en-GB"/>
        </w:rPr>
        <w:t xml:space="preserve"> in the </w:t>
      </w:r>
      <w:r w:rsidR="00524B49" w:rsidRPr="00EC2EF4">
        <w:rPr>
          <w:lang w:val="en-GB"/>
        </w:rPr>
        <w:t>North</w:t>
      </w:r>
      <w:r w:rsidRPr="00EC2EF4">
        <w:rPr>
          <w:lang w:val="en-GB"/>
        </w:rPr>
        <w:t xml:space="preserve">, </w:t>
      </w:r>
      <w:r w:rsidR="00852EDA" w:rsidRPr="00EC2EF4">
        <w:rPr>
          <w:lang w:val="en-GB"/>
        </w:rPr>
        <w:t>16.9</w:t>
      </w:r>
      <w:r w:rsidRPr="00EC2EF4">
        <w:rPr>
          <w:lang w:val="en-GB"/>
        </w:rPr>
        <w:t xml:space="preserve"> in the </w:t>
      </w:r>
      <w:r w:rsidR="00524B49" w:rsidRPr="00EC2EF4">
        <w:rPr>
          <w:lang w:val="en-GB"/>
        </w:rPr>
        <w:t>Centre</w:t>
      </w:r>
      <w:r w:rsidRPr="00EC2EF4">
        <w:rPr>
          <w:lang w:val="en-GB"/>
        </w:rPr>
        <w:t xml:space="preserve"> and </w:t>
      </w:r>
      <w:r w:rsidR="00852EDA" w:rsidRPr="00EC2EF4">
        <w:rPr>
          <w:lang w:val="en-GB"/>
        </w:rPr>
        <w:t>20.4</w:t>
      </w:r>
      <w:r w:rsidRPr="00EC2EF4">
        <w:rPr>
          <w:lang w:val="en-GB"/>
        </w:rPr>
        <w:t xml:space="preserve"> in the </w:t>
      </w:r>
      <w:r w:rsidR="00524B49" w:rsidRPr="00EC2EF4">
        <w:rPr>
          <w:lang w:val="en-GB"/>
        </w:rPr>
        <w:t>South</w:t>
      </w:r>
      <w:r w:rsidRPr="00EC2EF4">
        <w:rPr>
          <w:lang w:val="en-GB"/>
        </w:rPr>
        <w:t xml:space="preserve"> of the country</w:t>
      </w:r>
      <w:r w:rsidR="00F00A8C" w:rsidRPr="00EC2EF4">
        <w:rPr>
          <w:lang w:val="en-GB"/>
        </w:rPr>
        <w:t xml:space="preserve"> (</w:t>
      </w:r>
      <w:r w:rsidR="00F00A8C" w:rsidRPr="00EC2EF4">
        <w:rPr>
          <w:b/>
          <w:lang w:val="en-GB"/>
        </w:rPr>
        <w:t>Table 1</w:t>
      </w:r>
      <w:r w:rsidR="00773EC0" w:rsidRPr="00EC2EF4">
        <w:rPr>
          <w:b/>
          <w:lang w:val="en-GB"/>
        </w:rPr>
        <w:t xml:space="preserve">). </w:t>
      </w:r>
      <w:r w:rsidR="00C92230" w:rsidRPr="00EC2EF4">
        <w:rPr>
          <w:lang w:val="en-GB"/>
        </w:rPr>
        <w:t>T</w:t>
      </w:r>
      <w:r w:rsidR="00F00A8C" w:rsidRPr="00EC2EF4">
        <w:rPr>
          <w:lang w:val="en-GB"/>
        </w:rPr>
        <w:t>h</w:t>
      </w:r>
      <w:r w:rsidR="00342583" w:rsidRPr="00EC2EF4">
        <w:rPr>
          <w:lang w:val="en-GB"/>
        </w:rPr>
        <w:t>e</w:t>
      </w:r>
      <w:r w:rsidR="002515D0" w:rsidRPr="00EC2EF4">
        <w:rPr>
          <w:lang w:val="en-GB"/>
        </w:rPr>
        <w:t xml:space="preserve"> </w:t>
      </w:r>
      <w:r w:rsidR="00D173DF" w:rsidRPr="00EC2EF4">
        <w:rPr>
          <w:lang w:val="en-GB"/>
        </w:rPr>
        <w:t xml:space="preserve">growing </w:t>
      </w:r>
      <w:r w:rsidR="0079747A" w:rsidRPr="00EC2EF4">
        <w:rPr>
          <w:lang w:val="en-GB"/>
        </w:rPr>
        <w:t>consumption trend</w:t>
      </w:r>
      <w:r w:rsidR="002515D0" w:rsidRPr="00EC2EF4">
        <w:rPr>
          <w:lang w:val="en-GB"/>
        </w:rPr>
        <w:t xml:space="preserve"> </w:t>
      </w:r>
      <w:r w:rsidR="00D173DF" w:rsidRPr="00EC2EF4">
        <w:rPr>
          <w:lang w:val="en-GB"/>
        </w:rPr>
        <w:t xml:space="preserve">from North to South </w:t>
      </w:r>
      <w:r w:rsidR="002515D0" w:rsidRPr="00EC2EF4">
        <w:rPr>
          <w:lang w:val="en-GB"/>
        </w:rPr>
        <w:t xml:space="preserve">is maintained </w:t>
      </w:r>
      <w:r w:rsidR="00D173DF" w:rsidRPr="00EC2EF4">
        <w:rPr>
          <w:lang w:val="en-GB"/>
        </w:rPr>
        <w:t xml:space="preserve">even </w:t>
      </w:r>
      <w:r w:rsidR="002515D0" w:rsidRPr="00EC2EF4">
        <w:rPr>
          <w:lang w:val="en-GB"/>
        </w:rPr>
        <w:t xml:space="preserve">when evaluating the </w:t>
      </w:r>
      <w:r w:rsidR="002C6AB1" w:rsidRPr="00EC2EF4">
        <w:rPr>
          <w:lang w:val="en-GB"/>
        </w:rPr>
        <w:t xml:space="preserve">specific antibiotic </w:t>
      </w:r>
      <w:r w:rsidR="002515D0" w:rsidRPr="00EC2EF4">
        <w:rPr>
          <w:lang w:val="en-GB"/>
        </w:rPr>
        <w:t xml:space="preserve">classes; </w:t>
      </w:r>
      <w:r w:rsidR="002F22CE" w:rsidRPr="00EC2EF4">
        <w:rPr>
          <w:lang w:val="en-GB"/>
        </w:rPr>
        <w:t>difference</w:t>
      </w:r>
      <w:r w:rsidR="002515D0" w:rsidRPr="00EC2EF4">
        <w:rPr>
          <w:lang w:val="en-GB"/>
        </w:rPr>
        <w:t xml:space="preserve">s by </w:t>
      </w:r>
      <w:r w:rsidR="00321C3F" w:rsidRPr="00EC2EF4">
        <w:rPr>
          <w:lang w:val="en-GB"/>
        </w:rPr>
        <w:t>geographical</w:t>
      </w:r>
      <w:r w:rsidR="002515D0" w:rsidRPr="00EC2EF4">
        <w:rPr>
          <w:lang w:val="en-GB"/>
        </w:rPr>
        <w:t xml:space="preserve"> area are particularly evident for third-generation cephalosporins, fluoroquinolones, macrolides and </w:t>
      </w:r>
      <w:proofErr w:type="spellStart"/>
      <w:r w:rsidR="002515D0" w:rsidRPr="00EC2EF4">
        <w:rPr>
          <w:lang w:val="en-GB"/>
        </w:rPr>
        <w:t>penicillins</w:t>
      </w:r>
      <w:proofErr w:type="spellEnd"/>
      <w:r w:rsidR="002515D0" w:rsidRPr="00EC2EF4">
        <w:rPr>
          <w:lang w:val="en-GB"/>
        </w:rPr>
        <w:t xml:space="preserve"> associated with beta-lactamase inhibitors</w:t>
      </w:r>
      <w:r w:rsidR="00342583" w:rsidRPr="00EC2EF4">
        <w:rPr>
          <w:lang w:val="en-GB"/>
        </w:rPr>
        <w:t xml:space="preserve"> (</w:t>
      </w:r>
      <w:r w:rsidR="00342583" w:rsidRPr="00EC2EF4">
        <w:rPr>
          <w:b/>
          <w:lang w:val="en-GB"/>
        </w:rPr>
        <w:t>Figure 1</w:t>
      </w:r>
      <w:r w:rsidR="00220EE0" w:rsidRPr="00EC2EF4">
        <w:rPr>
          <w:lang w:val="en-GB"/>
        </w:rPr>
        <w:t>)</w:t>
      </w:r>
      <w:r w:rsidR="002515D0" w:rsidRPr="00EC2EF4">
        <w:rPr>
          <w:lang w:val="en-GB"/>
        </w:rPr>
        <w:t>.</w:t>
      </w:r>
      <w:r w:rsidR="00CA3CF9" w:rsidRPr="00EC2EF4">
        <w:rPr>
          <w:lang w:val="en-GB"/>
        </w:rPr>
        <w:t xml:space="preserve"> </w:t>
      </w:r>
      <w:r w:rsidR="004D435F" w:rsidRPr="00EC2EF4">
        <w:rPr>
          <w:lang w:val="en-GB"/>
        </w:rPr>
        <w:t xml:space="preserve">The use of antibiotics </w:t>
      </w:r>
      <w:r w:rsidR="00D173DF" w:rsidRPr="00EC2EF4">
        <w:rPr>
          <w:lang w:val="en-GB"/>
        </w:rPr>
        <w:t>wa</w:t>
      </w:r>
      <w:r w:rsidR="004D435F" w:rsidRPr="00EC2EF4">
        <w:rPr>
          <w:lang w:val="en-GB"/>
        </w:rPr>
        <w:t>s greater in extreme age</w:t>
      </w:r>
      <w:r w:rsidR="00D173DF" w:rsidRPr="00EC2EF4">
        <w:rPr>
          <w:lang w:val="en-GB"/>
        </w:rPr>
        <w:t xml:space="preserve"> group</w:t>
      </w:r>
      <w:r w:rsidR="00D1506E" w:rsidRPr="00EC2EF4">
        <w:rPr>
          <w:lang w:val="en-GB"/>
        </w:rPr>
        <w:t>s</w:t>
      </w:r>
      <w:r w:rsidR="004D435F" w:rsidRPr="00EC2EF4">
        <w:rPr>
          <w:lang w:val="en-GB"/>
        </w:rPr>
        <w:t xml:space="preserve"> than in the population aged </w:t>
      </w:r>
      <w:r w:rsidR="002A112E" w:rsidRPr="00EC2EF4">
        <w:rPr>
          <w:lang w:val="en-GB"/>
        </w:rPr>
        <w:t xml:space="preserve">between </w:t>
      </w:r>
      <w:r w:rsidR="004D435F" w:rsidRPr="00EC2EF4">
        <w:rPr>
          <w:lang w:val="en-GB"/>
        </w:rPr>
        <w:t xml:space="preserve">20 </w:t>
      </w:r>
      <w:r w:rsidR="002A112E" w:rsidRPr="00EC2EF4">
        <w:rPr>
          <w:lang w:val="en-GB"/>
        </w:rPr>
        <w:t xml:space="preserve">and </w:t>
      </w:r>
      <w:r w:rsidR="00210691" w:rsidRPr="00EC2EF4">
        <w:rPr>
          <w:lang w:val="en-GB"/>
        </w:rPr>
        <w:t xml:space="preserve">64 </w:t>
      </w:r>
      <w:r w:rsidR="004D435F" w:rsidRPr="00EC2EF4">
        <w:rPr>
          <w:lang w:val="en-GB"/>
        </w:rPr>
        <w:t xml:space="preserve">years. However, in the latter group, there </w:t>
      </w:r>
      <w:r w:rsidR="00D173DF" w:rsidRPr="00EC2EF4">
        <w:rPr>
          <w:lang w:val="en-GB"/>
        </w:rPr>
        <w:t>wa</w:t>
      </w:r>
      <w:r w:rsidR="004D435F" w:rsidRPr="00EC2EF4">
        <w:rPr>
          <w:lang w:val="en-GB"/>
        </w:rPr>
        <w:t xml:space="preserve">s </w:t>
      </w:r>
      <w:r w:rsidR="00545711" w:rsidRPr="00EC2EF4">
        <w:rPr>
          <w:lang w:val="en-GB"/>
        </w:rPr>
        <w:t xml:space="preserve">a </w:t>
      </w:r>
      <w:r w:rsidR="004D435F" w:rsidRPr="00EC2EF4">
        <w:rPr>
          <w:lang w:val="en-GB"/>
        </w:rPr>
        <w:t>greater exposure to antibiotics in women than in men</w:t>
      </w:r>
      <w:r w:rsidR="006703A5">
        <w:rPr>
          <w:lang w:val="en-GB"/>
        </w:rPr>
        <w:t xml:space="preserve">, </w:t>
      </w:r>
      <w:r w:rsidR="006703A5" w:rsidRPr="006703A5">
        <w:rPr>
          <w:lang w:val="en-GB"/>
        </w:rPr>
        <w:t>probably for the treatment of urinary tract infections</w:t>
      </w:r>
      <w:r w:rsidR="004D435F" w:rsidRPr="00EC2EF4">
        <w:rPr>
          <w:lang w:val="en-GB"/>
        </w:rPr>
        <w:t xml:space="preserve">. </w:t>
      </w:r>
      <w:r w:rsidR="00E97867" w:rsidRPr="00EC2EF4">
        <w:rPr>
          <w:lang w:val="en-GB"/>
        </w:rPr>
        <w:t>In contrast, in the population aged 80 and older, men receive</w:t>
      </w:r>
      <w:r w:rsidR="00D173DF" w:rsidRPr="00EC2EF4">
        <w:rPr>
          <w:lang w:val="en-GB"/>
        </w:rPr>
        <w:t>d</w:t>
      </w:r>
      <w:r w:rsidR="00E97867" w:rsidRPr="00EC2EF4">
        <w:rPr>
          <w:lang w:val="en-GB"/>
        </w:rPr>
        <w:t xml:space="preserve"> more antibiotic</w:t>
      </w:r>
      <w:r w:rsidR="00220EE0" w:rsidRPr="00EC2EF4">
        <w:rPr>
          <w:lang w:val="en-GB"/>
        </w:rPr>
        <w:t>s</w:t>
      </w:r>
      <w:r w:rsidR="0013040F" w:rsidRPr="00EC2EF4">
        <w:rPr>
          <w:lang w:val="en-GB"/>
        </w:rPr>
        <w:t>’ pres</w:t>
      </w:r>
      <w:r w:rsidR="00266939" w:rsidRPr="00EC2EF4">
        <w:rPr>
          <w:lang w:val="en-GB"/>
        </w:rPr>
        <w:t>criptions</w:t>
      </w:r>
      <w:r w:rsidR="00E97867" w:rsidRPr="00EC2EF4">
        <w:rPr>
          <w:lang w:val="en-GB"/>
        </w:rPr>
        <w:t xml:space="preserve"> than women (</w:t>
      </w:r>
      <w:r w:rsidR="00E97867" w:rsidRPr="00EC2EF4">
        <w:rPr>
          <w:b/>
          <w:lang w:val="en-GB"/>
        </w:rPr>
        <w:t>Figure 2</w:t>
      </w:r>
      <w:r w:rsidR="00E97867" w:rsidRPr="00EC2EF4">
        <w:rPr>
          <w:lang w:val="en-GB"/>
        </w:rPr>
        <w:t>).</w:t>
      </w:r>
      <w:r w:rsidR="00CA3CF9" w:rsidRPr="00EC2EF4">
        <w:rPr>
          <w:lang w:val="en-GB"/>
        </w:rPr>
        <w:t xml:space="preserve"> </w:t>
      </w:r>
      <w:r w:rsidR="008D068A" w:rsidRPr="00EC2EF4">
        <w:rPr>
          <w:lang w:val="en-GB"/>
        </w:rPr>
        <w:t>The consumption of antibiotics show</w:t>
      </w:r>
      <w:r w:rsidR="00D173DF" w:rsidRPr="00EC2EF4">
        <w:rPr>
          <w:lang w:val="en-GB"/>
        </w:rPr>
        <w:t>ed</w:t>
      </w:r>
      <w:r w:rsidR="008D068A" w:rsidRPr="00EC2EF4">
        <w:rPr>
          <w:lang w:val="en-GB"/>
        </w:rPr>
        <w:t xml:space="preserve"> a clear seasonality in all the years considered (</w:t>
      </w:r>
      <w:r w:rsidR="008D068A" w:rsidRPr="00EC2EF4">
        <w:rPr>
          <w:b/>
          <w:lang w:val="en-GB"/>
        </w:rPr>
        <w:t xml:space="preserve">Figure </w:t>
      </w:r>
      <w:r w:rsidR="00081368" w:rsidRPr="00EC2EF4">
        <w:rPr>
          <w:b/>
          <w:lang w:val="en-GB"/>
        </w:rPr>
        <w:t>3</w:t>
      </w:r>
      <w:r w:rsidR="008D068A" w:rsidRPr="00EC2EF4">
        <w:rPr>
          <w:lang w:val="en-GB"/>
        </w:rPr>
        <w:t xml:space="preserve">); </w:t>
      </w:r>
      <w:r w:rsidR="00B54B89" w:rsidRPr="00EC2EF4">
        <w:rPr>
          <w:lang w:val="en-GB"/>
        </w:rPr>
        <w:t xml:space="preserve">moreover, </w:t>
      </w:r>
      <w:r w:rsidR="00266939" w:rsidRPr="00EC2EF4">
        <w:rPr>
          <w:lang w:val="en-GB"/>
        </w:rPr>
        <w:t xml:space="preserve">the antibiotic </w:t>
      </w:r>
      <w:r w:rsidR="008D068A" w:rsidRPr="00EC2EF4">
        <w:rPr>
          <w:lang w:val="en-GB"/>
        </w:rPr>
        <w:t>consumption is higher in winter season with particularly high peaks in the incidence of flu syndromes (</w:t>
      </w:r>
      <w:r w:rsidR="008D068A" w:rsidRPr="00EC2EF4">
        <w:rPr>
          <w:b/>
          <w:lang w:val="en-GB"/>
        </w:rPr>
        <w:t xml:space="preserve">Figure </w:t>
      </w:r>
      <w:r w:rsidR="00081368" w:rsidRPr="00EC2EF4">
        <w:rPr>
          <w:b/>
          <w:lang w:val="en-GB"/>
        </w:rPr>
        <w:t>4</w:t>
      </w:r>
      <w:r w:rsidR="008D068A" w:rsidRPr="00EC2EF4">
        <w:rPr>
          <w:lang w:val="en-GB"/>
        </w:rPr>
        <w:t>).</w:t>
      </w:r>
      <w:r w:rsidR="00075C39" w:rsidRPr="00EC2EF4">
        <w:rPr>
          <w:lang w:val="en-GB"/>
        </w:rPr>
        <w:t xml:space="preserve"> </w:t>
      </w:r>
      <w:r w:rsidR="00E97867" w:rsidRPr="00EC2EF4">
        <w:rPr>
          <w:lang w:val="en-GB"/>
        </w:rPr>
        <w:t>D</w:t>
      </w:r>
      <w:r w:rsidR="00D14438" w:rsidRPr="00EC2EF4">
        <w:rPr>
          <w:lang w:val="en-GB"/>
        </w:rPr>
        <w:t xml:space="preserve">ata from </w:t>
      </w:r>
      <w:r w:rsidR="00FC3C9E" w:rsidRPr="00EC2EF4">
        <w:rPr>
          <w:lang w:val="en-GB"/>
        </w:rPr>
        <w:t xml:space="preserve">a sentinel network of general practitioners </w:t>
      </w:r>
      <w:r w:rsidR="00D14438" w:rsidRPr="00EC2EF4">
        <w:rPr>
          <w:lang w:val="en-GB"/>
        </w:rPr>
        <w:t>show</w:t>
      </w:r>
      <w:r w:rsidR="00D173DF" w:rsidRPr="00EC2EF4">
        <w:rPr>
          <w:lang w:val="en-GB"/>
        </w:rPr>
        <w:t>ed</w:t>
      </w:r>
      <w:r w:rsidR="00D14438" w:rsidRPr="00EC2EF4">
        <w:rPr>
          <w:lang w:val="en-GB"/>
        </w:rPr>
        <w:t xml:space="preserve"> that, in 2018, a</w:t>
      </w:r>
      <w:r w:rsidR="00545711" w:rsidRPr="00EC2EF4">
        <w:rPr>
          <w:lang w:val="en-GB"/>
        </w:rPr>
        <w:t>n</w:t>
      </w:r>
      <w:r w:rsidR="00D14438" w:rsidRPr="00EC2EF4">
        <w:rPr>
          <w:lang w:val="en-GB"/>
        </w:rPr>
        <w:t xml:space="preserve"> antibiotic </w:t>
      </w:r>
      <w:r w:rsidR="00545711" w:rsidRPr="00EC2EF4">
        <w:rPr>
          <w:lang w:val="en-GB"/>
        </w:rPr>
        <w:t xml:space="preserve">for systemic use </w:t>
      </w:r>
      <w:r w:rsidR="00D14438" w:rsidRPr="00EC2EF4">
        <w:rPr>
          <w:lang w:val="en-GB"/>
        </w:rPr>
        <w:t>was prescribed in 33.1% of patients diagnosed with flu, cold or acute laryngotracheitis</w:t>
      </w:r>
      <w:r w:rsidR="008B4112" w:rsidRPr="00EC2EF4">
        <w:rPr>
          <w:lang w:val="en-GB"/>
        </w:rPr>
        <w:t xml:space="preserve"> </w:t>
      </w:r>
      <w:r w:rsidR="00B83D97" w:rsidRPr="00EC2EF4">
        <w:rPr>
          <w:lang w:val="en-GB"/>
        </w:rPr>
        <w:t>and the fluoroquinolones were prescribed in</w:t>
      </w:r>
      <w:r w:rsidR="00266939" w:rsidRPr="00EC2EF4">
        <w:rPr>
          <w:lang w:val="en-GB"/>
        </w:rPr>
        <w:t xml:space="preserve"> </w:t>
      </w:r>
      <w:r w:rsidR="00B83D97" w:rsidRPr="00EC2EF4">
        <w:rPr>
          <w:lang w:val="en-GB"/>
        </w:rPr>
        <w:t>34.2% of women with not complicated cystitis (</w:t>
      </w:r>
      <w:r w:rsidR="00B83D97" w:rsidRPr="00EC2EF4">
        <w:rPr>
          <w:b/>
          <w:bCs/>
          <w:lang w:val="en-GB"/>
        </w:rPr>
        <w:t>Table 2</w:t>
      </w:r>
      <w:r w:rsidR="00B83D97" w:rsidRPr="00EC2EF4">
        <w:rPr>
          <w:lang w:val="en-GB"/>
        </w:rPr>
        <w:t xml:space="preserve">). </w:t>
      </w:r>
    </w:p>
    <w:p w14:paraId="7EC6E472" w14:textId="3DDF1268" w:rsidR="00BD08BA" w:rsidRPr="00EC2EF4" w:rsidRDefault="00827F66" w:rsidP="002900A3">
      <w:pPr>
        <w:spacing w:line="480" w:lineRule="auto"/>
        <w:jc w:val="both"/>
        <w:rPr>
          <w:lang w:val="en-GB"/>
        </w:rPr>
      </w:pPr>
      <w:r w:rsidRPr="00EC2EF4">
        <w:rPr>
          <w:lang w:val="en-GB"/>
        </w:rPr>
        <w:t>Considering the period 201</w:t>
      </w:r>
      <w:r w:rsidR="00FA21AB" w:rsidRPr="00EC2EF4">
        <w:rPr>
          <w:lang w:val="en-GB"/>
        </w:rPr>
        <w:t>3</w:t>
      </w:r>
      <w:r w:rsidRPr="00EC2EF4">
        <w:rPr>
          <w:lang w:val="en-GB"/>
        </w:rPr>
        <w:t>-2018, the consumption rates of antibiotics show</w:t>
      </w:r>
      <w:r w:rsidR="005744A3" w:rsidRPr="00EC2EF4">
        <w:rPr>
          <w:lang w:val="en-GB"/>
        </w:rPr>
        <w:t>ed</w:t>
      </w:r>
      <w:r w:rsidRPr="00EC2EF4">
        <w:rPr>
          <w:lang w:val="en-GB"/>
        </w:rPr>
        <w:t xml:space="preserve"> a significant reduction trend both at </w:t>
      </w:r>
      <w:r w:rsidR="00BF57EC" w:rsidRPr="00EC2EF4">
        <w:rPr>
          <w:lang w:val="en-GB"/>
        </w:rPr>
        <w:t>the</w:t>
      </w:r>
      <w:r w:rsidR="00FB6A23" w:rsidRPr="00EC2EF4">
        <w:rPr>
          <w:lang w:val="en-GB"/>
        </w:rPr>
        <w:t xml:space="preserve"> </w:t>
      </w:r>
      <w:r w:rsidRPr="00EC2EF4">
        <w:rPr>
          <w:lang w:val="en-GB"/>
        </w:rPr>
        <w:t xml:space="preserve">national level </w:t>
      </w:r>
      <w:r w:rsidR="00E22F89">
        <w:rPr>
          <w:lang w:val="en-GB"/>
        </w:rPr>
        <w:t xml:space="preserve">(Compound annual growth rate-CAGR: -2.6%) </w:t>
      </w:r>
      <w:r w:rsidRPr="00EC2EF4">
        <w:rPr>
          <w:lang w:val="en-GB"/>
        </w:rPr>
        <w:t>and in the three geographical areas (</w:t>
      </w:r>
      <w:r w:rsidR="00524B49" w:rsidRPr="00EC2EF4">
        <w:rPr>
          <w:lang w:val="en-GB"/>
        </w:rPr>
        <w:t>North</w:t>
      </w:r>
      <w:r w:rsidRPr="00EC2EF4">
        <w:rPr>
          <w:lang w:val="en-GB"/>
        </w:rPr>
        <w:t xml:space="preserve">, </w:t>
      </w:r>
      <w:r w:rsidR="00524B49" w:rsidRPr="00EC2EF4">
        <w:rPr>
          <w:lang w:val="en-GB"/>
        </w:rPr>
        <w:t>Centre</w:t>
      </w:r>
      <w:r w:rsidRPr="00EC2EF4">
        <w:rPr>
          <w:lang w:val="en-GB"/>
        </w:rPr>
        <w:t xml:space="preserve"> and </w:t>
      </w:r>
      <w:r w:rsidR="00524B49" w:rsidRPr="00EC2EF4">
        <w:rPr>
          <w:lang w:val="en-GB"/>
        </w:rPr>
        <w:t>South</w:t>
      </w:r>
      <w:r w:rsidR="00E22F89">
        <w:rPr>
          <w:lang w:val="en-GB"/>
        </w:rPr>
        <w:t>, CAGR: -2.6%, -3.1% and -2.5% respectively</w:t>
      </w:r>
      <w:r w:rsidRPr="00EC2EF4">
        <w:rPr>
          <w:lang w:val="en-GB"/>
        </w:rPr>
        <w:t>)</w:t>
      </w:r>
      <w:r w:rsidR="008328DF" w:rsidRPr="00EC2EF4">
        <w:rPr>
          <w:lang w:val="en-GB"/>
        </w:rPr>
        <w:t xml:space="preserve"> (</w:t>
      </w:r>
      <w:r w:rsidR="008328DF" w:rsidRPr="00EC2EF4">
        <w:rPr>
          <w:b/>
          <w:lang w:val="en-GB"/>
        </w:rPr>
        <w:t>Table 1</w:t>
      </w:r>
      <w:r w:rsidR="008328DF" w:rsidRPr="00EC2EF4">
        <w:rPr>
          <w:lang w:val="en-GB"/>
        </w:rPr>
        <w:t xml:space="preserve">; </w:t>
      </w:r>
      <w:r w:rsidR="008328DF" w:rsidRPr="00EC2EF4">
        <w:rPr>
          <w:b/>
          <w:lang w:val="en-GB"/>
        </w:rPr>
        <w:t xml:space="preserve">Figure </w:t>
      </w:r>
      <w:r w:rsidR="00081368" w:rsidRPr="00EC2EF4">
        <w:rPr>
          <w:b/>
          <w:lang w:val="en-GB"/>
        </w:rPr>
        <w:t>3</w:t>
      </w:r>
      <w:r w:rsidR="008328DF" w:rsidRPr="00EC2EF4">
        <w:rPr>
          <w:lang w:val="en-GB"/>
        </w:rPr>
        <w:t>)</w:t>
      </w:r>
      <w:r w:rsidRPr="00EC2EF4">
        <w:rPr>
          <w:lang w:val="en-GB"/>
        </w:rPr>
        <w:t xml:space="preserve">. </w:t>
      </w:r>
    </w:p>
    <w:p w14:paraId="2F36E738" w14:textId="12D6C316" w:rsidR="002A62B0" w:rsidRPr="001F1E05" w:rsidRDefault="00146E9B" w:rsidP="002900A3">
      <w:pPr>
        <w:spacing w:line="480" w:lineRule="auto"/>
        <w:jc w:val="both"/>
        <w:rPr>
          <w:lang w:val="en-GB"/>
        </w:rPr>
      </w:pPr>
      <w:r w:rsidRPr="00EC2EF4">
        <w:rPr>
          <w:lang w:val="en-GB"/>
        </w:rPr>
        <w:t xml:space="preserve">The consumption of fluoroquinolones, equal to </w:t>
      </w:r>
      <w:r w:rsidR="00B07C7A" w:rsidRPr="00EC2EF4">
        <w:rPr>
          <w:lang w:val="en-GB"/>
        </w:rPr>
        <w:t>2.6 DDD per 1</w:t>
      </w:r>
      <w:r w:rsidR="00266939" w:rsidRPr="00EC2EF4">
        <w:rPr>
          <w:lang w:val="en-GB"/>
        </w:rPr>
        <w:t>,</w:t>
      </w:r>
      <w:r w:rsidR="00B07C7A" w:rsidRPr="00EC2EF4">
        <w:rPr>
          <w:lang w:val="en-GB"/>
        </w:rPr>
        <w:t xml:space="preserve">000 inhabitants per day </w:t>
      </w:r>
      <w:r w:rsidRPr="00EC2EF4">
        <w:rPr>
          <w:lang w:val="en-GB"/>
        </w:rPr>
        <w:t>in the general population</w:t>
      </w:r>
      <w:r w:rsidR="00B67185" w:rsidRPr="00EC2EF4">
        <w:rPr>
          <w:lang w:val="en-GB"/>
        </w:rPr>
        <w:t xml:space="preserve"> in 2018</w:t>
      </w:r>
      <w:r w:rsidRPr="00EC2EF4">
        <w:rPr>
          <w:lang w:val="en-GB"/>
        </w:rPr>
        <w:t xml:space="preserve">, </w:t>
      </w:r>
      <w:r w:rsidR="005744A3" w:rsidRPr="00EC2EF4">
        <w:rPr>
          <w:lang w:val="en-GB"/>
        </w:rPr>
        <w:t xml:space="preserve">showed </w:t>
      </w:r>
      <w:r w:rsidR="00B67185" w:rsidRPr="00EC2EF4">
        <w:rPr>
          <w:lang w:val="en-GB"/>
        </w:rPr>
        <w:t>a significantly decreasing trend in the period considered</w:t>
      </w:r>
      <w:r w:rsidR="00A81E1E" w:rsidRPr="00EC2EF4">
        <w:rPr>
          <w:lang w:val="en-GB"/>
        </w:rPr>
        <w:t xml:space="preserve"> (January 2013-May 2019)</w:t>
      </w:r>
      <w:r w:rsidR="00B67185" w:rsidRPr="00EC2EF4">
        <w:rPr>
          <w:lang w:val="en-GB"/>
        </w:rPr>
        <w:t xml:space="preserve">. </w:t>
      </w:r>
      <w:r w:rsidR="00005EAD" w:rsidRPr="00EC2EF4">
        <w:rPr>
          <w:lang w:val="en-GB"/>
        </w:rPr>
        <w:t>The reduction in the use of fluoroquinolones</w:t>
      </w:r>
      <w:r w:rsidR="001F1E05">
        <w:rPr>
          <w:lang w:val="en-GB"/>
        </w:rPr>
        <w:t xml:space="preserve"> (24%)</w:t>
      </w:r>
      <w:r w:rsidR="00005EAD" w:rsidRPr="00EC2EF4">
        <w:rPr>
          <w:lang w:val="en-GB"/>
        </w:rPr>
        <w:t xml:space="preserve"> </w:t>
      </w:r>
      <w:r w:rsidR="005744A3" w:rsidRPr="00EC2EF4">
        <w:rPr>
          <w:lang w:val="en-GB"/>
        </w:rPr>
        <w:t>wa</w:t>
      </w:r>
      <w:r w:rsidR="00005EAD" w:rsidRPr="00EC2EF4">
        <w:rPr>
          <w:lang w:val="en-GB"/>
        </w:rPr>
        <w:t xml:space="preserve">s more accentuated than expected </w:t>
      </w:r>
      <w:r w:rsidR="00005EAD" w:rsidRPr="00EC2EF4">
        <w:rPr>
          <w:lang w:val="en-GB"/>
        </w:rPr>
        <w:lastRenderedPageBreak/>
        <w:t>based on data from previous years starting from the end of 2018, after the EMA communication</w:t>
      </w:r>
      <w:r w:rsidR="00A81E1E" w:rsidRPr="00EC2EF4">
        <w:rPr>
          <w:lang w:val="en-GB"/>
        </w:rPr>
        <w:t>.</w:t>
      </w:r>
      <w:r w:rsidR="00005EAD" w:rsidRPr="00EC2EF4">
        <w:rPr>
          <w:lang w:val="en-GB"/>
        </w:rPr>
        <w:t xml:space="preserve"> </w:t>
      </w:r>
      <w:r w:rsidR="006479AB" w:rsidRPr="00EC2EF4">
        <w:rPr>
          <w:lang w:val="en-GB"/>
        </w:rPr>
        <w:t xml:space="preserve">In </w:t>
      </w:r>
      <w:r w:rsidR="00A85BDE" w:rsidRPr="00EC2EF4">
        <w:rPr>
          <w:lang w:val="en-GB"/>
        </w:rPr>
        <w:t xml:space="preserve">2018 </w:t>
      </w:r>
      <w:r w:rsidR="00667EC6">
        <w:rPr>
          <w:lang w:val="en-GB"/>
        </w:rPr>
        <w:t xml:space="preserve">the </w:t>
      </w:r>
      <w:r w:rsidR="006479AB" w:rsidRPr="00EC2EF4">
        <w:rPr>
          <w:lang w:val="en-GB"/>
        </w:rPr>
        <w:t>consumption</w:t>
      </w:r>
      <w:r w:rsidR="000F1636" w:rsidRPr="00EC2EF4">
        <w:rPr>
          <w:lang w:val="en-GB"/>
        </w:rPr>
        <w:t xml:space="preserve"> rates</w:t>
      </w:r>
      <w:r w:rsidR="006479AB" w:rsidRPr="00EC2EF4">
        <w:rPr>
          <w:lang w:val="en-GB"/>
        </w:rPr>
        <w:t xml:space="preserve"> at the national level </w:t>
      </w:r>
      <w:r w:rsidR="00667EC6">
        <w:rPr>
          <w:lang w:val="en-GB"/>
        </w:rPr>
        <w:t>was</w:t>
      </w:r>
      <w:r w:rsidR="006479AB" w:rsidRPr="00EC2EF4">
        <w:rPr>
          <w:lang w:val="en-GB"/>
        </w:rPr>
        <w:t xml:space="preserve"> equal to </w:t>
      </w:r>
      <w:r w:rsidR="00A85BDE" w:rsidRPr="00EC2EF4">
        <w:rPr>
          <w:lang w:val="en-GB"/>
        </w:rPr>
        <w:t>1</w:t>
      </w:r>
      <w:r w:rsidR="006479AB" w:rsidRPr="00EC2EF4">
        <w:rPr>
          <w:lang w:val="en-GB"/>
        </w:rPr>
        <w:t>.9</w:t>
      </w:r>
      <w:r w:rsidR="00A85BDE" w:rsidRPr="00EC2EF4">
        <w:rPr>
          <w:lang w:val="en-GB"/>
        </w:rPr>
        <w:t xml:space="preserve"> DDD </w:t>
      </w:r>
      <w:r w:rsidR="00667EC6">
        <w:rPr>
          <w:lang w:val="en-GB"/>
        </w:rPr>
        <w:t xml:space="preserve">in women aged between 20 to 59 year </w:t>
      </w:r>
      <w:r w:rsidR="000F1636" w:rsidRPr="00EC2EF4">
        <w:rPr>
          <w:lang w:val="en-GB"/>
        </w:rPr>
        <w:t xml:space="preserve">and </w:t>
      </w:r>
      <w:r w:rsidR="00667EC6">
        <w:rPr>
          <w:lang w:val="en-GB"/>
        </w:rPr>
        <w:t xml:space="preserve">equal to </w:t>
      </w:r>
      <w:r w:rsidR="000F1636" w:rsidRPr="00EC2EF4">
        <w:rPr>
          <w:lang w:val="en-GB"/>
        </w:rPr>
        <w:t xml:space="preserve">6.9 DDD </w:t>
      </w:r>
      <w:r w:rsidR="00A85BDE" w:rsidRPr="00EC2EF4">
        <w:rPr>
          <w:lang w:val="en-GB"/>
        </w:rPr>
        <w:t>per 1</w:t>
      </w:r>
      <w:r w:rsidR="00266939" w:rsidRPr="00EC2EF4">
        <w:rPr>
          <w:lang w:val="en-GB"/>
        </w:rPr>
        <w:t>,</w:t>
      </w:r>
      <w:r w:rsidR="00A85BDE" w:rsidRPr="00EC2EF4">
        <w:rPr>
          <w:lang w:val="en-GB"/>
        </w:rPr>
        <w:t>000 inhabitants per day</w:t>
      </w:r>
      <w:r w:rsidR="00667EC6">
        <w:rPr>
          <w:lang w:val="en-GB"/>
        </w:rPr>
        <w:t xml:space="preserve"> in the elderly aged 75 or over. T</w:t>
      </w:r>
      <w:r w:rsidR="000F1636" w:rsidRPr="00EC2EF4">
        <w:rPr>
          <w:lang w:val="en-GB"/>
        </w:rPr>
        <w:t>he prevalence</w:t>
      </w:r>
      <w:r w:rsidR="00B77179" w:rsidRPr="00EC2EF4">
        <w:rPr>
          <w:lang w:val="en-GB"/>
        </w:rPr>
        <w:t xml:space="preserve"> of use</w:t>
      </w:r>
      <w:r w:rsidR="000F1636" w:rsidRPr="00EC2EF4">
        <w:rPr>
          <w:lang w:val="en-GB"/>
        </w:rPr>
        <w:t xml:space="preserve"> was</w:t>
      </w:r>
      <w:r w:rsidR="006479AB" w:rsidRPr="00EC2EF4">
        <w:rPr>
          <w:lang w:val="en-GB"/>
        </w:rPr>
        <w:t xml:space="preserve"> </w:t>
      </w:r>
      <w:r w:rsidR="00A85BDE" w:rsidRPr="00EC2EF4">
        <w:rPr>
          <w:lang w:val="en-GB"/>
        </w:rPr>
        <w:t>8.4</w:t>
      </w:r>
      <w:r w:rsidR="006479AB" w:rsidRPr="00EC2EF4">
        <w:rPr>
          <w:lang w:val="en-GB"/>
        </w:rPr>
        <w:t>%</w:t>
      </w:r>
      <w:r w:rsidR="000F1636" w:rsidRPr="00EC2EF4">
        <w:rPr>
          <w:lang w:val="en-GB"/>
        </w:rPr>
        <w:t xml:space="preserve"> in women between 20 and 59 years</w:t>
      </w:r>
      <w:r w:rsidR="00B77179" w:rsidRPr="00EC2EF4">
        <w:rPr>
          <w:lang w:val="en-GB"/>
        </w:rPr>
        <w:t xml:space="preserve"> while it reached</w:t>
      </w:r>
      <w:r w:rsidR="006479AB" w:rsidRPr="00EC2EF4">
        <w:rPr>
          <w:lang w:val="en-GB"/>
        </w:rPr>
        <w:t xml:space="preserve"> </w:t>
      </w:r>
      <w:r w:rsidR="00B77179" w:rsidRPr="00EC2EF4">
        <w:rPr>
          <w:lang w:val="en-GB"/>
        </w:rPr>
        <w:t>22.5% in the elderly 75 or over</w:t>
      </w:r>
      <w:r w:rsidR="006479AB" w:rsidRPr="00EC2EF4">
        <w:rPr>
          <w:lang w:val="en-GB"/>
        </w:rPr>
        <w:t xml:space="preserve"> </w:t>
      </w:r>
      <w:r w:rsidR="00C90E97" w:rsidRPr="00EC2EF4">
        <w:rPr>
          <w:lang w:val="en-GB"/>
        </w:rPr>
        <w:t>(</w:t>
      </w:r>
      <w:r w:rsidR="00C90E97" w:rsidRPr="00EC2EF4">
        <w:rPr>
          <w:b/>
          <w:lang w:val="en-GB"/>
        </w:rPr>
        <w:t xml:space="preserve">Table </w:t>
      </w:r>
      <w:r w:rsidR="008B4112" w:rsidRPr="00EC2EF4">
        <w:rPr>
          <w:b/>
          <w:lang w:val="en-GB"/>
        </w:rPr>
        <w:t>3</w:t>
      </w:r>
      <w:r w:rsidR="00220EE0" w:rsidRPr="00EC2EF4">
        <w:rPr>
          <w:b/>
          <w:lang w:val="en-GB"/>
        </w:rPr>
        <w:t>)</w:t>
      </w:r>
      <w:r w:rsidR="000F1636" w:rsidRPr="00EC2EF4">
        <w:rPr>
          <w:b/>
          <w:lang w:val="en-GB"/>
        </w:rPr>
        <w:t xml:space="preserve">. </w:t>
      </w:r>
      <w:r w:rsidR="00535032" w:rsidRPr="00EC2EF4">
        <w:rPr>
          <w:lang w:val="en-GB"/>
        </w:rPr>
        <w:t xml:space="preserve">An incremental gradient </w:t>
      </w:r>
      <w:r w:rsidR="002A112E" w:rsidRPr="00EC2EF4">
        <w:rPr>
          <w:lang w:val="en-GB"/>
        </w:rPr>
        <w:t xml:space="preserve">from the North to the South of Italy </w:t>
      </w:r>
      <w:r w:rsidR="005744A3" w:rsidRPr="00EC2EF4">
        <w:rPr>
          <w:lang w:val="en-GB"/>
        </w:rPr>
        <w:t>wa</w:t>
      </w:r>
      <w:r w:rsidR="00535032" w:rsidRPr="00EC2EF4">
        <w:rPr>
          <w:lang w:val="en-GB"/>
        </w:rPr>
        <w:t xml:space="preserve">s </w:t>
      </w:r>
      <w:r w:rsidR="002A112E" w:rsidRPr="00EC2EF4">
        <w:rPr>
          <w:lang w:val="en-GB"/>
        </w:rPr>
        <w:t xml:space="preserve">also </w:t>
      </w:r>
      <w:r w:rsidR="00535032" w:rsidRPr="00EC2EF4">
        <w:rPr>
          <w:lang w:val="en-GB"/>
        </w:rPr>
        <w:t>observable</w:t>
      </w:r>
      <w:r w:rsidR="004002D6" w:rsidRPr="00EC2EF4">
        <w:rPr>
          <w:lang w:val="en-GB"/>
        </w:rPr>
        <w:t xml:space="preserve"> </w:t>
      </w:r>
      <w:r w:rsidR="002A112E" w:rsidRPr="00EC2EF4">
        <w:rPr>
          <w:lang w:val="en-GB"/>
        </w:rPr>
        <w:t>for fluoroquinolone use</w:t>
      </w:r>
      <w:r w:rsidR="00535032" w:rsidRPr="00EC2EF4">
        <w:rPr>
          <w:lang w:val="en-GB"/>
        </w:rPr>
        <w:t xml:space="preserve">. In 2018 the prevalence of </w:t>
      </w:r>
      <w:r w:rsidR="00C50C9D">
        <w:rPr>
          <w:lang w:val="en-GB"/>
        </w:rPr>
        <w:t xml:space="preserve">use </w:t>
      </w:r>
      <w:r w:rsidR="00535032" w:rsidRPr="00EC2EF4">
        <w:rPr>
          <w:lang w:val="en-GB"/>
        </w:rPr>
        <w:t xml:space="preserve">for women </w:t>
      </w:r>
      <w:r w:rsidR="008C1656" w:rsidRPr="00EC2EF4">
        <w:rPr>
          <w:lang w:val="en-GB"/>
        </w:rPr>
        <w:t xml:space="preserve">aged </w:t>
      </w:r>
      <w:r w:rsidR="00535032" w:rsidRPr="00EC2EF4">
        <w:rPr>
          <w:lang w:val="en-GB"/>
        </w:rPr>
        <w:t>between 20 and 59 varie</w:t>
      </w:r>
      <w:r w:rsidR="008C1656" w:rsidRPr="00EC2EF4">
        <w:rPr>
          <w:lang w:val="en-GB"/>
        </w:rPr>
        <w:t>d</w:t>
      </w:r>
      <w:r w:rsidR="00535032" w:rsidRPr="00EC2EF4">
        <w:rPr>
          <w:lang w:val="en-GB"/>
        </w:rPr>
        <w:t xml:space="preserve"> from </w:t>
      </w:r>
      <w:r w:rsidR="004613BC" w:rsidRPr="00EC2EF4">
        <w:rPr>
          <w:lang w:val="en-GB"/>
        </w:rPr>
        <w:t>6.8</w:t>
      </w:r>
      <w:r w:rsidR="00535032" w:rsidRPr="00EC2EF4">
        <w:rPr>
          <w:lang w:val="en-GB"/>
        </w:rPr>
        <w:t xml:space="preserve">% in the </w:t>
      </w:r>
      <w:r w:rsidR="00524B49" w:rsidRPr="00EC2EF4">
        <w:rPr>
          <w:lang w:val="en-GB"/>
        </w:rPr>
        <w:t>North</w:t>
      </w:r>
      <w:r w:rsidR="00535032" w:rsidRPr="00EC2EF4">
        <w:rPr>
          <w:lang w:val="en-GB"/>
        </w:rPr>
        <w:t xml:space="preserve"> to </w:t>
      </w:r>
      <w:r w:rsidR="004613BC" w:rsidRPr="00EC2EF4">
        <w:rPr>
          <w:lang w:val="en-GB"/>
        </w:rPr>
        <w:t>10.2</w:t>
      </w:r>
      <w:r w:rsidR="00535032" w:rsidRPr="00EC2EF4">
        <w:rPr>
          <w:lang w:val="en-GB"/>
        </w:rPr>
        <w:t xml:space="preserve">% in the </w:t>
      </w:r>
      <w:r w:rsidR="00524B49" w:rsidRPr="00EC2EF4">
        <w:rPr>
          <w:lang w:val="en-GB"/>
        </w:rPr>
        <w:t>South</w:t>
      </w:r>
      <w:r w:rsidR="00C67C46" w:rsidRPr="00EC2EF4">
        <w:rPr>
          <w:lang w:val="en-GB"/>
        </w:rPr>
        <w:t xml:space="preserve"> while</w:t>
      </w:r>
      <w:r w:rsidR="004613BC" w:rsidRPr="00EC2EF4">
        <w:rPr>
          <w:lang w:val="en-GB"/>
        </w:rPr>
        <w:t>,</w:t>
      </w:r>
      <w:r w:rsidR="00C67C46" w:rsidRPr="00EC2EF4">
        <w:rPr>
          <w:lang w:val="en-GB"/>
        </w:rPr>
        <w:t xml:space="preserve"> for </w:t>
      </w:r>
      <w:r w:rsidR="004613BC" w:rsidRPr="00EC2EF4">
        <w:rPr>
          <w:lang w:val="en-GB"/>
        </w:rPr>
        <w:t>the population aged 75 or older,</w:t>
      </w:r>
      <w:r w:rsidR="00C67C46" w:rsidRPr="00EC2EF4">
        <w:rPr>
          <w:lang w:val="en-GB"/>
        </w:rPr>
        <w:t xml:space="preserve"> it varie</w:t>
      </w:r>
      <w:r w:rsidR="008C1656" w:rsidRPr="00EC2EF4">
        <w:rPr>
          <w:lang w:val="en-GB"/>
        </w:rPr>
        <w:t>d</w:t>
      </w:r>
      <w:r w:rsidR="00C67C46" w:rsidRPr="00EC2EF4">
        <w:rPr>
          <w:lang w:val="en-GB"/>
        </w:rPr>
        <w:t xml:space="preserve"> from 16.7% in the </w:t>
      </w:r>
      <w:r w:rsidR="00524B49" w:rsidRPr="00EC2EF4">
        <w:rPr>
          <w:lang w:val="en-GB"/>
        </w:rPr>
        <w:t>North</w:t>
      </w:r>
      <w:r w:rsidR="00C67C46" w:rsidRPr="00EC2EF4">
        <w:rPr>
          <w:lang w:val="en-GB"/>
        </w:rPr>
        <w:t xml:space="preserve"> to 30.5% in the </w:t>
      </w:r>
      <w:r w:rsidR="00524B49" w:rsidRPr="00EC2EF4">
        <w:rPr>
          <w:lang w:val="en-GB"/>
        </w:rPr>
        <w:t>South</w:t>
      </w:r>
      <w:r w:rsidR="00C90E97" w:rsidRPr="00EC2EF4">
        <w:rPr>
          <w:lang w:val="en-GB"/>
        </w:rPr>
        <w:t xml:space="preserve"> (</w:t>
      </w:r>
      <w:r w:rsidR="00BB4CA0" w:rsidRPr="00EC2EF4">
        <w:rPr>
          <w:b/>
          <w:lang w:val="en-GB"/>
        </w:rPr>
        <w:t xml:space="preserve">Table </w:t>
      </w:r>
      <w:r w:rsidR="008B4112" w:rsidRPr="00EC2EF4">
        <w:rPr>
          <w:b/>
          <w:lang w:val="en-GB"/>
        </w:rPr>
        <w:t>3</w:t>
      </w:r>
      <w:r w:rsidR="00BF1EA7" w:rsidRPr="00EC2EF4">
        <w:rPr>
          <w:lang w:val="en-GB"/>
        </w:rPr>
        <w:t>).</w:t>
      </w:r>
      <w:r w:rsidR="000F1636" w:rsidRPr="00EC2EF4">
        <w:rPr>
          <w:lang w:val="en-GB"/>
        </w:rPr>
        <w:t xml:space="preserve"> </w:t>
      </w:r>
      <w:r w:rsidR="00F43FFE" w:rsidRPr="00EC2EF4">
        <w:rPr>
          <w:lang w:val="en-GB"/>
        </w:rPr>
        <w:t xml:space="preserve">According to the data collected in 2018 through the </w:t>
      </w:r>
      <w:r w:rsidR="008C0631" w:rsidRPr="00EC2EF4">
        <w:rPr>
          <w:lang w:val="en-GB"/>
        </w:rPr>
        <w:t>sentinel</w:t>
      </w:r>
      <w:r w:rsidR="00075C39" w:rsidRPr="00EC2EF4">
        <w:rPr>
          <w:lang w:val="en-GB"/>
        </w:rPr>
        <w:t xml:space="preserve"> network of general practitioners</w:t>
      </w:r>
      <w:r w:rsidR="00F43FFE" w:rsidRPr="00EC2EF4">
        <w:rPr>
          <w:lang w:val="en-GB"/>
        </w:rPr>
        <w:t xml:space="preserve">, </w:t>
      </w:r>
      <w:r w:rsidR="008C1656" w:rsidRPr="00EC2EF4">
        <w:rPr>
          <w:lang w:val="en-GB"/>
        </w:rPr>
        <w:t xml:space="preserve">the </w:t>
      </w:r>
      <w:r w:rsidR="00F43FFE" w:rsidRPr="00EC2EF4">
        <w:rPr>
          <w:lang w:val="en-GB"/>
        </w:rPr>
        <w:t>fluoroquinolone</w:t>
      </w:r>
      <w:r w:rsidR="008C1656" w:rsidRPr="00EC2EF4">
        <w:rPr>
          <w:lang w:val="en-GB"/>
        </w:rPr>
        <w:t>s</w:t>
      </w:r>
      <w:r w:rsidR="00F43FFE" w:rsidRPr="00EC2EF4">
        <w:rPr>
          <w:lang w:val="en-GB"/>
        </w:rPr>
        <w:t xml:space="preserve"> w</w:t>
      </w:r>
      <w:r w:rsidR="008C1656" w:rsidRPr="00EC2EF4">
        <w:rPr>
          <w:lang w:val="en-GB"/>
        </w:rPr>
        <w:t>ere</w:t>
      </w:r>
      <w:r w:rsidR="00F43FFE" w:rsidRPr="00EC2EF4">
        <w:rPr>
          <w:lang w:val="en-GB"/>
        </w:rPr>
        <w:t xml:space="preserve"> inappropriately prescribed in 34.2%</w:t>
      </w:r>
      <w:r w:rsidR="00075C39" w:rsidRPr="00EC2EF4">
        <w:rPr>
          <w:lang w:val="en-GB"/>
        </w:rPr>
        <w:t xml:space="preserve"> </w:t>
      </w:r>
      <w:r w:rsidR="00266939" w:rsidRPr="00EC2EF4">
        <w:rPr>
          <w:lang w:val="en-GB"/>
        </w:rPr>
        <w:t xml:space="preserve">of </w:t>
      </w:r>
      <w:r w:rsidR="00075C39" w:rsidRPr="00EC2EF4">
        <w:rPr>
          <w:lang w:val="en-GB"/>
        </w:rPr>
        <w:t>women under 65</w:t>
      </w:r>
      <w:r w:rsidR="00266939" w:rsidRPr="00EC2EF4">
        <w:rPr>
          <w:lang w:val="en-GB"/>
        </w:rPr>
        <w:t xml:space="preserve"> </w:t>
      </w:r>
      <w:r w:rsidR="008C1656" w:rsidRPr="00EC2EF4">
        <w:rPr>
          <w:lang w:val="en-GB"/>
        </w:rPr>
        <w:t xml:space="preserve">years </w:t>
      </w:r>
      <w:r w:rsidR="00266939" w:rsidRPr="00EC2EF4">
        <w:rPr>
          <w:lang w:val="en-GB"/>
        </w:rPr>
        <w:t>diagnosed wit</w:t>
      </w:r>
      <w:r w:rsidR="00386458" w:rsidRPr="00EC2EF4">
        <w:rPr>
          <w:lang w:val="en-GB"/>
        </w:rPr>
        <w:t>h</w:t>
      </w:r>
      <w:r w:rsidR="00AB58B6" w:rsidRPr="00EC2EF4">
        <w:rPr>
          <w:lang w:val="en-GB"/>
        </w:rPr>
        <w:t xml:space="preserve"> </w:t>
      </w:r>
      <w:r w:rsidR="00266939" w:rsidRPr="00EC2EF4">
        <w:rPr>
          <w:lang w:val="en-GB"/>
        </w:rPr>
        <w:t>uncomplicated cystitis.</w:t>
      </w:r>
    </w:p>
    <w:p w14:paraId="68512848" w14:textId="730EC783" w:rsidR="00902E54" w:rsidRPr="00EC2EF4" w:rsidRDefault="002A62B0" w:rsidP="002900A3">
      <w:pPr>
        <w:spacing w:line="480" w:lineRule="auto"/>
        <w:jc w:val="both"/>
        <w:rPr>
          <w:lang w:val="en-GB"/>
        </w:rPr>
      </w:pPr>
      <w:r w:rsidRPr="00EC2EF4">
        <w:rPr>
          <w:lang w:val="en-GB"/>
        </w:rPr>
        <w:t xml:space="preserve">Considering the </w:t>
      </w:r>
      <w:r w:rsidR="008C6A94" w:rsidRPr="00EC2EF4">
        <w:rPr>
          <w:lang w:val="en-GB"/>
        </w:rPr>
        <w:t xml:space="preserve">paediatric </w:t>
      </w:r>
      <w:r w:rsidRPr="00EC2EF4">
        <w:rPr>
          <w:lang w:val="en-GB"/>
        </w:rPr>
        <w:t xml:space="preserve">population </w:t>
      </w:r>
      <w:r w:rsidR="008C6A94" w:rsidRPr="00EC2EF4">
        <w:rPr>
          <w:lang w:val="en-GB"/>
        </w:rPr>
        <w:t xml:space="preserve">aged </w:t>
      </w:r>
      <w:r w:rsidRPr="00EC2EF4">
        <w:rPr>
          <w:lang w:val="en-GB"/>
        </w:rPr>
        <w:t xml:space="preserve">between 0 and 13 years, </w:t>
      </w:r>
      <w:r w:rsidR="008C6A94" w:rsidRPr="00EC2EF4">
        <w:rPr>
          <w:lang w:val="en-GB"/>
        </w:rPr>
        <w:t>the</w:t>
      </w:r>
      <w:r w:rsidRPr="00EC2EF4">
        <w:rPr>
          <w:lang w:val="en-GB"/>
        </w:rPr>
        <w:t xml:space="preserve"> </w:t>
      </w:r>
      <w:r w:rsidR="008C6A94" w:rsidRPr="00EC2EF4">
        <w:rPr>
          <w:lang w:val="en-GB"/>
        </w:rPr>
        <w:t xml:space="preserve">antibiotic </w:t>
      </w:r>
      <w:r w:rsidRPr="00EC2EF4">
        <w:rPr>
          <w:lang w:val="en-GB"/>
        </w:rPr>
        <w:t xml:space="preserve">utilization rate </w:t>
      </w:r>
      <w:r w:rsidR="008C6A94" w:rsidRPr="00EC2EF4">
        <w:rPr>
          <w:lang w:val="en-GB"/>
        </w:rPr>
        <w:t xml:space="preserve">in 2018 was </w:t>
      </w:r>
      <w:r w:rsidRPr="00EC2EF4">
        <w:rPr>
          <w:lang w:val="en-GB"/>
        </w:rPr>
        <w:t>1</w:t>
      </w:r>
      <w:r w:rsidR="00266939" w:rsidRPr="00EC2EF4">
        <w:rPr>
          <w:lang w:val="en-GB"/>
        </w:rPr>
        <w:t>,</w:t>
      </w:r>
      <w:r w:rsidRPr="00EC2EF4">
        <w:rPr>
          <w:lang w:val="en-GB"/>
        </w:rPr>
        <w:t>010 prescriptions per 1</w:t>
      </w:r>
      <w:r w:rsidR="00266939" w:rsidRPr="00EC2EF4">
        <w:rPr>
          <w:lang w:val="en-GB"/>
        </w:rPr>
        <w:t>,</w:t>
      </w:r>
      <w:r w:rsidRPr="00EC2EF4">
        <w:rPr>
          <w:lang w:val="en-GB"/>
        </w:rPr>
        <w:t>000 children, w</w:t>
      </w:r>
      <w:r w:rsidR="008C6A94" w:rsidRPr="00EC2EF4">
        <w:rPr>
          <w:lang w:val="en-GB"/>
        </w:rPr>
        <w:t>hile</w:t>
      </w:r>
      <w:r w:rsidR="004002D6" w:rsidRPr="00EC2EF4">
        <w:rPr>
          <w:lang w:val="en-GB"/>
        </w:rPr>
        <w:t xml:space="preserve"> </w:t>
      </w:r>
      <w:r w:rsidR="008C6A94" w:rsidRPr="00EC2EF4">
        <w:rPr>
          <w:lang w:val="en-GB"/>
        </w:rPr>
        <w:t>the</w:t>
      </w:r>
      <w:r w:rsidRPr="00EC2EF4">
        <w:rPr>
          <w:lang w:val="en-GB"/>
        </w:rPr>
        <w:t xml:space="preserve"> prevalence of use </w:t>
      </w:r>
      <w:r w:rsidR="008C6A94" w:rsidRPr="00EC2EF4">
        <w:rPr>
          <w:lang w:val="en-GB"/>
        </w:rPr>
        <w:t xml:space="preserve">was </w:t>
      </w:r>
      <w:r w:rsidRPr="00EC2EF4">
        <w:rPr>
          <w:lang w:val="en-GB"/>
        </w:rPr>
        <w:t xml:space="preserve">40.8%. It </w:t>
      </w:r>
      <w:r w:rsidR="0066753C" w:rsidRPr="00EC2EF4">
        <w:rPr>
          <w:lang w:val="en-GB"/>
        </w:rPr>
        <w:t>wa</w:t>
      </w:r>
      <w:r w:rsidRPr="00EC2EF4">
        <w:rPr>
          <w:lang w:val="en-GB"/>
        </w:rPr>
        <w:t xml:space="preserve">s observed, also in this age group, an incremental spatial trend from </w:t>
      </w:r>
      <w:r w:rsidR="00524B49" w:rsidRPr="00EC2EF4">
        <w:rPr>
          <w:lang w:val="en-GB"/>
        </w:rPr>
        <w:t>North</w:t>
      </w:r>
      <w:r w:rsidRPr="00EC2EF4">
        <w:rPr>
          <w:lang w:val="en-GB"/>
        </w:rPr>
        <w:t xml:space="preserve"> to </w:t>
      </w:r>
      <w:r w:rsidR="00524B49" w:rsidRPr="00EC2EF4">
        <w:rPr>
          <w:lang w:val="en-GB"/>
        </w:rPr>
        <w:t>South</w:t>
      </w:r>
      <w:r w:rsidRPr="00EC2EF4">
        <w:rPr>
          <w:lang w:val="en-GB"/>
        </w:rPr>
        <w:t xml:space="preserve"> for </w:t>
      </w:r>
      <w:r w:rsidR="00F20AEF" w:rsidRPr="00EC2EF4">
        <w:rPr>
          <w:lang w:val="en-GB"/>
        </w:rPr>
        <w:t xml:space="preserve">both </w:t>
      </w:r>
      <w:r w:rsidRPr="00EC2EF4">
        <w:rPr>
          <w:lang w:val="en-GB"/>
        </w:rPr>
        <w:t xml:space="preserve">prescription </w:t>
      </w:r>
      <w:r w:rsidR="00AB58B6" w:rsidRPr="00EC2EF4">
        <w:rPr>
          <w:lang w:val="en-GB"/>
        </w:rPr>
        <w:t>rate and</w:t>
      </w:r>
      <w:r w:rsidRPr="00EC2EF4">
        <w:rPr>
          <w:lang w:val="en-GB"/>
        </w:rPr>
        <w:t xml:space="preserve"> prevalence of use (36.6% in the </w:t>
      </w:r>
      <w:r w:rsidR="00524B49" w:rsidRPr="00EC2EF4">
        <w:rPr>
          <w:lang w:val="en-GB"/>
        </w:rPr>
        <w:t>North</w:t>
      </w:r>
      <w:r w:rsidRPr="00EC2EF4">
        <w:rPr>
          <w:lang w:val="en-GB"/>
        </w:rPr>
        <w:t>, 41.6</w:t>
      </w:r>
      <w:r w:rsidR="000A4A93">
        <w:rPr>
          <w:lang w:val="en-GB"/>
        </w:rPr>
        <w:t>%</w:t>
      </w:r>
      <w:r w:rsidRPr="00EC2EF4">
        <w:rPr>
          <w:lang w:val="en-GB"/>
        </w:rPr>
        <w:t xml:space="preserve"> </w:t>
      </w:r>
      <w:r w:rsidR="00465A52" w:rsidRPr="00EC2EF4">
        <w:rPr>
          <w:lang w:val="en-GB"/>
        </w:rPr>
        <w:t>in the</w:t>
      </w:r>
      <w:r w:rsidRPr="00EC2EF4">
        <w:rPr>
          <w:lang w:val="en-GB"/>
        </w:rPr>
        <w:t xml:space="preserve"> </w:t>
      </w:r>
      <w:r w:rsidR="00524B49" w:rsidRPr="00EC2EF4">
        <w:rPr>
          <w:lang w:val="en-GB"/>
        </w:rPr>
        <w:t>Centre</w:t>
      </w:r>
      <w:r w:rsidRPr="00EC2EF4">
        <w:rPr>
          <w:lang w:val="en-GB"/>
        </w:rPr>
        <w:t xml:space="preserve"> and 45.9% in the </w:t>
      </w:r>
      <w:r w:rsidR="00524B49" w:rsidRPr="00EC2EF4">
        <w:rPr>
          <w:lang w:val="en-GB"/>
        </w:rPr>
        <w:t>South</w:t>
      </w:r>
      <w:r w:rsidRPr="00EC2EF4">
        <w:rPr>
          <w:b/>
          <w:bCs/>
          <w:lang w:val="en-GB"/>
        </w:rPr>
        <w:t>)</w:t>
      </w:r>
      <w:r w:rsidR="00441241" w:rsidRPr="00EC2EF4">
        <w:rPr>
          <w:b/>
          <w:bCs/>
          <w:lang w:val="en-GB"/>
        </w:rPr>
        <w:t xml:space="preserve"> (Table </w:t>
      </w:r>
      <w:r w:rsidR="008B4112" w:rsidRPr="00EC2EF4">
        <w:rPr>
          <w:b/>
          <w:bCs/>
          <w:lang w:val="en-GB"/>
        </w:rPr>
        <w:t>4</w:t>
      </w:r>
      <w:r w:rsidR="00441241" w:rsidRPr="00EC2EF4">
        <w:rPr>
          <w:b/>
          <w:bCs/>
          <w:lang w:val="en-GB"/>
        </w:rPr>
        <w:t>a)</w:t>
      </w:r>
      <w:r w:rsidRPr="00EC2EF4">
        <w:rPr>
          <w:b/>
          <w:bCs/>
          <w:lang w:val="en-GB"/>
        </w:rPr>
        <w:t>.</w:t>
      </w:r>
      <w:r w:rsidR="008C6A94" w:rsidRPr="00EC2EF4">
        <w:rPr>
          <w:lang w:val="en-GB"/>
        </w:rPr>
        <w:t xml:space="preserve"> </w:t>
      </w:r>
    </w:p>
    <w:p w14:paraId="0C83434D" w14:textId="2583E996" w:rsidR="005157C3" w:rsidRPr="00EC2EF4" w:rsidRDefault="00F26D95" w:rsidP="002900A3">
      <w:pPr>
        <w:spacing w:line="480" w:lineRule="auto"/>
        <w:jc w:val="both"/>
        <w:rPr>
          <w:lang w:val="en-GB"/>
        </w:rPr>
      </w:pPr>
      <w:r w:rsidRPr="00EC2EF4">
        <w:rPr>
          <w:lang w:val="en-GB"/>
        </w:rPr>
        <w:t>For</w:t>
      </w:r>
      <w:r w:rsidR="00902E54" w:rsidRPr="00EC2EF4">
        <w:rPr>
          <w:lang w:val="en-GB"/>
        </w:rPr>
        <w:t xml:space="preserve"> the children, there </w:t>
      </w:r>
      <w:r w:rsidR="0066753C" w:rsidRPr="00EC2EF4">
        <w:rPr>
          <w:lang w:val="en-GB"/>
        </w:rPr>
        <w:t>wa</w:t>
      </w:r>
      <w:r w:rsidR="00902E54" w:rsidRPr="00EC2EF4">
        <w:rPr>
          <w:lang w:val="en-GB"/>
        </w:rPr>
        <w:t xml:space="preserve">s a lower overall </w:t>
      </w:r>
      <w:r w:rsidR="0066753C" w:rsidRPr="00EC2EF4">
        <w:rPr>
          <w:lang w:val="en-GB"/>
        </w:rPr>
        <w:t xml:space="preserve">antibiotic </w:t>
      </w:r>
      <w:r w:rsidR="00902E54" w:rsidRPr="00EC2EF4">
        <w:rPr>
          <w:lang w:val="en-GB"/>
        </w:rPr>
        <w:t xml:space="preserve">prescription rate in the </w:t>
      </w:r>
      <w:r w:rsidR="00524B49" w:rsidRPr="00EC2EF4">
        <w:rPr>
          <w:lang w:val="en-GB"/>
        </w:rPr>
        <w:t>North</w:t>
      </w:r>
      <w:r w:rsidR="00266939" w:rsidRPr="00EC2EF4">
        <w:rPr>
          <w:lang w:val="en-GB"/>
        </w:rPr>
        <w:t>,</w:t>
      </w:r>
      <w:r w:rsidR="00902E54" w:rsidRPr="00EC2EF4">
        <w:rPr>
          <w:lang w:val="en-GB"/>
        </w:rPr>
        <w:t xml:space="preserve"> where </w:t>
      </w:r>
      <w:proofErr w:type="spellStart"/>
      <w:r w:rsidR="00902E54" w:rsidRPr="00EC2EF4">
        <w:rPr>
          <w:lang w:val="en-GB"/>
        </w:rPr>
        <w:t>penicillins</w:t>
      </w:r>
      <w:proofErr w:type="spellEnd"/>
      <w:r w:rsidR="00902E54" w:rsidRPr="00EC2EF4">
        <w:rPr>
          <w:lang w:val="en-GB"/>
        </w:rPr>
        <w:t xml:space="preserve"> are preferred to cephalosporins and macrolides. </w:t>
      </w:r>
      <w:r w:rsidR="003D5632" w:rsidRPr="00EC2EF4">
        <w:rPr>
          <w:lang w:val="en-GB"/>
        </w:rPr>
        <w:t>I</w:t>
      </w:r>
      <w:r w:rsidR="00902E54" w:rsidRPr="00EC2EF4">
        <w:rPr>
          <w:lang w:val="en-GB"/>
        </w:rPr>
        <w:t xml:space="preserve">n the </w:t>
      </w:r>
      <w:r w:rsidR="00524B49" w:rsidRPr="00EC2EF4">
        <w:rPr>
          <w:lang w:val="en-GB"/>
        </w:rPr>
        <w:t>North</w:t>
      </w:r>
      <w:r w:rsidR="00902E54" w:rsidRPr="00EC2EF4">
        <w:rPr>
          <w:lang w:val="en-GB"/>
        </w:rPr>
        <w:t xml:space="preserve"> </w:t>
      </w:r>
      <w:proofErr w:type="spellStart"/>
      <w:r w:rsidR="00902E54" w:rsidRPr="00EC2EF4">
        <w:rPr>
          <w:lang w:val="en-GB"/>
        </w:rPr>
        <w:t>penicil</w:t>
      </w:r>
      <w:r w:rsidR="00220EE0" w:rsidRPr="00EC2EF4">
        <w:rPr>
          <w:lang w:val="en-GB"/>
        </w:rPr>
        <w:t>l</w:t>
      </w:r>
      <w:r w:rsidR="00902E54" w:rsidRPr="00EC2EF4">
        <w:rPr>
          <w:lang w:val="en-GB"/>
        </w:rPr>
        <w:t>ins</w:t>
      </w:r>
      <w:proofErr w:type="spellEnd"/>
      <w:r w:rsidR="00902E54" w:rsidRPr="00EC2EF4">
        <w:rPr>
          <w:lang w:val="en-GB"/>
        </w:rPr>
        <w:t xml:space="preserve"> show</w:t>
      </w:r>
      <w:r w:rsidR="0066753C" w:rsidRPr="00EC2EF4">
        <w:rPr>
          <w:lang w:val="en-GB"/>
        </w:rPr>
        <w:t>ed</w:t>
      </w:r>
      <w:r w:rsidR="00902E54" w:rsidRPr="00EC2EF4">
        <w:rPr>
          <w:lang w:val="en-GB"/>
        </w:rPr>
        <w:t xml:space="preserve"> higher prescription rates compared to other geographical areas</w:t>
      </w:r>
      <w:r w:rsidR="000A4A93">
        <w:rPr>
          <w:lang w:val="en-GB"/>
        </w:rPr>
        <w:t xml:space="preserve">, </w:t>
      </w:r>
      <w:r w:rsidR="000A4A93" w:rsidRPr="000A4A93">
        <w:rPr>
          <w:lang w:val="en-GB"/>
        </w:rPr>
        <w:t>while for cephalosporins and macrolides, the opposite trend can be observed</w:t>
      </w:r>
      <w:r w:rsidR="000A4A93">
        <w:rPr>
          <w:lang w:val="en-GB"/>
        </w:rPr>
        <w:t xml:space="preserve"> </w:t>
      </w:r>
      <w:r w:rsidRPr="00EC2EF4">
        <w:rPr>
          <w:lang w:val="en-GB"/>
        </w:rPr>
        <w:t>(</w:t>
      </w:r>
      <w:r w:rsidRPr="00EC2EF4">
        <w:rPr>
          <w:b/>
          <w:lang w:val="en-GB"/>
        </w:rPr>
        <w:t xml:space="preserve">Table </w:t>
      </w:r>
      <w:r w:rsidR="008B4112" w:rsidRPr="00EC2EF4">
        <w:rPr>
          <w:b/>
          <w:lang w:val="en-GB"/>
        </w:rPr>
        <w:t>4b</w:t>
      </w:r>
      <w:r w:rsidRPr="00EC2EF4">
        <w:rPr>
          <w:lang w:val="en-GB"/>
        </w:rPr>
        <w:t>)</w:t>
      </w:r>
      <w:r w:rsidR="00902E54" w:rsidRPr="00EC2EF4">
        <w:rPr>
          <w:lang w:val="en-GB"/>
        </w:rPr>
        <w:t>.</w:t>
      </w:r>
      <w:r w:rsidR="00165BE6" w:rsidRPr="00EC2EF4">
        <w:rPr>
          <w:lang w:val="en-GB"/>
        </w:rPr>
        <w:t xml:space="preserve"> </w:t>
      </w:r>
      <w:r w:rsidR="00D83D80" w:rsidRPr="00EC2EF4">
        <w:rPr>
          <w:lang w:val="en-GB"/>
        </w:rPr>
        <w:t xml:space="preserve">Regarding the type of </w:t>
      </w:r>
      <w:proofErr w:type="spellStart"/>
      <w:r w:rsidR="00D83D80" w:rsidRPr="00EC2EF4">
        <w:rPr>
          <w:lang w:val="en-GB"/>
        </w:rPr>
        <w:t>penicillins</w:t>
      </w:r>
      <w:proofErr w:type="spellEnd"/>
      <w:r w:rsidR="00D83D80" w:rsidRPr="00EC2EF4">
        <w:rPr>
          <w:lang w:val="en-GB"/>
        </w:rPr>
        <w:t xml:space="preserve">, in the </w:t>
      </w:r>
      <w:r w:rsidR="00524B49" w:rsidRPr="00EC2EF4">
        <w:rPr>
          <w:lang w:val="en-GB"/>
        </w:rPr>
        <w:t>North</w:t>
      </w:r>
      <w:r w:rsidR="00D83D80" w:rsidRPr="00EC2EF4">
        <w:rPr>
          <w:lang w:val="en-GB"/>
        </w:rPr>
        <w:t xml:space="preserve"> the broad-spectrum </w:t>
      </w:r>
      <w:proofErr w:type="spellStart"/>
      <w:r w:rsidR="00D83D80" w:rsidRPr="00EC2EF4">
        <w:rPr>
          <w:lang w:val="en-GB"/>
        </w:rPr>
        <w:t>penicillins</w:t>
      </w:r>
      <w:proofErr w:type="spellEnd"/>
      <w:r w:rsidR="00D83D80" w:rsidRPr="00EC2EF4">
        <w:rPr>
          <w:lang w:val="en-GB"/>
        </w:rPr>
        <w:t xml:space="preserve"> (e</w:t>
      </w:r>
      <w:r w:rsidR="00220EE0" w:rsidRPr="00EC2EF4">
        <w:rPr>
          <w:lang w:val="en-GB"/>
        </w:rPr>
        <w:t>.</w:t>
      </w:r>
      <w:r w:rsidR="00D83D80" w:rsidRPr="00EC2EF4">
        <w:rPr>
          <w:lang w:val="en-GB"/>
        </w:rPr>
        <w:t xml:space="preserve">g. </w:t>
      </w:r>
      <w:r w:rsidR="003A3E4E" w:rsidRPr="00EC2EF4">
        <w:rPr>
          <w:lang w:val="en-GB"/>
        </w:rPr>
        <w:t>a</w:t>
      </w:r>
      <w:r w:rsidR="00D83D80" w:rsidRPr="00EC2EF4">
        <w:rPr>
          <w:lang w:val="en-GB"/>
        </w:rPr>
        <w:t xml:space="preserve">moxicillin) </w:t>
      </w:r>
      <w:r w:rsidR="00323A76" w:rsidRPr="00EC2EF4">
        <w:rPr>
          <w:lang w:val="en-GB"/>
        </w:rPr>
        <w:t>we</w:t>
      </w:r>
      <w:r w:rsidR="00D83D80" w:rsidRPr="00EC2EF4">
        <w:rPr>
          <w:lang w:val="en-GB"/>
        </w:rPr>
        <w:t xml:space="preserve">re prescribed more than in the rest of the country both in absolute and relative terms: the ratio </w:t>
      </w:r>
      <w:r w:rsidR="00323A76" w:rsidRPr="00EC2EF4">
        <w:rPr>
          <w:lang w:val="en-GB"/>
        </w:rPr>
        <w:t xml:space="preserve">between </w:t>
      </w:r>
      <w:r w:rsidR="00D83D80" w:rsidRPr="00EC2EF4">
        <w:rPr>
          <w:lang w:val="en-GB"/>
        </w:rPr>
        <w:t xml:space="preserve">amoxicillin </w:t>
      </w:r>
      <w:r w:rsidR="00323A76" w:rsidRPr="00EC2EF4">
        <w:rPr>
          <w:lang w:val="en-GB"/>
        </w:rPr>
        <w:t>alone and the combination with</w:t>
      </w:r>
      <w:r w:rsidR="00D83D80" w:rsidRPr="00EC2EF4">
        <w:rPr>
          <w:lang w:val="en-GB"/>
        </w:rPr>
        <w:t xml:space="preserve"> clavulanic acid </w:t>
      </w:r>
      <w:r w:rsidR="00323A76" w:rsidRPr="00EC2EF4">
        <w:rPr>
          <w:lang w:val="en-GB"/>
        </w:rPr>
        <w:t>wa</w:t>
      </w:r>
      <w:r w:rsidR="00D83D80" w:rsidRPr="00EC2EF4">
        <w:rPr>
          <w:lang w:val="en-GB"/>
        </w:rPr>
        <w:t xml:space="preserve">s 0.7 in the </w:t>
      </w:r>
      <w:r w:rsidR="00524B49" w:rsidRPr="00EC2EF4">
        <w:rPr>
          <w:lang w:val="en-GB"/>
        </w:rPr>
        <w:t>North</w:t>
      </w:r>
      <w:r w:rsidR="00D83D80" w:rsidRPr="00EC2EF4">
        <w:rPr>
          <w:lang w:val="en-GB"/>
        </w:rPr>
        <w:t xml:space="preserve"> and 0.3 </w:t>
      </w:r>
      <w:r w:rsidR="00323A76" w:rsidRPr="00EC2EF4">
        <w:rPr>
          <w:lang w:val="en-GB"/>
        </w:rPr>
        <w:t xml:space="preserve">both </w:t>
      </w:r>
      <w:r w:rsidR="00D83D80" w:rsidRPr="00EC2EF4">
        <w:rPr>
          <w:lang w:val="en-GB"/>
        </w:rPr>
        <w:t xml:space="preserve">in the </w:t>
      </w:r>
      <w:r w:rsidR="00220EE0" w:rsidRPr="00EC2EF4">
        <w:rPr>
          <w:lang w:val="en-GB"/>
        </w:rPr>
        <w:t>Centre</w:t>
      </w:r>
      <w:r w:rsidR="00D83D80" w:rsidRPr="00EC2EF4">
        <w:rPr>
          <w:lang w:val="en-GB"/>
        </w:rPr>
        <w:t xml:space="preserve"> and in the </w:t>
      </w:r>
      <w:r w:rsidR="00524B49" w:rsidRPr="00EC2EF4">
        <w:rPr>
          <w:lang w:val="en-GB"/>
        </w:rPr>
        <w:t>South</w:t>
      </w:r>
      <w:r w:rsidR="00D83D80" w:rsidRPr="00EC2EF4">
        <w:rPr>
          <w:lang w:val="en-GB"/>
        </w:rPr>
        <w:t>.</w:t>
      </w:r>
      <w:r w:rsidR="0066753C" w:rsidRPr="00EC2EF4">
        <w:rPr>
          <w:lang w:val="en-GB"/>
        </w:rPr>
        <w:t xml:space="preserve"> </w:t>
      </w:r>
    </w:p>
    <w:p w14:paraId="22B99F17" w14:textId="77777777" w:rsidR="00E25CCB" w:rsidRPr="00EC2EF4" w:rsidRDefault="00E25CCB" w:rsidP="002900A3">
      <w:pPr>
        <w:spacing w:line="480" w:lineRule="auto"/>
        <w:rPr>
          <w:lang w:val="en-GB"/>
        </w:rPr>
      </w:pPr>
      <w:r w:rsidRPr="00EC2EF4">
        <w:rPr>
          <w:lang w:val="en-GB"/>
        </w:rPr>
        <w:br w:type="page"/>
      </w:r>
    </w:p>
    <w:p w14:paraId="4618FF16" w14:textId="77777777" w:rsidR="005157C3" w:rsidRPr="00EC2EF4" w:rsidRDefault="00D8544D" w:rsidP="002900A3">
      <w:pPr>
        <w:spacing w:line="480" w:lineRule="auto"/>
        <w:rPr>
          <w:b/>
          <w:lang w:val="en-GB"/>
        </w:rPr>
      </w:pPr>
      <w:r w:rsidRPr="00EC2EF4">
        <w:rPr>
          <w:b/>
          <w:lang w:val="en-GB"/>
        </w:rPr>
        <w:lastRenderedPageBreak/>
        <w:t>Discussion</w:t>
      </w:r>
    </w:p>
    <w:p w14:paraId="47FEBEA4" w14:textId="716B9E43" w:rsidR="006C2C18" w:rsidRPr="00EC2EF4" w:rsidRDefault="006C2C18" w:rsidP="002900A3">
      <w:pPr>
        <w:spacing w:line="480" w:lineRule="auto"/>
        <w:jc w:val="both"/>
        <w:rPr>
          <w:lang w:val="en-GB"/>
        </w:rPr>
      </w:pPr>
      <w:r w:rsidRPr="00EC2EF4">
        <w:rPr>
          <w:lang w:val="en-GB"/>
        </w:rPr>
        <w:t xml:space="preserve">Antibiotic consumption data in the </w:t>
      </w:r>
      <w:r w:rsidR="00323A76" w:rsidRPr="00EC2EF4">
        <w:rPr>
          <w:lang w:val="en-GB"/>
        </w:rPr>
        <w:t xml:space="preserve">Italian </w:t>
      </w:r>
      <w:r w:rsidRPr="00EC2EF4">
        <w:rPr>
          <w:lang w:val="en-GB"/>
        </w:rPr>
        <w:t>community</w:t>
      </w:r>
      <w:r w:rsidR="00323A76" w:rsidRPr="00EC2EF4">
        <w:rPr>
          <w:lang w:val="en-GB"/>
        </w:rPr>
        <w:t xml:space="preserve"> setting</w:t>
      </w:r>
      <w:r w:rsidRPr="00EC2EF4">
        <w:rPr>
          <w:lang w:val="en-GB"/>
        </w:rPr>
        <w:t xml:space="preserve"> show</w:t>
      </w:r>
      <w:r w:rsidR="00323A76" w:rsidRPr="00EC2EF4">
        <w:rPr>
          <w:lang w:val="en-GB"/>
        </w:rPr>
        <w:t>ed</w:t>
      </w:r>
      <w:r w:rsidRPr="00EC2EF4">
        <w:rPr>
          <w:lang w:val="en-GB"/>
        </w:rPr>
        <w:t xml:space="preserve"> significant differences by geographical </w:t>
      </w:r>
      <w:r w:rsidR="00D370A5" w:rsidRPr="00EC2EF4">
        <w:rPr>
          <w:lang w:val="en-GB"/>
        </w:rPr>
        <w:t xml:space="preserve">and regional </w:t>
      </w:r>
      <w:r w:rsidRPr="00EC2EF4">
        <w:rPr>
          <w:lang w:val="en-GB"/>
        </w:rPr>
        <w:t xml:space="preserve">area. A progressive increase in the consumption of antibiotics from the </w:t>
      </w:r>
      <w:r w:rsidR="00524B49" w:rsidRPr="00EC2EF4">
        <w:rPr>
          <w:lang w:val="en-GB"/>
        </w:rPr>
        <w:t>North</w:t>
      </w:r>
      <w:r w:rsidRPr="00EC2EF4">
        <w:rPr>
          <w:lang w:val="en-GB"/>
        </w:rPr>
        <w:t xml:space="preserve"> to the </w:t>
      </w:r>
      <w:r w:rsidR="00524B49" w:rsidRPr="00EC2EF4">
        <w:rPr>
          <w:lang w:val="en-GB"/>
        </w:rPr>
        <w:t>South</w:t>
      </w:r>
      <w:r w:rsidRPr="00EC2EF4">
        <w:rPr>
          <w:lang w:val="en-GB"/>
        </w:rPr>
        <w:t xml:space="preserve"> of the country </w:t>
      </w:r>
      <w:r w:rsidR="002F36CC" w:rsidRPr="00EC2EF4">
        <w:rPr>
          <w:lang w:val="en-GB"/>
        </w:rPr>
        <w:t>was</w:t>
      </w:r>
      <w:r w:rsidRPr="00EC2EF4">
        <w:rPr>
          <w:lang w:val="en-GB"/>
        </w:rPr>
        <w:t xml:space="preserve"> observed.</w:t>
      </w:r>
      <w:r w:rsidR="00F940F0" w:rsidRPr="00EC2EF4">
        <w:rPr>
          <w:lang w:val="en-GB"/>
        </w:rPr>
        <w:t xml:space="preserve"> </w:t>
      </w:r>
      <w:r w:rsidR="00CD49B0" w:rsidRPr="00EC2EF4">
        <w:rPr>
          <w:lang w:val="en-GB"/>
        </w:rPr>
        <w:t xml:space="preserve">The potential contributing factors to variability in antibiotics’ consumption </w:t>
      </w:r>
      <w:r w:rsidR="00B83D97" w:rsidRPr="00EC2EF4">
        <w:rPr>
          <w:lang w:val="en-GB"/>
        </w:rPr>
        <w:t xml:space="preserve">were investigated and </w:t>
      </w:r>
      <w:r w:rsidR="00CD49B0" w:rsidRPr="00EC2EF4">
        <w:rPr>
          <w:lang w:val="en-GB"/>
        </w:rPr>
        <w:t xml:space="preserve">include the physician–patient </w:t>
      </w:r>
      <w:r w:rsidR="000A4A93">
        <w:rPr>
          <w:lang w:val="en-GB"/>
        </w:rPr>
        <w:t xml:space="preserve">(parents) </w:t>
      </w:r>
      <w:r w:rsidR="00CD49B0" w:rsidRPr="00EC2EF4">
        <w:rPr>
          <w:lang w:val="en-GB"/>
        </w:rPr>
        <w:t xml:space="preserve">relationship, </w:t>
      </w:r>
      <w:r w:rsidR="00AF3AD3" w:rsidRPr="00EC2EF4">
        <w:rPr>
          <w:lang w:val="en-GB"/>
        </w:rPr>
        <w:t>socio-economic status</w:t>
      </w:r>
      <w:r w:rsidR="00CD49B0" w:rsidRPr="00EC2EF4">
        <w:rPr>
          <w:lang w:val="en-GB"/>
        </w:rPr>
        <w:t xml:space="preserve">, clinical microbiology and the difficulties </w:t>
      </w:r>
      <w:r w:rsidR="00AF3AD3" w:rsidRPr="00EC2EF4">
        <w:rPr>
          <w:lang w:val="en-GB"/>
        </w:rPr>
        <w:t xml:space="preserve">faced by </w:t>
      </w:r>
      <w:r w:rsidR="00CD49B0" w:rsidRPr="00EC2EF4">
        <w:rPr>
          <w:lang w:val="en-GB"/>
        </w:rPr>
        <w:t>physicians in differentiating viral from bacterial infections [</w:t>
      </w:r>
      <w:r w:rsidR="00AF3AD3" w:rsidRPr="00EC2EF4">
        <w:rPr>
          <w:lang w:val="en-GB"/>
        </w:rPr>
        <w:t>23</w:t>
      </w:r>
      <w:r w:rsidR="00CD49B0" w:rsidRPr="00EC2EF4">
        <w:rPr>
          <w:lang w:val="en-GB"/>
        </w:rPr>
        <w:t>] as well physician characteristics</w:t>
      </w:r>
      <w:r w:rsidR="00AF3AD3" w:rsidRPr="00EC2EF4">
        <w:rPr>
          <w:lang w:val="en-GB"/>
        </w:rPr>
        <w:t xml:space="preserve"> [24]. </w:t>
      </w:r>
      <w:r w:rsidR="00F940F0" w:rsidRPr="00EC2EF4">
        <w:rPr>
          <w:lang w:val="en-GB"/>
        </w:rPr>
        <w:t>Relevant</w:t>
      </w:r>
      <w:r w:rsidRPr="00EC2EF4">
        <w:rPr>
          <w:lang w:val="en-GB"/>
        </w:rPr>
        <w:t xml:space="preserve"> differences </w:t>
      </w:r>
      <w:r w:rsidR="00323A76" w:rsidRPr="00EC2EF4">
        <w:rPr>
          <w:lang w:val="en-GB"/>
        </w:rPr>
        <w:t>we</w:t>
      </w:r>
      <w:r w:rsidRPr="00EC2EF4">
        <w:rPr>
          <w:lang w:val="en-GB"/>
        </w:rPr>
        <w:t>re also found in the type of prescribed antibiotics</w:t>
      </w:r>
      <w:r w:rsidR="009A4EA5" w:rsidRPr="00EC2EF4">
        <w:rPr>
          <w:lang w:val="en-GB"/>
        </w:rPr>
        <w:t>: the</w:t>
      </w:r>
      <w:r w:rsidRPr="00EC2EF4">
        <w:rPr>
          <w:lang w:val="en-GB"/>
        </w:rPr>
        <w:t xml:space="preserve"> </w:t>
      </w:r>
      <w:r w:rsidR="004002D6" w:rsidRPr="00EC2EF4">
        <w:rPr>
          <w:lang w:val="en-GB"/>
        </w:rPr>
        <w:t>broad-spectrum</w:t>
      </w:r>
      <w:r w:rsidR="009A4EA5" w:rsidRPr="00EC2EF4">
        <w:rPr>
          <w:lang w:val="en-GB"/>
        </w:rPr>
        <w:t xml:space="preserve"> antibiotics </w:t>
      </w:r>
      <w:r w:rsidR="00323A76" w:rsidRPr="00EC2EF4">
        <w:rPr>
          <w:lang w:val="en-GB"/>
        </w:rPr>
        <w:t>we</w:t>
      </w:r>
      <w:r w:rsidRPr="00EC2EF4">
        <w:rPr>
          <w:lang w:val="en-GB"/>
        </w:rPr>
        <w:t xml:space="preserve">re more frequently </w:t>
      </w:r>
      <w:r w:rsidR="009A4EA5" w:rsidRPr="00EC2EF4">
        <w:rPr>
          <w:lang w:val="en-GB"/>
        </w:rPr>
        <w:t>prescribed</w:t>
      </w:r>
      <w:r w:rsidR="004002D6" w:rsidRPr="00EC2EF4">
        <w:rPr>
          <w:lang w:val="en-GB"/>
        </w:rPr>
        <w:t xml:space="preserve"> </w:t>
      </w:r>
      <w:r w:rsidRPr="00EC2EF4">
        <w:rPr>
          <w:lang w:val="en-GB"/>
        </w:rPr>
        <w:t xml:space="preserve">in the </w:t>
      </w:r>
      <w:r w:rsidR="00524B49" w:rsidRPr="00EC2EF4">
        <w:rPr>
          <w:lang w:val="en-GB"/>
        </w:rPr>
        <w:t>South</w:t>
      </w:r>
      <w:r w:rsidRPr="00EC2EF4">
        <w:rPr>
          <w:lang w:val="en-GB"/>
        </w:rPr>
        <w:t xml:space="preserve"> than in the </w:t>
      </w:r>
      <w:r w:rsidR="00524B49" w:rsidRPr="00EC2EF4">
        <w:rPr>
          <w:lang w:val="en-GB"/>
        </w:rPr>
        <w:t>North</w:t>
      </w:r>
      <w:r w:rsidRPr="00EC2EF4">
        <w:rPr>
          <w:lang w:val="en-GB"/>
        </w:rPr>
        <w:t xml:space="preserve">. Considering the general population, cephalosporins, </w:t>
      </w:r>
      <w:proofErr w:type="spellStart"/>
      <w:r w:rsidRPr="00EC2EF4">
        <w:rPr>
          <w:lang w:val="en-GB"/>
        </w:rPr>
        <w:t>penicillins</w:t>
      </w:r>
      <w:proofErr w:type="spellEnd"/>
      <w:r w:rsidRPr="00EC2EF4">
        <w:rPr>
          <w:lang w:val="en-GB"/>
        </w:rPr>
        <w:t xml:space="preserve"> associated with beta-lactamase inhibitors, fluoroquinolones and macrolides </w:t>
      </w:r>
      <w:r w:rsidR="009A4EA5" w:rsidRPr="00EC2EF4">
        <w:rPr>
          <w:lang w:val="en-GB"/>
        </w:rPr>
        <w:t xml:space="preserve">were more frequently prescribed </w:t>
      </w:r>
      <w:r w:rsidRPr="00EC2EF4">
        <w:rPr>
          <w:lang w:val="en-GB"/>
        </w:rPr>
        <w:t xml:space="preserve">in the </w:t>
      </w:r>
      <w:r w:rsidR="00524B49" w:rsidRPr="00EC2EF4">
        <w:rPr>
          <w:lang w:val="en-GB"/>
        </w:rPr>
        <w:t>South</w:t>
      </w:r>
      <w:r w:rsidRPr="00EC2EF4">
        <w:rPr>
          <w:lang w:val="en-GB"/>
        </w:rPr>
        <w:t xml:space="preserve"> </w:t>
      </w:r>
      <w:r w:rsidR="009A4EA5" w:rsidRPr="00EC2EF4">
        <w:rPr>
          <w:lang w:val="en-GB"/>
        </w:rPr>
        <w:t>than</w:t>
      </w:r>
      <w:r w:rsidR="005C0AF8" w:rsidRPr="00EC2EF4">
        <w:rPr>
          <w:lang w:val="en-GB"/>
        </w:rPr>
        <w:t xml:space="preserve"> </w:t>
      </w:r>
      <w:r w:rsidR="009A4EA5" w:rsidRPr="00EC2EF4">
        <w:rPr>
          <w:lang w:val="en-GB"/>
        </w:rPr>
        <w:t xml:space="preserve">in </w:t>
      </w:r>
      <w:r w:rsidR="005C0AF8" w:rsidRPr="00EC2EF4">
        <w:rPr>
          <w:lang w:val="en-GB"/>
        </w:rPr>
        <w:t xml:space="preserve">the </w:t>
      </w:r>
      <w:r w:rsidR="00524B49" w:rsidRPr="00EC2EF4">
        <w:rPr>
          <w:lang w:val="en-GB"/>
        </w:rPr>
        <w:t>Centre</w:t>
      </w:r>
      <w:r w:rsidR="005C0AF8" w:rsidRPr="00EC2EF4">
        <w:rPr>
          <w:lang w:val="en-GB"/>
        </w:rPr>
        <w:t xml:space="preserve"> and </w:t>
      </w:r>
      <w:r w:rsidR="009A4EA5" w:rsidRPr="00EC2EF4">
        <w:rPr>
          <w:lang w:val="en-GB"/>
        </w:rPr>
        <w:t xml:space="preserve">in </w:t>
      </w:r>
      <w:r w:rsidR="005C0AF8" w:rsidRPr="00EC2EF4">
        <w:rPr>
          <w:lang w:val="en-GB"/>
        </w:rPr>
        <w:t xml:space="preserve">the </w:t>
      </w:r>
      <w:r w:rsidR="00524B49" w:rsidRPr="00EC2EF4">
        <w:rPr>
          <w:lang w:val="en-GB"/>
        </w:rPr>
        <w:t>North</w:t>
      </w:r>
      <w:r w:rsidR="005C0AF8" w:rsidRPr="00EC2EF4">
        <w:rPr>
          <w:lang w:val="en-GB"/>
        </w:rPr>
        <w:t>,</w:t>
      </w:r>
      <w:r w:rsidRPr="00EC2EF4">
        <w:rPr>
          <w:lang w:val="en-GB"/>
        </w:rPr>
        <w:t xml:space="preserve"> both in absolute and relative terms. A similar </w:t>
      </w:r>
      <w:r w:rsidR="00524B49" w:rsidRPr="00EC2EF4">
        <w:rPr>
          <w:lang w:val="en-GB"/>
        </w:rPr>
        <w:t>South</w:t>
      </w:r>
      <w:r w:rsidR="005C0AF8" w:rsidRPr="00EC2EF4">
        <w:rPr>
          <w:lang w:val="en-GB"/>
        </w:rPr>
        <w:t>-</w:t>
      </w:r>
      <w:r w:rsidR="00524B49" w:rsidRPr="00EC2EF4">
        <w:rPr>
          <w:lang w:val="en-GB"/>
        </w:rPr>
        <w:t>North</w:t>
      </w:r>
      <w:r w:rsidRPr="00EC2EF4">
        <w:rPr>
          <w:lang w:val="en-GB"/>
        </w:rPr>
        <w:t xml:space="preserve"> spatial trend </w:t>
      </w:r>
      <w:r w:rsidR="009A4EA5" w:rsidRPr="00EC2EF4">
        <w:rPr>
          <w:lang w:val="en-GB"/>
        </w:rPr>
        <w:t>wa</w:t>
      </w:r>
      <w:r w:rsidRPr="00EC2EF4">
        <w:rPr>
          <w:lang w:val="en-GB"/>
        </w:rPr>
        <w:t xml:space="preserve">s also observed </w:t>
      </w:r>
      <w:r w:rsidR="009A4EA5" w:rsidRPr="00EC2EF4">
        <w:rPr>
          <w:lang w:val="en-GB"/>
        </w:rPr>
        <w:t xml:space="preserve">in </w:t>
      </w:r>
      <w:r w:rsidRPr="00EC2EF4">
        <w:rPr>
          <w:lang w:val="en-GB"/>
        </w:rPr>
        <w:t xml:space="preserve">the </w:t>
      </w:r>
      <w:r w:rsidR="005C0AF8" w:rsidRPr="00EC2EF4">
        <w:rPr>
          <w:lang w:val="en-GB"/>
        </w:rPr>
        <w:t>paediatric</w:t>
      </w:r>
      <w:r w:rsidRPr="00EC2EF4">
        <w:rPr>
          <w:lang w:val="en-GB"/>
        </w:rPr>
        <w:t xml:space="preserve"> population both in quantitative terms (prescription rate) and in qualitative terms (type of prescribed antibiotics).</w:t>
      </w:r>
      <w:r w:rsidR="00386458" w:rsidRPr="00EC2EF4">
        <w:rPr>
          <w:lang w:val="en-GB"/>
        </w:rPr>
        <w:t xml:space="preserve"> </w:t>
      </w:r>
    </w:p>
    <w:p w14:paraId="12E476A4" w14:textId="77777777" w:rsidR="005A0BC2" w:rsidRPr="00EC2EF4" w:rsidRDefault="00BE228B" w:rsidP="002900A3">
      <w:pPr>
        <w:spacing w:line="480" w:lineRule="auto"/>
        <w:jc w:val="both"/>
        <w:rPr>
          <w:lang w:val="en-GB"/>
        </w:rPr>
      </w:pPr>
      <w:r w:rsidRPr="00EC2EF4">
        <w:rPr>
          <w:lang w:val="en-GB"/>
        </w:rPr>
        <w:t xml:space="preserve">In particular, the </w:t>
      </w:r>
      <w:r w:rsidR="00210691" w:rsidRPr="00EC2EF4">
        <w:rPr>
          <w:lang w:val="en-GB"/>
        </w:rPr>
        <w:t>data from Medicines Utilisation Monitoring Centre highlighted the following main results</w:t>
      </w:r>
      <w:r w:rsidR="00FB342D" w:rsidRPr="00EC2EF4">
        <w:rPr>
          <w:lang w:val="en-GB"/>
        </w:rPr>
        <w:t>:</w:t>
      </w:r>
      <w:r w:rsidR="00EF258E" w:rsidRPr="00EC2EF4">
        <w:rPr>
          <w:lang w:val="en-GB"/>
        </w:rPr>
        <w:t xml:space="preserve"> a </w:t>
      </w:r>
      <w:r w:rsidR="00E67A82" w:rsidRPr="00EC2EF4">
        <w:rPr>
          <w:lang w:val="en-GB"/>
        </w:rPr>
        <w:t xml:space="preserve">marked seasonality in the antibiotic consumption with a higher than expected increase during the winter season; comparing the different calendar years, the </w:t>
      </w:r>
      <w:r w:rsidR="00210691" w:rsidRPr="00EC2EF4">
        <w:rPr>
          <w:lang w:val="en-GB"/>
        </w:rPr>
        <w:t xml:space="preserve">occurrence of </w:t>
      </w:r>
      <w:r w:rsidR="00EF258E" w:rsidRPr="00EC2EF4">
        <w:rPr>
          <w:lang w:val="en-GB"/>
        </w:rPr>
        <w:t xml:space="preserve">evident </w:t>
      </w:r>
      <w:r w:rsidR="00E67A82" w:rsidRPr="00EC2EF4">
        <w:rPr>
          <w:lang w:val="en-GB"/>
        </w:rPr>
        <w:t>increases in consumption during the winter months when there were higher rates of flu syndromes;</w:t>
      </w:r>
      <w:r w:rsidR="00EF258E" w:rsidRPr="00EC2EF4">
        <w:rPr>
          <w:lang w:val="en-GB"/>
        </w:rPr>
        <w:t xml:space="preserve"> </w:t>
      </w:r>
      <w:r w:rsidR="00210691" w:rsidRPr="00EC2EF4">
        <w:rPr>
          <w:lang w:val="en-GB"/>
        </w:rPr>
        <w:t>a</w:t>
      </w:r>
      <w:r w:rsidR="00EF258E" w:rsidRPr="00EC2EF4">
        <w:rPr>
          <w:lang w:val="en-GB"/>
        </w:rPr>
        <w:t xml:space="preserve">ccording to the </w:t>
      </w:r>
      <w:r w:rsidR="00E67A82" w:rsidRPr="00EC2EF4">
        <w:rPr>
          <w:lang w:val="en-GB"/>
        </w:rPr>
        <w:t>data from the GPs’ sentinel network one-third of patients evaluated with symptoms related to the flu syndrome or to viral infections of the upper airways received an antibiotic prescription</w:t>
      </w:r>
      <w:r w:rsidR="00EF258E" w:rsidRPr="00EC2EF4">
        <w:rPr>
          <w:lang w:val="en-GB"/>
        </w:rPr>
        <w:t xml:space="preserve"> and a third of women who </w:t>
      </w:r>
      <w:r w:rsidR="00210691" w:rsidRPr="00EC2EF4">
        <w:rPr>
          <w:lang w:val="en-GB"/>
        </w:rPr>
        <w:t>were</w:t>
      </w:r>
      <w:r w:rsidR="00EF258E" w:rsidRPr="00EC2EF4">
        <w:rPr>
          <w:lang w:val="en-GB"/>
        </w:rPr>
        <w:t xml:space="preserve"> diagnosed with uncomplicated cystitis received </w:t>
      </w:r>
      <w:r w:rsidR="00E67A82" w:rsidRPr="00EC2EF4">
        <w:rPr>
          <w:lang w:val="en-GB"/>
        </w:rPr>
        <w:t xml:space="preserve">a </w:t>
      </w:r>
      <w:r w:rsidR="00EF258E" w:rsidRPr="00EC2EF4">
        <w:rPr>
          <w:lang w:val="en-GB"/>
        </w:rPr>
        <w:t xml:space="preserve">prescription of a </w:t>
      </w:r>
      <w:r w:rsidR="00E67A82" w:rsidRPr="00EC2EF4">
        <w:rPr>
          <w:lang w:val="en-GB"/>
        </w:rPr>
        <w:t xml:space="preserve">fluoroquinolone. </w:t>
      </w:r>
    </w:p>
    <w:p w14:paraId="61A83BFB" w14:textId="538A25C6" w:rsidR="00EF258E" w:rsidRPr="00EC2EF4" w:rsidRDefault="00EF258E" w:rsidP="002900A3">
      <w:pPr>
        <w:pStyle w:val="Paragrafoelenco"/>
        <w:spacing w:line="480" w:lineRule="auto"/>
        <w:ind w:left="0"/>
        <w:jc w:val="both"/>
        <w:rPr>
          <w:lang w:val="en-GB"/>
        </w:rPr>
      </w:pPr>
      <w:r w:rsidRPr="00EC2EF4">
        <w:rPr>
          <w:lang w:val="en-GB"/>
        </w:rPr>
        <w:t xml:space="preserve">These results complement those from </w:t>
      </w:r>
      <w:r w:rsidR="00E308D9" w:rsidRPr="00EC2EF4">
        <w:rPr>
          <w:lang w:val="en-GB"/>
        </w:rPr>
        <w:t xml:space="preserve">The </w:t>
      </w:r>
      <w:r w:rsidRPr="00EC2EF4">
        <w:rPr>
          <w:lang w:val="en-GB"/>
        </w:rPr>
        <w:t xml:space="preserve">European </w:t>
      </w:r>
      <w:r w:rsidR="00E308D9" w:rsidRPr="00EC2EF4">
        <w:rPr>
          <w:lang w:val="en-GB"/>
        </w:rPr>
        <w:t>S</w:t>
      </w:r>
      <w:r w:rsidRPr="00EC2EF4">
        <w:rPr>
          <w:lang w:val="en-GB"/>
        </w:rPr>
        <w:t xml:space="preserve">urveillance </w:t>
      </w:r>
      <w:r w:rsidR="00E308D9" w:rsidRPr="00EC2EF4">
        <w:rPr>
          <w:lang w:val="en-GB"/>
        </w:rPr>
        <w:t>System (</w:t>
      </w:r>
      <w:proofErr w:type="spellStart"/>
      <w:r w:rsidR="00E308D9" w:rsidRPr="00EC2EF4">
        <w:rPr>
          <w:lang w:val="en-GB"/>
        </w:rPr>
        <w:t>TESSy</w:t>
      </w:r>
      <w:proofErr w:type="spellEnd"/>
      <w:r w:rsidR="00E308D9" w:rsidRPr="00EC2EF4">
        <w:rPr>
          <w:lang w:val="en-GB"/>
        </w:rPr>
        <w:t xml:space="preserve">) </w:t>
      </w:r>
      <w:r w:rsidRPr="00EC2EF4">
        <w:rPr>
          <w:lang w:val="en-GB"/>
        </w:rPr>
        <w:t>which show that Italy has high antibiotic consumption (with preference for broad spectrum ones) and high prevalence of bacterial resistance compared to other countries [</w:t>
      </w:r>
      <w:r w:rsidR="005F5619" w:rsidRPr="00EC2EF4">
        <w:rPr>
          <w:lang w:val="en-GB"/>
        </w:rPr>
        <w:t>11</w:t>
      </w:r>
      <w:r w:rsidR="00F62C7A" w:rsidRPr="00EC2EF4">
        <w:rPr>
          <w:lang w:val="en-GB"/>
        </w:rPr>
        <w:t>-</w:t>
      </w:r>
      <w:r w:rsidR="005F5619" w:rsidRPr="00EC2EF4">
        <w:rPr>
          <w:lang w:val="en-GB"/>
        </w:rPr>
        <w:t>2</w:t>
      </w:r>
      <w:r w:rsidR="0007384B" w:rsidRPr="00EC2EF4">
        <w:rPr>
          <w:lang w:val="en-GB"/>
        </w:rPr>
        <w:t>5</w:t>
      </w:r>
      <w:r w:rsidRPr="00EC2EF4">
        <w:rPr>
          <w:lang w:val="en-GB"/>
        </w:rPr>
        <w:t>].</w:t>
      </w:r>
    </w:p>
    <w:p w14:paraId="42A74B3C" w14:textId="479100D4" w:rsidR="00BA5D10" w:rsidRPr="00EC2EF4" w:rsidRDefault="00C478B2" w:rsidP="002900A3">
      <w:pPr>
        <w:pStyle w:val="Paragrafoelenco"/>
        <w:spacing w:line="480" w:lineRule="auto"/>
        <w:ind w:left="0"/>
        <w:jc w:val="both"/>
        <w:rPr>
          <w:color w:val="000000"/>
          <w:shd w:val="clear" w:color="auto" w:fill="FFFFFF"/>
          <w:lang w:val="en-GB"/>
        </w:rPr>
      </w:pPr>
      <w:r w:rsidRPr="00EC2EF4">
        <w:rPr>
          <w:lang w:val="en-GB"/>
        </w:rPr>
        <w:t>The results</w:t>
      </w:r>
      <w:r w:rsidR="00341CE1" w:rsidRPr="00EC2EF4">
        <w:rPr>
          <w:lang w:val="en-GB"/>
        </w:rPr>
        <w:t xml:space="preserve"> of our analyses</w:t>
      </w:r>
      <w:r w:rsidRPr="00EC2EF4">
        <w:rPr>
          <w:lang w:val="en-GB"/>
        </w:rPr>
        <w:t xml:space="preserve"> indicate the need to</w:t>
      </w:r>
      <w:r w:rsidR="00836355" w:rsidRPr="00EC2EF4">
        <w:rPr>
          <w:lang w:val="en-GB"/>
        </w:rPr>
        <w:t xml:space="preserve"> quantitatively reduce unnecessary </w:t>
      </w:r>
      <w:r w:rsidR="00341CE1" w:rsidRPr="00EC2EF4">
        <w:rPr>
          <w:lang w:val="en-GB"/>
        </w:rPr>
        <w:t xml:space="preserve">antibiotic </w:t>
      </w:r>
      <w:r w:rsidR="00836355" w:rsidRPr="00EC2EF4">
        <w:rPr>
          <w:lang w:val="en-GB"/>
        </w:rPr>
        <w:t>prescriptions and the use of broad-spectrum antibiotics in Italy,</w:t>
      </w:r>
      <w:r w:rsidRPr="00EC2EF4">
        <w:rPr>
          <w:lang w:val="en-GB"/>
        </w:rPr>
        <w:t xml:space="preserve"> </w:t>
      </w:r>
      <w:r w:rsidR="00836355" w:rsidRPr="00EC2EF4">
        <w:rPr>
          <w:lang w:val="en-GB"/>
        </w:rPr>
        <w:t xml:space="preserve">in order to </w:t>
      </w:r>
      <w:r w:rsidRPr="00EC2EF4">
        <w:rPr>
          <w:lang w:val="en-GB"/>
        </w:rPr>
        <w:t xml:space="preserve">improve </w:t>
      </w:r>
      <w:r w:rsidR="00EB3C91" w:rsidRPr="00EC2EF4">
        <w:rPr>
          <w:lang w:val="en-GB"/>
        </w:rPr>
        <w:t xml:space="preserve">the </w:t>
      </w:r>
      <w:r w:rsidRPr="00EC2EF4">
        <w:rPr>
          <w:lang w:val="en-GB"/>
        </w:rPr>
        <w:lastRenderedPageBreak/>
        <w:t>appropriateness</w:t>
      </w:r>
      <w:r w:rsidR="00EB3C91" w:rsidRPr="00EC2EF4">
        <w:rPr>
          <w:lang w:val="en-GB"/>
        </w:rPr>
        <w:t xml:space="preserve"> of antibiotic prescriptions</w:t>
      </w:r>
      <w:r w:rsidR="002D474E" w:rsidRPr="00EC2EF4">
        <w:rPr>
          <w:lang w:val="en-GB"/>
        </w:rPr>
        <w:t xml:space="preserve">, with </w:t>
      </w:r>
      <w:r w:rsidR="00EB3C91" w:rsidRPr="00EC2EF4">
        <w:rPr>
          <w:lang w:val="en-GB"/>
        </w:rPr>
        <w:t xml:space="preserve">a </w:t>
      </w:r>
      <w:r w:rsidR="002D474E" w:rsidRPr="00EC2EF4">
        <w:rPr>
          <w:lang w:val="en-GB"/>
        </w:rPr>
        <w:t>particular attention to specific population subgroups (i.e</w:t>
      </w:r>
      <w:r w:rsidR="00F17518" w:rsidRPr="00EC2EF4">
        <w:rPr>
          <w:lang w:val="en-GB"/>
        </w:rPr>
        <w:t>.</w:t>
      </w:r>
      <w:r w:rsidR="002D474E" w:rsidRPr="00EC2EF4">
        <w:rPr>
          <w:lang w:val="en-GB"/>
        </w:rPr>
        <w:t xml:space="preserve"> </w:t>
      </w:r>
      <w:r w:rsidR="00F9044D" w:rsidRPr="00EC2EF4">
        <w:rPr>
          <w:lang w:val="en-GB"/>
        </w:rPr>
        <w:t>paediatric population</w:t>
      </w:r>
      <w:r w:rsidR="000E0F2E" w:rsidRPr="00EC2EF4">
        <w:rPr>
          <w:lang w:val="en-GB"/>
        </w:rPr>
        <w:t>, women and elderly</w:t>
      </w:r>
      <w:r w:rsidR="002D474E" w:rsidRPr="00EC2EF4">
        <w:rPr>
          <w:lang w:val="en-GB"/>
        </w:rPr>
        <w:t xml:space="preserve">). </w:t>
      </w:r>
      <w:r w:rsidR="00841D70" w:rsidRPr="00EC2EF4">
        <w:rPr>
          <w:lang w:val="en-GB"/>
        </w:rPr>
        <w:t>These interventions, according to the available evidence, should be based on a multilevel and multifaceted approach that includes elements such as clinical-based education, patient leaflets and posters, pharmacist advice, feedback to prescribers and clinician training in communication skills</w:t>
      </w:r>
      <w:r w:rsidR="003A33CD" w:rsidRPr="00EC2EF4">
        <w:rPr>
          <w:lang w:val="en-GB"/>
        </w:rPr>
        <w:t xml:space="preserve"> </w:t>
      </w:r>
      <w:r w:rsidR="001222BC" w:rsidRPr="00EC2EF4">
        <w:rPr>
          <w:lang w:val="en-GB"/>
        </w:rPr>
        <w:t>[</w:t>
      </w:r>
      <w:r w:rsidR="005F5619" w:rsidRPr="00EC2EF4">
        <w:rPr>
          <w:lang w:val="en-GB"/>
        </w:rPr>
        <w:t>2</w:t>
      </w:r>
      <w:r w:rsidR="0007384B" w:rsidRPr="00EC2EF4">
        <w:rPr>
          <w:lang w:val="en-GB"/>
        </w:rPr>
        <w:t>6</w:t>
      </w:r>
      <w:r w:rsidR="005F5619" w:rsidRPr="00EC2EF4">
        <w:rPr>
          <w:lang w:val="en-GB"/>
        </w:rPr>
        <w:t>-2</w:t>
      </w:r>
      <w:r w:rsidR="0007384B" w:rsidRPr="00EC2EF4">
        <w:rPr>
          <w:lang w:val="en-GB"/>
        </w:rPr>
        <w:t>7</w:t>
      </w:r>
      <w:r w:rsidR="005F5619" w:rsidRPr="00EC2EF4">
        <w:rPr>
          <w:lang w:val="en-GB"/>
        </w:rPr>
        <w:t>-7</w:t>
      </w:r>
      <w:r w:rsidR="001222BC" w:rsidRPr="00EC2EF4">
        <w:rPr>
          <w:color w:val="000000"/>
          <w:shd w:val="clear" w:color="auto" w:fill="FFFFFF"/>
          <w:lang w:val="en-GB"/>
        </w:rPr>
        <w:t>].</w:t>
      </w:r>
      <w:r w:rsidR="005E56BB" w:rsidRPr="00EC2EF4">
        <w:rPr>
          <w:color w:val="000000"/>
          <w:shd w:val="clear" w:color="auto" w:fill="FFFFFF"/>
          <w:lang w:val="en-GB"/>
        </w:rPr>
        <w:t xml:space="preserve"> A recent systematic review found that that strategies to reduce inappropriate demand and access to antibiotics appear to have a quantifiable impact primarily on antibiotic consumption, although the long-term </w:t>
      </w:r>
      <w:r w:rsidR="004A61A9" w:rsidRPr="00EC2EF4">
        <w:rPr>
          <w:color w:val="000000"/>
          <w:shd w:val="clear" w:color="auto" w:fill="FFFFFF"/>
          <w:lang w:val="en-GB"/>
        </w:rPr>
        <w:t xml:space="preserve">sustained </w:t>
      </w:r>
      <w:r w:rsidR="005E56BB" w:rsidRPr="00EC2EF4">
        <w:rPr>
          <w:color w:val="000000"/>
          <w:shd w:val="clear" w:color="auto" w:fill="FFFFFF"/>
          <w:lang w:val="en-GB"/>
        </w:rPr>
        <w:t>impact of these policies should be evaluated</w:t>
      </w:r>
      <w:r w:rsidR="004A61A9" w:rsidRPr="00EC2EF4">
        <w:rPr>
          <w:color w:val="000000"/>
          <w:shd w:val="clear" w:color="auto" w:fill="FFFFFF"/>
          <w:lang w:val="en-GB"/>
        </w:rPr>
        <w:t xml:space="preserve"> [</w:t>
      </w:r>
      <w:r w:rsidR="005F5619" w:rsidRPr="00EC2EF4">
        <w:rPr>
          <w:color w:val="000000"/>
          <w:shd w:val="clear" w:color="auto" w:fill="FFFFFF"/>
          <w:lang w:val="en-GB"/>
        </w:rPr>
        <w:t>2</w:t>
      </w:r>
      <w:r w:rsidR="0007384B" w:rsidRPr="00EC2EF4">
        <w:rPr>
          <w:color w:val="000000"/>
          <w:shd w:val="clear" w:color="auto" w:fill="FFFFFF"/>
          <w:lang w:val="en-GB"/>
        </w:rPr>
        <w:t>8</w:t>
      </w:r>
      <w:r w:rsidR="004A61A9" w:rsidRPr="00EC2EF4">
        <w:rPr>
          <w:color w:val="000000"/>
          <w:shd w:val="clear" w:color="auto" w:fill="FFFFFF"/>
          <w:lang w:val="en-GB"/>
        </w:rPr>
        <w:t>]</w:t>
      </w:r>
      <w:r w:rsidR="005E56BB" w:rsidRPr="00EC2EF4">
        <w:rPr>
          <w:color w:val="000000"/>
          <w:shd w:val="clear" w:color="auto" w:fill="FFFFFF"/>
          <w:lang w:val="en-GB"/>
        </w:rPr>
        <w:t>.</w:t>
      </w:r>
    </w:p>
    <w:p w14:paraId="3F2AC2EC" w14:textId="57B8A8D7" w:rsidR="00D2513B" w:rsidRPr="00EC2EF4" w:rsidRDefault="00D2513B" w:rsidP="002900A3">
      <w:pPr>
        <w:pStyle w:val="Paragrafoelenco"/>
        <w:spacing w:line="480" w:lineRule="auto"/>
        <w:ind w:left="0"/>
        <w:jc w:val="both"/>
        <w:rPr>
          <w:color w:val="000000"/>
          <w:shd w:val="clear" w:color="auto" w:fill="FFFFFF"/>
          <w:lang w:val="en-GB"/>
        </w:rPr>
      </w:pPr>
      <w:r w:rsidRPr="00EC2EF4">
        <w:rPr>
          <w:lang w:val="en-GB"/>
        </w:rPr>
        <w:t xml:space="preserve">A clear result on the </w:t>
      </w:r>
      <w:r w:rsidR="0061020D" w:rsidRPr="00EC2EF4">
        <w:rPr>
          <w:lang w:val="en-GB"/>
        </w:rPr>
        <w:t xml:space="preserve">reduction </w:t>
      </w:r>
      <w:r w:rsidRPr="00EC2EF4">
        <w:rPr>
          <w:lang w:val="en-GB"/>
        </w:rPr>
        <w:t xml:space="preserve">of fluoroquinolones </w:t>
      </w:r>
      <w:r w:rsidR="0061020D" w:rsidRPr="00EC2EF4">
        <w:rPr>
          <w:lang w:val="en-GB"/>
        </w:rPr>
        <w:t xml:space="preserve">consumption </w:t>
      </w:r>
      <w:r w:rsidRPr="00EC2EF4">
        <w:rPr>
          <w:lang w:val="en-GB"/>
        </w:rPr>
        <w:t xml:space="preserve">was determined by an EMA regulatory intervention </w:t>
      </w:r>
      <w:r w:rsidR="0061020D" w:rsidRPr="00EC2EF4">
        <w:rPr>
          <w:lang w:val="en-GB"/>
        </w:rPr>
        <w:t xml:space="preserve">on </w:t>
      </w:r>
      <w:r w:rsidRPr="00EC2EF4">
        <w:rPr>
          <w:lang w:val="en-GB"/>
        </w:rPr>
        <w:t>the restriction of use of these drugs</w:t>
      </w:r>
      <w:r w:rsidR="001F5895" w:rsidRPr="00EC2EF4">
        <w:rPr>
          <w:lang w:val="en-GB"/>
        </w:rPr>
        <w:t xml:space="preserve"> [</w:t>
      </w:r>
      <w:r w:rsidR="00D47866" w:rsidRPr="00EC2EF4">
        <w:rPr>
          <w:lang w:val="en-GB"/>
        </w:rPr>
        <w:t>14</w:t>
      </w:r>
      <w:r w:rsidR="001F5895" w:rsidRPr="00EC2EF4">
        <w:rPr>
          <w:lang w:val="en-GB"/>
        </w:rPr>
        <w:t>]</w:t>
      </w:r>
      <w:r w:rsidRPr="00EC2EF4">
        <w:rPr>
          <w:lang w:val="en-GB"/>
        </w:rPr>
        <w:t>. Other interventions based on different strategies should be added to the restrictive actions on specific classes</w:t>
      </w:r>
      <w:r w:rsidR="0061020D" w:rsidRPr="00EC2EF4">
        <w:rPr>
          <w:lang w:val="en-GB"/>
        </w:rPr>
        <w:t xml:space="preserve"> of antibiotics</w:t>
      </w:r>
      <w:r w:rsidRPr="00EC2EF4">
        <w:rPr>
          <w:lang w:val="en-GB"/>
        </w:rPr>
        <w:t xml:space="preserve">, to avoid that consumption simply moves from one type of antibiotic to another </w:t>
      </w:r>
      <w:r w:rsidR="00A41EF0" w:rsidRPr="00EC2EF4">
        <w:rPr>
          <w:lang w:val="en-GB"/>
        </w:rPr>
        <w:t xml:space="preserve">one </w:t>
      </w:r>
      <w:r w:rsidRPr="00EC2EF4">
        <w:rPr>
          <w:lang w:val="en-GB"/>
        </w:rPr>
        <w:t>rather than obtaining a real overall reduction</w:t>
      </w:r>
      <w:r w:rsidR="001222BC" w:rsidRPr="00EC2EF4">
        <w:rPr>
          <w:lang w:val="en-GB"/>
        </w:rPr>
        <w:t xml:space="preserve"> [</w:t>
      </w:r>
      <w:r w:rsidR="00D47866" w:rsidRPr="00EC2EF4">
        <w:rPr>
          <w:color w:val="000000"/>
          <w:shd w:val="clear" w:color="auto" w:fill="FFFFFF"/>
          <w:lang w:val="en-GB"/>
        </w:rPr>
        <w:t>2</w:t>
      </w:r>
      <w:r w:rsidR="0007384B" w:rsidRPr="00EC2EF4">
        <w:rPr>
          <w:color w:val="000000"/>
          <w:shd w:val="clear" w:color="auto" w:fill="FFFFFF"/>
          <w:lang w:val="en-GB"/>
        </w:rPr>
        <w:t>7</w:t>
      </w:r>
      <w:r w:rsidR="001222BC" w:rsidRPr="00EC2EF4">
        <w:rPr>
          <w:color w:val="000000"/>
          <w:shd w:val="clear" w:color="auto" w:fill="FFFFFF"/>
          <w:lang w:val="en-GB"/>
        </w:rPr>
        <w:t>]</w:t>
      </w:r>
      <w:r w:rsidRPr="00EC2EF4">
        <w:rPr>
          <w:lang w:val="en-GB"/>
        </w:rPr>
        <w:t>.</w:t>
      </w:r>
    </w:p>
    <w:p w14:paraId="6684A00A" w14:textId="706CFA83" w:rsidR="00E20C5A" w:rsidRPr="00EC2EF4" w:rsidRDefault="00F9044D" w:rsidP="002900A3">
      <w:pPr>
        <w:pStyle w:val="Paragrafoelenco"/>
        <w:spacing w:line="480" w:lineRule="auto"/>
        <w:ind w:left="0"/>
        <w:jc w:val="both"/>
        <w:rPr>
          <w:color w:val="000000"/>
          <w:shd w:val="clear" w:color="auto" w:fill="FFFFFF"/>
          <w:lang w:val="en-GB"/>
        </w:rPr>
      </w:pPr>
      <w:r w:rsidRPr="00EC2EF4">
        <w:rPr>
          <w:i/>
          <w:lang w:val="en-GB"/>
        </w:rPr>
        <w:t>Ad hoc</w:t>
      </w:r>
      <w:r w:rsidR="006946BE" w:rsidRPr="00EC2EF4">
        <w:rPr>
          <w:lang w:val="en-GB"/>
        </w:rPr>
        <w:t xml:space="preserve"> communication campaigns (as already done in the past) aimed at informing and raising awareness among the general population on the problem of excessive use of antibiotics and bacterial resistance, are interventions with proven efficacy</w:t>
      </w:r>
      <w:r w:rsidR="001222BC" w:rsidRPr="00EC2EF4">
        <w:rPr>
          <w:lang w:val="en-GB"/>
        </w:rPr>
        <w:t xml:space="preserve"> [</w:t>
      </w:r>
      <w:r w:rsidR="00D47866" w:rsidRPr="00EC2EF4">
        <w:rPr>
          <w:lang w:val="en-GB"/>
        </w:rPr>
        <w:t>2</w:t>
      </w:r>
      <w:r w:rsidR="0007384B" w:rsidRPr="00EC2EF4">
        <w:rPr>
          <w:lang w:val="en-GB"/>
        </w:rPr>
        <w:t>6</w:t>
      </w:r>
      <w:r w:rsidR="00DF44E7" w:rsidRPr="00EC2EF4">
        <w:rPr>
          <w:lang w:val="en-GB"/>
        </w:rPr>
        <w:t>-</w:t>
      </w:r>
      <w:r w:rsidR="00D47866" w:rsidRPr="00EC2EF4">
        <w:rPr>
          <w:lang w:val="en-GB"/>
        </w:rPr>
        <w:t>2</w:t>
      </w:r>
      <w:r w:rsidR="0007384B" w:rsidRPr="00EC2EF4">
        <w:rPr>
          <w:lang w:val="en-GB"/>
        </w:rPr>
        <w:t>7</w:t>
      </w:r>
      <w:r w:rsidR="00DF44E7" w:rsidRPr="00EC2EF4">
        <w:rPr>
          <w:lang w:val="en-GB"/>
        </w:rPr>
        <w:t>-</w:t>
      </w:r>
      <w:r w:rsidR="00D47866" w:rsidRPr="00EC2EF4">
        <w:rPr>
          <w:lang w:val="en-GB"/>
        </w:rPr>
        <w:t>7</w:t>
      </w:r>
      <w:r w:rsidR="00F62C7A" w:rsidRPr="00EC2EF4">
        <w:rPr>
          <w:lang w:val="en-GB"/>
        </w:rPr>
        <w:t>]</w:t>
      </w:r>
      <w:r w:rsidR="006946BE" w:rsidRPr="00EC2EF4">
        <w:rPr>
          <w:lang w:val="en-GB"/>
        </w:rPr>
        <w:t xml:space="preserve">. Another fundamental field of action concerns </w:t>
      </w:r>
      <w:r w:rsidR="006060E8" w:rsidRPr="00EC2EF4">
        <w:rPr>
          <w:lang w:val="en-GB"/>
        </w:rPr>
        <w:t>physicians</w:t>
      </w:r>
      <w:r w:rsidR="006946BE" w:rsidRPr="00EC2EF4">
        <w:rPr>
          <w:lang w:val="en-GB"/>
        </w:rPr>
        <w:t xml:space="preserve">, with particular attention to GPs for the adult population and children. The actions directed at </w:t>
      </w:r>
      <w:r w:rsidR="006060E8" w:rsidRPr="00EC2EF4">
        <w:rPr>
          <w:lang w:val="en-GB"/>
        </w:rPr>
        <w:t>physicians</w:t>
      </w:r>
      <w:r w:rsidR="006946BE" w:rsidRPr="00EC2EF4">
        <w:rPr>
          <w:lang w:val="en-GB"/>
        </w:rPr>
        <w:t xml:space="preserve">, as well as information, training and the production of guidelines, include the collection and </w:t>
      </w:r>
      <w:r w:rsidR="00A41EF0" w:rsidRPr="00EC2EF4">
        <w:rPr>
          <w:lang w:val="en-GB"/>
        </w:rPr>
        <w:t xml:space="preserve">the </w:t>
      </w:r>
      <w:r w:rsidR="006946BE" w:rsidRPr="00EC2EF4">
        <w:rPr>
          <w:lang w:val="en-GB"/>
        </w:rPr>
        <w:t>timely feedback of surveillance results on antibiotic use and antimicrobial resistance</w:t>
      </w:r>
      <w:r w:rsidR="001222BC" w:rsidRPr="00EC2EF4">
        <w:rPr>
          <w:lang w:val="en-GB"/>
        </w:rPr>
        <w:t xml:space="preserve"> [</w:t>
      </w:r>
      <w:r w:rsidR="00D47866" w:rsidRPr="00EC2EF4">
        <w:rPr>
          <w:color w:val="000000"/>
          <w:shd w:val="clear" w:color="auto" w:fill="FFFFFF"/>
          <w:lang w:val="en-GB"/>
        </w:rPr>
        <w:t>2</w:t>
      </w:r>
      <w:r w:rsidR="0007384B" w:rsidRPr="00EC2EF4">
        <w:rPr>
          <w:color w:val="000000"/>
          <w:shd w:val="clear" w:color="auto" w:fill="FFFFFF"/>
          <w:lang w:val="en-GB"/>
        </w:rPr>
        <w:t>6</w:t>
      </w:r>
      <w:r w:rsidR="00D47866" w:rsidRPr="00EC2EF4">
        <w:rPr>
          <w:color w:val="000000"/>
          <w:shd w:val="clear" w:color="auto" w:fill="FFFFFF"/>
          <w:lang w:val="en-GB"/>
        </w:rPr>
        <w:t>-2</w:t>
      </w:r>
      <w:r w:rsidR="0007384B" w:rsidRPr="00EC2EF4">
        <w:rPr>
          <w:color w:val="000000"/>
          <w:shd w:val="clear" w:color="auto" w:fill="FFFFFF"/>
          <w:lang w:val="en-GB"/>
        </w:rPr>
        <w:t>7</w:t>
      </w:r>
      <w:r w:rsidR="001222BC" w:rsidRPr="00EC2EF4">
        <w:rPr>
          <w:color w:val="000000"/>
          <w:shd w:val="clear" w:color="auto" w:fill="FFFFFF"/>
          <w:lang w:val="en-GB"/>
        </w:rPr>
        <w:t>]</w:t>
      </w:r>
      <w:r w:rsidR="006946BE" w:rsidRPr="00EC2EF4">
        <w:rPr>
          <w:lang w:val="en-GB"/>
        </w:rPr>
        <w:t xml:space="preserve">. The coordination activities at central national level are necessary but it is also essential to involve the </w:t>
      </w:r>
      <w:r w:rsidR="00524B49" w:rsidRPr="00EC2EF4">
        <w:rPr>
          <w:lang w:val="en-GB"/>
        </w:rPr>
        <w:t xml:space="preserve">local </w:t>
      </w:r>
      <w:r w:rsidR="006946BE" w:rsidRPr="00EC2EF4">
        <w:rPr>
          <w:lang w:val="en-GB"/>
        </w:rPr>
        <w:t>health services and stakeholders that allow the implementation of the necessary actions, considering the peculiarities of each operating context</w:t>
      </w:r>
      <w:r w:rsidR="001222BC" w:rsidRPr="00EC2EF4">
        <w:rPr>
          <w:lang w:val="en-GB"/>
        </w:rPr>
        <w:t xml:space="preserve"> [</w:t>
      </w:r>
      <w:r w:rsidR="00D47866" w:rsidRPr="00EC2EF4">
        <w:rPr>
          <w:rStyle w:val="mixed-citation"/>
          <w:color w:val="000000"/>
          <w:shd w:val="clear" w:color="auto" w:fill="FFFFFF"/>
          <w:lang w:val="en-GB"/>
        </w:rPr>
        <w:t>2</w:t>
      </w:r>
      <w:r w:rsidR="0007384B" w:rsidRPr="00EC2EF4">
        <w:rPr>
          <w:rStyle w:val="mixed-citation"/>
          <w:color w:val="000000"/>
          <w:shd w:val="clear" w:color="auto" w:fill="FFFFFF"/>
          <w:lang w:val="en-GB"/>
        </w:rPr>
        <w:t>6</w:t>
      </w:r>
      <w:r w:rsidR="00D47866" w:rsidRPr="00EC2EF4">
        <w:rPr>
          <w:rStyle w:val="mixed-citation"/>
          <w:color w:val="000000"/>
          <w:shd w:val="clear" w:color="auto" w:fill="FFFFFF"/>
          <w:lang w:val="en-GB"/>
        </w:rPr>
        <w:t>-2</w:t>
      </w:r>
      <w:r w:rsidR="0007384B" w:rsidRPr="00EC2EF4">
        <w:rPr>
          <w:rStyle w:val="mixed-citation"/>
          <w:color w:val="000000"/>
          <w:shd w:val="clear" w:color="auto" w:fill="FFFFFF"/>
          <w:lang w:val="en-GB"/>
        </w:rPr>
        <w:t>7</w:t>
      </w:r>
      <w:r w:rsidR="001222BC" w:rsidRPr="00EC2EF4">
        <w:rPr>
          <w:color w:val="000000"/>
          <w:shd w:val="clear" w:color="auto" w:fill="FFFFFF"/>
          <w:lang w:val="en-GB"/>
        </w:rPr>
        <w:t>]</w:t>
      </w:r>
      <w:r w:rsidR="006946BE" w:rsidRPr="00EC2EF4">
        <w:rPr>
          <w:lang w:val="en-GB"/>
        </w:rPr>
        <w:t>.</w:t>
      </w:r>
    </w:p>
    <w:p w14:paraId="08FC8457" w14:textId="530B94CC" w:rsidR="00786FEE" w:rsidRPr="00EC2EF4" w:rsidRDefault="0063460C" w:rsidP="002900A3">
      <w:pPr>
        <w:spacing w:line="480" w:lineRule="auto"/>
        <w:jc w:val="both"/>
        <w:rPr>
          <w:lang w:val="en-GB"/>
        </w:rPr>
      </w:pPr>
      <w:r w:rsidRPr="00EC2EF4">
        <w:rPr>
          <w:lang w:val="en-GB"/>
        </w:rPr>
        <w:t>The</w:t>
      </w:r>
      <w:r w:rsidR="00786FEE" w:rsidRPr="00EC2EF4">
        <w:rPr>
          <w:lang w:val="en-GB"/>
        </w:rPr>
        <w:t xml:space="preserve"> data included in the present study can provide useful information to guide decision makers </w:t>
      </w:r>
      <w:r w:rsidR="00BA4AC4" w:rsidRPr="00EC2EF4">
        <w:rPr>
          <w:lang w:val="en-GB"/>
        </w:rPr>
        <w:t xml:space="preserve">in </w:t>
      </w:r>
      <w:r w:rsidR="00DF44E7" w:rsidRPr="00EC2EF4">
        <w:rPr>
          <w:lang w:val="en-GB"/>
        </w:rPr>
        <w:t xml:space="preserve">the </w:t>
      </w:r>
      <w:r w:rsidR="00BA4AC4" w:rsidRPr="00EC2EF4">
        <w:rPr>
          <w:lang w:val="en-GB"/>
        </w:rPr>
        <w:t>different setting</w:t>
      </w:r>
      <w:r w:rsidRPr="00EC2EF4">
        <w:rPr>
          <w:lang w:val="en-GB"/>
        </w:rPr>
        <w:t>s</w:t>
      </w:r>
      <w:r w:rsidR="00BA4AC4" w:rsidRPr="00EC2EF4">
        <w:rPr>
          <w:lang w:val="en-GB"/>
        </w:rPr>
        <w:t xml:space="preserve"> </w:t>
      </w:r>
      <w:r w:rsidR="00786FEE" w:rsidRPr="00EC2EF4">
        <w:rPr>
          <w:lang w:val="en-GB"/>
        </w:rPr>
        <w:t xml:space="preserve">in applying the </w:t>
      </w:r>
      <w:r w:rsidR="00BA4AC4" w:rsidRPr="00EC2EF4">
        <w:rPr>
          <w:lang w:val="en-GB"/>
        </w:rPr>
        <w:t xml:space="preserve">tailored </w:t>
      </w:r>
      <w:r w:rsidR="00786FEE" w:rsidRPr="00EC2EF4">
        <w:rPr>
          <w:lang w:val="en-GB"/>
        </w:rPr>
        <w:t>interventions</w:t>
      </w:r>
      <w:r w:rsidR="00BA4AC4" w:rsidRPr="00EC2EF4">
        <w:rPr>
          <w:lang w:val="en-GB"/>
        </w:rPr>
        <w:t xml:space="preserve"> and to monitor the impact of the PNCAR</w:t>
      </w:r>
      <w:r w:rsidR="00786FEE" w:rsidRPr="00EC2EF4">
        <w:rPr>
          <w:lang w:val="en-GB"/>
        </w:rPr>
        <w:t xml:space="preserve">. </w:t>
      </w:r>
      <w:r w:rsidRPr="00EC2EF4">
        <w:rPr>
          <w:lang w:val="en-GB"/>
        </w:rPr>
        <w:t xml:space="preserve">Other countries, within the strategies to counter the rise in AMR, have published national report to </w:t>
      </w:r>
      <w:r w:rsidRPr="00EC2EF4">
        <w:rPr>
          <w:lang w:val="en-GB"/>
        </w:rPr>
        <w:lastRenderedPageBreak/>
        <w:t>monitor the antibiotics’ consumption [</w:t>
      </w:r>
      <w:r w:rsidR="00D47866" w:rsidRPr="00EC2EF4">
        <w:rPr>
          <w:lang w:val="en-GB"/>
        </w:rPr>
        <w:t>2</w:t>
      </w:r>
      <w:r w:rsidR="0007384B" w:rsidRPr="00EC2EF4">
        <w:rPr>
          <w:lang w:val="en-GB"/>
        </w:rPr>
        <w:t>9</w:t>
      </w:r>
      <w:r w:rsidRPr="00EC2EF4">
        <w:rPr>
          <w:lang w:val="en-GB"/>
        </w:rPr>
        <w:t>].</w:t>
      </w:r>
      <w:r w:rsidR="002B1209" w:rsidRPr="00EC2EF4">
        <w:rPr>
          <w:lang w:val="en-GB"/>
        </w:rPr>
        <w:t xml:space="preserve"> </w:t>
      </w:r>
      <w:r w:rsidR="00786FEE" w:rsidRPr="00EC2EF4">
        <w:rPr>
          <w:lang w:val="en-GB"/>
        </w:rPr>
        <w:t xml:space="preserve">Data included in the present study refers to </w:t>
      </w:r>
      <w:r w:rsidRPr="00EC2EF4">
        <w:rPr>
          <w:lang w:val="en-GB"/>
        </w:rPr>
        <w:t xml:space="preserve">the </w:t>
      </w:r>
      <w:r w:rsidR="00786FEE" w:rsidRPr="00EC2EF4">
        <w:rPr>
          <w:lang w:val="en-GB"/>
        </w:rPr>
        <w:t xml:space="preserve">consumption in the whole Italian population, in the different geographic areas </w:t>
      </w:r>
      <w:r w:rsidR="00D370A5" w:rsidRPr="00EC2EF4">
        <w:rPr>
          <w:lang w:val="en-GB"/>
        </w:rPr>
        <w:t xml:space="preserve">and regions </w:t>
      </w:r>
      <w:r w:rsidR="00786FEE" w:rsidRPr="00EC2EF4">
        <w:rPr>
          <w:lang w:val="en-GB"/>
        </w:rPr>
        <w:t>and in specific sub-populations</w:t>
      </w:r>
      <w:r w:rsidR="00BA4AC4" w:rsidRPr="00EC2EF4">
        <w:rPr>
          <w:lang w:val="en-GB"/>
        </w:rPr>
        <w:t xml:space="preserve"> and</w:t>
      </w:r>
      <w:r w:rsidRPr="00EC2EF4">
        <w:rPr>
          <w:lang w:val="en-GB"/>
        </w:rPr>
        <w:t>, finally,</w:t>
      </w:r>
      <w:r w:rsidR="00BA4AC4" w:rsidRPr="00EC2EF4">
        <w:rPr>
          <w:lang w:val="en-GB"/>
        </w:rPr>
        <w:t xml:space="preserve"> allow </w:t>
      </w:r>
      <w:r w:rsidRPr="00EC2EF4">
        <w:rPr>
          <w:lang w:val="en-GB"/>
        </w:rPr>
        <w:t>the monitoring of the consumption in the medium-long term</w:t>
      </w:r>
      <w:r w:rsidR="00786FEE" w:rsidRPr="00EC2EF4">
        <w:rPr>
          <w:lang w:val="en-GB"/>
        </w:rPr>
        <w:t xml:space="preserve">. </w:t>
      </w:r>
      <w:r w:rsidR="00C914B8" w:rsidRPr="00EC2EF4">
        <w:rPr>
          <w:lang w:val="en-GB"/>
        </w:rPr>
        <w:t xml:space="preserve">Nevertheless, the study presents some limitations: the first </w:t>
      </w:r>
      <w:r w:rsidR="0007384B" w:rsidRPr="00EC2EF4">
        <w:rPr>
          <w:lang w:val="en-GB"/>
        </w:rPr>
        <w:t>one</w:t>
      </w:r>
      <w:r w:rsidR="00C914B8" w:rsidRPr="00EC2EF4">
        <w:rPr>
          <w:lang w:val="en-GB"/>
        </w:rPr>
        <w:t xml:space="preserve"> refers to the lack of </w:t>
      </w:r>
      <w:r w:rsidR="002B1209" w:rsidRPr="00EC2EF4">
        <w:rPr>
          <w:lang w:val="en-GB"/>
        </w:rPr>
        <w:t xml:space="preserve">consumption </w:t>
      </w:r>
      <w:r w:rsidR="00C914B8" w:rsidRPr="00EC2EF4">
        <w:rPr>
          <w:lang w:val="en-GB"/>
        </w:rPr>
        <w:t xml:space="preserve">data </w:t>
      </w:r>
      <w:r w:rsidR="00871AD9">
        <w:rPr>
          <w:lang w:val="en-GB"/>
        </w:rPr>
        <w:t xml:space="preserve">related to the private purchase. Moreover, the study </w:t>
      </w:r>
      <w:r w:rsidR="00AD676F">
        <w:rPr>
          <w:lang w:val="en-GB"/>
        </w:rPr>
        <w:t>doesn’t</w:t>
      </w:r>
      <w:r w:rsidR="00871AD9">
        <w:rPr>
          <w:lang w:val="en-GB"/>
        </w:rPr>
        <w:t xml:space="preserve"> report data </w:t>
      </w:r>
      <w:r w:rsidR="00C914B8" w:rsidRPr="00EC2EF4">
        <w:rPr>
          <w:lang w:val="en-GB"/>
        </w:rPr>
        <w:t xml:space="preserve">according to </w:t>
      </w:r>
      <w:r w:rsidR="002B1209" w:rsidRPr="00EC2EF4">
        <w:rPr>
          <w:lang w:val="en-GB"/>
        </w:rPr>
        <w:t xml:space="preserve">the </w:t>
      </w:r>
      <w:r w:rsidR="00C914B8" w:rsidRPr="00EC2EF4">
        <w:rPr>
          <w:lang w:val="en-GB"/>
        </w:rPr>
        <w:t xml:space="preserve">diagnosis on a general population </w:t>
      </w:r>
      <w:r w:rsidR="00F42036" w:rsidRPr="00EC2EF4">
        <w:rPr>
          <w:lang w:val="en-GB"/>
        </w:rPr>
        <w:t>basis</w:t>
      </w:r>
      <w:r w:rsidR="00C914B8" w:rsidRPr="00EC2EF4">
        <w:rPr>
          <w:lang w:val="en-GB"/>
        </w:rPr>
        <w:t xml:space="preserve">; </w:t>
      </w:r>
      <w:r w:rsidR="00D2519C" w:rsidRPr="00EC2EF4">
        <w:rPr>
          <w:lang w:val="en-GB"/>
        </w:rPr>
        <w:t xml:space="preserve">in fact, </w:t>
      </w:r>
      <w:r w:rsidR="00C914B8" w:rsidRPr="00EC2EF4">
        <w:rPr>
          <w:lang w:val="en-GB"/>
        </w:rPr>
        <w:t xml:space="preserve">the </w:t>
      </w:r>
      <w:r w:rsidR="00367D61" w:rsidRPr="00EC2EF4">
        <w:rPr>
          <w:lang w:val="en-GB"/>
        </w:rPr>
        <w:t xml:space="preserve">presented diagnosis </w:t>
      </w:r>
      <w:r w:rsidR="00C914B8" w:rsidRPr="00EC2EF4">
        <w:rPr>
          <w:lang w:val="en-GB"/>
        </w:rPr>
        <w:t xml:space="preserve">data </w:t>
      </w:r>
      <w:r w:rsidR="00D2519C" w:rsidRPr="00EC2EF4">
        <w:rPr>
          <w:lang w:val="en-GB"/>
        </w:rPr>
        <w:t xml:space="preserve">are limited to a </w:t>
      </w:r>
      <w:r w:rsidR="00C914B8" w:rsidRPr="00EC2EF4">
        <w:rPr>
          <w:lang w:val="en-GB"/>
        </w:rPr>
        <w:t xml:space="preserve">network of 800 general practitioners. </w:t>
      </w:r>
      <w:r w:rsidR="001A62E3" w:rsidRPr="00EC2EF4">
        <w:rPr>
          <w:lang w:val="en-GB"/>
        </w:rPr>
        <w:t>T</w:t>
      </w:r>
      <w:r w:rsidR="0007384B" w:rsidRPr="00EC2EF4">
        <w:rPr>
          <w:lang w:val="en-GB"/>
        </w:rPr>
        <w:t>his limitation could be overcome by implementing the systematic collection of diagnosis data (e.g. DRGs - Diagnosis-Related Groups) for outpatient prescriptions, as already planned in some areas of the country</w:t>
      </w:r>
      <w:r w:rsidR="001A62E3" w:rsidRPr="00EC2EF4">
        <w:rPr>
          <w:lang w:val="en-GB"/>
        </w:rPr>
        <w:t>.</w:t>
      </w:r>
      <w:r w:rsidR="0007384B" w:rsidRPr="00EC2EF4">
        <w:rPr>
          <w:lang w:val="en-GB"/>
        </w:rPr>
        <w:t xml:space="preserve"> </w:t>
      </w:r>
      <w:r w:rsidR="004B6B72" w:rsidRPr="00EC2EF4">
        <w:rPr>
          <w:lang w:val="en-GB"/>
        </w:rPr>
        <w:t>Finally</w:t>
      </w:r>
      <w:r w:rsidR="002B1209" w:rsidRPr="00EC2EF4">
        <w:rPr>
          <w:lang w:val="en-GB"/>
        </w:rPr>
        <w:t>,</w:t>
      </w:r>
      <w:r w:rsidR="00C914B8" w:rsidRPr="00EC2EF4">
        <w:rPr>
          <w:lang w:val="en-GB"/>
        </w:rPr>
        <w:t xml:space="preserve"> data on consumption in the animal setting</w:t>
      </w:r>
      <w:r w:rsidR="004B6B72" w:rsidRPr="00EC2EF4">
        <w:rPr>
          <w:lang w:val="en-GB"/>
        </w:rPr>
        <w:t>, that</w:t>
      </w:r>
      <w:r w:rsidR="00C914B8" w:rsidRPr="00EC2EF4">
        <w:rPr>
          <w:lang w:val="en-GB"/>
        </w:rPr>
        <w:t xml:space="preserve"> are not </w:t>
      </w:r>
      <w:r w:rsidR="004B6B72" w:rsidRPr="00EC2EF4">
        <w:rPr>
          <w:lang w:val="en-GB"/>
        </w:rPr>
        <w:t xml:space="preserve">currently </w:t>
      </w:r>
      <w:r w:rsidR="00C914B8" w:rsidRPr="00EC2EF4">
        <w:rPr>
          <w:lang w:val="en-GB"/>
        </w:rPr>
        <w:t>included</w:t>
      </w:r>
      <w:r w:rsidR="004B6B72" w:rsidRPr="00EC2EF4">
        <w:rPr>
          <w:lang w:val="en-GB"/>
        </w:rPr>
        <w:t xml:space="preserve"> in the national report, will be provided starting </w:t>
      </w:r>
      <w:r w:rsidR="006002C1" w:rsidRPr="00EC2EF4">
        <w:rPr>
          <w:lang w:val="en-GB"/>
        </w:rPr>
        <w:t xml:space="preserve">since </w:t>
      </w:r>
      <w:r w:rsidR="004B6B72" w:rsidRPr="00EC2EF4">
        <w:rPr>
          <w:lang w:val="en-GB"/>
        </w:rPr>
        <w:t xml:space="preserve">2020, as indicated in </w:t>
      </w:r>
      <w:r w:rsidR="00C914B8" w:rsidRPr="00EC2EF4">
        <w:rPr>
          <w:lang w:val="en-GB"/>
        </w:rPr>
        <w:t xml:space="preserve">the </w:t>
      </w:r>
      <w:r w:rsidR="002B1209" w:rsidRPr="00EC2EF4">
        <w:rPr>
          <w:lang w:val="en-GB"/>
        </w:rPr>
        <w:t>objectives</w:t>
      </w:r>
      <w:r w:rsidR="00C914B8" w:rsidRPr="00EC2EF4">
        <w:rPr>
          <w:lang w:val="en-GB"/>
        </w:rPr>
        <w:t xml:space="preserve"> </w:t>
      </w:r>
      <w:r w:rsidR="004B6B72" w:rsidRPr="00EC2EF4">
        <w:rPr>
          <w:lang w:val="en-GB"/>
        </w:rPr>
        <w:t>of</w:t>
      </w:r>
      <w:r w:rsidR="00C914B8" w:rsidRPr="00EC2EF4">
        <w:rPr>
          <w:lang w:val="en-GB"/>
        </w:rPr>
        <w:t xml:space="preserve"> the PNCAR. </w:t>
      </w:r>
    </w:p>
    <w:p w14:paraId="5A6DB5E0" w14:textId="77777777" w:rsidR="0063460C" w:rsidRPr="00EC2EF4" w:rsidRDefault="002B1209" w:rsidP="002900A3">
      <w:pPr>
        <w:spacing w:line="480" w:lineRule="auto"/>
        <w:rPr>
          <w:lang w:val="en-GB"/>
        </w:rPr>
      </w:pPr>
      <w:r w:rsidRPr="00EC2EF4">
        <w:rPr>
          <w:lang w:val="en-GB"/>
        </w:rPr>
        <w:br w:type="page"/>
      </w:r>
      <w:r w:rsidR="0063460C" w:rsidRPr="00EC2EF4">
        <w:rPr>
          <w:b/>
          <w:bCs/>
          <w:lang w:val="en-GB"/>
        </w:rPr>
        <w:lastRenderedPageBreak/>
        <w:t>Conclusion</w:t>
      </w:r>
    </w:p>
    <w:p w14:paraId="3DE73C06" w14:textId="3EA67E1F" w:rsidR="00512175" w:rsidRPr="00EC2EF4" w:rsidRDefault="00C914B8" w:rsidP="002900A3">
      <w:pPr>
        <w:spacing w:line="480" w:lineRule="auto"/>
        <w:jc w:val="both"/>
        <w:rPr>
          <w:lang w:val="en-GB"/>
        </w:rPr>
      </w:pPr>
      <w:r w:rsidRPr="00EC2EF4">
        <w:rPr>
          <w:lang w:val="en-GB"/>
        </w:rPr>
        <w:t xml:space="preserve">In </w:t>
      </w:r>
      <w:r w:rsidR="00C36826" w:rsidRPr="00EC2EF4">
        <w:rPr>
          <w:lang w:val="en-GB"/>
        </w:rPr>
        <w:t>conclusion</w:t>
      </w:r>
      <w:r w:rsidRPr="00EC2EF4">
        <w:rPr>
          <w:lang w:val="en-GB"/>
        </w:rPr>
        <w:t xml:space="preserve">, </w:t>
      </w:r>
      <w:r w:rsidR="00D84080" w:rsidRPr="00EC2EF4">
        <w:rPr>
          <w:lang w:val="en-GB"/>
        </w:rPr>
        <w:t>although the situation regarding the use of antibiotics</w:t>
      </w:r>
      <w:r w:rsidR="00B7705D" w:rsidRPr="00EC2EF4">
        <w:rPr>
          <w:lang w:val="en-GB"/>
        </w:rPr>
        <w:t xml:space="preserve"> in Italy</w:t>
      </w:r>
      <w:r w:rsidR="00D84080" w:rsidRPr="00EC2EF4">
        <w:rPr>
          <w:lang w:val="en-GB"/>
        </w:rPr>
        <w:t xml:space="preserve"> in 2018 indicates an excessive use of these drugs with considerable geographical differences</w:t>
      </w:r>
      <w:r w:rsidR="00B20564" w:rsidRPr="00EC2EF4">
        <w:rPr>
          <w:lang w:val="en-GB"/>
        </w:rPr>
        <w:t>, t</w:t>
      </w:r>
      <w:r w:rsidR="00D84080" w:rsidRPr="00EC2EF4">
        <w:rPr>
          <w:lang w:val="en-GB"/>
        </w:rPr>
        <w:t xml:space="preserve">here is a significant downward trend in the various areas of the country and age groups that affects all classes of antibiotics. This result shows that there is an effort at central and local level, albeit with differences between regions, which must be valued and intensified. In this perspective it could be useful to identify the activities </w:t>
      </w:r>
      <w:r w:rsidR="00B849DA" w:rsidRPr="00EC2EF4">
        <w:rPr>
          <w:lang w:val="en-GB"/>
        </w:rPr>
        <w:t xml:space="preserve">and the best practice </w:t>
      </w:r>
      <w:r w:rsidR="00D84080" w:rsidRPr="00EC2EF4">
        <w:rPr>
          <w:lang w:val="en-GB"/>
        </w:rPr>
        <w:t xml:space="preserve">implemented locally that could be exported to other areas of the country. </w:t>
      </w:r>
    </w:p>
    <w:p w14:paraId="144136B8" w14:textId="24DCE0F3" w:rsidR="007876F6" w:rsidRPr="00EC2EF4" w:rsidRDefault="007876F6" w:rsidP="002900A3">
      <w:pPr>
        <w:spacing w:line="480" w:lineRule="auto"/>
        <w:jc w:val="both"/>
        <w:rPr>
          <w:lang w:val="en-GB"/>
        </w:rPr>
      </w:pPr>
    </w:p>
    <w:p w14:paraId="6CA1BE2D" w14:textId="77777777" w:rsidR="007876F6" w:rsidRPr="00EC2EF4" w:rsidRDefault="007876F6" w:rsidP="00436857">
      <w:pPr>
        <w:pStyle w:val="Default"/>
        <w:spacing w:line="360" w:lineRule="auto"/>
        <w:rPr>
          <w:rFonts w:ascii="Times New Roman" w:eastAsia="Times New Roman" w:hAnsi="Times New Roman" w:cs="Times New Roman"/>
          <w:b/>
          <w:bCs/>
          <w:color w:val="auto"/>
          <w:lang w:val="en-GB" w:eastAsia="it-IT"/>
        </w:rPr>
      </w:pPr>
      <w:r w:rsidRPr="00EC2EF4">
        <w:rPr>
          <w:rFonts w:ascii="Times New Roman" w:eastAsia="Times New Roman" w:hAnsi="Times New Roman" w:cs="Times New Roman"/>
          <w:b/>
          <w:bCs/>
          <w:color w:val="auto"/>
          <w:lang w:val="en-GB" w:eastAsia="it-IT"/>
        </w:rPr>
        <w:t xml:space="preserve">Conflict of interest statement: </w:t>
      </w:r>
    </w:p>
    <w:p w14:paraId="1409A815" w14:textId="77777777" w:rsidR="007876F6" w:rsidRPr="00EC2EF4" w:rsidRDefault="007876F6" w:rsidP="00436857">
      <w:pPr>
        <w:pStyle w:val="Default"/>
        <w:spacing w:line="360" w:lineRule="auto"/>
        <w:rPr>
          <w:rFonts w:ascii="Times New Roman" w:eastAsia="Times New Roman" w:hAnsi="Times New Roman" w:cs="Times New Roman"/>
          <w:color w:val="auto"/>
          <w:lang w:val="en-GB" w:eastAsia="it-IT"/>
        </w:rPr>
      </w:pPr>
      <w:r w:rsidRPr="00EC2EF4">
        <w:rPr>
          <w:rFonts w:ascii="Times New Roman" w:eastAsia="Times New Roman" w:hAnsi="Times New Roman" w:cs="Times New Roman"/>
          <w:color w:val="auto"/>
          <w:lang w:val="en-GB" w:eastAsia="it-IT"/>
        </w:rPr>
        <w:t xml:space="preserve">The work reported in this manuscript did not receive any sponsorship or funding. </w:t>
      </w:r>
    </w:p>
    <w:p w14:paraId="5181D81D" w14:textId="77777777" w:rsidR="007876F6" w:rsidRPr="00EC2EF4" w:rsidRDefault="007876F6" w:rsidP="00436857">
      <w:pPr>
        <w:pStyle w:val="Default"/>
        <w:spacing w:line="360" w:lineRule="auto"/>
        <w:rPr>
          <w:rFonts w:ascii="Times New Roman" w:eastAsia="Times New Roman" w:hAnsi="Times New Roman" w:cs="Times New Roman"/>
          <w:color w:val="auto"/>
          <w:lang w:val="en-GB" w:eastAsia="it-IT"/>
        </w:rPr>
      </w:pPr>
    </w:p>
    <w:p w14:paraId="7D4CA9FF" w14:textId="77777777" w:rsidR="007876F6" w:rsidRPr="00EC2EF4" w:rsidRDefault="007876F6" w:rsidP="00436857">
      <w:pPr>
        <w:pStyle w:val="Default"/>
        <w:spacing w:line="360" w:lineRule="auto"/>
        <w:rPr>
          <w:rFonts w:ascii="Times New Roman" w:eastAsia="Times New Roman" w:hAnsi="Times New Roman" w:cs="Times New Roman"/>
          <w:b/>
          <w:bCs/>
          <w:color w:val="auto"/>
          <w:lang w:val="en-GB" w:eastAsia="it-IT"/>
        </w:rPr>
      </w:pPr>
      <w:r w:rsidRPr="00EC2EF4">
        <w:rPr>
          <w:rFonts w:ascii="Times New Roman" w:eastAsia="Times New Roman" w:hAnsi="Times New Roman" w:cs="Times New Roman"/>
          <w:b/>
          <w:bCs/>
          <w:color w:val="auto"/>
          <w:lang w:val="en-GB" w:eastAsia="it-IT"/>
        </w:rPr>
        <w:t xml:space="preserve">Disclaimer: </w:t>
      </w:r>
    </w:p>
    <w:p w14:paraId="01229733" w14:textId="22C16392" w:rsidR="007876F6" w:rsidRPr="00EC2EF4" w:rsidRDefault="007876F6" w:rsidP="00436857">
      <w:pPr>
        <w:pStyle w:val="xxmsolistparagraph"/>
        <w:spacing w:line="360" w:lineRule="auto"/>
        <w:ind w:left="0"/>
        <w:rPr>
          <w:rFonts w:ascii="Times New Roman" w:hAnsi="Times New Roman" w:cs="Times New Roman"/>
          <w:lang w:val="en-GB"/>
        </w:rPr>
      </w:pPr>
      <w:r w:rsidRPr="00EC2EF4">
        <w:rPr>
          <w:rFonts w:ascii="Times New Roman" w:hAnsi="Times New Roman" w:cs="Times New Roman"/>
          <w:lang w:val="en-GB"/>
        </w:rPr>
        <w:t>The views expressed in this article are the personal views of the authors and may not be understood or quoted as being made on behalf of or reflecting the position of the respective</w:t>
      </w:r>
      <w:r w:rsidR="006002C1" w:rsidRPr="00EC2EF4">
        <w:rPr>
          <w:rFonts w:ascii="Times New Roman" w:hAnsi="Times New Roman" w:cs="Times New Roman"/>
          <w:lang w:val="en-GB"/>
        </w:rPr>
        <w:t xml:space="preserve"> </w:t>
      </w:r>
      <w:r w:rsidR="00BB4AA8" w:rsidRPr="00BB4AA8">
        <w:rPr>
          <w:rFonts w:ascii="Times New Roman" w:hAnsi="Times New Roman" w:cs="Times New Roman"/>
          <w:lang w:val="en-GB"/>
        </w:rPr>
        <w:t>authors’ organisations</w:t>
      </w:r>
      <w:r w:rsidRPr="00EC2EF4">
        <w:rPr>
          <w:rFonts w:ascii="Times New Roman" w:hAnsi="Times New Roman" w:cs="Times New Roman"/>
          <w:lang w:val="en-GB"/>
        </w:rPr>
        <w:t>.</w:t>
      </w:r>
    </w:p>
    <w:p w14:paraId="270F20DF" w14:textId="77777777" w:rsidR="007876F6" w:rsidRPr="00EC2EF4" w:rsidRDefault="007876F6" w:rsidP="00436857">
      <w:pPr>
        <w:pStyle w:val="xxmsolistparagraph"/>
        <w:spacing w:line="360" w:lineRule="auto"/>
        <w:ind w:left="0"/>
        <w:rPr>
          <w:rFonts w:ascii="Times New Roman" w:hAnsi="Times New Roman" w:cs="Times New Roman"/>
          <w:lang w:val="en-GB"/>
        </w:rPr>
      </w:pPr>
    </w:p>
    <w:p w14:paraId="0A6CDE56" w14:textId="0756856A" w:rsidR="007876F6" w:rsidRPr="00EC2EF4" w:rsidRDefault="00436857" w:rsidP="00436857">
      <w:pPr>
        <w:pStyle w:val="xxmsolistparagraph"/>
        <w:spacing w:line="360" w:lineRule="auto"/>
        <w:ind w:left="0"/>
        <w:rPr>
          <w:rFonts w:ascii="Times New Roman" w:hAnsi="Times New Roman" w:cs="Times New Roman"/>
          <w:b/>
          <w:bCs/>
        </w:rPr>
      </w:pPr>
      <w:bookmarkStart w:id="1" w:name="_Hlk36547391"/>
      <w:proofErr w:type="spellStart"/>
      <w:r w:rsidRPr="00EC2EF4">
        <w:rPr>
          <w:rFonts w:ascii="Times New Roman" w:hAnsi="Times New Roman" w:cs="Times New Roman"/>
          <w:b/>
          <w:bCs/>
        </w:rPr>
        <w:t>Acknowledgements</w:t>
      </w:r>
      <w:bookmarkEnd w:id="1"/>
      <w:proofErr w:type="spellEnd"/>
      <w:r w:rsidR="007876F6" w:rsidRPr="00EC2EF4">
        <w:rPr>
          <w:rFonts w:ascii="Times New Roman" w:hAnsi="Times New Roman" w:cs="Times New Roman"/>
          <w:b/>
          <w:bCs/>
        </w:rPr>
        <w:t>:</w:t>
      </w:r>
    </w:p>
    <w:p w14:paraId="319A5937" w14:textId="0682B7BD" w:rsidR="006C6262" w:rsidRPr="00211755" w:rsidRDefault="00436857" w:rsidP="00436857">
      <w:pPr>
        <w:pStyle w:val="xxmsolistparagraph"/>
        <w:spacing w:line="360" w:lineRule="auto"/>
        <w:ind w:left="0"/>
        <w:jc w:val="both"/>
        <w:rPr>
          <w:rFonts w:ascii="Times New Roman" w:hAnsi="Times New Roman" w:cs="Times New Roman"/>
          <w:lang w:val="en-GB"/>
        </w:rPr>
      </w:pPr>
      <w:r w:rsidRPr="00EC2EF4">
        <w:rPr>
          <w:rFonts w:ascii="Times New Roman" w:hAnsi="Times New Roman" w:cs="Times New Roman"/>
        </w:rPr>
        <w:t xml:space="preserve">The </w:t>
      </w:r>
      <w:proofErr w:type="spellStart"/>
      <w:r w:rsidRPr="00EC2EF4">
        <w:rPr>
          <w:rFonts w:ascii="Times New Roman" w:hAnsi="Times New Roman" w:cs="Times New Roman"/>
        </w:rPr>
        <w:t>Authors</w:t>
      </w:r>
      <w:proofErr w:type="spellEnd"/>
      <w:r w:rsidR="007876F6" w:rsidRPr="00EC2EF4">
        <w:rPr>
          <w:rFonts w:ascii="Times New Roman" w:hAnsi="Times New Roman" w:cs="Times New Roman"/>
        </w:rPr>
        <w:t xml:space="preserve"> thank the “</w:t>
      </w:r>
      <w:proofErr w:type="spellStart"/>
      <w:r w:rsidR="007876F6" w:rsidRPr="00EC2EF4">
        <w:rPr>
          <w:rFonts w:ascii="Times New Roman" w:hAnsi="Times New Roman" w:cs="Times New Roman"/>
        </w:rPr>
        <w:t>Working</w:t>
      </w:r>
      <w:proofErr w:type="spellEnd"/>
      <w:r w:rsidR="007876F6" w:rsidRPr="00EC2EF4">
        <w:rPr>
          <w:rFonts w:ascii="Times New Roman" w:hAnsi="Times New Roman" w:cs="Times New Roman"/>
        </w:rPr>
        <w:t xml:space="preserve"> group of the National </w:t>
      </w:r>
      <w:proofErr w:type="spellStart"/>
      <w:r w:rsidR="007876F6" w:rsidRPr="00EC2EF4">
        <w:rPr>
          <w:rFonts w:ascii="Times New Roman" w:hAnsi="Times New Roman" w:cs="Times New Roman"/>
        </w:rPr>
        <w:t>Observatory</w:t>
      </w:r>
      <w:proofErr w:type="spellEnd"/>
      <w:r w:rsidR="007876F6" w:rsidRPr="00EC2EF4">
        <w:rPr>
          <w:rFonts w:ascii="Times New Roman" w:hAnsi="Times New Roman" w:cs="Times New Roman"/>
        </w:rPr>
        <w:t xml:space="preserve"> for </w:t>
      </w:r>
      <w:proofErr w:type="spellStart"/>
      <w:r w:rsidR="007876F6" w:rsidRPr="00EC2EF4">
        <w:rPr>
          <w:rFonts w:ascii="Times New Roman" w:hAnsi="Times New Roman" w:cs="Times New Roman"/>
        </w:rPr>
        <w:t>Medicines</w:t>
      </w:r>
      <w:proofErr w:type="spellEnd"/>
      <w:r w:rsidR="007876F6" w:rsidRPr="00EC2EF4">
        <w:rPr>
          <w:rFonts w:ascii="Times New Roman" w:hAnsi="Times New Roman" w:cs="Times New Roman"/>
        </w:rPr>
        <w:t xml:space="preserve"> Use Monitoring”: </w:t>
      </w:r>
      <w:proofErr w:type="spellStart"/>
      <w:r w:rsidR="007876F6" w:rsidRPr="00EC2EF4">
        <w:rPr>
          <w:rFonts w:ascii="Times New Roman" w:hAnsi="Times New Roman" w:cs="Times New Roman"/>
          <w:b/>
          <w:bCs/>
        </w:rPr>
        <w:t>Italian</w:t>
      </w:r>
      <w:proofErr w:type="spellEnd"/>
      <w:r w:rsidR="007876F6" w:rsidRPr="00EC2EF4">
        <w:rPr>
          <w:rFonts w:ascii="Times New Roman" w:hAnsi="Times New Roman" w:cs="Times New Roman"/>
          <w:b/>
          <w:bCs/>
        </w:rPr>
        <w:t xml:space="preserve"> </w:t>
      </w:r>
      <w:proofErr w:type="spellStart"/>
      <w:r w:rsidR="007876F6" w:rsidRPr="00EC2EF4">
        <w:rPr>
          <w:rFonts w:ascii="Times New Roman" w:hAnsi="Times New Roman" w:cs="Times New Roman"/>
          <w:b/>
          <w:bCs/>
        </w:rPr>
        <w:t>Medicines</w:t>
      </w:r>
      <w:proofErr w:type="spellEnd"/>
      <w:r w:rsidR="007876F6" w:rsidRPr="00EC2EF4">
        <w:rPr>
          <w:rFonts w:ascii="Times New Roman" w:hAnsi="Times New Roman" w:cs="Times New Roman"/>
          <w:b/>
          <w:bCs/>
        </w:rPr>
        <w:t xml:space="preserve"> Agency (AIFA):</w:t>
      </w:r>
      <w:r w:rsidR="006C6262" w:rsidRPr="00EC2EF4">
        <w:rPr>
          <w:rFonts w:ascii="Times New Roman" w:hAnsi="Times New Roman" w:cs="Times New Roman"/>
        </w:rPr>
        <w:t xml:space="preserve"> L. Li bassi, F. Trotta, M.P. Trotta, S.M. Cammarata, A. Cangini, A. Di Filippo, F. Fortinguerra, R. Frulio, M.A. Guerrizio, R. Marini, F. Milozzi,</w:t>
      </w:r>
      <w:r w:rsidR="006002C1" w:rsidRPr="00EC2EF4">
        <w:rPr>
          <w:rFonts w:ascii="Times New Roman" w:hAnsi="Times New Roman" w:cs="Times New Roman"/>
        </w:rPr>
        <w:t xml:space="preserve"> </w:t>
      </w:r>
      <w:r w:rsidR="006C6262" w:rsidRPr="00EC2EF4">
        <w:rPr>
          <w:rFonts w:ascii="Times New Roman" w:hAnsi="Times New Roman" w:cs="Times New Roman"/>
        </w:rPr>
        <w:t>A. Pierantozzi,</w:t>
      </w:r>
      <w:r w:rsidR="006002C1" w:rsidRPr="00EC2EF4">
        <w:rPr>
          <w:rFonts w:ascii="Times New Roman" w:hAnsi="Times New Roman" w:cs="Times New Roman"/>
        </w:rPr>
        <w:t xml:space="preserve"> </w:t>
      </w:r>
      <w:r w:rsidR="006C6262" w:rsidRPr="00EC2EF4">
        <w:rPr>
          <w:rFonts w:ascii="Times New Roman" w:hAnsi="Times New Roman" w:cs="Times New Roman"/>
        </w:rPr>
        <w:t>L.</w:t>
      </w:r>
      <w:r w:rsidR="006002C1" w:rsidRPr="00EC2EF4">
        <w:rPr>
          <w:rFonts w:ascii="Times New Roman" w:hAnsi="Times New Roman" w:cs="Times New Roman"/>
        </w:rPr>
        <w:t xml:space="preserve"> </w:t>
      </w:r>
      <w:r w:rsidR="006C6262" w:rsidRPr="00EC2EF4">
        <w:rPr>
          <w:rFonts w:ascii="Times New Roman" w:hAnsi="Times New Roman" w:cs="Times New Roman"/>
        </w:rPr>
        <w:t>Pierattini, E. Pieroni, C. Rosiello, M. Sacconi, D. Settesoldi, F. Villa,</w:t>
      </w:r>
      <w:r w:rsidR="006C6262" w:rsidRPr="00EC2EF4">
        <w:t xml:space="preserve"> </w:t>
      </w:r>
      <w:r w:rsidR="006C6262" w:rsidRPr="00EC2EF4">
        <w:rPr>
          <w:rFonts w:ascii="Times New Roman" w:hAnsi="Times New Roman" w:cs="Times New Roman"/>
        </w:rPr>
        <w:t>A. Fabrizi, M. Fontanella, S.</w:t>
      </w:r>
      <w:r w:rsidR="006002C1" w:rsidRPr="00EC2EF4">
        <w:rPr>
          <w:rFonts w:ascii="Times New Roman" w:hAnsi="Times New Roman" w:cs="Times New Roman"/>
        </w:rPr>
        <w:t xml:space="preserve"> </w:t>
      </w:r>
      <w:r w:rsidR="006C6262" w:rsidRPr="00EC2EF4">
        <w:rPr>
          <w:rFonts w:ascii="Times New Roman" w:hAnsi="Times New Roman" w:cs="Times New Roman"/>
        </w:rPr>
        <w:t xml:space="preserve">Perna, G. Pistolesi, M. Trapanese, C. Santini, I. </w:t>
      </w:r>
      <w:proofErr w:type="spellStart"/>
      <w:r w:rsidR="006C6262" w:rsidRPr="00EC2EF4">
        <w:rPr>
          <w:rFonts w:ascii="Times New Roman" w:hAnsi="Times New Roman" w:cs="Times New Roman"/>
        </w:rPr>
        <w:t>Comessatti</w:t>
      </w:r>
      <w:proofErr w:type="spellEnd"/>
      <w:r w:rsidR="006C6262" w:rsidRPr="00EC2EF4">
        <w:rPr>
          <w:rFonts w:ascii="Times New Roman" w:hAnsi="Times New Roman" w:cs="Times New Roman"/>
        </w:rPr>
        <w:t xml:space="preserve">, F. Mazzeo, F. Pomponi, S. Vasta. </w:t>
      </w:r>
      <w:r w:rsidR="006C6262" w:rsidRPr="00BB4AA8">
        <w:rPr>
          <w:rFonts w:ascii="Times New Roman" w:hAnsi="Times New Roman" w:cs="Times New Roman"/>
          <w:b/>
          <w:bCs/>
          <w:lang w:val="en-GB"/>
        </w:rPr>
        <w:t>National Institute of Health (ISS):</w:t>
      </w:r>
      <w:r w:rsidR="006C6262" w:rsidRPr="00BB4AA8">
        <w:rPr>
          <w:rFonts w:ascii="Times New Roman" w:hAnsi="Times New Roman" w:cs="Times New Roman"/>
          <w:lang w:val="en-GB"/>
        </w:rPr>
        <w:t xml:space="preserve"> R. Da Cas, P. Ruggeri. </w:t>
      </w:r>
      <w:proofErr w:type="spellStart"/>
      <w:r w:rsidR="006C6262" w:rsidRPr="00EC2EF4">
        <w:rPr>
          <w:rFonts w:ascii="Times New Roman" w:hAnsi="Times New Roman" w:cs="Times New Roman"/>
          <w:b/>
          <w:bCs/>
        </w:rPr>
        <w:t>Regional</w:t>
      </w:r>
      <w:proofErr w:type="spellEnd"/>
      <w:r w:rsidR="006C6262" w:rsidRPr="00EC2EF4">
        <w:rPr>
          <w:rFonts w:ascii="Times New Roman" w:hAnsi="Times New Roman" w:cs="Times New Roman"/>
          <w:b/>
          <w:bCs/>
        </w:rPr>
        <w:t xml:space="preserve"> Social </w:t>
      </w:r>
      <w:proofErr w:type="spellStart"/>
      <w:r w:rsidR="006C6262" w:rsidRPr="00EC2EF4">
        <w:rPr>
          <w:rFonts w:ascii="Times New Roman" w:hAnsi="Times New Roman" w:cs="Times New Roman"/>
          <w:b/>
          <w:bCs/>
        </w:rPr>
        <w:t>Health</w:t>
      </w:r>
      <w:proofErr w:type="spellEnd"/>
      <w:r w:rsidR="006C6262" w:rsidRPr="00EC2EF4">
        <w:rPr>
          <w:rFonts w:ascii="Times New Roman" w:hAnsi="Times New Roman" w:cs="Times New Roman"/>
          <w:b/>
          <w:bCs/>
        </w:rPr>
        <w:t xml:space="preserve"> Agency</w:t>
      </w:r>
      <w:r w:rsidR="006002C1" w:rsidRPr="00EC2EF4">
        <w:rPr>
          <w:rFonts w:ascii="Times New Roman" w:hAnsi="Times New Roman" w:cs="Times New Roman"/>
          <w:b/>
          <w:bCs/>
        </w:rPr>
        <w:t xml:space="preserve"> </w:t>
      </w:r>
      <w:r w:rsidR="006C6262" w:rsidRPr="00EC2EF4">
        <w:rPr>
          <w:rFonts w:ascii="Times New Roman" w:hAnsi="Times New Roman" w:cs="Times New Roman"/>
          <w:b/>
          <w:bCs/>
        </w:rPr>
        <w:t xml:space="preserve">Emilia Romagna: </w:t>
      </w:r>
      <w:r w:rsidR="006C6262" w:rsidRPr="00EC2EF4">
        <w:rPr>
          <w:rFonts w:ascii="Times New Roman" w:hAnsi="Times New Roman" w:cs="Times New Roman"/>
        </w:rPr>
        <w:t xml:space="preserve">C. Gagliotti, M.L. Moro. </w:t>
      </w:r>
      <w:r w:rsidR="006B337C" w:rsidRPr="00BB4AA8">
        <w:rPr>
          <w:rFonts w:ascii="Times New Roman" w:hAnsi="Times New Roman" w:cs="Times New Roman"/>
          <w:b/>
          <w:bCs/>
          <w:lang w:val="en-GB"/>
        </w:rPr>
        <w:t xml:space="preserve">For the analysis on the prescribing appropriateness, </w:t>
      </w:r>
      <w:r w:rsidR="002F05FB" w:rsidRPr="00BB4AA8">
        <w:rPr>
          <w:rFonts w:ascii="Times New Roman" w:hAnsi="Times New Roman" w:cs="Times New Roman"/>
          <w:b/>
          <w:bCs/>
          <w:lang w:val="en-GB"/>
        </w:rPr>
        <w:t xml:space="preserve">Italian College of General Practitioners and Primary Care: </w:t>
      </w:r>
      <w:r w:rsidR="006C6262" w:rsidRPr="00BB4AA8">
        <w:rPr>
          <w:rFonts w:ascii="Times New Roman" w:hAnsi="Times New Roman" w:cs="Times New Roman"/>
          <w:lang w:val="en-GB"/>
        </w:rPr>
        <w:t xml:space="preserve">C. </w:t>
      </w:r>
      <w:proofErr w:type="spellStart"/>
      <w:r w:rsidR="006C6262" w:rsidRPr="00BB4AA8">
        <w:rPr>
          <w:rFonts w:ascii="Times New Roman" w:hAnsi="Times New Roman" w:cs="Times New Roman"/>
          <w:lang w:val="en-GB"/>
        </w:rPr>
        <w:t>Cricelli</w:t>
      </w:r>
      <w:proofErr w:type="spellEnd"/>
      <w:r w:rsidR="006C6262" w:rsidRPr="00BB4AA8">
        <w:rPr>
          <w:rFonts w:ascii="Times New Roman" w:hAnsi="Times New Roman" w:cs="Times New Roman"/>
          <w:lang w:val="en-GB"/>
        </w:rPr>
        <w:t xml:space="preserve">, A. Rossi, P. Lora </w:t>
      </w:r>
      <w:proofErr w:type="spellStart"/>
      <w:r w:rsidR="006C6262" w:rsidRPr="00BB4AA8">
        <w:rPr>
          <w:rFonts w:ascii="Times New Roman" w:hAnsi="Times New Roman" w:cs="Times New Roman"/>
          <w:lang w:val="en-GB"/>
        </w:rPr>
        <w:t>Aprile</w:t>
      </w:r>
      <w:proofErr w:type="spellEnd"/>
      <w:r w:rsidR="006C6262" w:rsidRPr="00BB4AA8">
        <w:rPr>
          <w:rFonts w:ascii="Times New Roman" w:hAnsi="Times New Roman" w:cs="Times New Roman"/>
          <w:lang w:val="en-GB"/>
        </w:rPr>
        <w:t>, G.</w:t>
      </w:r>
      <w:r w:rsidR="006B337C" w:rsidRPr="00211755">
        <w:rPr>
          <w:rFonts w:ascii="Times New Roman" w:hAnsi="Times New Roman" w:cs="Times New Roman"/>
          <w:lang w:val="en-GB"/>
        </w:rPr>
        <w:t xml:space="preserve"> </w:t>
      </w:r>
      <w:r w:rsidR="006C6262" w:rsidRPr="00211755">
        <w:rPr>
          <w:rFonts w:ascii="Times New Roman" w:hAnsi="Times New Roman" w:cs="Times New Roman"/>
          <w:lang w:val="en-GB"/>
        </w:rPr>
        <w:t xml:space="preserve">Medea, E. Marconi, F. </w:t>
      </w:r>
      <w:proofErr w:type="spellStart"/>
      <w:r w:rsidR="006C6262" w:rsidRPr="00211755">
        <w:rPr>
          <w:rFonts w:ascii="Times New Roman" w:hAnsi="Times New Roman" w:cs="Times New Roman"/>
          <w:lang w:val="en-GB"/>
        </w:rPr>
        <w:t>Lapi</w:t>
      </w:r>
      <w:proofErr w:type="spellEnd"/>
      <w:r w:rsidR="006C6262" w:rsidRPr="00211755">
        <w:rPr>
          <w:rFonts w:ascii="Times New Roman" w:hAnsi="Times New Roman" w:cs="Times New Roman"/>
          <w:lang w:val="en-GB"/>
        </w:rPr>
        <w:t xml:space="preserve">, I. </w:t>
      </w:r>
      <w:proofErr w:type="spellStart"/>
      <w:r w:rsidR="006C6262" w:rsidRPr="00211755">
        <w:rPr>
          <w:rFonts w:ascii="Times New Roman" w:hAnsi="Times New Roman" w:cs="Times New Roman"/>
          <w:lang w:val="en-GB"/>
        </w:rPr>
        <w:t>Cricelli</w:t>
      </w:r>
      <w:proofErr w:type="spellEnd"/>
      <w:r w:rsidRPr="00211755">
        <w:rPr>
          <w:rFonts w:ascii="Times New Roman" w:hAnsi="Times New Roman" w:cs="Times New Roman"/>
          <w:lang w:val="en-GB"/>
        </w:rPr>
        <w:t>.</w:t>
      </w:r>
      <w:r w:rsidR="006B337C" w:rsidRPr="00211755">
        <w:rPr>
          <w:rFonts w:ascii="Times New Roman" w:hAnsi="Times New Roman" w:cs="Times New Roman"/>
          <w:lang w:val="en-GB"/>
        </w:rPr>
        <w:t xml:space="preserve"> </w:t>
      </w:r>
      <w:r w:rsidR="006B337C" w:rsidRPr="00211755">
        <w:rPr>
          <w:rFonts w:ascii="Times New Roman" w:hAnsi="Times New Roman" w:cs="Times New Roman"/>
          <w:b/>
          <w:bCs/>
          <w:lang w:val="en-GB"/>
        </w:rPr>
        <w:t>Other Contributions:</w:t>
      </w:r>
      <w:r w:rsidR="006B337C" w:rsidRPr="00211755">
        <w:rPr>
          <w:rFonts w:ascii="Times New Roman" w:hAnsi="Times New Roman" w:cs="Times New Roman"/>
          <w:lang w:val="en-GB"/>
        </w:rPr>
        <w:t xml:space="preserve"> Minister of Health for the data on Hospital Discharge Form</w:t>
      </w:r>
      <w:r w:rsidR="00EA708F" w:rsidRPr="00211755">
        <w:rPr>
          <w:rFonts w:ascii="Times New Roman" w:hAnsi="Times New Roman" w:cs="Times New Roman"/>
          <w:lang w:val="en-GB"/>
        </w:rPr>
        <w:t xml:space="preserve"> (S. Carbone)</w:t>
      </w:r>
      <w:r w:rsidR="006B337C" w:rsidRPr="00211755">
        <w:rPr>
          <w:rFonts w:ascii="Times New Roman" w:hAnsi="Times New Roman" w:cs="Times New Roman"/>
          <w:lang w:val="en-GB"/>
        </w:rPr>
        <w:t xml:space="preserve">, the data of Drug Traceability, Hospital Consumption, and Direct Distribution databases (C. </w:t>
      </w:r>
      <w:proofErr w:type="spellStart"/>
      <w:r w:rsidR="006B337C" w:rsidRPr="00211755">
        <w:rPr>
          <w:rFonts w:ascii="Times New Roman" w:hAnsi="Times New Roman" w:cs="Times New Roman"/>
          <w:lang w:val="en-GB"/>
        </w:rPr>
        <w:t>Biffoli</w:t>
      </w:r>
      <w:proofErr w:type="spellEnd"/>
      <w:r w:rsidR="006B337C" w:rsidRPr="00211755">
        <w:rPr>
          <w:rFonts w:ascii="Times New Roman" w:hAnsi="Times New Roman" w:cs="Times New Roman"/>
          <w:lang w:val="en-GB"/>
        </w:rPr>
        <w:t xml:space="preserve"> e G. </w:t>
      </w:r>
      <w:proofErr w:type="spellStart"/>
      <w:r w:rsidR="00EA708F" w:rsidRPr="00211755">
        <w:rPr>
          <w:rFonts w:ascii="Times New Roman" w:hAnsi="Times New Roman" w:cs="Times New Roman"/>
          <w:lang w:val="en-GB"/>
        </w:rPr>
        <w:t>V</w:t>
      </w:r>
      <w:r w:rsidR="006B337C" w:rsidRPr="00211755">
        <w:rPr>
          <w:rFonts w:ascii="Times New Roman" w:hAnsi="Times New Roman" w:cs="Times New Roman"/>
          <w:lang w:val="en-GB"/>
        </w:rPr>
        <w:t>iggiano</w:t>
      </w:r>
      <w:proofErr w:type="spellEnd"/>
      <w:r w:rsidR="006B337C" w:rsidRPr="00211755">
        <w:rPr>
          <w:rFonts w:ascii="Times New Roman" w:hAnsi="Times New Roman" w:cs="Times New Roman"/>
          <w:lang w:val="en-GB"/>
        </w:rPr>
        <w:t xml:space="preserve">); </w:t>
      </w:r>
      <w:proofErr w:type="spellStart"/>
      <w:r w:rsidR="006B337C" w:rsidRPr="00211755">
        <w:rPr>
          <w:rFonts w:ascii="Times New Roman" w:hAnsi="Times New Roman" w:cs="Times New Roman"/>
          <w:lang w:val="en-GB"/>
        </w:rPr>
        <w:t>Farmadati</w:t>
      </w:r>
      <w:proofErr w:type="spellEnd"/>
      <w:r w:rsidR="006B337C" w:rsidRPr="00211755">
        <w:rPr>
          <w:rFonts w:ascii="Times New Roman" w:hAnsi="Times New Roman" w:cs="Times New Roman"/>
          <w:lang w:val="en-GB"/>
        </w:rPr>
        <w:t xml:space="preserve"> for its contribution to listing medical products; National Institute of Health (ISS) for having provided data from </w:t>
      </w:r>
      <w:proofErr w:type="spellStart"/>
      <w:r w:rsidR="006B337C" w:rsidRPr="00211755">
        <w:rPr>
          <w:rFonts w:ascii="Times New Roman" w:hAnsi="Times New Roman" w:cs="Times New Roman"/>
          <w:lang w:val="en-GB"/>
        </w:rPr>
        <w:t>influNet</w:t>
      </w:r>
      <w:proofErr w:type="spellEnd"/>
      <w:r w:rsidR="006B337C" w:rsidRPr="00211755">
        <w:rPr>
          <w:rFonts w:ascii="Times New Roman" w:hAnsi="Times New Roman" w:cs="Times New Roman"/>
          <w:lang w:val="en-GB"/>
        </w:rPr>
        <w:t xml:space="preserve"> </w:t>
      </w:r>
      <w:r w:rsidR="006B337C" w:rsidRPr="00211755">
        <w:rPr>
          <w:rFonts w:ascii="Times New Roman" w:hAnsi="Times New Roman" w:cs="Times New Roman"/>
          <w:lang w:val="en-GB"/>
        </w:rPr>
        <w:lastRenderedPageBreak/>
        <w:t xml:space="preserve">surveillance system (A. Bella) and </w:t>
      </w:r>
      <w:r w:rsidR="006C61ED" w:rsidRPr="00211755">
        <w:rPr>
          <w:rFonts w:ascii="Times New Roman" w:hAnsi="Times New Roman" w:cs="Times New Roman"/>
          <w:lang w:val="en-GB"/>
        </w:rPr>
        <w:t xml:space="preserve">from </w:t>
      </w:r>
      <w:r w:rsidR="006B337C" w:rsidRPr="00211755">
        <w:rPr>
          <w:rFonts w:ascii="Times New Roman" w:hAnsi="Times New Roman" w:cs="Times New Roman"/>
          <w:lang w:val="en-GB"/>
        </w:rPr>
        <w:t>AR-ISS</w:t>
      </w:r>
      <w:r w:rsidR="006C61ED" w:rsidRPr="00211755">
        <w:rPr>
          <w:rFonts w:ascii="Times New Roman" w:hAnsi="Times New Roman" w:cs="Times New Roman"/>
          <w:lang w:val="en-GB"/>
        </w:rPr>
        <w:t xml:space="preserve"> Group</w:t>
      </w:r>
      <w:r w:rsidR="006B337C" w:rsidRPr="00211755">
        <w:rPr>
          <w:rFonts w:ascii="Times New Roman" w:hAnsi="Times New Roman" w:cs="Times New Roman"/>
          <w:lang w:val="en-GB"/>
        </w:rPr>
        <w:t xml:space="preserve"> for the antibiotic resistance surveillance data (A. </w:t>
      </w:r>
      <w:proofErr w:type="spellStart"/>
      <w:r w:rsidR="006B337C" w:rsidRPr="00211755">
        <w:rPr>
          <w:rFonts w:ascii="Times New Roman" w:hAnsi="Times New Roman" w:cs="Times New Roman"/>
          <w:lang w:val="en-GB"/>
        </w:rPr>
        <w:t>Pantosti</w:t>
      </w:r>
      <w:proofErr w:type="spellEnd"/>
      <w:r w:rsidR="006B337C" w:rsidRPr="00211755">
        <w:rPr>
          <w:rFonts w:ascii="Times New Roman" w:hAnsi="Times New Roman" w:cs="Times New Roman"/>
          <w:lang w:val="en-GB"/>
        </w:rPr>
        <w:t xml:space="preserve">, S. </w:t>
      </w:r>
      <w:proofErr w:type="spellStart"/>
      <w:r w:rsidR="006B337C" w:rsidRPr="00211755">
        <w:rPr>
          <w:rFonts w:ascii="Times New Roman" w:hAnsi="Times New Roman" w:cs="Times New Roman"/>
          <w:lang w:val="en-GB"/>
        </w:rPr>
        <w:t>Bellino</w:t>
      </w:r>
      <w:proofErr w:type="spellEnd"/>
      <w:r w:rsidR="006B337C" w:rsidRPr="00211755">
        <w:rPr>
          <w:rFonts w:ascii="Times New Roman" w:hAnsi="Times New Roman" w:cs="Times New Roman"/>
          <w:lang w:val="en-GB"/>
        </w:rPr>
        <w:t xml:space="preserve">, S. </w:t>
      </w:r>
      <w:proofErr w:type="spellStart"/>
      <w:r w:rsidR="006B337C" w:rsidRPr="00211755">
        <w:rPr>
          <w:rFonts w:ascii="Times New Roman" w:hAnsi="Times New Roman" w:cs="Times New Roman"/>
          <w:lang w:val="en-GB"/>
        </w:rPr>
        <w:t>Iacchini</w:t>
      </w:r>
      <w:proofErr w:type="spellEnd"/>
      <w:r w:rsidR="006B337C" w:rsidRPr="00211755">
        <w:rPr>
          <w:rFonts w:ascii="Times New Roman" w:hAnsi="Times New Roman" w:cs="Times New Roman"/>
          <w:lang w:val="en-GB"/>
        </w:rPr>
        <w:t xml:space="preserve">, M. Monaco, P.F. </w:t>
      </w:r>
      <w:proofErr w:type="spellStart"/>
      <w:r w:rsidR="006B337C" w:rsidRPr="00211755">
        <w:rPr>
          <w:rFonts w:ascii="Times New Roman" w:hAnsi="Times New Roman" w:cs="Times New Roman"/>
          <w:lang w:val="en-GB"/>
        </w:rPr>
        <w:t>D’Ancona</w:t>
      </w:r>
      <w:proofErr w:type="spellEnd"/>
      <w:r w:rsidR="006B337C" w:rsidRPr="00211755">
        <w:rPr>
          <w:rFonts w:ascii="Times New Roman" w:hAnsi="Times New Roman" w:cs="Times New Roman"/>
          <w:lang w:val="en-GB"/>
        </w:rPr>
        <w:t xml:space="preserve"> e P. </w:t>
      </w:r>
      <w:proofErr w:type="spellStart"/>
      <w:r w:rsidR="006B337C" w:rsidRPr="00211755">
        <w:rPr>
          <w:rFonts w:ascii="Times New Roman" w:hAnsi="Times New Roman" w:cs="Times New Roman"/>
          <w:lang w:val="en-GB"/>
        </w:rPr>
        <w:t>Pezzotti</w:t>
      </w:r>
      <w:proofErr w:type="spellEnd"/>
      <w:r w:rsidR="006B337C" w:rsidRPr="00211755">
        <w:rPr>
          <w:rFonts w:ascii="Times New Roman" w:hAnsi="Times New Roman" w:cs="Times New Roman"/>
          <w:lang w:val="en-GB"/>
        </w:rPr>
        <w:t>)</w:t>
      </w:r>
      <w:r w:rsidR="006C61ED" w:rsidRPr="00211755">
        <w:rPr>
          <w:rFonts w:ascii="Times New Roman" w:hAnsi="Times New Roman" w:cs="Times New Roman"/>
          <w:lang w:val="en-GB"/>
        </w:rPr>
        <w:t>.</w:t>
      </w:r>
    </w:p>
    <w:p w14:paraId="48AE9548" w14:textId="098FAF6C" w:rsidR="007876F6" w:rsidRDefault="007876F6" w:rsidP="006002C1">
      <w:pPr>
        <w:spacing w:line="480" w:lineRule="auto"/>
        <w:jc w:val="both"/>
        <w:rPr>
          <w:lang w:val="en-GB"/>
        </w:rPr>
      </w:pPr>
    </w:p>
    <w:p w14:paraId="68497735" w14:textId="0AC28A50" w:rsidR="00890013" w:rsidRPr="00890013" w:rsidRDefault="00890013" w:rsidP="006002C1">
      <w:pPr>
        <w:spacing w:line="480" w:lineRule="auto"/>
        <w:jc w:val="both"/>
        <w:rPr>
          <w:b/>
          <w:bCs/>
        </w:rPr>
      </w:pPr>
      <w:r w:rsidRPr="00890013">
        <w:rPr>
          <w:b/>
          <w:bCs/>
        </w:rPr>
        <w:t>D</w:t>
      </w:r>
      <w:r w:rsidRPr="00890013">
        <w:rPr>
          <w:b/>
          <w:bCs/>
        </w:rPr>
        <w:t xml:space="preserve">ata </w:t>
      </w:r>
      <w:proofErr w:type="spellStart"/>
      <w:r w:rsidRPr="00890013">
        <w:rPr>
          <w:b/>
          <w:bCs/>
        </w:rPr>
        <w:t>availability</w:t>
      </w:r>
      <w:proofErr w:type="spellEnd"/>
      <w:r w:rsidRPr="00890013">
        <w:rPr>
          <w:b/>
          <w:bCs/>
        </w:rPr>
        <w:t xml:space="preserve"> </w:t>
      </w:r>
      <w:proofErr w:type="spellStart"/>
      <w:r w:rsidRPr="00890013">
        <w:rPr>
          <w:b/>
          <w:bCs/>
        </w:rPr>
        <w:t>statement</w:t>
      </w:r>
      <w:proofErr w:type="spellEnd"/>
      <w:r w:rsidRPr="00890013">
        <w:rPr>
          <w:b/>
          <w:bCs/>
        </w:rPr>
        <w:t>:</w:t>
      </w:r>
    </w:p>
    <w:p w14:paraId="6440C859" w14:textId="2B7BBD5D" w:rsidR="00890013" w:rsidRDefault="00890013" w:rsidP="006002C1">
      <w:pPr>
        <w:spacing w:line="480" w:lineRule="auto"/>
        <w:jc w:val="both"/>
        <w:rPr>
          <w:lang w:val="en-GB"/>
        </w:rPr>
      </w:pPr>
      <w:r w:rsidRPr="00890013">
        <w:rPr>
          <w:lang w:val="en-GB"/>
        </w:rPr>
        <w:t>The data that support the findings of this study are available from the corresponding author, [author initials], upon reasonable request</w:t>
      </w:r>
      <w:r>
        <w:rPr>
          <w:lang w:val="en-GB"/>
        </w:rPr>
        <w:t>.</w:t>
      </w:r>
    </w:p>
    <w:p w14:paraId="737C488D" w14:textId="77777777" w:rsidR="00890013" w:rsidRDefault="00890013" w:rsidP="006002C1">
      <w:pPr>
        <w:spacing w:line="480" w:lineRule="auto"/>
        <w:jc w:val="both"/>
        <w:rPr>
          <w:b/>
          <w:bCs/>
          <w:lang w:val="en-GB"/>
        </w:rPr>
      </w:pPr>
    </w:p>
    <w:p w14:paraId="451C6A75" w14:textId="1C228606" w:rsidR="00890013" w:rsidRDefault="00890013" w:rsidP="006002C1">
      <w:pPr>
        <w:spacing w:line="480" w:lineRule="auto"/>
        <w:jc w:val="both"/>
        <w:rPr>
          <w:b/>
          <w:bCs/>
          <w:lang w:val="en-GB"/>
        </w:rPr>
      </w:pPr>
      <w:r w:rsidRPr="00890013">
        <w:rPr>
          <w:b/>
          <w:bCs/>
          <w:lang w:val="en-GB"/>
        </w:rPr>
        <w:t>Figures legends:</w:t>
      </w:r>
    </w:p>
    <w:p w14:paraId="6ACCF80A" w14:textId="5C77D2E4" w:rsidR="00890013" w:rsidRDefault="00890013" w:rsidP="006002C1">
      <w:pPr>
        <w:spacing w:line="480" w:lineRule="auto"/>
        <w:jc w:val="both"/>
        <w:rPr>
          <w:lang w:val="en-GB"/>
        </w:rPr>
      </w:pPr>
      <w:r w:rsidRPr="00EC2EF4">
        <w:rPr>
          <w:b/>
          <w:lang w:val="en-GB"/>
        </w:rPr>
        <w:t xml:space="preserve">Figure 1. </w:t>
      </w:r>
      <w:r w:rsidRPr="00EC2EF4">
        <w:rPr>
          <w:lang w:val="en-GB"/>
        </w:rPr>
        <w:t xml:space="preserve">Regional variability in the consumption of antibiotics (DDD/1000 </w:t>
      </w:r>
      <w:proofErr w:type="spellStart"/>
      <w:r w:rsidRPr="00EC2EF4">
        <w:rPr>
          <w:lang w:val="en-GB"/>
        </w:rPr>
        <w:t>inhab</w:t>
      </w:r>
      <w:proofErr w:type="spellEnd"/>
      <w:r w:rsidRPr="00EC2EF4">
        <w:rPr>
          <w:lang w:val="en-GB"/>
        </w:rPr>
        <w:t xml:space="preserve">. </w:t>
      </w:r>
      <w:r w:rsidRPr="00EC2EF4">
        <w:rPr>
          <w:i/>
          <w:lang w:val="en-GB"/>
        </w:rPr>
        <w:t>die</w:t>
      </w:r>
      <w:r w:rsidRPr="00EC2EF4">
        <w:rPr>
          <w:lang w:val="en-GB"/>
        </w:rPr>
        <w:t>) by ATC III</w:t>
      </w:r>
      <w:r w:rsidRPr="00EC2EF4">
        <w:rPr>
          <w:b/>
          <w:lang w:val="en-GB"/>
        </w:rPr>
        <w:t xml:space="preserve"> </w:t>
      </w:r>
      <w:r w:rsidRPr="00EC2EF4">
        <w:rPr>
          <w:lang w:val="en-GB"/>
        </w:rPr>
        <w:t>level in 2018</w:t>
      </w:r>
    </w:p>
    <w:p w14:paraId="15F7869A" w14:textId="71B9CCD4" w:rsidR="00890013" w:rsidRDefault="00890013" w:rsidP="00890013">
      <w:pPr>
        <w:spacing w:line="360" w:lineRule="auto"/>
        <w:jc w:val="both"/>
        <w:rPr>
          <w:lang w:val="en-GB"/>
        </w:rPr>
      </w:pPr>
      <w:r w:rsidRPr="00EC2EF4">
        <w:rPr>
          <w:b/>
          <w:lang w:val="en-GB"/>
        </w:rPr>
        <w:t xml:space="preserve">Figure 2. </w:t>
      </w:r>
      <w:r w:rsidRPr="00EC2EF4">
        <w:rPr>
          <w:lang w:val="en-GB"/>
        </w:rPr>
        <w:t>Consumption and prevalence of use of antibiotics (J01) in community setting by age and gender in Italy in 2018</w:t>
      </w:r>
    </w:p>
    <w:p w14:paraId="467C1C7A" w14:textId="41B21B6F" w:rsidR="00890013" w:rsidRDefault="00890013" w:rsidP="00890013">
      <w:pPr>
        <w:spacing w:line="360" w:lineRule="auto"/>
        <w:rPr>
          <w:lang w:val="en-GB"/>
        </w:rPr>
      </w:pPr>
      <w:r w:rsidRPr="00EC2EF4">
        <w:rPr>
          <w:b/>
          <w:lang w:val="en-GB"/>
        </w:rPr>
        <w:t xml:space="preserve">Figure 3. </w:t>
      </w:r>
      <w:r w:rsidRPr="00EC2EF4">
        <w:rPr>
          <w:lang w:val="en-GB"/>
        </w:rPr>
        <w:t>Trend on monthly basis of the consumption of antibiotics (J01) in Italy in the period 2014-2018</w:t>
      </w:r>
    </w:p>
    <w:p w14:paraId="0D9B3490" w14:textId="77777777" w:rsidR="00890013" w:rsidRPr="00EC2EF4" w:rsidRDefault="00890013" w:rsidP="00890013">
      <w:pPr>
        <w:rPr>
          <w:lang w:val="en-GB"/>
        </w:rPr>
      </w:pPr>
      <w:r w:rsidRPr="00EC2EF4">
        <w:rPr>
          <w:b/>
          <w:lang w:val="en-GB"/>
        </w:rPr>
        <w:t xml:space="preserve">Figure 4. </w:t>
      </w:r>
      <w:r w:rsidRPr="00EC2EF4">
        <w:rPr>
          <w:lang w:val="en-GB"/>
        </w:rPr>
        <w:t xml:space="preserve">Correlation between consumption (DDD/1,000 </w:t>
      </w:r>
      <w:proofErr w:type="spellStart"/>
      <w:r w:rsidRPr="00EC2EF4">
        <w:rPr>
          <w:lang w:val="en-GB"/>
        </w:rPr>
        <w:t>inhab</w:t>
      </w:r>
      <w:proofErr w:type="spellEnd"/>
      <w:r w:rsidRPr="00EC2EF4">
        <w:rPr>
          <w:lang w:val="en-GB"/>
        </w:rPr>
        <w:t xml:space="preserve">. </w:t>
      </w:r>
      <w:r w:rsidRPr="00EC2EF4">
        <w:rPr>
          <w:i/>
          <w:lang w:val="en-GB"/>
        </w:rPr>
        <w:t>die</w:t>
      </w:r>
      <w:r w:rsidRPr="00EC2EF4">
        <w:rPr>
          <w:lang w:val="en-GB"/>
        </w:rPr>
        <w:t>) of antibiotics (J01) and incidence of flu syndrome in the period 2014-2018</w:t>
      </w:r>
    </w:p>
    <w:p w14:paraId="68D34F6F" w14:textId="77777777" w:rsidR="00890013" w:rsidRPr="00EC2EF4" w:rsidRDefault="00890013" w:rsidP="00890013">
      <w:pPr>
        <w:spacing w:line="360" w:lineRule="auto"/>
        <w:rPr>
          <w:lang w:val="en-GB"/>
        </w:rPr>
      </w:pPr>
    </w:p>
    <w:p w14:paraId="7FF3C93D" w14:textId="77777777" w:rsidR="00890013" w:rsidRPr="00EC2EF4" w:rsidRDefault="00890013" w:rsidP="00890013">
      <w:pPr>
        <w:spacing w:line="360" w:lineRule="auto"/>
        <w:jc w:val="both"/>
        <w:rPr>
          <w:b/>
          <w:lang w:val="en-GB"/>
        </w:rPr>
      </w:pPr>
    </w:p>
    <w:p w14:paraId="7BE26405" w14:textId="77777777" w:rsidR="00890013" w:rsidRPr="00890013" w:rsidRDefault="00890013" w:rsidP="006002C1">
      <w:pPr>
        <w:spacing w:line="480" w:lineRule="auto"/>
        <w:jc w:val="both"/>
        <w:rPr>
          <w:b/>
          <w:bCs/>
          <w:lang w:val="en-GB"/>
        </w:rPr>
      </w:pPr>
    </w:p>
    <w:p w14:paraId="6AF6905D" w14:textId="77777777" w:rsidR="00D8544D" w:rsidRPr="00211755" w:rsidRDefault="00D8544D" w:rsidP="002900A3">
      <w:pPr>
        <w:spacing w:line="480" w:lineRule="auto"/>
        <w:jc w:val="both"/>
        <w:rPr>
          <w:lang w:val="en-GB"/>
        </w:rPr>
      </w:pPr>
      <w:r w:rsidRPr="00211755">
        <w:rPr>
          <w:lang w:val="en-GB"/>
        </w:rPr>
        <w:br w:type="page"/>
      </w:r>
    </w:p>
    <w:p w14:paraId="1C8CC452" w14:textId="77777777" w:rsidR="00A55131" w:rsidRPr="00211755" w:rsidRDefault="00A55131" w:rsidP="00A55131">
      <w:pPr>
        <w:rPr>
          <w:b/>
          <w:lang w:val="en-GB"/>
        </w:rPr>
      </w:pPr>
      <w:r w:rsidRPr="00211755">
        <w:rPr>
          <w:b/>
          <w:lang w:val="en-GB"/>
        </w:rPr>
        <w:lastRenderedPageBreak/>
        <w:t>References</w:t>
      </w:r>
    </w:p>
    <w:p w14:paraId="5F545095" w14:textId="77777777" w:rsidR="00A55131" w:rsidRPr="00EC2EF4" w:rsidRDefault="00A55131" w:rsidP="00A55131">
      <w:pPr>
        <w:pStyle w:val="Paragrafoelenco"/>
        <w:numPr>
          <w:ilvl w:val="0"/>
          <w:numId w:val="14"/>
        </w:numPr>
        <w:jc w:val="both"/>
        <w:rPr>
          <w:lang w:val="en-GB"/>
        </w:rPr>
      </w:pPr>
      <w:r w:rsidRPr="00EC2EF4">
        <w:rPr>
          <w:lang w:val="en-GB"/>
        </w:rPr>
        <w:t xml:space="preserve">Laxminarayan R, Duse A, </w:t>
      </w:r>
      <w:proofErr w:type="spellStart"/>
      <w:r w:rsidRPr="00EC2EF4">
        <w:rPr>
          <w:lang w:val="en-GB"/>
        </w:rPr>
        <w:t>WattalCetal</w:t>
      </w:r>
      <w:proofErr w:type="spellEnd"/>
      <w:r w:rsidRPr="00EC2EF4">
        <w:rPr>
          <w:lang w:val="en-GB"/>
        </w:rPr>
        <w:t xml:space="preserve">. Antibiotic resistance—the need for global solutions. Lancet Infect Dis 2013; 13: 1057–98. </w:t>
      </w:r>
    </w:p>
    <w:p w14:paraId="40A45951" w14:textId="77777777" w:rsidR="00A55131" w:rsidRPr="00EC2EF4" w:rsidRDefault="00A55131" w:rsidP="00A55131">
      <w:pPr>
        <w:pStyle w:val="Paragrafoelenco"/>
        <w:numPr>
          <w:ilvl w:val="0"/>
          <w:numId w:val="14"/>
        </w:numPr>
        <w:spacing w:before="100" w:beforeAutospacing="1" w:after="100" w:afterAutospacing="1"/>
        <w:jc w:val="both"/>
        <w:rPr>
          <w:lang w:val="en-GB"/>
        </w:rPr>
      </w:pPr>
      <w:r w:rsidRPr="00EC2EF4">
        <w:rPr>
          <w:lang w:val="en-GB"/>
        </w:rPr>
        <w:t xml:space="preserve">Holmes AH, Moore LS, </w:t>
      </w:r>
      <w:proofErr w:type="spellStart"/>
      <w:r w:rsidRPr="00EC2EF4">
        <w:rPr>
          <w:lang w:val="en-GB"/>
        </w:rPr>
        <w:t>Sundsfjord</w:t>
      </w:r>
      <w:proofErr w:type="spellEnd"/>
      <w:r w:rsidRPr="00EC2EF4">
        <w:rPr>
          <w:lang w:val="en-GB"/>
        </w:rPr>
        <w:t xml:space="preserve"> A et al. Understanding the mechanisms and drivers of antimicrobial resistance. Lancet 2016; 387: 176–87.</w:t>
      </w:r>
    </w:p>
    <w:p w14:paraId="7C03558F" w14:textId="77777777" w:rsidR="00A55131" w:rsidRPr="00EC2EF4" w:rsidRDefault="00A55131" w:rsidP="00A55131">
      <w:pPr>
        <w:pStyle w:val="Paragrafoelenco"/>
        <w:numPr>
          <w:ilvl w:val="0"/>
          <w:numId w:val="14"/>
        </w:numPr>
        <w:spacing w:before="100" w:beforeAutospacing="1" w:after="100" w:afterAutospacing="1"/>
        <w:jc w:val="both"/>
        <w:rPr>
          <w:lang w:val="en-GB"/>
        </w:rPr>
      </w:pPr>
      <w:r w:rsidRPr="00EC2EF4">
        <w:t xml:space="preserve">Prestinaci F, Pezzotti P, </w:t>
      </w:r>
      <w:proofErr w:type="spellStart"/>
      <w:r w:rsidRPr="00EC2EF4">
        <w:t>Pantosti</w:t>
      </w:r>
      <w:proofErr w:type="spellEnd"/>
      <w:r w:rsidRPr="00EC2EF4">
        <w:t xml:space="preserve"> A. </w:t>
      </w:r>
      <w:proofErr w:type="spellStart"/>
      <w:r w:rsidRPr="00EC2EF4">
        <w:t>Antimicrobial</w:t>
      </w:r>
      <w:proofErr w:type="spellEnd"/>
      <w:r w:rsidRPr="00EC2EF4">
        <w:t xml:space="preserve"> </w:t>
      </w:r>
      <w:proofErr w:type="spellStart"/>
      <w:r w:rsidRPr="00EC2EF4">
        <w:t>resistance</w:t>
      </w:r>
      <w:proofErr w:type="spellEnd"/>
      <w:r w:rsidRPr="00EC2EF4">
        <w:t xml:space="preserve">: a global </w:t>
      </w:r>
      <w:proofErr w:type="spellStart"/>
      <w:r w:rsidRPr="00EC2EF4">
        <w:t>multifaceted</w:t>
      </w:r>
      <w:proofErr w:type="spellEnd"/>
      <w:r w:rsidRPr="00EC2EF4">
        <w:t xml:space="preserve"> </w:t>
      </w:r>
      <w:proofErr w:type="spellStart"/>
      <w:r w:rsidRPr="00EC2EF4">
        <w:t>phenomenon</w:t>
      </w:r>
      <w:proofErr w:type="spellEnd"/>
      <w:r w:rsidRPr="00EC2EF4">
        <w:t xml:space="preserve">. </w:t>
      </w:r>
      <w:hyperlink r:id="rId8" w:history="1">
        <w:proofErr w:type="spellStart"/>
        <w:r w:rsidRPr="00EC2EF4">
          <w:rPr>
            <w:lang w:val="en-GB"/>
          </w:rPr>
          <w:t>Pathog</w:t>
        </w:r>
        <w:proofErr w:type="spellEnd"/>
        <w:r w:rsidRPr="00EC2EF4">
          <w:rPr>
            <w:lang w:val="en-GB"/>
          </w:rPr>
          <w:t xml:space="preserve"> Glob Health</w:t>
        </w:r>
      </w:hyperlink>
      <w:r w:rsidRPr="00EC2EF4">
        <w:rPr>
          <w:lang w:val="en-GB"/>
        </w:rPr>
        <w:t>. October, 2015; 109(7): 309–318. </w:t>
      </w:r>
    </w:p>
    <w:p w14:paraId="26F646B0" w14:textId="77777777" w:rsidR="00A55131" w:rsidRPr="00EC2EF4" w:rsidRDefault="00A55131" w:rsidP="00A55131">
      <w:pPr>
        <w:pStyle w:val="Paragrafoelenco"/>
        <w:numPr>
          <w:ilvl w:val="0"/>
          <w:numId w:val="14"/>
        </w:numPr>
        <w:spacing w:before="100" w:beforeAutospacing="1" w:after="100" w:afterAutospacing="1"/>
        <w:jc w:val="both"/>
        <w:rPr>
          <w:lang w:val="en-GB"/>
        </w:rPr>
      </w:pPr>
      <w:r w:rsidRPr="00EC2EF4">
        <w:rPr>
          <w:lang w:val="en-GB"/>
        </w:rPr>
        <w:t xml:space="preserve">Wozniak TM, </w:t>
      </w:r>
      <w:proofErr w:type="spellStart"/>
      <w:r w:rsidRPr="00EC2EF4">
        <w:rPr>
          <w:lang w:val="en-GB"/>
        </w:rPr>
        <w:t>Barnsbee</w:t>
      </w:r>
      <w:proofErr w:type="spellEnd"/>
      <w:r w:rsidRPr="00EC2EF4">
        <w:rPr>
          <w:lang w:val="en-GB"/>
        </w:rPr>
        <w:t xml:space="preserve"> L, Lee XJ, Pacella RE. Using the best available data to estimate the cost of antimicrobial resistance: a systematic review. </w:t>
      </w:r>
      <w:proofErr w:type="spellStart"/>
      <w:r w:rsidRPr="00EC2EF4">
        <w:rPr>
          <w:lang w:val="en-GB"/>
        </w:rPr>
        <w:t>Antimicrob</w:t>
      </w:r>
      <w:proofErr w:type="spellEnd"/>
      <w:r w:rsidRPr="00EC2EF4">
        <w:rPr>
          <w:lang w:val="en-GB"/>
        </w:rPr>
        <w:t xml:space="preserve"> Resist Infect Control. </w:t>
      </w:r>
      <w:proofErr w:type="gramStart"/>
      <w:r w:rsidRPr="00EC2EF4">
        <w:rPr>
          <w:lang w:val="en-GB"/>
        </w:rPr>
        <w:t>2019;8:26</w:t>
      </w:r>
      <w:proofErr w:type="gramEnd"/>
      <w:r w:rsidRPr="00EC2EF4">
        <w:rPr>
          <w:lang w:val="en-GB"/>
        </w:rPr>
        <w:t xml:space="preserve">. </w:t>
      </w:r>
    </w:p>
    <w:p w14:paraId="51028B9A" w14:textId="77777777" w:rsidR="00A55131" w:rsidRPr="00EC2EF4" w:rsidRDefault="00A55131" w:rsidP="00A55131">
      <w:pPr>
        <w:pStyle w:val="Paragrafoelenco"/>
        <w:numPr>
          <w:ilvl w:val="0"/>
          <w:numId w:val="14"/>
        </w:numPr>
        <w:jc w:val="both"/>
        <w:rPr>
          <w:lang w:val="en-GB"/>
        </w:rPr>
      </w:pPr>
      <w:proofErr w:type="spellStart"/>
      <w:r w:rsidRPr="00EC2EF4">
        <w:rPr>
          <w:lang w:val="en-GB"/>
        </w:rPr>
        <w:t>Goessens</w:t>
      </w:r>
      <w:proofErr w:type="spellEnd"/>
      <w:r w:rsidRPr="00EC2EF4">
        <w:rPr>
          <w:lang w:val="en-GB"/>
        </w:rPr>
        <w:t xml:space="preserve"> H. </w:t>
      </w:r>
      <w:proofErr w:type="spellStart"/>
      <w:r w:rsidRPr="00EC2EF4">
        <w:rPr>
          <w:lang w:val="en-GB"/>
        </w:rPr>
        <w:t>Ferech</w:t>
      </w:r>
      <w:proofErr w:type="spellEnd"/>
      <w:r w:rsidRPr="00EC2EF4">
        <w:rPr>
          <w:lang w:val="en-GB"/>
        </w:rPr>
        <w:t xml:space="preserve"> M. </w:t>
      </w:r>
      <w:proofErr w:type="spellStart"/>
      <w:r w:rsidRPr="00EC2EF4">
        <w:rPr>
          <w:lang w:val="en-GB"/>
        </w:rPr>
        <w:t>Stichele</w:t>
      </w:r>
      <w:proofErr w:type="spellEnd"/>
      <w:r w:rsidRPr="00EC2EF4">
        <w:rPr>
          <w:lang w:val="en-GB"/>
        </w:rPr>
        <w:t xml:space="preserve"> RV. </w:t>
      </w:r>
      <w:proofErr w:type="spellStart"/>
      <w:r w:rsidRPr="00EC2EF4">
        <w:rPr>
          <w:lang w:val="en-GB"/>
        </w:rPr>
        <w:t>Elseviers</w:t>
      </w:r>
      <w:proofErr w:type="spellEnd"/>
      <w:r w:rsidRPr="00EC2EF4">
        <w:rPr>
          <w:lang w:val="en-GB"/>
        </w:rPr>
        <w:t xml:space="preserve"> M. Outpatient antibiotic use in Europe and association with resistance: a cross National database study. Lancet. 2005 </w:t>
      </w:r>
      <w:proofErr w:type="spellStart"/>
      <w:r w:rsidRPr="00EC2EF4">
        <w:rPr>
          <w:lang w:val="en-GB"/>
        </w:rPr>
        <w:t>Febr</w:t>
      </w:r>
      <w:proofErr w:type="spellEnd"/>
      <w:r w:rsidRPr="00EC2EF4">
        <w:rPr>
          <w:lang w:val="en-GB"/>
        </w:rPr>
        <w:t xml:space="preserve"> 12; 365(9459):579-87.</w:t>
      </w:r>
    </w:p>
    <w:p w14:paraId="69B27F97" w14:textId="77777777" w:rsidR="00A55131" w:rsidRPr="00EC2EF4" w:rsidRDefault="00A55131" w:rsidP="00A55131">
      <w:pPr>
        <w:pStyle w:val="Paragrafoelenco"/>
        <w:numPr>
          <w:ilvl w:val="0"/>
          <w:numId w:val="14"/>
        </w:numPr>
        <w:jc w:val="both"/>
        <w:rPr>
          <w:lang w:val="en-GB"/>
        </w:rPr>
      </w:pPr>
      <w:r w:rsidRPr="00EC2EF4">
        <w:rPr>
          <w:lang w:val="en-GB"/>
        </w:rPr>
        <w:t xml:space="preserve">Castro-Sánchez. E.; Moore. L.S.; </w:t>
      </w:r>
      <w:proofErr w:type="spellStart"/>
      <w:r w:rsidRPr="00EC2EF4">
        <w:rPr>
          <w:lang w:val="en-GB"/>
        </w:rPr>
        <w:t>Husson</w:t>
      </w:r>
      <w:proofErr w:type="spellEnd"/>
      <w:r w:rsidRPr="00EC2EF4">
        <w:rPr>
          <w:lang w:val="en-GB"/>
        </w:rPr>
        <w:t xml:space="preserve">. F.; Holmes. A.H. What are the factors driving antimicrobial resistance? </w:t>
      </w:r>
      <w:r w:rsidRPr="00EC2EF4">
        <w:rPr>
          <w:i/>
          <w:iCs/>
          <w:lang w:val="en-GB"/>
        </w:rPr>
        <w:t>Perspectives from a public event in London. England. BMC Infect. Dis.</w:t>
      </w:r>
      <w:r w:rsidRPr="00EC2EF4">
        <w:rPr>
          <w:lang w:val="en-GB"/>
        </w:rPr>
        <w:t xml:space="preserve"> 2016. </w:t>
      </w:r>
      <w:r w:rsidRPr="00EC2EF4">
        <w:rPr>
          <w:i/>
          <w:iCs/>
          <w:lang w:val="en-GB"/>
        </w:rPr>
        <w:t>16</w:t>
      </w:r>
      <w:r w:rsidRPr="00EC2EF4">
        <w:rPr>
          <w:lang w:val="en-GB"/>
        </w:rPr>
        <w:t>. 465</w:t>
      </w:r>
    </w:p>
    <w:p w14:paraId="7FD5AC3A" w14:textId="77777777" w:rsidR="00A55131" w:rsidRPr="00EC2EF4" w:rsidRDefault="00A55131" w:rsidP="00A55131">
      <w:pPr>
        <w:pStyle w:val="Paragrafoelenco"/>
        <w:numPr>
          <w:ilvl w:val="0"/>
          <w:numId w:val="14"/>
        </w:numPr>
        <w:jc w:val="both"/>
        <w:rPr>
          <w:lang w:val="en-GB"/>
        </w:rPr>
      </w:pPr>
      <w:r w:rsidRPr="00EC2EF4">
        <w:rPr>
          <w:lang w:val="en-GB"/>
        </w:rPr>
        <w:t>World Health Organization (2015). Global Action Plan on Antimicrobial Resistance. WHO: Antimicrobial resistance (</w:t>
      </w:r>
      <w:hyperlink r:id="rId9" w:history="1">
        <w:r w:rsidRPr="00EC2EF4">
          <w:rPr>
            <w:rStyle w:val="Collegamentoipertestuale"/>
            <w:lang w:val="en-GB"/>
          </w:rPr>
          <w:t>https://www.who.int/antimicrobial-resistance/global-action-plan/en/</w:t>
        </w:r>
      </w:hyperlink>
      <w:r w:rsidRPr="00EC2EF4">
        <w:rPr>
          <w:lang w:val="en-GB"/>
        </w:rPr>
        <w:t>).</w:t>
      </w:r>
    </w:p>
    <w:p w14:paraId="433D2E3F" w14:textId="77777777" w:rsidR="00A55131" w:rsidRPr="00EC2EF4" w:rsidRDefault="00A55131" w:rsidP="00A55131">
      <w:pPr>
        <w:pStyle w:val="Paragrafoelenco"/>
        <w:numPr>
          <w:ilvl w:val="0"/>
          <w:numId w:val="14"/>
        </w:numPr>
        <w:spacing w:before="100" w:beforeAutospacing="1" w:after="100" w:afterAutospacing="1"/>
        <w:jc w:val="both"/>
        <w:rPr>
          <w:lang w:val="en-GB"/>
        </w:rPr>
      </w:pPr>
      <w:r w:rsidRPr="00EC2EF4">
        <w:rPr>
          <w:lang w:val="en-GB"/>
        </w:rPr>
        <w:t xml:space="preserve">Collignon PJ, McEwen SA. One Health-Its Importance in Helping to Better Control Antimicrobial Resistance. </w:t>
      </w:r>
      <w:hyperlink r:id="rId10" w:tooltip="Tropical medicine and infectious disease." w:history="1">
        <w:r w:rsidRPr="00EC2EF4">
          <w:rPr>
            <w:lang w:val="en-GB"/>
          </w:rPr>
          <w:t>Trop Med Infect Dis.</w:t>
        </w:r>
      </w:hyperlink>
      <w:r w:rsidRPr="00EC2EF4">
        <w:rPr>
          <w:lang w:val="en-GB"/>
        </w:rPr>
        <w:t xml:space="preserve"> 2019;4(1). </w:t>
      </w:r>
    </w:p>
    <w:p w14:paraId="1D24066C" w14:textId="77777777" w:rsidR="00A55131" w:rsidRPr="00EC2EF4" w:rsidRDefault="00A55131" w:rsidP="00A55131">
      <w:pPr>
        <w:pStyle w:val="Paragrafoelenco"/>
        <w:numPr>
          <w:ilvl w:val="0"/>
          <w:numId w:val="14"/>
        </w:numPr>
        <w:jc w:val="both"/>
        <w:rPr>
          <w:lang w:val="en-GB"/>
        </w:rPr>
      </w:pPr>
      <w:r w:rsidRPr="00BB4AA8">
        <w:rPr>
          <w:lang w:val="en-GB"/>
        </w:rPr>
        <w:t>European Centre for Disease Prevention and Control. Surveillance of antimicrobial resistance in Europe 2018. Stockholm: ECDC; 2019.</w:t>
      </w:r>
    </w:p>
    <w:p w14:paraId="0A17276B" w14:textId="346CC58A" w:rsidR="00A55131" w:rsidRPr="00EC2EF4" w:rsidRDefault="00A55131" w:rsidP="00A55131">
      <w:pPr>
        <w:pStyle w:val="Paragrafoelenco"/>
        <w:numPr>
          <w:ilvl w:val="0"/>
          <w:numId w:val="14"/>
        </w:numPr>
        <w:jc w:val="both"/>
      </w:pPr>
      <w:r w:rsidRPr="00EC2EF4">
        <w:t xml:space="preserve">Istituto Superiore di Sanità. AR-ISS: </w:t>
      </w:r>
      <w:proofErr w:type="spellStart"/>
      <w:r w:rsidRPr="00EC2EF4">
        <w:t>antibiotic</w:t>
      </w:r>
      <w:proofErr w:type="spellEnd"/>
      <w:r w:rsidRPr="00EC2EF4">
        <w:t xml:space="preserve"> </w:t>
      </w:r>
      <w:proofErr w:type="spellStart"/>
      <w:r w:rsidRPr="00EC2EF4">
        <w:t>resistance</w:t>
      </w:r>
      <w:proofErr w:type="spellEnd"/>
      <w:r w:rsidRPr="00EC2EF4">
        <w:t xml:space="preserve"> </w:t>
      </w:r>
      <w:proofErr w:type="spellStart"/>
      <w:r w:rsidRPr="00EC2EF4">
        <w:t>surveillance</w:t>
      </w:r>
      <w:proofErr w:type="spellEnd"/>
      <w:r w:rsidRPr="00EC2EF4">
        <w:t xml:space="preserve"> in </w:t>
      </w:r>
      <w:proofErr w:type="spellStart"/>
      <w:r w:rsidRPr="00EC2EF4">
        <w:t>Italy</w:t>
      </w:r>
      <w:proofErr w:type="spellEnd"/>
      <w:r w:rsidRPr="00EC2EF4">
        <w:t xml:space="preserve">. Report for </w:t>
      </w:r>
      <w:proofErr w:type="spellStart"/>
      <w:r w:rsidRPr="00EC2EF4">
        <w:t>five-year</w:t>
      </w:r>
      <w:proofErr w:type="spellEnd"/>
      <w:r w:rsidRPr="00EC2EF4">
        <w:t xml:space="preserve"> </w:t>
      </w:r>
      <w:proofErr w:type="spellStart"/>
      <w:r w:rsidRPr="00EC2EF4">
        <w:t>period</w:t>
      </w:r>
      <w:proofErr w:type="spellEnd"/>
      <w:r w:rsidRPr="00EC2EF4">
        <w:t xml:space="preserve"> 2012-2016. Stefania Bellino, Simone Iacchini, Monica Monaco, Francesca Prestinaci, Claudia Lucarelli, Maria Del Grosso, Romina Camilli, Giulia Errico, Fortunato D’Ancona, Patrizio Pezzotti, Annalisa </w:t>
      </w:r>
      <w:proofErr w:type="spellStart"/>
      <w:r w:rsidRPr="00EC2EF4">
        <w:t>Pantosti</w:t>
      </w:r>
      <w:proofErr w:type="spellEnd"/>
      <w:r w:rsidRPr="00EC2EF4">
        <w:t xml:space="preserve"> and AR-ISS </w:t>
      </w:r>
      <w:r w:rsidR="006C61ED" w:rsidRPr="00EC2EF4">
        <w:t>c</w:t>
      </w:r>
      <w:r w:rsidRPr="00EC2EF4">
        <w:t xml:space="preserve"> 2018, vi, 98 p. Rapporti ISTISAN 18/22 (in </w:t>
      </w:r>
      <w:proofErr w:type="spellStart"/>
      <w:r w:rsidRPr="00EC2EF4">
        <w:t>Italian</w:t>
      </w:r>
      <w:proofErr w:type="spellEnd"/>
      <w:r w:rsidRPr="00EC2EF4">
        <w:t>).</w:t>
      </w:r>
    </w:p>
    <w:p w14:paraId="354FE09B" w14:textId="77777777" w:rsidR="00A55131" w:rsidRPr="00EC2EF4" w:rsidRDefault="00A55131" w:rsidP="00A55131">
      <w:pPr>
        <w:pStyle w:val="Paragrafoelenco"/>
        <w:numPr>
          <w:ilvl w:val="0"/>
          <w:numId w:val="14"/>
        </w:numPr>
        <w:jc w:val="both"/>
        <w:rPr>
          <w:lang w:val="en-GB"/>
        </w:rPr>
      </w:pPr>
      <w:r w:rsidRPr="00EC2EF4">
        <w:rPr>
          <w:lang w:val="en-GB"/>
        </w:rPr>
        <w:t>European Centre for Disease Prevention and Control (ECDC). Antimicrobial consumption. In: ECDC Annual Epidemiological Report for 2018”. Stockholm: ECDC; 2019a</w:t>
      </w:r>
    </w:p>
    <w:p w14:paraId="54685EA4" w14:textId="77777777" w:rsidR="00A55131" w:rsidRPr="00EC2EF4" w:rsidRDefault="00A55131" w:rsidP="00A55131">
      <w:pPr>
        <w:pStyle w:val="Paragrafoelenco"/>
        <w:numPr>
          <w:ilvl w:val="0"/>
          <w:numId w:val="14"/>
        </w:numPr>
        <w:jc w:val="both"/>
      </w:pPr>
      <w:r w:rsidRPr="00EC2EF4">
        <w:t>Ministero della Salute. Piano Nazionale di Contrasto dell'Antimicrobico-Resistenza (PNCAR) 2017- 2020. Anno 2017. (</w:t>
      </w:r>
      <w:hyperlink r:id="rId11" w:history="1">
        <w:r w:rsidRPr="00EC2EF4">
          <w:rPr>
            <w:rStyle w:val="Collegamentoipertestuale"/>
          </w:rPr>
          <w:t>http://www.salute.gov.it/imgs/C_17_pubblicazioni_2660_allegato.pdf</w:t>
        </w:r>
      </w:hyperlink>
      <w:r w:rsidRPr="00EC2EF4">
        <w:t>)</w:t>
      </w:r>
    </w:p>
    <w:p w14:paraId="4303AC98" w14:textId="77777777" w:rsidR="00A55131" w:rsidRPr="00BB4AA8" w:rsidRDefault="00A55131" w:rsidP="00A55131">
      <w:pPr>
        <w:pStyle w:val="Paragrafoelenco"/>
        <w:numPr>
          <w:ilvl w:val="0"/>
          <w:numId w:val="14"/>
        </w:numPr>
        <w:spacing w:before="100" w:beforeAutospacing="1" w:after="100" w:afterAutospacing="1"/>
        <w:jc w:val="both"/>
        <w:rPr>
          <w:lang w:val="en-GB"/>
        </w:rPr>
      </w:pPr>
      <w:r w:rsidRPr="00EC2EF4">
        <w:rPr>
          <w:lang w:val="en-GB"/>
        </w:rPr>
        <w:t xml:space="preserve">Chatterjee A, </w:t>
      </w:r>
      <w:proofErr w:type="spellStart"/>
      <w:r w:rsidRPr="00EC2EF4">
        <w:rPr>
          <w:lang w:val="en-GB"/>
        </w:rPr>
        <w:t>Modarai</w:t>
      </w:r>
      <w:proofErr w:type="spellEnd"/>
      <w:r w:rsidRPr="00EC2EF4">
        <w:rPr>
          <w:lang w:val="en-GB"/>
        </w:rPr>
        <w:t xml:space="preserve"> M, Naylor NR, Boyd SE, </w:t>
      </w:r>
      <w:proofErr w:type="spellStart"/>
      <w:r w:rsidRPr="00EC2EF4">
        <w:rPr>
          <w:lang w:val="en-GB"/>
        </w:rPr>
        <w:t>Atun</w:t>
      </w:r>
      <w:proofErr w:type="spellEnd"/>
      <w:r w:rsidRPr="00EC2EF4">
        <w:rPr>
          <w:lang w:val="en-GB"/>
        </w:rPr>
        <w:t xml:space="preserve"> R, Barlow J, Holmes AH, Johnson A, </w:t>
      </w:r>
      <w:proofErr w:type="spellStart"/>
      <w:r w:rsidRPr="00EC2EF4">
        <w:rPr>
          <w:lang w:val="en-GB"/>
        </w:rPr>
        <w:t>Robotham</w:t>
      </w:r>
      <w:proofErr w:type="spellEnd"/>
      <w:r w:rsidRPr="00EC2EF4">
        <w:rPr>
          <w:lang w:val="en-GB"/>
        </w:rPr>
        <w:t xml:space="preserve"> JV. Quantifying drivers of antibiotic resistance in humans: a systematic review. </w:t>
      </w:r>
      <w:hyperlink r:id="rId12" w:tooltip="The Lancet. Infectious diseases." w:history="1">
        <w:r w:rsidRPr="00211755">
          <w:rPr>
            <w:lang w:val="en-GB"/>
          </w:rPr>
          <w:t>Lancet Infect Dis.</w:t>
        </w:r>
      </w:hyperlink>
      <w:r w:rsidRPr="00BB4AA8">
        <w:rPr>
          <w:lang w:val="en-GB"/>
        </w:rPr>
        <w:t xml:space="preserve"> 2018;18(12</w:t>
      </w:r>
      <w:proofErr w:type="gramStart"/>
      <w:r w:rsidRPr="00BB4AA8">
        <w:rPr>
          <w:lang w:val="en-GB"/>
        </w:rPr>
        <w:t>):e</w:t>
      </w:r>
      <w:proofErr w:type="gramEnd"/>
      <w:r w:rsidRPr="00BB4AA8">
        <w:rPr>
          <w:lang w:val="en-GB"/>
        </w:rPr>
        <w:t xml:space="preserve">368-e378. </w:t>
      </w:r>
    </w:p>
    <w:p w14:paraId="7F011616" w14:textId="77777777" w:rsidR="00A55131" w:rsidRPr="00EC2EF4" w:rsidRDefault="00A55131" w:rsidP="00A55131">
      <w:pPr>
        <w:pStyle w:val="Paragrafoelenco"/>
        <w:numPr>
          <w:ilvl w:val="0"/>
          <w:numId w:val="14"/>
        </w:numPr>
        <w:shd w:val="clear" w:color="auto" w:fill="FFFFFF" w:themeFill="background1"/>
        <w:ind w:right="-9"/>
        <w:jc w:val="both"/>
        <w:rPr>
          <w:lang w:val="en-GB"/>
        </w:rPr>
      </w:pPr>
      <w:r w:rsidRPr="00EC2EF4">
        <w:rPr>
          <w:lang w:val="en-GB"/>
        </w:rPr>
        <w:t>European Medicines Agency (EMA). Disabling and potentially permanent side effects lead to suspension or restrictions of quinolone and fluoroquinolone antibiotics (EMA/795349/2018), 16 November 2018 (https://www.ema.europa.eu/documents/pressrelease/disabling-potentiallypermanent-side-effects-lead-suspension-restrictionsquinolone-fluoroquinolone_en.pdf).</w:t>
      </w:r>
    </w:p>
    <w:p w14:paraId="67B94625" w14:textId="77777777" w:rsidR="00A55131" w:rsidRPr="00EC2EF4" w:rsidRDefault="00A55131" w:rsidP="00A55131">
      <w:pPr>
        <w:pStyle w:val="Paragrafoelenco"/>
        <w:numPr>
          <w:ilvl w:val="0"/>
          <w:numId w:val="14"/>
        </w:numPr>
        <w:shd w:val="clear" w:color="auto" w:fill="FFFFFF" w:themeFill="background1"/>
        <w:ind w:right="-9"/>
        <w:jc w:val="both"/>
        <w:rPr>
          <w:lang w:val="en-GB"/>
        </w:rPr>
      </w:pPr>
      <w:r w:rsidRPr="00EC2EF4">
        <w:rPr>
          <w:lang w:val="en-GB"/>
        </w:rPr>
        <w:t>The Medicines Utilisation Monitoring Centre</w:t>
      </w:r>
      <w:r w:rsidRPr="00EC2EF4">
        <w:rPr>
          <w:noProof/>
        </w:rPr>
        <mc:AlternateContent>
          <mc:Choice Requires="wps">
            <w:drawing>
              <wp:anchor distT="0" distB="0" distL="114300" distR="114300" simplePos="0" relativeHeight="251659264" behindDoc="0" locked="0" layoutInCell="1" allowOverlap="1" wp14:anchorId="0AC00530" wp14:editId="0393C86D">
                <wp:simplePos x="0" y="0"/>
                <wp:positionH relativeFrom="column">
                  <wp:posOffset>2465705</wp:posOffset>
                </wp:positionH>
                <wp:positionV relativeFrom="paragraph">
                  <wp:posOffset>8792845</wp:posOffset>
                </wp:positionV>
                <wp:extent cx="685800" cy="685800"/>
                <wp:effectExtent l="0" t="0" r="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AB5C7" id="Rectangle 8" o:spid="_x0000_s1026" style="position:absolute;margin-left:194.15pt;margin-top:692.35pt;width:5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" stroked="f"/>
            </w:pict>
          </mc:Fallback>
        </mc:AlternateContent>
      </w:r>
      <w:r w:rsidRPr="00EC2EF4">
        <w:rPr>
          <w:lang w:val="en-GB"/>
        </w:rPr>
        <w:t xml:space="preserve">. National Report on antibiotics use in Italy. Year 2017. Rome: Italian Medicines Agency. 2019. </w:t>
      </w:r>
    </w:p>
    <w:p w14:paraId="49C4F8E5" w14:textId="77777777" w:rsidR="00A55131" w:rsidRPr="00EC2EF4" w:rsidRDefault="00A55131" w:rsidP="00A55131">
      <w:pPr>
        <w:pStyle w:val="Paragrafoelenco"/>
        <w:numPr>
          <w:ilvl w:val="0"/>
          <w:numId w:val="14"/>
        </w:numPr>
        <w:jc w:val="both"/>
        <w:rPr>
          <w:lang w:val="en-GB"/>
        </w:rPr>
      </w:pPr>
      <w:r w:rsidRPr="00EC2EF4">
        <w:rPr>
          <w:lang w:val="en-GB"/>
        </w:rPr>
        <w:t>The Medicines Utilisation Monitoring Centre</w:t>
      </w:r>
      <w:r w:rsidRPr="00EC2EF4">
        <w:rPr>
          <w:noProof/>
        </w:rPr>
        <mc:AlternateContent>
          <mc:Choice Requires="wps">
            <w:drawing>
              <wp:anchor distT="0" distB="0" distL="114300" distR="114300" simplePos="0" relativeHeight="251660288" behindDoc="0" locked="0" layoutInCell="1" allowOverlap="1" wp14:anchorId="577CA3BC" wp14:editId="63A24E98">
                <wp:simplePos x="0" y="0"/>
                <wp:positionH relativeFrom="column">
                  <wp:posOffset>2465705</wp:posOffset>
                </wp:positionH>
                <wp:positionV relativeFrom="paragraph">
                  <wp:posOffset>8792845</wp:posOffset>
                </wp:positionV>
                <wp:extent cx="685800" cy="6858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D34F2" id="Rectangle 8" o:spid="_x0000_s1026" style="position:absolute;margin-left:194.15pt;margin-top:692.35pt;width:54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" stroked="f"/>
            </w:pict>
          </mc:Fallback>
        </mc:AlternateContent>
      </w:r>
      <w:r w:rsidRPr="00EC2EF4">
        <w:rPr>
          <w:lang w:val="en-GB"/>
        </w:rPr>
        <w:t>. National Report on antibiotics use in Italy. Year 2018. Rome: Italian Medicines Agency. 2019</w:t>
      </w:r>
    </w:p>
    <w:p w14:paraId="248D41E9" w14:textId="77777777" w:rsidR="00A55131" w:rsidRPr="00EC2EF4" w:rsidRDefault="00A55131" w:rsidP="00A55131">
      <w:pPr>
        <w:pStyle w:val="Paragrafoelenco"/>
        <w:numPr>
          <w:ilvl w:val="0"/>
          <w:numId w:val="14"/>
        </w:numPr>
        <w:jc w:val="both"/>
        <w:rPr>
          <w:lang w:val="en-GB"/>
        </w:rPr>
      </w:pPr>
      <w:r w:rsidRPr="00EC2EF4">
        <w:rPr>
          <w:lang w:val="en-GB"/>
        </w:rPr>
        <w:t>The Medicines Utilisation Monitoring Centre</w:t>
      </w:r>
      <w:r w:rsidRPr="00EC2EF4">
        <w:rPr>
          <w:noProof/>
        </w:rPr>
        <mc:AlternateContent>
          <mc:Choice Requires="wps">
            <w:drawing>
              <wp:anchor distT="0" distB="0" distL="114300" distR="114300" simplePos="0" relativeHeight="251661312" behindDoc="0" locked="0" layoutInCell="1" allowOverlap="1" wp14:anchorId="64ADFB40" wp14:editId="018CC4E2">
                <wp:simplePos x="0" y="0"/>
                <wp:positionH relativeFrom="column">
                  <wp:posOffset>2465705</wp:posOffset>
                </wp:positionH>
                <wp:positionV relativeFrom="paragraph">
                  <wp:posOffset>8792845</wp:posOffset>
                </wp:positionV>
                <wp:extent cx="685800" cy="685800"/>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4D425" id="Rectangle 8" o:spid="_x0000_s1026" style="position:absolute;margin-left:194.15pt;margin-top:692.35pt;width:54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" stroked="f"/>
            </w:pict>
          </mc:Fallback>
        </mc:AlternateContent>
      </w:r>
      <w:r w:rsidRPr="00EC2EF4">
        <w:rPr>
          <w:lang w:val="en-GB"/>
        </w:rPr>
        <w:t>. National Report on antibiotics use. Rome: Italian Medicines Agency. 2009</w:t>
      </w:r>
    </w:p>
    <w:p w14:paraId="5A263D84" w14:textId="77777777" w:rsidR="00A55131" w:rsidRPr="00EC2EF4" w:rsidRDefault="00A55131" w:rsidP="00A55131">
      <w:pPr>
        <w:pStyle w:val="Paragrafoelenco"/>
        <w:numPr>
          <w:ilvl w:val="0"/>
          <w:numId w:val="14"/>
        </w:numPr>
        <w:spacing w:line="348" w:lineRule="atLeast"/>
        <w:jc w:val="both"/>
        <w:rPr>
          <w:rFonts w:eastAsiaTheme="minorHAnsi"/>
          <w:lang w:val="en-GB"/>
        </w:rPr>
      </w:pPr>
      <w:proofErr w:type="spellStart"/>
      <w:r w:rsidRPr="00EC2EF4">
        <w:rPr>
          <w:rFonts w:eastAsiaTheme="minorHAnsi"/>
        </w:rPr>
        <w:t>Barchitta</w:t>
      </w:r>
      <w:proofErr w:type="spellEnd"/>
      <w:r w:rsidRPr="00EC2EF4">
        <w:rPr>
          <w:rFonts w:eastAsiaTheme="minorHAnsi"/>
        </w:rPr>
        <w:t xml:space="preserve"> M, Quattrocchi A, Maugeri A, La Rosa MC, La Mastra C, Sessa L, </w:t>
      </w:r>
      <w:proofErr w:type="spellStart"/>
      <w:r w:rsidRPr="00EC2EF4">
        <w:rPr>
          <w:rFonts w:eastAsiaTheme="minorHAnsi"/>
        </w:rPr>
        <w:t>Cananzi</w:t>
      </w:r>
      <w:proofErr w:type="spellEnd"/>
      <w:r w:rsidRPr="00EC2EF4">
        <w:rPr>
          <w:rFonts w:eastAsiaTheme="minorHAnsi"/>
        </w:rPr>
        <w:t xml:space="preserve"> P, Murolo G, Oteri A, Basile G, </w:t>
      </w:r>
      <w:proofErr w:type="spellStart"/>
      <w:r w:rsidRPr="00EC2EF4">
        <w:rPr>
          <w:rFonts w:eastAsiaTheme="minorHAnsi"/>
        </w:rPr>
        <w:t>Agodi</w:t>
      </w:r>
      <w:proofErr w:type="spellEnd"/>
      <w:r w:rsidRPr="00EC2EF4">
        <w:rPr>
          <w:rFonts w:eastAsiaTheme="minorHAnsi"/>
        </w:rPr>
        <w:t xml:space="preserve"> A. </w:t>
      </w:r>
      <w:proofErr w:type="spellStart"/>
      <w:r w:rsidRPr="00EC2EF4">
        <w:rPr>
          <w:rFonts w:eastAsiaTheme="minorHAnsi"/>
        </w:rPr>
        <w:t>Antibiotic</w:t>
      </w:r>
      <w:proofErr w:type="spellEnd"/>
      <w:r w:rsidRPr="00EC2EF4">
        <w:rPr>
          <w:rFonts w:eastAsiaTheme="minorHAnsi"/>
        </w:rPr>
        <w:t xml:space="preserve"> </w:t>
      </w:r>
      <w:proofErr w:type="spellStart"/>
      <w:r w:rsidRPr="00EC2EF4">
        <w:rPr>
          <w:rFonts w:eastAsiaTheme="minorHAnsi"/>
        </w:rPr>
        <w:t>Consumption</w:t>
      </w:r>
      <w:proofErr w:type="spellEnd"/>
      <w:r w:rsidRPr="00EC2EF4">
        <w:rPr>
          <w:rFonts w:eastAsiaTheme="minorHAnsi"/>
        </w:rPr>
        <w:t xml:space="preserve"> and </w:t>
      </w:r>
      <w:proofErr w:type="spellStart"/>
      <w:r w:rsidRPr="00EC2EF4">
        <w:rPr>
          <w:rFonts w:eastAsiaTheme="minorHAnsi"/>
        </w:rPr>
        <w:t>Resistance</w:t>
      </w:r>
      <w:proofErr w:type="spellEnd"/>
      <w:r w:rsidRPr="00EC2EF4">
        <w:rPr>
          <w:rFonts w:eastAsiaTheme="minorHAnsi"/>
        </w:rPr>
        <w:t xml:space="preserve"> </w:t>
      </w:r>
      <w:proofErr w:type="spellStart"/>
      <w:r w:rsidRPr="00EC2EF4">
        <w:rPr>
          <w:rFonts w:eastAsiaTheme="minorHAnsi"/>
        </w:rPr>
        <w:t>during</w:t>
      </w:r>
      <w:proofErr w:type="spellEnd"/>
      <w:r w:rsidRPr="00EC2EF4">
        <w:rPr>
          <w:rFonts w:eastAsiaTheme="minorHAnsi"/>
        </w:rPr>
        <w:t xml:space="preserve"> a 3-Year </w:t>
      </w:r>
      <w:proofErr w:type="spellStart"/>
      <w:r w:rsidRPr="00EC2EF4">
        <w:rPr>
          <w:rFonts w:eastAsiaTheme="minorHAnsi"/>
        </w:rPr>
        <w:t>Period</w:t>
      </w:r>
      <w:proofErr w:type="spellEnd"/>
      <w:r w:rsidRPr="00EC2EF4">
        <w:rPr>
          <w:rFonts w:eastAsiaTheme="minorHAnsi"/>
        </w:rPr>
        <w:t xml:space="preserve"> in </w:t>
      </w:r>
      <w:proofErr w:type="spellStart"/>
      <w:r w:rsidRPr="00EC2EF4">
        <w:rPr>
          <w:rFonts w:eastAsiaTheme="minorHAnsi"/>
        </w:rPr>
        <w:t>Sicily</w:t>
      </w:r>
      <w:proofErr w:type="spellEnd"/>
      <w:r w:rsidRPr="00EC2EF4">
        <w:rPr>
          <w:rFonts w:eastAsiaTheme="minorHAnsi"/>
        </w:rPr>
        <w:t xml:space="preserve">, Southern </w:t>
      </w:r>
      <w:proofErr w:type="spellStart"/>
      <w:r w:rsidRPr="00EC2EF4">
        <w:rPr>
          <w:rFonts w:eastAsiaTheme="minorHAnsi"/>
        </w:rPr>
        <w:t>Italy</w:t>
      </w:r>
      <w:proofErr w:type="spellEnd"/>
      <w:r w:rsidRPr="00EC2EF4">
        <w:rPr>
          <w:rFonts w:eastAsiaTheme="minorHAnsi"/>
        </w:rPr>
        <w:t xml:space="preserve">. </w:t>
      </w:r>
      <w:r w:rsidRPr="00EC2EF4">
        <w:rPr>
          <w:rFonts w:eastAsiaTheme="minorHAnsi"/>
          <w:lang w:val="en-GB"/>
        </w:rPr>
        <w:t xml:space="preserve">Int J Environ Res Public Health. 2019;16(13). </w:t>
      </w:r>
    </w:p>
    <w:p w14:paraId="0812E1CD" w14:textId="77777777" w:rsidR="00A55131" w:rsidRPr="00EC2EF4" w:rsidRDefault="00A55131" w:rsidP="00A55131">
      <w:pPr>
        <w:pStyle w:val="Paragrafoelenco"/>
        <w:numPr>
          <w:ilvl w:val="0"/>
          <w:numId w:val="14"/>
        </w:numPr>
        <w:spacing w:line="348" w:lineRule="atLeast"/>
        <w:jc w:val="both"/>
        <w:rPr>
          <w:lang w:val="en-GB"/>
        </w:rPr>
      </w:pPr>
      <w:proofErr w:type="spellStart"/>
      <w:r w:rsidRPr="00EC2EF4">
        <w:rPr>
          <w:lang w:val="en-GB"/>
        </w:rPr>
        <w:lastRenderedPageBreak/>
        <w:t>Bonaldo</w:t>
      </w:r>
      <w:proofErr w:type="spellEnd"/>
      <w:r w:rsidRPr="00EC2EF4">
        <w:rPr>
          <w:lang w:val="en-GB"/>
        </w:rPr>
        <w:t xml:space="preserve"> G, Bianchi S, Ancona D, </w:t>
      </w:r>
      <w:proofErr w:type="spellStart"/>
      <w:r w:rsidRPr="00EC2EF4">
        <w:rPr>
          <w:lang w:val="en-GB"/>
        </w:rPr>
        <w:t>Procacci</w:t>
      </w:r>
      <w:proofErr w:type="spellEnd"/>
      <w:r w:rsidRPr="00EC2EF4">
        <w:rPr>
          <w:lang w:val="en-GB"/>
        </w:rPr>
        <w:t xml:space="preserve"> C, </w:t>
      </w:r>
      <w:proofErr w:type="spellStart"/>
      <w:r w:rsidRPr="00EC2EF4">
        <w:rPr>
          <w:lang w:val="en-GB"/>
        </w:rPr>
        <w:t>Natalini</w:t>
      </w:r>
      <w:proofErr w:type="spellEnd"/>
      <w:r w:rsidRPr="00EC2EF4">
        <w:rPr>
          <w:lang w:val="en-GB"/>
        </w:rPr>
        <w:t xml:space="preserve"> N, </w:t>
      </w:r>
      <w:proofErr w:type="spellStart"/>
      <w:r w:rsidRPr="00EC2EF4">
        <w:rPr>
          <w:lang w:val="en-GB"/>
        </w:rPr>
        <w:t>Motola</w:t>
      </w:r>
      <w:proofErr w:type="spellEnd"/>
      <w:r w:rsidRPr="00EC2EF4">
        <w:rPr>
          <w:lang w:val="en-GB"/>
        </w:rPr>
        <w:t xml:space="preserve"> D, </w:t>
      </w:r>
      <w:proofErr w:type="spellStart"/>
      <w:r w:rsidRPr="00EC2EF4">
        <w:rPr>
          <w:lang w:val="en-GB"/>
        </w:rPr>
        <w:t>Vaccheri</w:t>
      </w:r>
      <w:proofErr w:type="spellEnd"/>
      <w:r w:rsidRPr="00EC2EF4">
        <w:rPr>
          <w:lang w:val="en-GB"/>
        </w:rPr>
        <w:t xml:space="preserve"> A. The prescription of antimicrobials by general practitioners: the differences between north and south Italian provinces. </w:t>
      </w:r>
      <w:hyperlink r:id="rId13" w:tooltip="Expert review of anti-infective therapy." w:history="1">
        <w:r w:rsidRPr="00EC2EF4">
          <w:rPr>
            <w:lang w:val="en-GB"/>
          </w:rPr>
          <w:t xml:space="preserve">Expert Rev Anti Infect </w:t>
        </w:r>
        <w:proofErr w:type="spellStart"/>
        <w:r w:rsidRPr="00EC2EF4">
          <w:rPr>
            <w:lang w:val="en-GB"/>
          </w:rPr>
          <w:t>Ther</w:t>
        </w:r>
        <w:proofErr w:type="spellEnd"/>
        <w:r w:rsidRPr="00EC2EF4">
          <w:rPr>
            <w:lang w:val="en-GB"/>
          </w:rPr>
          <w:t>.</w:t>
        </w:r>
      </w:hyperlink>
      <w:r w:rsidRPr="00EC2EF4">
        <w:rPr>
          <w:lang w:val="en-GB"/>
        </w:rPr>
        <w:t xml:space="preserve"> 2020;18(2):165-170. </w:t>
      </w:r>
    </w:p>
    <w:p w14:paraId="576D17B7" w14:textId="77777777" w:rsidR="00A55131" w:rsidRPr="00EC2EF4" w:rsidRDefault="00A55131" w:rsidP="00A55131">
      <w:pPr>
        <w:pStyle w:val="Paragrafoelenco"/>
        <w:numPr>
          <w:ilvl w:val="0"/>
          <w:numId w:val="14"/>
        </w:numPr>
        <w:jc w:val="both"/>
        <w:rPr>
          <w:lang w:val="en-GB"/>
        </w:rPr>
      </w:pPr>
      <w:r w:rsidRPr="00EC2EF4">
        <w:rPr>
          <w:lang w:val="en-GB"/>
        </w:rPr>
        <w:t>WHO Collaborating Centre for Drug Statistics Methodology, Guidelines for ATC classification and DDD assignment 2020. Oslo, Norway, 2019.</w:t>
      </w:r>
    </w:p>
    <w:p w14:paraId="0F33A1B3" w14:textId="77777777" w:rsidR="00A55131" w:rsidRPr="00BB4AA8" w:rsidRDefault="00A55131" w:rsidP="00A55131">
      <w:pPr>
        <w:pStyle w:val="Paragrafoelenco"/>
        <w:numPr>
          <w:ilvl w:val="0"/>
          <w:numId w:val="14"/>
        </w:numPr>
        <w:jc w:val="both"/>
        <w:rPr>
          <w:lang w:val="en-GB"/>
        </w:rPr>
      </w:pPr>
      <w:r w:rsidRPr="00EC2EF4">
        <w:rPr>
          <w:lang w:val="en-GB"/>
        </w:rPr>
        <w:t xml:space="preserve">The Medicines Utilisation Monitoring Centre National report on medicines use in Italy. year. Italian Med. Agency 2018. 2019. [Internet]. 2019. </w:t>
      </w:r>
      <w:r w:rsidRPr="00BB4AA8">
        <w:rPr>
          <w:lang w:val="en-GB"/>
        </w:rPr>
        <w:t xml:space="preserve">Available from http://www.aifa.gov.it/content/rapporti- </w:t>
      </w:r>
      <w:proofErr w:type="spellStart"/>
      <w:r w:rsidRPr="00BB4AA8">
        <w:rPr>
          <w:lang w:val="en-GB"/>
        </w:rPr>
        <w:t>osmed</w:t>
      </w:r>
      <w:proofErr w:type="spellEnd"/>
      <w:r w:rsidRPr="00BB4AA8">
        <w:rPr>
          <w:lang w:val="en-GB"/>
        </w:rPr>
        <w:t xml:space="preserve">- </w:t>
      </w:r>
      <w:proofErr w:type="spellStart"/>
      <w:r w:rsidRPr="00BB4AA8">
        <w:rPr>
          <w:lang w:val="en-GB"/>
        </w:rPr>
        <w:t>luso</w:t>
      </w:r>
      <w:proofErr w:type="spellEnd"/>
      <w:r w:rsidRPr="00BB4AA8">
        <w:rPr>
          <w:lang w:val="en-GB"/>
        </w:rPr>
        <w:t xml:space="preserve">- </w:t>
      </w:r>
      <w:proofErr w:type="spellStart"/>
      <w:r w:rsidRPr="00BB4AA8">
        <w:rPr>
          <w:lang w:val="en-GB"/>
        </w:rPr>
        <w:t>dei</w:t>
      </w:r>
      <w:proofErr w:type="spellEnd"/>
      <w:r w:rsidRPr="00BB4AA8">
        <w:rPr>
          <w:lang w:val="en-GB"/>
        </w:rPr>
        <w:t xml:space="preserve">- </w:t>
      </w:r>
      <w:proofErr w:type="spellStart"/>
      <w:r w:rsidRPr="00BB4AA8">
        <w:rPr>
          <w:lang w:val="en-GB"/>
        </w:rPr>
        <w:t>farmaci</w:t>
      </w:r>
      <w:proofErr w:type="spellEnd"/>
      <w:r w:rsidRPr="00BB4AA8">
        <w:rPr>
          <w:lang w:val="en-GB"/>
        </w:rPr>
        <w:t xml:space="preserve">- </w:t>
      </w:r>
      <w:proofErr w:type="spellStart"/>
      <w:r w:rsidRPr="00BB4AA8">
        <w:rPr>
          <w:lang w:val="en-GB"/>
        </w:rPr>
        <w:t>italia</w:t>
      </w:r>
      <w:proofErr w:type="spellEnd"/>
      <w:r w:rsidRPr="00BB4AA8">
        <w:rPr>
          <w:lang w:val="en-GB"/>
        </w:rPr>
        <w:t xml:space="preserve">. </w:t>
      </w:r>
    </w:p>
    <w:p w14:paraId="4ACEF7D0" w14:textId="77777777" w:rsidR="00A55131" w:rsidRPr="00EC2EF4" w:rsidRDefault="00A55131" w:rsidP="00A55131">
      <w:pPr>
        <w:pStyle w:val="Paragrafoelenco"/>
        <w:numPr>
          <w:ilvl w:val="0"/>
          <w:numId w:val="14"/>
        </w:numPr>
        <w:jc w:val="both"/>
        <w:rPr>
          <w:lang w:val="en-GB"/>
        </w:rPr>
      </w:pPr>
      <w:proofErr w:type="spellStart"/>
      <w:r w:rsidRPr="00EC2EF4">
        <w:rPr>
          <w:lang w:val="en-GB"/>
        </w:rPr>
        <w:t>Liem</w:t>
      </w:r>
      <w:proofErr w:type="spellEnd"/>
      <w:r w:rsidRPr="00EC2EF4">
        <w:rPr>
          <w:lang w:val="en-GB"/>
        </w:rPr>
        <w:t xml:space="preserve"> TB. </w:t>
      </w:r>
      <w:proofErr w:type="spellStart"/>
      <w:r w:rsidRPr="00EC2EF4">
        <w:rPr>
          <w:lang w:val="en-GB"/>
        </w:rPr>
        <w:t>Heerdink</w:t>
      </w:r>
      <w:proofErr w:type="spellEnd"/>
      <w:r w:rsidRPr="00EC2EF4">
        <w:rPr>
          <w:lang w:val="en-GB"/>
        </w:rPr>
        <w:t xml:space="preserve"> ER. Egberts AC. </w:t>
      </w:r>
      <w:proofErr w:type="spellStart"/>
      <w:r w:rsidRPr="00EC2EF4">
        <w:rPr>
          <w:lang w:val="en-GB"/>
        </w:rPr>
        <w:t>Rademaker</w:t>
      </w:r>
      <w:proofErr w:type="spellEnd"/>
      <w:r w:rsidRPr="00EC2EF4">
        <w:rPr>
          <w:lang w:val="en-GB"/>
        </w:rPr>
        <w:t xml:space="preserve"> CM. Quantifying antibiotic use in paediatrics: a proposal for neonatal DDDs. Eur J Clin </w:t>
      </w:r>
      <w:proofErr w:type="spellStart"/>
      <w:r w:rsidRPr="00EC2EF4">
        <w:rPr>
          <w:lang w:val="en-GB"/>
        </w:rPr>
        <w:t>Microbiol</w:t>
      </w:r>
      <w:proofErr w:type="spellEnd"/>
      <w:r w:rsidRPr="00EC2EF4">
        <w:rPr>
          <w:lang w:val="en-GB"/>
        </w:rPr>
        <w:t xml:space="preserve"> Infect Dis. 20</w:t>
      </w:r>
    </w:p>
    <w:p w14:paraId="0105D1B7" w14:textId="77777777" w:rsidR="00A55131" w:rsidRPr="00EC2EF4" w:rsidRDefault="00A55131" w:rsidP="00A55131">
      <w:pPr>
        <w:pStyle w:val="Paragrafoelenco"/>
        <w:numPr>
          <w:ilvl w:val="0"/>
          <w:numId w:val="14"/>
        </w:numPr>
        <w:jc w:val="both"/>
        <w:rPr>
          <w:lang w:val="en-GB"/>
        </w:rPr>
      </w:pPr>
      <w:proofErr w:type="spellStart"/>
      <w:r w:rsidRPr="00EC2EF4">
        <w:rPr>
          <w:lang w:val="en-GB"/>
        </w:rPr>
        <w:t>Avorn</w:t>
      </w:r>
      <w:proofErr w:type="spellEnd"/>
      <w:r w:rsidRPr="00EC2EF4">
        <w:rPr>
          <w:lang w:val="en-GB"/>
        </w:rPr>
        <w:t xml:space="preserve"> J, Solomon DH (2000) Cultural and economic factors that (mis)shape antibiotic use: the nonpharmacologic basis of therapeutics. Ann Intern Med 133:128–13510;29(10):1301–1303. doi:10.1007/s10096-010-0990-3</w:t>
      </w:r>
    </w:p>
    <w:p w14:paraId="574B0337" w14:textId="77777777" w:rsidR="00A55131" w:rsidRPr="00EC2EF4" w:rsidRDefault="00A55131" w:rsidP="00A55131">
      <w:pPr>
        <w:pStyle w:val="Paragrafoelenco"/>
        <w:numPr>
          <w:ilvl w:val="0"/>
          <w:numId w:val="14"/>
        </w:numPr>
        <w:jc w:val="both"/>
        <w:rPr>
          <w:lang w:val="en-GB"/>
        </w:rPr>
      </w:pPr>
      <w:r w:rsidRPr="00EC2EF4">
        <w:t xml:space="preserve">Mazzaglia G, Caputi AP, Rossi A, </w:t>
      </w:r>
      <w:proofErr w:type="spellStart"/>
      <w:r w:rsidRPr="00EC2EF4">
        <w:t>Bettoncelli</w:t>
      </w:r>
      <w:proofErr w:type="spellEnd"/>
      <w:r w:rsidRPr="00EC2EF4">
        <w:t xml:space="preserve"> G, Stefanini G, Ventriglia G, et al. </w:t>
      </w:r>
      <w:r w:rsidRPr="00EC2EF4">
        <w:rPr>
          <w:lang w:val="en-GB"/>
        </w:rPr>
        <w:t xml:space="preserve">Exploring patient- and doctor-related variables associated with antibiotic prescribing for respiratory infections in primary care. Eur J Clin </w:t>
      </w:r>
      <w:proofErr w:type="spellStart"/>
      <w:r w:rsidRPr="00EC2EF4">
        <w:rPr>
          <w:lang w:val="en-GB"/>
        </w:rPr>
        <w:t>Pharmacol</w:t>
      </w:r>
      <w:proofErr w:type="spellEnd"/>
      <w:r w:rsidRPr="00EC2EF4">
        <w:rPr>
          <w:lang w:val="en-GB"/>
        </w:rPr>
        <w:t xml:space="preserve">. </w:t>
      </w:r>
      <w:proofErr w:type="gramStart"/>
      <w:r w:rsidRPr="00EC2EF4">
        <w:rPr>
          <w:lang w:val="en-GB"/>
        </w:rPr>
        <w:t>2003;59:651</w:t>
      </w:r>
      <w:proofErr w:type="gramEnd"/>
      <w:r w:rsidRPr="00EC2EF4">
        <w:rPr>
          <w:lang w:val="en-GB"/>
        </w:rPr>
        <w:t>–7.</w:t>
      </w:r>
    </w:p>
    <w:p w14:paraId="73C7357D" w14:textId="77777777" w:rsidR="00A55131" w:rsidRPr="00EC2EF4" w:rsidRDefault="00A55131" w:rsidP="00A55131">
      <w:pPr>
        <w:pStyle w:val="Paragrafoelenco"/>
        <w:numPr>
          <w:ilvl w:val="0"/>
          <w:numId w:val="14"/>
        </w:numPr>
        <w:jc w:val="both"/>
        <w:rPr>
          <w:lang w:val="en-GB"/>
        </w:rPr>
      </w:pPr>
      <w:r w:rsidRPr="00EC2EF4">
        <w:rPr>
          <w:lang w:val="en-GB"/>
        </w:rPr>
        <w:t>European Centre for Disease Prevention and Control (ECDC). Surveillance of antimicrobial resistance in Europe 2018. Stockholm: ECDC; 2019b</w:t>
      </w:r>
    </w:p>
    <w:p w14:paraId="3C5BDFEA" w14:textId="77777777" w:rsidR="00A55131" w:rsidRPr="00EC2EF4" w:rsidRDefault="00A55131" w:rsidP="00A55131">
      <w:pPr>
        <w:pStyle w:val="Paragrafoelenco"/>
        <w:numPr>
          <w:ilvl w:val="0"/>
          <w:numId w:val="14"/>
        </w:numPr>
        <w:rPr>
          <w:color w:val="000000"/>
          <w:shd w:val="clear" w:color="auto" w:fill="FFFFFF"/>
          <w:lang w:val="en-GB"/>
        </w:rPr>
      </w:pPr>
      <w:r w:rsidRPr="00EC2EF4">
        <w:rPr>
          <w:rStyle w:val="mixed-citation"/>
          <w:color w:val="000000"/>
          <w:shd w:val="clear" w:color="auto" w:fill="FFFFFF"/>
          <w:lang w:val="en-GB"/>
        </w:rPr>
        <w:t>European Commission. EU Guidelines for the prudent use of antimicrobials in human health. Luxembourg: European Commission; 2017. (</w:t>
      </w:r>
      <w:hyperlink r:id="rId14" w:tgtFrame="_blank" w:history="1">
        <w:r w:rsidRPr="00EC2EF4">
          <w:rPr>
            <w:rStyle w:val="Collegamentoipertestuale"/>
            <w:color w:val="642A8F"/>
            <w:shd w:val="clear" w:color="auto" w:fill="FFFFFF"/>
            <w:lang w:val="en-GB"/>
          </w:rPr>
          <w:t>https://ec.europa.eu/health/amr/sites/amr/files/amr_guidelines_prudent_use_en.pdf</w:t>
        </w:r>
      </w:hyperlink>
      <w:r w:rsidRPr="00EC2EF4">
        <w:rPr>
          <w:rStyle w:val="mixed-citation"/>
          <w:color w:val="000000"/>
          <w:shd w:val="clear" w:color="auto" w:fill="FFFFFF"/>
          <w:lang w:val="en-GB"/>
        </w:rPr>
        <w:t>)</w:t>
      </w:r>
    </w:p>
    <w:p w14:paraId="2BA9F63E" w14:textId="77777777" w:rsidR="00A55131" w:rsidRPr="00EC2EF4" w:rsidRDefault="00A55131" w:rsidP="00A55131">
      <w:pPr>
        <w:pStyle w:val="Paragrafoelenco"/>
        <w:numPr>
          <w:ilvl w:val="0"/>
          <w:numId w:val="14"/>
        </w:numPr>
        <w:jc w:val="both"/>
        <w:rPr>
          <w:lang w:val="en-GB"/>
        </w:rPr>
      </w:pPr>
      <w:r w:rsidRPr="00EC2EF4">
        <w:rPr>
          <w:color w:val="000000"/>
          <w:shd w:val="clear" w:color="auto" w:fill="FFFFFF"/>
          <w:lang w:val="en-GB"/>
        </w:rPr>
        <w:t xml:space="preserve">Public Health England. Department of Health. Behaviour change and antibiotic prescribing in healthcare settings Literature review and behavioural analysis. 2015. </w:t>
      </w:r>
    </w:p>
    <w:p w14:paraId="32586105" w14:textId="77777777" w:rsidR="00A55131" w:rsidRPr="00EC2EF4" w:rsidRDefault="00A55131" w:rsidP="00A55131">
      <w:pPr>
        <w:pStyle w:val="Paragrafoelenco"/>
        <w:jc w:val="both"/>
        <w:textAlignment w:val="top"/>
        <w:rPr>
          <w:rStyle w:val="Collegamentoipertestuale"/>
          <w:shd w:val="clear" w:color="auto" w:fill="FFFFFF"/>
          <w:lang w:val="en-GB"/>
        </w:rPr>
      </w:pPr>
      <w:r w:rsidRPr="00EC2EF4">
        <w:rPr>
          <w:color w:val="000000"/>
          <w:shd w:val="clear" w:color="auto" w:fill="FFFFFF"/>
          <w:lang w:val="en-GB"/>
        </w:rPr>
        <w:t>(</w:t>
      </w:r>
      <w:hyperlink r:id="rId15" w:history="1">
        <w:r w:rsidRPr="00EC2EF4">
          <w:rPr>
            <w:rStyle w:val="Collegamentoipertestuale"/>
            <w:shd w:val="clear" w:color="auto" w:fill="FFFFFF"/>
            <w:lang w:val="en-GB"/>
          </w:rPr>
          <w:t>https://www.gov.uk/government/uploads/system/uploads/attachment_data/file/405031/Behaviour_Change_for_Antibiotic_Prescribing_-_FINAL.pdf</w:t>
        </w:r>
      </w:hyperlink>
    </w:p>
    <w:p w14:paraId="038ED503" w14:textId="77777777" w:rsidR="00A55131" w:rsidRPr="00EC2EF4" w:rsidRDefault="00A55131" w:rsidP="00A55131">
      <w:pPr>
        <w:pStyle w:val="Paragrafoelenco"/>
        <w:numPr>
          <w:ilvl w:val="0"/>
          <w:numId w:val="14"/>
        </w:numPr>
        <w:jc w:val="both"/>
        <w:textAlignment w:val="top"/>
        <w:rPr>
          <w:color w:val="000000"/>
          <w:shd w:val="clear" w:color="auto" w:fill="FFFFFF"/>
          <w:lang w:val="en-GB"/>
        </w:rPr>
      </w:pPr>
      <w:r w:rsidRPr="00EC2EF4">
        <w:rPr>
          <w:color w:val="000000"/>
          <w:shd w:val="clear" w:color="auto" w:fill="FFFFFF"/>
          <w:lang w:val="en-GB"/>
        </w:rPr>
        <w:t xml:space="preserve">Jane </w:t>
      </w:r>
      <w:proofErr w:type="spellStart"/>
      <w:r w:rsidRPr="00EC2EF4">
        <w:rPr>
          <w:color w:val="000000"/>
          <w:shd w:val="clear" w:color="auto" w:fill="FFFFFF"/>
          <w:lang w:val="en-GB"/>
        </w:rPr>
        <w:t>Mingjie</w:t>
      </w:r>
      <w:proofErr w:type="spellEnd"/>
      <w:r w:rsidRPr="00EC2EF4">
        <w:rPr>
          <w:color w:val="000000"/>
          <w:shd w:val="clear" w:color="auto" w:fill="FFFFFF"/>
          <w:lang w:val="en-GB"/>
        </w:rPr>
        <w:t xml:space="preserve"> Lim, Shweta Rajkumar Singh, Minh Cam Duong, Helena </w:t>
      </w:r>
      <w:proofErr w:type="spellStart"/>
      <w:r w:rsidRPr="00EC2EF4">
        <w:rPr>
          <w:color w:val="000000"/>
          <w:shd w:val="clear" w:color="auto" w:fill="FFFFFF"/>
          <w:lang w:val="en-GB"/>
        </w:rPr>
        <w:t>Legido</w:t>
      </w:r>
      <w:proofErr w:type="spellEnd"/>
      <w:r w:rsidRPr="00EC2EF4">
        <w:rPr>
          <w:color w:val="000000"/>
          <w:shd w:val="clear" w:color="auto" w:fill="FFFFFF"/>
          <w:lang w:val="en-GB"/>
        </w:rPr>
        <w:t>-Quigley, Li Yang Hsu, Clarence C Tam, Impact of national interventions to promote responsible antibiotic use: a systematic review, Journal of Antimicrobial Chemotherapy</w:t>
      </w:r>
    </w:p>
    <w:p w14:paraId="198E7F8D" w14:textId="77777777" w:rsidR="00A55131" w:rsidRPr="00EC2EF4" w:rsidRDefault="00A55131" w:rsidP="00A55131">
      <w:pPr>
        <w:pStyle w:val="Paragrafoelenco"/>
        <w:numPr>
          <w:ilvl w:val="0"/>
          <w:numId w:val="14"/>
        </w:numPr>
        <w:jc w:val="both"/>
        <w:rPr>
          <w:color w:val="000000"/>
          <w:shd w:val="clear" w:color="auto" w:fill="FFFFFF"/>
          <w:lang w:val="en-GB"/>
        </w:rPr>
      </w:pPr>
      <w:r w:rsidRPr="00EC2EF4">
        <w:rPr>
          <w:color w:val="000000"/>
          <w:shd w:val="clear" w:color="auto" w:fill="FFFFFF"/>
          <w:lang w:val="en-GB"/>
        </w:rPr>
        <w:t>Veterinary Medicines Directorate (2019). UK One Health Report - Joint report on antibiotic use and antibiotic resistance, 2013–2017. New Haw, Addlestone: Veterinary Medicines Directorate.</w:t>
      </w:r>
    </w:p>
    <w:p w14:paraId="44A55240" w14:textId="77777777" w:rsidR="00A55131" w:rsidRPr="00EC2EF4" w:rsidRDefault="00A55131">
      <w:pPr>
        <w:spacing w:after="160" w:line="259" w:lineRule="auto"/>
        <w:rPr>
          <w:b/>
          <w:lang w:val="en-GB"/>
        </w:rPr>
      </w:pPr>
      <w:r w:rsidRPr="00EC2EF4">
        <w:rPr>
          <w:b/>
          <w:lang w:val="en-GB"/>
        </w:rPr>
        <w:br w:type="page"/>
      </w:r>
    </w:p>
    <w:sectPr w:rsidR="00A55131" w:rsidRPr="00EC2EF4" w:rsidSect="00633DC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EEEC9" w14:textId="77777777" w:rsidR="000F1822" w:rsidRDefault="000F1822" w:rsidP="00953563">
      <w:r>
        <w:separator/>
      </w:r>
    </w:p>
  </w:endnote>
  <w:endnote w:type="continuationSeparator" w:id="0">
    <w:p w14:paraId="1BDB293D" w14:textId="77777777" w:rsidR="000F1822" w:rsidRDefault="000F1822" w:rsidP="0095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vP416D47">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IBAN H+ Gullive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308611"/>
      <w:docPartObj>
        <w:docPartGallery w:val="Page Numbers (Bottom of Page)"/>
        <w:docPartUnique/>
      </w:docPartObj>
    </w:sdtPr>
    <w:sdtEndPr/>
    <w:sdtContent>
      <w:p w14:paraId="0D76F506" w14:textId="391B29CE" w:rsidR="00E1010C" w:rsidRDefault="00E1010C">
        <w:pPr>
          <w:pStyle w:val="Pidipagina"/>
          <w:jc w:val="right"/>
        </w:pPr>
        <w:r>
          <w:fldChar w:fldCharType="begin"/>
        </w:r>
        <w:r>
          <w:instrText>PAGE   \* MERGEFORMAT</w:instrText>
        </w:r>
        <w:r>
          <w:fldChar w:fldCharType="separate"/>
        </w:r>
        <w:r>
          <w:rPr>
            <w:noProof/>
          </w:rPr>
          <w:t>18</w:t>
        </w:r>
        <w:r>
          <w:rPr>
            <w:noProof/>
          </w:rPr>
          <w:fldChar w:fldCharType="end"/>
        </w:r>
      </w:p>
    </w:sdtContent>
  </w:sdt>
  <w:p w14:paraId="27A2921B" w14:textId="77777777" w:rsidR="00E1010C" w:rsidRDefault="00E101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BB553" w14:textId="77777777" w:rsidR="000F1822" w:rsidRDefault="000F1822" w:rsidP="00953563">
      <w:r>
        <w:separator/>
      </w:r>
    </w:p>
  </w:footnote>
  <w:footnote w:type="continuationSeparator" w:id="0">
    <w:p w14:paraId="2DA03D89" w14:textId="77777777" w:rsidR="000F1822" w:rsidRDefault="000F1822" w:rsidP="00953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4C54"/>
    <w:multiLevelType w:val="hybridMultilevel"/>
    <w:tmpl w:val="5DE0F6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230421"/>
    <w:multiLevelType w:val="hybridMultilevel"/>
    <w:tmpl w:val="A3B6F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0835FA"/>
    <w:multiLevelType w:val="hybridMultilevel"/>
    <w:tmpl w:val="E7CC0E64"/>
    <w:lvl w:ilvl="0" w:tplc="6D283A0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CC0E94"/>
    <w:multiLevelType w:val="hybridMultilevel"/>
    <w:tmpl w:val="25708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985A3D"/>
    <w:multiLevelType w:val="hybridMultilevel"/>
    <w:tmpl w:val="853274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C51E3D"/>
    <w:multiLevelType w:val="hybridMultilevel"/>
    <w:tmpl w:val="FAEA66F6"/>
    <w:lvl w:ilvl="0" w:tplc="C0D65BC4">
      <w:numFmt w:val="bullet"/>
      <w:lvlText w:val="-"/>
      <w:lvlJc w:val="left"/>
      <w:pPr>
        <w:ind w:left="572" w:hanging="360"/>
      </w:pPr>
      <w:rPr>
        <w:rFonts w:ascii="Calibri" w:eastAsiaTheme="minorHAnsi" w:hAnsi="Calibri" w:cs="Calibri" w:hint="default"/>
        <w:color w:val="auto"/>
      </w:rPr>
    </w:lvl>
    <w:lvl w:ilvl="1" w:tplc="04100003" w:tentative="1">
      <w:start w:val="1"/>
      <w:numFmt w:val="bullet"/>
      <w:lvlText w:val="o"/>
      <w:lvlJc w:val="left"/>
      <w:pPr>
        <w:ind w:left="1292" w:hanging="360"/>
      </w:pPr>
      <w:rPr>
        <w:rFonts w:ascii="Courier New" w:hAnsi="Courier New" w:cs="Courier New" w:hint="default"/>
      </w:rPr>
    </w:lvl>
    <w:lvl w:ilvl="2" w:tplc="04100005" w:tentative="1">
      <w:start w:val="1"/>
      <w:numFmt w:val="bullet"/>
      <w:lvlText w:val=""/>
      <w:lvlJc w:val="left"/>
      <w:pPr>
        <w:ind w:left="2012" w:hanging="360"/>
      </w:pPr>
      <w:rPr>
        <w:rFonts w:ascii="Wingdings" w:hAnsi="Wingdings" w:hint="default"/>
      </w:rPr>
    </w:lvl>
    <w:lvl w:ilvl="3" w:tplc="04100001" w:tentative="1">
      <w:start w:val="1"/>
      <w:numFmt w:val="bullet"/>
      <w:lvlText w:val=""/>
      <w:lvlJc w:val="left"/>
      <w:pPr>
        <w:ind w:left="2732" w:hanging="360"/>
      </w:pPr>
      <w:rPr>
        <w:rFonts w:ascii="Symbol" w:hAnsi="Symbol" w:hint="default"/>
      </w:rPr>
    </w:lvl>
    <w:lvl w:ilvl="4" w:tplc="04100003" w:tentative="1">
      <w:start w:val="1"/>
      <w:numFmt w:val="bullet"/>
      <w:lvlText w:val="o"/>
      <w:lvlJc w:val="left"/>
      <w:pPr>
        <w:ind w:left="3452" w:hanging="360"/>
      </w:pPr>
      <w:rPr>
        <w:rFonts w:ascii="Courier New" w:hAnsi="Courier New" w:cs="Courier New" w:hint="default"/>
      </w:rPr>
    </w:lvl>
    <w:lvl w:ilvl="5" w:tplc="04100005" w:tentative="1">
      <w:start w:val="1"/>
      <w:numFmt w:val="bullet"/>
      <w:lvlText w:val=""/>
      <w:lvlJc w:val="left"/>
      <w:pPr>
        <w:ind w:left="4172" w:hanging="360"/>
      </w:pPr>
      <w:rPr>
        <w:rFonts w:ascii="Wingdings" w:hAnsi="Wingdings" w:hint="default"/>
      </w:rPr>
    </w:lvl>
    <w:lvl w:ilvl="6" w:tplc="04100001" w:tentative="1">
      <w:start w:val="1"/>
      <w:numFmt w:val="bullet"/>
      <w:lvlText w:val=""/>
      <w:lvlJc w:val="left"/>
      <w:pPr>
        <w:ind w:left="4892" w:hanging="360"/>
      </w:pPr>
      <w:rPr>
        <w:rFonts w:ascii="Symbol" w:hAnsi="Symbol" w:hint="default"/>
      </w:rPr>
    </w:lvl>
    <w:lvl w:ilvl="7" w:tplc="04100003" w:tentative="1">
      <w:start w:val="1"/>
      <w:numFmt w:val="bullet"/>
      <w:lvlText w:val="o"/>
      <w:lvlJc w:val="left"/>
      <w:pPr>
        <w:ind w:left="5612" w:hanging="360"/>
      </w:pPr>
      <w:rPr>
        <w:rFonts w:ascii="Courier New" w:hAnsi="Courier New" w:cs="Courier New" w:hint="default"/>
      </w:rPr>
    </w:lvl>
    <w:lvl w:ilvl="8" w:tplc="04100005" w:tentative="1">
      <w:start w:val="1"/>
      <w:numFmt w:val="bullet"/>
      <w:lvlText w:val=""/>
      <w:lvlJc w:val="left"/>
      <w:pPr>
        <w:ind w:left="6332" w:hanging="360"/>
      </w:pPr>
      <w:rPr>
        <w:rFonts w:ascii="Wingdings" w:hAnsi="Wingdings" w:hint="default"/>
      </w:rPr>
    </w:lvl>
  </w:abstractNum>
  <w:abstractNum w:abstractNumId="6" w15:restartNumberingAfterBreak="0">
    <w:nsid w:val="216F5A00"/>
    <w:multiLevelType w:val="hybridMultilevel"/>
    <w:tmpl w:val="DAC0975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23210F1"/>
    <w:multiLevelType w:val="hybridMultilevel"/>
    <w:tmpl w:val="3BF4885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43F4C5C"/>
    <w:multiLevelType w:val="hybridMultilevel"/>
    <w:tmpl w:val="70169930"/>
    <w:lvl w:ilvl="0" w:tplc="C0D65BC4">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B6213B"/>
    <w:multiLevelType w:val="hybridMultilevel"/>
    <w:tmpl w:val="3648E71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F2719A2"/>
    <w:multiLevelType w:val="multilevel"/>
    <w:tmpl w:val="223CC6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C704E4"/>
    <w:multiLevelType w:val="hybridMultilevel"/>
    <w:tmpl w:val="BE3C8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165CE5"/>
    <w:multiLevelType w:val="hybridMultilevel"/>
    <w:tmpl w:val="10FCF7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6742E78"/>
    <w:multiLevelType w:val="multilevel"/>
    <w:tmpl w:val="B9080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9C254DC"/>
    <w:multiLevelType w:val="hybridMultilevel"/>
    <w:tmpl w:val="AA7C032A"/>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E2A5709"/>
    <w:multiLevelType w:val="hybridMultilevel"/>
    <w:tmpl w:val="BB1E04F0"/>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E45BB9"/>
    <w:multiLevelType w:val="hybridMultilevel"/>
    <w:tmpl w:val="ED44071C"/>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B55FDE"/>
    <w:multiLevelType w:val="multilevel"/>
    <w:tmpl w:val="22D6AE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210136"/>
    <w:multiLevelType w:val="hybridMultilevel"/>
    <w:tmpl w:val="30CC4CE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2842141"/>
    <w:multiLevelType w:val="hybridMultilevel"/>
    <w:tmpl w:val="2E6E8212"/>
    <w:lvl w:ilvl="0" w:tplc="3E1E7A52">
      <w:start w:val="1"/>
      <w:numFmt w:val="decimal"/>
      <w:lvlText w:val="%1."/>
      <w:lvlJc w:val="left"/>
      <w:pPr>
        <w:ind w:left="720" w:hanging="360"/>
      </w:pPr>
      <w:rPr>
        <w:rFonts w:ascii="AdvP416D47" w:hAnsi="AdvP416D47" w:hint="default"/>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DF1FC0"/>
    <w:multiLevelType w:val="multilevel"/>
    <w:tmpl w:val="901E6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90276E"/>
    <w:multiLevelType w:val="hybridMultilevel"/>
    <w:tmpl w:val="C6C29EA6"/>
    <w:lvl w:ilvl="0" w:tplc="6D283A0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55789C"/>
    <w:multiLevelType w:val="hybridMultilevel"/>
    <w:tmpl w:val="7EA4C3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2AE4A31"/>
    <w:multiLevelType w:val="hybridMultilevel"/>
    <w:tmpl w:val="BBF67776"/>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725B1"/>
    <w:multiLevelType w:val="hybridMultilevel"/>
    <w:tmpl w:val="1980C3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DE3992"/>
    <w:multiLevelType w:val="hybridMultilevel"/>
    <w:tmpl w:val="7B04A5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A60B15"/>
    <w:multiLevelType w:val="multilevel"/>
    <w:tmpl w:val="C6ECC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2"/>
  </w:num>
  <w:num w:numId="4">
    <w:abstractNumId w:val="1"/>
  </w:num>
  <w:num w:numId="5">
    <w:abstractNumId w:val="3"/>
  </w:num>
  <w:num w:numId="6">
    <w:abstractNumId w:val="25"/>
  </w:num>
  <w:num w:numId="7">
    <w:abstractNumId w:val="8"/>
  </w:num>
  <w:num w:numId="8">
    <w:abstractNumId w:val="5"/>
  </w:num>
  <w:num w:numId="9">
    <w:abstractNumId w:val="21"/>
  </w:num>
  <w:num w:numId="10">
    <w:abstractNumId w:val="12"/>
  </w:num>
  <w:num w:numId="11">
    <w:abstractNumId w:val="16"/>
  </w:num>
  <w:num w:numId="12">
    <w:abstractNumId w:val="23"/>
  </w:num>
  <w:num w:numId="13">
    <w:abstractNumId w:val="15"/>
  </w:num>
  <w:num w:numId="14">
    <w:abstractNumId w:val="24"/>
  </w:num>
  <w:num w:numId="15">
    <w:abstractNumId w:val="4"/>
  </w:num>
  <w:num w:numId="16">
    <w:abstractNumId w:val="17"/>
  </w:num>
  <w:num w:numId="17">
    <w:abstractNumId w:val="13"/>
  </w:num>
  <w:num w:numId="18">
    <w:abstractNumId w:val="19"/>
  </w:num>
  <w:num w:numId="19">
    <w:abstractNumId w:val="26"/>
  </w:num>
  <w:num w:numId="20">
    <w:abstractNumId w:val="20"/>
  </w:num>
  <w:num w:numId="21">
    <w:abstractNumId w:val="7"/>
  </w:num>
  <w:num w:numId="22">
    <w:abstractNumId w:val="11"/>
  </w:num>
  <w:num w:numId="23">
    <w:abstractNumId w:val="6"/>
  </w:num>
  <w:num w:numId="24">
    <w:abstractNumId w:val="9"/>
  </w:num>
  <w:num w:numId="25">
    <w:abstractNumId w:val="14"/>
  </w:num>
  <w:num w:numId="26">
    <w:abstractNumId w:val="2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B6B"/>
    <w:rsid w:val="0000249A"/>
    <w:rsid w:val="00005EAD"/>
    <w:rsid w:val="00007A2E"/>
    <w:rsid w:val="00013A6A"/>
    <w:rsid w:val="00022F1C"/>
    <w:rsid w:val="0002311A"/>
    <w:rsid w:val="000316FE"/>
    <w:rsid w:val="000413FE"/>
    <w:rsid w:val="00046FF3"/>
    <w:rsid w:val="00063BCF"/>
    <w:rsid w:val="00065AD6"/>
    <w:rsid w:val="00066718"/>
    <w:rsid w:val="0007384B"/>
    <w:rsid w:val="00075C39"/>
    <w:rsid w:val="000770A5"/>
    <w:rsid w:val="0007728C"/>
    <w:rsid w:val="00077752"/>
    <w:rsid w:val="0008051F"/>
    <w:rsid w:val="00081368"/>
    <w:rsid w:val="0008412D"/>
    <w:rsid w:val="00084AE9"/>
    <w:rsid w:val="000914E9"/>
    <w:rsid w:val="00091BCC"/>
    <w:rsid w:val="000977FF"/>
    <w:rsid w:val="000A21BB"/>
    <w:rsid w:val="000A4A93"/>
    <w:rsid w:val="000A6C6A"/>
    <w:rsid w:val="000B2E1B"/>
    <w:rsid w:val="000B6328"/>
    <w:rsid w:val="000C0ADF"/>
    <w:rsid w:val="000C4F45"/>
    <w:rsid w:val="000C6AD8"/>
    <w:rsid w:val="000D091A"/>
    <w:rsid w:val="000D287E"/>
    <w:rsid w:val="000D4071"/>
    <w:rsid w:val="000D7958"/>
    <w:rsid w:val="000E05C9"/>
    <w:rsid w:val="000E0F2E"/>
    <w:rsid w:val="000F1636"/>
    <w:rsid w:val="000F1822"/>
    <w:rsid w:val="000F3610"/>
    <w:rsid w:val="000F6612"/>
    <w:rsid w:val="000F694D"/>
    <w:rsid w:val="00100412"/>
    <w:rsid w:val="00102AE4"/>
    <w:rsid w:val="0010408B"/>
    <w:rsid w:val="00111A1D"/>
    <w:rsid w:val="001175D1"/>
    <w:rsid w:val="001222BC"/>
    <w:rsid w:val="0012687A"/>
    <w:rsid w:val="0013040F"/>
    <w:rsid w:val="00135BFB"/>
    <w:rsid w:val="0014079E"/>
    <w:rsid w:val="00140A54"/>
    <w:rsid w:val="001411B9"/>
    <w:rsid w:val="00146E9B"/>
    <w:rsid w:val="00147A1D"/>
    <w:rsid w:val="00151BF6"/>
    <w:rsid w:val="00155039"/>
    <w:rsid w:val="00155AEA"/>
    <w:rsid w:val="00155B0B"/>
    <w:rsid w:val="00162883"/>
    <w:rsid w:val="00163B7B"/>
    <w:rsid w:val="00165BE6"/>
    <w:rsid w:val="001772A5"/>
    <w:rsid w:val="00181373"/>
    <w:rsid w:val="00186B13"/>
    <w:rsid w:val="00187FFE"/>
    <w:rsid w:val="0019024A"/>
    <w:rsid w:val="00191465"/>
    <w:rsid w:val="001925C0"/>
    <w:rsid w:val="00196F53"/>
    <w:rsid w:val="001A2D39"/>
    <w:rsid w:val="001A62E3"/>
    <w:rsid w:val="001B10EE"/>
    <w:rsid w:val="001B5CD0"/>
    <w:rsid w:val="001C7F5D"/>
    <w:rsid w:val="001D0C89"/>
    <w:rsid w:val="001D12EA"/>
    <w:rsid w:val="001D1E54"/>
    <w:rsid w:val="001D43D8"/>
    <w:rsid w:val="001D56BC"/>
    <w:rsid w:val="001E01A1"/>
    <w:rsid w:val="001E57FE"/>
    <w:rsid w:val="001E5B6B"/>
    <w:rsid w:val="001F1E05"/>
    <w:rsid w:val="001F311B"/>
    <w:rsid w:val="001F5895"/>
    <w:rsid w:val="00210691"/>
    <w:rsid w:val="00210AB2"/>
    <w:rsid w:val="00211755"/>
    <w:rsid w:val="00215ABD"/>
    <w:rsid w:val="002178B2"/>
    <w:rsid w:val="00220EE0"/>
    <w:rsid w:val="0023169C"/>
    <w:rsid w:val="00232671"/>
    <w:rsid w:val="00236925"/>
    <w:rsid w:val="002515D0"/>
    <w:rsid w:val="00266939"/>
    <w:rsid w:val="002714C1"/>
    <w:rsid w:val="00272138"/>
    <w:rsid w:val="00272B4F"/>
    <w:rsid w:val="002739D7"/>
    <w:rsid w:val="00274D43"/>
    <w:rsid w:val="00276479"/>
    <w:rsid w:val="00282EB4"/>
    <w:rsid w:val="00287A11"/>
    <w:rsid w:val="002900A3"/>
    <w:rsid w:val="00290F6D"/>
    <w:rsid w:val="002962D9"/>
    <w:rsid w:val="002A112E"/>
    <w:rsid w:val="002A62B0"/>
    <w:rsid w:val="002A6FEB"/>
    <w:rsid w:val="002A71C3"/>
    <w:rsid w:val="002B1209"/>
    <w:rsid w:val="002B147E"/>
    <w:rsid w:val="002B5BD0"/>
    <w:rsid w:val="002C14B4"/>
    <w:rsid w:val="002C22F1"/>
    <w:rsid w:val="002C3FBB"/>
    <w:rsid w:val="002C6AB1"/>
    <w:rsid w:val="002D3A52"/>
    <w:rsid w:val="002D474E"/>
    <w:rsid w:val="002D67F2"/>
    <w:rsid w:val="002D7455"/>
    <w:rsid w:val="002E3384"/>
    <w:rsid w:val="002E7E3D"/>
    <w:rsid w:val="002F05FB"/>
    <w:rsid w:val="002F22CE"/>
    <w:rsid w:val="002F36CC"/>
    <w:rsid w:val="002F79C9"/>
    <w:rsid w:val="003009E3"/>
    <w:rsid w:val="00306129"/>
    <w:rsid w:val="00312C73"/>
    <w:rsid w:val="00314357"/>
    <w:rsid w:val="003176CD"/>
    <w:rsid w:val="00317C5E"/>
    <w:rsid w:val="00320BA2"/>
    <w:rsid w:val="00321C3F"/>
    <w:rsid w:val="00323A76"/>
    <w:rsid w:val="00323B4C"/>
    <w:rsid w:val="00324BEF"/>
    <w:rsid w:val="00335762"/>
    <w:rsid w:val="00335C53"/>
    <w:rsid w:val="00337488"/>
    <w:rsid w:val="00341CE1"/>
    <w:rsid w:val="00342583"/>
    <w:rsid w:val="00344D6C"/>
    <w:rsid w:val="003649C8"/>
    <w:rsid w:val="00365FC6"/>
    <w:rsid w:val="003662FC"/>
    <w:rsid w:val="003672C0"/>
    <w:rsid w:val="00367D61"/>
    <w:rsid w:val="00370300"/>
    <w:rsid w:val="00371BB4"/>
    <w:rsid w:val="00371F7E"/>
    <w:rsid w:val="00372B4C"/>
    <w:rsid w:val="00377B78"/>
    <w:rsid w:val="00380076"/>
    <w:rsid w:val="00383BCE"/>
    <w:rsid w:val="00383FE7"/>
    <w:rsid w:val="00385642"/>
    <w:rsid w:val="00386458"/>
    <w:rsid w:val="00386E4C"/>
    <w:rsid w:val="00390ACF"/>
    <w:rsid w:val="003950F5"/>
    <w:rsid w:val="003A33CD"/>
    <w:rsid w:val="003A3E4E"/>
    <w:rsid w:val="003A77D4"/>
    <w:rsid w:val="003B1C50"/>
    <w:rsid w:val="003B20FC"/>
    <w:rsid w:val="003C2527"/>
    <w:rsid w:val="003C6BC3"/>
    <w:rsid w:val="003D5632"/>
    <w:rsid w:val="003D59FD"/>
    <w:rsid w:val="003E1D4A"/>
    <w:rsid w:val="003E440E"/>
    <w:rsid w:val="004002D6"/>
    <w:rsid w:val="00404320"/>
    <w:rsid w:val="004049A8"/>
    <w:rsid w:val="00404E51"/>
    <w:rsid w:val="00413B1A"/>
    <w:rsid w:val="0041711F"/>
    <w:rsid w:val="00425307"/>
    <w:rsid w:val="00426161"/>
    <w:rsid w:val="00436857"/>
    <w:rsid w:val="0043737B"/>
    <w:rsid w:val="00437962"/>
    <w:rsid w:val="00441241"/>
    <w:rsid w:val="0046069D"/>
    <w:rsid w:val="004613BC"/>
    <w:rsid w:val="00463957"/>
    <w:rsid w:val="00465A52"/>
    <w:rsid w:val="004705E7"/>
    <w:rsid w:val="0047732B"/>
    <w:rsid w:val="00480382"/>
    <w:rsid w:val="00481B1F"/>
    <w:rsid w:val="00490785"/>
    <w:rsid w:val="0049106F"/>
    <w:rsid w:val="004A394F"/>
    <w:rsid w:val="004A61A9"/>
    <w:rsid w:val="004B5CF8"/>
    <w:rsid w:val="004B6B72"/>
    <w:rsid w:val="004D435F"/>
    <w:rsid w:val="004D7B53"/>
    <w:rsid w:val="004E1E0C"/>
    <w:rsid w:val="004E5FD7"/>
    <w:rsid w:val="004F1A6E"/>
    <w:rsid w:val="00504422"/>
    <w:rsid w:val="005059F0"/>
    <w:rsid w:val="00512175"/>
    <w:rsid w:val="00515202"/>
    <w:rsid w:val="005157C3"/>
    <w:rsid w:val="00515B83"/>
    <w:rsid w:val="005227C0"/>
    <w:rsid w:val="00524B49"/>
    <w:rsid w:val="005301F9"/>
    <w:rsid w:val="00534903"/>
    <w:rsid w:val="00534B65"/>
    <w:rsid w:val="00535032"/>
    <w:rsid w:val="00535A0D"/>
    <w:rsid w:val="00536557"/>
    <w:rsid w:val="00536987"/>
    <w:rsid w:val="00545711"/>
    <w:rsid w:val="00552610"/>
    <w:rsid w:val="00557649"/>
    <w:rsid w:val="00560DF3"/>
    <w:rsid w:val="0056585F"/>
    <w:rsid w:val="005744A3"/>
    <w:rsid w:val="00581AF5"/>
    <w:rsid w:val="00583562"/>
    <w:rsid w:val="005848BD"/>
    <w:rsid w:val="00593D46"/>
    <w:rsid w:val="005A0BC2"/>
    <w:rsid w:val="005A2825"/>
    <w:rsid w:val="005A346D"/>
    <w:rsid w:val="005B033C"/>
    <w:rsid w:val="005B15D0"/>
    <w:rsid w:val="005B2147"/>
    <w:rsid w:val="005B30C0"/>
    <w:rsid w:val="005B443A"/>
    <w:rsid w:val="005B4C82"/>
    <w:rsid w:val="005C0AF8"/>
    <w:rsid w:val="005C20BB"/>
    <w:rsid w:val="005C3F8A"/>
    <w:rsid w:val="005C5AAD"/>
    <w:rsid w:val="005D6B3B"/>
    <w:rsid w:val="005E360B"/>
    <w:rsid w:val="005E56BB"/>
    <w:rsid w:val="005F32DC"/>
    <w:rsid w:val="005F4249"/>
    <w:rsid w:val="005F5619"/>
    <w:rsid w:val="005F6DD7"/>
    <w:rsid w:val="006002C1"/>
    <w:rsid w:val="006060E8"/>
    <w:rsid w:val="0061020D"/>
    <w:rsid w:val="0061531F"/>
    <w:rsid w:val="00625B8C"/>
    <w:rsid w:val="0063214A"/>
    <w:rsid w:val="00633DC5"/>
    <w:rsid w:val="0063460C"/>
    <w:rsid w:val="00636C21"/>
    <w:rsid w:val="00641995"/>
    <w:rsid w:val="00644F8B"/>
    <w:rsid w:val="006479AB"/>
    <w:rsid w:val="0065076B"/>
    <w:rsid w:val="00663FFA"/>
    <w:rsid w:val="00665375"/>
    <w:rsid w:val="0066753C"/>
    <w:rsid w:val="00667EC6"/>
    <w:rsid w:val="00667F3B"/>
    <w:rsid w:val="006703A5"/>
    <w:rsid w:val="00673040"/>
    <w:rsid w:val="00676900"/>
    <w:rsid w:val="00680EF6"/>
    <w:rsid w:val="006812A6"/>
    <w:rsid w:val="0068292D"/>
    <w:rsid w:val="0069351C"/>
    <w:rsid w:val="006946BE"/>
    <w:rsid w:val="006A51ED"/>
    <w:rsid w:val="006B2659"/>
    <w:rsid w:val="006B287A"/>
    <w:rsid w:val="006B337C"/>
    <w:rsid w:val="006B76D3"/>
    <w:rsid w:val="006C2C18"/>
    <w:rsid w:val="006C61ED"/>
    <w:rsid w:val="006C6262"/>
    <w:rsid w:val="006D4D93"/>
    <w:rsid w:val="006D67F1"/>
    <w:rsid w:val="006D722C"/>
    <w:rsid w:val="006E18D8"/>
    <w:rsid w:val="006E4509"/>
    <w:rsid w:val="006E4619"/>
    <w:rsid w:val="006E4FB3"/>
    <w:rsid w:val="006F2658"/>
    <w:rsid w:val="006F4404"/>
    <w:rsid w:val="007015D4"/>
    <w:rsid w:val="007075A0"/>
    <w:rsid w:val="0071322A"/>
    <w:rsid w:val="0071343D"/>
    <w:rsid w:val="00724950"/>
    <w:rsid w:val="007302D8"/>
    <w:rsid w:val="00730531"/>
    <w:rsid w:val="0073512D"/>
    <w:rsid w:val="007370C1"/>
    <w:rsid w:val="00737CFC"/>
    <w:rsid w:val="00740FBB"/>
    <w:rsid w:val="00741566"/>
    <w:rsid w:val="007428DC"/>
    <w:rsid w:val="00753FCF"/>
    <w:rsid w:val="00755E5B"/>
    <w:rsid w:val="007676BA"/>
    <w:rsid w:val="0077346E"/>
    <w:rsid w:val="00773EC0"/>
    <w:rsid w:val="0077499C"/>
    <w:rsid w:val="00783B1C"/>
    <w:rsid w:val="00786FEE"/>
    <w:rsid w:val="007876F6"/>
    <w:rsid w:val="00787CD9"/>
    <w:rsid w:val="0079205D"/>
    <w:rsid w:val="0079747A"/>
    <w:rsid w:val="007A03E4"/>
    <w:rsid w:val="007A0838"/>
    <w:rsid w:val="007C014F"/>
    <w:rsid w:val="007C70B0"/>
    <w:rsid w:val="007D0E9E"/>
    <w:rsid w:val="007D1A1C"/>
    <w:rsid w:val="007D6720"/>
    <w:rsid w:val="007E29F8"/>
    <w:rsid w:val="007E4A96"/>
    <w:rsid w:val="0080371A"/>
    <w:rsid w:val="00817F25"/>
    <w:rsid w:val="00821ED5"/>
    <w:rsid w:val="00827F66"/>
    <w:rsid w:val="008316F9"/>
    <w:rsid w:val="008328DF"/>
    <w:rsid w:val="00836355"/>
    <w:rsid w:val="00841D70"/>
    <w:rsid w:val="00841FE8"/>
    <w:rsid w:val="00852EDA"/>
    <w:rsid w:val="008544C3"/>
    <w:rsid w:val="00856A6E"/>
    <w:rsid w:val="00857558"/>
    <w:rsid w:val="008604F5"/>
    <w:rsid w:val="00863083"/>
    <w:rsid w:val="00871AD9"/>
    <w:rsid w:val="008800F1"/>
    <w:rsid w:val="00882154"/>
    <w:rsid w:val="00890013"/>
    <w:rsid w:val="0089173B"/>
    <w:rsid w:val="00893810"/>
    <w:rsid w:val="008B1ED8"/>
    <w:rsid w:val="008B4112"/>
    <w:rsid w:val="008B684C"/>
    <w:rsid w:val="008C0631"/>
    <w:rsid w:val="008C1656"/>
    <w:rsid w:val="008C33E2"/>
    <w:rsid w:val="008C5305"/>
    <w:rsid w:val="008C6A94"/>
    <w:rsid w:val="008D068A"/>
    <w:rsid w:val="008D6F14"/>
    <w:rsid w:val="008E09B5"/>
    <w:rsid w:val="008E4EC5"/>
    <w:rsid w:val="008F3FF5"/>
    <w:rsid w:val="00902E54"/>
    <w:rsid w:val="0090321B"/>
    <w:rsid w:val="0091145D"/>
    <w:rsid w:val="009254B5"/>
    <w:rsid w:val="009258A6"/>
    <w:rsid w:val="00925EA6"/>
    <w:rsid w:val="009303B4"/>
    <w:rsid w:val="009314AF"/>
    <w:rsid w:val="0095096D"/>
    <w:rsid w:val="00953563"/>
    <w:rsid w:val="009552CA"/>
    <w:rsid w:val="00955A53"/>
    <w:rsid w:val="00956B93"/>
    <w:rsid w:val="0096054C"/>
    <w:rsid w:val="0097692E"/>
    <w:rsid w:val="009774BF"/>
    <w:rsid w:val="0098167F"/>
    <w:rsid w:val="009841C4"/>
    <w:rsid w:val="00984202"/>
    <w:rsid w:val="00986012"/>
    <w:rsid w:val="00987F0A"/>
    <w:rsid w:val="009914FF"/>
    <w:rsid w:val="00992D87"/>
    <w:rsid w:val="009A002C"/>
    <w:rsid w:val="009A1713"/>
    <w:rsid w:val="009A4EA5"/>
    <w:rsid w:val="009C6E66"/>
    <w:rsid w:val="009C6EA0"/>
    <w:rsid w:val="009D5029"/>
    <w:rsid w:val="009D5767"/>
    <w:rsid w:val="009D60FF"/>
    <w:rsid w:val="009E05DD"/>
    <w:rsid w:val="009E199C"/>
    <w:rsid w:val="00A0108A"/>
    <w:rsid w:val="00A01299"/>
    <w:rsid w:val="00A06857"/>
    <w:rsid w:val="00A10479"/>
    <w:rsid w:val="00A11D75"/>
    <w:rsid w:val="00A3643A"/>
    <w:rsid w:val="00A41EF0"/>
    <w:rsid w:val="00A46006"/>
    <w:rsid w:val="00A47616"/>
    <w:rsid w:val="00A55131"/>
    <w:rsid w:val="00A57532"/>
    <w:rsid w:val="00A6498D"/>
    <w:rsid w:val="00A65028"/>
    <w:rsid w:val="00A6549E"/>
    <w:rsid w:val="00A70010"/>
    <w:rsid w:val="00A71ABA"/>
    <w:rsid w:val="00A7729C"/>
    <w:rsid w:val="00A81E1E"/>
    <w:rsid w:val="00A85BDE"/>
    <w:rsid w:val="00A910FC"/>
    <w:rsid w:val="00A92DCC"/>
    <w:rsid w:val="00A94245"/>
    <w:rsid w:val="00A94DA1"/>
    <w:rsid w:val="00A96608"/>
    <w:rsid w:val="00AA358E"/>
    <w:rsid w:val="00AA669F"/>
    <w:rsid w:val="00AA677B"/>
    <w:rsid w:val="00AB20B3"/>
    <w:rsid w:val="00AB2129"/>
    <w:rsid w:val="00AB2C01"/>
    <w:rsid w:val="00AB51C5"/>
    <w:rsid w:val="00AB58B6"/>
    <w:rsid w:val="00AC1AF2"/>
    <w:rsid w:val="00AC29B3"/>
    <w:rsid w:val="00AC4AAB"/>
    <w:rsid w:val="00AD676F"/>
    <w:rsid w:val="00AE1BD7"/>
    <w:rsid w:val="00AE1C37"/>
    <w:rsid w:val="00AE38CB"/>
    <w:rsid w:val="00AF1AB6"/>
    <w:rsid w:val="00AF3AD3"/>
    <w:rsid w:val="00AF401B"/>
    <w:rsid w:val="00AF4EE2"/>
    <w:rsid w:val="00AF5C22"/>
    <w:rsid w:val="00B02395"/>
    <w:rsid w:val="00B06FD5"/>
    <w:rsid w:val="00B07C7A"/>
    <w:rsid w:val="00B1640B"/>
    <w:rsid w:val="00B1680F"/>
    <w:rsid w:val="00B20564"/>
    <w:rsid w:val="00B21263"/>
    <w:rsid w:val="00B227DF"/>
    <w:rsid w:val="00B23407"/>
    <w:rsid w:val="00B26DD8"/>
    <w:rsid w:val="00B31171"/>
    <w:rsid w:val="00B326D9"/>
    <w:rsid w:val="00B33ABB"/>
    <w:rsid w:val="00B5085F"/>
    <w:rsid w:val="00B5105D"/>
    <w:rsid w:val="00B54779"/>
    <w:rsid w:val="00B54B89"/>
    <w:rsid w:val="00B56FCB"/>
    <w:rsid w:val="00B63D95"/>
    <w:rsid w:val="00B67185"/>
    <w:rsid w:val="00B71E29"/>
    <w:rsid w:val="00B73680"/>
    <w:rsid w:val="00B7526A"/>
    <w:rsid w:val="00B76C1A"/>
    <w:rsid w:val="00B7705D"/>
    <w:rsid w:val="00B77179"/>
    <w:rsid w:val="00B83D97"/>
    <w:rsid w:val="00B849DA"/>
    <w:rsid w:val="00B95E7A"/>
    <w:rsid w:val="00BA0156"/>
    <w:rsid w:val="00BA4AC4"/>
    <w:rsid w:val="00BA5D10"/>
    <w:rsid w:val="00BB0EC8"/>
    <w:rsid w:val="00BB1131"/>
    <w:rsid w:val="00BB4AA8"/>
    <w:rsid w:val="00BB4CA0"/>
    <w:rsid w:val="00BC067E"/>
    <w:rsid w:val="00BC3DFE"/>
    <w:rsid w:val="00BD0836"/>
    <w:rsid w:val="00BD08BA"/>
    <w:rsid w:val="00BD1AD1"/>
    <w:rsid w:val="00BD2D4E"/>
    <w:rsid w:val="00BD79FB"/>
    <w:rsid w:val="00BE228B"/>
    <w:rsid w:val="00BF0B9E"/>
    <w:rsid w:val="00BF137C"/>
    <w:rsid w:val="00BF1EA7"/>
    <w:rsid w:val="00BF2A62"/>
    <w:rsid w:val="00BF35EE"/>
    <w:rsid w:val="00BF3CDD"/>
    <w:rsid w:val="00BF57EC"/>
    <w:rsid w:val="00BF5E14"/>
    <w:rsid w:val="00C053BE"/>
    <w:rsid w:val="00C06D0E"/>
    <w:rsid w:val="00C119F3"/>
    <w:rsid w:val="00C150E3"/>
    <w:rsid w:val="00C16026"/>
    <w:rsid w:val="00C23269"/>
    <w:rsid w:val="00C31364"/>
    <w:rsid w:val="00C3596F"/>
    <w:rsid w:val="00C36826"/>
    <w:rsid w:val="00C42739"/>
    <w:rsid w:val="00C441FE"/>
    <w:rsid w:val="00C478B2"/>
    <w:rsid w:val="00C50C9D"/>
    <w:rsid w:val="00C62A55"/>
    <w:rsid w:val="00C64C87"/>
    <w:rsid w:val="00C67C46"/>
    <w:rsid w:val="00C77B81"/>
    <w:rsid w:val="00C833AF"/>
    <w:rsid w:val="00C87095"/>
    <w:rsid w:val="00C90E97"/>
    <w:rsid w:val="00C914B8"/>
    <w:rsid w:val="00C92230"/>
    <w:rsid w:val="00C94328"/>
    <w:rsid w:val="00C94FAD"/>
    <w:rsid w:val="00CA3CF9"/>
    <w:rsid w:val="00CA57ED"/>
    <w:rsid w:val="00CA6D7C"/>
    <w:rsid w:val="00CB06D8"/>
    <w:rsid w:val="00CB213E"/>
    <w:rsid w:val="00CC4C6A"/>
    <w:rsid w:val="00CD31E8"/>
    <w:rsid w:val="00CD433B"/>
    <w:rsid w:val="00CD49B0"/>
    <w:rsid w:val="00CD6E5B"/>
    <w:rsid w:val="00CE671E"/>
    <w:rsid w:val="00CF0289"/>
    <w:rsid w:val="00CF0356"/>
    <w:rsid w:val="00D02171"/>
    <w:rsid w:val="00D0659B"/>
    <w:rsid w:val="00D06BB1"/>
    <w:rsid w:val="00D1021B"/>
    <w:rsid w:val="00D12DDB"/>
    <w:rsid w:val="00D13946"/>
    <w:rsid w:val="00D14438"/>
    <w:rsid w:val="00D1506E"/>
    <w:rsid w:val="00D173DF"/>
    <w:rsid w:val="00D200FB"/>
    <w:rsid w:val="00D20638"/>
    <w:rsid w:val="00D2181E"/>
    <w:rsid w:val="00D23824"/>
    <w:rsid w:val="00D2382C"/>
    <w:rsid w:val="00D2513B"/>
    <w:rsid w:val="00D2519C"/>
    <w:rsid w:val="00D370A5"/>
    <w:rsid w:val="00D438A2"/>
    <w:rsid w:val="00D44436"/>
    <w:rsid w:val="00D47866"/>
    <w:rsid w:val="00D47CCD"/>
    <w:rsid w:val="00D51BF1"/>
    <w:rsid w:val="00D5429B"/>
    <w:rsid w:val="00D734B2"/>
    <w:rsid w:val="00D74530"/>
    <w:rsid w:val="00D83D80"/>
    <w:rsid w:val="00D84080"/>
    <w:rsid w:val="00D8544D"/>
    <w:rsid w:val="00D864CF"/>
    <w:rsid w:val="00D92489"/>
    <w:rsid w:val="00DC01CA"/>
    <w:rsid w:val="00DC059E"/>
    <w:rsid w:val="00DC2683"/>
    <w:rsid w:val="00DC66D7"/>
    <w:rsid w:val="00DC7EB8"/>
    <w:rsid w:val="00DD3164"/>
    <w:rsid w:val="00DD6077"/>
    <w:rsid w:val="00DD6861"/>
    <w:rsid w:val="00DE265A"/>
    <w:rsid w:val="00DE79A5"/>
    <w:rsid w:val="00DF2AEF"/>
    <w:rsid w:val="00DF44E7"/>
    <w:rsid w:val="00E01D47"/>
    <w:rsid w:val="00E06668"/>
    <w:rsid w:val="00E1010C"/>
    <w:rsid w:val="00E10C42"/>
    <w:rsid w:val="00E20C5A"/>
    <w:rsid w:val="00E22F89"/>
    <w:rsid w:val="00E23635"/>
    <w:rsid w:val="00E258D0"/>
    <w:rsid w:val="00E25CCB"/>
    <w:rsid w:val="00E26291"/>
    <w:rsid w:val="00E26CA8"/>
    <w:rsid w:val="00E27C9E"/>
    <w:rsid w:val="00E30676"/>
    <w:rsid w:val="00E308D9"/>
    <w:rsid w:val="00E321D9"/>
    <w:rsid w:val="00E33262"/>
    <w:rsid w:val="00E34713"/>
    <w:rsid w:val="00E41476"/>
    <w:rsid w:val="00E42175"/>
    <w:rsid w:val="00E42E0E"/>
    <w:rsid w:val="00E43FA9"/>
    <w:rsid w:val="00E43FE1"/>
    <w:rsid w:val="00E50F36"/>
    <w:rsid w:val="00E530B0"/>
    <w:rsid w:val="00E55165"/>
    <w:rsid w:val="00E56E8C"/>
    <w:rsid w:val="00E64148"/>
    <w:rsid w:val="00E65725"/>
    <w:rsid w:val="00E67A82"/>
    <w:rsid w:val="00E7323C"/>
    <w:rsid w:val="00E83BAF"/>
    <w:rsid w:val="00E85AE6"/>
    <w:rsid w:val="00E953BE"/>
    <w:rsid w:val="00E95D46"/>
    <w:rsid w:val="00E97867"/>
    <w:rsid w:val="00EA2D47"/>
    <w:rsid w:val="00EA708F"/>
    <w:rsid w:val="00EB1F4F"/>
    <w:rsid w:val="00EB3C91"/>
    <w:rsid w:val="00EB66F7"/>
    <w:rsid w:val="00EC2EF4"/>
    <w:rsid w:val="00ED1D4B"/>
    <w:rsid w:val="00ED78C8"/>
    <w:rsid w:val="00EE0318"/>
    <w:rsid w:val="00EE0B40"/>
    <w:rsid w:val="00EE78E3"/>
    <w:rsid w:val="00EF0841"/>
    <w:rsid w:val="00EF258E"/>
    <w:rsid w:val="00EF3510"/>
    <w:rsid w:val="00EF6BD2"/>
    <w:rsid w:val="00F00A8C"/>
    <w:rsid w:val="00F0143C"/>
    <w:rsid w:val="00F11B29"/>
    <w:rsid w:val="00F12683"/>
    <w:rsid w:val="00F16581"/>
    <w:rsid w:val="00F17518"/>
    <w:rsid w:val="00F20AEF"/>
    <w:rsid w:val="00F26D95"/>
    <w:rsid w:val="00F272E9"/>
    <w:rsid w:val="00F277FB"/>
    <w:rsid w:val="00F326C3"/>
    <w:rsid w:val="00F4031C"/>
    <w:rsid w:val="00F42036"/>
    <w:rsid w:val="00F43FFE"/>
    <w:rsid w:val="00F4782A"/>
    <w:rsid w:val="00F50663"/>
    <w:rsid w:val="00F62C7A"/>
    <w:rsid w:val="00F66342"/>
    <w:rsid w:val="00F721CC"/>
    <w:rsid w:val="00F72E6D"/>
    <w:rsid w:val="00F77FC1"/>
    <w:rsid w:val="00F8521C"/>
    <w:rsid w:val="00F9044D"/>
    <w:rsid w:val="00F907E6"/>
    <w:rsid w:val="00F914C5"/>
    <w:rsid w:val="00F940F0"/>
    <w:rsid w:val="00F970E7"/>
    <w:rsid w:val="00FA1048"/>
    <w:rsid w:val="00FA21AB"/>
    <w:rsid w:val="00FA2359"/>
    <w:rsid w:val="00FA2FC6"/>
    <w:rsid w:val="00FB342D"/>
    <w:rsid w:val="00FB6A23"/>
    <w:rsid w:val="00FC23BF"/>
    <w:rsid w:val="00FC3B47"/>
    <w:rsid w:val="00FC3C9E"/>
    <w:rsid w:val="00FC40AD"/>
    <w:rsid w:val="00FD302F"/>
    <w:rsid w:val="00FD4723"/>
    <w:rsid w:val="00FE057F"/>
    <w:rsid w:val="00FE3729"/>
    <w:rsid w:val="00FE3B9B"/>
    <w:rsid w:val="00FE7D94"/>
    <w:rsid w:val="00FF2BAE"/>
    <w:rsid w:val="00FF3B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9D23E"/>
  <w15:docId w15:val="{5F3B8998-2A9B-4991-B971-3804F2F2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F311B"/>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2C3FBB"/>
    <w:pPr>
      <w:spacing w:before="161" w:after="16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53563"/>
    <w:pPr>
      <w:tabs>
        <w:tab w:val="center" w:pos="4819"/>
        <w:tab w:val="right" w:pos="9638"/>
      </w:tabs>
    </w:pPr>
  </w:style>
  <w:style w:type="character" w:customStyle="1" w:styleId="IntestazioneCarattere">
    <w:name w:val="Intestazione Carattere"/>
    <w:basedOn w:val="Carpredefinitoparagrafo"/>
    <w:link w:val="Intestazione"/>
    <w:uiPriority w:val="99"/>
    <w:rsid w:val="00953563"/>
    <w:rPr>
      <w:lang w:val="en-GB"/>
    </w:rPr>
  </w:style>
  <w:style w:type="paragraph" w:styleId="Pidipagina">
    <w:name w:val="footer"/>
    <w:basedOn w:val="Normale"/>
    <w:link w:val="PidipaginaCarattere"/>
    <w:uiPriority w:val="99"/>
    <w:unhideWhenUsed/>
    <w:rsid w:val="00953563"/>
    <w:pPr>
      <w:tabs>
        <w:tab w:val="center" w:pos="4819"/>
        <w:tab w:val="right" w:pos="9638"/>
      </w:tabs>
    </w:pPr>
  </w:style>
  <w:style w:type="character" w:customStyle="1" w:styleId="PidipaginaCarattere">
    <w:name w:val="Piè di pagina Carattere"/>
    <w:basedOn w:val="Carpredefinitoparagrafo"/>
    <w:link w:val="Pidipagina"/>
    <w:uiPriority w:val="99"/>
    <w:rsid w:val="00953563"/>
    <w:rPr>
      <w:lang w:val="en-GB"/>
    </w:rPr>
  </w:style>
  <w:style w:type="paragraph" w:styleId="Paragrafoelenco">
    <w:name w:val="List Paragraph"/>
    <w:basedOn w:val="Normale"/>
    <w:uiPriority w:val="34"/>
    <w:qFormat/>
    <w:rsid w:val="00D0659B"/>
    <w:pPr>
      <w:ind w:left="720"/>
      <w:contextualSpacing/>
    </w:pPr>
  </w:style>
  <w:style w:type="paragraph" w:styleId="Testofumetto">
    <w:name w:val="Balloon Text"/>
    <w:basedOn w:val="Normale"/>
    <w:link w:val="TestofumettoCarattere"/>
    <w:uiPriority w:val="99"/>
    <w:semiHidden/>
    <w:unhideWhenUsed/>
    <w:rsid w:val="00C441F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41FE"/>
    <w:rPr>
      <w:rFonts w:ascii="Tahoma" w:hAnsi="Tahoma" w:cs="Tahoma"/>
      <w:sz w:val="16"/>
      <w:szCs w:val="16"/>
      <w:lang w:val="en-GB"/>
    </w:rPr>
  </w:style>
  <w:style w:type="character" w:styleId="Rimandocommento">
    <w:name w:val="annotation reference"/>
    <w:basedOn w:val="Carpredefinitoparagrafo"/>
    <w:uiPriority w:val="99"/>
    <w:semiHidden/>
    <w:unhideWhenUsed/>
    <w:rsid w:val="0069351C"/>
    <w:rPr>
      <w:sz w:val="16"/>
      <w:szCs w:val="16"/>
    </w:rPr>
  </w:style>
  <w:style w:type="paragraph" w:styleId="Testocommento">
    <w:name w:val="annotation text"/>
    <w:basedOn w:val="Normale"/>
    <w:link w:val="TestocommentoCarattere"/>
    <w:uiPriority w:val="99"/>
    <w:unhideWhenUsed/>
    <w:rsid w:val="0069351C"/>
    <w:rPr>
      <w:sz w:val="20"/>
      <w:szCs w:val="20"/>
    </w:rPr>
  </w:style>
  <w:style w:type="character" w:customStyle="1" w:styleId="TestocommentoCarattere">
    <w:name w:val="Testo commento Carattere"/>
    <w:basedOn w:val="Carpredefinitoparagrafo"/>
    <w:link w:val="Testocommento"/>
    <w:uiPriority w:val="99"/>
    <w:rsid w:val="0069351C"/>
    <w:rPr>
      <w:sz w:val="20"/>
      <w:szCs w:val="20"/>
      <w:lang w:val="en-GB"/>
    </w:rPr>
  </w:style>
  <w:style w:type="paragraph" w:styleId="Soggettocommento">
    <w:name w:val="annotation subject"/>
    <w:basedOn w:val="Testocommento"/>
    <w:next w:val="Testocommento"/>
    <w:link w:val="SoggettocommentoCarattere"/>
    <w:uiPriority w:val="99"/>
    <w:semiHidden/>
    <w:unhideWhenUsed/>
    <w:rsid w:val="0069351C"/>
    <w:rPr>
      <w:b/>
      <w:bCs/>
    </w:rPr>
  </w:style>
  <w:style w:type="character" w:customStyle="1" w:styleId="SoggettocommentoCarattere">
    <w:name w:val="Soggetto commento Carattere"/>
    <w:basedOn w:val="TestocommentoCarattere"/>
    <w:link w:val="Soggettocommento"/>
    <w:uiPriority w:val="99"/>
    <w:semiHidden/>
    <w:rsid w:val="0069351C"/>
    <w:rPr>
      <w:b/>
      <w:bCs/>
      <w:sz w:val="20"/>
      <w:szCs w:val="20"/>
      <w:lang w:val="en-GB"/>
    </w:rPr>
  </w:style>
  <w:style w:type="table" w:customStyle="1" w:styleId="Elencotab21">
    <w:name w:val="Elenco tab. 21"/>
    <w:basedOn w:val="Tabellanormale"/>
    <w:uiPriority w:val="47"/>
    <w:rsid w:val="0048038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llegamentoipertestuale">
    <w:name w:val="Hyperlink"/>
    <w:basedOn w:val="Carpredefinitoparagrafo"/>
    <w:uiPriority w:val="99"/>
    <w:unhideWhenUsed/>
    <w:rsid w:val="00CB213E"/>
    <w:rPr>
      <w:color w:val="0563C1" w:themeColor="hyperlink"/>
      <w:u w:val="single"/>
    </w:rPr>
  </w:style>
  <w:style w:type="character" w:customStyle="1" w:styleId="Menzionenonrisolta1">
    <w:name w:val="Menzione non risolta1"/>
    <w:basedOn w:val="Carpredefinitoparagrafo"/>
    <w:uiPriority w:val="99"/>
    <w:semiHidden/>
    <w:unhideWhenUsed/>
    <w:rsid w:val="00CB213E"/>
    <w:rPr>
      <w:color w:val="605E5C"/>
      <w:shd w:val="clear" w:color="auto" w:fill="E1DFDD"/>
    </w:rPr>
  </w:style>
  <w:style w:type="character" w:styleId="Collegamentovisitato">
    <w:name w:val="FollowedHyperlink"/>
    <w:basedOn w:val="Carpredefinitoparagrafo"/>
    <w:uiPriority w:val="99"/>
    <w:semiHidden/>
    <w:unhideWhenUsed/>
    <w:rsid w:val="00CB213E"/>
    <w:rPr>
      <w:color w:val="954F72" w:themeColor="followedHyperlink"/>
      <w:u w:val="single"/>
    </w:rPr>
  </w:style>
  <w:style w:type="character" w:customStyle="1" w:styleId="mixed-citation">
    <w:name w:val="mixed-citation"/>
    <w:basedOn w:val="Carpredefinitoparagrafo"/>
    <w:rsid w:val="0023169C"/>
  </w:style>
  <w:style w:type="character" w:styleId="Enfasicorsivo">
    <w:name w:val="Emphasis"/>
    <w:basedOn w:val="Carpredefinitoparagrafo"/>
    <w:uiPriority w:val="20"/>
    <w:qFormat/>
    <w:rsid w:val="00EB66F7"/>
    <w:rPr>
      <w:b/>
      <w:bCs/>
      <w:i w:val="0"/>
      <w:iCs w:val="0"/>
    </w:rPr>
  </w:style>
  <w:style w:type="paragraph" w:styleId="Testonotadichiusura">
    <w:name w:val="endnote text"/>
    <w:basedOn w:val="Normale"/>
    <w:link w:val="TestonotadichiusuraCarattere"/>
    <w:semiHidden/>
    <w:rsid w:val="00BC067E"/>
    <w:rPr>
      <w:sz w:val="20"/>
      <w:szCs w:val="20"/>
    </w:rPr>
  </w:style>
  <w:style w:type="character" w:customStyle="1" w:styleId="TestonotadichiusuraCarattere">
    <w:name w:val="Testo nota di chiusura Carattere"/>
    <w:basedOn w:val="Carpredefinitoparagrafo"/>
    <w:link w:val="Testonotadichiusura"/>
    <w:semiHidden/>
    <w:rsid w:val="00BC067E"/>
    <w:rPr>
      <w:rFonts w:ascii="Times New Roman" w:eastAsia="Times New Roman" w:hAnsi="Times New Roman" w:cs="Times New Roman"/>
      <w:sz w:val="20"/>
      <w:szCs w:val="20"/>
      <w:lang w:val="en-GB" w:eastAsia="it-IT"/>
    </w:rPr>
  </w:style>
  <w:style w:type="character" w:customStyle="1" w:styleId="html-italic3">
    <w:name w:val="html-italic3"/>
    <w:basedOn w:val="Carpredefinitoparagrafo"/>
    <w:rsid w:val="00D47CCD"/>
    <w:rPr>
      <w:i/>
      <w:iCs/>
    </w:rPr>
  </w:style>
  <w:style w:type="character" w:customStyle="1" w:styleId="Titolo1Carattere">
    <w:name w:val="Titolo 1 Carattere"/>
    <w:basedOn w:val="Carpredefinitoparagrafo"/>
    <w:link w:val="Titolo1"/>
    <w:uiPriority w:val="9"/>
    <w:rsid w:val="002C3FBB"/>
    <w:rPr>
      <w:rFonts w:ascii="Times New Roman" w:eastAsia="Times New Roman" w:hAnsi="Times New Roman" w:cs="Times New Roman"/>
      <w:b/>
      <w:bCs/>
      <w:kern w:val="36"/>
      <w:sz w:val="48"/>
      <w:szCs w:val="48"/>
      <w:lang w:eastAsia="it-IT"/>
    </w:rPr>
  </w:style>
  <w:style w:type="paragraph" w:styleId="Revisione">
    <w:name w:val="Revision"/>
    <w:hidden/>
    <w:uiPriority w:val="99"/>
    <w:semiHidden/>
    <w:rsid w:val="00D864CF"/>
    <w:pPr>
      <w:spacing w:after="0" w:line="240" w:lineRule="auto"/>
    </w:pPr>
    <w:rPr>
      <w:lang w:val="en-GB"/>
    </w:rPr>
  </w:style>
  <w:style w:type="character" w:customStyle="1" w:styleId="Menzionenonrisolta2">
    <w:name w:val="Menzione non risolta2"/>
    <w:basedOn w:val="Carpredefinitoparagrafo"/>
    <w:uiPriority w:val="99"/>
    <w:semiHidden/>
    <w:unhideWhenUsed/>
    <w:rsid w:val="0007728C"/>
    <w:rPr>
      <w:color w:val="605E5C"/>
      <w:shd w:val="clear" w:color="auto" w:fill="E1DFDD"/>
    </w:rPr>
  </w:style>
  <w:style w:type="character" w:customStyle="1" w:styleId="Menzionenonrisolta3">
    <w:name w:val="Menzione non risolta3"/>
    <w:basedOn w:val="Carpredefinitoparagrafo"/>
    <w:uiPriority w:val="99"/>
    <w:semiHidden/>
    <w:unhideWhenUsed/>
    <w:rsid w:val="007C014F"/>
    <w:rPr>
      <w:color w:val="605E5C"/>
      <w:shd w:val="clear" w:color="auto" w:fill="E1DFDD"/>
    </w:rPr>
  </w:style>
  <w:style w:type="paragraph" w:customStyle="1" w:styleId="xxmsolistparagraph">
    <w:name w:val="xxmsolistparagraph"/>
    <w:basedOn w:val="Normale"/>
    <w:rsid w:val="00C150E3"/>
    <w:pPr>
      <w:ind w:left="720"/>
    </w:pPr>
    <w:rPr>
      <w:rFonts w:ascii="Calibri" w:hAnsi="Calibri" w:cs="Calibri"/>
    </w:rPr>
  </w:style>
  <w:style w:type="character" w:customStyle="1" w:styleId="Menzionenonrisolta4">
    <w:name w:val="Menzione non risolta4"/>
    <w:basedOn w:val="Carpredefinitoparagrafo"/>
    <w:uiPriority w:val="99"/>
    <w:semiHidden/>
    <w:unhideWhenUsed/>
    <w:rsid w:val="00BA4AC4"/>
    <w:rPr>
      <w:color w:val="605E5C"/>
      <w:shd w:val="clear" w:color="auto" w:fill="E1DFDD"/>
    </w:rPr>
  </w:style>
  <w:style w:type="paragraph" w:styleId="NormaleWeb">
    <w:name w:val="Normal (Web)"/>
    <w:basedOn w:val="Normale"/>
    <w:uiPriority w:val="99"/>
    <w:unhideWhenUsed/>
    <w:rsid w:val="00C914B8"/>
    <w:pPr>
      <w:spacing w:before="75" w:after="75"/>
    </w:pPr>
  </w:style>
  <w:style w:type="character" w:styleId="Enfasigrassetto">
    <w:name w:val="Strong"/>
    <w:basedOn w:val="Carpredefinitoparagrafo"/>
    <w:uiPriority w:val="22"/>
    <w:qFormat/>
    <w:rsid w:val="00DF2AEF"/>
    <w:rPr>
      <w:b/>
      <w:bCs/>
    </w:rPr>
  </w:style>
  <w:style w:type="character" w:customStyle="1" w:styleId="apple-converted-space">
    <w:name w:val="apple-converted-space"/>
    <w:basedOn w:val="Carpredefinitoparagrafo"/>
    <w:rsid w:val="00DF2AEF"/>
  </w:style>
  <w:style w:type="character" w:customStyle="1" w:styleId="highlight">
    <w:name w:val="highlight"/>
    <w:basedOn w:val="Carpredefinitoparagrafo"/>
    <w:rsid w:val="0071343D"/>
  </w:style>
  <w:style w:type="character" w:customStyle="1" w:styleId="cit">
    <w:name w:val="cit"/>
    <w:basedOn w:val="Carpredefinitoparagrafo"/>
    <w:rsid w:val="00065AD6"/>
  </w:style>
  <w:style w:type="character" w:customStyle="1" w:styleId="doi">
    <w:name w:val="doi"/>
    <w:basedOn w:val="Carpredefinitoparagrafo"/>
    <w:rsid w:val="00065AD6"/>
  </w:style>
  <w:style w:type="character" w:customStyle="1" w:styleId="fm-citation-ids-label">
    <w:name w:val="fm-citation-ids-label"/>
    <w:basedOn w:val="Carpredefinitoparagrafo"/>
    <w:rsid w:val="00065AD6"/>
  </w:style>
  <w:style w:type="character" w:customStyle="1" w:styleId="title-text">
    <w:name w:val="title-text"/>
    <w:basedOn w:val="Carpredefinitoparagrafo"/>
    <w:rsid w:val="00E26291"/>
  </w:style>
  <w:style w:type="character" w:customStyle="1" w:styleId="sr-only">
    <w:name w:val="sr-only"/>
    <w:basedOn w:val="Carpredefinitoparagrafo"/>
    <w:rsid w:val="00E26291"/>
  </w:style>
  <w:style w:type="character" w:customStyle="1" w:styleId="text">
    <w:name w:val="text"/>
    <w:basedOn w:val="Carpredefinitoparagrafo"/>
    <w:rsid w:val="00E26291"/>
  </w:style>
  <w:style w:type="character" w:customStyle="1" w:styleId="author-ref">
    <w:name w:val="author-ref"/>
    <w:basedOn w:val="Carpredefinitoparagrafo"/>
    <w:rsid w:val="00E26291"/>
  </w:style>
  <w:style w:type="table" w:styleId="Grigliatabella">
    <w:name w:val="Table Grid"/>
    <w:basedOn w:val="Tabellanormale"/>
    <w:uiPriority w:val="39"/>
    <w:rsid w:val="008B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Carpredefinitoparagrafo"/>
    <w:rsid w:val="00536987"/>
  </w:style>
  <w:style w:type="paragraph" w:customStyle="1" w:styleId="Default">
    <w:name w:val="Default"/>
    <w:rsid w:val="00D44436"/>
    <w:pPr>
      <w:autoSpaceDE w:val="0"/>
      <w:autoSpaceDN w:val="0"/>
      <w:adjustRightInd w:val="0"/>
      <w:spacing w:after="0" w:line="240" w:lineRule="auto"/>
    </w:pPr>
    <w:rPr>
      <w:rFonts w:ascii="FIBAN H+ Gulliver" w:hAnsi="FIBAN H+ Gulliver" w:cs="FIBAN H+ Gullive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0414">
      <w:bodyDiv w:val="1"/>
      <w:marLeft w:val="0"/>
      <w:marRight w:val="0"/>
      <w:marTop w:val="0"/>
      <w:marBottom w:val="0"/>
      <w:divBdr>
        <w:top w:val="none" w:sz="0" w:space="0" w:color="auto"/>
        <w:left w:val="none" w:sz="0" w:space="0" w:color="auto"/>
        <w:bottom w:val="none" w:sz="0" w:space="0" w:color="auto"/>
        <w:right w:val="none" w:sz="0" w:space="0" w:color="auto"/>
      </w:divBdr>
      <w:divsChild>
        <w:div w:id="640421155">
          <w:marLeft w:val="0"/>
          <w:marRight w:val="0"/>
          <w:marTop w:val="0"/>
          <w:marBottom w:val="0"/>
          <w:divBdr>
            <w:top w:val="none" w:sz="0" w:space="0" w:color="auto"/>
            <w:left w:val="none" w:sz="0" w:space="0" w:color="auto"/>
            <w:bottom w:val="none" w:sz="0" w:space="0" w:color="auto"/>
            <w:right w:val="none" w:sz="0" w:space="0" w:color="auto"/>
          </w:divBdr>
          <w:divsChild>
            <w:div w:id="1922451071">
              <w:marLeft w:val="0"/>
              <w:marRight w:val="0"/>
              <w:marTop w:val="0"/>
              <w:marBottom w:val="0"/>
              <w:divBdr>
                <w:top w:val="none" w:sz="0" w:space="0" w:color="auto"/>
                <w:left w:val="none" w:sz="0" w:space="0" w:color="auto"/>
                <w:bottom w:val="none" w:sz="0" w:space="0" w:color="auto"/>
                <w:right w:val="none" w:sz="0" w:space="0" w:color="auto"/>
              </w:divBdr>
              <w:divsChild>
                <w:div w:id="17987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88431">
      <w:bodyDiv w:val="1"/>
      <w:marLeft w:val="0"/>
      <w:marRight w:val="0"/>
      <w:marTop w:val="0"/>
      <w:marBottom w:val="0"/>
      <w:divBdr>
        <w:top w:val="none" w:sz="0" w:space="0" w:color="auto"/>
        <w:left w:val="none" w:sz="0" w:space="0" w:color="auto"/>
        <w:bottom w:val="none" w:sz="0" w:space="0" w:color="auto"/>
        <w:right w:val="none" w:sz="0" w:space="0" w:color="auto"/>
      </w:divBdr>
    </w:div>
    <w:div w:id="170343508">
      <w:bodyDiv w:val="1"/>
      <w:marLeft w:val="0"/>
      <w:marRight w:val="0"/>
      <w:marTop w:val="0"/>
      <w:marBottom w:val="0"/>
      <w:divBdr>
        <w:top w:val="none" w:sz="0" w:space="0" w:color="auto"/>
        <w:left w:val="none" w:sz="0" w:space="0" w:color="auto"/>
        <w:bottom w:val="none" w:sz="0" w:space="0" w:color="auto"/>
        <w:right w:val="none" w:sz="0" w:space="0" w:color="auto"/>
      </w:divBdr>
    </w:div>
    <w:div w:id="170419140">
      <w:bodyDiv w:val="1"/>
      <w:marLeft w:val="0"/>
      <w:marRight w:val="0"/>
      <w:marTop w:val="0"/>
      <w:marBottom w:val="0"/>
      <w:divBdr>
        <w:top w:val="none" w:sz="0" w:space="0" w:color="auto"/>
        <w:left w:val="none" w:sz="0" w:space="0" w:color="auto"/>
        <w:bottom w:val="none" w:sz="0" w:space="0" w:color="auto"/>
        <w:right w:val="none" w:sz="0" w:space="0" w:color="auto"/>
      </w:divBdr>
      <w:divsChild>
        <w:div w:id="1830366248">
          <w:marLeft w:val="0"/>
          <w:marRight w:val="0"/>
          <w:marTop w:val="0"/>
          <w:marBottom w:val="0"/>
          <w:divBdr>
            <w:top w:val="none" w:sz="0" w:space="0" w:color="auto"/>
            <w:left w:val="none" w:sz="0" w:space="0" w:color="auto"/>
            <w:bottom w:val="none" w:sz="0" w:space="0" w:color="auto"/>
            <w:right w:val="none" w:sz="0" w:space="0" w:color="auto"/>
          </w:divBdr>
          <w:divsChild>
            <w:div w:id="788747136">
              <w:marLeft w:val="0"/>
              <w:marRight w:val="0"/>
              <w:marTop w:val="0"/>
              <w:marBottom w:val="0"/>
              <w:divBdr>
                <w:top w:val="none" w:sz="0" w:space="0" w:color="auto"/>
                <w:left w:val="none" w:sz="0" w:space="0" w:color="auto"/>
                <w:bottom w:val="none" w:sz="0" w:space="0" w:color="auto"/>
                <w:right w:val="none" w:sz="0" w:space="0" w:color="auto"/>
              </w:divBdr>
              <w:divsChild>
                <w:div w:id="30031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87989">
      <w:bodyDiv w:val="1"/>
      <w:marLeft w:val="0"/>
      <w:marRight w:val="0"/>
      <w:marTop w:val="0"/>
      <w:marBottom w:val="0"/>
      <w:divBdr>
        <w:top w:val="none" w:sz="0" w:space="0" w:color="auto"/>
        <w:left w:val="none" w:sz="0" w:space="0" w:color="auto"/>
        <w:bottom w:val="none" w:sz="0" w:space="0" w:color="auto"/>
        <w:right w:val="none" w:sz="0" w:space="0" w:color="auto"/>
      </w:divBdr>
      <w:divsChild>
        <w:div w:id="2116173842">
          <w:marLeft w:val="0"/>
          <w:marRight w:val="0"/>
          <w:marTop w:val="0"/>
          <w:marBottom w:val="0"/>
          <w:divBdr>
            <w:top w:val="none" w:sz="0" w:space="0" w:color="auto"/>
            <w:left w:val="none" w:sz="0" w:space="0" w:color="auto"/>
            <w:bottom w:val="none" w:sz="0" w:space="0" w:color="auto"/>
            <w:right w:val="none" w:sz="0" w:space="0" w:color="auto"/>
          </w:divBdr>
          <w:divsChild>
            <w:div w:id="1334068389">
              <w:marLeft w:val="0"/>
              <w:marRight w:val="0"/>
              <w:marTop w:val="0"/>
              <w:marBottom w:val="0"/>
              <w:divBdr>
                <w:top w:val="none" w:sz="0" w:space="0" w:color="auto"/>
                <w:left w:val="none" w:sz="0" w:space="0" w:color="auto"/>
                <w:bottom w:val="none" w:sz="0" w:space="0" w:color="auto"/>
                <w:right w:val="none" w:sz="0" w:space="0" w:color="auto"/>
              </w:divBdr>
              <w:divsChild>
                <w:div w:id="315184973">
                  <w:marLeft w:val="0"/>
                  <w:marRight w:val="0"/>
                  <w:marTop w:val="0"/>
                  <w:marBottom w:val="0"/>
                  <w:divBdr>
                    <w:top w:val="none" w:sz="0" w:space="0" w:color="auto"/>
                    <w:left w:val="none" w:sz="0" w:space="0" w:color="auto"/>
                    <w:bottom w:val="none" w:sz="0" w:space="0" w:color="auto"/>
                    <w:right w:val="none" w:sz="0" w:space="0" w:color="auto"/>
                  </w:divBdr>
                  <w:divsChild>
                    <w:div w:id="1918704366">
                      <w:marLeft w:val="0"/>
                      <w:marRight w:val="0"/>
                      <w:marTop w:val="0"/>
                      <w:marBottom w:val="0"/>
                      <w:divBdr>
                        <w:top w:val="none" w:sz="0" w:space="0" w:color="auto"/>
                        <w:left w:val="none" w:sz="0" w:space="0" w:color="auto"/>
                        <w:bottom w:val="none" w:sz="0" w:space="0" w:color="auto"/>
                        <w:right w:val="none" w:sz="0" w:space="0" w:color="auto"/>
                      </w:divBdr>
                    </w:div>
                    <w:div w:id="74141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9561">
      <w:bodyDiv w:val="1"/>
      <w:marLeft w:val="0"/>
      <w:marRight w:val="0"/>
      <w:marTop w:val="0"/>
      <w:marBottom w:val="0"/>
      <w:divBdr>
        <w:top w:val="none" w:sz="0" w:space="0" w:color="auto"/>
        <w:left w:val="none" w:sz="0" w:space="0" w:color="auto"/>
        <w:bottom w:val="none" w:sz="0" w:space="0" w:color="auto"/>
        <w:right w:val="none" w:sz="0" w:space="0" w:color="auto"/>
      </w:divBdr>
      <w:divsChild>
        <w:div w:id="585310394">
          <w:marLeft w:val="0"/>
          <w:marRight w:val="0"/>
          <w:marTop w:val="0"/>
          <w:marBottom w:val="0"/>
          <w:divBdr>
            <w:top w:val="none" w:sz="0" w:space="0" w:color="auto"/>
            <w:left w:val="none" w:sz="0" w:space="0" w:color="auto"/>
            <w:bottom w:val="none" w:sz="0" w:space="0" w:color="auto"/>
            <w:right w:val="none" w:sz="0" w:space="0" w:color="auto"/>
          </w:divBdr>
          <w:divsChild>
            <w:div w:id="714501459">
              <w:marLeft w:val="0"/>
              <w:marRight w:val="0"/>
              <w:marTop w:val="0"/>
              <w:marBottom w:val="0"/>
              <w:divBdr>
                <w:top w:val="none" w:sz="0" w:space="0" w:color="auto"/>
                <w:left w:val="none" w:sz="0" w:space="0" w:color="auto"/>
                <w:bottom w:val="none" w:sz="0" w:space="0" w:color="auto"/>
                <w:right w:val="none" w:sz="0" w:space="0" w:color="auto"/>
              </w:divBdr>
              <w:divsChild>
                <w:div w:id="1521973081">
                  <w:marLeft w:val="0"/>
                  <w:marRight w:val="0"/>
                  <w:marTop w:val="0"/>
                  <w:marBottom w:val="0"/>
                  <w:divBdr>
                    <w:top w:val="none" w:sz="0" w:space="0" w:color="auto"/>
                    <w:left w:val="none" w:sz="0" w:space="0" w:color="auto"/>
                    <w:bottom w:val="none" w:sz="0" w:space="0" w:color="auto"/>
                    <w:right w:val="none" w:sz="0" w:space="0" w:color="auto"/>
                  </w:divBdr>
                  <w:divsChild>
                    <w:div w:id="11285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520846">
      <w:bodyDiv w:val="1"/>
      <w:marLeft w:val="0"/>
      <w:marRight w:val="0"/>
      <w:marTop w:val="0"/>
      <w:marBottom w:val="0"/>
      <w:divBdr>
        <w:top w:val="none" w:sz="0" w:space="0" w:color="auto"/>
        <w:left w:val="none" w:sz="0" w:space="0" w:color="auto"/>
        <w:bottom w:val="none" w:sz="0" w:space="0" w:color="auto"/>
        <w:right w:val="none" w:sz="0" w:space="0" w:color="auto"/>
      </w:divBdr>
      <w:divsChild>
        <w:div w:id="1396776812">
          <w:marLeft w:val="0"/>
          <w:marRight w:val="0"/>
          <w:marTop w:val="0"/>
          <w:marBottom w:val="0"/>
          <w:divBdr>
            <w:top w:val="none" w:sz="0" w:space="0" w:color="auto"/>
            <w:left w:val="none" w:sz="0" w:space="0" w:color="auto"/>
            <w:bottom w:val="none" w:sz="0" w:space="0" w:color="auto"/>
            <w:right w:val="none" w:sz="0" w:space="0" w:color="auto"/>
          </w:divBdr>
          <w:divsChild>
            <w:div w:id="1520509983">
              <w:marLeft w:val="0"/>
              <w:marRight w:val="0"/>
              <w:marTop w:val="0"/>
              <w:marBottom w:val="0"/>
              <w:divBdr>
                <w:top w:val="none" w:sz="0" w:space="0" w:color="auto"/>
                <w:left w:val="none" w:sz="0" w:space="0" w:color="auto"/>
                <w:bottom w:val="none" w:sz="0" w:space="0" w:color="auto"/>
                <w:right w:val="none" w:sz="0" w:space="0" w:color="auto"/>
              </w:divBdr>
              <w:divsChild>
                <w:div w:id="47641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20374">
      <w:bodyDiv w:val="1"/>
      <w:marLeft w:val="0"/>
      <w:marRight w:val="0"/>
      <w:marTop w:val="0"/>
      <w:marBottom w:val="0"/>
      <w:divBdr>
        <w:top w:val="none" w:sz="0" w:space="0" w:color="auto"/>
        <w:left w:val="none" w:sz="0" w:space="0" w:color="auto"/>
        <w:bottom w:val="none" w:sz="0" w:space="0" w:color="auto"/>
        <w:right w:val="none" w:sz="0" w:space="0" w:color="auto"/>
      </w:divBdr>
    </w:div>
    <w:div w:id="498352112">
      <w:bodyDiv w:val="1"/>
      <w:marLeft w:val="0"/>
      <w:marRight w:val="0"/>
      <w:marTop w:val="0"/>
      <w:marBottom w:val="0"/>
      <w:divBdr>
        <w:top w:val="none" w:sz="0" w:space="0" w:color="auto"/>
        <w:left w:val="none" w:sz="0" w:space="0" w:color="auto"/>
        <w:bottom w:val="none" w:sz="0" w:space="0" w:color="auto"/>
        <w:right w:val="none" w:sz="0" w:space="0" w:color="auto"/>
      </w:divBdr>
      <w:divsChild>
        <w:div w:id="1298875798">
          <w:marLeft w:val="0"/>
          <w:marRight w:val="0"/>
          <w:marTop w:val="0"/>
          <w:marBottom w:val="0"/>
          <w:divBdr>
            <w:top w:val="none" w:sz="0" w:space="0" w:color="auto"/>
            <w:left w:val="none" w:sz="0" w:space="0" w:color="auto"/>
            <w:bottom w:val="none" w:sz="0" w:space="0" w:color="auto"/>
            <w:right w:val="none" w:sz="0" w:space="0" w:color="auto"/>
          </w:divBdr>
          <w:divsChild>
            <w:div w:id="1037467472">
              <w:marLeft w:val="0"/>
              <w:marRight w:val="0"/>
              <w:marTop w:val="0"/>
              <w:marBottom w:val="0"/>
              <w:divBdr>
                <w:top w:val="none" w:sz="0" w:space="0" w:color="auto"/>
                <w:left w:val="none" w:sz="0" w:space="0" w:color="auto"/>
                <w:bottom w:val="none" w:sz="0" w:space="0" w:color="auto"/>
                <w:right w:val="none" w:sz="0" w:space="0" w:color="auto"/>
              </w:divBdr>
              <w:divsChild>
                <w:div w:id="4815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14262">
      <w:bodyDiv w:val="1"/>
      <w:marLeft w:val="0"/>
      <w:marRight w:val="0"/>
      <w:marTop w:val="0"/>
      <w:marBottom w:val="0"/>
      <w:divBdr>
        <w:top w:val="none" w:sz="0" w:space="0" w:color="auto"/>
        <w:left w:val="none" w:sz="0" w:space="0" w:color="auto"/>
        <w:bottom w:val="none" w:sz="0" w:space="0" w:color="auto"/>
        <w:right w:val="none" w:sz="0" w:space="0" w:color="auto"/>
      </w:divBdr>
    </w:div>
    <w:div w:id="559440521">
      <w:bodyDiv w:val="1"/>
      <w:marLeft w:val="0"/>
      <w:marRight w:val="0"/>
      <w:marTop w:val="0"/>
      <w:marBottom w:val="0"/>
      <w:divBdr>
        <w:top w:val="none" w:sz="0" w:space="0" w:color="auto"/>
        <w:left w:val="none" w:sz="0" w:space="0" w:color="auto"/>
        <w:bottom w:val="none" w:sz="0" w:space="0" w:color="auto"/>
        <w:right w:val="none" w:sz="0" w:space="0" w:color="auto"/>
      </w:divBdr>
      <w:divsChild>
        <w:div w:id="1992172721">
          <w:marLeft w:val="0"/>
          <w:marRight w:val="0"/>
          <w:marTop w:val="0"/>
          <w:marBottom w:val="0"/>
          <w:divBdr>
            <w:top w:val="none" w:sz="0" w:space="0" w:color="auto"/>
            <w:left w:val="none" w:sz="0" w:space="0" w:color="auto"/>
            <w:bottom w:val="none" w:sz="0" w:space="0" w:color="auto"/>
            <w:right w:val="none" w:sz="0" w:space="0" w:color="auto"/>
          </w:divBdr>
          <w:divsChild>
            <w:div w:id="569850957">
              <w:marLeft w:val="0"/>
              <w:marRight w:val="0"/>
              <w:marTop w:val="0"/>
              <w:marBottom w:val="0"/>
              <w:divBdr>
                <w:top w:val="none" w:sz="0" w:space="0" w:color="auto"/>
                <w:left w:val="none" w:sz="0" w:space="0" w:color="auto"/>
                <w:bottom w:val="none" w:sz="0" w:space="0" w:color="auto"/>
                <w:right w:val="none" w:sz="0" w:space="0" w:color="auto"/>
              </w:divBdr>
              <w:divsChild>
                <w:div w:id="7024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11116">
      <w:bodyDiv w:val="1"/>
      <w:marLeft w:val="0"/>
      <w:marRight w:val="0"/>
      <w:marTop w:val="0"/>
      <w:marBottom w:val="0"/>
      <w:divBdr>
        <w:top w:val="none" w:sz="0" w:space="0" w:color="auto"/>
        <w:left w:val="none" w:sz="0" w:space="0" w:color="auto"/>
        <w:bottom w:val="none" w:sz="0" w:space="0" w:color="auto"/>
        <w:right w:val="none" w:sz="0" w:space="0" w:color="auto"/>
      </w:divBdr>
    </w:div>
    <w:div w:id="617840054">
      <w:bodyDiv w:val="1"/>
      <w:marLeft w:val="0"/>
      <w:marRight w:val="0"/>
      <w:marTop w:val="0"/>
      <w:marBottom w:val="0"/>
      <w:divBdr>
        <w:top w:val="none" w:sz="0" w:space="0" w:color="auto"/>
        <w:left w:val="none" w:sz="0" w:space="0" w:color="auto"/>
        <w:bottom w:val="none" w:sz="0" w:space="0" w:color="auto"/>
        <w:right w:val="none" w:sz="0" w:space="0" w:color="auto"/>
      </w:divBdr>
    </w:div>
    <w:div w:id="629212875">
      <w:bodyDiv w:val="1"/>
      <w:marLeft w:val="0"/>
      <w:marRight w:val="0"/>
      <w:marTop w:val="0"/>
      <w:marBottom w:val="0"/>
      <w:divBdr>
        <w:top w:val="none" w:sz="0" w:space="0" w:color="auto"/>
        <w:left w:val="none" w:sz="0" w:space="0" w:color="auto"/>
        <w:bottom w:val="none" w:sz="0" w:space="0" w:color="auto"/>
        <w:right w:val="none" w:sz="0" w:space="0" w:color="auto"/>
      </w:divBdr>
      <w:divsChild>
        <w:div w:id="89011084">
          <w:marLeft w:val="0"/>
          <w:marRight w:val="0"/>
          <w:marTop w:val="0"/>
          <w:marBottom w:val="0"/>
          <w:divBdr>
            <w:top w:val="none" w:sz="0" w:space="0" w:color="auto"/>
            <w:left w:val="none" w:sz="0" w:space="0" w:color="auto"/>
            <w:bottom w:val="none" w:sz="0" w:space="0" w:color="auto"/>
            <w:right w:val="none" w:sz="0" w:space="0" w:color="auto"/>
          </w:divBdr>
          <w:divsChild>
            <w:div w:id="8724435">
              <w:marLeft w:val="0"/>
              <w:marRight w:val="0"/>
              <w:marTop w:val="0"/>
              <w:marBottom w:val="0"/>
              <w:divBdr>
                <w:top w:val="none" w:sz="0" w:space="0" w:color="auto"/>
                <w:left w:val="none" w:sz="0" w:space="0" w:color="auto"/>
                <w:bottom w:val="none" w:sz="0" w:space="0" w:color="auto"/>
                <w:right w:val="none" w:sz="0" w:space="0" w:color="auto"/>
              </w:divBdr>
              <w:divsChild>
                <w:div w:id="125050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853348">
      <w:bodyDiv w:val="1"/>
      <w:marLeft w:val="0"/>
      <w:marRight w:val="0"/>
      <w:marTop w:val="0"/>
      <w:marBottom w:val="0"/>
      <w:divBdr>
        <w:top w:val="none" w:sz="0" w:space="0" w:color="auto"/>
        <w:left w:val="none" w:sz="0" w:space="0" w:color="auto"/>
        <w:bottom w:val="none" w:sz="0" w:space="0" w:color="auto"/>
        <w:right w:val="none" w:sz="0" w:space="0" w:color="auto"/>
      </w:divBdr>
    </w:div>
    <w:div w:id="680788050">
      <w:bodyDiv w:val="1"/>
      <w:marLeft w:val="0"/>
      <w:marRight w:val="0"/>
      <w:marTop w:val="0"/>
      <w:marBottom w:val="0"/>
      <w:divBdr>
        <w:top w:val="none" w:sz="0" w:space="0" w:color="auto"/>
        <w:left w:val="none" w:sz="0" w:space="0" w:color="auto"/>
        <w:bottom w:val="none" w:sz="0" w:space="0" w:color="auto"/>
        <w:right w:val="none" w:sz="0" w:space="0" w:color="auto"/>
      </w:divBdr>
      <w:divsChild>
        <w:div w:id="1797138032">
          <w:marLeft w:val="0"/>
          <w:marRight w:val="0"/>
          <w:marTop w:val="0"/>
          <w:marBottom w:val="0"/>
          <w:divBdr>
            <w:top w:val="none" w:sz="0" w:space="0" w:color="auto"/>
            <w:left w:val="none" w:sz="0" w:space="0" w:color="auto"/>
            <w:bottom w:val="none" w:sz="0" w:space="0" w:color="auto"/>
            <w:right w:val="none" w:sz="0" w:space="0" w:color="auto"/>
          </w:divBdr>
          <w:divsChild>
            <w:div w:id="1910505481">
              <w:marLeft w:val="0"/>
              <w:marRight w:val="0"/>
              <w:marTop w:val="0"/>
              <w:marBottom w:val="0"/>
              <w:divBdr>
                <w:top w:val="none" w:sz="0" w:space="0" w:color="auto"/>
                <w:left w:val="none" w:sz="0" w:space="0" w:color="auto"/>
                <w:bottom w:val="none" w:sz="0" w:space="0" w:color="auto"/>
                <w:right w:val="none" w:sz="0" w:space="0" w:color="auto"/>
              </w:divBdr>
              <w:divsChild>
                <w:div w:id="13082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249648">
      <w:bodyDiv w:val="1"/>
      <w:marLeft w:val="0"/>
      <w:marRight w:val="0"/>
      <w:marTop w:val="0"/>
      <w:marBottom w:val="0"/>
      <w:divBdr>
        <w:top w:val="none" w:sz="0" w:space="0" w:color="auto"/>
        <w:left w:val="none" w:sz="0" w:space="0" w:color="auto"/>
        <w:bottom w:val="none" w:sz="0" w:space="0" w:color="auto"/>
        <w:right w:val="none" w:sz="0" w:space="0" w:color="auto"/>
      </w:divBdr>
      <w:divsChild>
        <w:div w:id="1981301879">
          <w:marLeft w:val="0"/>
          <w:marRight w:val="0"/>
          <w:marTop w:val="0"/>
          <w:marBottom w:val="0"/>
          <w:divBdr>
            <w:top w:val="none" w:sz="0" w:space="0" w:color="auto"/>
            <w:left w:val="none" w:sz="0" w:space="0" w:color="auto"/>
            <w:bottom w:val="none" w:sz="0" w:space="0" w:color="auto"/>
            <w:right w:val="none" w:sz="0" w:space="0" w:color="auto"/>
          </w:divBdr>
        </w:div>
      </w:divsChild>
    </w:div>
    <w:div w:id="751700900">
      <w:bodyDiv w:val="1"/>
      <w:marLeft w:val="0"/>
      <w:marRight w:val="0"/>
      <w:marTop w:val="0"/>
      <w:marBottom w:val="0"/>
      <w:divBdr>
        <w:top w:val="none" w:sz="0" w:space="0" w:color="auto"/>
        <w:left w:val="none" w:sz="0" w:space="0" w:color="auto"/>
        <w:bottom w:val="none" w:sz="0" w:space="0" w:color="auto"/>
        <w:right w:val="none" w:sz="0" w:space="0" w:color="auto"/>
      </w:divBdr>
    </w:div>
    <w:div w:id="865869288">
      <w:bodyDiv w:val="1"/>
      <w:marLeft w:val="0"/>
      <w:marRight w:val="0"/>
      <w:marTop w:val="0"/>
      <w:marBottom w:val="0"/>
      <w:divBdr>
        <w:top w:val="none" w:sz="0" w:space="0" w:color="auto"/>
        <w:left w:val="none" w:sz="0" w:space="0" w:color="auto"/>
        <w:bottom w:val="none" w:sz="0" w:space="0" w:color="auto"/>
        <w:right w:val="none" w:sz="0" w:space="0" w:color="auto"/>
      </w:divBdr>
    </w:div>
    <w:div w:id="873269849">
      <w:bodyDiv w:val="1"/>
      <w:marLeft w:val="0"/>
      <w:marRight w:val="0"/>
      <w:marTop w:val="0"/>
      <w:marBottom w:val="0"/>
      <w:divBdr>
        <w:top w:val="none" w:sz="0" w:space="0" w:color="auto"/>
        <w:left w:val="none" w:sz="0" w:space="0" w:color="auto"/>
        <w:bottom w:val="none" w:sz="0" w:space="0" w:color="auto"/>
        <w:right w:val="none" w:sz="0" w:space="0" w:color="auto"/>
      </w:divBdr>
    </w:div>
    <w:div w:id="977608971">
      <w:bodyDiv w:val="1"/>
      <w:marLeft w:val="0"/>
      <w:marRight w:val="0"/>
      <w:marTop w:val="0"/>
      <w:marBottom w:val="0"/>
      <w:divBdr>
        <w:top w:val="none" w:sz="0" w:space="0" w:color="auto"/>
        <w:left w:val="none" w:sz="0" w:space="0" w:color="auto"/>
        <w:bottom w:val="none" w:sz="0" w:space="0" w:color="auto"/>
        <w:right w:val="none" w:sz="0" w:space="0" w:color="auto"/>
      </w:divBdr>
    </w:div>
    <w:div w:id="999389020">
      <w:bodyDiv w:val="1"/>
      <w:marLeft w:val="0"/>
      <w:marRight w:val="0"/>
      <w:marTop w:val="0"/>
      <w:marBottom w:val="0"/>
      <w:divBdr>
        <w:top w:val="none" w:sz="0" w:space="0" w:color="auto"/>
        <w:left w:val="none" w:sz="0" w:space="0" w:color="auto"/>
        <w:bottom w:val="none" w:sz="0" w:space="0" w:color="auto"/>
        <w:right w:val="none" w:sz="0" w:space="0" w:color="auto"/>
      </w:divBdr>
      <w:divsChild>
        <w:div w:id="1981615457">
          <w:marLeft w:val="0"/>
          <w:marRight w:val="0"/>
          <w:marTop w:val="0"/>
          <w:marBottom w:val="0"/>
          <w:divBdr>
            <w:top w:val="none" w:sz="0" w:space="0" w:color="auto"/>
            <w:left w:val="none" w:sz="0" w:space="0" w:color="auto"/>
            <w:bottom w:val="none" w:sz="0" w:space="0" w:color="auto"/>
            <w:right w:val="none" w:sz="0" w:space="0" w:color="auto"/>
          </w:divBdr>
          <w:divsChild>
            <w:div w:id="561871824">
              <w:marLeft w:val="0"/>
              <w:marRight w:val="0"/>
              <w:marTop w:val="0"/>
              <w:marBottom w:val="0"/>
              <w:divBdr>
                <w:top w:val="none" w:sz="0" w:space="0" w:color="auto"/>
                <w:left w:val="none" w:sz="0" w:space="0" w:color="auto"/>
                <w:bottom w:val="none" w:sz="0" w:space="0" w:color="auto"/>
                <w:right w:val="none" w:sz="0" w:space="0" w:color="auto"/>
              </w:divBdr>
              <w:divsChild>
                <w:div w:id="99368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15421">
      <w:bodyDiv w:val="1"/>
      <w:marLeft w:val="0"/>
      <w:marRight w:val="0"/>
      <w:marTop w:val="0"/>
      <w:marBottom w:val="0"/>
      <w:divBdr>
        <w:top w:val="none" w:sz="0" w:space="0" w:color="auto"/>
        <w:left w:val="none" w:sz="0" w:space="0" w:color="auto"/>
        <w:bottom w:val="none" w:sz="0" w:space="0" w:color="auto"/>
        <w:right w:val="none" w:sz="0" w:space="0" w:color="auto"/>
      </w:divBdr>
      <w:divsChild>
        <w:div w:id="335546363">
          <w:marLeft w:val="0"/>
          <w:marRight w:val="0"/>
          <w:marTop w:val="0"/>
          <w:marBottom w:val="120"/>
          <w:divBdr>
            <w:top w:val="none" w:sz="0" w:space="0" w:color="auto"/>
            <w:left w:val="none" w:sz="0" w:space="0" w:color="auto"/>
            <w:bottom w:val="none" w:sz="0" w:space="0" w:color="auto"/>
            <w:right w:val="none" w:sz="0" w:space="0" w:color="auto"/>
          </w:divBdr>
          <w:divsChild>
            <w:div w:id="1408529660">
              <w:marLeft w:val="0"/>
              <w:marRight w:val="0"/>
              <w:marTop w:val="0"/>
              <w:marBottom w:val="0"/>
              <w:divBdr>
                <w:top w:val="none" w:sz="0" w:space="0" w:color="auto"/>
                <w:left w:val="none" w:sz="0" w:space="0" w:color="auto"/>
                <w:bottom w:val="none" w:sz="0" w:space="0" w:color="auto"/>
                <w:right w:val="none" w:sz="0" w:space="0" w:color="auto"/>
              </w:divBdr>
              <w:divsChild>
                <w:div w:id="1550875959">
                  <w:marLeft w:val="0"/>
                  <w:marRight w:val="0"/>
                  <w:marTop w:val="0"/>
                  <w:marBottom w:val="0"/>
                  <w:divBdr>
                    <w:top w:val="none" w:sz="0" w:space="0" w:color="auto"/>
                    <w:left w:val="none" w:sz="0" w:space="0" w:color="auto"/>
                    <w:bottom w:val="none" w:sz="0" w:space="0" w:color="auto"/>
                    <w:right w:val="none" w:sz="0" w:space="0" w:color="auto"/>
                  </w:divBdr>
                  <w:divsChild>
                    <w:div w:id="802241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048146601">
      <w:bodyDiv w:val="1"/>
      <w:marLeft w:val="0"/>
      <w:marRight w:val="0"/>
      <w:marTop w:val="0"/>
      <w:marBottom w:val="0"/>
      <w:divBdr>
        <w:top w:val="none" w:sz="0" w:space="0" w:color="auto"/>
        <w:left w:val="none" w:sz="0" w:space="0" w:color="auto"/>
        <w:bottom w:val="none" w:sz="0" w:space="0" w:color="auto"/>
        <w:right w:val="none" w:sz="0" w:space="0" w:color="auto"/>
      </w:divBdr>
    </w:div>
    <w:div w:id="1073896768">
      <w:bodyDiv w:val="1"/>
      <w:marLeft w:val="0"/>
      <w:marRight w:val="0"/>
      <w:marTop w:val="0"/>
      <w:marBottom w:val="0"/>
      <w:divBdr>
        <w:top w:val="none" w:sz="0" w:space="0" w:color="auto"/>
        <w:left w:val="none" w:sz="0" w:space="0" w:color="auto"/>
        <w:bottom w:val="none" w:sz="0" w:space="0" w:color="auto"/>
        <w:right w:val="none" w:sz="0" w:space="0" w:color="auto"/>
      </w:divBdr>
      <w:divsChild>
        <w:div w:id="1560743899">
          <w:marLeft w:val="0"/>
          <w:marRight w:val="0"/>
          <w:marTop w:val="0"/>
          <w:marBottom w:val="0"/>
          <w:divBdr>
            <w:top w:val="none" w:sz="0" w:space="0" w:color="auto"/>
            <w:left w:val="none" w:sz="0" w:space="0" w:color="auto"/>
            <w:bottom w:val="none" w:sz="0" w:space="0" w:color="auto"/>
            <w:right w:val="none" w:sz="0" w:space="0" w:color="auto"/>
          </w:divBdr>
          <w:divsChild>
            <w:div w:id="1650791211">
              <w:marLeft w:val="0"/>
              <w:marRight w:val="0"/>
              <w:marTop w:val="0"/>
              <w:marBottom w:val="0"/>
              <w:divBdr>
                <w:top w:val="none" w:sz="0" w:space="0" w:color="auto"/>
                <w:left w:val="none" w:sz="0" w:space="0" w:color="auto"/>
                <w:bottom w:val="none" w:sz="0" w:space="0" w:color="auto"/>
                <w:right w:val="none" w:sz="0" w:space="0" w:color="auto"/>
              </w:divBdr>
              <w:divsChild>
                <w:div w:id="870799899">
                  <w:marLeft w:val="0"/>
                  <w:marRight w:val="0"/>
                  <w:marTop w:val="0"/>
                  <w:marBottom w:val="0"/>
                  <w:divBdr>
                    <w:top w:val="none" w:sz="0" w:space="0" w:color="auto"/>
                    <w:left w:val="none" w:sz="0" w:space="0" w:color="auto"/>
                    <w:bottom w:val="none" w:sz="0" w:space="0" w:color="auto"/>
                    <w:right w:val="none" w:sz="0" w:space="0" w:color="auto"/>
                  </w:divBdr>
                  <w:divsChild>
                    <w:div w:id="1569876754">
                      <w:marLeft w:val="0"/>
                      <w:marRight w:val="0"/>
                      <w:marTop w:val="0"/>
                      <w:marBottom w:val="0"/>
                      <w:divBdr>
                        <w:top w:val="none" w:sz="0" w:space="0" w:color="auto"/>
                        <w:left w:val="none" w:sz="0" w:space="0" w:color="auto"/>
                        <w:bottom w:val="none" w:sz="0" w:space="0" w:color="auto"/>
                        <w:right w:val="none" w:sz="0" w:space="0" w:color="auto"/>
                      </w:divBdr>
                      <w:divsChild>
                        <w:div w:id="93018074">
                          <w:marLeft w:val="0"/>
                          <w:marRight w:val="0"/>
                          <w:marTop w:val="0"/>
                          <w:marBottom w:val="0"/>
                          <w:divBdr>
                            <w:top w:val="none" w:sz="0" w:space="0" w:color="auto"/>
                            <w:left w:val="none" w:sz="0" w:space="0" w:color="auto"/>
                            <w:bottom w:val="none" w:sz="0" w:space="0" w:color="auto"/>
                            <w:right w:val="none" w:sz="0" w:space="0" w:color="auto"/>
                          </w:divBdr>
                          <w:divsChild>
                            <w:div w:id="1002051866">
                              <w:marLeft w:val="0"/>
                              <w:marRight w:val="0"/>
                              <w:marTop w:val="255"/>
                              <w:marBottom w:val="0"/>
                              <w:divBdr>
                                <w:top w:val="none" w:sz="0" w:space="0" w:color="auto"/>
                                <w:left w:val="none" w:sz="0" w:space="0" w:color="auto"/>
                                <w:bottom w:val="none" w:sz="0" w:space="0" w:color="auto"/>
                                <w:right w:val="none" w:sz="0" w:space="0" w:color="auto"/>
                              </w:divBdr>
                              <w:divsChild>
                                <w:div w:id="1417706186">
                                  <w:marLeft w:val="0"/>
                                  <w:marRight w:val="0"/>
                                  <w:marTop w:val="0"/>
                                  <w:marBottom w:val="0"/>
                                  <w:divBdr>
                                    <w:top w:val="none" w:sz="0" w:space="0" w:color="auto"/>
                                    <w:left w:val="none" w:sz="0" w:space="0" w:color="auto"/>
                                    <w:bottom w:val="none" w:sz="0" w:space="0" w:color="auto"/>
                                    <w:right w:val="none" w:sz="0" w:space="0" w:color="auto"/>
                                  </w:divBdr>
                                  <w:divsChild>
                                    <w:div w:id="177930506">
                                      <w:marLeft w:val="-225"/>
                                      <w:marRight w:val="-225"/>
                                      <w:marTop w:val="0"/>
                                      <w:marBottom w:val="0"/>
                                      <w:divBdr>
                                        <w:top w:val="none" w:sz="0" w:space="0" w:color="auto"/>
                                        <w:left w:val="none" w:sz="0" w:space="0" w:color="auto"/>
                                        <w:bottom w:val="none" w:sz="0" w:space="0" w:color="auto"/>
                                        <w:right w:val="none" w:sz="0" w:space="0" w:color="auto"/>
                                      </w:divBdr>
                                      <w:divsChild>
                                        <w:div w:id="181432281">
                                          <w:marLeft w:val="0"/>
                                          <w:marRight w:val="0"/>
                                          <w:marTop w:val="0"/>
                                          <w:marBottom w:val="0"/>
                                          <w:divBdr>
                                            <w:top w:val="none" w:sz="0" w:space="0" w:color="auto"/>
                                            <w:left w:val="none" w:sz="0" w:space="0" w:color="auto"/>
                                            <w:bottom w:val="none" w:sz="0" w:space="0" w:color="auto"/>
                                            <w:right w:val="none" w:sz="0" w:space="0" w:color="auto"/>
                                          </w:divBdr>
                                          <w:divsChild>
                                            <w:div w:id="407387437">
                                              <w:marLeft w:val="0"/>
                                              <w:marRight w:val="0"/>
                                              <w:marTop w:val="0"/>
                                              <w:marBottom w:val="0"/>
                                              <w:divBdr>
                                                <w:top w:val="none" w:sz="0" w:space="0" w:color="auto"/>
                                                <w:left w:val="none" w:sz="0" w:space="0" w:color="auto"/>
                                                <w:bottom w:val="none" w:sz="0" w:space="0" w:color="auto"/>
                                                <w:right w:val="none" w:sz="0" w:space="0" w:color="auto"/>
                                              </w:divBdr>
                                              <w:divsChild>
                                                <w:div w:id="83262680">
                                                  <w:marLeft w:val="0"/>
                                                  <w:marRight w:val="0"/>
                                                  <w:marTop w:val="0"/>
                                                  <w:marBottom w:val="0"/>
                                                  <w:divBdr>
                                                    <w:top w:val="none" w:sz="0" w:space="0" w:color="auto"/>
                                                    <w:left w:val="none" w:sz="0" w:space="0" w:color="auto"/>
                                                    <w:bottom w:val="none" w:sz="0" w:space="0" w:color="auto"/>
                                                    <w:right w:val="none" w:sz="0" w:space="0" w:color="auto"/>
                                                  </w:divBdr>
                                                  <w:divsChild>
                                                    <w:div w:id="106780465">
                                                      <w:marLeft w:val="0"/>
                                                      <w:marRight w:val="0"/>
                                                      <w:marTop w:val="0"/>
                                                      <w:marBottom w:val="0"/>
                                                      <w:divBdr>
                                                        <w:top w:val="none" w:sz="0" w:space="0" w:color="auto"/>
                                                        <w:left w:val="none" w:sz="0" w:space="0" w:color="auto"/>
                                                        <w:bottom w:val="none" w:sz="0" w:space="0" w:color="auto"/>
                                                        <w:right w:val="none" w:sz="0" w:space="0" w:color="auto"/>
                                                      </w:divBdr>
                                                      <w:divsChild>
                                                        <w:div w:id="2119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5707383">
      <w:bodyDiv w:val="1"/>
      <w:marLeft w:val="0"/>
      <w:marRight w:val="0"/>
      <w:marTop w:val="0"/>
      <w:marBottom w:val="0"/>
      <w:divBdr>
        <w:top w:val="none" w:sz="0" w:space="0" w:color="auto"/>
        <w:left w:val="none" w:sz="0" w:space="0" w:color="auto"/>
        <w:bottom w:val="none" w:sz="0" w:space="0" w:color="auto"/>
        <w:right w:val="none" w:sz="0" w:space="0" w:color="auto"/>
      </w:divBdr>
      <w:divsChild>
        <w:div w:id="1349213769">
          <w:marLeft w:val="0"/>
          <w:marRight w:val="0"/>
          <w:marTop w:val="0"/>
          <w:marBottom w:val="0"/>
          <w:divBdr>
            <w:top w:val="none" w:sz="0" w:space="0" w:color="auto"/>
            <w:left w:val="none" w:sz="0" w:space="0" w:color="auto"/>
            <w:bottom w:val="none" w:sz="0" w:space="0" w:color="auto"/>
            <w:right w:val="none" w:sz="0" w:space="0" w:color="auto"/>
          </w:divBdr>
          <w:divsChild>
            <w:div w:id="296646246">
              <w:marLeft w:val="0"/>
              <w:marRight w:val="0"/>
              <w:marTop w:val="0"/>
              <w:marBottom w:val="0"/>
              <w:divBdr>
                <w:top w:val="none" w:sz="0" w:space="0" w:color="auto"/>
                <w:left w:val="none" w:sz="0" w:space="0" w:color="auto"/>
                <w:bottom w:val="none" w:sz="0" w:space="0" w:color="auto"/>
                <w:right w:val="none" w:sz="0" w:space="0" w:color="auto"/>
              </w:divBdr>
              <w:divsChild>
                <w:div w:id="896279638">
                  <w:marLeft w:val="0"/>
                  <w:marRight w:val="0"/>
                  <w:marTop w:val="0"/>
                  <w:marBottom w:val="0"/>
                  <w:divBdr>
                    <w:top w:val="none" w:sz="0" w:space="0" w:color="auto"/>
                    <w:left w:val="none" w:sz="0" w:space="0" w:color="auto"/>
                    <w:bottom w:val="none" w:sz="0" w:space="0" w:color="auto"/>
                    <w:right w:val="none" w:sz="0" w:space="0" w:color="auto"/>
                  </w:divBdr>
                  <w:divsChild>
                    <w:div w:id="409543831">
                      <w:marLeft w:val="0"/>
                      <w:marRight w:val="0"/>
                      <w:marTop w:val="0"/>
                      <w:marBottom w:val="0"/>
                      <w:divBdr>
                        <w:top w:val="none" w:sz="0" w:space="0" w:color="auto"/>
                        <w:left w:val="none" w:sz="0" w:space="0" w:color="auto"/>
                        <w:bottom w:val="none" w:sz="0" w:space="0" w:color="auto"/>
                        <w:right w:val="none" w:sz="0" w:space="0" w:color="auto"/>
                      </w:divBdr>
                      <w:divsChild>
                        <w:div w:id="1969628093">
                          <w:marLeft w:val="0"/>
                          <w:marRight w:val="0"/>
                          <w:marTop w:val="0"/>
                          <w:marBottom w:val="0"/>
                          <w:divBdr>
                            <w:top w:val="none" w:sz="0" w:space="0" w:color="auto"/>
                            <w:left w:val="none" w:sz="0" w:space="0" w:color="auto"/>
                            <w:bottom w:val="none" w:sz="0" w:space="0" w:color="auto"/>
                            <w:right w:val="none" w:sz="0" w:space="0" w:color="auto"/>
                          </w:divBdr>
                          <w:divsChild>
                            <w:div w:id="892696574">
                              <w:marLeft w:val="0"/>
                              <w:marRight w:val="0"/>
                              <w:marTop w:val="0"/>
                              <w:marBottom w:val="0"/>
                              <w:divBdr>
                                <w:top w:val="none" w:sz="0" w:space="0" w:color="auto"/>
                                <w:left w:val="none" w:sz="0" w:space="0" w:color="auto"/>
                                <w:bottom w:val="none" w:sz="0" w:space="0" w:color="auto"/>
                                <w:right w:val="none" w:sz="0" w:space="0" w:color="auto"/>
                              </w:divBdr>
                              <w:divsChild>
                                <w:div w:id="2021277578">
                                  <w:marLeft w:val="0"/>
                                  <w:marRight w:val="0"/>
                                  <w:marTop w:val="0"/>
                                  <w:marBottom w:val="0"/>
                                  <w:divBdr>
                                    <w:top w:val="none" w:sz="0" w:space="0" w:color="auto"/>
                                    <w:left w:val="none" w:sz="0" w:space="0" w:color="auto"/>
                                    <w:bottom w:val="none" w:sz="0" w:space="0" w:color="auto"/>
                                    <w:right w:val="none" w:sz="0" w:space="0" w:color="auto"/>
                                  </w:divBdr>
                                  <w:divsChild>
                                    <w:div w:id="1561598200">
                                      <w:marLeft w:val="0"/>
                                      <w:marRight w:val="0"/>
                                      <w:marTop w:val="0"/>
                                      <w:marBottom w:val="0"/>
                                      <w:divBdr>
                                        <w:top w:val="none" w:sz="0" w:space="0" w:color="auto"/>
                                        <w:left w:val="none" w:sz="0" w:space="0" w:color="auto"/>
                                        <w:bottom w:val="none" w:sz="0" w:space="0" w:color="auto"/>
                                        <w:right w:val="none" w:sz="0" w:space="0" w:color="auto"/>
                                      </w:divBdr>
                                      <w:divsChild>
                                        <w:div w:id="2073262204">
                                          <w:marLeft w:val="0"/>
                                          <w:marRight w:val="0"/>
                                          <w:marTop w:val="0"/>
                                          <w:marBottom w:val="0"/>
                                          <w:divBdr>
                                            <w:top w:val="none" w:sz="0" w:space="0" w:color="auto"/>
                                            <w:left w:val="none" w:sz="0" w:space="0" w:color="auto"/>
                                            <w:bottom w:val="none" w:sz="0" w:space="0" w:color="auto"/>
                                            <w:right w:val="none" w:sz="0" w:space="0" w:color="auto"/>
                                          </w:divBdr>
                                          <w:divsChild>
                                            <w:div w:id="489443627">
                                              <w:marLeft w:val="0"/>
                                              <w:marRight w:val="0"/>
                                              <w:marTop w:val="0"/>
                                              <w:marBottom w:val="495"/>
                                              <w:divBdr>
                                                <w:top w:val="none" w:sz="0" w:space="0" w:color="auto"/>
                                                <w:left w:val="none" w:sz="0" w:space="0" w:color="auto"/>
                                                <w:bottom w:val="none" w:sz="0" w:space="0" w:color="auto"/>
                                                <w:right w:val="none" w:sz="0" w:space="0" w:color="auto"/>
                                              </w:divBdr>
                                              <w:divsChild>
                                                <w:div w:id="95860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9402536">
      <w:bodyDiv w:val="1"/>
      <w:marLeft w:val="0"/>
      <w:marRight w:val="0"/>
      <w:marTop w:val="0"/>
      <w:marBottom w:val="0"/>
      <w:divBdr>
        <w:top w:val="none" w:sz="0" w:space="0" w:color="auto"/>
        <w:left w:val="none" w:sz="0" w:space="0" w:color="auto"/>
        <w:bottom w:val="none" w:sz="0" w:space="0" w:color="auto"/>
        <w:right w:val="none" w:sz="0" w:space="0" w:color="auto"/>
      </w:divBdr>
      <w:divsChild>
        <w:div w:id="327948628">
          <w:marLeft w:val="0"/>
          <w:marRight w:val="0"/>
          <w:marTop w:val="0"/>
          <w:marBottom w:val="0"/>
          <w:divBdr>
            <w:top w:val="none" w:sz="0" w:space="0" w:color="auto"/>
            <w:left w:val="none" w:sz="0" w:space="0" w:color="auto"/>
            <w:bottom w:val="none" w:sz="0" w:space="0" w:color="auto"/>
            <w:right w:val="none" w:sz="0" w:space="0" w:color="auto"/>
          </w:divBdr>
          <w:divsChild>
            <w:div w:id="566307870">
              <w:marLeft w:val="0"/>
              <w:marRight w:val="0"/>
              <w:marTop w:val="0"/>
              <w:marBottom w:val="0"/>
              <w:divBdr>
                <w:top w:val="none" w:sz="0" w:space="0" w:color="auto"/>
                <w:left w:val="none" w:sz="0" w:space="0" w:color="auto"/>
                <w:bottom w:val="none" w:sz="0" w:space="0" w:color="auto"/>
                <w:right w:val="none" w:sz="0" w:space="0" w:color="auto"/>
              </w:divBdr>
              <w:divsChild>
                <w:div w:id="915479779">
                  <w:marLeft w:val="0"/>
                  <w:marRight w:val="0"/>
                  <w:marTop w:val="0"/>
                  <w:marBottom w:val="0"/>
                  <w:divBdr>
                    <w:top w:val="none" w:sz="0" w:space="0" w:color="auto"/>
                    <w:left w:val="none" w:sz="0" w:space="0" w:color="auto"/>
                    <w:bottom w:val="none" w:sz="0" w:space="0" w:color="auto"/>
                    <w:right w:val="none" w:sz="0" w:space="0" w:color="auto"/>
                  </w:divBdr>
                </w:div>
                <w:div w:id="11683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06131">
      <w:bodyDiv w:val="1"/>
      <w:marLeft w:val="0"/>
      <w:marRight w:val="0"/>
      <w:marTop w:val="0"/>
      <w:marBottom w:val="0"/>
      <w:divBdr>
        <w:top w:val="none" w:sz="0" w:space="0" w:color="auto"/>
        <w:left w:val="none" w:sz="0" w:space="0" w:color="auto"/>
        <w:bottom w:val="none" w:sz="0" w:space="0" w:color="auto"/>
        <w:right w:val="none" w:sz="0" w:space="0" w:color="auto"/>
      </w:divBdr>
    </w:div>
    <w:div w:id="1266503878">
      <w:bodyDiv w:val="1"/>
      <w:marLeft w:val="0"/>
      <w:marRight w:val="0"/>
      <w:marTop w:val="0"/>
      <w:marBottom w:val="0"/>
      <w:divBdr>
        <w:top w:val="none" w:sz="0" w:space="0" w:color="auto"/>
        <w:left w:val="none" w:sz="0" w:space="0" w:color="auto"/>
        <w:bottom w:val="none" w:sz="0" w:space="0" w:color="auto"/>
        <w:right w:val="none" w:sz="0" w:space="0" w:color="auto"/>
      </w:divBdr>
    </w:div>
    <w:div w:id="1511021091">
      <w:bodyDiv w:val="1"/>
      <w:marLeft w:val="0"/>
      <w:marRight w:val="0"/>
      <w:marTop w:val="0"/>
      <w:marBottom w:val="0"/>
      <w:divBdr>
        <w:top w:val="none" w:sz="0" w:space="0" w:color="auto"/>
        <w:left w:val="none" w:sz="0" w:space="0" w:color="auto"/>
        <w:bottom w:val="none" w:sz="0" w:space="0" w:color="auto"/>
        <w:right w:val="none" w:sz="0" w:space="0" w:color="auto"/>
      </w:divBdr>
    </w:div>
    <w:div w:id="1517305001">
      <w:bodyDiv w:val="1"/>
      <w:marLeft w:val="0"/>
      <w:marRight w:val="0"/>
      <w:marTop w:val="0"/>
      <w:marBottom w:val="0"/>
      <w:divBdr>
        <w:top w:val="none" w:sz="0" w:space="0" w:color="auto"/>
        <w:left w:val="none" w:sz="0" w:space="0" w:color="auto"/>
        <w:bottom w:val="none" w:sz="0" w:space="0" w:color="auto"/>
        <w:right w:val="none" w:sz="0" w:space="0" w:color="auto"/>
      </w:divBdr>
    </w:div>
    <w:div w:id="1617910192">
      <w:bodyDiv w:val="1"/>
      <w:marLeft w:val="0"/>
      <w:marRight w:val="0"/>
      <w:marTop w:val="0"/>
      <w:marBottom w:val="0"/>
      <w:divBdr>
        <w:top w:val="none" w:sz="0" w:space="0" w:color="auto"/>
        <w:left w:val="none" w:sz="0" w:space="0" w:color="auto"/>
        <w:bottom w:val="none" w:sz="0" w:space="0" w:color="auto"/>
        <w:right w:val="none" w:sz="0" w:space="0" w:color="auto"/>
      </w:divBdr>
      <w:divsChild>
        <w:div w:id="1735544116">
          <w:marLeft w:val="0"/>
          <w:marRight w:val="0"/>
          <w:marTop w:val="0"/>
          <w:marBottom w:val="0"/>
          <w:divBdr>
            <w:top w:val="none" w:sz="0" w:space="0" w:color="auto"/>
            <w:left w:val="none" w:sz="0" w:space="0" w:color="auto"/>
            <w:bottom w:val="none" w:sz="0" w:space="0" w:color="auto"/>
            <w:right w:val="none" w:sz="0" w:space="0" w:color="auto"/>
          </w:divBdr>
          <w:divsChild>
            <w:div w:id="539628148">
              <w:marLeft w:val="0"/>
              <w:marRight w:val="0"/>
              <w:marTop w:val="0"/>
              <w:marBottom w:val="0"/>
              <w:divBdr>
                <w:top w:val="none" w:sz="0" w:space="0" w:color="auto"/>
                <w:left w:val="none" w:sz="0" w:space="0" w:color="auto"/>
                <w:bottom w:val="none" w:sz="0" w:space="0" w:color="auto"/>
                <w:right w:val="none" w:sz="0" w:space="0" w:color="auto"/>
              </w:divBdr>
              <w:divsChild>
                <w:div w:id="163101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136379">
      <w:bodyDiv w:val="1"/>
      <w:marLeft w:val="0"/>
      <w:marRight w:val="0"/>
      <w:marTop w:val="0"/>
      <w:marBottom w:val="0"/>
      <w:divBdr>
        <w:top w:val="none" w:sz="0" w:space="0" w:color="auto"/>
        <w:left w:val="none" w:sz="0" w:space="0" w:color="auto"/>
        <w:bottom w:val="none" w:sz="0" w:space="0" w:color="auto"/>
        <w:right w:val="none" w:sz="0" w:space="0" w:color="auto"/>
      </w:divBdr>
      <w:divsChild>
        <w:div w:id="1969585820">
          <w:marLeft w:val="0"/>
          <w:marRight w:val="0"/>
          <w:marTop w:val="0"/>
          <w:marBottom w:val="0"/>
          <w:divBdr>
            <w:top w:val="none" w:sz="0" w:space="0" w:color="auto"/>
            <w:left w:val="none" w:sz="0" w:space="0" w:color="auto"/>
            <w:bottom w:val="none" w:sz="0" w:space="0" w:color="auto"/>
            <w:right w:val="none" w:sz="0" w:space="0" w:color="auto"/>
          </w:divBdr>
          <w:divsChild>
            <w:div w:id="794131107">
              <w:marLeft w:val="0"/>
              <w:marRight w:val="0"/>
              <w:marTop w:val="0"/>
              <w:marBottom w:val="0"/>
              <w:divBdr>
                <w:top w:val="none" w:sz="0" w:space="0" w:color="auto"/>
                <w:left w:val="none" w:sz="0" w:space="0" w:color="auto"/>
                <w:bottom w:val="none" w:sz="0" w:space="0" w:color="auto"/>
                <w:right w:val="none" w:sz="0" w:space="0" w:color="auto"/>
              </w:divBdr>
              <w:divsChild>
                <w:div w:id="102894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2417">
      <w:bodyDiv w:val="1"/>
      <w:marLeft w:val="0"/>
      <w:marRight w:val="0"/>
      <w:marTop w:val="0"/>
      <w:marBottom w:val="0"/>
      <w:divBdr>
        <w:top w:val="none" w:sz="0" w:space="0" w:color="auto"/>
        <w:left w:val="none" w:sz="0" w:space="0" w:color="auto"/>
        <w:bottom w:val="none" w:sz="0" w:space="0" w:color="auto"/>
        <w:right w:val="none" w:sz="0" w:space="0" w:color="auto"/>
      </w:divBdr>
    </w:div>
    <w:div w:id="1732650607">
      <w:bodyDiv w:val="1"/>
      <w:marLeft w:val="0"/>
      <w:marRight w:val="0"/>
      <w:marTop w:val="0"/>
      <w:marBottom w:val="0"/>
      <w:divBdr>
        <w:top w:val="none" w:sz="0" w:space="0" w:color="auto"/>
        <w:left w:val="none" w:sz="0" w:space="0" w:color="auto"/>
        <w:bottom w:val="none" w:sz="0" w:space="0" w:color="auto"/>
        <w:right w:val="none" w:sz="0" w:space="0" w:color="auto"/>
      </w:divBdr>
    </w:div>
    <w:div w:id="1893999585">
      <w:bodyDiv w:val="1"/>
      <w:marLeft w:val="0"/>
      <w:marRight w:val="0"/>
      <w:marTop w:val="0"/>
      <w:marBottom w:val="0"/>
      <w:divBdr>
        <w:top w:val="none" w:sz="0" w:space="0" w:color="auto"/>
        <w:left w:val="none" w:sz="0" w:space="0" w:color="auto"/>
        <w:bottom w:val="none" w:sz="0" w:space="0" w:color="auto"/>
        <w:right w:val="none" w:sz="0" w:space="0" w:color="auto"/>
      </w:divBdr>
      <w:divsChild>
        <w:div w:id="1448770647">
          <w:marLeft w:val="0"/>
          <w:marRight w:val="0"/>
          <w:marTop w:val="0"/>
          <w:marBottom w:val="166"/>
          <w:divBdr>
            <w:top w:val="none" w:sz="0" w:space="0" w:color="auto"/>
            <w:left w:val="none" w:sz="0" w:space="0" w:color="auto"/>
            <w:bottom w:val="none" w:sz="0" w:space="0" w:color="auto"/>
            <w:right w:val="none" w:sz="0" w:space="0" w:color="auto"/>
          </w:divBdr>
          <w:divsChild>
            <w:div w:id="416288691">
              <w:marLeft w:val="0"/>
              <w:marRight w:val="0"/>
              <w:marTop w:val="0"/>
              <w:marBottom w:val="0"/>
              <w:divBdr>
                <w:top w:val="none" w:sz="0" w:space="0" w:color="auto"/>
                <w:left w:val="none" w:sz="0" w:space="0" w:color="auto"/>
                <w:bottom w:val="none" w:sz="0" w:space="0" w:color="auto"/>
                <w:right w:val="none" w:sz="0" w:space="0" w:color="auto"/>
              </w:divBdr>
              <w:divsChild>
                <w:div w:id="420569576">
                  <w:marLeft w:val="0"/>
                  <w:marRight w:val="0"/>
                  <w:marTop w:val="0"/>
                  <w:marBottom w:val="0"/>
                  <w:divBdr>
                    <w:top w:val="none" w:sz="0" w:space="0" w:color="auto"/>
                    <w:left w:val="none" w:sz="0" w:space="0" w:color="auto"/>
                    <w:bottom w:val="none" w:sz="0" w:space="0" w:color="auto"/>
                    <w:right w:val="none" w:sz="0" w:space="0" w:color="auto"/>
                  </w:divBdr>
                  <w:divsChild>
                    <w:div w:id="997224989">
                      <w:marLeft w:val="0"/>
                      <w:marRight w:val="0"/>
                      <w:marTop w:val="0"/>
                      <w:marBottom w:val="0"/>
                      <w:divBdr>
                        <w:top w:val="none" w:sz="0" w:space="0" w:color="auto"/>
                        <w:left w:val="none" w:sz="0" w:space="0" w:color="auto"/>
                        <w:bottom w:val="none" w:sz="0" w:space="0" w:color="auto"/>
                        <w:right w:val="none" w:sz="0" w:space="0" w:color="auto"/>
                      </w:divBdr>
                    </w:div>
                    <w:div w:id="19642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59351">
              <w:marLeft w:val="0"/>
              <w:marRight w:val="0"/>
              <w:marTop w:val="0"/>
              <w:marBottom w:val="0"/>
              <w:divBdr>
                <w:top w:val="none" w:sz="0" w:space="0" w:color="auto"/>
                <w:left w:val="none" w:sz="0" w:space="0" w:color="auto"/>
                <w:bottom w:val="none" w:sz="0" w:space="0" w:color="auto"/>
                <w:right w:val="none" w:sz="0" w:space="0" w:color="auto"/>
              </w:divBdr>
              <w:divsChild>
                <w:div w:id="1445880614">
                  <w:marLeft w:val="0"/>
                  <w:marRight w:val="0"/>
                  <w:marTop w:val="0"/>
                  <w:marBottom w:val="0"/>
                  <w:divBdr>
                    <w:top w:val="none" w:sz="0" w:space="0" w:color="auto"/>
                    <w:left w:val="none" w:sz="0" w:space="0" w:color="auto"/>
                    <w:bottom w:val="none" w:sz="0" w:space="0" w:color="auto"/>
                    <w:right w:val="none" w:sz="0" w:space="0" w:color="auto"/>
                  </w:divBdr>
                </w:div>
                <w:div w:id="111117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9421">
          <w:marLeft w:val="0"/>
          <w:marRight w:val="0"/>
          <w:marTop w:val="166"/>
          <w:marBottom w:val="166"/>
          <w:divBdr>
            <w:top w:val="none" w:sz="0" w:space="0" w:color="auto"/>
            <w:left w:val="none" w:sz="0" w:space="0" w:color="auto"/>
            <w:bottom w:val="none" w:sz="0" w:space="0" w:color="auto"/>
            <w:right w:val="none" w:sz="0" w:space="0" w:color="auto"/>
          </w:divBdr>
          <w:divsChild>
            <w:div w:id="8894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79713">
      <w:bodyDiv w:val="1"/>
      <w:marLeft w:val="0"/>
      <w:marRight w:val="0"/>
      <w:marTop w:val="0"/>
      <w:marBottom w:val="0"/>
      <w:divBdr>
        <w:top w:val="none" w:sz="0" w:space="0" w:color="auto"/>
        <w:left w:val="none" w:sz="0" w:space="0" w:color="auto"/>
        <w:bottom w:val="none" w:sz="0" w:space="0" w:color="auto"/>
        <w:right w:val="none" w:sz="0" w:space="0" w:color="auto"/>
      </w:divBdr>
    </w:div>
    <w:div w:id="1977492137">
      <w:bodyDiv w:val="1"/>
      <w:marLeft w:val="0"/>
      <w:marRight w:val="0"/>
      <w:marTop w:val="0"/>
      <w:marBottom w:val="0"/>
      <w:divBdr>
        <w:top w:val="none" w:sz="0" w:space="0" w:color="auto"/>
        <w:left w:val="none" w:sz="0" w:space="0" w:color="auto"/>
        <w:bottom w:val="none" w:sz="0" w:space="0" w:color="auto"/>
        <w:right w:val="none" w:sz="0" w:space="0" w:color="auto"/>
      </w:divBdr>
      <w:divsChild>
        <w:div w:id="132911518">
          <w:marLeft w:val="0"/>
          <w:marRight w:val="0"/>
          <w:marTop w:val="0"/>
          <w:marBottom w:val="120"/>
          <w:divBdr>
            <w:top w:val="none" w:sz="0" w:space="0" w:color="auto"/>
            <w:left w:val="none" w:sz="0" w:space="0" w:color="auto"/>
            <w:bottom w:val="none" w:sz="0" w:space="0" w:color="auto"/>
            <w:right w:val="none" w:sz="0" w:space="0" w:color="auto"/>
          </w:divBdr>
          <w:divsChild>
            <w:div w:id="1853494444">
              <w:marLeft w:val="0"/>
              <w:marRight w:val="0"/>
              <w:marTop w:val="0"/>
              <w:marBottom w:val="0"/>
              <w:divBdr>
                <w:top w:val="none" w:sz="0" w:space="0" w:color="auto"/>
                <w:left w:val="none" w:sz="0" w:space="0" w:color="auto"/>
                <w:bottom w:val="none" w:sz="0" w:space="0" w:color="auto"/>
                <w:right w:val="none" w:sz="0" w:space="0" w:color="auto"/>
              </w:divBdr>
              <w:divsChild>
                <w:div w:id="1073622395">
                  <w:marLeft w:val="0"/>
                  <w:marRight w:val="0"/>
                  <w:marTop w:val="0"/>
                  <w:marBottom w:val="0"/>
                  <w:divBdr>
                    <w:top w:val="none" w:sz="0" w:space="0" w:color="auto"/>
                    <w:left w:val="none" w:sz="0" w:space="0" w:color="auto"/>
                    <w:bottom w:val="none" w:sz="0" w:space="0" w:color="auto"/>
                    <w:right w:val="none" w:sz="0" w:space="0" w:color="auto"/>
                  </w:divBdr>
                  <w:divsChild>
                    <w:div w:id="9572945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83746924">
      <w:bodyDiv w:val="1"/>
      <w:marLeft w:val="0"/>
      <w:marRight w:val="0"/>
      <w:marTop w:val="0"/>
      <w:marBottom w:val="0"/>
      <w:divBdr>
        <w:top w:val="none" w:sz="0" w:space="0" w:color="auto"/>
        <w:left w:val="none" w:sz="0" w:space="0" w:color="auto"/>
        <w:bottom w:val="none" w:sz="0" w:space="0" w:color="auto"/>
        <w:right w:val="none" w:sz="0" w:space="0" w:color="auto"/>
      </w:divBdr>
      <w:divsChild>
        <w:div w:id="2013491094">
          <w:marLeft w:val="0"/>
          <w:marRight w:val="0"/>
          <w:marTop w:val="0"/>
          <w:marBottom w:val="0"/>
          <w:divBdr>
            <w:top w:val="none" w:sz="0" w:space="0" w:color="auto"/>
            <w:left w:val="none" w:sz="0" w:space="0" w:color="auto"/>
            <w:bottom w:val="none" w:sz="0" w:space="0" w:color="auto"/>
            <w:right w:val="none" w:sz="0" w:space="0" w:color="auto"/>
          </w:divBdr>
          <w:divsChild>
            <w:div w:id="11733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761524">
      <w:bodyDiv w:val="1"/>
      <w:marLeft w:val="0"/>
      <w:marRight w:val="0"/>
      <w:marTop w:val="0"/>
      <w:marBottom w:val="0"/>
      <w:divBdr>
        <w:top w:val="none" w:sz="0" w:space="0" w:color="auto"/>
        <w:left w:val="none" w:sz="0" w:space="0" w:color="auto"/>
        <w:bottom w:val="none" w:sz="0" w:space="0" w:color="auto"/>
        <w:right w:val="none" w:sz="0" w:space="0" w:color="auto"/>
      </w:divBdr>
      <w:divsChild>
        <w:div w:id="935945967">
          <w:marLeft w:val="0"/>
          <w:marRight w:val="0"/>
          <w:marTop w:val="0"/>
          <w:marBottom w:val="0"/>
          <w:divBdr>
            <w:top w:val="none" w:sz="0" w:space="0" w:color="auto"/>
            <w:left w:val="none" w:sz="0" w:space="0" w:color="auto"/>
            <w:bottom w:val="none" w:sz="0" w:space="0" w:color="auto"/>
            <w:right w:val="none" w:sz="0" w:space="0" w:color="auto"/>
          </w:divBdr>
          <w:divsChild>
            <w:div w:id="342248678">
              <w:marLeft w:val="0"/>
              <w:marRight w:val="0"/>
              <w:marTop w:val="0"/>
              <w:marBottom w:val="0"/>
              <w:divBdr>
                <w:top w:val="none" w:sz="0" w:space="0" w:color="auto"/>
                <w:left w:val="none" w:sz="0" w:space="0" w:color="auto"/>
                <w:bottom w:val="none" w:sz="0" w:space="0" w:color="auto"/>
                <w:right w:val="none" w:sz="0" w:space="0" w:color="auto"/>
              </w:divBdr>
              <w:divsChild>
                <w:div w:id="1584729052">
                  <w:marLeft w:val="0"/>
                  <w:marRight w:val="0"/>
                  <w:marTop w:val="0"/>
                  <w:marBottom w:val="0"/>
                  <w:divBdr>
                    <w:top w:val="none" w:sz="0" w:space="0" w:color="auto"/>
                    <w:left w:val="none" w:sz="0" w:space="0" w:color="auto"/>
                    <w:bottom w:val="none" w:sz="0" w:space="0" w:color="auto"/>
                    <w:right w:val="none" w:sz="0" w:space="0" w:color="auto"/>
                  </w:divBdr>
                  <w:divsChild>
                    <w:div w:id="1069425128">
                      <w:marLeft w:val="0"/>
                      <w:marRight w:val="0"/>
                      <w:marTop w:val="0"/>
                      <w:marBottom w:val="0"/>
                      <w:divBdr>
                        <w:top w:val="none" w:sz="0" w:space="0" w:color="auto"/>
                        <w:left w:val="none" w:sz="0" w:space="0" w:color="auto"/>
                        <w:bottom w:val="none" w:sz="0" w:space="0" w:color="auto"/>
                        <w:right w:val="none" w:sz="0" w:space="0" w:color="auto"/>
                      </w:divBdr>
                      <w:divsChild>
                        <w:div w:id="1636715133">
                          <w:marLeft w:val="0"/>
                          <w:marRight w:val="0"/>
                          <w:marTop w:val="0"/>
                          <w:marBottom w:val="0"/>
                          <w:divBdr>
                            <w:top w:val="none" w:sz="0" w:space="0" w:color="auto"/>
                            <w:left w:val="none" w:sz="0" w:space="0" w:color="auto"/>
                            <w:bottom w:val="none" w:sz="0" w:space="0" w:color="auto"/>
                            <w:right w:val="none" w:sz="0" w:space="0" w:color="auto"/>
                          </w:divBdr>
                          <w:divsChild>
                            <w:div w:id="1384989313">
                              <w:marLeft w:val="0"/>
                              <w:marRight w:val="0"/>
                              <w:marTop w:val="0"/>
                              <w:marBottom w:val="0"/>
                              <w:divBdr>
                                <w:top w:val="none" w:sz="0" w:space="0" w:color="auto"/>
                                <w:left w:val="none" w:sz="0" w:space="0" w:color="auto"/>
                                <w:bottom w:val="none" w:sz="0" w:space="0" w:color="auto"/>
                                <w:right w:val="none" w:sz="0" w:space="0" w:color="auto"/>
                              </w:divBdr>
                              <w:divsChild>
                                <w:div w:id="152256882">
                                  <w:marLeft w:val="0"/>
                                  <w:marRight w:val="0"/>
                                  <w:marTop w:val="0"/>
                                  <w:marBottom w:val="0"/>
                                  <w:divBdr>
                                    <w:top w:val="none" w:sz="0" w:space="0" w:color="auto"/>
                                    <w:left w:val="none" w:sz="0" w:space="0" w:color="auto"/>
                                    <w:bottom w:val="none" w:sz="0" w:space="0" w:color="auto"/>
                                    <w:right w:val="none" w:sz="0" w:space="0" w:color="auto"/>
                                  </w:divBdr>
                                  <w:divsChild>
                                    <w:div w:id="1110707231">
                                      <w:marLeft w:val="0"/>
                                      <w:marRight w:val="0"/>
                                      <w:marTop w:val="0"/>
                                      <w:marBottom w:val="0"/>
                                      <w:divBdr>
                                        <w:top w:val="none" w:sz="0" w:space="0" w:color="auto"/>
                                        <w:left w:val="none" w:sz="0" w:space="0" w:color="auto"/>
                                        <w:bottom w:val="none" w:sz="0" w:space="0" w:color="auto"/>
                                        <w:right w:val="none" w:sz="0" w:space="0" w:color="auto"/>
                                      </w:divBdr>
                                      <w:divsChild>
                                        <w:div w:id="997461391">
                                          <w:marLeft w:val="0"/>
                                          <w:marRight w:val="0"/>
                                          <w:marTop w:val="0"/>
                                          <w:marBottom w:val="0"/>
                                          <w:divBdr>
                                            <w:top w:val="none" w:sz="0" w:space="0" w:color="auto"/>
                                            <w:left w:val="none" w:sz="0" w:space="0" w:color="auto"/>
                                            <w:bottom w:val="none" w:sz="0" w:space="0" w:color="auto"/>
                                            <w:right w:val="none" w:sz="0" w:space="0" w:color="auto"/>
                                          </w:divBdr>
                                          <w:divsChild>
                                            <w:div w:id="1727870991">
                                              <w:marLeft w:val="0"/>
                                              <w:marRight w:val="0"/>
                                              <w:marTop w:val="0"/>
                                              <w:marBottom w:val="495"/>
                                              <w:divBdr>
                                                <w:top w:val="none" w:sz="0" w:space="0" w:color="auto"/>
                                                <w:left w:val="none" w:sz="0" w:space="0" w:color="auto"/>
                                                <w:bottom w:val="none" w:sz="0" w:space="0" w:color="auto"/>
                                                <w:right w:val="none" w:sz="0" w:space="0" w:color="auto"/>
                                              </w:divBdr>
                                              <w:divsChild>
                                                <w:div w:id="20244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768623/" TargetMode="External"/><Relationship Id="rId13" Type="http://schemas.openxmlformats.org/officeDocument/2006/relationships/hyperlink" Target="https://www.ncbi.nlm.nih.gov/pubmed/3191482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ubmed/301725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lute.gov.it/imgs/C_17_pubblicazioni_2660_allegato.pdf" TargetMode="External"/><Relationship Id="rId5" Type="http://schemas.openxmlformats.org/officeDocument/2006/relationships/webSettings" Target="webSettings.xml"/><Relationship Id="rId15" Type="http://schemas.openxmlformats.org/officeDocument/2006/relationships/hyperlink" Target="https://www.gov.uk/government/uploads/system/uploads/attachment_data/file/405031/Behaviour_Change_for_Antibiotic_Prescribing_-_FINAL.pdf" TargetMode="External"/><Relationship Id="rId10" Type="http://schemas.openxmlformats.org/officeDocument/2006/relationships/hyperlink" Target="https://www.ncbi.nlm.nih.gov/pubmed/30700019" TargetMode="External"/><Relationship Id="rId4" Type="http://schemas.openxmlformats.org/officeDocument/2006/relationships/settings" Target="settings.xml"/><Relationship Id="rId9" Type="http://schemas.openxmlformats.org/officeDocument/2006/relationships/hyperlink" Target="https://www.who.int/antimicrobial-resistance/global-action-plan/en/" TargetMode="External"/><Relationship Id="rId14" Type="http://schemas.openxmlformats.org/officeDocument/2006/relationships/hyperlink" Target="https://ec.europa.eu/health/amr/sites/amr/files/amr_guidelines_prudent_use_en.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BC514D-0F9E-4E2E-8D6B-F696E7276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3908</Words>
  <Characters>22279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Gagliotti Carlo</dc:creator>
  <cp:lastModifiedBy>Cangini Agnese</cp:lastModifiedBy>
  <cp:revision>7</cp:revision>
  <cp:lastPrinted>2019-12-17T12:12:00Z</cp:lastPrinted>
  <dcterms:created xsi:type="dcterms:W3CDTF">2020-04-15T14:38:00Z</dcterms:created>
  <dcterms:modified xsi:type="dcterms:W3CDTF">2020-04-21T18:07:00Z</dcterms:modified>
</cp:coreProperties>
</file>