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51735" w14:textId="77777777" w:rsidR="002E1470" w:rsidRPr="00F10054" w:rsidRDefault="002E1470" w:rsidP="002E1470">
      <w:pPr>
        <w:tabs>
          <w:tab w:val="left" w:pos="5569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Table 3: Meta-analysis of patients with new onset olfactory dysfunction and prevalence of COVID-19 positivity </w:t>
      </w:r>
    </w:p>
    <w:tbl>
      <w:tblPr>
        <w:tblStyle w:val="TableGrid"/>
        <w:tblpPr w:leftFromText="180" w:rightFromText="180" w:vertAnchor="page" w:horzAnchor="margin" w:tblpY="2754"/>
        <w:tblW w:w="0" w:type="auto"/>
        <w:tblLook w:val="04A0" w:firstRow="1" w:lastRow="0" w:firstColumn="1" w:lastColumn="0" w:noHBand="0" w:noVBand="1"/>
      </w:tblPr>
      <w:tblGrid>
        <w:gridCol w:w="1183"/>
        <w:gridCol w:w="858"/>
        <w:gridCol w:w="960"/>
        <w:gridCol w:w="1315"/>
        <w:gridCol w:w="1145"/>
        <w:gridCol w:w="1117"/>
        <w:gridCol w:w="1265"/>
        <w:gridCol w:w="1173"/>
      </w:tblGrid>
      <w:tr w:rsidR="002E1470" w14:paraId="57267D74" w14:textId="77777777" w:rsidTr="002E1470">
        <w:trPr>
          <w:trHeight w:val="520"/>
        </w:trPr>
        <w:tc>
          <w:tcPr>
            <w:tcW w:w="1183" w:type="dxa"/>
          </w:tcPr>
          <w:p w14:paraId="139B9176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B6C79">
              <w:rPr>
                <w:b/>
                <w:bCs/>
                <w:sz w:val="20"/>
                <w:szCs w:val="20"/>
              </w:rPr>
              <w:t>Lead Author</w:t>
            </w:r>
          </w:p>
        </w:tc>
        <w:tc>
          <w:tcPr>
            <w:tcW w:w="858" w:type="dxa"/>
          </w:tcPr>
          <w:p w14:paraId="52282A77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 with OD</w:t>
            </w:r>
          </w:p>
        </w:tc>
        <w:tc>
          <w:tcPr>
            <w:tcW w:w="960" w:type="dxa"/>
          </w:tcPr>
          <w:p w14:paraId="69F205D3" w14:textId="77777777" w:rsidR="002E1470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 COVID +</w:t>
            </w:r>
            <w:proofErr w:type="spellStart"/>
            <w:r>
              <w:rPr>
                <w:b/>
                <w:bCs/>
                <w:sz w:val="20"/>
                <w:szCs w:val="20"/>
              </w:rPr>
              <w:t>ve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315" w:type="dxa"/>
          </w:tcPr>
          <w:p w14:paraId="04D64D64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Percentage COVID +</w:t>
            </w:r>
            <w:proofErr w:type="spellStart"/>
            <w:r>
              <w:rPr>
                <w:b/>
                <w:bCs/>
                <w:sz w:val="20"/>
                <w:szCs w:val="20"/>
              </w:rPr>
              <w:t>ve</w:t>
            </w:r>
            <w:proofErr w:type="spellEnd"/>
          </w:p>
        </w:tc>
        <w:tc>
          <w:tcPr>
            <w:tcW w:w="1145" w:type="dxa"/>
          </w:tcPr>
          <w:p w14:paraId="2C63B1B9" w14:textId="77777777" w:rsidR="002E1470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Average</w:t>
            </w:r>
          </w:p>
          <w:p w14:paraId="07A5C91F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1117" w:type="dxa"/>
          </w:tcPr>
          <w:p w14:paraId="7E21659A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Female</w:t>
            </w:r>
          </w:p>
        </w:tc>
        <w:tc>
          <w:tcPr>
            <w:tcW w:w="1265" w:type="dxa"/>
          </w:tcPr>
          <w:p w14:paraId="6243BFC0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Setting</w:t>
            </w:r>
          </w:p>
        </w:tc>
        <w:tc>
          <w:tcPr>
            <w:tcW w:w="1173" w:type="dxa"/>
          </w:tcPr>
          <w:p w14:paraId="5C201DDD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Location</w:t>
            </w:r>
          </w:p>
        </w:tc>
      </w:tr>
      <w:tr w:rsidR="002E1470" w14:paraId="3FE71DE0" w14:textId="77777777" w:rsidTr="002E1470">
        <w:trPr>
          <w:trHeight w:val="259"/>
        </w:trPr>
        <w:tc>
          <w:tcPr>
            <w:tcW w:w="1183" w:type="dxa"/>
          </w:tcPr>
          <w:p w14:paraId="7AA7A0A1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 Bagheri*</w:t>
            </w:r>
          </w:p>
        </w:tc>
        <w:tc>
          <w:tcPr>
            <w:tcW w:w="858" w:type="dxa"/>
          </w:tcPr>
          <w:p w14:paraId="0BCA4A5C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10069</w:t>
            </w:r>
          </w:p>
        </w:tc>
        <w:tc>
          <w:tcPr>
            <w:tcW w:w="960" w:type="dxa"/>
          </w:tcPr>
          <w:p w14:paraId="6A93674A" w14:textId="77777777" w:rsidR="002E1470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315" w:type="dxa"/>
          </w:tcPr>
          <w:p w14:paraId="33EE60BE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45" w:type="dxa"/>
          </w:tcPr>
          <w:p w14:paraId="5B023136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32.5</w:t>
            </w:r>
          </w:p>
        </w:tc>
        <w:tc>
          <w:tcPr>
            <w:tcW w:w="1117" w:type="dxa"/>
          </w:tcPr>
          <w:p w14:paraId="7E26DCCC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71%</w:t>
            </w:r>
          </w:p>
        </w:tc>
        <w:tc>
          <w:tcPr>
            <w:tcW w:w="1265" w:type="dxa"/>
          </w:tcPr>
          <w:p w14:paraId="33F18BCD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Outpatient based</w:t>
            </w:r>
          </w:p>
        </w:tc>
        <w:tc>
          <w:tcPr>
            <w:tcW w:w="1173" w:type="dxa"/>
          </w:tcPr>
          <w:p w14:paraId="548CFD88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Iran</w:t>
            </w:r>
          </w:p>
        </w:tc>
      </w:tr>
      <w:tr w:rsidR="002E1470" w14:paraId="7C7A8B06" w14:textId="77777777" w:rsidTr="002E1470">
        <w:trPr>
          <w:trHeight w:val="250"/>
        </w:trPr>
        <w:tc>
          <w:tcPr>
            <w:tcW w:w="1183" w:type="dxa"/>
          </w:tcPr>
          <w:p w14:paraId="2072018E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 </w:t>
            </w:r>
            <w:proofErr w:type="spellStart"/>
            <w:r>
              <w:rPr>
                <w:sz w:val="20"/>
                <w:szCs w:val="20"/>
              </w:rPr>
              <w:t>Gane</w:t>
            </w:r>
            <w:proofErr w:type="spellEnd"/>
          </w:p>
        </w:tc>
        <w:tc>
          <w:tcPr>
            <w:tcW w:w="858" w:type="dxa"/>
          </w:tcPr>
          <w:p w14:paraId="50B25CA2" w14:textId="77777777" w:rsidR="002E1470" w:rsidRPr="009F5965" w:rsidRDefault="002E1470" w:rsidP="002E1470">
            <w:pPr>
              <w:tabs>
                <w:tab w:val="left" w:pos="652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</w:tcPr>
          <w:p w14:paraId="65988798" w14:textId="77777777" w:rsidR="002E1470" w:rsidRPr="003E47B2" w:rsidRDefault="002E1470" w:rsidP="002E1470">
            <w:pPr>
              <w:tabs>
                <w:tab w:val="left" w:pos="652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315" w:type="dxa"/>
          </w:tcPr>
          <w:p w14:paraId="2796BCC5" w14:textId="77777777" w:rsidR="002E1470" w:rsidRPr="009F5965" w:rsidRDefault="002E1470" w:rsidP="002E1470">
            <w:pPr>
              <w:tabs>
                <w:tab w:val="left" w:pos="652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45" w:type="dxa"/>
          </w:tcPr>
          <w:p w14:paraId="5CD49048" w14:textId="77777777" w:rsidR="002E1470" w:rsidRPr="009F5965" w:rsidRDefault="002E1470" w:rsidP="002E1470">
            <w:pPr>
              <w:tabs>
                <w:tab w:val="left" w:pos="652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37.6</w:t>
            </w:r>
          </w:p>
        </w:tc>
        <w:tc>
          <w:tcPr>
            <w:tcW w:w="1117" w:type="dxa"/>
          </w:tcPr>
          <w:p w14:paraId="61AFF544" w14:textId="77777777" w:rsidR="002E1470" w:rsidRPr="009F5965" w:rsidRDefault="002E1470" w:rsidP="002E1470">
            <w:pPr>
              <w:tabs>
                <w:tab w:val="left" w:pos="652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27%</w:t>
            </w:r>
          </w:p>
        </w:tc>
        <w:tc>
          <w:tcPr>
            <w:tcW w:w="1265" w:type="dxa"/>
          </w:tcPr>
          <w:p w14:paraId="36612D1C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Outpatient</w:t>
            </w:r>
          </w:p>
        </w:tc>
        <w:tc>
          <w:tcPr>
            <w:tcW w:w="1173" w:type="dxa"/>
          </w:tcPr>
          <w:p w14:paraId="490C6B3B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</w:t>
            </w:r>
          </w:p>
        </w:tc>
      </w:tr>
      <w:tr w:rsidR="002E1470" w14:paraId="56142C55" w14:textId="77777777" w:rsidTr="002E1470">
        <w:trPr>
          <w:trHeight w:val="259"/>
        </w:trPr>
        <w:tc>
          <w:tcPr>
            <w:tcW w:w="1183" w:type="dxa"/>
          </w:tcPr>
          <w:p w14:paraId="04346829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Hopkins</w:t>
            </w:r>
          </w:p>
        </w:tc>
        <w:tc>
          <w:tcPr>
            <w:tcW w:w="858" w:type="dxa"/>
          </w:tcPr>
          <w:p w14:paraId="698C8D7C" w14:textId="77777777" w:rsidR="002E1470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</w:t>
            </w:r>
          </w:p>
          <w:p w14:paraId="501CCEC6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60" w:type="dxa"/>
          </w:tcPr>
          <w:p w14:paraId="7C355E03" w14:textId="77777777" w:rsidR="002E1470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  <w:p w14:paraId="2664A25C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315" w:type="dxa"/>
          </w:tcPr>
          <w:p w14:paraId="7DB57444" w14:textId="77777777" w:rsidR="002E1470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  <w:p w14:paraId="353A5488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45" w:type="dxa"/>
          </w:tcPr>
          <w:p w14:paraId="19C9BAC1" w14:textId="77777777" w:rsidR="002E1470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30-39</w:t>
            </w:r>
          </w:p>
          <w:p w14:paraId="6B0E2D51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14:paraId="19ED66E7" w14:textId="77777777" w:rsidR="002E1470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73%</w:t>
            </w:r>
          </w:p>
          <w:p w14:paraId="439163BD" w14:textId="77777777" w:rsidR="002E1470" w:rsidRPr="00FB6C79" w:rsidRDefault="002E1470" w:rsidP="002E1470">
            <w:pPr>
              <w:tabs>
                <w:tab w:val="left" w:pos="6526"/>
              </w:tabs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14:paraId="3BAC2FDD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Outpatient based</w:t>
            </w:r>
          </w:p>
        </w:tc>
        <w:tc>
          <w:tcPr>
            <w:tcW w:w="1173" w:type="dxa"/>
          </w:tcPr>
          <w:p w14:paraId="57B501D5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</w:t>
            </w:r>
          </w:p>
        </w:tc>
      </w:tr>
      <w:tr w:rsidR="002E1470" w14:paraId="2D951E34" w14:textId="77777777" w:rsidTr="002E1470">
        <w:trPr>
          <w:trHeight w:val="259"/>
        </w:trPr>
        <w:tc>
          <w:tcPr>
            <w:tcW w:w="1183" w:type="dxa"/>
          </w:tcPr>
          <w:p w14:paraId="5EF59E8E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proofErr w:type="spellStart"/>
            <w:r>
              <w:rPr>
                <w:sz w:val="20"/>
                <w:szCs w:val="20"/>
              </w:rPr>
              <w:t>Gengler</w:t>
            </w:r>
            <w:proofErr w:type="spellEnd"/>
            <w:r>
              <w:rPr>
                <w:sz w:val="20"/>
                <w:szCs w:val="20"/>
              </w:rPr>
              <w:t>*</w:t>
            </w:r>
          </w:p>
        </w:tc>
        <w:tc>
          <w:tcPr>
            <w:tcW w:w="858" w:type="dxa"/>
          </w:tcPr>
          <w:p w14:paraId="0FD09A16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  <w:r w:rsidRPr="00BE7381">
              <w:rPr>
                <w:sz w:val="20"/>
                <w:szCs w:val="20"/>
                <w:u w:val="single"/>
              </w:rPr>
              <w:t>55</w:t>
            </w:r>
          </w:p>
        </w:tc>
        <w:tc>
          <w:tcPr>
            <w:tcW w:w="960" w:type="dxa"/>
          </w:tcPr>
          <w:p w14:paraId="50B3F211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  <w:r w:rsidRPr="00BE7381">
              <w:rPr>
                <w:sz w:val="20"/>
                <w:szCs w:val="20"/>
                <w:u w:val="single"/>
              </w:rPr>
              <w:t>52</w:t>
            </w:r>
          </w:p>
        </w:tc>
        <w:tc>
          <w:tcPr>
            <w:tcW w:w="1315" w:type="dxa"/>
          </w:tcPr>
          <w:p w14:paraId="225A593C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  <w:r w:rsidRPr="00BE7381">
              <w:rPr>
                <w:sz w:val="20"/>
                <w:szCs w:val="20"/>
                <w:u w:val="single"/>
              </w:rPr>
              <w:t>94%</w:t>
            </w:r>
          </w:p>
        </w:tc>
        <w:tc>
          <w:tcPr>
            <w:tcW w:w="1145" w:type="dxa"/>
          </w:tcPr>
          <w:p w14:paraId="7F1E0B37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17" w:type="dxa"/>
          </w:tcPr>
          <w:p w14:paraId="3EA13491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265" w:type="dxa"/>
          </w:tcPr>
          <w:p w14:paraId="496A749E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73" w:type="dxa"/>
          </w:tcPr>
          <w:p w14:paraId="1408B85A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</w:t>
            </w:r>
          </w:p>
        </w:tc>
      </w:tr>
      <w:tr w:rsidR="002E1470" w14:paraId="40920F47" w14:textId="77777777" w:rsidTr="002E1470">
        <w:trPr>
          <w:trHeight w:val="259"/>
        </w:trPr>
        <w:tc>
          <w:tcPr>
            <w:tcW w:w="9016" w:type="dxa"/>
            <w:gridSpan w:val="8"/>
          </w:tcPr>
          <w:p w14:paraId="4CB46BA2" w14:textId="77777777" w:rsidR="002E1470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</w:p>
        </w:tc>
      </w:tr>
      <w:tr w:rsidR="002E1470" w14:paraId="322A68FD" w14:textId="77777777" w:rsidTr="002E1470">
        <w:trPr>
          <w:trHeight w:val="259"/>
        </w:trPr>
        <w:tc>
          <w:tcPr>
            <w:tcW w:w="1183" w:type="dxa"/>
          </w:tcPr>
          <w:p w14:paraId="3E60E013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Yan</w:t>
            </w:r>
          </w:p>
        </w:tc>
        <w:tc>
          <w:tcPr>
            <w:tcW w:w="858" w:type="dxa"/>
          </w:tcPr>
          <w:p w14:paraId="2581051B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  <w:r w:rsidRPr="00BE7381">
              <w:rPr>
                <w:sz w:val="20"/>
                <w:szCs w:val="20"/>
                <w:u w:val="single"/>
              </w:rPr>
              <w:t>73</w:t>
            </w:r>
          </w:p>
        </w:tc>
        <w:tc>
          <w:tcPr>
            <w:tcW w:w="960" w:type="dxa"/>
          </w:tcPr>
          <w:p w14:paraId="61ADAC3B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  <w:r w:rsidRPr="00BE7381">
              <w:rPr>
                <w:sz w:val="20"/>
                <w:szCs w:val="20"/>
                <w:u w:val="single"/>
              </w:rPr>
              <w:t>40</w:t>
            </w:r>
          </w:p>
        </w:tc>
        <w:tc>
          <w:tcPr>
            <w:tcW w:w="1315" w:type="dxa"/>
          </w:tcPr>
          <w:p w14:paraId="5EB541F4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  <w:r w:rsidRPr="00BE7381">
              <w:rPr>
                <w:sz w:val="20"/>
                <w:szCs w:val="20"/>
                <w:u w:val="single"/>
              </w:rPr>
              <w:t>55%</w:t>
            </w:r>
          </w:p>
        </w:tc>
        <w:tc>
          <w:tcPr>
            <w:tcW w:w="1145" w:type="dxa"/>
          </w:tcPr>
          <w:p w14:paraId="6AB00468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17" w:type="dxa"/>
          </w:tcPr>
          <w:p w14:paraId="7DA5F0A8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265" w:type="dxa"/>
          </w:tcPr>
          <w:p w14:paraId="620E45EE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Outpatient based</w:t>
            </w:r>
          </w:p>
        </w:tc>
        <w:tc>
          <w:tcPr>
            <w:tcW w:w="1173" w:type="dxa"/>
          </w:tcPr>
          <w:p w14:paraId="589DA0B0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2E1470" w14:paraId="4132775A" w14:textId="77777777" w:rsidTr="002E1470">
        <w:trPr>
          <w:trHeight w:val="259"/>
        </w:trPr>
        <w:tc>
          <w:tcPr>
            <w:tcW w:w="1183" w:type="dxa"/>
          </w:tcPr>
          <w:p w14:paraId="200A7EB7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 </w:t>
            </w:r>
            <w:proofErr w:type="spellStart"/>
            <w:r>
              <w:rPr>
                <w:sz w:val="20"/>
                <w:szCs w:val="20"/>
              </w:rPr>
              <w:t>Menni</w:t>
            </w:r>
            <w:proofErr w:type="spellEnd"/>
            <w:r>
              <w:rPr>
                <w:sz w:val="20"/>
                <w:szCs w:val="20"/>
              </w:rPr>
              <w:t>*</w:t>
            </w:r>
          </w:p>
        </w:tc>
        <w:tc>
          <w:tcPr>
            <w:tcW w:w="858" w:type="dxa"/>
          </w:tcPr>
          <w:p w14:paraId="4DABECED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  <w:r w:rsidRPr="00BE7381">
              <w:rPr>
                <w:sz w:val="20"/>
                <w:szCs w:val="20"/>
                <w:u w:val="single"/>
              </w:rPr>
              <w:t>557</w:t>
            </w:r>
          </w:p>
        </w:tc>
        <w:tc>
          <w:tcPr>
            <w:tcW w:w="960" w:type="dxa"/>
          </w:tcPr>
          <w:p w14:paraId="57AD0DA6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  <w:r w:rsidRPr="00BE7381">
              <w:rPr>
                <w:sz w:val="20"/>
                <w:szCs w:val="20"/>
                <w:u w:val="single"/>
              </w:rPr>
              <w:t>345</w:t>
            </w:r>
          </w:p>
        </w:tc>
        <w:tc>
          <w:tcPr>
            <w:tcW w:w="1315" w:type="dxa"/>
          </w:tcPr>
          <w:p w14:paraId="24F17312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  <w:u w:val="single"/>
              </w:rPr>
            </w:pPr>
            <w:r w:rsidRPr="00BE7381">
              <w:rPr>
                <w:sz w:val="20"/>
                <w:szCs w:val="20"/>
                <w:u w:val="single"/>
              </w:rPr>
              <w:t>62%</w:t>
            </w:r>
          </w:p>
        </w:tc>
        <w:tc>
          <w:tcPr>
            <w:tcW w:w="1145" w:type="dxa"/>
          </w:tcPr>
          <w:p w14:paraId="5DD8443E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117" w:type="dxa"/>
          </w:tcPr>
          <w:p w14:paraId="4CBEDC09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data</w:t>
            </w:r>
          </w:p>
        </w:tc>
        <w:tc>
          <w:tcPr>
            <w:tcW w:w="1265" w:type="dxa"/>
          </w:tcPr>
          <w:p w14:paraId="510C131F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Outpatient based</w:t>
            </w:r>
          </w:p>
        </w:tc>
        <w:tc>
          <w:tcPr>
            <w:tcW w:w="1173" w:type="dxa"/>
          </w:tcPr>
          <w:p w14:paraId="57465B89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</w:t>
            </w:r>
          </w:p>
        </w:tc>
      </w:tr>
      <w:tr w:rsidR="002E1470" w14:paraId="18B75D85" w14:textId="77777777" w:rsidTr="002E1470">
        <w:trPr>
          <w:trHeight w:val="259"/>
        </w:trPr>
        <w:tc>
          <w:tcPr>
            <w:tcW w:w="9016" w:type="dxa"/>
            <w:gridSpan w:val="8"/>
          </w:tcPr>
          <w:p w14:paraId="481996B4" w14:textId="77777777" w:rsidR="002E1470" w:rsidRPr="00FB6C79" w:rsidRDefault="002E1470" w:rsidP="002E1470">
            <w:pPr>
              <w:tabs>
                <w:tab w:val="left" w:pos="652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Underlined values where patients with olfactory dysfunction were PCR tested for COVID-19 and included in meta-analysis below (Yan et al, </w:t>
            </w:r>
            <w:proofErr w:type="spellStart"/>
            <w:r>
              <w:rPr>
                <w:sz w:val="20"/>
                <w:szCs w:val="20"/>
              </w:rPr>
              <w:t>Menni</w:t>
            </w:r>
            <w:proofErr w:type="spellEnd"/>
            <w:r>
              <w:rPr>
                <w:sz w:val="20"/>
                <w:szCs w:val="20"/>
              </w:rPr>
              <w:t xml:space="preserve"> et al): </w:t>
            </w:r>
          </w:p>
        </w:tc>
      </w:tr>
      <w:tr w:rsidR="002E1470" w14:paraId="71565948" w14:textId="77777777" w:rsidTr="002E1470">
        <w:trPr>
          <w:trHeight w:val="259"/>
        </w:trPr>
        <w:tc>
          <w:tcPr>
            <w:tcW w:w="1183" w:type="dxa"/>
          </w:tcPr>
          <w:p w14:paraId="4D8B80E5" w14:textId="77777777" w:rsidR="002E1470" w:rsidRPr="00BE7381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858" w:type="dxa"/>
          </w:tcPr>
          <w:p w14:paraId="7BDCB943" w14:textId="77777777" w:rsidR="002E1470" w:rsidRPr="00F24A37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630</w:t>
            </w:r>
          </w:p>
        </w:tc>
        <w:tc>
          <w:tcPr>
            <w:tcW w:w="960" w:type="dxa"/>
          </w:tcPr>
          <w:p w14:paraId="5DBC4B01" w14:textId="77777777" w:rsidR="002E1470" w:rsidRPr="00F24A37" w:rsidRDefault="002E1470" w:rsidP="002E1470">
            <w:pPr>
              <w:tabs>
                <w:tab w:val="left" w:pos="652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</w:t>
            </w:r>
          </w:p>
        </w:tc>
        <w:tc>
          <w:tcPr>
            <w:tcW w:w="6015" w:type="dxa"/>
            <w:gridSpan w:val="5"/>
          </w:tcPr>
          <w:p w14:paraId="1B965562" w14:textId="77777777" w:rsidR="002E1470" w:rsidRPr="00FB6C79" w:rsidRDefault="002E1470" w:rsidP="002E1470">
            <w:pPr>
              <w:tabs>
                <w:tab w:val="left" w:pos="6526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61% PPV for </w:t>
            </w:r>
            <w:proofErr w:type="spellStart"/>
            <w:r>
              <w:rPr>
                <w:b/>
                <w:bCs/>
                <w:sz w:val="20"/>
                <w:szCs w:val="20"/>
              </w:rPr>
              <w:t>COVID+ve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test in OD</w:t>
            </w:r>
          </w:p>
        </w:tc>
      </w:tr>
    </w:tbl>
    <w:p w14:paraId="5DE269DC" w14:textId="77777777" w:rsidR="002E1470" w:rsidRPr="002A3B18" w:rsidRDefault="002E1470" w:rsidP="002E1470">
      <w:pPr>
        <w:tabs>
          <w:tab w:val="left" w:pos="6526"/>
        </w:tabs>
        <w:rPr>
          <w:sz w:val="20"/>
          <w:szCs w:val="20"/>
        </w:rPr>
      </w:pPr>
      <w:r>
        <w:rPr>
          <w:sz w:val="20"/>
          <w:szCs w:val="20"/>
        </w:rPr>
        <w:t>OD = Olfactory dysfunction, * = awaiting peer-review</w:t>
      </w:r>
    </w:p>
    <w:sectPr w:rsidR="002E1470" w:rsidRPr="002A3B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70"/>
    <w:rsid w:val="000904AD"/>
    <w:rsid w:val="000A3400"/>
    <w:rsid w:val="000A46D4"/>
    <w:rsid w:val="000B460E"/>
    <w:rsid w:val="000B6C70"/>
    <w:rsid w:val="000F324B"/>
    <w:rsid w:val="001329B7"/>
    <w:rsid w:val="00157B79"/>
    <w:rsid w:val="00195BD2"/>
    <w:rsid w:val="001A1EBF"/>
    <w:rsid w:val="001C4F2E"/>
    <w:rsid w:val="00221253"/>
    <w:rsid w:val="00263A05"/>
    <w:rsid w:val="002836BB"/>
    <w:rsid w:val="002E1470"/>
    <w:rsid w:val="002F2ACF"/>
    <w:rsid w:val="00331BDD"/>
    <w:rsid w:val="003339CB"/>
    <w:rsid w:val="00382124"/>
    <w:rsid w:val="003E340B"/>
    <w:rsid w:val="00416162"/>
    <w:rsid w:val="00425D82"/>
    <w:rsid w:val="004477CC"/>
    <w:rsid w:val="00502F11"/>
    <w:rsid w:val="00504D9C"/>
    <w:rsid w:val="00506C2E"/>
    <w:rsid w:val="00543DFA"/>
    <w:rsid w:val="00561D35"/>
    <w:rsid w:val="00581B86"/>
    <w:rsid w:val="00591A0F"/>
    <w:rsid w:val="005A4015"/>
    <w:rsid w:val="005A5FB7"/>
    <w:rsid w:val="0062019E"/>
    <w:rsid w:val="00624462"/>
    <w:rsid w:val="00641DE3"/>
    <w:rsid w:val="0065451C"/>
    <w:rsid w:val="00680E4B"/>
    <w:rsid w:val="006B282C"/>
    <w:rsid w:val="006D0F0A"/>
    <w:rsid w:val="006D72C7"/>
    <w:rsid w:val="006E581E"/>
    <w:rsid w:val="006E6753"/>
    <w:rsid w:val="00701A51"/>
    <w:rsid w:val="007204F4"/>
    <w:rsid w:val="00722BAC"/>
    <w:rsid w:val="00742414"/>
    <w:rsid w:val="007522E2"/>
    <w:rsid w:val="00782D1C"/>
    <w:rsid w:val="00800D2C"/>
    <w:rsid w:val="0082731C"/>
    <w:rsid w:val="008575CC"/>
    <w:rsid w:val="00884C80"/>
    <w:rsid w:val="00897A3E"/>
    <w:rsid w:val="00913E85"/>
    <w:rsid w:val="00916344"/>
    <w:rsid w:val="00923890"/>
    <w:rsid w:val="0093575B"/>
    <w:rsid w:val="009A42CD"/>
    <w:rsid w:val="009B33A5"/>
    <w:rsid w:val="009B3BF5"/>
    <w:rsid w:val="009C16EC"/>
    <w:rsid w:val="009D0DA8"/>
    <w:rsid w:val="00A01CB6"/>
    <w:rsid w:val="00A01F72"/>
    <w:rsid w:val="00A0750E"/>
    <w:rsid w:val="00A26931"/>
    <w:rsid w:val="00A31A58"/>
    <w:rsid w:val="00A46487"/>
    <w:rsid w:val="00A55759"/>
    <w:rsid w:val="00A57913"/>
    <w:rsid w:val="00A826F2"/>
    <w:rsid w:val="00A8581E"/>
    <w:rsid w:val="00A904BB"/>
    <w:rsid w:val="00AB4CA3"/>
    <w:rsid w:val="00AB6A9A"/>
    <w:rsid w:val="00AC4BE0"/>
    <w:rsid w:val="00AF0015"/>
    <w:rsid w:val="00AF139C"/>
    <w:rsid w:val="00B45175"/>
    <w:rsid w:val="00BC4A40"/>
    <w:rsid w:val="00BE3E3F"/>
    <w:rsid w:val="00BF58B9"/>
    <w:rsid w:val="00C17CA9"/>
    <w:rsid w:val="00C267DF"/>
    <w:rsid w:val="00C4194F"/>
    <w:rsid w:val="00C802D3"/>
    <w:rsid w:val="00C87462"/>
    <w:rsid w:val="00C912D4"/>
    <w:rsid w:val="00CD70B1"/>
    <w:rsid w:val="00CE075A"/>
    <w:rsid w:val="00D5338A"/>
    <w:rsid w:val="00D656A3"/>
    <w:rsid w:val="00DA2C84"/>
    <w:rsid w:val="00E22612"/>
    <w:rsid w:val="00E613FD"/>
    <w:rsid w:val="00E6290C"/>
    <w:rsid w:val="00E664E9"/>
    <w:rsid w:val="00E668D5"/>
    <w:rsid w:val="00EC04BF"/>
    <w:rsid w:val="00EE2007"/>
    <w:rsid w:val="00EE4525"/>
    <w:rsid w:val="00F0181B"/>
    <w:rsid w:val="00F06AA3"/>
    <w:rsid w:val="00F343DE"/>
    <w:rsid w:val="00FB7954"/>
    <w:rsid w:val="00FD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AC63A"/>
  <w15:chartTrackingRefBased/>
  <w15:docId w15:val="{960122FB-FC87-4939-9BDA-71C58ACE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1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Rocke</dc:creator>
  <cp:keywords/>
  <dc:description/>
  <cp:lastModifiedBy>John Rocke</cp:lastModifiedBy>
  <cp:revision>1</cp:revision>
  <dcterms:created xsi:type="dcterms:W3CDTF">2020-04-20T10:08:00Z</dcterms:created>
  <dcterms:modified xsi:type="dcterms:W3CDTF">2020-04-20T10:09:00Z</dcterms:modified>
</cp:coreProperties>
</file>