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drawings/drawing1.xml" ContentType="application/vnd.openxmlformats-officedocument.drawingml.chartshap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1791F" w:rsidRDefault="0031791F" w:rsidP="0031791F">
      <w:pPr>
        <w:spacing w:before="240" w:line="360" w:lineRule="auto"/>
        <w:jc w:val="both"/>
        <w:rPr>
          <w:rFonts w:ascii="Times New Roman" w:hAnsi="Times New Roman" w:cs="Times New Roman"/>
          <w:shd w:val="clear" w:color="auto" w:fill="FFFFFF"/>
        </w:rPr>
      </w:pPr>
    </w:p>
    <w:p w:rsidR="00CC0622" w:rsidRDefault="00AC5B19">
      <w:r>
        <w:rPr>
          <w:noProof/>
        </w:rPr>
        <w:drawing>
          <wp:inline distT="0" distB="0" distL="0" distR="0" wp14:anchorId="7B4E09A9" wp14:editId="4C549704">
            <wp:extent cx="5672455" cy="4010025"/>
            <wp:effectExtent l="0" t="0" r="4445" b="9525"/>
            <wp:docPr id="21" name="Picture 21" descr="C:\Users\MSC\Downloads\studyAreaMap (1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 descr="C:\Users\MSC\Downloads\studyAreaMap (1)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2455" cy="401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791F" w:rsidRDefault="0031791F" w:rsidP="0031791F">
      <w:pPr>
        <w:spacing w:before="240" w:line="360" w:lineRule="auto"/>
        <w:jc w:val="both"/>
        <w:rPr>
          <w:rFonts w:ascii="Times New Roman" w:hAnsi="Times New Roman" w:cs="Times New Roman"/>
          <w:shd w:val="clear" w:color="auto" w:fill="FFFFFF"/>
        </w:rPr>
      </w:pPr>
      <w:r>
        <w:rPr>
          <w:rFonts w:ascii="Times New Roman" w:hAnsi="Times New Roman" w:cs="Times New Roman"/>
          <w:shd w:val="clear" w:color="auto" w:fill="FFFFFF"/>
        </w:rPr>
        <w:t xml:space="preserve">Figure 1. </w:t>
      </w:r>
      <w:r>
        <w:rPr>
          <w:rFonts w:ascii="Times New Roman" w:hAnsi="Times New Roman" w:cs="Times New Roman"/>
          <w:shd w:val="clear" w:color="auto" w:fill="FFFFFF"/>
        </w:rPr>
        <w:t>Location Map</w:t>
      </w:r>
      <w:r>
        <w:rPr>
          <w:rFonts w:ascii="Times New Roman" w:hAnsi="Times New Roman" w:cs="Times New Roman"/>
          <w:shd w:val="clear" w:color="auto" w:fill="FFFFFF"/>
        </w:rPr>
        <w:t xml:space="preserve"> of the study area</w:t>
      </w:r>
    </w:p>
    <w:p w:rsidR="0031791F" w:rsidRDefault="004C4880">
      <w:r>
        <w:rPr>
          <w:noProof/>
        </w:rPr>
        <w:drawing>
          <wp:inline distT="0" distB="0" distL="0" distR="0" wp14:anchorId="2EEBE656" wp14:editId="2AF04277">
            <wp:extent cx="5607050" cy="3886200"/>
            <wp:effectExtent l="0" t="0" r="0" b="0"/>
            <wp:docPr id="20" name="Picture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7050" cy="3886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C4880" w:rsidRDefault="004C4880" w:rsidP="004C4880">
      <w:pPr>
        <w:spacing w:after="240" w:line="360" w:lineRule="auto"/>
        <w:jc w:val="both"/>
        <w:rPr>
          <w:rFonts w:ascii="Times New Roman" w:hAnsi="Times New Roman" w:cs="Times New Roman"/>
          <w:iCs/>
          <w:shd w:val="clear" w:color="auto" w:fill="FFFFFF"/>
        </w:rPr>
      </w:pPr>
      <w:r>
        <w:rPr>
          <w:rFonts w:ascii="Times New Roman" w:hAnsi="Times New Roman" w:cs="Times New Roman"/>
          <w:shd w:val="clear" w:color="auto" w:fill="FFFFFF"/>
        </w:rPr>
        <w:t xml:space="preserve">Figure 2. Habitat types of the study area and transect layout </w:t>
      </w:r>
    </w:p>
    <w:p w:rsidR="004C4880" w:rsidRDefault="004C4880" w:rsidP="004C4880">
      <w:pPr>
        <w:spacing w:line="360" w:lineRule="auto"/>
        <w:rPr>
          <w:rFonts w:ascii="Times New Roman" w:hAnsi="Times New Roman" w:cs="Times New Roman"/>
          <w:iCs/>
          <w:shd w:val="clear" w:color="auto" w:fill="FFFFFF"/>
        </w:rPr>
        <w:sectPr w:rsidR="004C4880">
          <w:pgSz w:w="11900" w:h="16160"/>
          <w:pgMar w:top="1308" w:right="1088" w:bottom="426" w:left="1140" w:header="0" w:footer="0" w:gutter="0"/>
          <w:cols w:space="720"/>
        </w:sectPr>
      </w:pPr>
    </w:p>
    <w:p w:rsidR="004C4880" w:rsidRDefault="007E10C1">
      <w:r>
        <w:rPr>
          <w:noProof/>
        </w:rPr>
        <w:lastRenderedPageBreak/>
        <w:drawing>
          <wp:inline distT="0" distB="0" distL="0" distR="0" wp14:anchorId="1C43FCC4" wp14:editId="1F1DC429">
            <wp:extent cx="5715000" cy="4475480"/>
            <wp:effectExtent l="0" t="0" r="0" b="1270"/>
            <wp:docPr id="1" name="Chart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p w:rsidR="00DE1808" w:rsidRDefault="00DE1808"/>
    <w:p w:rsidR="00DE1808" w:rsidRDefault="00DE1808"/>
    <w:p w:rsidR="00DE1808" w:rsidRDefault="00DE1808"/>
    <w:p w:rsidR="00DE1808" w:rsidRDefault="00DE1808"/>
    <w:p w:rsidR="00DE1808" w:rsidRDefault="00DE1808"/>
    <w:p w:rsidR="00DE1808" w:rsidRDefault="00DE1808">
      <w:r>
        <w:rPr>
          <w:noProof/>
        </w:rPr>
        <w:lastRenderedPageBreak/>
        <w:drawing>
          <wp:inline distT="0" distB="0" distL="0" distR="0" wp14:anchorId="37D6359C" wp14:editId="5F4A415B">
            <wp:extent cx="5943600" cy="4197350"/>
            <wp:effectExtent l="0" t="0" r="0" b="0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97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A7C9D" w:rsidRDefault="00DE1808" w:rsidP="00DE1808">
      <w:pPr>
        <w:tabs>
          <w:tab w:val="left" w:pos="3219"/>
        </w:tabs>
        <w:jc w:val="center"/>
        <w:rPr>
          <w:rFonts w:ascii="Times New Roman" w:hAnsi="Times New Roman" w:cs="Times New Roman"/>
          <w:iCs/>
          <w:szCs w:val="22"/>
          <w:shd w:val="clear" w:color="auto" w:fill="FFFFFF"/>
        </w:rPr>
      </w:pPr>
      <w:r>
        <w:rPr>
          <w:rFonts w:ascii="Times New Roman" w:hAnsi="Times New Roman" w:cs="Times New Roman"/>
          <w:iCs/>
          <w:szCs w:val="22"/>
          <w:shd w:val="clear" w:color="auto" w:fill="FFFFFF"/>
        </w:rPr>
        <w:t xml:space="preserve">Figure 4. Distribution of medium and large mammals among different habitats in </w:t>
      </w:r>
      <w:proofErr w:type="spellStart"/>
      <w:r>
        <w:rPr>
          <w:rFonts w:ascii="Times New Roman" w:hAnsi="Times New Roman" w:cs="Times New Roman"/>
          <w:iCs/>
          <w:szCs w:val="22"/>
          <w:shd w:val="clear" w:color="auto" w:fill="FFFFFF"/>
        </w:rPr>
        <w:t>Mago</w:t>
      </w:r>
      <w:proofErr w:type="spellEnd"/>
      <w:r>
        <w:rPr>
          <w:rFonts w:ascii="Times New Roman" w:hAnsi="Times New Roman" w:cs="Times New Roman"/>
          <w:iCs/>
          <w:szCs w:val="22"/>
          <w:shd w:val="clear" w:color="auto" w:fill="FFFFFF"/>
        </w:rPr>
        <w:t xml:space="preserve"> National Park during dry </w:t>
      </w:r>
    </w:p>
    <w:p w:rsidR="00AA7C9D" w:rsidRDefault="00AA7C9D" w:rsidP="00DE1808">
      <w:pPr>
        <w:tabs>
          <w:tab w:val="left" w:pos="3219"/>
        </w:tabs>
        <w:jc w:val="center"/>
        <w:rPr>
          <w:rFonts w:ascii="Times New Roman" w:hAnsi="Times New Roman" w:cs="Times New Roman"/>
          <w:iCs/>
          <w:szCs w:val="22"/>
          <w:shd w:val="clear" w:color="auto" w:fill="FFFFFF"/>
        </w:rPr>
      </w:pPr>
    </w:p>
    <w:p w:rsidR="00DE1808" w:rsidRDefault="00AA7C9D" w:rsidP="00DE1808">
      <w:pPr>
        <w:tabs>
          <w:tab w:val="left" w:pos="3219"/>
        </w:tabs>
        <w:jc w:val="center"/>
        <w:rPr>
          <w:rFonts w:ascii="Times New Roman" w:hAnsi="Times New Roman" w:cs="Times New Roman"/>
          <w:iCs/>
          <w:szCs w:val="22"/>
          <w:shd w:val="clear" w:color="auto" w:fill="FFFFFF"/>
        </w:rPr>
      </w:pPr>
      <w:r>
        <w:rPr>
          <w:rFonts w:ascii="Times New Roman" w:hAnsi="Times New Roman" w:cs="Times New Roman"/>
          <w:iCs/>
          <w:szCs w:val="22"/>
          <w:shd w:val="clear" w:color="auto" w:fill="FFFFFF"/>
        </w:rPr>
        <w:t>S</w:t>
      </w:r>
      <w:r w:rsidR="00DE1808">
        <w:rPr>
          <w:rFonts w:ascii="Times New Roman" w:hAnsi="Times New Roman" w:cs="Times New Roman"/>
          <w:iCs/>
          <w:szCs w:val="22"/>
          <w:shd w:val="clear" w:color="auto" w:fill="FFFFFF"/>
        </w:rPr>
        <w:t>eason</w:t>
      </w:r>
    </w:p>
    <w:p w:rsidR="00AA7C9D" w:rsidRDefault="00AA7C9D" w:rsidP="00DE1808">
      <w:pPr>
        <w:tabs>
          <w:tab w:val="left" w:pos="3219"/>
        </w:tabs>
        <w:jc w:val="center"/>
        <w:rPr>
          <w:rFonts w:ascii="Times New Roman" w:hAnsi="Times New Roman" w:cs="Times New Roman"/>
          <w:szCs w:val="22"/>
        </w:rPr>
      </w:pPr>
    </w:p>
    <w:p w:rsidR="00DE1808" w:rsidRDefault="00DE1808"/>
    <w:p w:rsidR="00DE1808" w:rsidRDefault="00AA7C9D">
      <w:r>
        <w:rPr>
          <w:noProof/>
        </w:rPr>
        <w:lastRenderedPageBreak/>
        <w:drawing>
          <wp:inline distT="0" distB="0" distL="0" distR="0" wp14:anchorId="072D8595" wp14:editId="24E3D38A">
            <wp:extent cx="5943600" cy="4200525"/>
            <wp:effectExtent l="0" t="0" r="0" b="9525"/>
            <wp:docPr id="3" name="Picture 3" descr="C:\Users\MSC\AppData\Local\Temp\Temp1_DistributionEdited_final.zip\DistributionEdited_final\wetseason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C:\Users\MSC\AppData\Local\Temp\Temp1_DistributionEdited_final.zip\DistributionEdited_final\wetseason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0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7C9D" w:rsidRDefault="00AA7C9D">
      <w:r>
        <w:rPr>
          <w:rFonts w:ascii="Times New Roman" w:hAnsi="Times New Roman" w:cs="Times New Roman"/>
          <w:iCs/>
          <w:szCs w:val="22"/>
        </w:rPr>
        <w:t xml:space="preserve">Figure </w:t>
      </w:r>
      <w:bookmarkStart w:id="0" w:name="_GoBack"/>
      <w:bookmarkEnd w:id="0"/>
      <w:r>
        <w:rPr>
          <w:rFonts w:ascii="Times New Roman" w:hAnsi="Times New Roman" w:cs="Times New Roman"/>
          <w:iCs/>
          <w:szCs w:val="22"/>
        </w:rPr>
        <w:t xml:space="preserve">5. </w:t>
      </w:r>
      <w:r>
        <w:rPr>
          <w:rFonts w:ascii="Times New Roman" w:hAnsi="Times New Roman" w:cs="Times New Roman"/>
          <w:iCs/>
          <w:szCs w:val="22"/>
        </w:rPr>
        <w:t xml:space="preserve">Distribution of medium and large mammals among different habitats in </w:t>
      </w:r>
      <w:proofErr w:type="spellStart"/>
      <w:r>
        <w:rPr>
          <w:rFonts w:ascii="Times New Roman" w:hAnsi="Times New Roman" w:cs="Times New Roman"/>
          <w:iCs/>
          <w:szCs w:val="22"/>
        </w:rPr>
        <w:t>Mago</w:t>
      </w:r>
      <w:proofErr w:type="spellEnd"/>
      <w:r>
        <w:rPr>
          <w:rFonts w:ascii="Times New Roman" w:hAnsi="Times New Roman" w:cs="Times New Roman"/>
          <w:iCs/>
          <w:szCs w:val="22"/>
        </w:rPr>
        <w:t xml:space="preserve"> National Park during wet season</w:t>
      </w:r>
    </w:p>
    <w:sectPr w:rsidR="00AA7C9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C2A3E" w:rsidRDefault="008C2A3E" w:rsidP="007E10C1">
      <w:r>
        <w:separator/>
      </w:r>
    </w:p>
  </w:endnote>
  <w:endnote w:type="continuationSeparator" w:id="0">
    <w:p w:rsidR="008C2A3E" w:rsidRDefault="008C2A3E" w:rsidP="007E10C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C2A3E" w:rsidRDefault="008C2A3E" w:rsidP="007E10C1">
      <w:r>
        <w:separator/>
      </w:r>
    </w:p>
  </w:footnote>
  <w:footnote w:type="continuationSeparator" w:id="0">
    <w:p w:rsidR="008C2A3E" w:rsidRDefault="008C2A3E" w:rsidP="007E10C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C5B19"/>
    <w:rsid w:val="0031791F"/>
    <w:rsid w:val="003A461B"/>
    <w:rsid w:val="004C4880"/>
    <w:rsid w:val="007E10C1"/>
    <w:rsid w:val="008C2A3E"/>
    <w:rsid w:val="00AA7C9D"/>
    <w:rsid w:val="00AC5B19"/>
    <w:rsid w:val="00CD0C5C"/>
    <w:rsid w:val="00DE18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D158CB4F-CE8C-47F1-A83E-537298C13C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1791F"/>
    <w:pPr>
      <w:spacing w:after="0" w:line="240" w:lineRule="auto"/>
    </w:pPr>
    <w:rPr>
      <w:rFonts w:ascii="Calibri" w:eastAsia="Calibri" w:hAnsi="Calibri" w:cs="Arial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E10C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E10C1"/>
    <w:rPr>
      <w:rFonts w:ascii="Calibri" w:eastAsia="Calibri" w:hAnsi="Calibri" w:cs="Arial"/>
      <w:sz w:val="20"/>
      <w:szCs w:val="20"/>
    </w:rPr>
  </w:style>
  <w:style w:type="paragraph" w:styleId="Footer">
    <w:name w:val="footer"/>
    <w:basedOn w:val="Normal"/>
    <w:link w:val="FooterChar"/>
    <w:uiPriority w:val="99"/>
    <w:unhideWhenUsed/>
    <w:rsid w:val="007E10C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E10C1"/>
    <w:rPr>
      <w:rFonts w:ascii="Calibri" w:eastAsia="Calibri" w:hAnsi="Calibri" w:cs="Arial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88732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259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212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chartUserShapes" Target="../drawings/drawing1.xml"/><Relationship Id="rId2" Type="http://schemas.openxmlformats.org/officeDocument/2006/relationships/package" Target="../embeddings/Microsoft_Excel_Worksheet1.xlsx"/><Relationship Id="rId1" Type="http://schemas.openxmlformats.org/officeDocument/2006/relationships/themeOverride" Target="../theme/themeOverrid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701" b="1" i="0" u="none" strike="noStrike" kern="1200" cap="all" spc="120" normalizeH="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Tahoma" panose="020B0604030504040204" pitchFamily="34" charset="0"/>
                <a:cs typeface="Times New Roman" panose="02020603050405020304" pitchFamily="18" charset="0"/>
              </a:defRPr>
            </a:pPr>
            <a:r>
              <a:rPr lang="en-US" sz="701" b="1">
                <a:solidFill>
                  <a:sysClr val="windowText" lastClr="000000"/>
                </a:solidFill>
                <a:latin typeface="Times New Roman" panose="02020603050405020304" pitchFamily="18" charset="0"/>
                <a:ea typeface="Tahoma" panose="020B0604030504040204" pitchFamily="34" charset="0"/>
                <a:cs typeface="Times New Roman" panose="02020603050405020304" pitchFamily="18" charset="0"/>
              </a:rPr>
              <a:t>No of</a:t>
            </a:r>
            <a:r>
              <a:rPr lang="en-US" sz="701" b="1" baseline="0">
                <a:solidFill>
                  <a:sysClr val="windowText" lastClr="000000"/>
                </a:solidFill>
                <a:latin typeface="Times New Roman" panose="02020603050405020304" pitchFamily="18" charset="0"/>
                <a:ea typeface="Tahoma" panose="020B0604030504040204" pitchFamily="34" charset="0"/>
                <a:cs typeface="Times New Roman" panose="02020603050405020304" pitchFamily="18" charset="0"/>
              </a:rPr>
              <a:t> transects</a:t>
            </a:r>
            <a:endParaRPr lang="en-US" sz="700" b="1">
              <a:solidFill>
                <a:sysClr val="windowText" lastClr="000000"/>
              </a:solidFill>
              <a:latin typeface="Times New Roman" panose="02020603050405020304" pitchFamily="18" charset="0"/>
              <a:ea typeface="Tahoma" panose="020B0604030504040204" pitchFamily="34" charset="0"/>
              <a:cs typeface="Times New Roman" panose="02020603050405020304" pitchFamily="18" charset="0"/>
            </a:endParaRPr>
          </a:p>
        </c:rich>
      </c:tx>
      <c:layout>
        <c:manualLayout>
          <c:xMode val="edge"/>
          <c:yMode val="edge"/>
          <c:x val="0.40049962345538725"/>
          <c:y val="0.90584190076677151"/>
        </c:manualLayout>
      </c:layout>
      <c:overlay val="0"/>
      <c:spPr>
        <a:noFill/>
        <a:ln w="25454">
          <a:noFill/>
        </a:ln>
      </c:spPr>
    </c:title>
    <c:autoTitleDeleted val="0"/>
    <c:plotArea>
      <c:layout>
        <c:manualLayout>
          <c:layoutTarget val="inner"/>
          <c:xMode val="edge"/>
          <c:yMode val="edge"/>
          <c:x val="4.0931246463864743E-2"/>
          <c:y val="0.16276921501833552"/>
          <c:w val="0.86512073162766934"/>
          <c:h val="0.77010755610324133"/>
        </c:manualLayout>
      </c:layout>
      <c:lineChart>
        <c:grouping val="standard"/>
        <c:varyColors val="0"/>
        <c:ser>
          <c:idx val="17"/>
          <c:order val="3"/>
          <c:tx>
            <c:strRef>
              <c:f>Sheet2!$R$1</c:f>
              <c:strCache>
                <c:ptCount val="1"/>
                <c:pt idx="0">
                  <c:v>S(est) Dry season </c:v>
                </c:pt>
              </c:strCache>
            </c:strRef>
          </c:tx>
          <c:spPr>
            <a:ln w="22272" cap="rnd">
              <a:solidFill>
                <a:schemeClr val="accent6">
                  <a:lumMod val="80000"/>
                  <a:lumOff val="20000"/>
                </a:schemeClr>
              </a:solidFill>
              <a:round/>
            </a:ln>
            <a:effectLst/>
          </c:spPr>
          <c:marker>
            <c:symbol val="dash"/>
            <c:size val="6"/>
            <c:spPr>
              <a:solidFill>
                <a:schemeClr val="accent6">
                  <a:lumMod val="80000"/>
                  <a:lumOff val="20000"/>
                </a:schemeClr>
              </a:solidFill>
              <a:ln w="9545">
                <a:solidFill>
                  <a:schemeClr val="accent6">
                    <a:lumMod val="80000"/>
                    <a:lumOff val="20000"/>
                  </a:schemeClr>
                </a:solidFill>
                <a:round/>
              </a:ln>
              <a:effectLst/>
            </c:spPr>
          </c:marker>
          <c:val>
            <c:numRef>
              <c:f>Sheet2!$R$2:$R$46</c:f>
              <c:numCache>
                <c:formatCode>General</c:formatCode>
                <c:ptCount val="45"/>
                <c:pt idx="0">
                  <c:v>4.71</c:v>
                </c:pt>
                <c:pt idx="1">
                  <c:v>8.17</c:v>
                </c:pt>
                <c:pt idx="2">
                  <c:v>10.79</c:v>
                </c:pt>
                <c:pt idx="3">
                  <c:v>12.84</c:v>
                </c:pt>
                <c:pt idx="4">
                  <c:v>14.47</c:v>
                </c:pt>
                <c:pt idx="5">
                  <c:v>15.81</c:v>
                </c:pt>
                <c:pt idx="6">
                  <c:v>16.920000000000002</c:v>
                </c:pt>
                <c:pt idx="7">
                  <c:v>17.87</c:v>
                </c:pt>
                <c:pt idx="8">
                  <c:v>18.690000000000001</c:v>
                </c:pt>
                <c:pt idx="9">
                  <c:v>19.41</c:v>
                </c:pt>
                <c:pt idx="10">
                  <c:v>20.04</c:v>
                </c:pt>
                <c:pt idx="11">
                  <c:v>20.610000000000017</c:v>
                </c:pt>
                <c:pt idx="12">
                  <c:v>21.12</c:v>
                </c:pt>
                <c:pt idx="13">
                  <c:v>21.58</c:v>
                </c:pt>
                <c:pt idx="14">
                  <c:v>22</c:v>
                </c:pt>
                <c:pt idx="15">
                  <c:v>22.39</c:v>
                </c:pt>
                <c:pt idx="16">
                  <c:v>22.74</c:v>
                </c:pt>
                <c:pt idx="17">
                  <c:v>23.06</c:v>
                </c:pt>
                <c:pt idx="18">
                  <c:v>23.36</c:v>
                </c:pt>
                <c:pt idx="19">
                  <c:v>23.64</c:v>
                </c:pt>
                <c:pt idx="20">
                  <c:v>23.9</c:v>
                </c:pt>
                <c:pt idx="21">
                  <c:v>24.130000000000017</c:v>
                </c:pt>
                <c:pt idx="22">
                  <c:v>24.36</c:v>
                </c:pt>
                <c:pt idx="23">
                  <c:v>24.56</c:v>
                </c:pt>
                <c:pt idx="24">
                  <c:v>24.759999999999987</c:v>
                </c:pt>
                <c:pt idx="25">
                  <c:v>24.939999999999987</c:v>
                </c:pt>
                <c:pt idx="26">
                  <c:v>25.110000000000017</c:v>
                </c:pt>
                <c:pt idx="27">
                  <c:v>25.27</c:v>
                </c:pt>
                <c:pt idx="28">
                  <c:v>25.419999999999987</c:v>
                </c:pt>
                <c:pt idx="29">
                  <c:v>25.57</c:v>
                </c:pt>
                <c:pt idx="30">
                  <c:v>25.7</c:v>
                </c:pt>
                <c:pt idx="31">
                  <c:v>25.830000000000005</c:v>
                </c:pt>
                <c:pt idx="32">
                  <c:v>25.95</c:v>
                </c:pt>
                <c:pt idx="33">
                  <c:v>26.06</c:v>
                </c:pt>
                <c:pt idx="34">
                  <c:v>26.17</c:v>
                </c:pt>
                <c:pt idx="35">
                  <c:v>26.27</c:v>
                </c:pt>
                <c:pt idx="36">
                  <c:v>26.37</c:v>
                </c:pt>
                <c:pt idx="37">
                  <c:v>26.459999999999987</c:v>
                </c:pt>
                <c:pt idx="38">
                  <c:v>26.55</c:v>
                </c:pt>
                <c:pt idx="39">
                  <c:v>26.630000000000017</c:v>
                </c:pt>
                <c:pt idx="40">
                  <c:v>26.71</c:v>
                </c:pt>
                <c:pt idx="41">
                  <c:v>26.79</c:v>
                </c:pt>
                <c:pt idx="42">
                  <c:v>26.86</c:v>
                </c:pt>
                <c:pt idx="43">
                  <c:v>26.93</c:v>
                </c:pt>
                <c:pt idx="44">
                  <c:v>27</c:v>
                </c:pt>
              </c:numCache>
            </c:numRef>
          </c:val>
          <c:smooth val="0"/>
        </c:ser>
        <c:ser>
          <c:idx val="18"/>
          <c:order val="4"/>
          <c:tx>
            <c:strRef>
              <c:f>Sheet2!$S$1</c:f>
              <c:strCache>
                <c:ptCount val="1"/>
                <c:pt idx="0">
                  <c:v>S(est) 95% CI Lower Bound dry season </c:v>
                </c:pt>
              </c:strCache>
            </c:strRef>
          </c:tx>
          <c:spPr>
            <a:ln w="22272" cap="rnd">
              <a:solidFill>
                <a:schemeClr val="accent1">
                  <a:lumMod val="80000"/>
                </a:schemeClr>
              </a:solidFill>
              <a:round/>
            </a:ln>
            <a:effectLst/>
          </c:spPr>
          <c:marker>
            <c:symbol val="diamond"/>
            <c:size val="6"/>
            <c:spPr>
              <a:solidFill>
                <a:schemeClr val="accent1">
                  <a:lumMod val="80000"/>
                </a:schemeClr>
              </a:solidFill>
              <a:ln w="9545">
                <a:solidFill>
                  <a:schemeClr val="accent1">
                    <a:lumMod val="80000"/>
                  </a:schemeClr>
                </a:solidFill>
                <a:round/>
              </a:ln>
              <a:effectLst/>
            </c:spPr>
          </c:marker>
          <c:val>
            <c:numRef>
              <c:f>Sheet2!$S$2:$S$46</c:f>
              <c:numCache>
                <c:formatCode>General</c:formatCode>
                <c:ptCount val="45"/>
                <c:pt idx="0">
                  <c:v>3.2600000000000002</c:v>
                </c:pt>
                <c:pt idx="1">
                  <c:v>5.9</c:v>
                </c:pt>
                <c:pt idx="2">
                  <c:v>8.0500000000000007</c:v>
                </c:pt>
                <c:pt idx="3">
                  <c:v>9.83</c:v>
                </c:pt>
                <c:pt idx="4">
                  <c:v>11.32</c:v>
                </c:pt>
                <c:pt idx="5">
                  <c:v>12.59</c:v>
                </c:pt>
                <c:pt idx="6">
                  <c:v>13.69</c:v>
                </c:pt>
                <c:pt idx="7">
                  <c:v>14.639999999999999</c:v>
                </c:pt>
                <c:pt idx="8">
                  <c:v>15.49</c:v>
                </c:pt>
                <c:pt idx="9">
                  <c:v>16.239999999999988</c:v>
                </c:pt>
                <c:pt idx="10">
                  <c:v>16.920000000000002</c:v>
                </c:pt>
                <c:pt idx="11">
                  <c:v>17.53</c:v>
                </c:pt>
                <c:pt idx="12">
                  <c:v>18.09</c:v>
                </c:pt>
                <c:pt idx="13">
                  <c:v>18.59</c:v>
                </c:pt>
                <c:pt idx="14">
                  <c:v>19.059999999999999</c:v>
                </c:pt>
                <c:pt idx="15">
                  <c:v>19.489999999999974</c:v>
                </c:pt>
                <c:pt idx="16">
                  <c:v>19.88</c:v>
                </c:pt>
                <c:pt idx="17">
                  <c:v>20.25</c:v>
                </c:pt>
                <c:pt idx="18">
                  <c:v>20.59</c:v>
                </c:pt>
                <c:pt idx="19">
                  <c:v>20.91</c:v>
                </c:pt>
                <c:pt idx="20">
                  <c:v>21.2</c:v>
                </c:pt>
                <c:pt idx="21">
                  <c:v>21.47</c:v>
                </c:pt>
                <c:pt idx="22">
                  <c:v>21.73</c:v>
                </c:pt>
                <c:pt idx="23">
                  <c:v>21.97</c:v>
                </c:pt>
                <c:pt idx="24">
                  <c:v>22.2</c:v>
                </c:pt>
                <c:pt idx="25">
                  <c:v>22.41</c:v>
                </c:pt>
                <c:pt idx="26">
                  <c:v>22.610000000000017</c:v>
                </c:pt>
                <c:pt idx="27">
                  <c:v>22.79</c:v>
                </c:pt>
                <c:pt idx="28">
                  <c:v>22.97</c:v>
                </c:pt>
                <c:pt idx="29">
                  <c:v>23.130000000000017</c:v>
                </c:pt>
                <c:pt idx="30">
                  <c:v>23.29</c:v>
                </c:pt>
                <c:pt idx="31">
                  <c:v>23.439999999999987</c:v>
                </c:pt>
                <c:pt idx="32">
                  <c:v>23.57</c:v>
                </c:pt>
                <c:pt idx="33">
                  <c:v>23.7</c:v>
                </c:pt>
                <c:pt idx="34">
                  <c:v>23.82</c:v>
                </c:pt>
                <c:pt idx="35">
                  <c:v>23.939999999999987</c:v>
                </c:pt>
                <c:pt idx="36">
                  <c:v>24.04</c:v>
                </c:pt>
                <c:pt idx="37">
                  <c:v>24.14</c:v>
                </c:pt>
                <c:pt idx="38">
                  <c:v>24.24</c:v>
                </c:pt>
                <c:pt idx="39">
                  <c:v>24.330000000000005</c:v>
                </c:pt>
                <c:pt idx="40">
                  <c:v>24.41</c:v>
                </c:pt>
                <c:pt idx="41">
                  <c:v>24.49</c:v>
                </c:pt>
                <c:pt idx="42">
                  <c:v>24.56</c:v>
                </c:pt>
                <c:pt idx="43">
                  <c:v>24.630000000000017</c:v>
                </c:pt>
                <c:pt idx="44">
                  <c:v>24.69</c:v>
                </c:pt>
              </c:numCache>
            </c:numRef>
          </c:val>
          <c:smooth val="0"/>
        </c:ser>
        <c:ser>
          <c:idx val="19"/>
          <c:order val="5"/>
          <c:tx>
            <c:strRef>
              <c:f>Sheet2!$T$1</c:f>
              <c:strCache>
                <c:ptCount val="1"/>
                <c:pt idx="0">
                  <c:v>S(est) 95% CI Upper Bound dry season </c:v>
                </c:pt>
              </c:strCache>
            </c:strRef>
          </c:tx>
          <c:spPr>
            <a:ln w="22272" cap="rnd">
              <a:solidFill>
                <a:schemeClr val="accent2">
                  <a:lumMod val="80000"/>
                </a:schemeClr>
              </a:solidFill>
              <a:round/>
            </a:ln>
            <a:effectLst/>
          </c:spPr>
          <c:marker>
            <c:symbol val="square"/>
            <c:size val="6"/>
            <c:spPr>
              <a:solidFill>
                <a:schemeClr val="accent2">
                  <a:lumMod val="80000"/>
                </a:schemeClr>
              </a:solidFill>
              <a:ln w="9545">
                <a:solidFill>
                  <a:schemeClr val="accent2">
                    <a:lumMod val="80000"/>
                  </a:schemeClr>
                </a:solidFill>
                <a:round/>
              </a:ln>
              <a:effectLst/>
            </c:spPr>
          </c:marker>
          <c:val>
            <c:numRef>
              <c:f>Sheet2!$T$2:$T$46</c:f>
              <c:numCache>
                <c:formatCode>General</c:formatCode>
                <c:ptCount val="45"/>
                <c:pt idx="0">
                  <c:v>6.1599999999999975</c:v>
                </c:pt>
                <c:pt idx="1">
                  <c:v>10.44</c:v>
                </c:pt>
                <c:pt idx="2">
                  <c:v>13.54</c:v>
                </c:pt>
                <c:pt idx="3">
                  <c:v>15.84</c:v>
                </c:pt>
                <c:pt idx="4">
                  <c:v>17.62</c:v>
                </c:pt>
                <c:pt idx="5">
                  <c:v>19.02</c:v>
                </c:pt>
                <c:pt idx="6">
                  <c:v>20.16</c:v>
                </c:pt>
                <c:pt idx="7">
                  <c:v>21.1</c:v>
                </c:pt>
                <c:pt idx="8">
                  <c:v>21.9</c:v>
                </c:pt>
                <c:pt idx="9">
                  <c:v>22.58</c:v>
                </c:pt>
                <c:pt idx="10">
                  <c:v>23.17</c:v>
                </c:pt>
                <c:pt idx="11">
                  <c:v>23.69</c:v>
                </c:pt>
                <c:pt idx="12">
                  <c:v>24.150000000000016</c:v>
                </c:pt>
                <c:pt idx="13">
                  <c:v>24.57</c:v>
                </c:pt>
                <c:pt idx="14">
                  <c:v>24.939999999999987</c:v>
                </c:pt>
                <c:pt idx="15">
                  <c:v>25.279999999999987</c:v>
                </c:pt>
                <c:pt idx="16">
                  <c:v>25.59</c:v>
                </c:pt>
                <c:pt idx="17">
                  <c:v>25.87</c:v>
                </c:pt>
                <c:pt idx="18">
                  <c:v>26.130000000000017</c:v>
                </c:pt>
                <c:pt idx="19">
                  <c:v>26.37</c:v>
                </c:pt>
                <c:pt idx="20">
                  <c:v>26.59</c:v>
                </c:pt>
                <c:pt idx="21">
                  <c:v>26.79</c:v>
                </c:pt>
                <c:pt idx="22">
                  <c:v>26.979999999999986</c:v>
                </c:pt>
                <c:pt idx="23">
                  <c:v>27.16</c:v>
                </c:pt>
                <c:pt idx="24">
                  <c:v>27.32</c:v>
                </c:pt>
                <c:pt idx="25">
                  <c:v>27.47</c:v>
                </c:pt>
                <c:pt idx="26">
                  <c:v>27.62</c:v>
                </c:pt>
                <c:pt idx="27">
                  <c:v>27.75</c:v>
                </c:pt>
                <c:pt idx="28">
                  <c:v>27.88</c:v>
                </c:pt>
                <c:pt idx="29">
                  <c:v>28</c:v>
                </c:pt>
                <c:pt idx="30">
                  <c:v>28.12</c:v>
                </c:pt>
                <c:pt idx="31">
                  <c:v>28.23</c:v>
                </c:pt>
                <c:pt idx="32">
                  <c:v>28.32</c:v>
                </c:pt>
                <c:pt idx="33">
                  <c:v>28.419999999999987</c:v>
                </c:pt>
                <c:pt idx="34">
                  <c:v>28.52</c:v>
                </c:pt>
                <c:pt idx="35">
                  <c:v>28.610000000000017</c:v>
                </c:pt>
                <c:pt idx="36">
                  <c:v>28.7</c:v>
                </c:pt>
                <c:pt idx="37">
                  <c:v>28.779999999999987</c:v>
                </c:pt>
                <c:pt idx="38">
                  <c:v>28.86</c:v>
                </c:pt>
                <c:pt idx="39">
                  <c:v>28.939999999999987</c:v>
                </c:pt>
                <c:pt idx="40">
                  <c:v>29.02</c:v>
                </c:pt>
                <c:pt idx="41">
                  <c:v>29.09</c:v>
                </c:pt>
                <c:pt idx="42">
                  <c:v>29.17</c:v>
                </c:pt>
                <c:pt idx="43">
                  <c:v>29.24</c:v>
                </c:pt>
                <c:pt idx="44">
                  <c:v>29.310000000000016</c:v>
                </c:pt>
              </c:numCache>
            </c:numRef>
          </c:val>
          <c:smooth val="0"/>
        </c:ser>
        <c:ser>
          <c:idx val="22"/>
          <c:order val="6"/>
          <c:tx>
            <c:strRef>
              <c:f>Sheet2!$W$1</c:f>
              <c:strCache>
                <c:ptCount val="1"/>
                <c:pt idx="0">
                  <c:v>S(est) Wet season</c:v>
                </c:pt>
              </c:strCache>
            </c:strRef>
          </c:tx>
          <c:spPr>
            <a:ln w="22272" cap="rnd">
              <a:solidFill>
                <a:schemeClr val="accent5">
                  <a:lumMod val="80000"/>
                </a:schemeClr>
              </a:solidFill>
              <a:round/>
            </a:ln>
            <a:effectLst/>
          </c:spPr>
          <c:marker>
            <c:symbol val="star"/>
            <c:size val="6"/>
            <c:spPr>
              <a:solidFill>
                <a:srgbClr val="FF66CC"/>
              </a:solidFill>
              <a:ln w="9545">
                <a:solidFill>
                  <a:schemeClr val="accent5">
                    <a:lumMod val="80000"/>
                  </a:schemeClr>
                </a:solidFill>
                <a:round/>
              </a:ln>
              <a:effectLst/>
            </c:spPr>
          </c:marker>
          <c:val>
            <c:numRef>
              <c:f>Sheet2!$W$2:$W$46</c:f>
              <c:numCache>
                <c:formatCode>General</c:formatCode>
                <c:ptCount val="45"/>
                <c:pt idx="0">
                  <c:v>9.4</c:v>
                </c:pt>
                <c:pt idx="1">
                  <c:v>14.38</c:v>
                </c:pt>
                <c:pt idx="2">
                  <c:v>17.45</c:v>
                </c:pt>
                <c:pt idx="3">
                  <c:v>19.57</c:v>
                </c:pt>
                <c:pt idx="4">
                  <c:v>21.14</c:v>
                </c:pt>
                <c:pt idx="5">
                  <c:v>22.36</c:v>
                </c:pt>
                <c:pt idx="6">
                  <c:v>23.32</c:v>
                </c:pt>
                <c:pt idx="7">
                  <c:v>24.1</c:v>
                </c:pt>
                <c:pt idx="8">
                  <c:v>24.74</c:v>
                </c:pt>
                <c:pt idx="9">
                  <c:v>25.259999999999987</c:v>
                </c:pt>
                <c:pt idx="10">
                  <c:v>25.69</c:v>
                </c:pt>
                <c:pt idx="11">
                  <c:v>26.05</c:v>
                </c:pt>
                <c:pt idx="12">
                  <c:v>26.35</c:v>
                </c:pt>
                <c:pt idx="13">
                  <c:v>26.6</c:v>
                </c:pt>
                <c:pt idx="14">
                  <c:v>26.810000000000016</c:v>
                </c:pt>
                <c:pt idx="15">
                  <c:v>26.979999999999986</c:v>
                </c:pt>
                <c:pt idx="16">
                  <c:v>27.130000000000017</c:v>
                </c:pt>
                <c:pt idx="17">
                  <c:v>27.259999999999987</c:v>
                </c:pt>
                <c:pt idx="18">
                  <c:v>27.36</c:v>
                </c:pt>
                <c:pt idx="19">
                  <c:v>27.45</c:v>
                </c:pt>
                <c:pt idx="20">
                  <c:v>27.53</c:v>
                </c:pt>
                <c:pt idx="21">
                  <c:v>27.59</c:v>
                </c:pt>
                <c:pt idx="22">
                  <c:v>27.650000000000016</c:v>
                </c:pt>
                <c:pt idx="23">
                  <c:v>27.7</c:v>
                </c:pt>
                <c:pt idx="24">
                  <c:v>27.74</c:v>
                </c:pt>
                <c:pt idx="25">
                  <c:v>27.779999999999987</c:v>
                </c:pt>
                <c:pt idx="26">
                  <c:v>27.810000000000016</c:v>
                </c:pt>
                <c:pt idx="27">
                  <c:v>27.830000000000005</c:v>
                </c:pt>
                <c:pt idx="28">
                  <c:v>27.86</c:v>
                </c:pt>
                <c:pt idx="29">
                  <c:v>27.88</c:v>
                </c:pt>
                <c:pt idx="30">
                  <c:v>27.9</c:v>
                </c:pt>
                <c:pt idx="31">
                  <c:v>27.919999999999987</c:v>
                </c:pt>
                <c:pt idx="32">
                  <c:v>27.93</c:v>
                </c:pt>
                <c:pt idx="33">
                  <c:v>27.939999999999987</c:v>
                </c:pt>
                <c:pt idx="34">
                  <c:v>27.95</c:v>
                </c:pt>
                <c:pt idx="35">
                  <c:v>27.959999999999987</c:v>
                </c:pt>
                <c:pt idx="36">
                  <c:v>27.97</c:v>
                </c:pt>
                <c:pt idx="37">
                  <c:v>27.979999999999986</c:v>
                </c:pt>
                <c:pt idx="38">
                  <c:v>27.979999999999986</c:v>
                </c:pt>
                <c:pt idx="39">
                  <c:v>27.99</c:v>
                </c:pt>
                <c:pt idx="40">
                  <c:v>27.99</c:v>
                </c:pt>
                <c:pt idx="41">
                  <c:v>28</c:v>
                </c:pt>
                <c:pt idx="42">
                  <c:v>28</c:v>
                </c:pt>
                <c:pt idx="43">
                  <c:v>28</c:v>
                </c:pt>
                <c:pt idx="44">
                  <c:v>28</c:v>
                </c:pt>
              </c:numCache>
            </c:numRef>
          </c:val>
          <c:smooth val="0"/>
        </c:ser>
        <c:ser>
          <c:idx val="23"/>
          <c:order val="7"/>
          <c:tx>
            <c:strRef>
              <c:f>Sheet2!$X$1</c:f>
              <c:strCache>
                <c:ptCount val="1"/>
                <c:pt idx="0">
                  <c:v>S(est) 95% CI Lower Bound wet seson </c:v>
                </c:pt>
              </c:strCache>
            </c:strRef>
          </c:tx>
          <c:spPr>
            <a:ln w="22272" cap="rnd">
              <a:solidFill>
                <a:schemeClr val="accent6">
                  <a:lumMod val="80000"/>
                </a:schemeClr>
              </a:solidFill>
              <a:round/>
            </a:ln>
            <a:effectLst/>
          </c:spPr>
          <c:marker>
            <c:symbol val="circle"/>
            <c:size val="6"/>
            <c:spPr>
              <a:solidFill>
                <a:schemeClr val="accent6">
                  <a:lumMod val="80000"/>
                </a:schemeClr>
              </a:solidFill>
              <a:ln w="9545">
                <a:solidFill>
                  <a:schemeClr val="accent6">
                    <a:lumMod val="80000"/>
                  </a:schemeClr>
                </a:solidFill>
                <a:round/>
              </a:ln>
              <a:effectLst/>
            </c:spPr>
          </c:marker>
          <c:val>
            <c:numRef>
              <c:f>Sheet2!$X$2:$X$46</c:f>
              <c:numCache>
                <c:formatCode>General</c:formatCode>
                <c:ptCount val="45"/>
                <c:pt idx="0">
                  <c:v>7.1</c:v>
                </c:pt>
                <c:pt idx="1">
                  <c:v>11.61</c:v>
                </c:pt>
                <c:pt idx="2">
                  <c:v>14.739999999999998</c:v>
                </c:pt>
                <c:pt idx="3">
                  <c:v>17.059999999999999</c:v>
                </c:pt>
                <c:pt idx="4">
                  <c:v>18.850000000000001</c:v>
                </c:pt>
                <c:pt idx="5">
                  <c:v>20.279999999999987</c:v>
                </c:pt>
                <c:pt idx="6">
                  <c:v>21.45</c:v>
                </c:pt>
                <c:pt idx="7">
                  <c:v>22.4</c:v>
                </c:pt>
                <c:pt idx="8">
                  <c:v>23.19</c:v>
                </c:pt>
                <c:pt idx="9">
                  <c:v>23.85</c:v>
                </c:pt>
                <c:pt idx="10">
                  <c:v>24.4</c:v>
                </c:pt>
                <c:pt idx="11">
                  <c:v>24.87</c:v>
                </c:pt>
                <c:pt idx="12">
                  <c:v>25.27</c:v>
                </c:pt>
                <c:pt idx="13">
                  <c:v>25.610000000000017</c:v>
                </c:pt>
                <c:pt idx="14">
                  <c:v>25.9</c:v>
                </c:pt>
                <c:pt idx="15">
                  <c:v>26.14</c:v>
                </c:pt>
                <c:pt idx="16">
                  <c:v>26.36</c:v>
                </c:pt>
                <c:pt idx="17">
                  <c:v>26.55</c:v>
                </c:pt>
                <c:pt idx="18">
                  <c:v>26.71</c:v>
                </c:pt>
                <c:pt idx="19">
                  <c:v>26.86</c:v>
                </c:pt>
                <c:pt idx="20">
                  <c:v>26.979999999999986</c:v>
                </c:pt>
                <c:pt idx="21">
                  <c:v>27.1</c:v>
                </c:pt>
                <c:pt idx="22">
                  <c:v>27.2</c:v>
                </c:pt>
                <c:pt idx="23">
                  <c:v>27.29</c:v>
                </c:pt>
                <c:pt idx="24">
                  <c:v>27.37</c:v>
                </c:pt>
                <c:pt idx="25">
                  <c:v>27.439999999999987</c:v>
                </c:pt>
                <c:pt idx="26">
                  <c:v>27.51</c:v>
                </c:pt>
                <c:pt idx="27">
                  <c:v>27.57</c:v>
                </c:pt>
                <c:pt idx="28">
                  <c:v>27.630000000000017</c:v>
                </c:pt>
                <c:pt idx="29">
                  <c:v>27.68</c:v>
                </c:pt>
                <c:pt idx="30">
                  <c:v>27.72</c:v>
                </c:pt>
                <c:pt idx="31">
                  <c:v>27.759999999999987</c:v>
                </c:pt>
                <c:pt idx="32">
                  <c:v>27.8</c:v>
                </c:pt>
                <c:pt idx="33">
                  <c:v>27.830000000000005</c:v>
                </c:pt>
                <c:pt idx="34">
                  <c:v>27.87</c:v>
                </c:pt>
                <c:pt idx="35">
                  <c:v>27.89</c:v>
                </c:pt>
                <c:pt idx="36">
                  <c:v>27.919999999999987</c:v>
                </c:pt>
                <c:pt idx="37">
                  <c:v>27.939999999999987</c:v>
                </c:pt>
                <c:pt idx="38">
                  <c:v>27.959999999999987</c:v>
                </c:pt>
                <c:pt idx="39">
                  <c:v>27.97</c:v>
                </c:pt>
                <c:pt idx="40">
                  <c:v>27.979999999999986</c:v>
                </c:pt>
                <c:pt idx="41">
                  <c:v>27.99</c:v>
                </c:pt>
                <c:pt idx="42">
                  <c:v>28</c:v>
                </c:pt>
                <c:pt idx="43">
                  <c:v>28</c:v>
                </c:pt>
                <c:pt idx="44">
                  <c:v>28</c:v>
                </c:pt>
              </c:numCache>
            </c:numRef>
          </c:val>
          <c:smooth val="0"/>
        </c:ser>
        <c:ser>
          <c:idx val="24"/>
          <c:order val="8"/>
          <c:tx>
            <c:strRef>
              <c:f>Sheet2!$Y$1</c:f>
              <c:strCache>
                <c:ptCount val="1"/>
                <c:pt idx="0">
                  <c:v>S(est) 95% CI Upper Bound wet season </c:v>
                </c:pt>
              </c:strCache>
            </c:strRef>
          </c:tx>
          <c:spPr>
            <a:ln w="22272" cap="rnd">
              <a:solidFill>
                <a:schemeClr val="accent1">
                  <a:lumMod val="60000"/>
                  <a:lumOff val="40000"/>
                </a:schemeClr>
              </a:solidFill>
              <a:round/>
            </a:ln>
            <a:effectLst/>
          </c:spPr>
          <c:marker>
            <c:symbol val="plus"/>
            <c:size val="6"/>
            <c:spPr>
              <a:noFill/>
              <a:ln w="9545">
                <a:solidFill>
                  <a:schemeClr val="accent1">
                    <a:lumMod val="60000"/>
                    <a:lumOff val="40000"/>
                  </a:schemeClr>
                </a:solidFill>
                <a:round/>
              </a:ln>
              <a:effectLst/>
            </c:spPr>
          </c:marker>
          <c:val>
            <c:numRef>
              <c:f>Sheet2!$Y$2:$Y$46</c:f>
              <c:numCache>
                <c:formatCode>General</c:formatCode>
                <c:ptCount val="45"/>
                <c:pt idx="0">
                  <c:v>11.7</c:v>
                </c:pt>
                <c:pt idx="1">
                  <c:v>17.149999999999999</c:v>
                </c:pt>
                <c:pt idx="2">
                  <c:v>20.16</c:v>
                </c:pt>
                <c:pt idx="3">
                  <c:v>22.08</c:v>
                </c:pt>
                <c:pt idx="4">
                  <c:v>23.43</c:v>
                </c:pt>
                <c:pt idx="5">
                  <c:v>24.43</c:v>
                </c:pt>
                <c:pt idx="6">
                  <c:v>25.2</c:v>
                </c:pt>
                <c:pt idx="7">
                  <c:v>25.8</c:v>
                </c:pt>
                <c:pt idx="8">
                  <c:v>26.279999999999987</c:v>
                </c:pt>
                <c:pt idx="9">
                  <c:v>26.67</c:v>
                </c:pt>
                <c:pt idx="10">
                  <c:v>26.979999999999986</c:v>
                </c:pt>
                <c:pt idx="11">
                  <c:v>27.22</c:v>
                </c:pt>
                <c:pt idx="12">
                  <c:v>27.43</c:v>
                </c:pt>
                <c:pt idx="13">
                  <c:v>27.59</c:v>
                </c:pt>
                <c:pt idx="14">
                  <c:v>27.72</c:v>
                </c:pt>
                <c:pt idx="15">
                  <c:v>27.82</c:v>
                </c:pt>
                <c:pt idx="16">
                  <c:v>27.9</c:v>
                </c:pt>
                <c:pt idx="17">
                  <c:v>27.959999999999987</c:v>
                </c:pt>
                <c:pt idx="18">
                  <c:v>28.01</c:v>
                </c:pt>
                <c:pt idx="19">
                  <c:v>28.05</c:v>
                </c:pt>
                <c:pt idx="20">
                  <c:v>28.07</c:v>
                </c:pt>
                <c:pt idx="21">
                  <c:v>28.09</c:v>
                </c:pt>
                <c:pt idx="22">
                  <c:v>28.1</c:v>
                </c:pt>
                <c:pt idx="23">
                  <c:v>28.110000000000017</c:v>
                </c:pt>
                <c:pt idx="24">
                  <c:v>28.110000000000017</c:v>
                </c:pt>
                <c:pt idx="25">
                  <c:v>28.110000000000017</c:v>
                </c:pt>
                <c:pt idx="26">
                  <c:v>28.110000000000017</c:v>
                </c:pt>
                <c:pt idx="27">
                  <c:v>28.1</c:v>
                </c:pt>
                <c:pt idx="28">
                  <c:v>28.09</c:v>
                </c:pt>
                <c:pt idx="29">
                  <c:v>28.08</c:v>
                </c:pt>
                <c:pt idx="30">
                  <c:v>28.07</c:v>
                </c:pt>
                <c:pt idx="31">
                  <c:v>28.07</c:v>
                </c:pt>
                <c:pt idx="32">
                  <c:v>28.06</c:v>
                </c:pt>
                <c:pt idx="33">
                  <c:v>28.05</c:v>
                </c:pt>
                <c:pt idx="34">
                  <c:v>28.04</c:v>
                </c:pt>
                <c:pt idx="35">
                  <c:v>28.03</c:v>
                </c:pt>
                <c:pt idx="36">
                  <c:v>28.03</c:v>
                </c:pt>
                <c:pt idx="37">
                  <c:v>28.02</c:v>
                </c:pt>
                <c:pt idx="38">
                  <c:v>28.01</c:v>
                </c:pt>
                <c:pt idx="39">
                  <c:v>28.01</c:v>
                </c:pt>
                <c:pt idx="40">
                  <c:v>28.01</c:v>
                </c:pt>
                <c:pt idx="41">
                  <c:v>28</c:v>
                </c:pt>
                <c:pt idx="42">
                  <c:v>28</c:v>
                </c:pt>
                <c:pt idx="43">
                  <c:v>28</c:v>
                </c:pt>
                <c:pt idx="44">
                  <c:v>28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356769472"/>
        <c:axId val="356767904"/>
      </c:lineChart>
      <c:lineChart>
        <c:grouping val="standard"/>
        <c:varyColors val="0"/>
        <c:ser>
          <c:idx val="2"/>
          <c:order val="0"/>
          <c:tx>
            <c:strRef>
              <c:f>Sheet2!$C$1</c:f>
              <c:strCache>
                <c:ptCount val="1"/>
                <c:pt idx="0">
                  <c:v>S(est) RF</c:v>
                </c:pt>
              </c:strCache>
            </c:strRef>
          </c:tx>
          <c:spPr>
            <a:ln w="12727" cap="rnd">
              <a:solidFill>
                <a:srgbClr val="C00000"/>
              </a:solidFill>
              <a:round/>
            </a:ln>
            <a:effectLst/>
          </c:spPr>
          <c:marker>
            <c:symbol val="triangle"/>
            <c:size val="6"/>
            <c:spPr>
              <a:solidFill>
                <a:srgbClr val="66FF33"/>
              </a:solidFill>
              <a:ln w="12727">
                <a:solidFill>
                  <a:srgbClr val="C00000"/>
                </a:solidFill>
                <a:round/>
              </a:ln>
              <a:effectLst/>
            </c:spPr>
          </c:marker>
          <c:val>
            <c:numRef>
              <c:f>Sheet2!$C$2:$C$46</c:f>
              <c:numCache>
                <c:formatCode>General</c:formatCode>
                <c:ptCount val="45"/>
                <c:pt idx="0">
                  <c:v>8.7299999999999986</c:v>
                </c:pt>
                <c:pt idx="1">
                  <c:v>13.11</c:v>
                </c:pt>
                <c:pt idx="2">
                  <c:v>15.59</c:v>
                </c:pt>
                <c:pt idx="3">
                  <c:v>17.18</c:v>
                </c:pt>
                <c:pt idx="4">
                  <c:v>18.32</c:v>
                </c:pt>
                <c:pt idx="5">
                  <c:v>19.190000000000001</c:v>
                </c:pt>
                <c:pt idx="6">
                  <c:v>19.91</c:v>
                </c:pt>
                <c:pt idx="7">
                  <c:v>20.52</c:v>
                </c:pt>
                <c:pt idx="8">
                  <c:v>21.05</c:v>
                </c:pt>
                <c:pt idx="9">
                  <c:v>21.55</c:v>
                </c:pt>
                <c:pt idx="10">
                  <c:v>22</c:v>
                </c:pt>
              </c:numCache>
            </c:numRef>
          </c:val>
          <c:smooth val="0"/>
        </c:ser>
        <c:ser>
          <c:idx val="7"/>
          <c:order val="1"/>
          <c:tx>
            <c:strRef>
              <c:f>Sheet2!$H$1</c:f>
              <c:strCache>
                <c:ptCount val="1"/>
                <c:pt idx="0">
                  <c:v>S(est) AS</c:v>
                </c:pt>
              </c:strCache>
            </c:strRef>
          </c:tx>
          <c:spPr>
            <a:ln w="12727" cap="rnd">
              <a:solidFill>
                <a:srgbClr val="00B0F0"/>
              </a:solidFill>
              <a:round/>
            </a:ln>
            <a:effectLst/>
          </c:spPr>
          <c:marker>
            <c:symbol val="dot"/>
            <c:size val="6"/>
            <c:spPr>
              <a:solidFill>
                <a:schemeClr val="accent2">
                  <a:lumMod val="60000"/>
                </a:schemeClr>
              </a:solidFill>
              <a:ln w="12727">
                <a:solidFill>
                  <a:srgbClr val="00B0F0"/>
                </a:solidFill>
                <a:round/>
              </a:ln>
              <a:effectLst/>
            </c:spPr>
          </c:marker>
          <c:val>
            <c:numRef>
              <c:f>Sheet2!$H$2:$H$46</c:f>
              <c:numCache>
                <c:formatCode>General</c:formatCode>
                <c:ptCount val="45"/>
                <c:pt idx="0">
                  <c:v>8.83</c:v>
                </c:pt>
                <c:pt idx="1">
                  <c:v>13.92</c:v>
                </c:pt>
                <c:pt idx="2">
                  <c:v>17.03</c:v>
                </c:pt>
                <c:pt idx="3">
                  <c:v>19.190000000000001</c:v>
                </c:pt>
                <c:pt idx="4">
                  <c:v>20.759999999999987</c:v>
                </c:pt>
                <c:pt idx="5">
                  <c:v>21.959999999999987</c:v>
                </c:pt>
                <c:pt idx="6">
                  <c:v>22.9</c:v>
                </c:pt>
                <c:pt idx="7">
                  <c:v>23.650000000000016</c:v>
                </c:pt>
                <c:pt idx="8">
                  <c:v>24.259999999999987</c:v>
                </c:pt>
                <c:pt idx="9">
                  <c:v>24.75</c:v>
                </c:pt>
                <c:pt idx="10">
                  <c:v>25.14</c:v>
                </c:pt>
                <c:pt idx="11">
                  <c:v>25.45</c:v>
                </c:pt>
                <c:pt idx="12">
                  <c:v>25.69</c:v>
                </c:pt>
                <c:pt idx="13">
                  <c:v>25.87</c:v>
                </c:pt>
                <c:pt idx="14">
                  <c:v>26</c:v>
                </c:pt>
              </c:numCache>
            </c:numRef>
          </c:val>
          <c:smooth val="0"/>
        </c:ser>
        <c:ser>
          <c:idx val="12"/>
          <c:order val="2"/>
          <c:tx>
            <c:strRef>
              <c:f>Sheet2!$M$1</c:f>
              <c:strCache>
                <c:ptCount val="1"/>
                <c:pt idx="0">
                  <c:v>S(est) WL</c:v>
                </c:pt>
              </c:strCache>
            </c:strRef>
          </c:tx>
          <c:spPr>
            <a:ln w="12727" cap="rnd">
              <a:solidFill>
                <a:schemeClr val="accent2"/>
              </a:solidFill>
              <a:round/>
            </a:ln>
            <a:effectLst/>
          </c:spPr>
          <c:marker>
            <c:symbol val="x"/>
            <c:size val="6"/>
            <c:spPr>
              <a:noFill/>
              <a:ln w="12727">
                <a:solidFill>
                  <a:schemeClr val="accent2"/>
                </a:solidFill>
                <a:round/>
              </a:ln>
              <a:effectLst/>
            </c:spPr>
          </c:marker>
          <c:val>
            <c:numRef>
              <c:f>Sheet2!$M$2:$M$46</c:f>
              <c:numCache>
                <c:formatCode>General</c:formatCode>
                <c:ptCount val="45"/>
                <c:pt idx="0">
                  <c:v>10.27</c:v>
                </c:pt>
                <c:pt idx="1">
                  <c:v>15.28</c:v>
                </c:pt>
                <c:pt idx="2">
                  <c:v>18.329999999999988</c:v>
                </c:pt>
                <c:pt idx="3">
                  <c:v>20.399999999999999</c:v>
                </c:pt>
                <c:pt idx="4">
                  <c:v>21.91</c:v>
                </c:pt>
                <c:pt idx="5">
                  <c:v>23.02</c:v>
                </c:pt>
                <c:pt idx="6">
                  <c:v>23.85</c:v>
                </c:pt>
                <c:pt idx="7">
                  <c:v>24.51</c:v>
                </c:pt>
                <c:pt idx="8">
                  <c:v>25.03</c:v>
                </c:pt>
                <c:pt idx="9">
                  <c:v>25.45</c:v>
                </c:pt>
                <c:pt idx="10">
                  <c:v>25.79</c:v>
                </c:pt>
                <c:pt idx="11">
                  <c:v>26.07</c:v>
                </c:pt>
                <c:pt idx="12">
                  <c:v>26.3</c:v>
                </c:pt>
                <c:pt idx="13">
                  <c:v>26.49</c:v>
                </c:pt>
                <c:pt idx="14">
                  <c:v>26.64</c:v>
                </c:pt>
                <c:pt idx="15">
                  <c:v>26.77</c:v>
                </c:pt>
                <c:pt idx="16">
                  <c:v>26.87</c:v>
                </c:pt>
                <c:pt idx="17">
                  <c:v>26.95</c:v>
                </c:pt>
                <c:pt idx="18">
                  <c:v>27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356768296"/>
        <c:axId val="356769864"/>
      </c:lineChart>
      <c:catAx>
        <c:axId val="35676947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4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2" b="0" i="0" u="none" strike="noStrike" kern="1200" cap="all" spc="120" normalizeH="0" baseline="0">
                <a:solidFill>
                  <a:schemeClr val="tx1"/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en-US"/>
          </a:p>
        </c:txPr>
        <c:crossAx val="356767904"/>
        <c:crosses val="autoZero"/>
        <c:auto val="1"/>
        <c:lblAlgn val="ctr"/>
        <c:lblOffset val="100"/>
        <c:noMultiLvlLbl val="0"/>
      </c:catAx>
      <c:valAx>
        <c:axId val="356767904"/>
        <c:scaling>
          <c:orientation val="minMax"/>
          <c:max val="35"/>
        </c:scaling>
        <c:delete val="0"/>
        <c:axPos val="l"/>
        <c:title>
          <c:tx>
            <c:rich>
              <a:bodyPr/>
              <a:lstStyle/>
              <a:p>
                <a:pPr>
                  <a:defRPr sz="1002" b="0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r>
                  <a:rPr lang="en-US" sz="902" b="0" i="0" u="none" strike="noStrike" baseline="0">
                    <a:solidFill>
                      <a:srgbClr val="333333"/>
                    </a:solidFill>
                    <a:latin typeface="Calibri"/>
                    <a:cs typeface="Calibri"/>
                  </a:rPr>
                  <a:t> </a:t>
                </a:r>
                <a:r>
                  <a:rPr lang="en-US" sz="802" b="0" i="0" u="none" strike="noStrike" baseline="0">
                    <a:solidFill>
                      <a:srgbClr val="000000"/>
                    </a:solidFill>
                    <a:latin typeface="Times New Roman"/>
                    <a:cs typeface="Times New Roman"/>
                  </a:rPr>
                  <a:t>no</a:t>
                </a:r>
                <a:r>
                  <a:rPr lang="en-US" sz="902" b="1" i="0" u="none" strike="noStrike" baseline="0">
                    <a:solidFill>
                      <a:srgbClr val="000000"/>
                    </a:solidFill>
                    <a:latin typeface="Times New Roman"/>
                    <a:cs typeface="Times New Roman"/>
                  </a:rPr>
                  <a:t>.</a:t>
                </a:r>
                <a:r>
                  <a:rPr lang="en-US" sz="802" b="0" i="0" u="none" strike="noStrike" baseline="0">
                    <a:solidFill>
                      <a:srgbClr val="000000"/>
                    </a:solidFill>
                    <a:latin typeface="Times New Roman"/>
                    <a:cs typeface="Times New Roman"/>
                  </a:rPr>
                  <a:t> of species</a:t>
                </a:r>
              </a:p>
            </c:rich>
          </c:tx>
          <c:layout>
            <c:manualLayout>
              <c:xMode val="edge"/>
              <c:yMode val="edge"/>
              <c:x val="4.090442005445416E-2"/>
              <c:y val="0.28965581267407081"/>
            </c:manualLayout>
          </c:layout>
          <c:overlay val="0"/>
          <c:spPr>
            <a:noFill/>
            <a:ln w="25454">
              <a:noFill/>
            </a:ln>
          </c:spPr>
        </c:title>
        <c:numFmt formatCode="General" sourceLinked="1"/>
        <c:majorTickMark val="none"/>
        <c:minorTickMark val="none"/>
        <c:tickLblPos val="nextTo"/>
        <c:spPr>
          <a:noFill/>
          <a:ln w="9545" cap="flat" cmpd="sng" algn="ctr">
            <a:solidFill>
              <a:schemeClr val="dk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2" b="0" i="0" u="none" strike="noStrike" kern="1200" baseline="0">
                <a:solidFill>
                  <a:schemeClr val="tx1"/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en-US"/>
          </a:p>
        </c:txPr>
        <c:crossAx val="356769472"/>
        <c:crosses val="autoZero"/>
        <c:crossBetween val="between"/>
      </c:valAx>
      <c:catAx>
        <c:axId val="356768296"/>
        <c:scaling>
          <c:orientation val="minMax"/>
        </c:scaling>
        <c:delete val="1"/>
        <c:axPos val="b"/>
        <c:majorTickMark val="out"/>
        <c:minorTickMark val="none"/>
        <c:tickLblPos val="none"/>
        <c:crossAx val="356769864"/>
        <c:crosses val="autoZero"/>
        <c:auto val="1"/>
        <c:lblAlgn val="ctr"/>
        <c:lblOffset val="100"/>
        <c:noMultiLvlLbl val="0"/>
      </c:catAx>
      <c:valAx>
        <c:axId val="356769864"/>
        <c:scaling>
          <c:orientation val="minMax"/>
        </c:scaling>
        <c:delete val="0"/>
        <c:axPos val="r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802" b="0" i="0" u="none" strike="noStrike" kern="1200" cap="all" baseline="0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r>
                  <a:rPr lang="en-US" sz="802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 n</a:t>
                </a:r>
                <a:r>
                  <a:rPr lang="en-US" sz="802" u="none" baseline="0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o</a:t>
                </a:r>
                <a:r>
                  <a:rPr lang="en-US" sz="902" b="1" u="none" baseline="0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.</a:t>
                </a:r>
                <a:r>
                  <a:rPr lang="en-US" sz="802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of specie</a:t>
                </a:r>
              </a:p>
            </c:rich>
          </c:tx>
          <c:layout>
            <c:manualLayout>
              <c:xMode val="edge"/>
              <c:yMode val="edge"/>
              <c:x val="0.96979051642313974"/>
              <c:y val="0.42219830599777675"/>
            </c:manualLayout>
          </c:layout>
          <c:overlay val="0"/>
          <c:spPr>
            <a:noFill/>
            <a:ln w="25454">
              <a:noFill/>
            </a:ln>
          </c:spPr>
        </c:title>
        <c:numFmt formatCode="General" sourceLinked="1"/>
        <c:majorTickMark val="out"/>
        <c:minorTickMark val="none"/>
        <c:tickLblPos val="nextTo"/>
        <c:spPr>
          <a:noFill/>
          <a:ln w="9545" cap="flat" cmpd="sng" algn="ctr">
            <a:solidFill>
              <a:schemeClr val="dk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2" b="0" i="0" u="none" strike="noStrike" kern="1200" baseline="0">
                <a:solidFill>
                  <a:schemeClr val="tx1"/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en-US"/>
          </a:p>
        </c:txPr>
        <c:crossAx val="356768296"/>
        <c:crosses val="max"/>
        <c:crossBetween val="between"/>
      </c:valAx>
      <c:spPr>
        <a:noFill/>
        <a:ln w="25454">
          <a:noFill/>
        </a:ln>
      </c:spPr>
    </c:plotArea>
    <c:legend>
      <c:legendPos val="t"/>
      <c:layout>
        <c:manualLayout>
          <c:xMode val="edge"/>
          <c:yMode val="edge"/>
          <c:x val="6.9506124977162298E-2"/>
          <c:y val="1.2200483673165325E-2"/>
          <c:w val="0.90795378081984179"/>
          <c:h val="0.12941214225951014"/>
        </c:manualLayout>
      </c:layout>
      <c:overlay val="0"/>
      <c:spPr>
        <a:noFill/>
        <a:ln w="25454">
          <a:noFill/>
        </a:ln>
      </c:spPr>
      <c:txPr>
        <a:bodyPr rot="0" spcFirstLastPara="1" vertOverflow="ellipsis" vert="horz" wrap="square" anchor="ctr" anchorCtr="1"/>
        <a:lstStyle/>
        <a:p>
          <a:pPr>
            <a:defRPr sz="902" b="0" i="0" u="none" strike="noStrike" kern="1200" baseline="0">
              <a:solidFill>
                <a:schemeClr val="tx1"/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lt1"/>
    </a:solidFill>
    <a:ln w="954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2">
    <c:autoUpdate val="0"/>
  </c:externalData>
  <c:userShapes r:id="rId3"/>
</c:chartSpace>
</file>

<file path=word/drawings/_rels/drawing1.xml.rels><?xml version="1.0" encoding="UTF-8" standalone="yes"?>
<Relationships xmlns="http://schemas.openxmlformats.org/package/2006/relationships"><Relationship Id="rId1" Type="http://schemas.openxmlformats.org/officeDocument/2006/relationships/image" Target="../media/image3.emf"/></Relationships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</cdr:x>
      <cdr:y>0.48145</cdr:y>
    </cdr:from>
    <cdr:to>
      <cdr:x>1</cdr:x>
      <cdr:y>0.80921</cdr:y>
    </cdr:to>
    <cdr:pic>
      <cdr:nvPicPr>
        <cdr:cNvPr id="2" name="chart"/>
        <cdr:cNvPicPr>
          <a:picLocks xmlns:a="http://schemas.openxmlformats.org/drawingml/2006/main" noChangeAspect="1"/>
        </cdr:cNvPicPr>
      </cdr:nvPicPr>
      <cdr:blipFill>
        <a:blip xmlns:a="http://schemas.openxmlformats.org/drawingml/2006/main" xmlns:r="http://schemas.openxmlformats.org/officeDocument/2006/relationships" r:embed="rId1"/>
        <a:stretch xmlns:a="http://schemas.openxmlformats.org/drawingml/2006/main">
          <a:fillRect/>
        </a:stretch>
      </cdr:blipFill>
      <cdr:spPr>
        <a:xfrm xmlns:a="http://schemas.openxmlformats.org/drawingml/2006/main" rot="11889351">
          <a:off x="-828130" y="2154740"/>
          <a:ext cx="5715000" cy="1466850"/>
        </a:xfrm>
        <a:prstGeom xmlns:a="http://schemas.openxmlformats.org/drawingml/2006/main" prst="rect">
          <a:avLst/>
        </a:prstGeom>
      </cdr:spPr>
    </cdr:pic>
  </cdr:relSizeAnchor>
</c:userShape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4</Pages>
  <Words>53</Words>
  <Characters>304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Girma</dc:creator>
  <cp:keywords/>
  <dc:description/>
  <cp:lastModifiedBy>Girma</cp:lastModifiedBy>
  <cp:revision>5</cp:revision>
  <dcterms:created xsi:type="dcterms:W3CDTF">2022-06-22T07:12:00Z</dcterms:created>
  <dcterms:modified xsi:type="dcterms:W3CDTF">2022-06-22T07:25:00Z</dcterms:modified>
</cp:coreProperties>
</file>