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D4E" w:rsidRPr="00025B69" w:rsidRDefault="007F2231" w:rsidP="00FF2D4E">
      <w:pPr>
        <w:widowControl/>
        <w:spacing w:line="360" w:lineRule="auto"/>
        <w:jc w:val="center"/>
        <w:rPr>
          <w:rFonts w:ascii="Times New Roman" w:eastAsia="宋体" w:hAnsi="Times New Roman"/>
          <w:b/>
          <w:bCs/>
          <w:color w:val="000000"/>
          <w:kern w:val="0"/>
          <w:szCs w:val="21"/>
        </w:rPr>
      </w:pPr>
      <w:r w:rsidRPr="00025B69">
        <w:rPr>
          <w:rFonts w:ascii="Times New Roman" w:eastAsia="宋体" w:hAnsi="Times New Roman"/>
          <w:b/>
          <w:bCs/>
          <w:color w:val="000000"/>
          <w:kern w:val="0"/>
          <w:szCs w:val="21"/>
        </w:rPr>
        <w:t>TABLE 1</w:t>
      </w:r>
      <w:r>
        <w:rPr>
          <w:rFonts w:ascii="Times New Roman" w:eastAsia="宋体" w:hAnsi="Times New Roman"/>
          <w:b/>
          <w:bCs/>
          <w:color w:val="000000"/>
          <w:kern w:val="0"/>
          <w:szCs w:val="21"/>
        </w:rPr>
        <w:t xml:space="preserve"> </w:t>
      </w:r>
      <w:r w:rsidR="00FF2D4E" w:rsidRPr="00865D86">
        <w:rPr>
          <w:rFonts w:ascii="Times New Roman" w:hAnsi="Times New Roman"/>
        </w:rPr>
        <w:t>C</w:t>
      </w:r>
      <w:r w:rsidR="00FF2D4E" w:rsidRPr="00025B69">
        <w:rPr>
          <w:rFonts w:ascii="Times New Roman" w:eastAsia="宋体" w:hAnsi="Times New Roman"/>
          <w:b/>
          <w:bCs/>
          <w:color w:val="000000"/>
          <w:kern w:val="0"/>
          <w:szCs w:val="21"/>
        </w:rPr>
        <w:t xml:space="preserve">linical and molecular features of </w:t>
      </w:r>
      <w:r w:rsidR="00A64E95"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patients</w:t>
      </w:r>
      <w:r w:rsidR="00A64E95">
        <w:rPr>
          <w:rFonts w:ascii="Times New Roman" w:eastAsia="宋体" w:hAnsi="Times New Roman"/>
          <w:b/>
          <w:bCs/>
          <w:color w:val="000000"/>
          <w:kern w:val="0"/>
          <w:szCs w:val="21"/>
        </w:rPr>
        <w:t xml:space="preserve"> </w:t>
      </w:r>
      <w:r w:rsidR="00A64E95"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with</w:t>
      </w:r>
      <w:r w:rsidR="00A64E95">
        <w:rPr>
          <w:rFonts w:ascii="Times New Roman" w:eastAsia="宋体" w:hAnsi="Times New Roman"/>
          <w:b/>
          <w:bCs/>
          <w:color w:val="000000"/>
          <w:kern w:val="0"/>
          <w:szCs w:val="21"/>
        </w:rPr>
        <w:t xml:space="preserve"> </w:t>
      </w:r>
      <w:r w:rsidR="00FF2D4E" w:rsidRPr="00025B69"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i</w:t>
      </w:r>
      <w:r w:rsidR="00FF2D4E" w:rsidRPr="00025B69">
        <w:rPr>
          <w:rFonts w:ascii="Times New Roman" w:eastAsia="宋体" w:hAnsi="Times New Roman"/>
          <w:b/>
          <w:bCs/>
          <w:color w:val="000000"/>
          <w:kern w:val="0"/>
          <w:szCs w:val="21"/>
        </w:rPr>
        <w:t>nfant ALL</w:t>
      </w:r>
      <w:bookmarkStart w:id="0" w:name="_GoBack"/>
      <w:bookmarkEnd w:id="0"/>
    </w:p>
    <w:tbl>
      <w:tblPr>
        <w:tblW w:w="16096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502"/>
        <w:gridCol w:w="567"/>
        <w:gridCol w:w="709"/>
        <w:gridCol w:w="773"/>
        <w:gridCol w:w="645"/>
        <w:gridCol w:w="631"/>
        <w:gridCol w:w="3196"/>
        <w:gridCol w:w="1134"/>
        <w:gridCol w:w="2693"/>
        <w:gridCol w:w="1134"/>
        <w:gridCol w:w="851"/>
        <w:gridCol w:w="1276"/>
        <w:gridCol w:w="850"/>
        <w:gridCol w:w="851"/>
      </w:tblGrid>
      <w:tr w:rsidR="00FF2D4E" w:rsidRPr="00025B69" w:rsidTr="00FF2D4E">
        <w:trPr>
          <w:trHeight w:val="227"/>
          <w:jc w:val="center"/>
        </w:trPr>
        <w:tc>
          <w:tcPr>
            <w:tcW w:w="28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No.</w:t>
            </w:r>
          </w:p>
        </w:tc>
        <w:tc>
          <w:tcPr>
            <w:tcW w:w="50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Age</w:t>
            </w: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（</w:t>
            </w: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m</w:t>
            </w: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）</w:t>
            </w:r>
          </w:p>
        </w:tc>
        <w:tc>
          <w:tcPr>
            <w:tcW w:w="567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Sex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Cell Origin</w:t>
            </w:r>
          </w:p>
        </w:tc>
        <w:tc>
          <w:tcPr>
            <w:tcW w:w="773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WBC(*10</w:t>
            </w:r>
            <w:r w:rsidRPr="00BD0F07">
              <w:rPr>
                <w:rFonts w:ascii="Arial" w:hAnsi="Arial" w:cs="Arial"/>
                <w:color w:val="000000"/>
                <w:sz w:val="15"/>
                <w:szCs w:val="15"/>
                <w:vertAlign w:val="superscript"/>
              </w:rPr>
              <w:t>9</w:t>
            </w: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/L)</w:t>
            </w:r>
          </w:p>
        </w:tc>
        <w:tc>
          <w:tcPr>
            <w:tcW w:w="645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HGB</w:t>
            </w: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（</w:t>
            </w: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g/L</w:t>
            </w: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）</w:t>
            </w:r>
          </w:p>
        </w:tc>
        <w:tc>
          <w:tcPr>
            <w:tcW w:w="631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PLT(*10</w:t>
            </w:r>
            <w:r w:rsidRPr="00BD0F07">
              <w:rPr>
                <w:rFonts w:ascii="Arial" w:hAnsi="Arial" w:cs="Arial"/>
                <w:color w:val="000000"/>
                <w:sz w:val="15"/>
                <w:szCs w:val="15"/>
                <w:vertAlign w:val="superscript"/>
              </w:rPr>
              <w:t>9</w:t>
            </w: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/L)</w:t>
            </w:r>
          </w:p>
        </w:tc>
        <w:tc>
          <w:tcPr>
            <w:tcW w:w="319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313131"/>
                <w:sz w:val="15"/>
                <w:szCs w:val="15"/>
              </w:rPr>
            </w:pPr>
            <w:r w:rsidRPr="00025B69">
              <w:rPr>
                <w:rFonts w:ascii="Arial" w:hAnsi="Arial" w:cs="Arial"/>
                <w:color w:val="313131"/>
                <w:sz w:val="15"/>
                <w:szCs w:val="15"/>
              </w:rPr>
              <w:t>Karyotype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KMT2A-r</w:t>
            </w:r>
          </w:p>
        </w:tc>
        <w:tc>
          <w:tcPr>
            <w:tcW w:w="2693" w:type="dxa"/>
            <w:tcBorders>
              <w:bottom w:val="single" w:sz="6" w:space="0" w:color="000000"/>
            </w:tcBorders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313131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313131"/>
                <w:sz w:val="15"/>
                <w:szCs w:val="15"/>
              </w:rPr>
              <w:t>Mutation gene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313131"/>
                <w:sz w:val="15"/>
                <w:szCs w:val="15"/>
              </w:rPr>
            </w:pPr>
            <w:r w:rsidRPr="00025B69">
              <w:rPr>
                <w:rFonts w:ascii="Arial" w:hAnsi="Arial" w:cs="Arial"/>
                <w:color w:val="313131"/>
                <w:sz w:val="15"/>
                <w:szCs w:val="15"/>
              </w:rPr>
              <w:t>Chemotherapy</w:t>
            </w:r>
          </w:p>
        </w:tc>
        <w:tc>
          <w:tcPr>
            <w:tcW w:w="851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HSCT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Relapse/time after diagnosis</w:t>
            </w: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（</w:t>
            </w: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m</w:t>
            </w: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）</w:t>
            </w:r>
          </w:p>
        </w:tc>
        <w:tc>
          <w:tcPr>
            <w:tcW w:w="850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Follow-up</w:t>
            </w: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（</w:t>
            </w: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m</w:t>
            </w: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）</w:t>
            </w:r>
          </w:p>
        </w:tc>
        <w:tc>
          <w:tcPr>
            <w:tcW w:w="851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Outcome</w:t>
            </w:r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50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Male</w:t>
            </w:r>
          </w:p>
        </w:tc>
        <w:tc>
          <w:tcPr>
            <w:tcW w:w="709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40.52</w:t>
            </w:r>
          </w:p>
        </w:tc>
        <w:tc>
          <w:tcPr>
            <w:tcW w:w="645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36</w:t>
            </w:r>
          </w:p>
        </w:tc>
        <w:tc>
          <w:tcPr>
            <w:tcW w:w="631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27</w:t>
            </w:r>
          </w:p>
        </w:tc>
        <w:tc>
          <w:tcPr>
            <w:tcW w:w="319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113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2693" w:type="dxa"/>
            <w:tcBorders>
              <w:top w:val="single" w:sz="6" w:space="0" w:color="000000"/>
            </w:tcBorders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113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  <w:r w:rsidRPr="00BD0F07">
              <w:rPr>
                <w:rFonts w:ascii="Arial" w:hAnsi="Arial" w:cs="Arial"/>
                <w:color w:val="000000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851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850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spell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exitus</w:t>
            </w:r>
            <w:proofErr w:type="spellEnd"/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Female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442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43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spell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exitus</w:t>
            </w:r>
            <w:proofErr w:type="spellEnd"/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513.07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73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61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spell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exitus</w:t>
            </w:r>
            <w:proofErr w:type="spellEnd"/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Female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121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79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110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Female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46.4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93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50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46,XX</w:t>
            </w:r>
            <w:proofErr w:type="gramEnd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,t(11;13)(q23;q22)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KMT2A/AFF1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  <w:r w:rsidRPr="00BD0F07">
              <w:rPr>
                <w:rFonts w:ascii="Arial" w:hAnsi="Arial" w:cs="Arial"/>
                <w:color w:val="000000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spell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exitus</w:t>
            </w:r>
            <w:proofErr w:type="spellEnd"/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67.65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96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229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KMT2A/AFF1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spell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exitus</w:t>
            </w:r>
            <w:proofErr w:type="spellEnd"/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39.7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54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24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46,XY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KMT2A/MLLT10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None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  <w:r w:rsidRPr="00BD0F07">
              <w:rPr>
                <w:rFonts w:ascii="Arial" w:hAnsi="Arial" w:cs="Arial"/>
                <w:color w:val="000000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spell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exitus</w:t>
            </w:r>
            <w:proofErr w:type="spellEnd"/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Female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21.1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24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36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46,XX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TTN,NOTCH</w:t>
            </w:r>
            <w:proofErr w:type="gramEnd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  <w:r w:rsidRPr="00BD0F07">
              <w:rPr>
                <w:rFonts w:ascii="Arial" w:hAnsi="Arial" w:cs="Arial"/>
                <w:color w:val="000000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spell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exitus</w:t>
            </w:r>
            <w:proofErr w:type="spellEnd"/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74.92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104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144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46,XY</w:t>
            </w:r>
            <w:proofErr w:type="gramEnd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,t(4,11)(q21;q23)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KMT2A/AFF1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KRAS,GATA</w:t>
            </w:r>
            <w:proofErr w:type="gramEnd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2,GATA1,EPPK1,PML,PDGFRA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  <w:r w:rsidRPr="00BD0F07">
              <w:rPr>
                <w:rFonts w:ascii="Arial" w:hAnsi="Arial" w:cs="Arial"/>
                <w:color w:val="000000"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spell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exitus</w:t>
            </w:r>
            <w:proofErr w:type="spellEnd"/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24d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211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120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24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46,XY,t(4,11)(q21;q23</w:t>
            </w: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）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KMT2A/AFF1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PTPN</w:t>
            </w: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11,KRAS</w:t>
            </w:r>
            <w:proofErr w:type="gramEnd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,TTN,NCOR1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spell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exitus</w:t>
            </w:r>
            <w:proofErr w:type="spellEnd"/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28d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Female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46.14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78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46,XX,t(9,11)(p22;q23</w:t>
            </w: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）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spell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exitus</w:t>
            </w:r>
            <w:proofErr w:type="spellEnd"/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12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33.46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97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56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46,XY</w:t>
            </w:r>
            <w:proofErr w:type="gramEnd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,del(9)(p21)[13]/47,idem,+?21[3]/46,XY[4]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KMT2A/MLLT3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NF</w:t>
            </w: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1,KRAS</w:t>
            </w:r>
            <w:proofErr w:type="gramEnd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,TTN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remission</w:t>
            </w:r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13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15.29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66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47,XY</w:t>
            </w:r>
            <w:proofErr w:type="gramEnd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,+X[2]/46,XY[1]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KMT2A-r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38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remission</w:t>
            </w:r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470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66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72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46,XY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KMT2A/AFF1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None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spell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exitus</w:t>
            </w:r>
            <w:proofErr w:type="spellEnd"/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15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6.46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60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66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 cell division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33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remission</w:t>
            </w:r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18.04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77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235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 cell division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None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remission</w:t>
            </w:r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17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Female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41.69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72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111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46,XX</w:t>
            </w:r>
            <w:proofErr w:type="gramEnd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,del(14)(q13),add(20)(q11,2)[2]/46,XX[18]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KMT2A-r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None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Yes/10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spell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exitus</w:t>
            </w:r>
            <w:proofErr w:type="spellEnd"/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Female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313.56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50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KMT2A/MLLT10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Yes/6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spell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exitus</w:t>
            </w:r>
            <w:proofErr w:type="spellEnd"/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Female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33.8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237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46,XX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None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remission</w:t>
            </w:r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26.4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77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69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46,XX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KMT2A/MLLT10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KDM2B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remission</w:t>
            </w:r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21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Female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148.12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73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34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46,XX</w:t>
            </w:r>
            <w:proofErr w:type="gramEnd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,t(4,11)(q21;q23)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KMT2A/AFF1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TTN,NRAS</w:t>
            </w:r>
            <w:proofErr w:type="gramEnd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,PTPN11,KRAS,TP53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Yes/4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spell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exitus</w:t>
            </w:r>
            <w:proofErr w:type="spellEnd"/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Female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61.78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110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505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46,XX</w:t>
            </w:r>
            <w:proofErr w:type="gramEnd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,-4,-14,add(19)(q13),+2mar[5]/46,XX,[15]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TET</w:t>
            </w: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2,ASXL</w:t>
            </w:r>
            <w:proofErr w:type="gramEnd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Yes/12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63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remission</w:t>
            </w:r>
          </w:p>
        </w:tc>
      </w:tr>
      <w:tr w:rsidR="00FF2D4E" w:rsidRPr="00025B69" w:rsidTr="00FF2D4E">
        <w:trPr>
          <w:trHeight w:val="22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23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Female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B cell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17.16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81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21</w:t>
            </w:r>
          </w:p>
        </w:tc>
        <w:tc>
          <w:tcPr>
            <w:tcW w:w="319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46,XX</w:t>
            </w:r>
            <w:proofErr w:type="gramEnd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,t(4,11)(q21;q23)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KMT2A/AFF1</w:t>
            </w:r>
          </w:p>
        </w:tc>
        <w:tc>
          <w:tcPr>
            <w:tcW w:w="2693" w:type="dxa"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NRAS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 w:hint="eastAsia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D4E" w:rsidRPr="00BD0F07" w:rsidRDefault="00FF2D4E" w:rsidP="00FF2D4E">
            <w:pPr>
              <w:spacing w:line="160" w:lineRule="exact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spellStart"/>
            <w:r w:rsidRPr="00BD0F07">
              <w:rPr>
                <w:rFonts w:ascii="Arial" w:hAnsi="Arial" w:cs="Arial"/>
                <w:color w:val="000000"/>
                <w:sz w:val="15"/>
                <w:szCs w:val="15"/>
              </w:rPr>
              <w:t>exitus</w:t>
            </w:r>
            <w:proofErr w:type="spellEnd"/>
          </w:p>
        </w:tc>
      </w:tr>
    </w:tbl>
    <w:p w:rsidR="00FF2D4E" w:rsidRPr="00BD0F07" w:rsidRDefault="00FF2D4E" w:rsidP="00FF2D4E">
      <w:pPr>
        <w:widowControl/>
        <w:jc w:val="left"/>
        <w:rPr>
          <w:rFonts w:ascii="Times New Roman" w:hAnsi="Times New Roman"/>
          <w:color w:val="000000"/>
          <w:kern w:val="0"/>
          <w:sz w:val="15"/>
          <w:szCs w:val="15"/>
        </w:rPr>
      </w:pPr>
      <w:r w:rsidRPr="00025B69">
        <w:rPr>
          <w:rFonts w:ascii="Times New Roman" w:hAnsi="Times New Roman"/>
          <w:color w:val="000000"/>
          <w:kern w:val="0"/>
          <w:sz w:val="15"/>
          <w:szCs w:val="15"/>
        </w:rPr>
        <w:t xml:space="preserve">No.: number; </w:t>
      </w:r>
      <w:r w:rsidRPr="00BD0F07">
        <w:rPr>
          <w:rFonts w:ascii="Times New Roman" w:hAnsi="Times New Roman"/>
          <w:color w:val="000000"/>
          <w:kern w:val="0"/>
          <w:sz w:val="15"/>
          <w:szCs w:val="15"/>
        </w:rPr>
        <w:t>m: months; d: day; KMT2A-r: KMT2A rearrangement; HSCT:</w:t>
      </w:r>
      <w:r w:rsidRPr="00BD0F07">
        <w:rPr>
          <w:rFonts w:ascii="Times New Roman" w:hAnsi="Times New Roman"/>
          <w:sz w:val="15"/>
          <w:szCs w:val="15"/>
        </w:rPr>
        <w:t xml:space="preserve"> </w:t>
      </w:r>
      <w:r w:rsidRPr="00BD0F07">
        <w:rPr>
          <w:rFonts w:ascii="Times New Roman" w:hAnsi="Times New Roman"/>
          <w:color w:val="000000"/>
          <w:kern w:val="0"/>
          <w:sz w:val="15"/>
          <w:szCs w:val="15"/>
        </w:rPr>
        <w:t>Hematopoietic Stem Cell Transplantation;</w:t>
      </w:r>
      <w:r w:rsidRPr="00BD0F07">
        <w:rPr>
          <w:rFonts w:ascii="Times New Roman" w:hAnsi="Times New Roman"/>
          <w:color w:val="000000"/>
          <w:sz w:val="15"/>
          <w:szCs w:val="15"/>
        </w:rPr>
        <w:t xml:space="preserve"> </w:t>
      </w:r>
      <w:r w:rsidRPr="00BD0F07">
        <w:rPr>
          <w:rFonts w:ascii="Times New Roman" w:hAnsi="Times New Roman" w:hint="eastAsia"/>
          <w:color w:val="000000"/>
          <w:sz w:val="15"/>
          <w:szCs w:val="15"/>
        </w:rPr>
        <w:t>—</w:t>
      </w:r>
      <w:r w:rsidRPr="00BD0F07">
        <w:rPr>
          <w:rFonts w:ascii="Times New Roman" w:hAnsi="Times New Roman"/>
          <w:color w:val="000000"/>
          <w:sz w:val="15"/>
          <w:szCs w:val="15"/>
        </w:rPr>
        <w:t>: lack of information; Yes</w:t>
      </w:r>
      <w:r w:rsidRPr="00BD0F07">
        <w:rPr>
          <w:rFonts w:ascii="Times New Roman" w:hAnsi="Times New Roman"/>
          <w:color w:val="000000"/>
          <w:sz w:val="15"/>
          <w:szCs w:val="15"/>
          <w:vertAlign w:val="superscript"/>
        </w:rPr>
        <w:t>*</w:t>
      </w:r>
      <w:r w:rsidRPr="00BD0F07">
        <w:rPr>
          <w:rFonts w:ascii="Times New Roman" w:hAnsi="Times New Roman"/>
          <w:color w:val="000000"/>
          <w:sz w:val="15"/>
          <w:szCs w:val="15"/>
        </w:rPr>
        <w:t>: patients who received short</w:t>
      </w:r>
      <w:r>
        <w:rPr>
          <w:rFonts w:ascii="Times New Roman" w:hAnsi="Times New Roman"/>
          <w:color w:val="000000"/>
          <w:sz w:val="15"/>
          <w:szCs w:val="15"/>
        </w:rPr>
        <w:t xml:space="preserve">-term </w:t>
      </w:r>
      <w:r w:rsidRPr="00BD0F07">
        <w:rPr>
          <w:rFonts w:ascii="Times New Roman" w:hAnsi="Times New Roman"/>
          <w:color w:val="000000"/>
          <w:sz w:val="15"/>
          <w:szCs w:val="15"/>
        </w:rPr>
        <w:t>chemotherapy but unfinished VDLD regimen</w:t>
      </w:r>
    </w:p>
    <w:p w:rsidR="00FF2D4E" w:rsidRDefault="00FF2D4E"/>
    <w:sectPr w:rsidR="00FF2D4E" w:rsidSect="00332EBD">
      <w:pgSz w:w="15840" w:h="12240" w:orient="landscape" w:code="1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D4E"/>
    <w:rsid w:val="00070399"/>
    <w:rsid w:val="001F1EE9"/>
    <w:rsid w:val="003301B0"/>
    <w:rsid w:val="00332EBD"/>
    <w:rsid w:val="006E4CE7"/>
    <w:rsid w:val="007929C3"/>
    <w:rsid w:val="007F2231"/>
    <w:rsid w:val="00A01C8C"/>
    <w:rsid w:val="00A64E95"/>
    <w:rsid w:val="00F321C5"/>
    <w:rsid w:val="00FF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12400"/>
  <w15:chartTrackingRefBased/>
  <w15:docId w15:val="{8C3F22A8-1305-5948-83AA-477452499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engXian" w:eastAsia="DengXian" w:hAnsi="DengXi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2D4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3C6188-F0A1-0149-BBDF-352E3385C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2020-05-29T03:50:00Z</dcterms:created>
  <dcterms:modified xsi:type="dcterms:W3CDTF">2020-05-29T03:50:00Z</dcterms:modified>
</cp:coreProperties>
</file>