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335" w:type="dxa"/>
        <w:jc w:val="center"/>
        <w:tblInd w:w="-1758" w:type="dxa"/>
        <w:tblBorders>
          <w:top w:val="single" w:color="00000A" w:sz="4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6"/>
        <w:gridCol w:w="3499"/>
      </w:tblGrid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335" w:type="dxa"/>
            <w:gridSpan w:val="2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outlineLvl w:val="9"/>
              <w:rPr>
                <w:rFonts w:ascii="Times New Roman" w:hAnsi="Times New Roman"/>
                <w:b/>
              </w:rPr>
            </w:pPr>
            <w:bookmarkStart w:id="0" w:name="_GoBack"/>
            <w:r>
              <w:rPr>
                <w:rFonts w:ascii="Times New Roman" w:hAnsi="Times New Roman"/>
                <w:b/>
              </w:rPr>
              <w:t>Demographics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4836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b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GB"/>
              </w:rPr>
              <w:t>Total, no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  <w:t>Sex, No (%)</w:t>
            </w:r>
            <w:r>
              <w:rPr>
                <w:rFonts w:hint="default" w:ascii="Times New Roman" w:hAnsi="Times New Roman" w:cs="Times New Roman"/>
                <w:color w:val="00000A"/>
                <w:sz w:val="22"/>
                <w:szCs w:val="22"/>
              </w:rPr>
              <w:t>: Female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firstLine="1210" w:firstLineChars="550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2"/>
                <w:szCs w:val="22"/>
              </w:rPr>
              <w:t>Male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GB"/>
              </w:rPr>
              <w:t xml:space="preserve">Age,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me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di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an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[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P25-P75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]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, years</w:t>
            </w:r>
          </w:p>
        </w:tc>
        <w:tc>
          <w:tcPr>
            <w:tcW w:w="3499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fr"/>
              </w:rPr>
              <w:t>568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GB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260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 xml:space="preserve"> (4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5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 xml:space="preserve">77 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>%)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308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 xml:space="preserve"> (5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t>%)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  <w:t xml:space="preserve">52 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[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32-65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]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fr"/>
              </w:rPr>
              <w:t xml:space="preserve"> years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836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Outpatients (ambulatory)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, </w:t>
            </w: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  <w:t>No (%)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20" w:leftChars="1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Distance to hospital, me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di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an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[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P25-P75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]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</w:rPr>
              <w:t>, Km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Inpatients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, </w:t>
            </w: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  <w:t>No (%)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Inpatients from another hospital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, </w:t>
            </w: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  <w:t>No (%)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Inpatients from nursing home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, </w:t>
            </w: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  <w:lang w:val="en-GB"/>
              </w:rPr>
              <w:t>No (%)</w:t>
            </w:r>
          </w:p>
        </w:tc>
        <w:tc>
          <w:tcPr>
            <w:tcW w:w="3499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529 (93.30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%)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17 [11-31]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Kilometers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34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(6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.00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.1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8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3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(0.5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3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8335" w:type="dxa"/>
            <w:gridSpan w:val="2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  <w:t>ENT History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36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days ENT history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None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ENT outpatient clinic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ENT inpatient treatment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ENT surgical treatment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ENT Cancer history</w:t>
            </w:r>
          </w:p>
        </w:tc>
        <w:tc>
          <w:tcPr>
            <w:tcW w:w="3499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306 (53.87 %)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165 (29.05 %)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2 (0.35 %)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95 (16.73 %)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126 (22.18 %)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5" w:type="dxa"/>
            <w:gridSpan w:val="2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Admissions and Referrals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36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Normal working hours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(weekdays, 8:00-18:00)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Outside business hours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Nighttime on weekdays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Daytime on weekend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Nighttime on weekend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Monday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Tuesday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Wednesday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Thursday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Friday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Saturday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Sunday</w:t>
            </w:r>
          </w:p>
        </w:tc>
        <w:tc>
          <w:tcPr>
            <w:tcW w:w="3499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558 (98.24 %)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 (0.18 %)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6 (1.06 %)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3 (0.53 %)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126 (22.18 %)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108 (19.01 %)   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154 (27.11 %)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80 (14.08 %)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91 (16.02 %)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3 (0.53 %)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6 (1.06 %)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36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Without appointment (emergency)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With appointment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Post-operative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Cancer follow’up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Others</w:t>
            </w:r>
          </w:p>
        </w:tc>
        <w:tc>
          <w:tcPr>
            <w:tcW w:w="3499" w:type="dxa"/>
            <w:tcBorders>
              <w:top w:val="single" w:color="000001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206 (36.33 %)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128 (22.57 %)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50 (8.82 %)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184 (32.39 %)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836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Self-reference patients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Referred patients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By General Practitioners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By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emergency physician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By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ENT specialist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By another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physician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Referral mean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Remotely (by phone / telemedicine)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40" w:leftChars="2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After physical exam by the referring physician</w:t>
            </w:r>
          </w:p>
        </w:tc>
        <w:tc>
          <w:tcPr>
            <w:tcW w:w="3499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(16.73 %)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29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(5.33 %)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38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(6.99 %)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340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(62.50 %)              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46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(8.46 %)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110 (20.22 %)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434 (79.78 %)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836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Laryngeal or Head &amp; Neck complaint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Otological or Neurovestibular complaint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Nose or Sinus complaint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Other complaint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20" w:leftChars="100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C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omplaint duration prior admission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,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20" w:leftChars="100"/>
              <w:jc w:val="center"/>
              <w:textAlignment w:val="auto"/>
              <w:outlineLvl w:val="9"/>
              <w:rPr>
                <w:rFonts w:hint="default" w:ascii="Times New Roman" w:hAnsi="Times New Roman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M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di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an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 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[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P25-P75</w:t>
            </w:r>
            <w:r>
              <w:rPr>
                <w:rFonts w:hint="default" w:ascii="aakar" w:hAnsi="aakar" w:cs="aakar"/>
                <w:sz w:val="22"/>
                <w:szCs w:val="22"/>
                <w:rtl w:val="0"/>
                <w:lang w:val="en-US"/>
              </w:rPr>
              <w:t>]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22"/>
                <w:szCs w:val="22"/>
                <w:rtl w:val="0"/>
                <w:lang w:val="fr"/>
              </w:rPr>
              <w:t>days</w:t>
            </w:r>
          </w:p>
        </w:tc>
        <w:tc>
          <w:tcPr>
            <w:tcW w:w="3499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230 (40.49 %)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240 (42.25 %)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91 (16.02 %)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7 (1.23 %)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en-US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" w:left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en-US"/>
              </w:rPr>
              <w:t>27 [10-69]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 xml:space="preserve"> days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836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Need for ENT adjunctive testing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Need for other adjunctive testing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Call an ENT colleague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Call another specialist colleague</w:t>
            </w:r>
          </w:p>
        </w:tc>
        <w:tc>
          <w:tcPr>
            <w:tcW w:w="3499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en-US"/>
              </w:rPr>
              <w:t xml:space="preserve">379 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(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en-US"/>
              </w:rPr>
              <w:t xml:space="preserve">66.73 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181 (31.87 %)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57 (10.04 %)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u w:color="000000"/>
                <w:rtl w:val="0"/>
                <w:lang w:val="fr"/>
              </w:rPr>
              <w:t>53 (9.33 %)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8335" w:type="dxa"/>
            <w:gridSpan w:val="2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Management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836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  <w:t>No specific ENT treatment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  <w:t>Ambulatory treatment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  <w:t>Minor ENT procedure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  <w:t>Inpatient treatment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  <w:t>Surgical management</w:t>
            </w:r>
          </w:p>
        </w:tc>
        <w:tc>
          <w:tcPr>
            <w:tcW w:w="3499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fr" w:eastAsia="zh-CN" w:bidi="ar"/>
              </w:rPr>
              <w:t>157 (27.64 %)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fr" w:eastAsia="zh-CN" w:bidi="ar"/>
              </w:rPr>
              <w:t xml:space="preserve">17 (20.60 %)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fr" w:eastAsia="zh-CN" w:bidi="ar"/>
              </w:rPr>
              <w:t>225 (39.61 %)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eastAsia="zh-CN" w:bidi="ar"/>
              </w:rPr>
              <w:t>7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fr" w:eastAsia="zh-CN" w:bidi="ar"/>
              </w:rPr>
              <w:t xml:space="preserve"> (1.23 %)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eastAsia="zh-CN" w:bidi="ar"/>
              </w:rPr>
              <w:t xml:space="preserve">62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fr" w:eastAsia="zh-CN" w:bidi="ar"/>
              </w:rPr>
              <w:t>(10.92 %)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335" w:type="dxa"/>
            <w:gridSpan w:val="2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30 days Outcome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836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ENT outpatient follow’up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Referral to another physician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Lost to follow’up /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 xml:space="preserve">telemedicine /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discharge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color w:val="00000A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Dead</w:t>
            </w:r>
          </w:p>
        </w:tc>
        <w:tc>
          <w:tcPr>
            <w:tcW w:w="3499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390 (68.66 %)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78 (13.73 %)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96 (16.90 %)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4 (0.70 %)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default"/>
          <w:lang w:val="f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default"/>
          <w:lang w:val="fr"/>
        </w:rPr>
      </w:pPr>
      <w:r>
        <w:rPr>
          <w:rFonts w:hint="default"/>
          <w:lang w:val="fr"/>
        </w:rPr>
        <w:t xml:space="preserve">        </w:t>
      </w:r>
      <w:bookmarkEnd w:id="0"/>
    </w:p>
    <w:sectPr>
      <w:pgSz w:w="11906" w:h="16838"/>
      <w:pgMar w:top="1440" w:right="1800" w:bottom="1440" w:left="180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formProt w:val="0"/>
      <w:docGrid w:linePitch="360" w:charSpace="21474836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Arial Unicode MS">
    <w:altName w:val="Times New Roman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776CB9"/>
    <w:multiLevelType w:val="singleLevel"/>
    <w:tmpl w:val="FE776CB9"/>
    <w:lvl w:ilvl="0" w:tentative="0">
      <w:start w:val="3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B3521"/>
    <w:rsid w:val="1EFF3683"/>
    <w:rsid w:val="2EFD16B9"/>
    <w:rsid w:val="32DFB493"/>
    <w:rsid w:val="3D5DA604"/>
    <w:rsid w:val="3E9F4D15"/>
    <w:rsid w:val="67EE85AE"/>
    <w:rsid w:val="6BCE75BD"/>
    <w:rsid w:val="6FBC95AA"/>
    <w:rsid w:val="6FFA44DE"/>
    <w:rsid w:val="6FFDB3D5"/>
    <w:rsid w:val="739B2D08"/>
    <w:rsid w:val="7BEF12C4"/>
    <w:rsid w:val="7DF7BC0D"/>
    <w:rsid w:val="7ED7709F"/>
    <w:rsid w:val="7EEE25F5"/>
    <w:rsid w:val="7FFFD8F2"/>
    <w:rsid w:val="8D375392"/>
    <w:rsid w:val="9FF6B292"/>
    <w:rsid w:val="BB33497E"/>
    <w:rsid w:val="BBF71536"/>
    <w:rsid w:val="CFEBEC6D"/>
    <w:rsid w:val="D76F0D84"/>
    <w:rsid w:val="E7FFAE1A"/>
    <w:rsid w:val="EBFF0484"/>
    <w:rsid w:val="EE6FCAEF"/>
    <w:rsid w:val="F377803D"/>
    <w:rsid w:val="F69AC2CB"/>
    <w:rsid w:val="F7EFE185"/>
    <w:rsid w:val="FB534BC6"/>
    <w:rsid w:val="FBA9BA7E"/>
    <w:rsid w:val="FBB788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nhideWhenUsed="0" w:uiPriority="0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bidi w:val="0"/>
      <w:spacing w:before="0" w:after="160" w:line="259" w:lineRule="auto"/>
      <w:jc w:val="left"/>
    </w:pPr>
    <w:rPr>
      <w:rFonts w:ascii="Calibri" w:hAnsi="Calibri" w:eastAsia="Calibri" w:cstheme="minorBidi"/>
      <w:color w:val="00000A"/>
      <w:sz w:val="22"/>
      <w:szCs w:val="22"/>
      <w:lang w:val="nl-BE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88" w:lineRule="auto"/>
    </w:pPr>
  </w:style>
  <w:style w:type="paragraph" w:styleId="3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4">
    <w:name w:val="HTML Preformatted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paragraph" w:styleId="5">
    <w:name w:val="List"/>
    <w:basedOn w:val="2"/>
    <w:qFormat/>
    <w:uiPriority w:val="0"/>
    <w:rPr>
      <w:rFonts w:cs="FreeSans"/>
    </w:rPr>
  </w:style>
  <w:style w:type="paragraph" w:customStyle="1" w:styleId="8">
    <w:name w:val="Heading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customStyle="1" w:styleId="9">
    <w:name w:val="Index"/>
    <w:basedOn w:val="1"/>
    <w:qFormat/>
    <w:uiPriority w:val="0"/>
    <w:pPr>
      <w:suppressLineNumbers/>
    </w:pPr>
    <w:rPr>
      <w:rFonts w:cs="FreeS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Ulg</Company>
  <Pages>1</Pages>
  <Words>210</Words>
  <Characters>851</Characters>
  <Paragraphs>84</Paragraphs>
  <TotalTime>30</TotalTime>
  <ScaleCrop>false</ScaleCrop>
  <LinksUpToDate>false</LinksUpToDate>
  <CharactersWithSpaces>987</CharactersWithSpaces>
  <Application>WPS Office_11.1.0.8865_F1E327BC-269C-435d-A152-05C5408002CA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2019-01-13T01:28:00Z</dcterms:created>
  <dc:creator>anne-lise</dc:creator>
  <cp:lastModifiedBy>anne-lise</cp:lastModifiedBy>
  <dcterms:modified xsi:type="dcterms:W3CDTF">2020-06-04T14:55:15Z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Ulg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1033-11.1.0.8865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