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090" w:type="dxa"/>
        <w:jc w:val="center"/>
        <w:tblInd w:w="-1869" w:type="dxa"/>
        <w:tblBorders>
          <w:top w:val="single" w:color="00000A" w:sz="4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2945"/>
      </w:tblGrid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090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Demographics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51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GB"/>
              </w:rPr>
              <w:t>Total, no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Sex, No (%)</w:t>
            </w:r>
            <w:r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  <w:t>: Female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firstLine="1210" w:firstLineChars="550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  <w:t>Male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GB"/>
              </w:rPr>
              <w:t xml:space="preserve">Age,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me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di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an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P25-P75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, years</w:t>
            </w:r>
          </w:p>
        </w:tc>
        <w:tc>
          <w:tcPr>
            <w:tcW w:w="29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fr"/>
              </w:rPr>
              <w:t>66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GB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20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 xml:space="preserve"> (30.3%)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81" w:afterLines="5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46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 xml:space="preserve"> (69.7%)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61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50.5-67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5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Patient’s origin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From home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From hospital</w:t>
            </w:r>
          </w:p>
        </w:tc>
        <w:tc>
          <w:tcPr>
            <w:tcW w:w="2945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54 (81.82%)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12 (18.18%)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090" w:type="dxa"/>
            <w:gridSpan w:val="2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CFCECE" w:themeFill="background2" w:themeFillShade="E5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Working Hours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5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Normal working hours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Outside business hours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Nighttime on weekdays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Daytime on weekend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Nighttime on weekend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Days of the week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Monday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Tuesday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Wednesday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Thursday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81" w:afterLines="5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Friday</w:t>
            </w:r>
          </w:p>
        </w:tc>
        <w:tc>
          <w:tcPr>
            <w:tcW w:w="2945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65 (98.48%)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1.52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1.52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0.00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0.00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2 (3.03%)       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25 (37.88%)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12 (18.18%)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18 (27.27%)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9 (13.64%)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8090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  <w:u w:color="000000"/>
                <w:rtl w:val="0"/>
                <w:lang w:val="fr"/>
              </w:rPr>
              <w:t>Surgery Type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51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Laryngeal or Head &amp; Neck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Surgery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Nose or Sinus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Surgery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81" w:afterLines="5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Otological or Neurovestibular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Surgery</w:t>
            </w:r>
          </w:p>
        </w:tc>
        <w:tc>
          <w:tcPr>
            <w:tcW w:w="29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63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95.45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(4.55%)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0.00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090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30 days Outcome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1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Lost to follow’up / discharge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ENT outpatient follow’up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Referral to another physician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81" w:afterLines="5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Dead</w:t>
            </w:r>
          </w:p>
        </w:tc>
        <w:tc>
          <w:tcPr>
            <w:tcW w:w="294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7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(10.61%)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5 (68.18%)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(16.67%)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1" w:afterLines="5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 (4.55%)</w:t>
            </w:r>
          </w:p>
        </w:tc>
      </w:tr>
    </w:tbl>
    <w:p>
      <w:pPr>
        <w:rPr>
          <w:rFonts w:hint="default"/>
        </w:rPr>
      </w:pPr>
      <w:bookmarkStart w:id="0" w:name="_GoBack"/>
      <w:bookmarkEnd w:id="0"/>
    </w:p>
    <w:sectPr>
      <w:pgSz w:w="11906" w:h="16838"/>
      <w:pgMar w:top="1440" w:right="1800" w:bottom="1440" w:left="180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formProt w:val="0"/>
      <w:docGrid w:linePitch="360" w:charSpace="21474836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 Unicode MS">
    <w:altName w:val="Times New Roman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F0CDB"/>
    <w:rsid w:val="67EE85AE"/>
    <w:rsid w:val="6FAEC34C"/>
    <w:rsid w:val="6FBC95AA"/>
    <w:rsid w:val="6FE3F778"/>
    <w:rsid w:val="6FFDB3D5"/>
    <w:rsid w:val="7ACEE2BD"/>
    <w:rsid w:val="7BEF12C4"/>
    <w:rsid w:val="7ED7709F"/>
    <w:rsid w:val="7F15509D"/>
    <w:rsid w:val="7F72C76C"/>
    <w:rsid w:val="8D375392"/>
    <w:rsid w:val="D37E4B9E"/>
    <w:rsid w:val="E7FFAE1A"/>
    <w:rsid w:val="FB534BC6"/>
    <w:rsid w:val="FBA9BA7E"/>
    <w:rsid w:val="FFFF9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bidi w:val="0"/>
      <w:spacing w:before="0" w:after="160" w:line="259" w:lineRule="auto"/>
      <w:jc w:val="left"/>
    </w:pPr>
    <w:rPr>
      <w:rFonts w:ascii="Calibri" w:hAnsi="Calibri" w:eastAsia="Calibri" w:cstheme="minorBidi"/>
      <w:color w:val="00000A"/>
      <w:sz w:val="22"/>
      <w:szCs w:val="22"/>
      <w:lang w:val="nl-BE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88" w:lineRule="auto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4">
    <w:name w:val="HTML Preformatted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5">
    <w:name w:val="List"/>
    <w:basedOn w:val="2"/>
    <w:qFormat/>
    <w:uiPriority w:val="0"/>
    <w:rPr>
      <w:rFonts w:cs="FreeSans"/>
    </w:rPr>
  </w:style>
  <w:style w:type="paragraph" w:customStyle="1" w:styleId="8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customStyle="1" w:styleId="9">
    <w:name w:val="Index"/>
    <w:basedOn w:val="1"/>
    <w:qFormat/>
    <w:uiPriority w:val="0"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Ulg</Company>
  <Pages>1</Pages>
  <Words>210</Words>
  <Characters>851</Characters>
  <Paragraphs>84</Paragraphs>
  <TotalTime>10</TotalTime>
  <ScaleCrop>false</ScaleCrop>
  <LinksUpToDate>false</LinksUpToDate>
  <CharactersWithSpaces>987</CharactersWithSpaces>
  <Application>WPS Office_11.1.0.8865_F1E327BC-269C-435d-A152-05C5408002CA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2019-01-12T21:28:00Z</dcterms:created>
  <dc:creator>anne-lise</dc:creator>
  <cp:lastModifiedBy>anne-lise</cp:lastModifiedBy>
  <dcterms:modified xsi:type="dcterms:W3CDTF">2020-05-28T14:18:13Z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Ulg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1033-11.1.0.8865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