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577" w:tblpY="1446"/>
        <w:tblW w:w="9000" w:type="dxa"/>
        <w:tblLook w:val="04A0" w:firstRow="1" w:lastRow="0" w:firstColumn="1" w:lastColumn="0" w:noHBand="0" w:noVBand="1"/>
      </w:tblPr>
      <w:tblGrid>
        <w:gridCol w:w="1190"/>
        <w:gridCol w:w="1980"/>
        <w:gridCol w:w="2071"/>
        <w:gridCol w:w="2071"/>
        <w:gridCol w:w="1688"/>
      </w:tblGrid>
      <w:tr w:rsidR="0006323A">
        <w:trPr>
          <w:trHeight w:val="509"/>
        </w:trPr>
        <w:tc>
          <w:tcPr>
            <w:tcW w:w="119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06323A" w:rsidRDefault="0006323A">
            <w:pPr>
              <w:overflowPunct w:val="0"/>
              <w:spacing w:before="73" w:after="73" w:line="240" w:lineRule="auto"/>
              <w:rPr>
                <w:rFonts w:ascii="Open Sans" w:hAnsi="Open Sans" w:cs="Times New Roman"/>
                <w:b/>
                <w:sz w:val="20"/>
                <w:szCs w:val="20"/>
                <w:lang w:val="en-GB"/>
              </w:rPr>
            </w:pPr>
            <w:bookmarkStart w:id="0" w:name="_GoBack2"/>
            <w:bookmarkEnd w:id="0"/>
          </w:p>
        </w:tc>
        <w:tc>
          <w:tcPr>
            <w:tcW w:w="19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06323A" w:rsidRDefault="0006323A">
            <w:pPr>
              <w:overflowPunct w:val="0"/>
              <w:spacing w:before="73" w:after="73" w:line="240" w:lineRule="auto"/>
              <w:rPr>
                <w:rFonts w:ascii="Open Sans" w:hAnsi="Open Sans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0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06323A" w:rsidRDefault="00000000">
            <w:pPr>
              <w:overflowPunct w:val="0"/>
              <w:spacing w:before="181" w:after="0" w:line="240" w:lineRule="auto"/>
              <w:jc w:val="center"/>
              <w:rPr>
                <w:rFonts w:ascii="Open Sans" w:hAnsi="Open Sans" w:cs="Times New Roman"/>
                <w:b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Lidocaine</w:t>
            </w:r>
            <w:r w:rsidR="00F24985">
              <w:rPr>
                <w:rFonts w:ascii="Open Sans" w:hAnsi="Open Sans" w:cs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Open Sans" w:hAnsi="Open Sans" w:cs="Times New Roman"/>
                <w:b/>
                <w:sz w:val="20"/>
                <w:szCs w:val="20"/>
              </w:rPr>
              <w:t>Naphazoline</w:t>
            </w:r>
          </w:p>
        </w:tc>
        <w:tc>
          <w:tcPr>
            <w:tcW w:w="20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06323A" w:rsidRDefault="00000000">
            <w:pPr>
              <w:overflowPunct w:val="0"/>
              <w:spacing w:before="181" w:after="0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Saline (control)</w:t>
            </w:r>
          </w:p>
        </w:tc>
        <w:tc>
          <w:tcPr>
            <w:tcW w:w="16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BFBFBF"/>
          </w:tcPr>
          <w:p w:rsidR="0006323A" w:rsidRDefault="00000000">
            <w:pPr>
              <w:overflowPunct w:val="0"/>
              <w:spacing w:before="181" w:after="0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p-value</w:t>
            </w:r>
          </w:p>
          <w:p w:rsidR="0006323A" w:rsidRDefault="00000000">
            <w:pPr>
              <w:overflowPunct w:val="0"/>
              <w:spacing w:before="73" w:after="73" w:line="240" w:lineRule="auto"/>
              <w:jc w:val="center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 w:cs="Times New Roman"/>
                <w:b/>
                <w:sz w:val="20"/>
                <w:szCs w:val="20"/>
              </w:rPr>
              <w:t>Mann Withney U test</w:t>
            </w:r>
          </w:p>
        </w:tc>
      </w:tr>
      <w:tr w:rsidR="0006323A">
        <w:trPr>
          <w:trHeight w:val="155"/>
        </w:trPr>
        <w:tc>
          <w:tcPr>
            <w:tcW w:w="1190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CBF (Hz)</w:t>
            </w:r>
          </w:p>
        </w:tc>
        <w:tc>
          <w:tcPr>
            <w:tcW w:w="1980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Total population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overflowPunct w:val="0"/>
              <w:spacing w:before="181" w:after="181" w:line="240" w:lineRule="auto"/>
              <w:jc w:val="center"/>
              <w:rPr>
                <w:rFonts w:ascii="Times New Roman" w:hAnsi="Times New Roman" w:cs="Times New Roman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14.52 [12.10-15.76]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overflowPunct w:val="0"/>
              <w:spacing w:before="181" w:after="18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14.63 [12.82-15.63]</w:t>
            </w:r>
          </w:p>
        </w:tc>
        <w:tc>
          <w:tcPr>
            <w:tcW w:w="1688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overflowPunct w:val="0"/>
              <w:spacing w:before="73" w:after="73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0.841</w:t>
            </w:r>
          </w:p>
        </w:tc>
      </w:tr>
      <w:tr w:rsidR="0006323A">
        <w:tc>
          <w:tcPr>
            <w:tcW w:w="1190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6323A" w:rsidRPr="00455235" w:rsidRDefault="0006323A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Healthy volunteers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15.35 [13.84-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.78]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15.28 [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13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.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48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-16.40]</w:t>
            </w:r>
          </w:p>
        </w:tc>
        <w:tc>
          <w:tcPr>
            <w:tcW w:w="1688" w:type="dxa"/>
            <w:tcBorders>
              <w:top w:val="single" w:sz="4" w:space="0" w:color="00000A"/>
            </w:tcBorders>
            <w:shd w:val="clear" w:color="auto" w:fill="auto"/>
          </w:tcPr>
          <w:p w:rsidR="0006323A" w:rsidRPr="00455235" w:rsidRDefault="00000000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0.904</w:t>
            </w:r>
          </w:p>
        </w:tc>
      </w:tr>
      <w:tr w:rsidR="003960AF">
        <w:tc>
          <w:tcPr>
            <w:tcW w:w="1190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3960AF" w:rsidRPr="00455235" w:rsidRDefault="003960AF" w:rsidP="003960AF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A"/>
            </w:tcBorders>
            <w:shd w:val="clear" w:color="auto" w:fill="auto"/>
          </w:tcPr>
          <w:p w:rsidR="003960AF" w:rsidRPr="00455235" w:rsidRDefault="003960AF" w:rsidP="003960AF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Referred patients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3960AF" w:rsidRPr="00455235" w:rsidRDefault="003960AF" w:rsidP="003960AF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11.94 [7.85-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15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.66]</w:t>
            </w:r>
          </w:p>
        </w:tc>
        <w:tc>
          <w:tcPr>
            <w:tcW w:w="2071" w:type="dxa"/>
            <w:tcBorders>
              <w:top w:val="single" w:sz="4" w:space="0" w:color="00000A"/>
            </w:tcBorders>
            <w:shd w:val="clear" w:color="auto" w:fill="auto"/>
          </w:tcPr>
          <w:p w:rsidR="003960AF" w:rsidRPr="00455235" w:rsidRDefault="003960AF" w:rsidP="003960AF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13.14 [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8.97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-15.14]</w:t>
            </w:r>
          </w:p>
        </w:tc>
        <w:tc>
          <w:tcPr>
            <w:tcW w:w="1688" w:type="dxa"/>
            <w:tcBorders>
              <w:top w:val="single" w:sz="4" w:space="0" w:color="00000A"/>
            </w:tcBorders>
            <w:shd w:val="clear" w:color="auto" w:fill="auto"/>
          </w:tcPr>
          <w:p w:rsidR="003960AF" w:rsidRPr="00455235" w:rsidRDefault="00DB3BA4" w:rsidP="003960AF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0.588</w:t>
            </w:r>
          </w:p>
        </w:tc>
      </w:tr>
      <w:tr w:rsidR="00455235">
        <w:tc>
          <w:tcPr>
            <w:tcW w:w="1190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F24985" w:rsidP="00455235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PCD</w:t>
            </w:r>
            <w:r w:rsidR="00455235" w:rsidRPr="00455235">
              <w:rPr>
                <w:rFonts w:ascii="Times New Roman" w:hAnsi="Times New Roman"/>
                <w:sz w:val="20"/>
                <w:szCs w:val="20"/>
              </w:rPr>
              <w:t xml:space="preserve"> patients</w:t>
            </w:r>
          </w:p>
        </w:tc>
        <w:tc>
          <w:tcPr>
            <w:tcW w:w="2071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FD1E76" w:rsidP="00455235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455235" w:rsidRPr="00455235">
              <w:rPr>
                <w:rFonts w:ascii="Times New Roman" w:hAnsi="Times New Roman"/>
                <w:sz w:val="20"/>
                <w:szCs w:val="20"/>
              </w:rPr>
              <w:t>.78 [6.26-</w:t>
            </w:r>
            <w:r w:rsidR="00455235" w:rsidRPr="00455235">
              <w:rPr>
                <w:rFonts w:ascii="Times New Roman" w:hAnsi="Times New Roman"/>
                <w:sz w:val="20"/>
                <w:szCs w:val="20"/>
                <w:lang w:bidi="ar"/>
              </w:rPr>
              <w:t>11.94</w:t>
            </w:r>
            <w:r w:rsidR="00455235" w:rsidRPr="00455235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2071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9.16 [</w:t>
            </w:r>
            <w:r w:rsidRPr="00455235">
              <w:rPr>
                <w:rFonts w:ascii="Times New Roman" w:hAnsi="Times New Roman"/>
                <w:sz w:val="20"/>
                <w:szCs w:val="20"/>
                <w:lang w:bidi="ar"/>
              </w:rPr>
              <w:t>8.62</w:t>
            </w:r>
            <w:r w:rsidRPr="00455235">
              <w:rPr>
                <w:rFonts w:ascii="Times New Roman" w:hAnsi="Times New Roman"/>
                <w:sz w:val="20"/>
                <w:szCs w:val="20"/>
              </w:rPr>
              <w:t>-12.54]</w:t>
            </w:r>
          </w:p>
        </w:tc>
        <w:tc>
          <w:tcPr>
            <w:tcW w:w="1688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pStyle w:val="PrformatHTML"/>
              <w:widowControl/>
              <w:overflowPunct w:val="0"/>
              <w:spacing w:before="181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0.974</w:t>
            </w:r>
          </w:p>
        </w:tc>
      </w:tr>
      <w:tr w:rsidR="00455235">
        <w:tc>
          <w:tcPr>
            <w:tcW w:w="1190" w:type="dxa"/>
            <w:vMerge w:val="restart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</w:rPr>
              <w:t>CBP (%)</w:t>
            </w:r>
          </w:p>
        </w:tc>
        <w:tc>
          <w:tcPr>
            <w:tcW w:w="1980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18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Total population</w:t>
            </w:r>
          </w:p>
        </w:tc>
        <w:tc>
          <w:tcPr>
            <w:tcW w:w="2071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FD1E76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>81.5 [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50.5</w:t>
            </w: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94.3</w:t>
            </w:r>
            <w:r w:rsidRPr="00307D60">
              <w:rPr>
                <w:rFonts w:ascii="Times New Roman" w:hAnsi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2071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89.3 [51.5-100.0]</w:t>
            </w:r>
          </w:p>
        </w:tc>
        <w:tc>
          <w:tcPr>
            <w:tcW w:w="1688" w:type="dxa"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0.125</w:t>
            </w:r>
          </w:p>
        </w:tc>
      </w:tr>
      <w:tr w:rsidR="00455235">
        <w:tc>
          <w:tcPr>
            <w:tcW w:w="1190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/>
                <w:sz w:val="20"/>
                <w:szCs w:val="20"/>
              </w:rPr>
              <w:t>Healthy volunteers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FD1E76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455235" w:rsidRPr="00455235">
              <w:rPr>
                <w:rFonts w:ascii="Times New Roman" w:hAnsi="Times New Roman" w:cs="Times New Roman"/>
                <w:sz w:val="20"/>
                <w:szCs w:val="20"/>
              </w:rPr>
              <w:t>.0 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5235"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.0</w:t>
            </w:r>
            <w:r w:rsidR="00455235" w:rsidRPr="00455235">
              <w:rPr>
                <w:rFonts w:ascii="Times New Roman" w:hAnsi="Times New Roman" w:cs="Times New Roman"/>
                <w:sz w:val="20"/>
                <w:szCs w:val="20"/>
              </w:rPr>
              <w:t>-98.0]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96.0 [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89.3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-100.0]</w:t>
            </w:r>
          </w:p>
        </w:tc>
        <w:tc>
          <w:tcPr>
            <w:tcW w:w="1688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bookmarkStart w:id="1" w:name="ctl00_MainContent_Label2"/>
            <w:bookmarkEnd w:id="1"/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0.028</w:t>
            </w:r>
          </w:p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455235">
        <w:tc>
          <w:tcPr>
            <w:tcW w:w="1190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Referred patients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23.0 [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8.0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-61.0]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39.0 [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9.5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-72.0]</w:t>
            </w:r>
          </w:p>
        </w:tc>
        <w:tc>
          <w:tcPr>
            <w:tcW w:w="1688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0.791</w:t>
            </w:r>
          </w:p>
        </w:tc>
      </w:tr>
      <w:tr w:rsidR="00455235">
        <w:tc>
          <w:tcPr>
            <w:tcW w:w="1190" w:type="dxa"/>
            <w:vMerge/>
            <w:tcBorders>
              <w:top w:val="single" w:sz="4" w:space="0" w:color="000001"/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before="18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F24985" w:rsidP="00455235">
            <w:pPr>
              <w:pStyle w:val="PrformatHTML"/>
              <w:widowControl/>
              <w:overflowPunct w:val="0"/>
              <w:spacing w:before="181" w:after="1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PCD</w:t>
            </w:r>
            <w:r w:rsidR="00455235" w:rsidRPr="00455235">
              <w:rPr>
                <w:rFonts w:ascii="Times New Roman" w:hAnsi="Times New Roman"/>
                <w:sz w:val="20"/>
                <w:szCs w:val="20"/>
              </w:rPr>
              <w:t xml:space="preserve"> patients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9.0 [</w:t>
            </w:r>
            <w:r w:rsidRPr="00455235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0.0</w:t>
            </w: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-23.0]</w:t>
            </w:r>
          </w:p>
        </w:tc>
        <w:tc>
          <w:tcPr>
            <w:tcW w:w="2071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</w:rPr>
              <w:t>11.0 [0.0-39.0]</w:t>
            </w:r>
          </w:p>
        </w:tc>
        <w:tc>
          <w:tcPr>
            <w:tcW w:w="1688" w:type="dxa"/>
            <w:tcBorders>
              <w:bottom w:val="single" w:sz="4" w:space="0" w:color="00000A"/>
            </w:tcBorders>
            <w:shd w:val="clear" w:color="auto" w:fill="auto"/>
          </w:tcPr>
          <w:p w:rsidR="00455235" w:rsidRPr="00455235" w:rsidRDefault="00455235" w:rsidP="00455235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552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0.671</w:t>
            </w:r>
          </w:p>
        </w:tc>
      </w:tr>
    </w:tbl>
    <w:p w:rsidR="0006323A" w:rsidRDefault="0006323A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</w:p>
    <w:p w:rsidR="00F24985" w:rsidRDefault="00F24985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  <w:r>
        <w:rPr>
          <w:rFonts w:ascii="Times New Roman" w:hAnsi="Times New Roman" w:cs="Times New Roman"/>
          <w:sz w:val="20"/>
          <w:szCs w:val="20"/>
          <w:lang w:val="en-US" w:eastAsia="fr-FR"/>
        </w:rPr>
        <w:t xml:space="preserve">Table </w:t>
      </w:r>
      <w:r w:rsidR="00DF2E6A">
        <w:rPr>
          <w:rFonts w:ascii="Times New Roman" w:hAnsi="Times New Roman" w:cs="Times New Roman"/>
          <w:sz w:val="20"/>
          <w:szCs w:val="20"/>
          <w:lang w:val="en-US" w:eastAsia="fr-FR"/>
        </w:rPr>
        <w:t>2</w:t>
      </w:r>
      <w:r>
        <w:rPr>
          <w:rFonts w:ascii="Times New Roman" w:hAnsi="Times New Roman" w:cs="Times New Roman"/>
          <w:sz w:val="20"/>
          <w:szCs w:val="20"/>
          <w:lang w:val="en-US" w:eastAsia="fr-FR"/>
        </w:rPr>
        <w:t xml:space="preserve"> : Analysis of ciliary beat frequency in hertz and </w:t>
      </w:r>
      <w:r w:rsidR="007606FA">
        <w:rPr>
          <w:rFonts w:ascii="Times New Roman" w:hAnsi="Times New Roman" w:cs="Times New Roman"/>
          <w:sz w:val="20"/>
          <w:szCs w:val="20"/>
          <w:lang w:val="en-US" w:eastAsia="fr-FR"/>
        </w:rPr>
        <w:t>percentage of normal ciliary beat pattern</w:t>
      </w:r>
      <w:r>
        <w:rPr>
          <w:rFonts w:ascii="Times New Roman" w:hAnsi="Times New Roman" w:cs="Times New Roman"/>
          <w:sz w:val="20"/>
          <w:szCs w:val="20"/>
          <w:lang w:val="en-US" w:eastAsia="fr-FR"/>
        </w:rPr>
        <w:t xml:space="preserve"> in lidocaine/naphazoline exposed patients or healthy </w:t>
      </w:r>
      <w:r w:rsidR="002750DD">
        <w:rPr>
          <w:rFonts w:ascii="Times New Roman" w:hAnsi="Times New Roman" w:cs="Times New Roman"/>
          <w:sz w:val="20"/>
          <w:szCs w:val="20"/>
          <w:lang w:val="en-US" w:eastAsia="fr-FR"/>
        </w:rPr>
        <w:t>volunteers</w:t>
      </w:r>
      <w:r>
        <w:rPr>
          <w:rFonts w:ascii="Times New Roman" w:hAnsi="Times New Roman" w:cs="Times New Roman"/>
          <w:sz w:val="20"/>
          <w:szCs w:val="20"/>
          <w:lang w:val="en-US" w:eastAsia="fr-FR"/>
        </w:rPr>
        <w:t xml:space="preserve"> compared to saline control.  </w:t>
      </w:r>
    </w:p>
    <w:p w:rsidR="00F24985" w:rsidRDefault="00F24985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</w:p>
    <w:p w:rsidR="001A54AA" w:rsidRDefault="001A54AA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  <w:r>
        <w:rPr>
          <w:rFonts w:ascii="Times New Roman" w:hAnsi="Times New Roman" w:cs="Times New Roman"/>
          <w:sz w:val="20"/>
          <w:szCs w:val="20"/>
          <w:lang w:val="en-US" w:eastAsia="fr-FR"/>
        </w:rPr>
        <w:t>CBF = ciliary beat frequency; PCD = primary ciliary dyskinesia; CBP (%) = percentage of normal ciliary beat pattern.</w:t>
      </w:r>
    </w:p>
    <w:p w:rsidR="00F24985" w:rsidRDefault="001A54AA">
      <w:pPr>
        <w:overflowPunct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 w:eastAsia="fr-FR"/>
        </w:rPr>
      </w:pPr>
      <w:r>
        <w:rPr>
          <w:rFonts w:ascii="Times New Roman" w:hAnsi="Times New Roman" w:cs="Times New Roman"/>
          <w:sz w:val="20"/>
          <w:szCs w:val="20"/>
          <w:lang w:val="en-US" w:eastAsia="fr-FR"/>
        </w:rPr>
        <w:t xml:space="preserve">Results are expressed as median </w:t>
      </w:r>
      <w:r w:rsidRPr="00455235">
        <w:rPr>
          <w:rFonts w:ascii="Times New Roman" w:hAnsi="Times New Roman" w:cs="Times New Roman"/>
          <w:sz w:val="20"/>
          <w:szCs w:val="20"/>
        </w:rPr>
        <w:t>[</w:t>
      </w:r>
      <w:r>
        <w:rPr>
          <w:rFonts w:ascii="Times New Roman" w:eastAsia="SimSun" w:hAnsi="Times New Roman" w:cs="Times New Roman"/>
          <w:sz w:val="20"/>
          <w:szCs w:val="20"/>
          <w:lang w:val="en-US" w:eastAsia="zh-CN" w:bidi="ar"/>
        </w:rPr>
        <w:t>P25</w:t>
      </w:r>
      <w:r w:rsidRPr="0045523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P75</w:t>
      </w:r>
      <w:r w:rsidRPr="00455235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>. Median were compared with Mann Withney U test.</w:t>
      </w:r>
    </w:p>
    <w:sectPr w:rsidR="00F24985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embedSystemFonts/>
  <w:proofState w:spelling="clean" w:grammar="clean"/>
  <w:defaultTabStop w:val="420"/>
  <w:autoHyphenation/>
  <w:hyphenationZone w:val="425"/>
  <w:characterSpacingControl w:val="doNotCompress"/>
  <w:savePreviewPicture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23A"/>
    <w:rsid w:val="0006323A"/>
    <w:rsid w:val="001A54AA"/>
    <w:rsid w:val="002750DD"/>
    <w:rsid w:val="003960AF"/>
    <w:rsid w:val="00455235"/>
    <w:rsid w:val="005827B9"/>
    <w:rsid w:val="007606FA"/>
    <w:rsid w:val="00DB3BA4"/>
    <w:rsid w:val="00DF2E6A"/>
    <w:rsid w:val="00F24985"/>
    <w:rsid w:val="00FD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14AC609-6E38-1947-8DA7-959835F8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BE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  <w:szCs w:val="22"/>
      <w:lang w:val="nl-BE"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Corpsdetexte">
    <w:name w:val="Body Text"/>
    <w:basedOn w:val="Normal"/>
    <w:qFormat/>
    <w:pPr>
      <w:spacing w:after="140" w:line="288" w:lineRule="auto"/>
    </w:pPr>
  </w:style>
  <w:style w:type="paragraph" w:styleId="Liste">
    <w:name w:val="List"/>
    <w:basedOn w:val="Corpsdetexte"/>
    <w:qFormat/>
    <w:rPr>
      <w:rFonts w:cs="FreeSans"/>
    </w:rPr>
  </w:style>
  <w:style w:type="paragraph" w:styleId="Lgende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rformatHTML">
    <w:name w:val="HTML Preformatted"/>
    <w:semiHidden/>
    <w:unhideWhenUsed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Times New Roman"/>
      <w:sz w:val="24"/>
      <w:szCs w:val="24"/>
      <w:lang w:val="en-US" w:bidi="ar-SA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Ulg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anne-lise</dc:creator>
  <dc:description/>
  <cp:lastModifiedBy>lioneljbenchimol@gmail.com</cp:lastModifiedBy>
  <cp:revision>19</cp:revision>
  <dcterms:created xsi:type="dcterms:W3CDTF">2019-01-12T18:28:00Z</dcterms:created>
  <dcterms:modified xsi:type="dcterms:W3CDTF">2024-04-08T13:49:00Z</dcterms:modified>
  <dc:language>fr-BE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Ulg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1033-11.1.0.8865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