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BA7" w:rsidRPr="00E25BA7" w:rsidRDefault="00E25BA7" w:rsidP="00E25BA7">
      <w:pPr>
        <w:rPr>
          <w:rFonts w:ascii="Times New Roman" w:eastAsiaTheme="majorEastAsia" w:hAnsi="Times New Roman" w:cs="Times New Roman"/>
          <w:b/>
          <w:bCs/>
          <w:color w:val="365F91" w:themeColor="accent1" w:themeShade="BF"/>
          <w:sz w:val="24"/>
          <w:szCs w:val="24"/>
        </w:rPr>
      </w:pPr>
    </w:p>
    <w:p w:rsidR="00022C49" w:rsidRDefault="00022C49" w:rsidP="00A41CCE">
      <w:pPr>
        <w:keepNext/>
        <w:keepLines/>
        <w:spacing w:before="200" w:after="0" w:line="480" w:lineRule="auto"/>
        <w:jc w:val="both"/>
        <w:outlineLvl w:val="1"/>
        <w:rPr>
          <w:rFonts w:ascii="Times New Roman" w:eastAsiaTheme="majorEastAsia" w:hAnsi="Times New Roman" w:cs="Times New Roman"/>
          <w:b/>
          <w:bCs/>
          <w:color w:val="365F91" w:themeColor="accent1" w:themeShade="BF"/>
          <w:sz w:val="24"/>
          <w:szCs w:val="24"/>
        </w:rPr>
      </w:pPr>
      <w:r w:rsidRPr="00022C49">
        <w:rPr>
          <w:rFonts w:ascii="Times New Roman" w:eastAsiaTheme="majorEastAsia" w:hAnsi="Times New Roman" w:cs="Times New Roman"/>
          <w:b/>
          <w:bCs/>
          <w:color w:val="365F91" w:themeColor="accent1" w:themeShade="BF"/>
          <w:sz w:val="24"/>
          <w:szCs w:val="24"/>
        </w:rPr>
        <w:t>LESSONS FOR SARS-COV-2 VIRUS AND VACCINATION FROM OTHER RESPIRATORY VIRUSES</w:t>
      </w:r>
    </w:p>
    <w:p w:rsidR="006A2169" w:rsidRDefault="00022C49" w:rsidP="00A41CCE">
      <w:pPr>
        <w:keepNext/>
        <w:keepLines/>
        <w:spacing w:before="200" w:after="0" w:line="480" w:lineRule="auto"/>
        <w:jc w:val="both"/>
        <w:outlineLvl w:val="1"/>
        <w:rPr>
          <w:rFonts w:ascii="Times New Roman" w:eastAsiaTheme="majorEastAsia" w:hAnsi="Times New Roman" w:cs="Times New Roman"/>
          <w:b/>
          <w:bCs/>
          <w:color w:val="365F91" w:themeColor="accent1" w:themeShade="BF"/>
          <w:sz w:val="24"/>
          <w:szCs w:val="24"/>
        </w:rPr>
      </w:pPr>
      <w:r>
        <w:rPr>
          <w:rFonts w:ascii="Times New Roman" w:eastAsiaTheme="majorEastAsia" w:hAnsi="Times New Roman" w:cs="Times New Roman"/>
          <w:b/>
          <w:bCs/>
          <w:color w:val="365F91" w:themeColor="accent1" w:themeShade="BF"/>
          <w:sz w:val="24"/>
          <w:szCs w:val="24"/>
        </w:rPr>
        <w:t xml:space="preserve">Running title: </w:t>
      </w:r>
      <w:r w:rsidR="00DF6818" w:rsidRPr="006A2169">
        <w:rPr>
          <w:rFonts w:ascii="Times New Roman" w:eastAsiaTheme="majorEastAsia" w:hAnsi="Times New Roman" w:cs="Times New Roman"/>
          <w:b/>
          <w:bCs/>
          <w:color w:val="365F91" w:themeColor="accent1" w:themeShade="BF"/>
          <w:sz w:val="24"/>
          <w:szCs w:val="24"/>
        </w:rPr>
        <w:t>NOTES O</w:t>
      </w:r>
      <w:r w:rsidR="009C7EC5">
        <w:rPr>
          <w:rFonts w:ascii="Times New Roman" w:eastAsiaTheme="majorEastAsia" w:hAnsi="Times New Roman" w:cs="Times New Roman"/>
          <w:b/>
          <w:bCs/>
          <w:color w:val="365F91" w:themeColor="accent1" w:themeShade="BF"/>
          <w:sz w:val="24"/>
          <w:szCs w:val="24"/>
        </w:rPr>
        <w:t>N THE SARS-COV-2 VIRUS AND VACCINATI</w:t>
      </w:r>
      <w:r w:rsidR="00DF6818" w:rsidRPr="006A2169">
        <w:rPr>
          <w:rFonts w:ascii="Times New Roman" w:eastAsiaTheme="majorEastAsia" w:hAnsi="Times New Roman" w:cs="Times New Roman"/>
          <w:b/>
          <w:bCs/>
          <w:color w:val="365F91" w:themeColor="accent1" w:themeShade="BF"/>
          <w:sz w:val="24"/>
          <w:szCs w:val="24"/>
        </w:rPr>
        <w:t>ON</w:t>
      </w:r>
    </w:p>
    <w:p w:rsidR="00A41CCE" w:rsidRPr="000012D3" w:rsidRDefault="00A41CCE" w:rsidP="00A41CCE">
      <w:pPr>
        <w:keepNext/>
        <w:keepLines/>
        <w:spacing w:before="200" w:after="0" w:line="480" w:lineRule="auto"/>
        <w:jc w:val="both"/>
        <w:outlineLvl w:val="1"/>
        <w:rPr>
          <w:rFonts w:asciiTheme="majorHAnsi" w:eastAsia="Times New Roman" w:hAnsiTheme="majorHAnsi" w:cs="Times New Roman"/>
          <w:bCs/>
          <w:sz w:val="24"/>
          <w:szCs w:val="24"/>
          <w:lang w:val="en-US" w:eastAsia="tr-TR"/>
        </w:rPr>
      </w:pPr>
      <w:r w:rsidRPr="000012D3">
        <w:rPr>
          <w:rFonts w:asciiTheme="majorHAnsi" w:eastAsia="Times New Roman" w:hAnsiTheme="majorHAnsi" w:cs="Times New Roman"/>
          <w:bCs/>
          <w:sz w:val="24"/>
          <w:szCs w:val="24"/>
          <w:lang w:val="en-US" w:eastAsia="tr-TR"/>
        </w:rPr>
        <w:t>Ferhat ARSLAN</w:t>
      </w:r>
      <w:r w:rsidRPr="000012D3">
        <w:rPr>
          <w:rFonts w:asciiTheme="majorHAnsi" w:eastAsia="Times New Roman" w:hAnsiTheme="majorHAnsi" w:cs="Times New Roman"/>
          <w:bCs/>
          <w:sz w:val="24"/>
          <w:szCs w:val="24"/>
          <w:vertAlign w:val="superscript"/>
          <w:lang w:val="en-US" w:eastAsia="tr-TR"/>
        </w:rPr>
        <w:t>1</w:t>
      </w:r>
      <w:r w:rsidRPr="000012D3">
        <w:rPr>
          <w:rFonts w:asciiTheme="majorHAnsi" w:eastAsia="Times New Roman" w:hAnsiTheme="majorHAnsi" w:cs="Times New Roman"/>
          <w:bCs/>
          <w:sz w:val="24"/>
          <w:szCs w:val="24"/>
          <w:lang w:val="en-US" w:eastAsia="tr-TR"/>
        </w:rPr>
        <w:t>, Handan Ankaralı</w:t>
      </w:r>
      <w:r w:rsidRPr="000012D3">
        <w:rPr>
          <w:rFonts w:asciiTheme="majorHAnsi" w:eastAsia="Times New Roman" w:hAnsiTheme="majorHAnsi" w:cs="Times New Roman"/>
          <w:bCs/>
          <w:sz w:val="24"/>
          <w:szCs w:val="24"/>
          <w:vertAlign w:val="superscript"/>
          <w:lang w:val="en-US" w:eastAsia="tr-TR"/>
        </w:rPr>
        <w:t>2</w:t>
      </w:r>
      <w:r w:rsidRPr="000012D3">
        <w:rPr>
          <w:rFonts w:asciiTheme="majorHAnsi" w:eastAsia="Times New Roman" w:hAnsiTheme="majorHAnsi" w:cs="Times New Roman"/>
          <w:bCs/>
          <w:sz w:val="24"/>
          <w:szCs w:val="24"/>
          <w:lang w:val="en-US" w:eastAsia="tr-TR"/>
        </w:rPr>
        <w:t>,</w:t>
      </w:r>
    </w:p>
    <w:p w:rsidR="00A41CCE" w:rsidRPr="000012D3" w:rsidRDefault="00A41CCE" w:rsidP="00A41CCE">
      <w:pPr>
        <w:autoSpaceDE w:val="0"/>
        <w:autoSpaceDN w:val="0"/>
        <w:adjustRightInd w:val="0"/>
        <w:spacing w:after="0" w:line="480" w:lineRule="auto"/>
        <w:jc w:val="both"/>
        <w:rPr>
          <w:rFonts w:asciiTheme="majorHAnsi" w:eastAsia="Calibri" w:hAnsiTheme="majorHAnsi" w:cs="Times New Roman"/>
          <w:sz w:val="24"/>
          <w:szCs w:val="24"/>
          <w:lang w:val="en-US"/>
        </w:rPr>
      </w:pPr>
      <w:r w:rsidRPr="000012D3">
        <w:rPr>
          <w:rFonts w:asciiTheme="majorHAnsi" w:eastAsia="Calibri" w:hAnsiTheme="majorHAnsi" w:cs="Times New Roman"/>
          <w:sz w:val="24"/>
          <w:szCs w:val="24"/>
          <w:vertAlign w:val="superscript"/>
          <w:lang w:val="en-US"/>
        </w:rPr>
        <w:t xml:space="preserve">1 </w:t>
      </w:r>
      <w:r w:rsidRPr="000012D3">
        <w:rPr>
          <w:rFonts w:asciiTheme="majorHAnsi" w:eastAsia="Calibri" w:hAnsiTheme="majorHAnsi" w:cs="Times New Roman"/>
          <w:sz w:val="24"/>
          <w:szCs w:val="24"/>
          <w:lang w:val="en-US"/>
        </w:rPr>
        <w:t>Department of Infectious Diseases and Clinical Microbiology, Istanbul Medeniyet University, Istanbul, Turkey</w:t>
      </w:r>
    </w:p>
    <w:p w:rsidR="00A41CCE" w:rsidRDefault="00A41CCE" w:rsidP="00A41CCE">
      <w:pPr>
        <w:autoSpaceDE w:val="0"/>
        <w:autoSpaceDN w:val="0"/>
        <w:adjustRightInd w:val="0"/>
        <w:spacing w:after="0" w:line="480" w:lineRule="auto"/>
        <w:jc w:val="both"/>
        <w:rPr>
          <w:rFonts w:asciiTheme="majorHAnsi" w:eastAsia="Calibri" w:hAnsiTheme="majorHAnsi" w:cs="Times New Roman"/>
          <w:sz w:val="24"/>
          <w:szCs w:val="24"/>
          <w:lang w:val="en-US"/>
        </w:rPr>
      </w:pPr>
      <w:r w:rsidRPr="000012D3">
        <w:rPr>
          <w:rFonts w:asciiTheme="majorHAnsi" w:eastAsia="Calibri" w:hAnsiTheme="majorHAnsi" w:cs="Times New Roman"/>
          <w:sz w:val="24"/>
          <w:szCs w:val="24"/>
          <w:vertAlign w:val="superscript"/>
          <w:lang w:val="en-US"/>
        </w:rPr>
        <w:t xml:space="preserve">2 </w:t>
      </w:r>
      <w:r w:rsidRPr="000012D3">
        <w:rPr>
          <w:rFonts w:asciiTheme="majorHAnsi" w:eastAsia="Calibri" w:hAnsiTheme="majorHAnsi" w:cs="Times New Roman"/>
          <w:sz w:val="24"/>
          <w:szCs w:val="24"/>
          <w:lang w:val="en-US"/>
        </w:rPr>
        <w:t>Department of Biostatistics, Istanbul Medeniyet University, Istanbul, Turkey</w:t>
      </w:r>
    </w:p>
    <w:p w:rsidR="00A41CCE" w:rsidRPr="000012D3" w:rsidRDefault="00A41CCE" w:rsidP="00A41CCE">
      <w:pPr>
        <w:autoSpaceDE w:val="0"/>
        <w:autoSpaceDN w:val="0"/>
        <w:adjustRightInd w:val="0"/>
        <w:spacing w:after="0" w:line="480" w:lineRule="auto"/>
        <w:jc w:val="both"/>
        <w:rPr>
          <w:rFonts w:asciiTheme="majorHAnsi" w:eastAsia="Calibri" w:hAnsiTheme="majorHAnsi" w:cs="Times New Roman"/>
          <w:sz w:val="24"/>
          <w:szCs w:val="24"/>
          <w:lang w:val="en-US"/>
        </w:rPr>
      </w:pPr>
    </w:p>
    <w:p w:rsidR="00A41CCE" w:rsidRP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lang w:val="en-US"/>
        </w:rPr>
      </w:pPr>
      <w:r w:rsidRPr="00A41CCE">
        <w:rPr>
          <w:rFonts w:ascii="Times New Roman" w:eastAsia="Calibri" w:hAnsi="Times New Roman" w:cs="Times New Roman"/>
          <w:sz w:val="24"/>
          <w:szCs w:val="24"/>
          <w:lang w:val="en-US"/>
        </w:rPr>
        <w:t>Corresponding Author</w:t>
      </w:r>
    </w:p>
    <w:p w:rsidR="00A41CCE" w:rsidRP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lang w:val="en-US"/>
        </w:rPr>
      </w:pPr>
      <w:r w:rsidRPr="00A41CCE">
        <w:rPr>
          <w:rFonts w:ascii="Times New Roman" w:eastAsia="Calibri" w:hAnsi="Times New Roman" w:cs="Times New Roman"/>
          <w:sz w:val="24"/>
          <w:szCs w:val="24"/>
          <w:lang w:val="en-US"/>
        </w:rPr>
        <w:t>Assoc. Prof. Ferhat Arslan, M.D.</w:t>
      </w:r>
    </w:p>
    <w:p w:rsidR="00A41CCE" w:rsidRP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lang w:val="en-US"/>
        </w:rPr>
      </w:pPr>
      <w:r w:rsidRPr="00A41CCE">
        <w:rPr>
          <w:rFonts w:ascii="Times New Roman" w:eastAsia="Calibri" w:hAnsi="Times New Roman" w:cs="Times New Roman"/>
          <w:sz w:val="24"/>
          <w:szCs w:val="24"/>
          <w:lang w:val="en-US"/>
        </w:rPr>
        <w:t>Istanbul Medeniyet University</w:t>
      </w:r>
    </w:p>
    <w:p w:rsidR="00A41CCE" w:rsidRP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lang w:val="en-US"/>
        </w:rPr>
      </w:pPr>
      <w:r w:rsidRPr="00A41CCE">
        <w:rPr>
          <w:rFonts w:ascii="Times New Roman" w:eastAsia="Calibri" w:hAnsi="Times New Roman" w:cs="Times New Roman"/>
          <w:sz w:val="24"/>
          <w:szCs w:val="24"/>
          <w:lang w:val="en-US"/>
        </w:rPr>
        <w:t>Infectious Diseases and Clinical Microbiology</w:t>
      </w:r>
    </w:p>
    <w:p w:rsidR="00A41CCE" w:rsidRP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rPr>
      </w:pPr>
      <w:r w:rsidRPr="00A41CCE">
        <w:rPr>
          <w:rFonts w:ascii="Times New Roman" w:eastAsia="Calibri" w:hAnsi="Times New Roman" w:cs="Times New Roman"/>
          <w:sz w:val="24"/>
          <w:szCs w:val="24"/>
        </w:rPr>
        <w:t xml:space="preserve">Eğitim Mah. Dr. Erkin Cad. Kadıköy/İstanbul 34722 </w:t>
      </w:r>
    </w:p>
    <w:p w:rsidR="00A41CCE" w:rsidRP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rPr>
      </w:pPr>
      <w:r w:rsidRPr="00A41CCE">
        <w:rPr>
          <w:rFonts w:ascii="Times New Roman" w:eastAsia="Calibri" w:hAnsi="Times New Roman" w:cs="Times New Roman"/>
          <w:sz w:val="24"/>
          <w:szCs w:val="24"/>
        </w:rPr>
        <w:t>Phone : +90 (216) 566 40 00</w:t>
      </w:r>
    </w:p>
    <w:p w:rsidR="00A41CCE" w:rsidRP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rPr>
      </w:pPr>
      <w:r w:rsidRPr="00A41CCE">
        <w:rPr>
          <w:rFonts w:ascii="Times New Roman" w:eastAsia="Calibri" w:hAnsi="Times New Roman" w:cs="Times New Roman"/>
          <w:sz w:val="24"/>
          <w:szCs w:val="24"/>
        </w:rPr>
        <w:t>Fax : +90 216 566 66 14</w:t>
      </w:r>
    </w:p>
    <w:p w:rsidR="00A41CCE" w:rsidRDefault="00A41CCE" w:rsidP="00A41CCE">
      <w:pPr>
        <w:autoSpaceDE w:val="0"/>
        <w:autoSpaceDN w:val="0"/>
        <w:adjustRightInd w:val="0"/>
        <w:spacing w:after="0" w:line="480" w:lineRule="auto"/>
        <w:jc w:val="both"/>
        <w:rPr>
          <w:rFonts w:ascii="Times New Roman" w:eastAsia="Calibri" w:hAnsi="Times New Roman" w:cs="Times New Roman"/>
          <w:sz w:val="24"/>
          <w:szCs w:val="24"/>
        </w:rPr>
      </w:pPr>
      <w:r w:rsidRPr="00A41CCE">
        <w:rPr>
          <w:rFonts w:ascii="Times New Roman" w:eastAsia="Calibri" w:hAnsi="Times New Roman" w:cs="Times New Roman"/>
          <w:sz w:val="24"/>
          <w:szCs w:val="24"/>
        </w:rPr>
        <w:t xml:space="preserve">e-mail: </w:t>
      </w:r>
      <w:hyperlink r:id="rId9" w:history="1">
        <w:r w:rsidR="0016472B" w:rsidRPr="00E91E38">
          <w:rPr>
            <w:rStyle w:val="Kpr"/>
            <w:rFonts w:ascii="Times New Roman" w:eastAsia="Calibri" w:hAnsi="Times New Roman" w:cs="Times New Roman"/>
            <w:sz w:val="24"/>
            <w:szCs w:val="24"/>
          </w:rPr>
          <w:t>ferhatarslandr@hotmail.com</w:t>
        </w:r>
      </w:hyperlink>
    </w:p>
    <w:p w:rsidR="00DF6818" w:rsidRPr="00DF6818" w:rsidRDefault="00DF6818" w:rsidP="00DF6818">
      <w:pPr>
        <w:spacing w:line="480" w:lineRule="auto"/>
        <w:jc w:val="both"/>
        <w:rPr>
          <w:rFonts w:ascii="Times New Roman" w:eastAsia="Calibri" w:hAnsi="Times New Roman" w:cs="Times New Roman"/>
          <w:sz w:val="24"/>
          <w:szCs w:val="24"/>
          <w:lang w:val="en-US"/>
        </w:rPr>
      </w:pPr>
      <w:r w:rsidRPr="00DF6818">
        <w:rPr>
          <w:rFonts w:ascii="Times New Roman" w:eastAsia="Calibri" w:hAnsi="Times New Roman" w:cs="Times New Roman"/>
          <w:b/>
          <w:sz w:val="24"/>
          <w:szCs w:val="24"/>
          <w:lang w:val="en-US"/>
        </w:rPr>
        <w:t>Conflict of interest</w:t>
      </w:r>
      <w:r w:rsidRPr="00DF6818">
        <w:rPr>
          <w:rFonts w:ascii="Times New Roman" w:eastAsia="Calibri" w:hAnsi="Times New Roman" w:cs="Times New Roman"/>
          <w:sz w:val="24"/>
          <w:szCs w:val="24"/>
          <w:lang w:val="en-US"/>
        </w:rPr>
        <w:t>: The authors declare no conflicts of interest.</w:t>
      </w:r>
    </w:p>
    <w:p w:rsidR="00A41CCE" w:rsidRPr="00EB0E32" w:rsidRDefault="006C49B3" w:rsidP="00EC0C92">
      <w:pPr>
        <w:spacing w:line="480" w:lineRule="auto"/>
        <w:jc w:val="both"/>
        <w:rPr>
          <w:rFonts w:ascii="Times New Roman" w:eastAsiaTheme="majorEastAsia" w:hAnsi="Times New Roman" w:cs="Times New Roman"/>
          <w:b/>
          <w:bCs/>
          <w:color w:val="365F91" w:themeColor="accent1" w:themeShade="BF"/>
          <w:sz w:val="24"/>
          <w:szCs w:val="24"/>
        </w:rPr>
      </w:pPr>
      <w:r>
        <w:rPr>
          <w:rFonts w:ascii="Times New Roman" w:eastAsiaTheme="majorEastAsia" w:hAnsi="Times New Roman" w:cs="Times New Roman"/>
          <w:b/>
          <w:bCs/>
          <w:color w:val="365F91" w:themeColor="accent1" w:themeShade="BF"/>
          <w:sz w:val="24"/>
          <w:szCs w:val="24"/>
        </w:rPr>
        <w:t>SUMMARY</w:t>
      </w:r>
    </w:p>
    <w:p w:rsidR="00022C49" w:rsidRPr="00022C49" w:rsidRDefault="00022C49" w:rsidP="00022C49">
      <w:pPr>
        <w:pStyle w:val="Balk1"/>
        <w:spacing w:line="480" w:lineRule="auto"/>
        <w:jc w:val="both"/>
        <w:rPr>
          <w:rFonts w:ascii="Times New Roman" w:eastAsiaTheme="minorHAnsi" w:hAnsi="Times New Roman" w:cs="Times New Roman"/>
          <w:b w:val="0"/>
          <w:bCs w:val="0"/>
          <w:color w:val="auto"/>
          <w:sz w:val="24"/>
          <w:szCs w:val="24"/>
        </w:rPr>
      </w:pPr>
      <w:r w:rsidRPr="00022C49">
        <w:rPr>
          <w:rFonts w:ascii="Times New Roman" w:eastAsiaTheme="minorHAnsi" w:hAnsi="Times New Roman" w:cs="Times New Roman"/>
          <w:b w:val="0"/>
          <w:bCs w:val="0"/>
          <w:color w:val="auto"/>
          <w:sz w:val="24"/>
          <w:szCs w:val="24"/>
        </w:rPr>
        <w:lastRenderedPageBreak/>
        <w:t xml:space="preserve">At the beginning of the Coronavirus disease (COVID-19) pandemic due to the Severe acute respiratory syndrome coronavirus 2 (SARS-CoV-2), scientists primarily have focused on diagnostic tests. At the 9th month of the pandemic, discussions are being continued on preventive and therapeutic drugs. Meanwhile, vaccine development strategies like "operation warp speed" gave their early results in developed countries. Nowadays, these vaccines are at the forefront of the world health agenda. Numerous social media posts, conspiracy theories, and some health professional's statements that raise vaccination hesitancy are the equipment of anti-vaxxers propaganda. On the other hand, declarations like ballyhoo of nationalism with the claims of scientific quacksalvers have intertwined, and that has been led to the loss of trust in the scientific community to the vaccine. We have to admit that this propaganda has affected millions of people in an unwanted direction. </w:t>
      </w:r>
    </w:p>
    <w:p w:rsidR="00022C49" w:rsidRPr="00022C49" w:rsidRDefault="00022C49" w:rsidP="00022C49">
      <w:pPr>
        <w:pStyle w:val="Balk1"/>
        <w:spacing w:line="480" w:lineRule="auto"/>
        <w:jc w:val="both"/>
        <w:rPr>
          <w:rFonts w:ascii="Times New Roman" w:eastAsiaTheme="minorHAnsi" w:hAnsi="Times New Roman" w:cs="Times New Roman"/>
          <w:b w:val="0"/>
          <w:bCs w:val="0"/>
          <w:color w:val="auto"/>
          <w:sz w:val="24"/>
          <w:szCs w:val="24"/>
        </w:rPr>
      </w:pPr>
      <w:r w:rsidRPr="00022C49">
        <w:rPr>
          <w:rFonts w:ascii="Times New Roman" w:eastAsiaTheme="minorHAnsi" w:hAnsi="Times New Roman" w:cs="Times New Roman"/>
          <w:b w:val="0"/>
          <w:bCs w:val="0"/>
          <w:color w:val="auto"/>
          <w:sz w:val="24"/>
          <w:szCs w:val="24"/>
        </w:rPr>
        <w:t>Scientific declarations have to rely on researches that have accurate and reliable statistical methods supported with basic biological knowledge. Scientific research results should be disclosed transparently and its methods must have reproducibility to provide replicability.</w:t>
      </w:r>
    </w:p>
    <w:p w:rsidR="00022C49" w:rsidRDefault="00022C49" w:rsidP="00022C49">
      <w:pPr>
        <w:pStyle w:val="Balk1"/>
        <w:spacing w:line="480" w:lineRule="auto"/>
        <w:jc w:val="both"/>
        <w:rPr>
          <w:rFonts w:ascii="Times New Roman" w:eastAsiaTheme="minorHAnsi" w:hAnsi="Times New Roman" w:cs="Times New Roman"/>
          <w:b w:val="0"/>
          <w:bCs w:val="0"/>
          <w:color w:val="auto"/>
          <w:sz w:val="24"/>
          <w:szCs w:val="24"/>
        </w:rPr>
      </w:pPr>
      <w:r w:rsidRPr="00022C49">
        <w:rPr>
          <w:rFonts w:ascii="Times New Roman" w:eastAsiaTheme="minorHAnsi" w:hAnsi="Times New Roman" w:cs="Times New Roman"/>
          <w:b w:val="0"/>
          <w:bCs w:val="0"/>
          <w:color w:val="auto"/>
          <w:sz w:val="24"/>
          <w:szCs w:val="24"/>
        </w:rPr>
        <w:t>Here, we scrutinize the biological features of the respiratory transmitted and successfully prevented measles virus (MV) and variola virus (smallpox virus) and their vaccines to compare them with the SARS-COV-2 virus and vaccine. Next, we will discuss the statistical details of measuring the effectiveness of an improved vaccine.</w:t>
      </w:r>
    </w:p>
    <w:p w:rsidR="002C6C74" w:rsidRPr="00881E6A" w:rsidRDefault="002C6C74" w:rsidP="00022C49">
      <w:pPr>
        <w:pStyle w:val="Balk1"/>
        <w:spacing w:line="480" w:lineRule="auto"/>
        <w:jc w:val="both"/>
        <w:rPr>
          <w:rStyle w:val="jlqj4b"/>
          <w:rFonts w:ascii="Times New Roman" w:hAnsi="Times New Roman" w:cs="Times New Roman"/>
          <w:sz w:val="24"/>
          <w:szCs w:val="24"/>
          <w:lang w:val="en"/>
        </w:rPr>
      </w:pPr>
      <w:bookmarkStart w:id="0" w:name="_GoBack"/>
      <w:bookmarkEnd w:id="0"/>
      <w:r w:rsidRPr="00881E6A">
        <w:rPr>
          <w:rStyle w:val="jlqj4b"/>
          <w:rFonts w:ascii="Times New Roman" w:hAnsi="Times New Roman" w:cs="Times New Roman"/>
          <w:sz w:val="24"/>
          <w:szCs w:val="24"/>
          <w:lang w:val="en"/>
        </w:rPr>
        <w:t>Biological concept</w:t>
      </w:r>
      <w:r w:rsidR="00682481">
        <w:rPr>
          <w:rStyle w:val="jlqj4b"/>
          <w:rFonts w:ascii="Times New Roman" w:hAnsi="Times New Roman" w:cs="Times New Roman"/>
          <w:sz w:val="24"/>
          <w:szCs w:val="24"/>
          <w:lang w:val="en"/>
        </w:rPr>
        <w:t xml:space="preserve"> of respiratory virus infection and vaccines</w:t>
      </w:r>
    </w:p>
    <w:p w:rsidR="00431381" w:rsidRDefault="00294D9F" w:rsidP="00EC0C92">
      <w:pPr>
        <w:spacing w:line="480" w:lineRule="auto"/>
        <w:jc w:val="both"/>
        <w:rPr>
          <w:rFonts w:ascii="Times New Roman" w:hAnsi="Times New Roman" w:cs="Times New Roman"/>
          <w:sz w:val="24"/>
          <w:szCs w:val="24"/>
        </w:rPr>
      </w:pPr>
      <w:r w:rsidRPr="00881E6A">
        <w:rPr>
          <w:rStyle w:val="jlqj4b"/>
          <w:rFonts w:ascii="Times New Roman" w:hAnsi="Times New Roman" w:cs="Times New Roman"/>
          <w:sz w:val="24"/>
          <w:szCs w:val="24"/>
          <w:lang w:val="en"/>
        </w:rPr>
        <w:t>Vaccination is a passive immunization method that largely or permanently removes the transmission of the epidemic pathogen within the species and prevents epidemics</w:t>
      </w:r>
      <w:r w:rsidR="004C0702" w:rsidRPr="00881E6A">
        <w:rPr>
          <w:rFonts w:ascii="Times New Roman" w:hAnsi="Times New Roman" w:cs="Times New Roman"/>
          <w:sz w:val="24"/>
          <w:szCs w:val="24"/>
        </w:rPr>
        <w:t>.</w:t>
      </w:r>
      <w:r w:rsidR="00A85B18" w:rsidRPr="00A85B18">
        <w:rPr>
          <w:rFonts w:ascii="Times New Roman" w:hAnsi="Times New Roman" w:cs="Times New Roman"/>
          <w:sz w:val="24"/>
          <w:szCs w:val="24"/>
        </w:rPr>
        <w:t xml:space="preserve"> </w:t>
      </w:r>
      <w:r w:rsidR="00A85B18" w:rsidRPr="00881E6A">
        <w:rPr>
          <w:rFonts w:ascii="Times New Roman" w:hAnsi="Times New Roman" w:cs="Times New Roman"/>
          <w:sz w:val="24"/>
          <w:szCs w:val="24"/>
        </w:rPr>
        <w:t xml:space="preserve">Classically, this immunization is obtained by inoculating the attenuated  or inactivated form of the </w:t>
      </w:r>
      <w:r w:rsidR="00A85B18" w:rsidRPr="00881E6A">
        <w:rPr>
          <w:rFonts w:ascii="Times New Roman" w:hAnsi="Times New Roman" w:cs="Times New Roman"/>
          <w:sz w:val="24"/>
          <w:szCs w:val="24"/>
        </w:rPr>
        <w:lastRenderedPageBreak/>
        <w:t xml:space="preserve">pathogen or the proteins that determine the virulence of the pathogen (capsule, toxin, etc.) </w:t>
      </w:r>
      <w:r w:rsidR="00A85B18" w:rsidRPr="00881E6A">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{"citationID":"aXOLUfnD","properties":{"formattedCitation":"\\super 1\\nosupersub{}","plainCitation":"1","noteIndex":0},"citationItems":[{"id":6275,"uris":["http://zotero.org/users/905211/items/8V4SY6K9"],"uri":["http://zotero.org/users/905211/items/8V4SY6K9"],"itemData":{"id":6275,"type":"book","language":"en","note":"Google-Books-ID: h9BQG90D9e4C","number-of-pages":"548","publisher":"Department of Health &amp; Human Services, Centers for Disease Control and Prevention","source":"Google Books","title":"Epidemiology and Prevention of Vaccine-preventable Diseases","issued":{"date-parts":[["2006"]]}}}],"schema":"https://github.com/citation-style-language/schema/raw/master/csl-citation.json"} </w:instrText>
      </w:r>
      <w:r w:rsidR="00A85B18" w:rsidRPr="00881E6A">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w:t>
      </w:r>
      <w:r w:rsidR="00A85B18" w:rsidRPr="00881E6A">
        <w:rPr>
          <w:rFonts w:ascii="Times New Roman" w:hAnsi="Times New Roman" w:cs="Times New Roman"/>
          <w:sz w:val="24"/>
          <w:szCs w:val="24"/>
        </w:rPr>
        <w:fldChar w:fldCharType="end"/>
      </w:r>
      <w:r w:rsidR="00A85B18" w:rsidRPr="00881E6A">
        <w:rPr>
          <w:rFonts w:ascii="Times New Roman" w:hAnsi="Times New Roman" w:cs="Times New Roman"/>
          <w:sz w:val="24"/>
          <w:szCs w:val="24"/>
        </w:rPr>
        <w:t>.</w:t>
      </w:r>
      <w:r w:rsidR="00A85B18" w:rsidRPr="00A85B18">
        <w:rPr>
          <w:rFonts w:ascii="Times New Roman" w:hAnsi="Times New Roman" w:cs="Times New Roman"/>
          <w:sz w:val="24"/>
          <w:szCs w:val="24"/>
        </w:rPr>
        <w:t xml:space="preserve"> </w:t>
      </w:r>
      <w:r w:rsidR="00A85B18" w:rsidRPr="00881E6A">
        <w:rPr>
          <w:rFonts w:ascii="Times New Roman" w:hAnsi="Times New Roman" w:cs="Times New Roman"/>
          <w:sz w:val="24"/>
          <w:szCs w:val="24"/>
        </w:rPr>
        <w:t>Modern vaccines are based genomic (mRNA, DNA vb ) and proteomics</w:t>
      </w:r>
      <w:r w:rsidR="00431381">
        <w:rPr>
          <w:rFonts w:ascii="Times New Roman" w:hAnsi="Times New Roman" w:cs="Times New Roman"/>
          <w:sz w:val="24"/>
          <w:szCs w:val="24"/>
        </w:rPr>
        <w:t>.</w:t>
      </w:r>
    </w:p>
    <w:p w:rsidR="0020217E" w:rsidRPr="0020217E" w:rsidRDefault="007708BD" w:rsidP="00EC0C92">
      <w:pPr>
        <w:spacing w:line="480" w:lineRule="auto"/>
        <w:jc w:val="both"/>
        <w:rPr>
          <w:rFonts w:ascii="Times New Roman" w:hAnsi="Times New Roman" w:cs="Times New Roman"/>
          <w:sz w:val="24"/>
          <w:szCs w:val="24"/>
        </w:rPr>
      </w:pPr>
      <w:r w:rsidRPr="00A12A88">
        <w:rPr>
          <w:rStyle w:val="jlqj4b"/>
          <w:rFonts w:ascii="Times New Roman" w:hAnsi="Times New Roman" w:cs="Times New Roman"/>
          <w:sz w:val="24"/>
          <w:szCs w:val="24"/>
          <w:lang w:val="en"/>
        </w:rPr>
        <w:t>Vaccination studies against RNA viruses such as human immunodeficiency virus (HIV), hepatitis C (HCV) and respiratory stress virus (RSV), which cause widespread disease worldwide, have so far failed.</w:t>
      </w:r>
      <w:r w:rsidR="00A12A88">
        <w:rPr>
          <w:rStyle w:val="jlqj4b"/>
          <w:rFonts w:ascii="Times New Roman" w:hAnsi="Times New Roman" w:cs="Times New Roman"/>
          <w:sz w:val="24"/>
          <w:szCs w:val="24"/>
          <w:lang w:val="en"/>
        </w:rPr>
        <w:t xml:space="preserve"> </w:t>
      </w:r>
      <w:r w:rsidR="00A12A88" w:rsidRPr="00881E6A">
        <w:rPr>
          <w:rFonts w:ascii="Times New Roman" w:hAnsi="Times New Roman" w:cs="Times New Roman"/>
          <w:sz w:val="24"/>
          <w:szCs w:val="24"/>
        </w:rPr>
        <w:t xml:space="preserve">After the discovery of an effective and immunogenic vaccine for measles and smallpox viruses and  </w:t>
      </w:r>
      <w:r w:rsidR="001827C1" w:rsidRPr="001827C1">
        <w:rPr>
          <w:rFonts w:ascii="Times New Roman" w:hAnsi="Times New Roman" w:cs="Times New Roman"/>
          <w:sz w:val="24"/>
          <w:szCs w:val="24"/>
        </w:rPr>
        <w:t xml:space="preserve">implementation of widespread vaccination programme </w:t>
      </w:r>
      <w:r w:rsidR="00A12A88" w:rsidRPr="00881E6A">
        <w:rPr>
          <w:rFonts w:ascii="Times New Roman" w:hAnsi="Times New Roman" w:cs="Times New Roman"/>
          <w:sz w:val="24"/>
          <w:szCs w:val="24"/>
        </w:rPr>
        <w:t>resulted in diseases disappearance to a large extent and eradication at the world, respectively.</w:t>
      </w:r>
      <w:r w:rsidR="00A12A88" w:rsidRPr="00881E6A">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{"citationID":"TvWUC5b6","properties":{"formattedCitation":"\\super 2\\nosupersub{}","plainCitation":"2","noteIndex":0},"citationItems":[{"id":6247,"uris":["http://zotero.org/users/905211/items/XJJQ94WR"],"uri":["http://zotero.org/users/905211/items/XJJQ94WR"],"itemData":{"id":6247,"type":"article-journal","abstract":"Recent progress in reducing global measles mortality has renewed interest in measles eradication. Three biological criteria are deemed important for disease eradication: (1) humans are the sole pathogen reservoir; (2) accurate diagnostic tests exist; and (3) an effective, practical intervention is available at reasonable cost. Interruption of transmission in large geographical areas for prolonged periods further supports the feasibility of eradication. Measles is thought by many experts to meet these criteria: no nonhuman reservoir is known to exist, accurate diagnostic tests are available, and attenuated measles vaccines are effective and immunogenic. Measles has been eliminated in large geographical areas, including the Americas. Measles eradication is biologically feasible. The challenges for measles eradication will be logistical, political, and financial.","container-title":"The Journal of Infectious Diseases","DOI":"10.1093/infdis/jir065","ISSN":"1537-6613","journalAbbreviation":"J Infect Dis","language":"eng","note":"PMID: 21666201\nPMCID: PMC3112320","page":"S47-53","source":"PubMed","title":"Biological feasibility of measles eradication","volume":"204 Suppl 1","author":[{"family":"Moss","given":"William J."},{"family":"Strebel","given":"Peter"}],"issued":{"date-parts":[["2011",7]]}}}],"schema":"https://github.com/citation-style-language/schema/raw/master/csl-citation.json"} </w:instrText>
      </w:r>
      <w:r w:rsidR="00A12A88" w:rsidRPr="00881E6A">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2</w:t>
      </w:r>
      <w:r w:rsidR="00A12A88" w:rsidRPr="00881E6A">
        <w:rPr>
          <w:rFonts w:ascii="Times New Roman" w:hAnsi="Times New Roman" w:cs="Times New Roman"/>
          <w:sz w:val="24"/>
          <w:szCs w:val="24"/>
        </w:rPr>
        <w:fldChar w:fldCharType="end"/>
      </w:r>
      <w:r w:rsidR="00A85B18">
        <w:rPr>
          <w:rFonts w:ascii="Times New Roman" w:hAnsi="Times New Roman" w:cs="Times New Roman"/>
          <w:sz w:val="24"/>
          <w:szCs w:val="24"/>
        </w:rPr>
        <w:t xml:space="preserve"> </w:t>
      </w:r>
      <w:r w:rsidR="0020217E" w:rsidRPr="00881E6A">
        <w:rPr>
          <w:rStyle w:val="jlqj4b"/>
          <w:rFonts w:ascii="Times New Roman" w:hAnsi="Times New Roman" w:cs="Times New Roman"/>
          <w:sz w:val="24"/>
          <w:szCs w:val="24"/>
          <w:lang w:val="en"/>
        </w:rPr>
        <w:t xml:space="preserve">However, every virus and developed vaccine should be evaluated in its subjectivity. </w:t>
      </w:r>
      <w:r w:rsidR="0020217E">
        <w:rPr>
          <w:rStyle w:val="jlqj4b"/>
          <w:rFonts w:ascii="Times New Roman" w:hAnsi="Times New Roman" w:cs="Times New Roman"/>
          <w:sz w:val="24"/>
          <w:szCs w:val="24"/>
          <w:lang w:val="en"/>
        </w:rPr>
        <w:t>For instance, t</w:t>
      </w:r>
      <w:r w:rsidR="0020217E" w:rsidRPr="00B366F9">
        <w:rPr>
          <w:rStyle w:val="jlqj4b"/>
          <w:rFonts w:ascii="Times New Roman" w:hAnsi="Times New Roman" w:cs="Times New Roman"/>
          <w:sz w:val="24"/>
          <w:szCs w:val="24"/>
          <w:lang w:val="en"/>
        </w:rPr>
        <w:t>he mismatch of influenza vaccine strains with circulating viruses have limits the effectiveness of the vaccine</w:t>
      </w:r>
      <w:r w:rsidR="0020217E">
        <w:rPr>
          <w:rStyle w:val="jlqj4b"/>
          <w:rFonts w:ascii="Times New Roman" w:hAnsi="Times New Roman" w:cs="Times New Roman"/>
          <w:sz w:val="24"/>
          <w:szCs w:val="24"/>
          <w:lang w:val="en"/>
        </w:rPr>
        <w:fldChar w:fldCharType="begin"/>
      </w:r>
      <w:r w:rsidR="00327F55">
        <w:rPr>
          <w:rStyle w:val="jlqj4b"/>
          <w:rFonts w:ascii="Times New Roman" w:hAnsi="Times New Roman" w:cs="Times New Roman"/>
          <w:sz w:val="24"/>
          <w:szCs w:val="24"/>
          <w:lang w:val="en"/>
        </w:rPr>
        <w:instrText xml:space="preserve"> ADDIN ZOTERO_ITEM CSL_CITATION {"citationID":"MiKemo3i","properties":{"formattedCitation":"\\super 3\\nosupersub{}","plainCitation":"3","noteIndex":0},"citationItems":[{"id":6328,"uris":["http://zotero.org/users/905211/items/EKTYTM4L"],"uri":["http://zotero.org/users/905211/items/EKTYTM4L"],"itemData":{"id":6328,"type":"article-journal","abstract":"The World Health Organization selects influenza vaccine compositions biannually to cater to peaks in temperate regions. In tropical and subtropical regions, where influenza seasonality varies and epidemics can occur year-round, the choice of vaccine remains uncertain. Our 17-year molecular epidemiologic survey showed that most influenza A(H3N2) (9/11) and B (6/7) vaccine strains had circulated in East Asia &gt;1 year before inclusion into vaccines. Northern Hemisphere vaccine strains and circulating strains in East Asia were closely matched in 7 (20.6%) of 34 seasons for H3N2 and 5 (14.7%) of 34 seasons for B. Southern Hemisphere vaccines also had a low probability of matching (H3N2, 14.7%; B, 11.1%). Strain drift among seasons was common (H3N2, 41.2%; B, 35.3%), and biannual vaccination strategy (Northern Hemisphere vaccines in November followed by Southern Hemisphere vaccines in May) did not improve matching. East Asia is an important contributor to influenza surveillance but often has mismatch between vaccine and contemporarily circulating strains.","container-title":"Emerging Infectious Diseases","DOI":"10.3201/eid2410.180652","ISSN":"1080-6040","issue":"10","journalAbbreviation":"Emerg Infect Dis","note":"PMID: 30226188\nPMCID: PMC6154132","page":"1825-1834","source":"PubMed Central","title":"Frequent Genetic Mismatch between Vaccine Strains and Circulating Seasonal Influenza Viruses, Hong Kong, China, 1996–2012","volume":"24","author":[{"family":"Chan","given":"Martin C.W."},{"family":"Wang","given":"Maggie H."},{"family":"Chen","given":"Zigui"},{"family":"Hui","given":"David S.C."},{"family":"Kwok","given":"Angela K."},{"family":"Yeung","given":"Apple C.M."},{"family":"Liu","given":"Kun M."},{"family":"Yeoh","given":"Yun Kit"},{"family":"Lee","given":"Nelson"},{"family":"Chan","given":"Paul K.S."}],"issued":{"date-parts":[["2018",10]]}}}],"schema":"https://github.com/citation-style-language/schema/raw/master/csl-citation.json"} </w:instrText>
      </w:r>
      <w:r w:rsidR="0020217E">
        <w:rPr>
          <w:rStyle w:val="jlqj4b"/>
          <w:rFonts w:ascii="Times New Roman" w:hAnsi="Times New Roman" w:cs="Times New Roman"/>
          <w:sz w:val="24"/>
          <w:szCs w:val="24"/>
          <w:lang w:val="en"/>
        </w:rPr>
        <w:fldChar w:fldCharType="separate"/>
      </w:r>
      <w:r w:rsidR="00327F55" w:rsidRPr="00327F55">
        <w:rPr>
          <w:rFonts w:ascii="Times New Roman" w:hAnsi="Times New Roman" w:cs="Times New Roman"/>
          <w:sz w:val="24"/>
          <w:szCs w:val="24"/>
          <w:vertAlign w:val="superscript"/>
        </w:rPr>
        <w:t>3</w:t>
      </w:r>
      <w:r w:rsidR="0020217E">
        <w:rPr>
          <w:rStyle w:val="jlqj4b"/>
          <w:rFonts w:ascii="Times New Roman" w:hAnsi="Times New Roman" w:cs="Times New Roman"/>
          <w:sz w:val="24"/>
          <w:szCs w:val="24"/>
          <w:lang w:val="en"/>
        </w:rPr>
        <w:fldChar w:fldCharType="end"/>
      </w:r>
      <w:r w:rsidR="0020217E" w:rsidRPr="00B366F9">
        <w:rPr>
          <w:rStyle w:val="jlqj4b"/>
          <w:rFonts w:ascii="Times New Roman" w:hAnsi="Times New Roman" w:cs="Times New Roman"/>
          <w:sz w:val="24"/>
          <w:szCs w:val="24"/>
          <w:lang w:val="en"/>
        </w:rPr>
        <w:t>.</w:t>
      </w:r>
      <w:r w:rsidR="0020217E">
        <w:rPr>
          <w:rStyle w:val="jlqj4b"/>
          <w:rFonts w:ascii="Times New Roman" w:hAnsi="Times New Roman" w:cs="Times New Roman"/>
          <w:sz w:val="24"/>
          <w:szCs w:val="24"/>
          <w:lang w:val="en"/>
        </w:rPr>
        <w:t xml:space="preserve"> </w:t>
      </w:r>
      <w:r w:rsidR="0020217E" w:rsidRPr="008721B1">
        <w:rPr>
          <w:rFonts w:ascii="Times New Roman" w:hAnsi="Times New Roman" w:cs="Times New Roman"/>
          <w:sz w:val="24"/>
          <w:szCs w:val="24"/>
          <w:lang w:val="en"/>
        </w:rPr>
        <w:t>For this reason, new chimeric influenza vaccine studies continue even 80 years after the first influenza vaccine was developed.</w:t>
      </w:r>
      <w:r w:rsidR="0020217E">
        <w:rPr>
          <w:rFonts w:ascii="Times New Roman" w:hAnsi="Times New Roman" w:cs="Times New Roman"/>
          <w:sz w:val="24"/>
          <w:szCs w:val="24"/>
          <w:lang w:val="en"/>
        </w:rPr>
        <w:t xml:space="preserve"> </w:t>
      </w:r>
    </w:p>
    <w:p w:rsidR="00A12A88" w:rsidRDefault="00A12A88" w:rsidP="00EC0C92">
      <w:pPr>
        <w:spacing w:line="480" w:lineRule="auto"/>
        <w:jc w:val="both"/>
        <w:rPr>
          <w:rFonts w:ascii="Times New Roman" w:hAnsi="Times New Roman" w:cs="Times New Roman"/>
          <w:sz w:val="24"/>
          <w:szCs w:val="24"/>
        </w:rPr>
      </w:pPr>
      <w:r w:rsidRPr="00A12A88">
        <w:rPr>
          <w:rFonts w:ascii="Times New Roman" w:hAnsi="Times New Roman" w:cs="Times New Roman"/>
          <w:sz w:val="24"/>
          <w:szCs w:val="24"/>
          <w:lang w:val="en"/>
        </w:rPr>
        <w:t xml:space="preserve">The similarities and main differences regarding measles, smallpox, and SARS-Cov-2 virus, disease and vaccines are summarized in </w:t>
      </w:r>
      <w:r w:rsidRPr="00A12A88">
        <w:rPr>
          <w:rFonts w:ascii="Times New Roman" w:hAnsi="Times New Roman" w:cs="Times New Roman"/>
          <w:b/>
          <w:sz w:val="24"/>
          <w:szCs w:val="24"/>
          <w:lang w:val="en"/>
        </w:rPr>
        <w:t>Table 1</w:t>
      </w:r>
      <w:r>
        <w:rPr>
          <w:rFonts w:ascii="Times New Roman" w:hAnsi="Times New Roman" w:cs="Times New Roman"/>
          <w:sz w:val="24"/>
          <w:szCs w:val="24"/>
        </w:rPr>
        <w:t>.</w:t>
      </w:r>
    </w:p>
    <w:p w:rsidR="007946CD" w:rsidRPr="00783D76" w:rsidRDefault="00A12A88" w:rsidP="00EC0C92">
      <w:pPr>
        <w:spacing w:line="480" w:lineRule="auto"/>
        <w:jc w:val="both"/>
        <w:rPr>
          <w:rFonts w:ascii="Times New Roman" w:hAnsi="Times New Roman" w:cs="Times New Roman"/>
          <w:sz w:val="24"/>
          <w:szCs w:val="24"/>
          <w:lang w:val="en"/>
        </w:rPr>
      </w:pPr>
      <w:r w:rsidRPr="00881E6A">
        <w:rPr>
          <w:rFonts w:ascii="Times New Roman" w:hAnsi="Times New Roman" w:cs="Times New Roman"/>
          <w:sz w:val="24"/>
          <w:szCs w:val="24"/>
        </w:rPr>
        <w:t>İThe coexistence of humans with microflora members has been possible as a result of the co-evolution developed after repeated encounters with these agents for billions of years.</w:t>
      </w:r>
      <w:r w:rsidRPr="00881E6A">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{"citationID":"Gz8Qyi05","properties":{"formattedCitation":"\\super 4\\nosupersub{}","plainCitation":"4","noteIndex":0},"citationItems":[{"id":6269,"uris":["http://zotero.org/users/905211/items/G86GQ77D"],"uri":["http://zotero.org/users/905211/items/G86GQ77D"],"itemData":{"id":6269,"type":"article-journal","abstract":"Comparative analyses between microbial communities in the human gut versus diverse other environments can help elucidate the environmental and evolutionary parameters that shape our intestinal microbiota. Here we use published 16S ribosomal RNA gene sequences to compare the bacterial assemblages that are associated with humans, other mammals, other metazoa and free-living microbial communities that span a range of environmental conditions.Gut microorganisms and their animal hosts have co-evolved, and exploitation of a new diet niche is a powerful driver of the co-evolution of hosts and gut bacteria.Gut microbial communities are distinct from those of other characterized habitats in the biosphere.The vast dichotomy between vertebrate gut and free-living communities is evident from the bacterial phyla that comprise them, which indicates that strong selective forces differentiated gut-dwelling bacteria regardless of their lineage.Most extant mammals are herbivores. The microbial 'solution' to herbivory in mammals with either a simple gut, hindgut or foregut seems to be similar, regardless of host phylogeny: that is, promiscuous gut microorganisms seem to have made it possible for 'unrelated' mammals with similar gut structures to assemble similar microbial communities to digest their polysaccharide-rich diets. This 'bottom-up' perspective of evolution implies that gut microorganisms are unindicted co-conspirators in the spectacular success of mammals.Although few humans have been sampled to date, we seem to be typical omnivores that can be placed together with our omnivorous primate relatives. The recently initiated, international Human Microbiome Project should strive to include a wide representation of humans, as well as other mammals and environmental samples; comparative analyses of microbiotas and their microbiomes are a powerful and timely way to explore the evolutionary history of the biosphere.","container-title":"Nature Reviews Microbiology","DOI":"10.1038/nrmicro1978","ISSN":"1740-1534","issue":"10","language":"en","note":"number: 10\npublisher: Nature Publishing Group","page":"776-788","source":"www.nature.com","title":"Worlds within worlds: evolution of the vertebrate gut microbiota","title-short":"Worlds within worlds","volume":"6","author":[{"family":"Ley","given":"Ruth E."},{"family":"Lozupone","given":"Catherine A."},{"family":"Hamady","given":"Micah"},{"family":"Knight","given":"Rob"},{"family":"Gordon","given":"Jeffrey I."}],"issued":{"date-parts":[["2008",10]]}}}],"schema":"https://github.com/citation-style-language/schema/raw/master/csl-citation.json"} </w:instrText>
      </w:r>
      <w:r w:rsidRPr="00881E6A">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4</w:t>
      </w:r>
      <w:r w:rsidRPr="00881E6A">
        <w:rPr>
          <w:rFonts w:ascii="Times New Roman" w:hAnsi="Times New Roman" w:cs="Times New Roman"/>
          <w:sz w:val="24"/>
          <w:szCs w:val="24"/>
        </w:rPr>
        <w:fldChar w:fldCharType="end"/>
      </w:r>
      <w:r w:rsidRPr="00881E6A">
        <w:rPr>
          <w:rFonts w:ascii="Times New Roman" w:hAnsi="Times New Roman" w:cs="Times New Roman"/>
          <w:sz w:val="24"/>
          <w:szCs w:val="24"/>
        </w:rPr>
        <w:t xml:space="preserve"> Epidemics are incurred under the combination of appropriate biological factors by the some pathogens that are not non-members of microflora. İntra-species antigenic shifts  or drifts and </w:t>
      </w:r>
      <w:r w:rsidRPr="00E51B44">
        <w:rPr>
          <w:rFonts w:ascii="Times New Roman" w:hAnsi="Times New Roman" w:cs="Times New Roman"/>
          <w:iCs/>
          <w:sz w:val="24"/>
          <w:szCs w:val="24"/>
        </w:rPr>
        <w:t>inter-species</w:t>
      </w:r>
      <w:r w:rsidRPr="00E51B44">
        <w:rPr>
          <w:rFonts w:ascii="Times New Roman" w:hAnsi="Times New Roman" w:cs="Times New Roman"/>
          <w:sz w:val="24"/>
          <w:szCs w:val="24"/>
        </w:rPr>
        <w:t xml:space="preserve"> spillover </w:t>
      </w:r>
      <w:r w:rsidRPr="00881E6A">
        <w:rPr>
          <w:rFonts w:ascii="Times New Roman" w:hAnsi="Times New Roman" w:cs="Times New Roman"/>
          <w:sz w:val="24"/>
          <w:szCs w:val="24"/>
        </w:rPr>
        <w:t>are the main feature of the epidemics</w:t>
      </w:r>
      <w:r>
        <w:rPr>
          <w:rFonts w:ascii="Times New Roman" w:hAnsi="Times New Roman" w:cs="Times New Roman"/>
          <w:sz w:val="24"/>
          <w:szCs w:val="24"/>
        </w:rPr>
        <w:t xml:space="preserve">.  </w:t>
      </w:r>
      <w:r w:rsidR="007708BD" w:rsidRPr="00881E6A">
        <w:rPr>
          <w:rFonts w:ascii="Times New Roman" w:hAnsi="Times New Roman" w:cs="Times New Roman"/>
          <w:sz w:val="24"/>
          <w:szCs w:val="24"/>
        </w:rPr>
        <w:t xml:space="preserve">It is thought that the archaic ancestors of both viruses evolved by transitioning from possible zoonotic sources (bats) to human and close species (distemper virus infecting cats and dogs, cowpox virus infecting cattle) </w:t>
      </w:r>
      <w:r w:rsidR="007708BD" w:rsidRPr="00881E6A">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{"citationID":"uALtshIm","properties":{"formattedCitation":"\\super 5\\uc0\\u8211{}7\\nosupersub{}","plainCitation":"5–7","noteIndex":0},"citationItems":[{"id":6241,"uris":["http://zotero.org/users/905211/items/TKC6MEQA"],"uri":["http://zotero.org/users/905211/items/TKC6MEQA"],"itemData":{"id":6241,"type":"article-journal","abstract":"Poxviruses as a group can infect a large number of animals. However, at the level of individual viruses, even closely related poxviruses display highly diverse host ranges and virulence. For example, variola virus, the causative agent of smallpox, is human-specific and highly virulent only to humans, whereas related cowpox viruses naturally infect a broad spectrum of animals and only cause relatively mild disease in humans. The successful replication of poxviruses depends on their effective manipulation of the host antiviral responses, at the cellular-, tissue- and species-specific levels, which constitutes a molecular basis for differences in poxvirus host range and virulence. A number of poxvirus genes have been identified that possess host range function in experimental settings, and many of these host range genes target specific antiviral host pathways. Herein, we review the biology of poxviruses with a focus on host range, zoonotic infections, virulence, genomics and host range genes as well as the current knowledge about the function of poxvirus host range factors and how their interaction with the host innate immune system contributes to poxvirus host range and virulence. We further discuss the evolution of host range and virulence in poxviruses as well as host switches and potential poxvirus threats for human and animal health.","container-title":"Infection, Genetics and Evolution: Journal of Molecular Epidemiology and Evolutionary Genetics in Infectious Diseases","DOI":"10.1016/j.meegid.2013.10.014","ISSN":"1567-7257","journalAbbreviation":"Infect Genet Evol","language":"eng","note":"PMID: 24161410\nPMCID: PMC3945082","page":"15-40","source":"PubMed","title":"Poxviruses and the evolution of host range and virulence","volume":"21","author":[{"family":"Haller","given":"Sherry L."},{"family":"Peng","given":"Chen"},{"family":"McFadden","given":"Grant"},{"family":"Rothenburg","given":"Stefan"}],"issued":{"date-parts":[["2014",1]]}},"label":"page"},{"id":6239,"uris":["http://zotero.org/users/905211/items/N9E2CH5Z"],"uri":["http://zotero.org/users/905211/items/N9E2CH5Z"],"itemData":{"id":6239,"type":"article-journal","abstract":"Groups of 6-39 monoclonal antibodies identifying 3-18 distinct epitopes on the nucleoprotein (NP), polymerase (P), hemagglutinin (H; equivalent in canine distemper and rinderpest viruses), and fusion (F) components of measles and canine distemper viruses were characterized in immunofluorescence tests with fixed Vero cell cultures infected with measles, canine distemper and rinderpest viruses. The majority of NP-specific monoclonal antibodies reacted with all three viruses, but one-third of the antibodies only reacted with the homologous virus. A few antibodies detected epitopes uniquely shared between either measles and rinderpest viruses or canine distemper and rinderpest viruses. Of the P-specific antibodies, two-thirds only reacted with the homologous virus, one antibody detected an epitope shared between canine distemper and rinderpest viruses, and the rest reacted with all three viruses. Also, the majority of antibodies against the H component were type-specific, but four antibodies reacted both with measles and rinderpest viruses. In contrast, the F component was antigenically highly conserved. 17 of 21 antibodies against this component reacted with all three viruses; one antibody reacted only with measles and rinderpest virus F components, and three antibodies reacted only with the homologous virus. No monoclonal antibody of any specificity selectively reacted with only measles and canine distemper viruses. Furthermore, the measles virus H component appeared to be more closely related to the equivalent rinderpest virus component than to the canine distemper virus component. Thus, it is proposed that rinderpest virus is the archevirus of the morbillivirus group from which canine distemper virus was first to evolve and, more recently (perhaps about 5,000 years ago), measles virus.","container-title":"Intervirology","DOI":"10.1159/000149609","ISSN":"0300-5526","issue":"4","journalAbbreviation":"Intervirology","language":"eng","note":"PMID: 2409055","page":"228-232","source":"PubMed","title":"Is rinderpest virus the archevirus of the Morbillivirus genus?","volume":"23","author":[{"family":"Norrby","given":"E."},{"family":"Sheshberadaran","given":"H."},{"family":"McCullough","given":"K. C."},{"family":"Carpenter","given":"W. C."},{"family":"Orvell","given":"C."}],"issued":{"date-parts":[["1985"]]}},"label":"page"},{"id":6244,"uris":["http://zotero.org/users/905211/items/LPKJI7L9"],"uri":["http://zotero.org/users/905211/items/LPKJI7L9"],"itemData":{"id":6244,"type":"article-journal","abstract":"The large virus family Paramyxoviridae includes some of the most significant human and livestock viruses, such as measles-, distemper-, mumps-, parainfluenza-, Newcastle disease-, respiratory syncytial virus and metapneumoviruses. Here we identify an estimated 66 new paramyxoviruses in a worldwide sample of 119 bat and rodent species (9,278 individuals). Major discoveries include evidence of an origin of Hendra- and Nipah virus in Africa, identification of a bat virus conspecific with the human mumps virus, detection of close relatives of respiratory syncytial virus, mouse pneumonia- and canine distemper virus in bats, as well as direct evidence of Sendai virus in rodents. Phylogenetic reconstruction of host associations suggests a predominance of host switches from bats to other mammals and birds. Hypothesis tests in a maximum likelihood framework permit the phylogenetic placement of bats as tentative hosts at ancestral nodes to both the major Paramyxoviridae subfamilies (Paramyxovirinae and Pneumovirinae). Future attempts to predict the emergence of novel paramyxoviruses in humans and livestock will have to rely fundamentally on these data.","container-title":"Nature Communications","DOI":"10.1038/ncomms1796","ISSN":"2041-1723","journalAbbreviation":"Nat Commun","language":"eng","note":"PMID: 22531181\nPMCID: PMC3343228","page":"796","source":"PubMed","title":"Bats host major mammalian paramyxoviruses","volume":"3","author":[{"family":"Drexler","given":"Jan Felix"},{"family":"Corman","given":"Victor Max"},{"family":"Müller","given":"Marcel Alexander"},{"family":"Maganga","given":"Gael Darren"},{"family":"Vallo","given":"Peter"},{"family":"Binger","given":"Tabea"},{"family":"Gloza-Rausch","given":"Florian"},{"family":"Cottontail","given":"Veronika M."},{"family":"Rasche","given":"Andrea"},{"family":"Yordanov","given":"Stoian"},{"family":"Seebens","given":"Antje"},{"family":"Knörnschild","given":"Mirjam"},{"family":"Oppong","given":"Samuel"},{"family":"Adu Sarkodie","given":"Yaw"},{"family":"Pongombo","given":"Célestin"},{"family":"Lukashev","given":"Alexander N."},{"family":"Schmidt-Chanasit","given":"Jonas"},{"family":"Stöcker","given":"Andreas"},{"family":"Carneiro","given":"Aroldo José Borges"},{"family":"Erbar","given":"Stephanie"},{"family":"Maisner","given":"Andrea"},{"family":"Fronhoffs","given":"Florian"},{"family":"Buettner","given":"Reinhard"},{"family":"Kalko","given":"Elisabeth K. V."},{"family":"Kruppa","given":"Thomas"},{"family":"Franke","given":"Carlos Roberto"},{"family":"Kallies","given":"René"},{"family":"Yandoko","given":"Emmanuel R. N."},{"family":"Herrler","given":"Georg"},{"family":"Reusken","given":"Chantal"},{"family":"Hassanin","given":"Alexandre"},{"family":"Krüger","given":"Detlev H."},{"family":"Matthee","given":"Sonja"},{"family":"Ulrich","given":"Rainer G."},{"family":"Leroy","given":"Eric M."},{"family":"Drosten","given":"Christian"}],"issued":{"date-parts":[["2012",4,24]]}},"label":"page"}],"schema":"https://github.com/citation-style-language/schema/raw/master/csl-citation.json"} </w:instrText>
      </w:r>
      <w:r w:rsidR="007708BD" w:rsidRPr="00881E6A">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5–7</w:t>
      </w:r>
      <w:r w:rsidR="007708BD" w:rsidRPr="00881E6A">
        <w:rPr>
          <w:rFonts w:ascii="Times New Roman" w:hAnsi="Times New Roman" w:cs="Times New Roman"/>
          <w:sz w:val="24"/>
          <w:szCs w:val="24"/>
        </w:rPr>
        <w:fldChar w:fldCharType="end"/>
      </w:r>
      <w:r w:rsidR="007708BD" w:rsidRPr="00881E6A">
        <w:rPr>
          <w:rFonts w:ascii="Times New Roman" w:hAnsi="Times New Roman" w:cs="Times New Roman"/>
          <w:sz w:val="24"/>
          <w:szCs w:val="24"/>
        </w:rPr>
        <w:t xml:space="preserve">. </w:t>
      </w:r>
      <w:r w:rsidR="007708BD" w:rsidRPr="00881E6A">
        <w:rPr>
          <w:rStyle w:val="jlqj4b"/>
          <w:rFonts w:ascii="Times New Roman" w:hAnsi="Times New Roman" w:cs="Times New Roman"/>
          <w:sz w:val="24"/>
          <w:szCs w:val="24"/>
          <w:lang w:val="en"/>
        </w:rPr>
        <w:t xml:space="preserve">To date, </w:t>
      </w:r>
      <w:r w:rsidR="00285759">
        <w:rPr>
          <w:rStyle w:val="jlqj4b"/>
          <w:rFonts w:ascii="Times New Roman" w:hAnsi="Times New Roman" w:cs="Times New Roman"/>
          <w:sz w:val="24"/>
          <w:szCs w:val="24"/>
          <w:lang w:val="en"/>
        </w:rPr>
        <w:t xml:space="preserve">human </w:t>
      </w:r>
      <w:r w:rsidR="007708BD" w:rsidRPr="00881E6A">
        <w:rPr>
          <w:rStyle w:val="jlqj4b"/>
          <w:rFonts w:ascii="Times New Roman" w:hAnsi="Times New Roman" w:cs="Times New Roman"/>
          <w:sz w:val="24"/>
          <w:szCs w:val="24"/>
          <w:lang w:val="en"/>
        </w:rPr>
        <w:t xml:space="preserve">measles and </w:t>
      </w:r>
      <w:r w:rsidR="00285759">
        <w:rPr>
          <w:rStyle w:val="jlqj4b"/>
          <w:rFonts w:ascii="Times New Roman" w:hAnsi="Times New Roman" w:cs="Times New Roman"/>
          <w:sz w:val="24"/>
          <w:szCs w:val="24"/>
          <w:lang w:val="en"/>
        </w:rPr>
        <w:t xml:space="preserve">human </w:t>
      </w:r>
      <w:r w:rsidR="007708BD" w:rsidRPr="00881E6A">
        <w:rPr>
          <w:rStyle w:val="jlqj4b"/>
          <w:rFonts w:ascii="Times New Roman" w:hAnsi="Times New Roman" w:cs="Times New Roman"/>
          <w:sz w:val="24"/>
          <w:szCs w:val="24"/>
          <w:lang w:val="en"/>
        </w:rPr>
        <w:t>smallpox viruses have not been shown to cause non-human disease.</w:t>
      </w:r>
      <w:r w:rsidR="007708BD">
        <w:rPr>
          <w:rFonts w:ascii="Times New Roman" w:hAnsi="Times New Roman" w:cs="Times New Roman"/>
          <w:sz w:val="24"/>
          <w:szCs w:val="24"/>
        </w:rPr>
        <w:t xml:space="preserve"> </w:t>
      </w:r>
      <w:r w:rsidR="007708BD" w:rsidRPr="00881E6A">
        <w:rPr>
          <w:rFonts w:ascii="Times New Roman" w:hAnsi="Times New Roman" w:cs="Times New Roman"/>
          <w:sz w:val="24"/>
          <w:szCs w:val="24"/>
          <w:lang w:val="en"/>
        </w:rPr>
        <w:t>The animal reservoir of the SARS-CoV-2 virus before human transmission is not yet known. Its current form presence has also been shown in some animal species</w:t>
      </w:r>
      <w:r w:rsidR="007946CD">
        <w:rPr>
          <w:rFonts w:ascii="Times New Roman" w:hAnsi="Times New Roman" w:cs="Times New Roman"/>
          <w:sz w:val="24"/>
          <w:szCs w:val="24"/>
          <w:lang w:val="en"/>
        </w:rPr>
        <w:fldChar w:fldCharType="begin"/>
      </w:r>
      <w:r w:rsidR="00327F55">
        <w:rPr>
          <w:rFonts w:ascii="Times New Roman" w:hAnsi="Times New Roman" w:cs="Times New Roman"/>
          <w:sz w:val="24"/>
          <w:szCs w:val="24"/>
          <w:lang w:val="en"/>
        </w:rPr>
        <w:instrText xml:space="preserve"> ADDIN ZOTERO_ITEM CSL_CITATION {"citationID":"S0Gx0DDz","properties":{"formattedCitation":"\\super 8\\nosupersub{}","plainCitation":"8","noteIndex":0},"citationItems":[{"id":6337,"uris":["http://zotero.org/users/905211/items/PAJ99XAJ"],"uri":["http://zotero.org/users/905211/items/PAJ99XAJ"],"itemData":{"id":6337,"type":"article-journal","abstract":"Severe acute respiratory syndrome coronavirus 2 (SARS-CoV-2) was first detected in Wuhan in December 2019 and caused coronavirus disease 2019 (COVID-19)1,2. In 2003, the closely related SARS-CoV had been detected in domestic cats and a dog3. However, little is known about the susceptibility of domestic pet mammals to SARS-CoV-2. Here, using PCR with reverse transcription, serology, sequencing the viral genome and virus isolation, we show that 2 out of 15 dogs from households with confirmed human cases of COVID-19 in Hong Kong were found to be infected with SARS-CoV-2. SARS-CoV-2 RNA was detected in five nasal swabs collected over a 13-day period from a 17-year-old neutered male Pomeranian. A 2.5-year-old male German shepherd was positive for SARS-CoV-2 RNA on two occasions and virus was isolated from nasal and oral swabs. Antibody responses were detected in both dogs using plaque-reduction-neutralization assays. Viral genetic sequences of viruses from the two dogs were identical to the virus detected in the respective human cases. The dogs remained asymptomatic during quarantine. The evidence suggests that these are instances of human-to-animal transmission of SARS-CoV-2. It is unclear whether infected dogs can transmit the virus to other animals or back to humans.","container-title":"Nature","DOI":"10.1038/s41586-020-2334-5","ISSN":"1476-4687","issue":"7831","journalAbbreviation":"Nature","language":"eng","note":"PMID: 32408337\nPMCID: PMC7606701","page":"776-778","source":"PubMed","title":"Infection of dogs with SARS-CoV-2","volume":"586","author":[{"family":"Sit","given":"Thomas H. C."},{"family":"Brackman","given":"Christopher J."},{"family":"Ip","given":"Sin Ming"},{"family":"Tam","given":"Karina W. S."},{"family":"Law","given":"Pierra Y. T."},{"family":"To","given":"Esther M. W."},{"family":"Yu","given":"Veronica Y. T."},{"family":"Sims","given":"Leslie D."},{"family":"Tsang","given":"Dominic N. C."},{"family":"Chu","given":"Daniel K. W."},{"family":"Perera","given":"Ranawaka A. P. M."},{"family":"Poon","given":"Leo L. M."},{"family":"Peiris","given":"Malik"}],"issued":{"date-parts":[["2020",10]]}}}],"schema":"https://github.com/citation-style-language/schema/raw/master/csl-citation.json"} </w:instrText>
      </w:r>
      <w:r w:rsidR="007946CD">
        <w:rPr>
          <w:rFonts w:ascii="Times New Roman" w:hAnsi="Times New Roman" w:cs="Times New Roman"/>
          <w:sz w:val="24"/>
          <w:szCs w:val="24"/>
          <w:lang w:val="en"/>
        </w:rPr>
        <w:fldChar w:fldCharType="separate"/>
      </w:r>
      <w:r w:rsidR="00327F55" w:rsidRPr="00327F55">
        <w:rPr>
          <w:rFonts w:ascii="Times New Roman" w:hAnsi="Times New Roman" w:cs="Times New Roman"/>
          <w:sz w:val="24"/>
          <w:szCs w:val="24"/>
          <w:vertAlign w:val="superscript"/>
        </w:rPr>
        <w:t>8</w:t>
      </w:r>
      <w:r w:rsidR="007946CD">
        <w:rPr>
          <w:rFonts w:ascii="Times New Roman" w:hAnsi="Times New Roman" w:cs="Times New Roman"/>
          <w:sz w:val="24"/>
          <w:szCs w:val="24"/>
          <w:lang w:val="en"/>
        </w:rPr>
        <w:fldChar w:fldCharType="end"/>
      </w:r>
      <w:r w:rsidR="00783D76">
        <w:rPr>
          <w:rFonts w:ascii="Times New Roman" w:hAnsi="Times New Roman" w:cs="Times New Roman"/>
          <w:sz w:val="24"/>
          <w:szCs w:val="24"/>
          <w:lang w:val="en"/>
        </w:rPr>
        <w:t xml:space="preserve">. </w:t>
      </w:r>
      <w:r w:rsidR="007946CD" w:rsidRPr="00A12A88">
        <w:rPr>
          <w:rFonts w:ascii="Times New Roman" w:hAnsi="Times New Roman" w:cs="Times New Roman"/>
          <w:sz w:val="24"/>
          <w:szCs w:val="24"/>
        </w:rPr>
        <w:t>M</w:t>
      </w:r>
      <w:r w:rsidR="00375E74">
        <w:rPr>
          <w:rFonts w:ascii="Times New Roman" w:hAnsi="Times New Roman" w:cs="Times New Roman"/>
          <w:sz w:val="24"/>
          <w:szCs w:val="24"/>
        </w:rPr>
        <w:t xml:space="preserve">easles and smallpox vaccines </w:t>
      </w:r>
      <w:r w:rsidR="007946CD" w:rsidRPr="00A12A88">
        <w:rPr>
          <w:rFonts w:ascii="Times New Roman" w:hAnsi="Times New Roman" w:cs="Times New Roman"/>
          <w:sz w:val="24"/>
          <w:szCs w:val="24"/>
        </w:rPr>
        <w:t xml:space="preserve">are </w:t>
      </w:r>
      <w:r w:rsidR="007946CD" w:rsidRPr="0041345E">
        <w:rPr>
          <w:rFonts w:ascii="Times New Roman" w:hAnsi="Times New Roman" w:cs="Times New Roman"/>
          <w:b/>
          <w:sz w:val="24"/>
          <w:szCs w:val="24"/>
        </w:rPr>
        <w:t>live vaccines</w:t>
      </w:r>
      <w:r w:rsidR="007946CD" w:rsidRPr="00A12A88">
        <w:rPr>
          <w:rFonts w:ascii="Times New Roman" w:hAnsi="Times New Roman" w:cs="Times New Roman"/>
          <w:sz w:val="24"/>
          <w:szCs w:val="24"/>
        </w:rPr>
        <w:t xml:space="preserve"> developed against limited </w:t>
      </w:r>
      <w:r w:rsidR="007946CD" w:rsidRPr="00A12A88">
        <w:rPr>
          <w:rFonts w:ascii="Times New Roman" w:hAnsi="Times New Roman" w:cs="Times New Roman"/>
          <w:sz w:val="24"/>
          <w:szCs w:val="24"/>
        </w:rPr>
        <w:lastRenderedPageBreak/>
        <w:t xml:space="preserve">genotypes. </w:t>
      </w:r>
      <w:r w:rsidR="007262A6">
        <w:rPr>
          <w:rFonts w:ascii="Times New Roman" w:hAnsi="Times New Roman" w:cs="Times New Roman"/>
          <w:sz w:val="24"/>
          <w:szCs w:val="24"/>
        </w:rPr>
        <w:t>Both measle virus and smallpox</w:t>
      </w:r>
      <w:r w:rsidR="00375E74">
        <w:rPr>
          <w:rFonts w:ascii="Times New Roman" w:hAnsi="Times New Roman" w:cs="Times New Roman"/>
          <w:sz w:val="24"/>
          <w:szCs w:val="24"/>
        </w:rPr>
        <w:t xml:space="preserve"> virus</w:t>
      </w:r>
      <w:r w:rsidR="007262A6">
        <w:rPr>
          <w:rFonts w:ascii="Times New Roman" w:hAnsi="Times New Roman" w:cs="Times New Roman"/>
          <w:sz w:val="24"/>
          <w:szCs w:val="24"/>
        </w:rPr>
        <w:t xml:space="preserve"> have only one serotype that responsible for the</w:t>
      </w:r>
      <w:r w:rsidR="00C83FB6">
        <w:rPr>
          <w:rFonts w:ascii="Times New Roman" w:hAnsi="Times New Roman" w:cs="Times New Roman"/>
          <w:sz w:val="24"/>
          <w:szCs w:val="24"/>
        </w:rPr>
        <w:t xml:space="preserve"> epidemics. Meanwhile, i</w:t>
      </w:r>
      <w:r w:rsidR="007708BD" w:rsidRPr="00881E6A">
        <w:rPr>
          <w:rStyle w:val="jlqj4b"/>
          <w:rFonts w:ascii="Times New Roman" w:hAnsi="Times New Roman" w:cs="Times New Roman"/>
          <w:sz w:val="24"/>
          <w:szCs w:val="24"/>
          <w:lang w:val="en"/>
        </w:rPr>
        <w:t>n the SARS-COV-2 virus, many strains have been identified and new mutated strains (501.V2 Variant, Cluster 5, VOC-202012/01) continue to be defined.</w:t>
      </w:r>
      <w:r w:rsidR="007708BD" w:rsidRPr="00881E6A">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{"citationID":"43ixxGMq","properties":{"formattedCitation":"\\super 9\\nosupersub{}","plainCitation":"9","noteIndex":0},"citationItems":[{"id":6259,"uris":["http://zotero.org/users/905211/items/6795EYET"],"uri":["http://zotero.org/users/905211/items/6795EYET"],"itemData":{"id":6259,"type":"article-journal","abstract":"Corona Virus Disease 2019 (COVID-19) caused by the emerged coronavirus SARS-CoV-2 is spreading globally. The origin of SARS-Cov-2 and its evolutionary relationship is still ambiguous. Several reports attempted to figure out this critical issue by genome-based phylogenetic analysis, yet limited progress was obtained, principally owing to the disability of these methods to reasonably integrate phylogenetic information from all genes of SARS-CoV-2. Supertree method based on multiple trees can produce the overall reasonable phylogenetic tree. However, the supertree method has been barely used for phylogenetic analysis of viruses. Here we applied the matrix representation with parsimony (MRP) pseudo-sequence supertree analysis to study the origin and evolution of SARS-CoV-2. Compared with other phylogenetic analysis methods, the supertree method showed more resolution power for phylogenetic analysis of coronaviruses. In particular, the MRP pseudo-sequence supertree analysis firmly disputes bat coronavirus RaTG13 be the last common ancestor of SARS-CoV-2, which was implied by other phylogenetic tree analysis based on viral genome sequences. Furthermore, the discovery of evolution and mutation in SARS-CoV-2 was achieved by MRP pseudo-sequence supertree analysis. Taken together, the MRP pseudo-sequence supertree provided more information on the SARS-CoV-2 evolution inference relative to the normal phylogenetic tree based on full-length genomic sequences.","container-title":"Scientific Reports","DOI":"10.1038/s41598-020-79484-8","ISSN":"2045-2322","issue":"1","language":"en","note":"number: 1\npublisher: Nature Publishing Group","page":"22366","source":"www.nature.com","title":"Phylogenetic supertree reveals detailed evolution of SARS-CoV-2","volume":"10","author":[{"family":"Li","given":"Tingting"},{"family":"Liu","given":"Dongxia"},{"family":"Yang","given":"Yadi"},{"family":"Guo","given":"Jiali"},{"family":"Feng","given":"Yujie"},{"family":"Zhang","given":"Xinmo"},{"family":"Cheng","given":"Shilong"},{"family":"Feng","given":"Jie"}],"issued":{"date-parts":[["2020",12,22]]}}}],"schema":"https://github.com/citation-style-language/schema/raw/master/csl-citation.json"} </w:instrText>
      </w:r>
      <w:r w:rsidR="007708BD" w:rsidRPr="00881E6A">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9</w:t>
      </w:r>
      <w:r w:rsidR="007708BD" w:rsidRPr="00881E6A">
        <w:rPr>
          <w:rFonts w:ascii="Times New Roman" w:hAnsi="Times New Roman" w:cs="Times New Roman"/>
          <w:sz w:val="24"/>
          <w:szCs w:val="24"/>
        </w:rPr>
        <w:fldChar w:fldCharType="end"/>
      </w:r>
      <w:r w:rsidR="0020217E" w:rsidRPr="0020217E">
        <w:rPr>
          <w:rFonts w:ascii="Times New Roman" w:hAnsi="Times New Roman" w:cs="Times New Roman"/>
          <w:sz w:val="24"/>
          <w:szCs w:val="24"/>
        </w:rPr>
        <w:t xml:space="preserve"> </w:t>
      </w:r>
    </w:p>
    <w:p w:rsidR="00B43596" w:rsidRDefault="00283476" w:rsidP="00EC0C92">
      <w:pPr>
        <w:spacing w:line="480" w:lineRule="auto"/>
        <w:jc w:val="both"/>
        <w:rPr>
          <w:rFonts w:ascii="Times New Roman" w:hAnsi="Times New Roman" w:cs="Times New Roman"/>
          <w:sz w:val="24"/>
          <w:szCs w:val="24"/>
        </w:rPr>
      </w:pPr>
      <w:r w:rsidRPr="00283476">
        <w:rPr>
          <w:rFonts w:ascii="Times New Roman" w:hAnsi="Times New Roman" w:cs="Times New Roman"/>
          <w:sz w:val="24"/>
          <w:szCs w:val="24"/>
        </w:rPr>
        <w:t>V</w:t>
      </w:r>
      <w:r w:rsidRPr="00283476">
        <w:rPr>
          <w:rFonts w:ascii="Times New Roman" w:hAnsi="Times New Roman" w:cs="Times New Roman"/>
          <w:sz w:val="24"/>
          <w:szCs w:val="24"/>
          <w:lang w:val="en"/>
        </w:rPr>
        <w:t>accine-elicited antibodies prevent disease development by controlling viremia, not by controlling local replication of the virus and tissue inflammation</w:t>
      </w:r>
      <w:r w:rsidRPr="00283476">
        <w:rPr>
          <w:rFonts w:ascii="Times New Roman" w:hAnsi="Times New Roman" w:cs="Times New Roman"/>
          <w:sz w:val="24"/>
          <w:szCs w:val="24"/>
          <w:lang w:val="en"/>
        </w:rPr>
        <w:fldChar w:fldCharType="begin"/>
      </w:r>
      <w:r w:rsidR="00327F55">
        <w:rPr>
          <w:rFonts w:ascii="Times New Roman" w:hAnsi="Times New Roman" w:cs="Times New Roman"/>
          <w:sz w:val="24"/>
          <w:szCs w:val="24"/>
          <w:lang w:val="en"/>
        </w:rPr>
        <w:instrText xml:space="preserve"> ADDIN ZOTERO_ITEM CSL_CITATION {"citationID":"GoHFJICZ","properties":{"formattedCitation":"\\super 10\\nosupersub{}","plainCitation":"10","noteIndex":0},"citationItems":[{"id":6375,"uris":["http://zotero.org/users/905211/items/P7RFLE27"],"uri":["http://zotero.org/users/905211/items/P7RFLE27"],"itemData":{"id":6375,"type":"article-journal","abstract":"Effector cells armed with Abs can eliminate virus-infected target cells by Ab-dependent cellular cytotoxicity (ADCC), an immune mechanism that has been largely overlooked in HIV vaccine development. Here, we show that a prime/boost AIDS vaccine approach elicits potent ADCC activity correlating with protection against SIV in rhesus macaques (Macacca mulatta). Priming with replicating adenovirus type 5 host range mutant-SIV recombinants, followed by boosting with SIV gp120, elicited Abs with ADCC activity against SIVmac251-infected cells. In vitro ADCC activity correlated with in vivo reduced acute viremia after a mucosal challenge with pathogenic SIV. Our findings expose ADCC activity as an immune correlate that may be relevant in the rational design of an efficacious vaccine against HIV.","container-title":"The Journal of Immunology","DOI":"10.4049/jimmunol.174.4.2185","ISSN":"0022-1767, 1550-6606","issue":"4","language":"en","note":"publisher: American Association of Immunologists\nsection: HOST DEFENSE\nPMID: 15699150","page":"2185-2189","source":"www.jimmunol.org","title":"Vaccine-Elicited Antibodies Mediate Antibody-Dependent Cellular Cytotoxicity Correlated with Significantly Reduced Acute Viremia in Rhesus Macaques Challenged with SIVmac251","volume":"174","author":[{"family":"Gómez-Román","given":"V. Raúl"},{"family":"Patterson","given":"L. Jean"},{"family":"Venzon","given":"David"},{"family":"Liewehr","given":"David"},{"family":"Aldrich","given":"Kris"},{"family":"Florese","given":"Ruth"},{"family":"Robert-Guroff","given":"Marjorie"}],"issued":{"date-parts":[["2005",2,15]]}}}],"schema":"https://github.com/citation-style-language/schema/raw/master/csl-citation.json"} </w:instrText>
      </w:r>
      <w:r w:rsidRPr="00283476">
        <w:rPr>
          <w:rFonts w:ascii="Times New Roman" w:hAnsi="Times New Roman" w:cs="Times New Roman"/>
          <w:sz w:val="24"/>
          <w:szCs w:val="24"/>
          <w:lang w:val="en"/>
        </w:rPr>
        <w:fldChar w:fldCharType="separate"/>
      </w:r>
      <w:r w:rsidR="00327F55" w:rsidRPr="00327F55">
        <w:rPr>
          <w:rFonts w:ascii="Times New Roman" w:hAnsi="Times New Roman" w:cs="Times New Roman"/>
          <w:sz w:val="24"/>
          <w:szCs w:val="24"/>
          <w:vertAlign w:val="superscript"/>
        </w:rPr>
        <w:t>10</w:t>
      </w:r>
      <w:r w:rsidRPr="00283476">
        <w:rPr>
          <w:rFonts w:ascii="Times New Roman" w:hAnsi="Times New Roman" w:cs="Times New Roman"/>
          <w:sz w:val="24"/>
          <w:szCs w:val="24"/>
        </w:rPr>
        <w:fldChar w:fldCharType="end"/>
      </w:r>
      <w:r w:rsidRPr="00283476">
        <w:rPr>
          <w:rFonts w:ascii="Times New Roman" w:hAnsi="Times New Roman" w:cs="Times New Roman"/>
          <w:sz w:val="24"/>
          <w:szCs w:val="24"/>
          <w:lang w:val="en"/>
        </w:rPr>
        <w:t>.</w:t>
      </w:r>
      <w:r>
        <w:rPr>
          <w:rFonts w:ascii="Times New Roman" w:hAnsi="Times New Roman" w:cs="Times New Roman"/>
          <w:sz w:val="24"/>
          <w:szCs w:val="24"/>
          <w:lang w:val="en"/>
        </w:rPr>
        <w:t xml:space="preserve"> </w:t>
      </w:r>
      <w:r w:rsidR="00783D76" w:rsidRPr="004A3D52">
        <w:rPr>
          <w:rFonts w:ascii="Times New Roman" w:hAnsi="Times New Roman" w:cs="Times New Roman"/>
          <w:sz w:val="24"/>
          <w:szCs w:val="24"/>
        </w:rPr>
        <w:t xml:space="preserve">Vaccines induced immunity must primarily </w:t>
      </w:r>
      <w:r w:rsidR="00B43596">
        <w:rPr>
          <w:rFonts w:ascii="Times New Roman" w:hAnsi="Times New Roman" w:cs="Times New Roman"/>
          <w:sz w:val="24"/>
          <w:szCs w:val="24"/>
        </w:rPr>
        <w:t>block</w:t>
      </w:r>
      <w:r w:rsidR="00783D76" w:rsidRPr="004A3D52">
        <w:rPr>
          <w:rFonts w:ascii="Times New Roman" w:hAnsi="Times New Roman" w:cs="Times New Roman"/>
          <w:sz w:val="24"/>
          <w:szCs w:val="24"/>
        </w:rPr>
        <w:t xml:space="preserve"> the mucos</w:t>
      </w:r>
      <w:r w:rsidR="00783D76">
        <w:rPr>
          <w:rFonts w:ascii="Times New Roman" w:hAnsi="Times New Roman" w:cs="Times New Roman"/>
          <w:sz w:val="24"/>
          <w:szCs w:val="24"/>
        </w:rPr>
        <w:t xml:space="preserve">al entry of relevant pathogens especially in respiratory viruses. </w:t>
      </w:r>
      <w:r w:rsidR="00783D76" w:rsidRPr="004A3D52">
        <w:rPr>
          <w:rFonts w:ascii="Times New Roman" w:hAnsi="Times New Roman" w:cs="Times New Roman"/>
          <w:sz w:val="24"/>
          <w:szCs w:val="24"/>
        </w:rPr>
        <w:t>Transcutaneous immunization</w:t>
      </w:r>
      <w:r w:rsidR="00783D76">
        <w:rPr>
          <w:rFonts w:ascii="Times New Roman" w:hAnsi="Times New Roman" w:cs="Times New Roman"/>
          <w:sz w:val="24"/>
          <w:szCs w:val="24"/>
        </w:rPr>
        <w:t xml:space="preserve"> to these viruses</w:t>
      </w:r>
      <w:r w:rsidR="00783D76" w:rsidRPr="004A3D52">
        <w:rPr>
          <w:rFonts w:ascii="Times New Roman" w:hAnsi="Times New Roman" w:cs="Times New Roman"/>
          <w:sz w:val="24"/>
          <w:szCs w:val="24"/>
        </w:rPr>
        <w:t xml:space="preserve"> provides relatively partial</w:t>
      </w:r>
      <w:r w:rsidR="00783D76">
        <w:rPr>
          <w:rFonts w:ascii="Times New Roman" w:hAnsi="Times New Roman" w:cs="Times New Roman"/>
          <w:sz w:val="24"/>
          <w:szCs w:val="24"/>
        </w:rPr>
        <w:t xml:space="preserve"> mucosal</w:t>
      </w:r>
      <w:r w:rsidR="00783D76" w:rsidRPr="004A3D52">
        <w:rPr>
          <w:rFonts w:ascii="Times New Roman" w:hAnsi="Times New Roman" w:cs="Times New Roman"/>
          <w:sz w:val="24"/>
          <w:szCs w:val="24"/>
        </w:rPr>
        <w:t xml:space="preserve"> immunity</w:t>
      </w:r>
      <w:r w:rsidR="00783D76">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{"citationID":"pJDMK00d","properties":{"formattedCitation":"\\super 11\\nosupersub{}","plainCitation":"11","noteIndex":0},"citationItems":[{"id":6343,"uris":["http://zotero.org/users/905211/items/QJJ4HC6E"],"uri":["http://zotero.org/users/905211/items/QJJ4HC6E"],"itemData":{"id":6343,"type":"article-journal","abstract":"Transcutaneous immunization (TCI), the application of vaccines on the skin, induces robust systemic and mucosal antibodies in animal models and in humans. The means by which mucosal immune responses to vaccine antigens are elicited by TCI has not been well characterized. We examined the effect of TCI with an HIV peptide vaccine on the induction of mucosal and systemic CTL responses and protective immunity against mucosal challenge with live virus in mice. Robust HIV-specific CTL responses in the spleen and in the gut mucosa were detected after TCI. The responses were dependent upon the addition of an adjuvant and resulted in protection against mucosal challenge with recombinant vaccinia virus encoding HIV gp160. Although it is clear that adjuvant-activated DCs migrated mainly to draining lymph nodes, coculture with specific T cells and flow cytometry studies with DCs isolated from Peyer’s patches after TCI suggested that activated DCs carrying skin-derived antigen also migrated from the skin to immune-inductive sites in gut mucosa and presented antigen directly to resident lymphocytes. These results and previous clinical trial results support the observation that TCI is a safe and effective strategy for inducing strong mucosal antibody and CTL responses.","container-title":"Journal of Clinical Investigation","DOI":"10.1172/JCI200420261","ISSN":"0021-9738","issue":"7","journalAbbreviation":"J Clin Invest","note":"PMID: 15057306\nPMCID: PMC379323","page":"998-1007","source":"PubMed Central","title":"Transcutaneous immunization induces mucosal CTLs and protective immunity by migration of primed skin dendritic cells","volume":"113","author":[{"family":"Belyakov","given":"Igor M."},{"family":"Hammond","given":"Scott A."},{"family":"Ahlers","given":"Jeffrey D."},{"family":"Glenn","given":"Gregory M."},{"family":"Berzofsky","given":"Jay A."}],"issued":{"date-parts":[["2004",4,1]]}}}],"schema":"https://github.com/citation-style-language/schema/raw/master/csl-citation.json"} </w:instrText>
      </w:r>
      <w:r w:rsidR="00783D76">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11</w:t>
      </w:r>
      <w:r w:rsidR="00783D76">
        <w:rPr>
          <w:rFonts w:ascii="Times New Roman" w:hAnsi="Times New Roman" w:cs="Times New Roman"/>
          <w:sz w:val="24"/>
          <w:szCs w:val="24"/>
        </w:rPr>
        <w:fldChar w:fldCharType="end"/>
      </w:r>
      <w:r w:rsidR="00783D76" w:rsidRPr="004A3D52">
        <w:rPr>
          <w:rFonts w:ascii="Times New Roman" w:hAnsi="Times New Roman" w:cs="Times New Roman"/>
          <w:sz w:val="24"/>
          <w:szCs w:val="24"/>
        </w:rPr>
        <w:t>.</w:t>
      </w:r>
      <w:r w:rsidR="00783D76">
        <w:t xml:space="preserve"> </w:t>
      </w:r>
      <w:r w:rsidR="00B43596">
        <w:t>R</w:t>
      </w:r>
      <w:r w:rsidR="00783D76" w:rsidRPr="00634DC0">
        <w:rPr>
          <w:rFonts w:ascii="Times New Roman" w:hAnsi="Times New Roman" w:cs="Times New Roman"/>
          <w:sz w:val="24"/>
          <w:szCs w:val="24"/>
        </w:rPr>
        <w:t xml:space="preserve">esearchers have observed influenza virus-specific sIgA responses are </w:t>
      </w:r>
      <w:r w:rsidR="0041345E">
        <w:rPr>
          <w:rFonts w:ascii="Times New Roman" w:hAnsi="Times New Roman" w:cs="Times New Roman"/>
          <w:sz w:val="24"/>
          <w:szCs w:val="24"/>
        </w:rPr>
        <w:t>weak</w:t>
      </w:r>
      <w:r w:rsidR="00783D76" w:rsidRPr="00634DC0">
        <w:rPr>
          <w:rFonts w:ascii="Times New Roman" w:hAnsi="Times New Roman" w:cs="Times New Roman"/>
          <w:sz w:val="24"/>
          <w:szCs w:val="24"/>
        </w:rPr>
        <w:t xml:space="preserve"> with </w:t>
      </w:r>
      <w:r w:rsidR="0041345E" w:rsidRPr="0041345E">
        <w:rPr>
          <w:rFonts w:ascii="Times New Roman" w:hAnsi="Times New Roman" w:cs="Times New Roman"/>
          <w:sz w:val="24"/>
          <w:szCs w:val="24"/>
        </w:rPr>
        <w:t>inactivated influenza vaccines (IIV)</w:t>
      </w:r>
      <w:r w:rsidR="0041345E">
        <w:rPr>
          <w:rFonts w:ascii="Times New Roman" w:hAnsi="Times New Roman" w:cs="Times New Roman"/>
          <w:sz w:val="24"/>
          <w:szCs w:val="24"/>
        </w:rPr>
        <w:t xml:space="preserve"> compared with </w:t>
      </w:r>
      <w:r w:rsidR="0041345E" w:rsidRPr="0041345E">
        <w:rPr>
          <w:rFonts w:ascii="Times New Roman" w:hAnsi="Times New Roman" w:cs="Times New Roman"/>
          <w:sz w:val="24"/>
          <w:szCs w:val="24"/>
        </w:rPr>
        <w:t>live attenuated influenza vaccines (LAIV)</w:t>
      </w:r>
      <w:r w:rsidR="00783D76">
        <w:rPr>
          <w:rFonts w:ascii="Times New Roman" w:hAnsi="Times New Roman" w:cs="Times New Roman"/>
          <w:sz w:val="24"/>
          <w:szCs w:val="24"/>
        </w:rPr>
        <w:t xml:space="preserve"> that based on mucosal challenge</w:t>
      </w:r>
      <w:r w:rsidR="00783D76">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{"citationID":"tcklsmeX","properties":{"formattedCitation":"\\super 12\\nosupersub{}","plainCitation":"12","noteIndex":0},"citationItems":[{"id":6346,"uris":["http://zotero.org/users/905211/items/U88EF5JT"],"uri":["http://zotero.org/users/905211/items/U88EF5JT"],"itemData":{"id":6346,"type":"article-journal","abstract":"Both live attenuated influenza vaccines (LAIV) and inactivated influenza vaccines (IIV) induce protective immunity against influenza. There is evidence that LAIV induces superior protection in children, whereas IIV may induce superior protection in adults. The immune mechanisms responsible for these differences have not been identified. We previously compared LAIV and IIV in young children of 6 to 36 months of age, and we demonstrated that while both induced similar hemagglutination inhibition (HAI) antibody responses, only LAIV induced significant increases in T cell responses. In the present study, 37 healthy adult subjects of 18 to 49 years of age were randomized to receive seasonal influenza vaccination with LAIV or IIV. Influenza virus-specific HAI, T cell, and secretory IgA (sIgA) responses were studied pre- and postvaccination. In contrast to the responses seen in young children, LAIV induced only minimal increases in serum HAI responses in adults, which were significantly lower than the responses induced by IIV. Both LAIV and IIV similarly induced only transient T cell responses to replication-competent whole virus in adults. In contrast, influenza virus-specific sIgA responses were induced more strongly by LAIV than by IIV. Our previous studies suggest that LAIV may be more protective than IIV in young children not previously exposed to influenza virus or influenza vaccines due to increased vaccine-induced T cell and/or sIgA responses. Our current work suggests that in adults with extensive and partially cross-reactive preexisting influenza immunity, LAIV boosting of sIgA responses to hemagglutinin (HA) and non-HA antigenic targets expressed by circulating influenza virus strains may be an important additional mechanism of vaccine-induced immunity.","container-title":"Clinical and vaccine immunology: CVI","DOI":"10.1128/CVI.00414-16","ISSN":"1556-679X","issue":"1","journalAbbreviation":"Clin Vaccine Immunol","language":"eng","note":"PMID: 27847366\nPMCID: PMC5216430","source":"PubMed","title":"Comparisons of the Humoral and Cellular Immune Responses Induced by Live Attenuated Influenza Vaccine and Inactivated Influenza Vaccine in Adults","volume":"24","author":[{"family":"Hoft","given":"Daniel F."},{"family":"Lottenbach","given":"Kathleen R."},{"family":"Blazevic","given":"Azra"},{"family":"Turan","given":"Aldin"},{"family":"Blevins","given":"Tamara P."},{"family":"Pacatte","given":"Thomas P."},{"family":"Yu","given":"Yinyi"},{"family":"Mitchell","given":"Michelle C."},{"family":"Hoft","given":"Stella G."},{"family":"Belshe","given":"Robert B."}],"issued":{"date-parts":[["2017",1]]}}}],"schema":"https://github.com/citation-style-language/schema/raw/master/csl-citation.json"} </w:instrText>
      </w:r>
      <w:r w:rsidR="00783D76">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12</w:t>
      </w:r>
      <w:r w:rsidR="00783D76">
        <w:rPr>
          <w:rFonts w:ascii="Times New Roman" w:hAnsi="Times New Roman" w:cs="Times New Roman"/>
          <w:sz w:val="24"/>
          <w:szCs w:val="24"/>
        </w:rPr>
        <w:fldChar w:fldCharType="end"/>
      </w:r>
      <w:r w:rsidR="00783D76">
        <w:rPr>
          <w:rFonts w:ascii="Times New Roman" w:hAnsi="Times New Roman" w:cs="Times New Roman"/>
          <w:sz w:val="24"/>
          <w:szCs w:val="24"/>
        </w:rPr>
        <w:t>.</w:t>
      </w:r>
      <w:r w:rsidR="00397DB3">
        <w:rPr>
          <w:rFonts w:ascii="Times New Roman" w:hAnsi="Times New Roman" w:cs="Times New Roman"/>
          <w:sz w:val="24"/>
          <w:szCs w:val="24"/>
        </w:rPr>
        <w:t xml:space="preserve"> I</w:t>
      </w:r>
      <w:r w:rsidR="006D46E6" w:rsidRPr="006D46E6">
        <w:rPr>
          <w:rFonts w:ascii="Times New Roman" w:hAnsi="Times New Roman" w:cs="Times New Roman"/>
          <w:sz w:val="24"/>
          <w:szCs w:val="24"/>
        </w:rPr>
        <w:t>n a Respiratory syncytial virus (RSV) vaccine research, while inactivated virus or subunit F glycoprotein based vaccine  induced Th2-like lymphocyte response, the live RSV</w:t>
      </w:r>
      <w:r w:rsidR="00397DB3">
        <w:rPr>
          <w:rFonts w:ascii="Times New Roman" w:hAnsi="Times New Roman" w:cs="Times New Roman"/>
          <w:sz w:val="24"/>
          <w:szCs w:val="24"/>
        </w:rPr>
        <w:t xml:space="preserve"> vaccine</w:t>
      </w:r>
      <w:r w:rsidR="006D46E6" w:rsidRPr="006D46E6">
        <w:rPr>
          <w:rFonts w:ascii="Times New Roman" w:hAnsi="Times New Roman" w:cs="Times New Roman"/>
          <w:sz w:val="24"/>
          <w:szCs w:val="24"/>
        </w:rPr>
        <w:t xml:space="preserve"> induced a Th1-like pattern of cytokine mRNA expression</w:t>
      </w:r>
      <w:r w:rsidR="006D46E6">
        <w:rPr>
          <w:rFonts w:ascii="Times New Roman" w:hAnsi="Times New Roman" w:cs="Times New Roman"/>
          <w:sz w:val="24"/>
          <w:szCs w:val="24"/>
        </w:rPr>
        <w:t>, especially with mucosal route</w:t>
      </w:r>
      <w:r w:rsidR="006D46E6">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{"citationID":"U7or006A","properties":{"formattedCitation":"\\super 13\\nosupersub{}","plainCitation":"13","noteIndex":0},"citationItems":[{"id":6364,"uris":["http://zotero.org/users/905211/items/LGSQ7WW7"],"uri":["http://zotero.org/users/905211/items/LGSQ7WW7"],"itemData":{"id":6364,"type":"article-journal","abstract":"Defining the mechanism for the vaccine-enhanced illness associated with respiratory syncytial virus (RSV) is critical for advancing RSV vaccine development. Previous studies in which infants were vaccinated with formalin-inactivated alum-precipitated whole virus did not protect from RSV infection, and those infected had a high incidence of severe illness. In contrast, previous clinical trials evaluating live attenuated RSV showed no associated vaccine-enhanced illness. We have used a mouse model to explore the immunopathogenesis of RSV infection. In this study cytokine mRNA expression was examined using 32P-labeled oligonucleotide probes in Northern blot analyses of polyA RNA extracted from lungs of mice primed with various vaccine preparations then challenged nasally with live RSV. We have shown that upon challenge, priming of mice with inactivated virus or subunit F glycoprotein induced a pattern of cytokine mRNA expression suggesting a dominant Th2-like lymphocyte response (relative increase in IL-4 mRNA expression). In contrast, challenge of mice primed with live RSV by parenteral or mucosal routes induced a Th1-like pattern of cytokine mRNA expression (relative decrease in IL-4 mRNA expression compared to IFN-gamma mRNA expression). Thus, the formulation and route of delivery of vaccine products can influence the pattern of cytokine expression in lung upon RSV challenge.","container-title":"Journal of Immunology (Baltimore, Md.: 1950)","ISSN":"0022-1767","issue":"4","journalAbbreviation":"J Immunol","language":"eng","note":"PMID: 8345194","page":"2032-2040","source":"PubMed","title":"Priming immunization determines T helper cytokine mRNA expression patterns in lungs of mice challenged with respiratory syncytial virus","volume":"151","author":[{"family":"Graham","given":"B. S."},{"family":"Henderson","given":"G. S."},{"family":"Tang","given":"Y. W."},{"family":"Lu","given":"X."},{"family":"Neuzil","given":"K. M."},{"family":"Colley","given":"D. G."}],"issued":{"date-parts":[["1993",8,15]]}}}],"schema":"https://github.com/citation-style-language/schema/raw/master/csl-citation.json"} </w:instrText>
      </w:r>
      <w:r w:rsidR="006D46E6">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13</w:t>
      </w:r>
      <w:r w:rsidR="006D46E6">
        <w:rPr>
          <w:rFonts w:ascii="Times New Roman" w:hAnsi="Times New Roman" w:cs="Times New Roman"/>
          <w:sz w:val="24"/>
          <w:szCs w:val="24"/>
        </w:rPr>
        <w:fldChar w:fldCharType="end"/>
      </w:r>
      <w:r w:rsidR="006D46E6" w:rsidRPr="006D46E6">
        <w:rPr>
          <w:rFonts w:ascii="Times New Roman" w:hAnsi="Times New Roman" w:cs="Times New Roman"/>
          <w:sz w:val="24"/>
          <w:szCs w:val="24"/>
        </w:rPr>
        <w:t>.</w:t>
      </w:r>
      <w:r w:rsidR="006D46E6">
        <w:rPr>
          <w:rFonts w:ascii="Times New Roman" w:hAnsi="Times New Roman" w:cs="Times New Roman"/>
          <w:sz w:val="24"/>
          <w:szCs w:val="24"/>
        </w:rPr>
        <w:t xml:space="preserve"> </w:t>
      </w:r>
    </w:p>
    <w:p w:rsidR="00783D76" w:rsidRPr="00283476" w:rsidRDefault="00283476" w:rsidP="00EC0C92">
      <w:pPr>
        <w:spacing w:line="480" w:lineRule="auto"/>
        <w:jc w:val="both"/>
        <w:rPr>
          <w:rFonts w:ascii="Times New Roman" w:hAnsi="Times New Roman" w:cs="Times New Roman"/>
          <w:sz w:val="24"/>
          <w:szCs w:val="24"/>
          <w:lang w:val="en-US"/>
        </w:rPr>
      </w:pPr>
      <w:r w:rsidRPr="00283476">
        <w:rPr>
          <w:rFonts w:ascii="Times New Roman" w:hAnsi="Times New Roman" w:cs="Times New Roman"/>
          <w:sz w:val="24"/>
          <w:szCs w:val="24"/>
        </w:rPr>
        <w:t>Additionally, p</w:t>
      </w:r>
      <w:r w:rsidRPr="00283476">
        <w:rPr>
          <w:rFonts w:ascii="Times New Roman" w:hAnsi="Times New Roman" w:cs="Times New Roman"/>
          <w:sz w:val="24"/>
          <w:szCs w:val="24"/>
          <w:lang w:val="en"/>
        </w:rPr>
        <w:t>assive</w:t>
      </w:r>
      <w:r w:rsidRPr="00093FA2">
        <w:rPr>
          <w:rFonts w:ascii="Times New Roman" w:hAnsi="Times New Roman" w:cs="Times New Roman"/>
          <w:sz w:val="24"/>
          <w:szCs w:val="24"/>
          <w:lang w:val="en"/>
        </w:rPr>
        <w:t xml:space="preserve"> immunization strategies in the treatment of COVID-19 have not shown the expected effect.</w:t>
      </w:r>
      <w:r>
        <w:rPr>
          <w:rFonts w:ascii="Times New Roman" w:hAnsi="Times New Roman" w:cs="Times New Roman"/>
          <w:sz w:val="24"/>
          <w:szCs w:val="24"/>
          <w:lang w:val="en-US"/>
        </w:rPr>
        <w:fldChar w:fldCharType="begin"/>
      </w:r>
      <w:r w:rsidR="00327F55">
        <w:rPr>
          <w:rFonts w:ascii="Times New Roman" w:hAnsi="Times New Roman" w:cs="Times New Roman"/>
          <w:sz w:val="24"/>
          <w:szCs w:val="24"/>
          <w:lang w:val="en-US"/>
        </w:rPr>
        <w:instrText xml:space="preserve"> ADDIN ZOTERO_ITEM CSL_CITATION {"citationID":"GMYygK0C","properties":{"formattedCitation":"\\super 14\\nosupersub{}","plainCitation":"14","noteIndex":0},"citationItems":[{"id":6372,"uris":["http://zotero.org/users/905211/items/EMI3BP5B"],"uri":["http://zotero.org/users/905211/items/EMI3BP5B"],"itemData":{"id":6372,"type":"article-journal","abstract":"BACKGROUND: Convalescent plasma is frequently administered to patients with Covid-19 and has been reported, largely on the basis of observational data, to improve clinical outcomes. Minimal data are available from adequately powered randomized, controlled trials.\nMETHODS: We randomly assigned hospitalized adult patients with severe Covid-19 pneumonia in a 2:1 ratio to receive convalescent plasma or placebo. The primary outcome was the patient's clinical status 30 days after the intervention, as measured on a six-point ordinal scale ranging from total recovery to death.\nRESULTS: A total of 228 patients were assigned to receive convalescent plasma and 105 to receive placebo. The median time from the onset of symptoms to enrollment in the trial was 8 days (interquartile range, 5 to 10), and hypoxemia was the most frequent severity criterion for enrollment. The infused convalescent plasma had a median titer of 1:3200 of total SARS-CoV-2 antibodies (interquartile range, 1:800 to 1:3200]. No patients were lost to follow-up. At day 30 day, no significant difference was noted between the convalescent plasma group and the placebo group in the distribution of clinical outcomes according to the ordinal scale (odds ratio, 0.83 (95% confidence interval [CI], 0.52 to 1.35; P = 0.46). Overall mortality was 10.96% in the convalescent plasma group and 11.43% in the placebo group, for a risk difference of -0.46 percentage points (95% CI, -7.8 to 6.8). Total SARS-CoV-2 antibody titers tended to be higher in the convalescent plasma group at day 2 after the intervention. Adverse events and serious adverse events were similar in the two groups.\nCONCLUSIONS: No significant differences were observed in clinical status or overall mortality between patients treated with convalescent plasma and those who received placebo. (PlasmAr ClinicalTrials.gov number, NCT04383535.).","container-title":"The New England Journal of Medicine","DOI":"10.1056/NEJMoa2031304","ISSN":"1533-4406","journalAbbreviation":"N Engl J Med","language":"eng","note":"PMID: 33232588\nPMCID: PMC7722692","source":"PubMed","title":"A Randomized Trial of Convalescent Plasma in Covid-19 Severe Pneumonia","author":[{"family":"Simonovich","given":"Ventura A."},{"family":"Burgos Pratx","given":"Leandro D."},{"family":"Scibona","given":"Paula"},{"family":"Beruto","given":"María V."},{"family":"Vallone","given":"Marcelo G."},{"family":"Vázquez","given":"Carolina"},{"family":"Savoy","given":"Nadia"},{"family":"Giunta","given":"Diego H."},{"family":"Pérez","given":"Lucía G."},{"family":"Sánchez","given":"Marisa Del L."},{"family":"Gamarnik","given":"Andrea Vanesa"},{"family":"Ojeda","given":"Diego S."},{"family":"Santoro","given":"Diego M."},{"family":"Camino","given":"Pablo J."},{"family":"Antelo","given":"Sebastian"},{"family":"Rainero","given":"Karina"},{"family":"Vidiella","given":"Gabriela P."},{"family":"Miyazaki","given":"Erica A."},{"family":"Cornistein","given":"Wanda"},{"family":"Trabadelo","given":"Omar A."},{"family":"Ross","given":"Fernando M."},{"family":"Spotti","given":"Mariano"},{"family":"Funtowicz","given":"Gabriel"},{"family":"Scordo","given":"Walter E."},{"family":"Losso","given":"Marcelo H."},{"family":"Ferniot","given":"Inés"},{"family":"Pardo","given":"Pablo E."},{"family":"Rodriguez","given":"Eulalia"},{"family":"Rucci","given":"Pablo"},{"family":"Pasquali","given":"Julieta"},{"family":"Fuentes","given":"Nora A."},{"family":"Esperatti","given":"Mariano"},{"family":"Speroni","given":"Gerardo A."},{"family":"Nannini","given":"Esteban C."},{"family":"Matteaccio","given":"Alejandra"},{"family":"Michelangelo","given":"Hernán G."},{"family":"Follmann","given":"Dean"},{"family":"Lane","given":"H. Clifford"},{"family":"Belloso","given":"Waldo H."},{"literal":"PlasmAr Study Group"}],"issued":{"date-parts":[["2020",11,24]]}}}],"schema":"https://github.com/citation-style-language/schema/raw/master/csl-citation.json"} </w:instrText>
      </w:r>
      <w:r>
        <w:rPr>
          <w:rFonts w:ascii="Times New Roman" w:hAnsi="Times New Roman" w:cs="Times New Roman"/>
          <w:sz w:val="24"/>
          <w:szCs w:val="24"/>
          <w:lang w:val="en-US"/>
        </w:rPr>
        <w:fldChar w:fldCharType="separate"/>
      </w:r>
      <w:r w:rsidR="00327F55" w:rsidRPr="00327F55">
        <w:rPr>
          <w:rFonts w:ascii="Times New Roman" w:hAnsi="Times New Roman" w:cs="Times New Roman"/>
          <w:sz w:val="24"/>
          <w:szCs w:val="24"/>
          <w:vertAlign w:val="superscript"/>
        </w:rPr>
        <w:t>14</w:t>
      </w:r>
      <w:r>
        <w:rPr>
          <w:rFonts w:ascii="Times New Roman" w:hAnsi="Times New Roman" w:cs="Times New Roman"/>
          <w:sz w:val="24"/>
          <w:szCs w:val="24"/>
          <w:lang w:val="en-US"/>
        </w:rPr>
        <w:fldChar w:fldCharType="end"/>
      </w:r>
      <w:r>
        <w:rPr>
          <w:rFonts w:ascii="Times New Roman" w:hAnsi="Times New Roman" w:cs="Times New Roman"/>
          <w:sz w:val="24"/>
          <w:szCs w:val="24"/>
          <w:lang w:val="en-US"/>
        </w:rPr>
        <w:t xml:space="preserve"> N</w:t>
      </w:r>
      <w:r w:rsidR="00783D76" w:rsidRPr="00846FA1">
        <w:rPr>
          <w:rFonts w:ascii="Times New Roman" w:hAnsi="Times New Roman" w:cs="Times New Roman"/>
          <w:sz w:val="24"/>
          <w:szCs w:val="24"/>
        </w:rPr>
        <w:t>eutralizing antibody titers to the coronaviruses rapidly wane while</w:t>
      </w:r>
      <w:r w:rsidR="00783D76" w:rsidRPr="00846FA1">
        <w:t xml:space="preserve"> </w:t>
      </w:r>
      <w:r w:rsidR="00783D76" w:rsidRPr="00846FA1">
        <w:rPr>
          <w:rFonts w:ascii="Times New Roman" w:hAnsi="Times New Roman" w:cs="Times New Roman"/>
          <w:sz w:val="24"/>
          <w:szCs w:val="24"/>
        </w:rPr>
        <w:t xml:space="preserve">specific T-cells activity more durable </w:t>
      </w:r>
      <w:r w:rsidR="00783D76">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{"citationID":"O1PkmXXB","properties":{"formattedCitation":"\\super 15\\nosupersub{}","plainCitation":"15","noteIndex":0},"citationItems":[{"id":6349,"uris":["http://zotero.org/users/905211/items/I2ETKHXB"],"uri":["http://zotero.org/users/905211/items/I2ETKHXB"],"itemData":{"id":6349,"type":"article-journal","abstract":"Memory T cells induced by previous pathogens can shape susceptibility to, and the clinical severity of, subsequent infections1. Little is known about the presence in humans of pre-existing memory T cells that have the potential to recognize severe acute respiratory syndrome coronavirus 2 (SARS-CoV-2). Here we studied T cell responses against the structural (nucleocapsid (N) protein) and non-structural (NSP7 and NSP13 of ORF1) regions of SARS-CoV-2 in individuals convalescing from coronavirus disease 2019 (COVID-19) (n = 36). In all of these individuals, we found CD4 and CD8 T cells that recognized multiple regions of the N protein. Next, we showed that patients (n = 23) who recovered from SARS (the disease associated with SARS-CoV infection) possess long-lasting memory T cells that are reactive to the N protein of SARS-CoV 17 years after the outbreak of SARS in 2003; these T cells displayed robust cross-reactivity to the N protein of SARS-CoV-2. We also detected SARS-CoV-2-specific T cells in individuals with no history of SARS, COVID-19 or contact with individuals who had SARS and/or COVID-19 (n = 37). SARS-CoV-2-specific T cells in uninfected donors exhibited a different pattern of immunodominance, and frequently targeted NSP7 and NSP13 as well as the N protein. Epitope characterization of NSP7-specific T cells showed the recognition of protein fragments that are conserved among animal betacoronaviruses but have low homology to 'common cold' human-associated coronaviruses. Thus, infection with betacoronaviruses induces multi-specific and long-lasting T cell immunity against the structural N protein. Understanding how pre-existing N- and ORF1-specific T cells that are present in the general population affect the susceptibility to and pathogenesis of SARS-CoV-2 infection is important for the management of the current COVID-19 pandemic.","container-title":"Nature","DOI":"10.1038/s41586-020-2550-z","ISSN":"1476-4687","issue":"7821","journalAbbreviation":"Nature","language":"eng","note":"PMID: 32668444","page":"457-462","source":"PubMed","title":"SARS-CoV-2-specific T cell immunity in cases of COVID-19 and SARS, and uninfected controls","volume":"584","author":[{"family":"Le Bert","given":"Nina"},{"family":"Tan","given":"Anthony T."},{"family":"Kunasegaran","given":"Kamini"},{"family":"Tham","given":"Christine Y. L."},{"family":"Hafezi","given":"Morteza"},{"family":"Chia","given":"Adeline"},{"family":"Chng","given":"Melissa Hui Yen"},{"family":"Lin","given":"Meiyin"},{"family":"Tan","given":"Nicole"},{"family":"Linster","given":"Martin"},{"family":"Chia","given":"Wan Ni"},{"family":"Chen","given":"Mark I.-Cheng"},{"family":"Wang","given":"Lin-Fa"},{"family":"Ooi","given":"Eng Eong"},{"family":"Kalimuddin","given":"Shirin"},{"family":"Tambyah","given":"Paul Anantharajah"},{"family":"Low","given":"Jenny Guek-Hong"},{"family":"Tan","given":"Yee-Joo"},{"family":"Bertoletti","given":"Antonio"}],"issued":{"date-parts":[["2020",8]]}}}],"schema":"https://github.com/citation-style-language/schema/raw/master/csl-citation.json"} </w:instrText>
      </w:r>
      <w:r w:rsidR="00783D76">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15</w:t>
      </w:r>
      <w:r w:rsidR="00783D76">
        <w:rPr>
          <w:rFonts w:ascii="Times New Roman" w:hAnsi="Times New Roman" w:cs="Times New Roman"/>
          <w:sz w:val="24"/>
          <w:szCs w:val="24"/>
        </w:rPr>
        <w:fldChar w:fldCharType="end"/>
      </w:r>
      <w:r w:rsidR="00783D76">
        <w:rPr>
          <w:rFonts w:ascii="Times New Roman" w:hAnsi="Times New Roman" w:cs="Times New Roman"/>
          <w:sz w:val="24"/>
          <w:szCs w:val="24"/>
        </w:rPr>
        <w:t>.</w:t>
      </w:r>
      <w:r w:rsidR="00783D76" w:rsidRPr="00846FA1">
        <w:t xml:space="preserve"> </w:t>
      </w:r>
      <w:r w:rsidR="00783D76" w:rsidRPr="00846FA1">
        <w:rPr>
          <w:rFonts w:ascii="Times New Roman" w:hAnsi="Times New Roman" w:cs="Times New Roman"/>
          <w:sz w:val="24"/>
          <w:szCs w:val="24"/>
        </w:rPr>
        <w:t>This suggests to us t</w:t>
      </w:r>
      <w:r w:rsidR="00783D76">
        <w:rPr>
          <w:rFonts w:ascii="Times New Roman" w:hAnsi="Times New Roman" w:cs="Times New Roman"/>
          <w:sz w:val="24"/>
          <w:szCs w:val="24"/>
        </w:rPr>
        <w:t xml:space="preserve">hat the long-term protection </w:t>
      </w:r>
      <w:r w:rsidR="00783D76" w:rsidRPr="00846FA1">
        <w:rPr>
          <w:rFonts w:ascii="Times New Roman" w:hAnsi="Times New Roman" w:cs="Times New Roman"/>
          <w:sz w:val="24"/>
          <w:szCs w:val="24"/>
        </w:rPr>
        <w:t xml:space="preserve"> should be provided through cellular immunity.</w:t>
      </w:r>
      <w:r w:rsidR="006D46E6">
        <w:rPr>
          <w:rFonts w:ascii="Times New Roman" w:hAnsi="Times New Roman" w:cs="Times New Roman"/>
          <w:sz w:val="24"/>
          <w:szCs w:val="24"/>
        </w:rPr>
        <w:t xml:space="preserve"> </w:t>
      </w:r>
      <w:r w:rsidR="006D46E6" w:rsidRPr="006D46E6">
        <w:rPr>
          <w:rFonts w:ascii="Times New Roman" w:hAnsi="Times New Roman" w:cs="Times New Roman"/>
          <w:color w:val="222222"/>
          <w:sz w:val="24"/>
          <w:szCs w:val="24"/>
          <w:shd w:val="clear" w:color="auto" w:fill="FFFFFF"/>
        </w:rPr>
        <w:t xml:space="preserve">Additionally, </w:t>
      </w:r>
      <w:r w:rsidR="006D46E6">
        <w:rPr>
          <w:rFonts w:ascii="Times New Roman" w:hAnsi="Times New Roman" w:cs="Times New Roman"/>
          <w:sz w:val="24"/>
          <w:szCs w:val="24"/>
        </w:rPr>
        <w:t>c</w:t>
      </w:r>
      <w:r w:rsidR="00783D76" w:rsidRPr="006D46E6">
        <w:rPr>
          <w:rFonts w:ascii="Times New Roman" w:hAnsi="Times New Roman" w:cs="Times New Roman"/>
          <w:sz w:val="24"/>
          <w:szCs w:val="24"/>
        </w:rPr>
        <w:t>ross-reactive T cell memory implications to the COVID-19 disease severity  and herd immunity  may be one of underlying reason for the epidemiological differences among countries</w:t>
      </w:r>
      <w:r w:rsidR="00783D76">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{"citationID":"ZUa4oRw4","properties":{"formattedCitation":"\\super 16\\nosupersub{}","plainCitation":"16","noteIndex":0},"citationItems":[{"id":6355,"uris":["http://zotero.org/users/905211/items/QCRDNL48"],"uri":["http://zotero.org/users/905211/items/QCRDNL48"],"itemData":{"id":6355,"type":"article-journal","abstract":"Immunity is a multifaceted phenomenon. For T cell-mediated memory responses to SARS-CoV-2, it is relevant to consider their impact both on COVID-19 disease severity and on viral spread in a population. Here, we reflect on the immunological and epidemiological aspects and implications of pre-existing cross-reactive immune memory to SARS-CoV-2, which largely originates from previous exposure to circulating common cold coronaviruses. We propose four immunological scenarios for the impact of cross-reactive CD4+ memory T cells on COVID-19 severity and viral transmission. For each scenario, we discuss its implications for the dynamics of herd immunity and on projections of the global impact of SARS-CoV-2 on the human population, and assess its plausibility. In sum, we argue that key potential impacts of cross-reactive T cell memory are already incorporated into epidemiological models based on data of transmission dynamics, particularly with regard to their implications for herd immunity. The implications of immunological processes on other aspects of SARS-CoV-2 epidemiology are worthy of future study.","container-title":"Nature Reviews. Immunology","DOI":"10.1038/s41577-020-00460-4","ISSN":"1474-1741","issue":"11","journalAbbreviation":"Nat Rev Immunol","language":"eng","note":"PMID: 33024281\nPMCID: PMC7537578","page":"709-713","source":"PubMed","title":"Cross-reactive memory T cells and herd immunity to SARS-CoV-2","volume":"20","author":[{"family":"Lipsitch","given":"Marc"},{"family":"Grad","given":"Yonatan H."},{"family":"Sette","given":"Alessandro"},{"family":"Crotty","given":"Shane"}],"issued":{"date-parts":[["2020",11]]}},"label":"page"}],"schema":"https://github.com/citation-style-language/schema/raw/master/csl-citation.json"} </w:instrText>
      </w:r>
      <w:r w:rsidR="00783D76">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16</w:t>
      </w:r>
      <w:r w:rsidR="00783D76">
        <w:rPr>
          <w:rFonts w:ascii="Times New Roman" w:hAnsi="Times New Roman" w:cs="Times New Roman"/>
          <w:sz w:val="24"/>
          <w:szCs w:val="24"/>
        </w:rPr>
        <w:fldChar w:fldCharType="end"/>
      </w:r>
      <w:r w:rsidR="00783D76" w:rsidRPr="00D53699">
        <w:rPr>
          <w:rFonts w:ascii="Times New Roman" w:hAnsi="Times New Roman" w:cs="Times New Roman"/>
          <w:sz w:val="24"/>
          <w:szCs w:val="24"/>
        </w:rPr>
        <w:t>.</w:t>
      </w:r>
      <w:r w:rsidR="00783D76">
        <w:rPr>
          <w:rFonts w:ascii="Times New Roman" w:hAnsi="Times New Roman" w:cs="Times New Roman"/>
          <w:sz w:val="24"/>
          <w:szCs w:val="24"/>
        </w:rPr>
        <w:t xml:space="preserve"> </w:t>
      </w:r>
      <w:r w:rsidR="006D46E6">
        <w:rPr>
          <w:rFonts w:ascii="Times New Roman" w:hAnsi="Times New Roman" w:cs="Times New Roman"/>
          <w:sz w:val="24"/>
          <w:szCs w:val="24"/>
        </w:rPr>
        <w:t>But, a</w:t>
      </w:r>
      <w:r w:rsidR="006D46E6" w:rsidRPr="002A39B5">
        <w:rPr>
          <w:rFonts w:ascii="Times New Roman" w:hAnsi="Times New Roman" w:cs="Times New Roman"/>
          <w:sz w:val="24"/>
          <w:szCs w:val="24"/>
        </w:rPr>
        <w:t xml:space="preserve"> live attenuated vaccine  does not seem in the foreground of SARS-COV-2 vaccine pipeline</w:t>
      </w:r>
      <w:r w:rsidR="006D46E6">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{"citationID":"GUFe2Yuj","properties":{"formattedCitation":"\\super 17\\nosupersub{}","plainCitation":"17","noteIndex":0},"citationItems":[{"id":6361,"uris":["http://zotero.org/users/905211/items/95DFS4WP"],"uri":["http://zotero.org/users/905211/items/95DFS4WP"],"itemData":{"id":6361,"type":"article-journal","container-title":"Nature Reviews. Immunology","DOI":"10.1038/s41577-020-00455-1","ISSN":"1474-1741","issue":"11","journalAbbreviation":"Nat Rev Immunol","language":"eng","note":"PMID: 32989290\nPMCID: PMC7521571","page":"650","source":"PubMed","title":"Keeping track of the SARS-CoV-2 vaccine pipeline","volume":"20","author":[{"family":"Parker","given":"Edward P. K."},{"family":"Shrotri","given":"Madhumita"},{"family":"Kampmann","given":"Beate"}],"issued":{"date-parts":[["2020",11]]}}}],"schema":"https://github.com/citation-style-language/schema/raw/master/csl-citation.json"} </w:instrText>
      </w:r>
      <w:r w:rsidR="006D46E6">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17</w:t>
      </w:r>
      <w:r w:rsidR="006D46E6">
        <w:rPr>
          <w:rFonts w:ascii="Times New Roman" w:hAnsi="Times New Roman" w:cs="Times New Roman"/>
          <w:sz w:val="24"/>
          <w:szCs w:val="24"/>
        </w:rPr>
        <w:fldChar w:fldCharType="end"/>
      </w:r>
    </w:p>
    <w:p w:rsidR="00283476" w:rsidRDefault="006C656D" w:rsidP="00EC0C92">
      <w:pPr>
        <w:spacing w:line="480" w:lineRule="auto"/>
        <w:jc w:val="both"/>
        <w:rPr>
          <w:rFonts w:ascii="Times New Roman" w:hAnsi="Times New Roman" w:cs="Times New Roman"/>
          <w:sz w:val="24"/>
          <w:szCs w:val="24"/>
        </w:rPr>
      </w:pPr>
      <w:r>
        <w:rPr>
          <w:rFonts w:ascii="Times New Roman" w:hAnsi="Times New Roman" w:cs="Times New Roman"/>
          <w:sz w:val="24"/>
          <w:szCs w:val="24"/>
        </w:rPr>
        <w:t>I</w:t>
      </w:r>
      <w:r w:rsidR="00783D76" w:rsidRPr="00022332">
        <w:rPr>
          <w:rFonts w:ascii="Times New Roman" w:hAnsi="Times New Roman" w:cs="Times New Roman"/>
          <w:sz w:val="24"/>
          <w:szCs w:val="24"/>
        </w:rPr>
        <w:t xml:space="preserve">t </w:t>
      </w:r>
      <w:r w:rsidR="00783D76">
        <w:rPr>
          <w:rFonts w:ascii="Times New Roman" w:hAnsi="Times New Roman" w:cs="Times New Roman"/>
          <w:sz w:val="24"/>
          <w:szCs w:val="24"/>
        </w:rPr>
        <w:t>will be</w:t>
      </w:r>
      <w:r w:rsidR="00783D76" w:rsidRPr="00022332">
        <w:rPr>
          <w:rFonts w:ascii="Times New Roman" w:hAnsi="Times New Roman" w:cs="Times New Roman"/>
          <w:sz w:val="24"/>
          <w:szCs w:val="24"/>
        </w:rPr>
        <w:t xml:space="preserve"> controversial whether attenuated live vaccination would be more effective in totally vulnerable world's population who have not cross-reactive immunity to SARS-COV-2  without examining the pathophysiology of the diseases</w:t>
      </w:r>
      <w:r w:rsidR="00783D76">
        <w:rPr>
          <w:rFonts w:ascii="Times New Roman" w:hAnsi="Times New Roman" w:cs="Times New Roman"/>
          <w:sz w:val="24"/>
          <w:szCs w:val="24"/>
          <w:lang w:val="en"/>
        </w:rPr>
        <w:t>. In an in vitro study, t</w:t>
      </w:r>
      <w:r w:rsidR="00783D76" w:rsidRPr="00A71F02">
        <w:rPr>
          <w:rFonts w:ascii="Times New Roman" w:hAnsi="Times New Roman" w:cs="Times New Roman"/>
          <w:sz w:val="24"/>
          <w:szCs w:val="24"/>
          <w:lang w:val="en"/>
        </w:rPr>
        <w:t xml:space="preserve">he cytopathic effect associated with SARS-CoV-2 was confirmed by demonstrating the destruction of basal </w:t>
      </w:r>
      <w:r w:rsidR="00783D76" w:rsidRPr="00A71F02">
        <w:rPr>
          <w:rFonts w:ascii="Times New Roman" w:hAnsi="Times New Roman" w:cs="Times New Roman"/>
          <w:sz w:val="24"/>
          <w:szCs w:val="24"/>
          <w:lang w:val="en"/>
        </w:rPr>
        <w:lastRenderedPageBreak/>
        <w:t>epithelial integrity and cilia shrinkage in cultured organotypical human airway epithelial cells (HAE)</w:t>
      </w:r>
      <w:r w:rsidR="00783D76">
        <w:rPr>
          <w:rFonts w:ascii="Times New Roman" w:hAnsi="Times New Roman" w:cs="Times New Roman"/>
          <w:sz w:val="24"/>
          <w:szCs w:val="24"/>
          <w:lang w:val="en"/>
        </w:rPr>
        <w:fldChar w:fldCharType="begin"/>
      </w:r>
      <w:r w:rsidR="00327F55">
        <w:rPr>
          <w:rFonts w:ascii="Times New Roman" w:hAnsi="Times New Roman" w:cs="Times New Roman"/>
          <w:sz w:val="24"/>
          <w:szCs w:val="24"/>
          <w:lang w:val="en"/>
        </w:rPr>
        <w:instrText xml:space="preserve"> ADDIN ZOTERO_ITEM CSL_CITATION {"citationID":"1DxNfmXa","properties":{"formattedCitation":"\\super 18\\nosupersub{}","plainCitation":"18","noteIndex":0},"citationItems":[{"id":6352,"uris":["http://zotero.org/users/905211/items/4ALB9ZZS"],"uri":["http://zotero.org/users/905211/items/4ALB9ZZS"],"itemData":{"id":6352,"type":"article-journal","abstract":"SARS-CoV-2, a β-coronavirus, has rapidly spread across the world, highlighting its high transmissibility, but the underlying morphogenesis and pathogenesis remain poorly understood. Here, we characterize the replication dynamics, cell tropism and morphogenesis of SARS-CoV-2 in organotypic human airway epithelial (HAE) cultures. SARS-CoV-2 replicates efficiently and infects both ciliated and secretory cells in HAE cultures. In comparison, HCoV-NL63 replicates to lower titers and is only detected in ciliated cells. SARS-CoV-2 shows a similar morphogenetic process as other coronaviruses but causes plaque-like cytopathic effects in HAE cultures. Cell fusion, apoptosis, destruction of epithelium integrity, cilium shrinking and beaded changes are observed in the plaque regions. Taken together, our results provide important insights into SARS-CoV-2 cell tropism, replication and morphogenesis.","container-title":"Nature Communications","DOI":"10.1038/s41467-020-17796-z","ISSN":"2041-1723","issue":"1","language":"en","note":"number: 1\npublisher: Nature Publishing Group","page":"3910","source":"www.nature.com","title":"Morphogenesis and cytopathic effect of SARS-CoV-2 infection in human airway epithelial cells","volume":"11","author":[{"family":"Zhu","given":"Na"},{"family":"Wang","given":"Wenling"},{"family":"Liu","given":"Zhidong"},{"family":"Liang","given":"Chaoyang"},{"family":"Wang","given":"Wen"},{"family":"Ye","given":"Fei"},{"family":"Huang","given":"Baoying"},{"family":"Zhao","given":"Li"},{"family":"Wang","given":"Huijuan"},{"family":"Zhou","given":"Weimin"},{"family":"Deng","given":"Yao"},{"family":"Mao","given":"Longfei"},{"family":"Su","given":"Chongyu"},{"family":"Qiang","given":"Guangliang"},{"family":"Jiang","given":"Taijiao"},{"family":"Zhao","given":"Jincun"},{"family":"Wu","given":"Guizhen"},{"family":"Song","given":"Jingdong"},{"family":"Tan","given":"Wenjie"}],"issued":{"date-parts":[["2020",8,6]]}}}],"schema":"https://github.com/citation-style-language/schema/raw/master/csl-citation.json"} </w:instrText>
      </w:r>
      <w:r w:rsidR="00783D76">
        <w:rPr>
          <w:rFonts w:ascii="Times New Roman" w:hAnsi="Times New Roman" w:cs="Times New Roman"/>
          <w:sz w:val="24"/>
          <w:szCs w:val="24"/>
          <w:lang w:val="en"/>
        </w:rPr>
        <w:fldChar w:fldCharType="separate"/>
      </w:r>
      <w:r w:rsidR="00327F55" w:rsidRPr="00327F55">
        <w:rPr>
          <w:rFonts w:ascii="Times New Roman" w:hAnsi="Times New Roman" w:cs="Times New Roman"/>
          <w:sz w:val="24"/>
          <w:szCs w:val="24"/>
          <w:vertAlign w:val="superscript"/>
        </w:rPr>
        <w:t>18</w:t>
      </w:r>
      <w:r w:rsidR="00783D76">
        <w:rPr>
          <w:rFonts w:ascii="Times New Roman" w:hAnsi="Times New Roman" w:cs="Times New Roman"/>
          <w:sz w:val="24"/>
          <w:szCs w:val="24"/>
          <w:lang w:val="en"/>
        </w:rPr>
        <w:fldChar w:fldCharType="end"/>
      </w:r>
      <w:r w:rsidR="00783D76" w:rsidRPr="00A71F02">
        <w:rPr>
          <w:rFonts w:ascii="Times New Roman" w:hAnsi="Times New Roman" w:cs="Times New Roman"/>
          <w:sz w:val="24"/>
          <w:szCs w:val="24"/>
          <w:lang w:val="en"/>
        </w:rPr>
        <w:t>.</w:t>
      </w:r>
      <w:r w:rsidR="00783D76" w:rsidRPr="00A71F02">
        <w:rPr>
          <w:rFonts w:ascii="Times New Roman" w:hAnsi="Times New Roman" w:cs="Times New Roman"/>
          <w:sz w:val="24"/>
          <w:szCs w:val="24"/>
        </w:rPr>
        <w:t xml:space="preserve"> </w:t>
      </w:r>
      <w:r w:rsidR="00783D76" w:rsidRPr="00BB11FF">
        <w:rPr>
          <w:rFonts w:ascii="Times New Roman" w:hAnsi="Times New Roman" w:cs="Times New Roman"/>
          <w:sz w:val="24"/>
          <w:szCs w:val="24"/>
        </w:rPr>
        <w:t>Researchers contend that adaptation of SARS-CoV-2 to human airway is strongest and distinctive from other coronaviruses in this study</w:t>
      </w:r>
      <w:r w:rsidR="00783D76">
        <w:rPr>
          <w:rFonts w:ascii="Times New Roman" w:hAnsi="Times New Roman" w:cs="Times New Roman"/>
          <w:sz w:val="24"/>
          <w:szCs w:val="24"/>
        </w:rPr>
        <w:t xml:space="preserve">. </w:t>
      </w:r>
      <w:r w:rsidR="00237B70">
        <w:rPr>
          <w:rFonts w:ascii="Times New Roman" w:hAnsi="Times New Roman" w:cs="Times New Roman"/>
          <w:sz w:val="24"/>
          <w:szCs w:val="24"/>
        </w:rPr>
        <w:t>In an in vivo study, r</w:t>
      </w:r>
      <w:r w:rsidR="00237B70" w:rsidRPr="00237B70">
        <w:rPr>
          <w:rFonts w:ascii="Times New Roman" w:hAnsi="Times New Roman" w:cs="Times New Roman"/>
          <w:sz w:val="24"/>
          <w:szCs w:val="24"/>
        </w:rPr>
        <w:t>esearchers have been detected the virus only in the upper and lower respiratory tract but not the spleen, liver, kidneys, or small intestine after  intranasal administration of SARS-</w:t>
      </w:r>
      <w:r w:rsidR="0061783E">
        <w:rPr>
          <w:rFonts w:ascii="Times New Roman" w:hAnsi="Times New Roman" w:cs="Times New Roman"/>
          <w:sz w:val="24"/>
          <w:szCs w:val="24"/>
        </w:rPr>
        <w:t>COV virus to the mice</w:t>
      </w:r>
      <w:r w:rsidR="00237B70">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{"citationID":"54Pq6oct","properties":{"formattedCitation":"\\super 19\\nosupersub{}","plainCitation":"19","noteIndex":0},"citationItems":[{"id":6366,"uris":["http://zotero.org/users/905211/items/LRRBXXNL"],"uri":["http://zotero.org/users/905211/items/LRRBXXNL"],"itemData":{"id":6366,"type":"article-journal","abstract":"Following intranasal administration, the severe acute respiratory syndrome (SARS) coronavirus replicated to high titers in the respiratory tracts of BALB/c mice. Peak replication was seen in the absence of disease on day 1 or 2, depending on the dose administered, and the virus was cleared within a week. Viral antigen and nucleic acid were detected in bronchiolar epithelial cells during peak viral replication. Mice developed a neutralizing antibody response and were protected from reinfection 28 days following primary infection. Passive transfer of immune serum to naïve mice prevented virus replication in the lower respiratory tract following intranasal challenge. Thus, antibodies, acting alone, can prevent replication of the SARS coronavirus in the lung, a promising observation for the development of vaccines, immunotherapy, and immunoprophylaxis regimens.","container-title":"Journal of Virology","DOI":"10.1128/jvi.78.7.3572-3577.2004","ISSN":"0022-538X","issue":"7","journalAbbreviation":"J Virol","language":"eng","note":"PMID: 15016880\nPMCID: PMC371090","page":"3572-3577","source":"PubMed","title":"Prior infection and passive transfer of neutralizing antibody prevent replication of severe acute respiratory syndrome coronavirus in the respiratory tract of mice","volume":"78","author":[{"family":"Subbarao","given":"Kanta"},{"family":"McAuliffe","given":"Josephine"},{"family":"Vogel","given":"Leatrice"},{"family":"Fahle","given":"Gary"},{"family":"Fischer","given":"Steven"},{"family":"Tatti","given":"Kathleen"},{"family":"Packard","given":"Michelle"},{"family":"Shieh","given":"Wun-Ju"},{"family":"Zaki","given":"Sherif"},{"family":"Murphy","given":"Brian"}],"issued":{"date-parts":[["2004",4]]}}}],"schema":"https://github.com/citation-style-language/schema/raw/master/csl-citation.json"} </w:instrText>
      </w:r>
      <w:r w:rsidR="00237B70">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19</w:t>
      </w:r>
      <w:r w:rsidR="00237B70">
        <w:rPr>
          <w:rFonts w:ascii="Times New Roman" w:hAnsi="Times New Roman" w:cs="Times New Roman"/>
          <w:sz w:val="24"/>
          <w:szCs w:val="24"/>
        </w:rPr>
        <w:fldChar w:fldCharType="end"/>
      </w:r>
      <w:r w:rsidR="00237B70">
        <w:rPr>
          <w:rFonts w:ascii="Times New Roman" w:hAnsi="Times New Roman" w:cs="Times New Roman"/>
          <w:sz w:val="24"/>
          <w:szCs w:val="24"/>
        </w:rPr>
        <w:t xml:space="preserve">. </w:t>
      </w:r>
      <w:r w:rsidR="00783D76">
        <w:rPr>
          <w:rFonts w:ascii="Times New Roman" w:hAnsi="Times New Roman" w:cs="Times New Roman"/>
          <w:sz w:val="24"/>
          <w:szCs w:val="24"/>
        </w:rPr>
        <w:t>Additionally, i</w:t>
      </w:r>
      <w:r w:rsidR="00783D76" w:rsidRPr="00881E6A">
        <w:rPr>
          <w:rStyle w:val="jlqj4b"/>
          <w:rFonts w:ascii="Times New Roman" w:hAnsi="Times New Roman" w:cs="Times New Roman"/>
          <w:sz w:val="24"/>
          <w:szCs w:val="24"/>
          <w:lang w:val="en"/>
        </w:rPr>
        <w:t>n autopsy studies, involvement of regional lymph nodes is not emphasized and the COVID-19 remains mostly limited in the respiratory system</w:t>
      </w:r>
      <w:r w:rsidR="00783D76" w:rsidRPr="00881E6A">
        <w:rPr>
          <w:rStyle w:val="jlqj4b"/>
          <w:rFonts w:ascii="Times New Roman" w:hAnsi="Times New Roman" w:cs="Times New Roman"/>
          <w:sz w:val="24"/>
          <w:szCs w:val="24"/>
          <w:lang w:val="en"/>
        </w:rPr>
        <w:fldChar w:fldCharType="begin"/>
      </w:r>
      <w:r w:rsidR="00327F55">
        <w:rPr>
          <w:rStyle w:val="jlqj4b"/>
          <w:rFonts w:ascii="Times New Roman" w:hAnsi="Times New Roman" w:cs="Times New Roman"/>
          <w:sz w:val="24"/>
          <w:szCs w:val="24"/>
          <w:lang w:val="en"/>
        </w:rPr>
        <w:instrText xml:space="preserve"> ADDIN ZOTERO_ITEM CSL_CITATION {"citationID":"dxeDPecW","properties":{"formattedCitation":"\\super 20\\nosupersub{}","plainCitation":"20","noteIndex":0},"citationItems":[{"id":6304,"uris":["http://zotero.org/users/905211/items/ASYEPLQ9"],"uri":["http://zotero.org/users/905211/items/ASYEPLQ9"],"itemData":{"id":6304,"type":"article-journal","abstract":"Coronavirus disease 2019 (COVID-19), caused by the severe acute respiratory syndrome coronavirus 2 (SARS-CoV-2) virus, has been declared by the World Health Organization as an emerging public health problem of global importance and classified as a pandemic. SARS-CoV-2 infection can result in diverse, multiorgan pathology, the most significant being in the lungs (diffuse alveolar damage in its different phases, microthrombi, bronchopneumonia, necrotizing bronchiolitis, viral pneumonia), heart (lymphocytic myocarditis), kidney (acute tubular injury), central nervous system (microthrombi, ischemic necrosis, acute hemorrhagic infarction, congestion, and vascular edema), lymph nodes (hemophagocytosis and histiocytosis), bone marrow (hemophagocytosis), and vasculature (deep vein thrombosis). An understanding of the spectrum and frequency of histologic findings in COVID-19 is essential for gaining a better understanding of disease pathophysiology and its ongoing impact on public health. To this end, we conducted a systematic meta-analysis of histopathologic observations to date and review the reported findings.","container-title":"Human Pathology","DOI":"10.1016/j.humpath.2020.07.023","ISSN":"0046-8177","journalAbbreviation":"Hum Pathol","note":"PMID: 32750378\nPMCID: PMC7395947","page":"74-83","source":"PubMed Central","title":"A review of the main histopathological findings in coronavirus disease 2019","volume":"105","author":[{"family":"Vasquez-Bonilla","given":"Walter O."},{"family":"Orozco","given":"Roberto"},{"family":"Argueta","given":"Víctor"},{"family":"Sierra","given":"Manuel"},{"family":"Zambrano","given":"Lysien I."},{"family":"Muñoz-Lara","given":"Fausto"},{"family":"López-Molina","given":"Dennis Salomón"},{"family":"Arteaga-Livias","given":"Kovy"},{"family":"Grimes","given":"Zachary"},{"family":"Bryce","given":"Clare"},{"family":"Paniz-Mondolfi","given":"Alberto"},{"family":"Rodríguez-Morales","given":"Alfonso J."}],"issued":{"date-parts":[["2020",11]]}}}],"schema":"https://github.com/citation-style-language/schema/raw/master/csl-citation.json"} </w:instrText>
      </w:r>
      <w:r w:rsidR="00783D76" w:rsidRPr="00881E6A">
        <w:rPr>
          <w:rStyle w:val="jlqj4b"/>
          <w:rFonts w:ascii="Times New Roman" w:hAnsi="Times New Roman" w:cs="Times New Roman"/>
          <w:sz w:val="24"/>
          <w:szCs w:val="24"/>
          <w:lang w:val="en"/>
        </w:rPr>
        <w:fldChar w:fldCharType="separate"/>
      </w:r>
      <w:r w:rsidR="00327F55" w:rsidRPr="00327F55">
        <w:rPr>
          <w:rFonts w:ascii="Times New Roman" w:hAnsi="Times New Roman" w:cs="Times New Roman"/>
          <w:sz w:val="24"/>
          <w:szCs w:val="24"/>
          <w:vertAlign w:val="superscript"/>
        </w:rPr>
        <w:t>20</w:t>
      </w:r>
      <w:r w:rsidR="00783D76" w:rsidRPr="00881E6A">
        <w:rPr>
          <w:rStyle w:val="jlqj4b"/>
          <w:rFonts w:ascii="Times New Roman" w:hAnsi="Times New Roman" w:cs="Times New Roman"/>
          <w:sz w:val="24"/>
          <w:szCs w:val="24"/>
          <w:lang w:val="en"/>
        </w:rPr>
        <w:fldChar w:fldCharType="end"/>
      </w:r>
      <w:r w:rsidR="00783D76">
        <w:rPr>
          <w:rFonts w:ascii="Times New Roman" w:hAnsi="Times New Roman" w:cs="Times New Roman"/>
          <w:sz w:val="24"/>
          <w:szCs w:val="24"/>
        </w:rPr>
        <w:t>. On contrary, both T-cells and B cells are permissive for measle virus infection that showed in lymphocytes subset derived from tonsils and bloods</w:t>
      </w:r>
      <w:r w:rsidR="00783D76">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{"citationID":"YUYptR6r","properties":{"formattedCitation":"\\super 21\\nosupersub{}","plainCitation":"21","noteIndex":0},"citationItems":[{"id":6340,"uris":["http://zotero.org/users/905211/items/EMFKF2KF"],"uri":["http://zotero.org/users/905211/items/EMFKF2KF"],"itemData":{"id":6340,"type":"article-journal","abstract":"Measles is characterized by a transient immune suppression, leading to an increased risk of opportunistic infections. Measles virus (MV) infection of immune cells is mediated by the cellular receptor CD150, expressed by subsets of lymphocytes, dendritic cells, macrophages, and thymocytes. Previous studies showed that human and nonhuman primate memory T cells express higher levels of CD150 than naive cells and are more susceptible to MV infection. However, limited information is available about the CD150 expression and relative susceptibility to MV infection of B-cell subsets. In this study, we assessed the susceptibility and permissiveness of naive and memory T- and B-cell subsets from human peripheral blood or tonsils to in vitro MV infection. Our study demonstrates that naive and memory B cells express CD150, but at lower frequencies than memory T cells. Nevertheless, both naive and memory B cells proved to be highly permissive to MV infection. Furthermore, we assessed the susceptibility and permissiveness of various functionally distinct T and B cells, such as helper T (TH) cell subsets and IgG- and IgA-positive memory B cells, in peripheral blood and tonsils. We demonstrated that TH1TH17 cells and plasma and germinal center B cells were the subsets most susceptible and permissive to MV infection. Our study suggests that both naive and memory B cells, along with several other antigen-experienced lymphocytes, are important target cells of MV infection. Depletion of these cells potentially contributes to the pathogenesis of measles immune suppression.IMPORTANCE Measles is associated with immune suppression and is often complicated by bacterial pneumonia, otitis media, or gastroenteritis. Measles virus infects antigen-presenting cells and T and B cells, and depletion of these cells may contribute to lymphopenia and immune suppression. Measles has been associated with follicular exhaustion in lymphoid tissues in humans and nonhuman primates, emphasizing the importance of MV infection of B cells in vivo However, information on the relative susceptibility of B-cell subsets is scarce. Here, we compared the susceptibility and permissiveness to in vitro MV infection of human naive and memory T- and B-cell subsets isolated from peripheral blood or tonsils. Our results demonstrate that both naive and memory B cells are more permissive to MV infection than T cells. The highest infection levels were detected in plasma cells and germinal center B cells, suggesting that infection and depletion of these populations contribute to reduced host resistance.","container-title":"Journal of Virology","DOI":"10.1128/JVI.00131-18","ISSN":"1098-5514","issue":"8","journalAbbreviation":"J Virol","language":"eng","note":"PMID: 29437964\nPMCID: PMC5874404","source":"PubMed","title":"In Vitro Measles Virus Infection of Human Lymphocyte Subsets Demonstrates High Susceptibility and Permissiveness of both Naive and Memory B Cells","volume":"92","author":[{"family":"Laksono","given":"Brigitta M."},{"family":"Grosserichter-Wagener","given":"Christina"},{"family":"Vries","given":"Rory D.","non-dropping-particle":"de"},{"family":"Langeveld","given":"Simone A. G."},{"family":"Brem","given":"Maarten D."},{"family":"Dongen","given":"Jacques J. M.","non-dropping-particle":"van"},{"family":"Katsikis","given":"Peter D."},{"family":"Koopmans","given":"Marion P. G."},{"family":"Zelm","given":"Menno C.","non-dropping-particle":"van"},{"family":"Swart","given":"Rik L.","non-dropping-particle":"de"}],"issued":{"date-parts":[["2018",4,15]]}}}],"schema":"https://github.com/citation-style-language/schema/raw/master/csl-citation.json"} </w:instrText>
      </w:r>
      <w:r w:rsidR="00783D76">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21</w:t>
      </w:r>
      <w:r w:rsidR="00783D76">
        <w:rPr>
          <w:rFonts w:ascii="Times New Roman" w:hAnsi="Times New Roman" w:cs="Times New Roman"/>
          <w:sz w:val="24"/>
          <w:szCs w:val="24"/>
        </w:rPr>
        <w:fldChar w:fldCharType="end"/>
      </w:r>
      <w:r w:rsidR="00783D76">
        <w:rPr>
          <w:rFonts w:ascii="Times New Roman" w:hAnsi="Times New Roman" w:cs="Times New Roman"/>
          <w:sz w:val="24"/>
          <w:szCs w:val="24"/>
        </w:rPr>
        <w:t>.</w:t>
      </w:r>
      <w:r w:rsidR="00783D76" w:rsidRPr="00424DB7">
        <w:rPr>
          <w:rStyle w:val="jlqj4b"/>
          <w:rFonts w:ascii="Times New Roman" w:hAnsi="Times New Roman" w:cs="Times New Roman"/>
          <w:sz w:val="24"/>
          <w:szCs w:val="24"/>
          <w:lang w:val="en"/>
        </w:rPr>
        <w:t xml:space="preserve"> </w:t>
      </w:r>
      <w:r w:rsidR="00783D76">
        <w:rPr>
          <w:rStyle w:val="jlqj4b"/>
          <w:rFonts w:ascii="Times New Roman" w:hAnsi="Times New Roman" w:cs="Times New Roman"/>
          <w:sz w:val="24"/>
          <w:szCs w:val="24"/>
          <w:lang w:val="en"/>
        </w:rPr>
        <w:t>I</w:t>
      </w:r>
      <w:r w:rsidR="00783D76" w:rsidRPr="00881E6A">
        <w:rPr>
          <w:rFonts w:ascii="Times New Roman" w:hAnsi="Times New Roman" w:cs="Times New Roman"/>
          <w:sz w:val="24"/>
          <w:szCs w:val="24"/>
        </w:rPr>
        <w:t>mmune cells permission</w:t>
      </w:r>
      <w:r w:rsidR="00783D76">
        <w:rPr>
          <w:rFonts w:ascii="Times New Roman" w:hAnsi="Times New Roman" w:cs="Times New Roman"/>
          <w:sz w:val="24"/>
          <w:szCs w:val="24"/>
        </w:rPr>
        <w:t xml:space="preserve"> to the measle virus and and smallpox viru</w:t>
      </w:r>
      <w:r w:rsidR="00783D76" w:rsidRPr="00881E6A">
        <w:rPr>
          <w:rFonts w:ascii="Times New Roman" w:hAnsi="Times New Roman" w:cs="Times New Roman"/>
          <w:sz w:val="24"/>
          <w:szCs w:val="24"/>
        </w:rPr>
        <w:t>s led to viral dissemination (troj</w:t>
      </w:r>
      <w:r w:rsidR="00431381">
        <w:rPr>
          <w:rFonts w:ascii="Times New Roman" w:hAnsi="Times New Roman" w:cs="Times New Roman"/>
          <w:sz w:val="24"/>
          <w:szCs w:val="24"/>
        </w:rPr>
        <w:t>an horse)  to the other organs</w:t>
      </w:r>
      <w:r w:rsidR="00783D76" w:rsidRPr="00881E6A">
        <w:rPr>
          <w:rFonts w:ascii="Times New Roman" w:hAnsi="Times New Roman" w:cs="Times New Roman"/>
          <w:sz w:val="24"/>
          <w:szCs w:val="24"/>
        </w:rPr>
        <w:fldChar w:fldCharType="begin"/>
      </w:r>
      <w:r w:rsidR="00327F55">
        <w:rPr>
          <w:rFonts w:ascii="Times New Roman" w:hAnsi="Times New Roman" w:cs="Times New Roman"/>
          <w:sz w:val="24"/>
          <w:szCs w:val="24"/>
        </w:rPr>
        <w:instrText xml:space="preserve"> ADDIN ZOTERO_ITEM CSL_CITATION {"citationID":"wF3pSDOP","properties":{"formattedCitation":"\\super 22\\nosupersub{}","plainCitation":"22","noteIndex":0},"citationItems":[{"id":6380,"uris":["http://zotero.org/users/905211/items/SLZLZKQE"],"uri":["http://zotero.org/users/905211/items/SLZLZKQE"],"itemData":{"id":6380,"type":"article-journal","abstract":"Measles is an important cause of childhood morbidity and mortality in developing countries. Measles virus (MV) is transmitted via the respiratory route and causes systemic disease. Over the last decade, identification of new cellular receptors and studies in animal models have challenged the historic concepts of measles pathogenesis. It is thought that MV enters the host by infection of alveolar macrophages and/or dendritic cells in the airways, and is amplified in local lymphoid tissues. Viremia mediated by infected CD150+ lymphocytes results in systemic dissemination. Infection of lymphocytes and dendritic cells in the respiratory submucosa facilitates basolateral infection of epithelial cells via the newly identified receptor Nectin-4. Concomitant and extensive epithelial damage may contribute to efficient transmission to the next host.","container-title":"Current Opinion in Virology","DOI":"10.1016/j.coviro.2012.03.005","ISSN":"1879-6265","issue":"3","journalAbbreviation":"Curr Opin Virol","language":"eng","note":"PMID: 22483507","page":"248-255","source":"PubMed","title":"The pathogenesis of measles","volume":"2","author":[{"family":"Vries","given":"Rory D.","non-dropping-particle":"de"},{"family":"Mesman","given":"Annelies W."},{"family":"Geijtenbeek","given":"Teunis B. H."},{"family":"Duprex","given":"W. Paul"},{"family":"Swart","given":"Rik L.","non-dropping-particle":"de"}],"issued":{"date-parts":[["2012",6]]}},"label":"page"}],"schema":"https://github.com/citation-style-language/schema/raw/master/csl-citation.json"} </w:instrText>
      </w:r>
      <w:r w:rsidR="00783D76" w:rsidRPr="00881E6A">
        <w:rPr>
          <w:rFonts w:ascii="Times New Roman" w:hAnsi="Times New Roman" w:cs="Times New Roman"/>
          <w:sz w:val="24"/>
          <w:szCs w:val="24"/>
        </w:rPr>
        <w:fldChar w:fldCharType="separate"/>
      </w:r>
      <w:r w:rsidR="00327F55" w:rsidRPr="00327F55">
        <w:rPr>
          <w:rFonts w:ascii="Times New Roman" w:hAnsi="Times New Roman" w:cs="Times New Roman"/>
          <w:sz w:val="24"/>
          <w:szCs w:val="24"/>
          <w:vertAlign w:val="superscript"/>
        </w:rPr>
        <w:t>22</w:t>
      </w:r>
      <w:r w:rsidR="00783D76" w:rsidRPr="00881E6A">
        <w:rPr>
          <w:rFonts w:ascii="Times New Roman" w:hAnsi="Times New Roman" w:cs="Times New Roman"/>
          <w:sz w:val="24"/>
          <w:szCs w:val="24"/>
        </w:rPr>
        <w:fldChar w:fldCharType="end"/>
      </w:r>
      <w:r w:rsidR="00431381">
        <w:rPr>
          <w:rFonts w:ascii="Times New Roman" w:hAnsi="Times New Roman" w:cs="Times New Roman"/>
          <w:sz w:val="24"/>
          <w:szCs w:val="24"/>
        </w:rPr>
        <w:t>.</w:t>
      </w:r>
      <w:r w:rsidR="00783D76">
        <w:rPr>
          <w:rFonts w:ascii="Times New Roman" w:hAnsi="Times New Roman" w:cs="Times New Roman"/>
          <w:sz w:val="24"/>
          <w:szCs w:val="24"/>
        </w:rPr>
        <w:t xml:space="preserve"> However, r</w:t>
      </w:r>
      <w:r w:rsidR="00783D76" w:rsidRPr="00881E6A">
        <w:rPr>
          <w:rFonts w:ascii="Times New Roman" w:hAnsi="Times New Roman" w:cs="Times New Roman"/>
          <w:sz w:val="24"/>
          <w:szCs w:val="24"/>
        </w:rPr>
        <w:t xml:space="preserve">esearchs regard to </w:t>
      </w:r>
      <w:r w:rsidR="00783D76">
        <w:rPr>
          <w:rFonts w:ascii="Times New Roman" w:hAnsi="Times New Roman" w:cs="Times New Roman"/>
          <w:sz w:val="24"/>
          <w:szCs w:val="24"/>
        </w:rPr>
        <w:t>i</w:t>
      </w:r>
      <w:r w:rsidR="00783D76" w:rsidRPr="00881E6A">
        <w:rPr>
          <w:rFonts w:ascii="Times New Roman" w:hAnsi="Times New Roman" w:cs="Times New Roman"/>
          <w:sz w:val="24"/>
          <w:szCs w:val="24"/>
        </w:rPr>
        <w:t xml:space="preserve">n vitro infectivity assays of blood components failed to detect virus in blood that may be related that immune cells are not permissive for </w:t>
      </w:r>
      <w:r w:rsidR="00783D76" w:rsidRPr="00881E6A">
        <w:rPr>
          <w:rStyle w:val="jlqj4b"/>
          <w:rFonts w:ascii="Times New Roman" w:hAnsi="Times New Roman" w:cs="Times New Roman"/>
          <w:sz w:val="24"/>
          <w:szCs w:val="24"/>
          <w:lang w:val="en"/>
        </w:rPr>
        <w:t>SARS-COV-2 virus</w:t>
      </w:r>
      <w:r w:rsidR="00783D76" w:rsidRPr="00881E6A">
        <w:rPr>
          <w:rStyle w:val="jlqj4b"/>
          <w:rFonts w:ascii="Times New Roman" w:hAnsi="Times New Roman" w:cs="Times New Roman"/>
          <w:sz w:val="24"/>
          <w:szCs w:val="24"/>
          <w:lang w:val="en"/>
        </w:rPr>
        <w:fldChar w:fldCharType="begin"/>
      </w:r>
      <w:r w:rsidR="00327F55">
        <w:rPr>
          <w:rStyle w:val="jlqj4b"/>
          <w:rFonts w:ascii="Times New Roman" w:hAnsi="Times New Roman" w:cs="Times New Roman"/>
          <w:sz w:val="24"/>
          <w:szCs w:val="24"/>
          <w:lang w:val="en"/>
        </w:rPr>
        <w:instrText xml:space="preserve"> ADDIN ZOTERO_ITEM CSL_CITATION {"citationID":"amvZw0FZ","properties":{"formattedCitation":"\\super 23\\nosupersub{}","plainCitation":"23","noteIndex":0},"citationItems":[{"id":6301,"uris":["http://zotero.org/users/905211/items/GGMKJ2RT"],"uri":["http://zotero.org/users/905211/items/GGMKJ2RT"],"itemData":{"id":6301,"type":"article-journal","abstract":"Severe acute respiratory syndrome coronavirus 2 (SARS-CoV-2) is a novel human coronavirus responsible for coronavirus disease 2019 (COVID-19). The emergence of this virus in Wuhan, China, at the end of 2019 and its worldwide spread to reach the pandemic stage has raised concerns about the possible risk that it might be transmissible by transfusion. This theoretical risk is further supported by reports of the detection of viral RNA in the blood of some infected individuals. To further address this risk, a thorough PubMed literature search was performed to systematically identify studies reporting data on the detection of SARS-CoV-2 RNA in blood or its components. Complementary searches were done to identify articles reporting data on the in vitro infectivity of blood components. At least 23 articles presenting data on the detection of SARS-CoV-2 RNA in blood, plasma, or serum were identified. Of these, three studies reported on blood donors with COVID-19 infection identified after donation, and no cases of transfusion transmission were identified. A few studies mentioned results of in vitro infectivity assays of blood components in permissive cell lines, none of which were able to detect infectious virus in blood or its components. Complementary searches have identified reports demonstrating that the correlation between the presence of viral RNA in a biologic sample and infectivity requires a minimal RNA load, which is rarely, if ever, observed in blood components. Overall, the available evidence suggests that the risk of transmission of SARS-CoV-2 by transfusion remains theoretical.","container-title":"Transfusion","DOI":"10.1111/trf.16056","ISSN":"1537-2995","issue":"12","journalAbbreviation":"Transfusion","language":"eng","note":"PMID: 32798237\nPMCID: PMC7461295","page":"3046-3054","source":"PubMed","title":"Risk of transmission of severe acute respiratory syndrome coronavirus 2 by transfusion: A literature review","title-short":"Risk of transmission of severe acute respiratory syndrome coronavirus 2 by transfusion","volume":"60","author":[{"family":"Leblanc","given":"Jean-François"},{"family":"Germain","given":"Marc"},{"family":"Delage","given":"Gilles"},{"family":"OʼBrien","given":"Sheila"},{"family":"Drews","given":"Steven J."},{"family":"Lewin","given":"Antoine"}],"issued":{"date-parts":[["2020",12]]}}}],"schema":"https://github.com/citation-style-language/schema/raw/master/csl-citation.json"} </w:instrText>
      </w:r>
      <w:r w:rsidR="00783D76" w:rsidRPr="00881E6A">
        <w:rPr>
          <w:rStyle w:val="jlqj4b"/>
          <w:rFonts w:ascii="Times New Roman" w:hAnsi="Times New Roman" w:cs="Times New Roman"/>
          <w:sz w:val="24"/>
          <w:szCs w:val="24"/>
          <w:lang w:val="en"/>
        </w:rPr>
        <w:fldChar w:fldCharType="separate"/>
      </w:r>
      <w:r w:rsidR="00327F55" w:rsidRPr="00327F55">
        <w:rPr>
          <w:rFonts w:ascii="Times New Roman" w:hAnsi="Times New Roman" w:cs="Times New Roman"/>
          <w:sz w:val="24"/>
          <w:szCs w:val="24"/>
          <w:vertAlign w:val="superscript"/>
        </w:rPr>
        <w:t>23</w:t>
      </w:r>
      <w:r w:rsidR="00783D76" w:rsidRPr="00881E6A">
        <w:rPr>
          <w:rStyle w:val="jlqj4b"/>
          <w:rFonts w:ascii="Times New Roman" w:hAnsi="Times New Roman" w:cs="Times New Roman"/>
          <w:sz w:val="24"/>
          <w:szCs w:val="24"/>
          <w:lang w:val="en"/>
        </w:rPr>
        <w:fldChar w:fldCharType="end"/>
      </w:r>
      <w:r w:rsidR="00783D76" w:rsidRPr="00881E6A">
        <w:rPr>
          <w:rStyle w:val="jlqj4b"/>
          <w:rFonts w:ascii="Times New Roman" w:hAnsi="Times New Roman" w:cs="Times New Roman"/>
          <w:sz w:val="24"/>
          <w:szCs w:val="24"/>
          <w:lang w:val="en"/>
        </w:rPr>
        <w:t>.</w:t>
      </w:r>
      <w:r w:rsidR="00783D76">
        <w:rPr>
          <w:rStyle w:val="jlqj4b"/>
          <w:rFonts w:ascii="Times New Roman" w:hAnsi="Times New Roman" w:cs="Times New Roman"/>
          <w:sz w:val="24"/>
          <w:szCs w:val="24"/>
          <w:lang w:val="en"/>
        </w:rPr>
        <w:t xml:space="preserve"> </w:t>
      </w:r>
    </w:p>
    <w:p w:rsidR="00783D76" w:rsidRDefault="00283476" w:rsidP="00EC0C92">
      <w:pPr>
        <w:spacing w:line="480" w:lineRule="auto"/>
        <w:jc w:val="both"/>
        <w:rPr>
          <w:rFonts w:ascii="Times New Roman" w:hAnsi="Times New Roman" w:cs="Times New Roman"/>
          <w:sz w:val="24"/>
          <w:szCs w:val="24"/>
        </w:rPr>
      </w:pPr>
      <w:r w:rsidRPr="00283476">
        <w:rPr>
          <w:rFonts w:ascii="Times New Roman" w:hAnsi="Times New Roman" w:cs="Times New Roman"/>
          <w:sz w:val="24"/>
          <w:szCs w:val="24"/>
        </w:rPr>
        <w:t>We wanted to emphasize the importance of cellular immunity, especially immune response at the mucosal level</w:t>
      </w:r>
      <w:r>
        <w:rPr>
          <w:rFonts w:ascii="Times New Roman" w:hAnsi="Times New Roman" w:cs="Times New Roman"/>
          <w:sz w:val="24"/>
          <w:szCs w:val="24"/>
        </w:rPr>
        <w:t xml:space="preserve"> for eliminating the SARS-COV-2 virus infection</w:t>
      </w:r>
      <w:r w:rsidRPr="00283476">
        <w:rPr>
          <w:rFonts w:ascii="Times New Roman" w:hAnsi="Times New Roman" w:cs="Times New Roman"/>
          <w:sz w:val="24"/>
          <w:szCs w:val="24"/>
        </w:rPr>
        <w:t>.</w:t>
      </w:r>
    </w:p>
    <w:p w:rsidR="00783D76" w:rsidRDefault="00783D76" w:rsidP="00EC0C92">
      <w:pPr>
        <w:spacing w:line="480" w:lineRule="auto"/>
        <w:jc w:val="both"/>
        <w:rPr>
          <w:rFonts w:ascii="Times New Roman" w:hAnsi="Times New Roman" w:cs="Times New Roman"/>
          <w:sz w:val="24"/>
          <w:szCs w:val="24"/>
          <w:lang w:val="en"/>
        </w:rPr>
      </w:pPr>
    </w:p>
    <w:p w:rsidR="007A0607" w:rsidRPr="00881E6A" w:rsidRDefault="00587765" w:rsidP="00EC0C92">
      <w:pPr>
        <w:pStyle w:val="Balk2"/>
        <w:spacing w:line="480" w:lineRule="auto"/>
        <w:jc w:val="both"/>
        <w:rPr>
          <w:rFonts w:ascii="Times New Roman" w:hAnsi="Times New Roman" w:cs="Times New Roman"/>
          <w:sz w:val="24"/>
          <w:szCs w:val="24"/>
        </w:rPr>
      </w:pPr>
      <w:r w:rsidRPr="00881E6A">
        <w:rPr>
          <w:rFonts w:ascii="Times New Roman" w:hAnsi="Times New Roman" w:cs="Times New Roman"/>
          <w:sz w:val="24"/>
          <w:szCs w:val="24"/>
        </w:rPr>
        <w:t>Statistical concept</w:t>
      </w:r>
    </w:p>
    <w:p w:rsidR="00635BBB" w:rsidRPr="00881E6A" w:rsidRDefault="00FA4D76" w:rsidP="00EC0C92">
      <w:pPr>
        <w:spacing w:line="48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sz w:val="24"/>
          <w:szCs w:val="24"/>
        </w:rPr>
        <w:t>The aim of the Vaccine Phase-III studies is to evaluate the clinical efficacy and effectiveness and also the safety of the vaccine in a large population. Phase-IV studies are planned in order to predict the long-term effects of vaccines and to examine the rare side effects. These studies are conducted as multinational and multicenter. Volunteer individuals participate in the study. Vaccine and Placebo applications are made according to double-blind and the principles of randomness. In order to avoid confounded with the effects of baseline features measured, unmeasured and/or unobservable in the study, the treatment is allocated randomly</w:t>
      </w:r>
      <w:r>
        <w:rPr>
          <w:rFonts w:ascii="Times New Roman" w:eastAsia="Times New Roman" w:hAnsi="Times New Roman" w:cs="Times New Roman"/>
          <w:sz w:val="24"/>
          <w:szCs w:val="24"/>
          <w:vertAlign w:val="superscript"/>
        </w:rPr>
        <w:t>29</w:t>
      </w:r>
      <w:r>
        <w:rPr>
          <w:rFonts w:ascii="Times New Roman" w:eastAsia="Times New Roman" w:hAnsi="Times New Roman" w:cs="Times New Roman"/>
          <w:sz w:val="24"/>
          <w:szCs w:val="24"/>
        </w:rPr>
        <w:t xml:space="preserve">. There have been two ways to estimate the effects of a vaccine in Phase-III studies; this could by </w:t>
      </w:r>
      <w:r>
        <w:rPr>
          <w:rFonts w:ascii="Times New Roman" w:eastAsia="Times New Roman" w:hAnsi="Times New Roman" w:cs="Times New Roman"/>
          <w:sz w:val="24"/>
          <w:szCs w:val="24"/>
        </w:rPr>
        <w:lastRenderedPageBreak/>
        <w:t xml:space="preserve">obtaining the estimates of the efficacy from randomized control trials (RCTs) and also estimates of effectiveness from observational studies </w:t>
      </w:r>
      <w:r w:rsidR="00635BBB" w:rsidRPr="00881E6A">
        <w:rPr>
          <w:rFonts w:ascii="Times New Roman" w:eastAsia="Times New Roman" w:hAnsi="Times New Roman" w:cs="Times New Roman"/>
          <w:bCs/>
          <w:sz w:val="24"/>
          <w:szCs w:val="24"/>
          <w:lang w:val="en-US"/>
        </w:rPr>
        <w:fldChar w:fldCharType="begin"/>
      </w:r>
      <w:r w:rsidR="00327F55">
        <w:rPr>
          <w:rFonts w:ascii="Times New Roman" w:eastAsia="Times New Roman" w:hAnsi="Times New Roman" w:cs="Times New Roman"/>
          <w:bCs/>
          <w:sz w:val="24"/>
          <w:szCs w:val="24"/>
          <w:lang w:val="en-US"/>
        </w:rPr>
        <w:instrText xml:space="preserve"> ADDIN ZOTERO_ITEM CSL_CITATION {"citationID":"nstxc4nU","properties":{"formattedCitation":"\\super 24\\nosupersub{}","plainCitation":"24","noteIndex":0},"citationItems":[{"id":6312,"uris":["http://zotero.org/users/905211/items/N24GFL6X"],"uri":["http://zotero.org/users/905211/items/N24GFL6X"],"itemData":{"id":6312,"type":"webpage","container-title":"WHO","note":"publisher: World Health Organization","title":"WHO | Designing a vaccine efficacy trial during public health emergencies","URL":"http://www.who.int/blueprint/what/norms-standards/chamonix-meeting/en/","accessed":{"date-parts":[["2020",12,31]]}}}],"schema":"https://github.com/citation-style-language/schema/raw/master/csl-citation.json"} </w:instrText>
      </w:r>
      <w:r w:rsidR="00635BBB" w:rsidRPr="00881E6A">
        <w:rPr>
          <w:rFonts w:ascii="Times New Roman" w:eastAsia="Times New Roman" w:hAnsi="Times New Roman" w:cs="Times New Roman"/>
          <w:bCs/>
          <w:sz w:val="24"/>
          <w:szCs w:val="24"/>
          <w:lang w:val="en-US"/>
        </w:rPr>
        <w:fldChar w:fldCharType="separate"/>
      </w:r>
      <w:r w:rsidR="00327F55" w:rsidRPr="00327F55">
        <w:rPr>
          <w:rFonts w:ascii="Times New Roman" w:hAnsi="Times New Roman" w:cs="Times New Roman"/>
          <w:sz w:val="24"/>
          <w:szCs w:val="24"/>
          <w:vertAlign w:val="superscript"/>
        </w:rPr>
        <w:t>24</w:t>
      </w:r>
      <w:r w:rsidR="00635BBB" w:rsidRPr="00881E6A">
        <w:rPr>
          <w:rFonts w:ascii="Times New Roman" w:eastAsia="Times New Roman" w:hAnsi="Times New Roman" w:cs="Times New Roman"/>
          <w:bCs/>
          <w:sz w:val="24"/>
          <w:szCs w:val="24"/>
          <w:lang w:val="en-US"/>
        </w:rPr>
        <w:fldChar w:fldCharType="end"/>
      </w:r>
    </w:p>
    <w:p w:rsidR="00FA4D76" w:rsidRDefault="00FA4D76" w:rsidP="00EC0C92">
      <w:pPr>
        <w:spacing w:line="48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sz w:val="24"/>
          <w:szCs w:val="24"/>
        </w:rPr>
        <w:t>The vaccination efficacy measured in RCTs under ideal conditions may differ from the vaccination effectiveness estimated in the observational study normally in non-ideal conditions and in different populations. The greatest strength of RCTs is that they produce results with high internal validity. However, requiring a rigid design reduces external validity and results are generalized to a limited group. In some cases, it may not be possible to establish standardized conditions, randomization or blinding, for various ethical and technical reasons. In these conditions, well-designed observational studies are recommended. Especially in prospective cohort studies, when the appropriate sample size and follow-up period are determined, they give reliable results like RCTs and their external validity is better than RCTs. It is also generally less expensive than RCTs and is more advantageous for investigating rare results. Because observational studies are always non-randomized and volunteer individuals participate in the study, undesirable situations such as selection bias and confounders occur</w:t>
      </w:r>
      <w:r w:rsidR="007D2A5D" w:rsidRPr="00881E6A">
        <w:rPr>
          <w:rFonts w:ascii="Times New Roman" w:eastAsia="Times New Roman" w:hAnsi="Times New Roman" w:cs="Times New Roman"/>
          <w:bCs/>
          <w:sz w:val="24"/>
          <w:szCs w:val="24"/>
          <w:lang w:val="en-US"/>
        </w:rPr>
        <w:fldChar w:fldCharType="begin"/>
      </w:r>
      <w:r w:rsidR="00327F55">
        <w:rPr>
          <w:rFonts w:ascii="Times New Roman" w:eastAsia="Times New Roman" w:hAnsi="Times New Roman" w:cs="Times New Roman"/>
          <w:bCs/>
          <w:sz w:val="24"/>
          <w:szCs w:val="24"/>
          <w:lang w:val="en-US"/>
        </w:rPr>
        <w:instrText xml:space="preserve"> ADDIN ZOTERO_ITEM CSL_CITATION {"citationID":"hzbl4cgO","properties":{"formattedCitation":"\\super 25\\nosupersub{}","plainCitation":"25","noteIndex":0},"citationItems":[{"id":6321,"uris":["http://zotero.org/users/905211/items/3WTEUE8I"],"uri":["http://zotero.org/users/905211/items/3WTEUE8I"],"itemData":{"id":6321,"type":"article-journal","container-title":"Occupational and Environmental Medicine","DOI":"10.1136/oem.60.3.227","ISSN":"1351-0711","issue":"3","journalAbbreviation":"Occup Environ Med","language":"eng","note":"PMID: 12598677\nPMCID: PMC1740493","page":"227-234; quiz 164, 234","source":"PubMed","title":"Confounding and confounders","volume":"60","author":[{"family":"McNamee","given":"R."}],"issued":{"date-parts":[["2003",3]]}}}],"schema":"https://github.com/citation-style-language/schema/raw/master/csl-citation.json"} </w:instrText>
      </w:r>
      <w:r w:rsidR="007D2A5D" w:rsidRPr="00881E6A">
        <w:rPr>
          <w:rFonts w:ascii="Times New Roman" w:eastAsia="Times New Roman" w:hAnsi="Times New Roman" w:cs="Times New Roman"/>
          <w:bCs/>
          <w:sz w:val="24"/>
          <w:szCs w:val="24"/>
          <w:lang w:val="en-US"/>
        </w:rPr>
        <w:fldChar w:fldCharType="separate"/>
      </w:r>
      <w:r w:rsidR="00327F55" w:rsidRPr="00327F55">
        <w:rPr>
          <w:rFonts w:ascii="Times New Roman" w:hAnsi="Times New Roman" w:cs="Times New Roman"/>
          <w:sz w:val="24"/>
          <w:szCs w:val="24"/>
          <w:vertAlign w:val="superscript"/>
        </w:rPr>
        <w:t>25</w:t>
      </w:r>
      <w:r w:rsidR="007D2A5D" w:rsidRPr="00881E6A">
        <w:rPr>
          <w:rFonts w:ascii="Times New Roman" w:eastAsia="Times New Roman" w:hAnsi="Times New Roman" w:cs="Times New Roman"/>
          <w:bCs/>
          <w:sz w:val="24"/>
          <w:szCs w:val="24"/>
          <w:lang w:val="en-US"/>
        </w:rPr>
        <w:fldChar w:fldCharType="end"/>
      </w:r>
      <w:r w:rsidR="007D2A5D" w:rsidRPr="00881E6A">
        <w:rPr>
          <w:rFonts w:ascii="Times New Roman" w:eastAsia="Times New Roman" w:hAnsi="Times New Roman" w:cs="Times New Roman"/>
          <w:bCs/>
          <w:sz w:val="24"/>
          <w:szCs w:val="24"/>
          <w:lang w:val="en-US"/>
        </w:rPr>
        <w:t>.</w:t>
      </w:r>
    </w:p>
    <w:p w:rsidR="00FA4D76" w:rsidRPr="00FA4D76" w:rsidRDefault="00FA4D76" w:rsidP="00EC0C9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Statistical methods, such as propensity scores, regression adjustment, or marginal structural models are used in data analysis to eliminate bias and confounder effects. The propensity score method targets causal inference in observational studies in a manner similar to randomized experiments by facilitating the measurement of differences in outcomes between the vaccinated and placebo participants </w:t>
      </w:r>
      <w:r w:rsidR="007D2A5D" w:rsidRPr="00881E6A">
        <w:rPr>
          <w:rFonts w:ascii="Times New Roman" w:eastAsia="Times New Roman" w:hAnsi="Times New Roman" w:cs="Times New Roman"/>
          <w:bCs/>
          <w:sz w:val="24"/>
          <w:szCs w:val="24"/>
          <w:lang w:val="en-US"/>
        </w:rPr>
        <w:fldChar w:fldCharType="begin"/>
      </w:r>
      <w:r w:rsidR="00327F55">
        <w:rPr>
          <w:rFonts w:ascii="Times New Roman" w:eastAsia="Times New Roman" w:hAnsi="Times New Roman" w:cs="Times New Roman"/>
          <w:bCs/>
          <w:sz w:val="24"/>
          <w:szCs w:val="24"/>
          <w:lang w:val="en-US"/>
        </w:rPr>
        <w:instrText xml:space="preserve"> ADDIN ZOTERO_ITEM CSL_CITATION {"citationID":"yLAZrpKQ","properties":{"formattedCitation":"\\super 26\\nosupersub{}","plainCitation":"26","noteIndex":0},"citationItems":[{"id":6309,"uris":["http://zotero.org/users/905211/items/YWFT7Q3Y"],"uri":["http://zotero.org/users/905211/items/YWFT7Q3Y"],"itemData":{"id":6309,"type":"article-journal","container-title":"Journal of the American Statistical Association","DOI":"10.1198/016214504000001880","ISSN":"0162-1459, 1537-274X","issue":"469","journalAbbreviation":"Journal of the American Statistical Association","language":"en","page":"322-331","source":"DOI.org (Crossref)","title":"Causal Inference Using Potential Outcomes: Design, Modeling, Decisions","title-short":"Causal Inference Using Potential Outcomes","volume":"100","author":[{"family":"Rubin","given":"Donald B"}],"issued":{"date-parts":[["2005",3]]}}}],"schema":"https://github.com/citation-style-language/schema/raw/master/csl-citation.json"} </w:instrText>
      </w:r>
      <w:r w:rsidR="007D2A5D" w:rsidRPr="00881E6A">
        <w:rPr>
          <w:rFonts w:ascii="Times New Roman" w:eastAsia="Times New Roman" w:hAnsi="Times New Roman" w:cs="Times New Roman"/>
          <w:bCs/>
          <w:sz w:val="24"/>
          <w:szCs w:val="24"/>
          <w:lang w:val="en-US"/>
        </w:rPr>
        <w:fldChar w:fldCharType="separate"/>
      </w:r>
      <w:r w:rsidR="00327F55" w:rsidRPr="00327F55">
        <w:rPr>
          <w:rFonts w:ascii="Times New Roman" w:hAnsi="Times New Roman" w:cs="Times New Roman"/>
          <w:sz w:val="24"/>
          <w:szCs w:val="24"/>
          <w:vertAlign w:val="superscript"/>
        </w:rPr>
        <w:t>26</w:t>
      </w:r>
      <w:r w:rsidR="007D2A5D" w:rsidRPr="00881E6A">
        <w:rPr>
          <w:rFonts w:ascii="Times New Roman" w:eastAsia="Times New Roman" w:hAnsi="Times New Roman" w:cs="Times New Roman"/>
          <w:bCs/>
          <w:sz w:val="24"/>
          <w:szCs w:val="24"/>
          <w:lang w:val="en-US"/>
        </w:rPr>
        <w:fldChar w:fldCharType="end"/>
      </w:r>
      <w:r w:rsidR="007D2A5D" w:rsidRPr="00881E6A">
        <w:rPr>
          <w:rFonts w:ascii="Times New Roman" w:eastAsia="Times New Roman" w:hAnsi="Times New Roman" w:cs="Times New Roman"/>
          <w:bCs/>
          <w:sz w:val="24"/>
          <w:szCs w:val="24"/>
          <w:lang w:val="en-US"/>
        </w:rPr>
        <w:t xml:space="preserve">. </w:t>
      </w:r>
      <w:r w:rsidRPr="00FA4D76">
        <w:rPr>
          <w:rFonts w:ascii="Times New Roman" w:eastAsia="Times New Roman" w:hAnsi="Times New Roman" w:cs="Times New Roman"/>
          <w:sz w:val="24"/>
          <w:szCs w:val="24"/>
        </w:rPr>
        <w:t xml:space="preserve">Although these two groups are distributed with similar characteristics, whether by randomization or other matching methods, the interaction effect should be evaluated in the model to be established. In general, a single primary endpoint and 3 or 4 secondary endpoints can be used in order to evaluate the vaccine effectiveness has been examined. If co-primary endpoints are to be used, require some adjustment for multiple testing such as false discovery rate. </w:t>
      </w:r>
    </w:p>
    <w:p w:rsidR="00FA4D76" w:rsidRDefault="00FA4D76" w:rsidP="00EC0C92">
      <w:pPr>
        <w:spacing w:line="480" w:lineRule="auto"/>
        <w:jc w:val="both"/>
        <w:rPr>
          <w:rFonts w:ascii="Times New Roman" w:eastAsia="Calibri" w:hAnsi="Times New Roman" w:cs="Times New Roman"/>
          <w:sz w:val="24"/>
          <w:szCs w:val="24"/>
          <w:lang w:val="en-US"/>
        </w:rPr>
      </w:pPr>
      <w:r w:rsidRPr="00FA4D76">
        <w:rPr>
          <w:rFonts w:ascii="Times New Roman" w:eastAsia="Times New Roman" w:hAnsi="Times New Roman" w:cs="Times New Roman"/>
          <w:sz w:val="24"/>
          <w:szCs w:val="24"/>
        </w:rPr>
        <w:lastRenderedPageBreak/>
        <w:t>To achieve reliable results in the real world vaccine effectiveness study, the following considerations should be considered. The sample size to be included in the study should be calculated according to interaction terms and primary endpoints in the model by prior power analysis. The sampling schema should be planned as a multistage which has to combine a stratified random sample and cluster random sample. The participants should be taken from all over the country to cover regional differences. The subjects should be randomly assigned to the vaccine and placebo groups. Hence should be roughly equal in terms of behaviors, opinions about the pandemic, and how seriously they take precautions. Also, randomization helps avoid the problems associated with correlation not implying causation</w:t>
      </w:r>
      <w:r w:rsidR="007D2A5D" w:rsidRPr="00881E6A">
        <w:rPr>
          <w:rFonts w:ascii="Times New Roman" w:eastAsia="Calibri" w:hAnsi="Times New Roman" w:cs="Times New Roman"/>
          <w:sz w:val="24"/>
          <w:szCs w:val="24"/>
          <w:lang w:val="en-US"/>
        </w:rPr>
        <w:fldChar w:fldCharType="begin"/>
      </w:r>
      <w:r w:rsidR="00327F55">
        <w:rPr>
          <w:rFonts w:ascii="Times New Roman" w:eastAsia="Calibri" w:hAnsi="Times New Roman" w:cs="Times New Roman"/>
          <w:sz w:val="24"/>
          <w:szCs w:val="24"/>
          <w:lang w:val="en-US"/>
        </w:rPr>
        <w:instrText xml:space="preserve"> ADDIN ZOTERO_ITEM CSL_CITATION {"citationID":"29ZUzeVQ","properties":{"formattedCitation":"\\super 27\\nosupersub{}","plainCitation":"27","noteIndex":0},"citationItems":[{"id":6288,"uris":["http://zotero.org/users/905211/items/FTVR395Z"],"uri":["http://zotero.org/users/905211/items/FTVR395Z"],"itemData":{"id":6288,"type":"post-weblog","abstract":"Gain a scientist's view of how researchers designed a COVID-19 vaccine experiment, analyzed the data, and obtained the results.","container-title":"Statistics By Jim","language":"en-US","title":"Assessing a COVID-19 Vaccination Experiment and Its Results","URL":"https://statisticsbyjim.com/hypothesis-testing/covid-vaccination-experiment/","accessed":{"date-parts":[["2020",12,28]]},"issued":{"date-parts":[["2020",11,24]]}}}],"schema":"https://github.com/citation-style-language/schema/raw/master/csl-citation.json"} </w:instrText>
      </w:r>
      <w:r w:rsidR="007D2A5D" w:rsidRPr="00881E6A">
        <w:rPr>
          <w:rFonts w:ascii="Times New Roman" w:eastAsia="Calibri" w:hAnsi="Times New Roman" w:cs="Times New Roman"/>
          <w:sz w:val="24"/>
          <w:szCs w:val="24"/>
          <w:lang w:val="en-US"/>
        </w:rPr>
        <w:fldChar w:fldCharType="separate"/>
      </w:r>
      <w:r w:rsidR="00327F55" w:rsidRPr="00327F55">
        <w:rPr>
          <w:rFonts w:ascii="Times New Roman" w:hAnsi="Times New Roman" w:cs="Times New Roman"/>
          <w:sz w:val="24"/>
          <w:szCs w:val="24"/>
          <w:vertAlign w:val="superscript"/>
        </w:rPr>
        <w:t>27</w:t>
      </w:r>
      <w:r w:rsidR="007D2A5D" w:rsidRPr="00881E6A">
        <w:rPr>
          <w:rFonts w:ascii="Times New Roman" w:eastAsia="Calibri" w:hAnsi="Times New Roman" w:cs="Times New Roman"/>
          <w:sz w:val="24"/>
          <w:szCs w:val="24"/>
          <w:lang w:val="en-US"/>
        </w:rPr>
        <w:fldChar w:fldCharType="end"/>
      </w:r>
      <w:r w:rsidR="007D2A5D" w:rsidRPr="00881E6A">
        <w:rPr>
          <w:rFonts w:ascii="Times New Roman" w:eastAsia="Calibri" w:hAnsi="Times New Roman" w:cs="Times New Roman"/>
          <w:sz w:val="24"/>
          <w:szCs w:val="24"/>
          <w:lang w:val="en-US"/>
        </w:rPr>
        <w:t xml:space="preserve">. </w:t>
      </w:r>
    </w:p>
    <w:p w:rsidR="00FA4D76" w:rsidRDefault="00FA4D76" w:rsidP="00EC0C92">
      <w:pPr>
        <w:spacing w:line="480" w:lineRule="auto"/>
        <w:jc w:val="both"/>
        <w:rPr>
          <w:rFonts w:ascii="Times New Roman" w:eastAsia="Calibri" w:hAnsi="Times New Roman" w:cs="Times New Roman"/>
          <w:sz w:val="24"/>
          <w:szCs w:val="24"/>
          <w:lang w:val="en-US"/>
        </w:rPr>
      </w:pPr>
      <w:r>
        <w:rPr>
          <w:rFonts w:ascii="Times New Roman" w:eastAsia="Times New Roman" w:hAnsi="Times New Roman" w:cs="Times New Roman"/>
          <w:sz w:val="24"/>
          <w:szCs w:val="24"/>
        </w:rPr>
        <w:t xml:space="preserve">Both clinical/biological and statistical significance should be taken into consideration when deciding whether to include a variable in the model. It can be used Purposeful Variables Selection algorithm at each step of the modeling process. This algorithm will provide the retention of significant covariates as well as confounding ones </w:t>
      </w:r>
      <w:r w:rsidR="007D2A5D" w:rsidRPr="00881E6A">
        <w:rPr>
          <w:rFonts w:ascii="Times New Roman" w:eastAsia="Calibri" w:hAnsi="Times New Roman" w:cs="Times New Roman"/>
          <w:sz w:val="24"/>
          <w:szCs w:val="24"/>
          <w:lang w:val="en-US"/>
        </w:rPr>
        <w:fldChar w:fldCharType="begin"/>
      </w:r>
      <w:r w:rsidR="00327F55">
        <w:rPr>
          <w:rFonts w:ascii="Times New Roman" w:eastAsia="Calibri" w:hAnsi="Times New Roman" w:cs="Times New Roman"/>
          <w:sz w:val="24"/>
          <w:szCs w:val="24"/>
          <w:lang w:val="en-US"/>
        </w:rPr>
        <w:instrText xml:space="preserve"> ADDIN ZOTERO_ITEM CSL_CITATION {"citationID":"xHyQyKp4","properties":{"formattedCitation":"\\super 28\\nosupersub{}","plainCitation":"28","noteIndex":0},"citationItems":[{"id":6290,"uris":["http://zotero.org/users/905211/items/VRSAZEL7"],"uri":["http://zotero.org/users/905211/items/VRSAZEL7"],"itemData":{"id":6290,"type":"article-journal","abstract":"BACKGROUND: The main problem in many model-building situations is to choose from a large set of covariates those that should be included in the \"best\" model. A decision to keep a variable in the model might be based on the clinical or statistical significance. There are several variable selection algorithms in existence. Those methods are mechanical and as such carry some limitations. Hosmer and Lemeshow describe a purposeful selection of covariates within which an analyst makes a variable selection decision at each step of the modeling process.\nMETHODS: In this paper we introduce an algorithm which automates that process. We conduct a simulation study to compare the performance of this algorithm with three well documented variable selection procedures in SAS PROC LOGISTIC: FORWARD, BACKWARD, and STEPWISE.\nRESULTS: We show that the advantage of this approach is when the analyst is interested in risk factor modeling and not just prediction. In addition to significant covariates, this variable selection procedure has the capability of retaining important confounding variables, resulting potentially in a slightly richer model. Application of the macro is further illustrated with the Hosmer and Lemeshow Worchester Heart Attack Study (WHAS) data.\nCONCLUSION: If an analyst is in need of an algorithm that will help guide the retention of significant covariates as well as confounding ones they should consider this macro as an alternative tool.","container-title":"Source Code for Biology and Medicine","DOI":"10.1186/1751-0473-3-17","ISSN":"1751-0473","journalAbbreviation":"Source Code Biol Med","language":"eng","note":"PMID: 19087314\nPMCID: PMC2633005","page":"17","source":"PubMed","title":"Purposeful selection of variables in logistic regression","volume":"3","author":[{"family":"Bursac","given":"Zoran"},{"family":"Gauss","given":"C. Heath"},{"family":"Williams","given":"David Keith"},{"family":"Hosmer","given":"David W."}],"issued":{"date-parts":[["2008",12,16]]}},"label":"page"}],"schema":"https://github.com/citation-style-language/schema/raw/master/csl-citation.json"} </w:instrText>
      </w:r>
      <w:r w:rsidR="007D2A5D" w:rsidRPr="00881E6A">
        <w:rPr>
          <w:rFonts w:ascii="Times New Roman" w:eastAsia="Calibri" w:hAnsi="Times New Roman" w:cs="Times New Roman"/>
          <w:sz w:val="24"/>
          <w:szCs w:val="24"/>
          <w:lang w:val="en-US"/>
        </w:rPr>
        <w:fldChar w:fldCharType="separate"/>
      </w:r>
      <w:r w:rsidR="00327F55" w:rsidRPr="00327F55">
        <w:rPr>
          <w:rFonts w:ascii="Times New Roman" w:hAnsi="Times New Roman" w:cs="Times New Roman"/>
          <w:sz w:val="24"/>
          <w:szCs w:val="24"/>
          <w:vertAlign w:val="superscript"/>
        </w:rPr>
        <w:t>28</w:t>
      </w:r>
      <w:r w:rsidR="007D2A5D" w:rsidRPr="00881E6A">
        <w:rPr>
          <w:rFonts w:ascii="Times New Roman" w:eastAsia="Calibri" w:hAnsi="Times New Roman" w:cs="Times New Roman"/>
          <w:sz w:val="24"/>
          <w:szCs w:val="24"/>
          <w:lang w:val="en-US"/>
        </w:rPr>
        <w:fldChar w:fldCharType="end"/>
      </w:r>
      <w:r w:rsidR="00730929" w:rsidRPr="00881E6A">
        <w:rPr>
          <w:rFonts w:ascii="Times New Roman" w:eastAsia="Calibri" w:hAnsi="Times New Roman" w:cs="Times New Roman"/>
          <w:sz w:val="24"/>
          <w:szCs w:val="24"/>
          <w:lang w:val="en-US"/>
        </w:rPr>
        <w:t xml:space="preserve">. </w:t>
      </w:r>
    </w:p>
    <w:p w:rsidR="00FA4D76" w:rsidRPr="00FA4D76" w:rsidRDefault="00FA4D76" w:rsidP="00EC0C9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Before the modeling process, it should be discussed which variables are related to primary and secondary objectives, and the relation between these variables and outcome, and also their relationships with each other should be defined. The variables in the model are named as confounder, effect modifiers (or interaction), according to their current relationships. A confounder is a variable that influences both the exposure and outcome, causing a relationship that doesn't actually exist, and confounding factors are a nuisance. Confounding factors need to be eliminated to avoid misinterpretation of the results. Effect Modification is not a nuisance</w:t>
      </w:r>
      <w:r w:rsidR="00730929" w:rsidRPr="00881E6A">
        <w:rPr>
          <w:rFonts w:ascii="Times New Roman" w:eastAsia="Calibri" w:hAnsi="Times New Roman" w:cs="Times New Roman"/>
          <w:sz w:val="24"/>
          <w:szCs w:val="24"/>
          <w:lang w:val="en-US"/>
        </w:rPr>
        <w:fldChar w:fldCharType="begin"/>
      </w:r>
      <w:r w:rsidR="00327F55">
        <w:rPr>
          <w:rFonts w:ascii="Times New Roman" w:eastAsia="Calibri" w:hAnsi="Times New Roman" w:cs="Times New Roman"/>
          <w:sz w:val="24"/>
          <w:szCs w:val="24"/>
          <w:lang w:val="en-US"/>
        </w:rPr>
        <w:instrText xml:space="preserve"> ADDIN ZOTERO_ITEM CSL_CITATION {"citationID":"oXm98P8c","properties":{"formattedCitation":"\\super 25\\nosupersub{}","plainCitation":"25","noteIndex":0},"citationItems":[{"id":6321,"uris":["http://zotero.org/users/905211/items/3WTEUE8I"],"uri":["http://zotero.org/users/905211/items/3WTEUE8I"],"itemData":{"id":6321,"type":"article-journal","container-title":"Occupational and Environmental Medicine","DOI":"10.1136/oem.60.3.227","ISSN":"1351-0711","issue":"3","journalAbbreviation":"Occup Environ Med","language":"eng","note":"PMID: 12598677\nPMCID: PMC1740493","page":"227-234; quiz 164, 234","source":"PubMed","title":"Confounding and confounders","volume":"60","author":[{"family":"McNamee","given":"R."}],"issued":{"date-parts":[["2003",3]]}}}],"schema":"https://github.com/citation-style-language/schema/raw/master/csl-citation.json"} </w:instrText>
      </w:r>
      <w:r w:rsidR="00730929" w:rsidRPr="00881E6A">
        <w:rPr>
          <w:rFonts w:ascii="Times New Roman" w:eastAsia="Calibri" w:hAnsi="Times New Roman" w:cs="Times New Roman"/>
          <w:sz w:val="24"/>
          <w:szCs w:val="24"/>
          <w:lang w:val="en-US"/>
        </w:rPr>
        <w:fldChar w:fldCharType="separate"/>
      </w:r>
      <w:r w:rsidR="00327F55" w:rsidRPr="00327F55">
        <w:rPr>
          <w:rFonts w:ascii="Times New Roman" w:hAnsi="Times New Roman" w:cs="Times New Roman"/>
          <w:sz w:val="24"/>
          <w:szCs w:val="24"/>
          <w:vertAlign w:val="superscript"/>
        </w:rPr>
        <w:t>25</w:t>
      </w:r>
      <w:r w:rsidR="00730929" w:rsidRPr="00881E6A">
        <w:rPr>
          <w:rFonts w:ascii="Times New Roman" w:eastAsia="Calibri" w:hAnsi="Times New Roman" w:cs="Times New Roman"/>
          <w:sz w:val="24"/>
          <w:szCs w:val="24"/>
          <w:lang w:val="en-US"/>
        </w:rPr>
        <w:fldChar w:fldCharType="end"/>
      </w:r>
      <w:r w:rsidR="00730929" w:rsidRPr="00881E6A">
        <w:rPr>
          <w:rFonts w:ascii="Times New Roman" w:eastAsia="Calibri" w:hAnsi="Times New Roman" w:cs="Times New Roman"/>
          <w:sz w:val="24"/>
          <w:szCs w:val="24"/>
          <w:lang w:val="en-US"/>
        </w:rPr>
        <w:t xml:space="preserve">, </w:t>
      </w:r>
      <w:r w:rsidRPr="00FA4D76">
        <w:rPr>
          <w:rFonts w:ascii="Times New Roman" w:eastAsia="Times New Roman" w:hAnsi="Times New Roman" w:cs="Times New Roman"/>
          <w:sz w:val="24"/>
          <w:szCs w:val="24"/>
        </w:rPr>
        <w:t xml:space="preserve">it provides important information. If there is an effect modifier in the model, the analysis performed by ignoring the values of this variable is misleading. Stratified analysis is required. </w:t>
      </w:r>
    </w:p>
    <w:p w:rsidR="00A12A88" w:rsidRDefault="00FA4D76" w:rsidP="00EC0C92">
      <w:pPr>
        <w:spacing w:line="480" w:lineRule="auto"/>
        <w:jc w:val="both"/>
        <w:rPr>
          <w:rFonts w:ascii="Times New Roman" w:eastAsia="Calibri" w:hAnsi="Times New Roman" w:cs="Times New Roman"/>
          <w:sz w:val="24"/>
          <w:szCs w:val="24"/>
          <w:lang w:val="en-US"/>
        </w:rPr>
      </w:pPr>
      <w:r w:rsidRPr="00FA4D76">
        <w:rPr>
          <w:rFonts w:ascii="Times New Roman" w:eastAsia="Times New Roman" w:hAnsi="Times New Roman" w:cs="Times New Roman"/>
          <w:sz w:val="24"/>
          <w:szCs w:val="24"/>
        </w:rPr>
        <w:lastRenderedPageBreak/>
        <w:t xml:space="preserve">Vaccine effectiveness studies contain a data structure similar to survival analysis commonly used in cancer research. Time to event data (survival data) analysis techniques can be used to estimate the effectiveness of a vaccine using data from an observational study. Therefore, it is recommended to used multiple and/or multivariate regression models with survival times for evaluating vaccine effectiveness and safety one of which is a Cox proportional hazard regression model. We may calculate the more accurate predictions with regard to vaccine effectiveness along with the risk factors for the different time points such as 1 month, 3 months, 6 months with this </w:t>
      </w:r>
      <w:r w:rsidRPr="00FA4D76">
        <w:rPr>
          <w:rFonts w:ascii="Times New Roman" w:eastAsia="Times New Roman" w:hAnsi="Times New Roman" w:cs="Times New Roman"/>
          <w:color w:val="000000"/>
          <w:sz w:val="24"/>
          <w:szCs w:val="24"/>
        </w:rPr>
        <w:t>model. </w:t>
      </w:r>
      <w:r w:rsidRPr="00FA4D76">
        <w:rPr>
          <w:rFonts w:ascii="Times New Roman" w:eastAsia="Times New Roman" w:hAnsi="Times New Roman" w:cs="Times New Roman"/>
          <w:sz w:val="24"/>
          <w:szCs w:val="24"/>
        </w:rPr>
        <w:t xml:space="preserve"> In addition, by estimating the mean or median immunization period, risk factors affecting this period, and their interactions with each other can be revealed. For minimizing or eliminating bias and confounding, including demographic details of the participant's profiles, clinical features, and other factors related to the infection should be considered together during the data analysis. In a Cox proportional hazards regression model, the measure of effect is the hazard ratio. This ratio is frequently interpreted as RR, but they are not technically the same. RR does not care about the timing of the event but only about the occurrence of the event by the end of the study. Alternatively, hazard ratio takes account not only of the total number of events, but also of the timing of each event</w:t>
      </w:r>
      <w:r w:rsidR="00881E6A" w:rsidRPr="00881E6A">
        <w:rPr>
          <w:rFonts w:ascii="Times New Roman" w:eastAsia="Calibri" w:hAnsi="Times New Roman" w:cs="Times New Roman"/>
          <w:sz w:val="24"/>
          <w:szCs w:val="24"/>
          <w:lang w:val="en-US"/>
        </w:rPr>
        <w:fldChar w:fldCharType="begin"/>
      </w:r>
      <w:r w:rsidR="00327F55">
        <w:rPr>
          <w:rFonts w:ascii="Times New Roman" w:eastAsia="Calibri" w:hAnsi="Times New Roman" w:cs="Times New Roman"/>
          <w:sz w:val="24"/>
          <w:szCs w:val="24"/>
          <w:lang w:val="en-US"/>
        </w:rPr>
        <w:instrText xml:space="preserve"> ADDIN ZOTERO_ITEM CSL_CITATION {"citationID":"pfdoCYH2","properties":{"unsorted":true,"formattedCitation":"\\super 29\\nosupersub{}","plainCitation":"29","noteIndex":0},"citationItems":[{"id":6298,"uris":["http://zotero.org/users/905211/items/7VJKUCQX"],"uri":["http://zotero.org/users/905211/items/7VJKUCQX"],"itemData":{"id":6298,"type":"article-journal","abstract":"Odds ratio (OR) is a statistic commonly encountered in professional or scientiﬁc medical literature. Most readers perceive it as relative risk (RR), although most of them do not know why that would be true. But since such perception is mostly correct, there is nothing (or almost nothing) wrong with that. It is nevertheless useful to be reminded now and then what is the relation between the relative risk and the odds ratio, and when by equating the two statistics we are sometimes forcing OR to be something it is not. Another statistic, which is often also perceived as a relative risk, is the hazard ratio (HR). We encounter it, for example, when we ﬁt the Cox model to survival data. Under proportional hazards it is probably “natural” to think in the following way: if the probability of death in one group is at every time point k-times as high as the probability of death in another group, then the relative risk must be k, regardless of where in time we are. This could be hardly further from the truth and in this paper we try to dispense with this blunder.","language":"en","page":"9","source":"Zotero","title":"Odds Ratio, Hazard Ratio and Relative Risk","author":[{"family":"Stare","given":"Janez"},{"family":"Maucort-Boulch","given":"Delphine"}]}}],"schema":"https://github.com/citation-style-language/schema/raw/master/csl-citation.json"} </w:instrText>
      </w:r>
      <w:r w:rsidR="00881E6A" w:rsidRPr="00881E6A">
        <w:rPr>
          <w:rFonts w:ascii="Times New Roman" w:eastAsia="Calibri" w:hAnsi="Times New Roman" w:cs="Times New Roman"/>
          <w:sz w:val="24"/>
          <w:szCs w:val="24"/>
          <w:lang w:val="en-US"/>
        </w:rPr>
        <w:fldChar w:fldCharType="separate"/>
      </w:r>
      <w:r w:rsidR="00327F55" w:rsidRPr="00327F55">
        <w:rPr>
          <w:rFonts w:ascii="Times New Roman" w:hAnsi="Times New Roman" w:cs="Times New Roman"/>
          <w:sz w:val="24"/>
          <w:szCs w:val="24"/>
          <w:vertAlign w:val="superscript"/>
        </w:rPr>
        <w:t>29</w:t>
      </w:r>
      <w:r w:rsidR="00881E6A" w:rsidRPr="00881E6A">
        <w:rPr>
          <w:rFonts w:ascii="Times New Roman" w:eastAsia="Calibri" w:hAnsi="Times New Roman" w:cs="Times New Roman"/>
          <w:sz w:val="24"/>
          <w:szCs w:val="24"/>
          <w:lang w:val="en-US"/>
        </w:rPr>
        <w:fldChar w:fldCharType="end"/>
      </w:r>
    </w:p>
    <w:p w:rsidR="00BC0EFD" w:rsidRDefault="00FA4D76" w:rsidP="00EC0C92">
      <w:pPr>
        <w:spacing w:line="480" w:lineRule="auto"/>
        <w:jc w:val="both"/>
        <w:rPr>
          <w:rFonts w:ascii="Times New Roman" w:hAnsi="Times New Roman" w:cs="Times New Roman"/>
          <w:sz w:val="24"/>
          <w:szCs w:val="24"/>
          <w:lang w:val="en"/>
        </w:rPr>
      </w:pPr>
      <w:r>
        <w:rPr>
          <w:rFonts w:ascii="Times New Roman" w:eastAsia="Times New Roman" w:hAnsi="Times New Roman" w:cs="Times New Roman"/>
          <w:sz w:val="24"/>
          <w:szCs w:val="24"/>
        </w:rPr>
        <w:t xml:space="preserve">In conclusion, in the planning stage of observational Phase-III vaccine effectiveness studies, the suitable sample size, suitable sampling method, appropriate statistical model, and selection of variables are of great importance to obtain high-quality and valid results. Although problems may arise in large-scale vaccination campaigns, international collaborations that provide vaccines for the world's poor countries against the SARS-COV-2 virus are promising steps for the future of humanity </w:t>
      </w:r>
      <w:r w:rsidR="00BC0EFD" w:rsidRPr="00A85B18">
        <w:rPr>
          <w:rStyle w:val="jlqj4b"/>
          <w:rFonts w:ascii="Times New Roman" w:hAnsi="Times New Roman" w:cs="Times New Roman"/>
          <w:sz w:val="24"/>
          <w:szCs w:val="24"/>
          <w:lang w:val="en"/>
        </w:rPr>
        <w:fldChar w:fldCharType="begin"/>
      </w:r>
      <w:r w:rsidR="00327F55">
        <w:rPr>
          <w:rStyle w:val="jlqj4b"/>
          <w:rFonts w:ascii="Times New Roman" w:hAnsi="Times New Roman" w:cs="Times New Roman"/>
          <w:sz w:val="24"/>
          <w:szCs w:val="24"/>
          <w:lang w:val="en"/>
        </w:rPr>
        <w:instrText xml:space="preserve"> ADDIN ZOTERO_ITEM CSL_CITATION {"citationID":"uocQ5AWY","properties":{"formattedCitation":"\\super 30\\nosupersub{}","plainCitation":"30","noteIndex":0},"citationItems":[{"id":6267,"uris":["http://zotero.org/users/905211/items/YUF6NA7A"],"uri":["http://zotero.org/users/905211/items/YUF6NA7A"],"itemData":{"id":6267,"type":"webpage","abstract":"Only a tenth of the planned half a million healthcare workers have accepted the immunisation","container-title":"New Scientist","language":"en-US","title":"US smallpox vaccination plan grinds to a halt","URL":"https://www.newscientist.com/article/dn4074-us-smallpox-vaccination-plan-grinds-to-a-halt/","author":[{"family":"Mackenzie","given":"Debora"}],"accessed":{"date-parts":[["2020",12,27]]}}}],"schema":"https://github.com/citation-style-language/schema/raw/master/csl-citation.json"} </w:instrText>
      </w:r>
      <w:r w:rsidR="00BC0EFD" w:rsidRPr="00A85B18">
        <w:rPr>
          <w:rStyle w:val="jlqj4b"/>
          <w:rFonts w:ascii="Times New Roman" w:hAnsi="Times New Roman" w:cs="Times New Roman"/>
          <w:sz w:val="24"/>
          <w:szCs w:val="24"/>
          <w:lang w:val="en"/>
        </w:rPr>
        <w:fldChar w:fldCharType="separate"/>
      </w:r>
      <w:r w:rsidR="00327F55" w:rsidRPr="00327F55">
        <w:rPr>
          <w:rFonts w:ascii="Times New Roman" w:hAnsi="Times New Roman" w:cs="Times New Roman"/>
          <w:sz w:val="24"/>
          <w:szCs w:val="24"/>
          <w:vertAlign w:val="superscript"/>
        </w:rPr>
        <w:t>30</w:t>
      </w:r>
      <w:r w:rsidR="00BC0EFD" w:rsidRPr="00A85B18">
        <w:rPr>
          <w:rStyle w:val="jlqj4b"/>
          <w:rFonts w:ascii="Times New Roman" w:hAnsi="Times New Roman" w:cs="Times New Roman"/>
          <w:sz w:val="24"/>
          <w:szCs w:val="24"/>
          <w:lang w:val="en"/>
        </w:rPr>
        <w:fldChar w:fldCharType="end"/>
      </w:r>
      <w:r w:rsidR="00BC0EFD" w:rsidRPr="00A85B18">
        <w:rPr>
          <w:rStyle w:val="jlqj4b"/>
          <w:rFonts w:ascii="Times New Roman" w:hAnsi="Times New Roman" w:cs="Times New Roman"/>
          <w:sz w:val="24"/>
          <w:szCs w:val="24"/>
          <w:lang w:val="en"/>
        </w:rPr>
        <w:t>.</w:t>
      </w:r>
      <w:r w:rsidR="00BC0EFD">
        <w:rPr>
          <w:rStyle w:val="jlqj4b"/>
          <w:rFonts w:ascii="Times New Roman" w:hAnsi="Times New Roman" w:cs="Times New Roman"/>
          <w:sz w:val="24"/>
          <w:szCs w:val="24"/>
          <w:lang w:val="en"/>
        </w:rPr>
        <w:t xml:space="preserve"> </w:t>
      </w:r>
      <w:r w:rsidR="00BC0EFD" w:rsidRPr="00F22293">
        <w:rPr>
          <w:rFonts w:ascii="Times New Roman" w:hAnsi="Times New Roman" w:cs="Times New Roman"/>
          <w:sz w:val="24"/>
          <w:szCs w:val="24"/>
          <w:lang w:val="en"/>
        </w:rPr>
        <w:t xml:space="preserve">We believe that humanity will pass this critical threshold in the light of </w:t>
      </w:r>
      <w:r w:rsidR="00335AE1">
        <w:rPr>
          <w:rFonts w:ascii="Times New Roman" w:hAnsi="Times New Roman" w:cs="Times New Roman"/>
          <w:sz w:val="24"/>
          <w:szCs w:val="24"/>
          <w:lang w:val="en"/>
        </w:rPr>
        <w:t xml:space="preserve">true </w:t>
      </w:r>
      <w:r w:rsidR="00BC0EFD" w:rsidRPr="00F22293">
        <w:rPr>
          <w:rFonts w:ascii="Times New Roman" w:hAnsi="Times New Roman" w:cs="Times New Roman"/>
          <w:sz w:val="24"/>
          <w:szCs w:val="24"/>
          <w:lang w:val="en"/>
        </w:rPr>
        <w:t>science.</w:t>
      </w:r>
    </w:p>
    <w:p w:rsidR="00DF6818" w:rsidRPr="00A85B18" w:rsidRDefault="00DF6818" w:rsidP="00EC0C92">
      <w:pPr>
        <w:spacing w:line="480" w:lineRule="auto"/>
        <w:jc w:val="both"/>
        <w:rPr>
          <w:rFonts w:ascii="Times New Roman" w:hAnsi="Times New Roman" w:cs="Times New Roman"/>
          <w:sz w:val="24"/>
          <w:szCs w:val="24"/>
        </w:rPr>
      </w:pPr>
    </w:p>
    <w:p w:rsidR="00DF6818" w:rsidRPr="00DF6818" w:rsidRDefault="00DF6818" w:rsidP="00DF6818">
      <w:pPr>
        <w:spacing w:line="240" w:lineRule="auto"/>
        <w:jc w:val="both"/>
        <w:rPr>
          <w:rFonts w:ascii="Times New Roman" w:eastAsia="Calibri" w:hAnsi="Times New Roman" w:cs="Times New Roman"/>
          <w:sz w:val="24"/>
          <w:szCs w:val="24"/>
          <w:lang w:val="en-US"/>
        </w:rPr>
      </w:pPr>
      <w:r w:rsidRPr="00DF6818">
        <w:rPr>
          <w:rFonts w:ascii="Times New Roman" w:eastAsia="Calibri" w:hAnsi="Times New Roman" w:cs="Times New Roman"/>
          <w:b/>
          <w:sz w:val="24"/>
          <w:szCs w:val="24"/>
          <w:lang w:val="en-US"/>
        </w:rPr>
        <w:lastRenderedPageBreak/>
        <w:t>Acknowledgements</w:t>
      </w:r>
      <w:r w:rsidRPr="00DF6818">
        <w:rPr>
          <w:rFonts w:ascii="Times New Roman" w:eastAsia="Calibri" w:hAnsi="Times New Roman" w:cs="Times New Roman"/>
          <w:sz w:val="24"/>
          <w:szCs w:val="24"/>
          <w:lang w:val="en-US"/>
        </w:rPr>
        <w:t>: None</w:t>
      </w:r>
    </w:p>
    <w:p w:rsidR="00DF6818" w:rsidRPr="00DF6818" w:rsidRDefault="00DF6818" w:rsidP="00DF6818">
      <w:pPr>
        <w:spacing w:line="240" w:lineRule="auto"/>
        <w:jc w:val="both"/>
        <w:rPr>
          <w:rFonts w:ascii="Times New Roman" w:eastAsia="Calibri" w:hAnsi="Times New Roman" w:cs="Times New Roman"/>
          <w:b/>
          <w:bCs/>
          <w:sz w:val="24"/>
          <w:szCs w:val="24"/>
          <w:lang w:val="en-US"/>
        </w:rPr>
      </w:pPr>
      <w:r w:rsidRPr="00DF6818">
        <w:rPr>
          <w:rFonts w:ascii="Times New Roman" w:eastAsia="Calibri" w:hAnsi="Times New Roman" w:cs="Times New Roman"/>
          <w:b/>
          <w:bCs/>
          <w:sz w:val="24"/>
          <w:szCs w:val="24"/>
          <w:lang w:val="en-US"/>
        </w:rPr>
        <w:t xml:space="preserve">Funding: </w:t>
      </w:r>
      <w:r w:rsidRPr="00DF6818">
        <w:rPr>
          <w:rFonts w:ascii="Times New Roman" w:eastAsia="Calibri" w:hAnsi="Times New Roman" w:cs="Times New Roman"/>
          <w:bCs/>
          <w:sz w:val="24"/>
          <w:szCs w:val="24"/>
          <w:lang w:val="en-US"/>
        </w:rPr>
        <w:t>No funding</w:t>
      </w:r>
    </w:p>
    <w:p w:rsidR="00DF6818" w:rsidRPr="00DF6818" w:rsidRDefault="00DF6818" w:rsidP="00DF6818">
      <w:pPr>
        <w:spacing w:line="240" w:lineRule="auto"/>
        <w:jc w:val="both"/>
        <w:rPr>
          <w:rFonts w:ascii="Times New Roman" w:eastAsia="Calibri" w:hAnsi="Times New Roman" w:cs="Times New Roman"/>
          <w:b/>
          <w:bCs/>
          <w:sz w:val="24"/>
          <w:szCs w:val="24"/>
          <w:lang w:val="en-US"/>
        </w:rPr>
      </w:pPr>
      <w:r w:rsidRPr="00DF6818">
        <w:rPr>
          <w:rFonts w:ascii="Times New Roman" w:eastAsia="Calibri" w:hAnsi="Times New Roman" w:cs="Times New Roman"/>
          <w:b/>
          <w:bCs/>
          <w:sz w:val="24"/>
          <w:szCs w:val="24"/>
          <w:lang w:val="en-US"/>
        </w:rPr>
        <w:t xml:space="preserve">Patients consent for publication: </w:t>
      </w:r>
      <w:r w:rsidRPr="00DF6818">
        <w:rPr>
          <w:rFonts w:ascii="Times New Roman" w:eastAsia="Calibri" w:hAnsi="Times New Roman" w:cs="Times New Roman"/>
          <w:bCs/>
          <w:sz w:val="24"/>
          <w:szCs w:val="24"/>
          <w:lang w:val="en-US"/>
        </w:rPr>
        <w:t>Not required</w:t>
      </w:r>
    </w:p>
    <w:p w:rsidR="00DF6818" w:rsidRPr="00DF6818" w:rsidRDefault="00DF6818" w:rsidP="00DF6818">
      <w:pPr>
        <w:spacing w:line="240" w:lineRule="auto"/>
        <w:jc w:val="both"/>
        <w:rPr>
          <w:rFonts w:ascii="Times New Roman" w:eastAsia="Calibri" w:hAnsi="Times New Roman" w:cs="Times New Roman"/>
          <w:bCs/>
          <w:sz w:val="24"/>
          <w:szCs w:val="24"/>
          <w:lang w:val="en-US"/>
        </w:rPr>
      </w:pPr>
      <w:r w:rsidRPr="00DF6818">
        <w:rPr>
          <w:rFonts w:ascii="Times New Roman" w:eastAsia="Calibri" w:hAnsi="Times New Roman" w:cs="Times New Roman"/>
          <w:b/>
          <w:bCs/>
          <w:sz w:val="24"/>
          <w:szCs w:val="24"/>
          <w:lang w:val="en-US"/>
        </w:rPr>
        <w:t xml:space="preserve">Conflict of interest: </w:t>
      </w:r>
      <w:r w:rsidRPr="00DF6818">
        <w:rPr>
          <w:rFonts w:ascii="Times New Roman" w:eastAsia="Calibri" w:hAnsi="Times New Roman" w:cs="Times New Roman"/>
          <w:bCs/>
          <w:sz w:val="24"/>
          <w:szCs w:val="24"/>
          <w:lang w:val="en-US"/>
        </w:rPr>
        <w:t>The authors declare no conflicts of interest.</w:t>
      </w:r>
    </w:p>
    <w:p w:rsidR="00DE39ED" w:rsidRDefault="00DE39ED" w:rsidP="00881E6A">
      <w:pPr>
        <w:spacing w:line="240" w:lineRule="auto"/>
        <w:jc w:val="both"/>
        <w:rPr>
          <w:rFonts w:ascii="Times New Roman" w:eastAsia="Calibri" w:hAnsi="Times New Roman" w:cs="Times New Roman"/>
          <w:sz w:val="24"/>
          <w:szCs w:val="24"/>
          <w:lang w:val="en-US"/>
        </w:rPr>
      </w:pPr>
    </w:p>
    <w:p w:rsidR="00DE39ED" w:rsidRDefault="00DE39ED" w:rsidP="00881E6A">
      <w:pPr>
        <w:jc w:val="both"/>
        <w:rPr>
          <w:rFonts w:ascii="Times New Roman" w:hAnsi="Times New Roman" w:cs="Times New Roman"/>
          <w:sz w:val="24"/>
          <w:szCs w:val="24"/>
        </w:rPr>
      </w:pPr>
    </w:p>
    <w:p w:rsidR="00FA4D76" w:rsidRDefault="00FA4D76" w:rsidP="00881E6A">
      <w:pPr>
        <w:jc w:val="both"/>
        <w:rPr>
          <w:rFonts w:ascii="Times New Roman" w:hAnsi="Times New Roman" w:cs="Times New Roman"/>
          <w:sz w:val="24"/>
          <w:szCs w:val="24"/>
        </w:rPr>
      </w:pPr>
    </w:p>
    <w:p w:rsidR="00FA4D76" w:rsidRDefault="00FA4D76" w:rsidP="00881E6A">
      <w:pPr>
        <w:jc w:val="both"/>
        <w:rPr>
          <w:rFonts w:ascii="Times New Roman" w:hAnsi="Times New Roman" w:cs="Times New Roman"/>
          <w:sz w:val="24"/>
          <w:szCs w:val="24"/>
        </w:rPr>
      </w:pPr>
    </w:p>
    <w:p w:rsidR="00DE39ED" w:rsidRDefault="00DE39ED" w:rsidP="00881E6A">
      <w:pPr>
        <w:jc w:val="both"/>
        <w:rPr>
          <w:rFonts w:ascii="Times New Roman" w:hAnsi="Times New Roman" w:cs="Times New Roman"/>
          <w:sz w:val="24"/>
          <w:szCs w:val="24"/>
        </w:rPr>
      </w:pPr>
    </w:p>
    <w:p w:rsidR="00DF7AAD" w:rsidRDefault="00DF7AAD" w:rsidP="00881E6A">
      <w:pPr>
        <w:jc w:val="both"/>
        <w:rPr>
          <w:rFonts w:ascii="Times New Roman" w:hAnsi="Times New Roman" w:cs="Times New Roman"/>
          <w:sz w:val="24"/>
          <w:szCs w:val="24"/>
        </w:rPr>
      </w:pPr>
    </w:p>
    <w:p w:rsidR="00DF7AAD" w:rsidRDefault="00DF7AAD" w:rsidP="00881E6A">
      <w:pPr>
        <w:jc w:val="both"/>
        <w:rPr>
          <w:rFonts w:ascii="Times New Roman" w:hAnsi="Times New Roman" w:cs="Times New Roman"/>
          <w:sz w:val="24"/>
          <w:szCs w:val="24"/>
        </w:rPr>
      </w:pPr>
    </w:p>
    <w:p w:rsidR="00DF7AAD" w:rsidRDefault="00DF7AAD" w:rsidP="00881E6A">
      <w:pPr>
        <w:jc w:val="both"/>
        <w:rPr>
          <w:rFonts w:ascii="Times New Roman" w:hAnsi="Times New Roman" w:cs="Times New Roman"/>
          <w:sz w:val="24"/>
          <w:szCs w:val="24"/>
        </w:rPr>
      </w:pPr>
    </w:p>
    <w:p w:rsidR="00DF7AAD" w:rsidRDefault="00DF7AAD" w:rsidP="00881E6A">
      <w:pPr>
        <w:jc w:val="both"/>
        <w:rPr>
          <w:rFonts w:ascii="Times New Roman" w:hAnsi="Times New Roman" w:cs="Times New Roman"/>
          <w:sz w:val="24"/>
          <w:szCs w:val="24"/>
        </w:rPr>
      </w:pPr>
    </w:p>
    <w:p w:rsidR="00DF7AAD" w:rsidRDefault="00DF7AAD" w:rsidP="00881E6A">
      <w:pPr>
        <w:jc w:val="both"/>
        <w:rPr>
          <w:rFonts w:ascii="Times New Roman" w:hAnsi="Times New Roman" w:cs="Times New Roman"/>
          <w:sz w:val="24"/>
          <w:szCs w:val="24"/>
        </w:rPr>
      </w:pPr>
    </w:p>
    <w:p w:rsidR="00DF7AAD" w:rsidRDefault="00DF7AAD" w:rsidP="00881E6A">
      <w:pPr>
        <w:jc w:val="both"/>
        <w:rPr>
          <w:rFonts w:ascii="Times New Roman" w:hAnsi="Times New Roman" w:cs="Times New Roman"/>
          <w:sz w:val="24"/>
          <w:szCs w:val="24"/>
        </w:rPr>
      </w:pPr>
    </w:p>
    <w:p w:rsidR="00DF7AAD" w:rsidRDefault="00DF7AAD" w:rsidP="00881E6A">
      <w:pPr>
        <w:jc w:val="both"/>
        <w:rPr>
          <w:rFonts w:ascii="Times New Roman" w:hAnsi="Times New Roman" w:cs="Times New Roman"/>
          <w:sz w:val="24"/>
          <w:szCs w:val="24"/>
        </w:rPr>
      </w:pPr>
    </w:p>
    <w:p w:rsidR="00DF7AAD" w:rsidRPr="00881E6A" w:rsidRDefault="00DF7AAD" w:rsidP="00881E6A">
      <w:pPr>
        <w:jc w:val="both"/>
        <w:rPr>
          <w:rFonts w:ascii="Times New Roman" w:hAnsi="Times New Roman" w:cs="Times New Roman"/>
          <w:sz w:val="24"/>
          <w:szCs w:val="24"/>
        </w:rPr>
      </w:pPr>
    </w:p>
    <w:p w:rsidR="00FB3FFE" w:rsidRPr="00881E6A" w:rsidRDefault="00FB3FFE" w:rsidP="00881E6A">
      <w:pPr>
        <w:jc w:val="both"/>
        <w:rPr>
          <w:rFonts w:ascii="Times New Roman" w:hAnsi="Times New Roman" w:cs="Times New Roman"/>
          <w:sz w:val="24"/>
          <w:szCs w:val="24"/>
        </w:rPr>
      </w:pPr>
    </w:p>
    <w:p w:rsidR="00BC516B" w:rsidRPr="00881E6A" w:rsidRDefault="00CB69C0" w:rsidP="00881E6A">
      <w:pPr>
        <w:jc w:val="both"/>
        <w:rPr>
          <w:rFonts w:ascii="Times New Roman" w:hAnsi="Times New Roman" w:cs="Times New Roman"/>
          <w:b/>
          <w:sz w:val="24"/>
          <w:szCs w:val="24"/>
        </w:rPr>
      </w:pPr>
      <w:r>
        <w:rPr>
          <w:rFonts w:ascii="Times New Roman" w:hAnsi="Times New Roman" w:cs="Times New Roman"/>
          <w:b/>
          <w:sz w:val="24"/>
          <w:szCs w:val="24"/>
        </w:rPr>
        <w:t>REFERENCES</w:t>
      </w:r>
    </w:p>
    <w:p w:rsidR="00327F55" w:rsidRPr="00327F55" w:rsidRDefault="00BC516B" w:rsidP="00327F55">
      <w:pPr>
        <w:pStyle w:val="Kaynaka"/>
        <w:rPr>
          <w:rFonts w:ascii="Times New Roman" w:hAnsi="Times New Roman" w:cs="Times New Roman"/>
          <w:sz w:val="24"/>
        </w:rPr>
      </w:pPr>
      <w:r w:rsidRPr="00881E6A">
        <w:fldChar w:fldCharType="begin"/>
      </w:r>
      <w:r w:rsidR="00327F55">
        <w:instrText xml:space="preserve"> ADDIN ZOTERO_BIBL {"uncited":[],"omitted":[],"custom":[]} CSL_BIBLIOGRAPHY </w:instrText>
      </w:r>
      <w:r w:rsidRPr="00881E6A">
        <w:fldChar w:fldCharType="separate"/>
      </w:r>
      <w:r w:rsidR="00327F55" w:rsidRPr="00327F55">
        <w:rPr>
          <w:rFonts w:ascii="Times New Roman" w:hAnsi="Times New Roman" w:cs="Times New Roman"/>
          <w:sz w:val="24"/>
        </w:rPr>
        <w:t xml:space="preserve">1. </w:t>
      </w:r>
      <w:r w:rsidR="00327F55" w:rsidRPr="00327F55">
        <w:rPr>
          <w:rFonts w:ascii="Times New Roman" w:hAnsi="Times New Roman" w:cs="Times New Roman"/>
          <w:sz w:val="24"/>
        </w:rPr>
        <w:tab/>
      </w:r>
      <w:r w:rsidR="00327F55" w:rsidRPr="00327F55">
        <w:rPr>
          <w:rFonts w:ascii="Times New Roman" w:hAnsi="Times New Roman" w:cs="Times New Roman"/>
          <w:i/>
          <w:iCs/>
          <w:sz w:val="24"/>
        </w:rPr>
        <w:t>Epidemiology and Prevention of Vaccine-Preventable Diseases</w:t>
      </w:r>
      <w:r w:rsidR="00327F55" w:rsidRPr="00327F55">
        <w:rPr>
          <w:rFonts w:ascii="Times New Roman" w:hAnsi="Times New Roman" w:cs="Times New Roman"/>
          <w:sz w:val="24"/>
        </w:rPr>
        <w:t>. Department of Health &amp; Human Services, Centers for Disease Control and Prevention; 2006.</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 </w:t>
      </w:r>
      <w:r w:rsidRPr="00327F55">
        <w:rPr>
          <w:rFonts w:ascii="Times New Roman" w:hAnsi="Times New Roman" w:cs="Times New Roman"/>
          <w:sz w:val="24"/>
        </w:rPr>
        <w:tab/>
        <w:t xml:space="preserve">Moss WJ, Strebel P. Biological feasibility of measles eradication. </w:t>
      </w:r>
      <w:r w:rsidRPr="00327F55">
        <w:rPr>
          <w:rFonts w:ascii="Times New Roman" w:hAnsi="Times New Roman" w:cs="Times New Roman"/>
          <w:i/>
          <w:iCs/>
          <w:sz w:val="24"/>
        </w:rPr>
        <w:t>J Infect Dis</w:t>
      </w:r>
      <w:r w:rsidRPr="00327F55">
        <w:rPr>
          <w:rFonts w:ascii="Times New Roman" w:hAnsi="Times New Roman" w:cs="Times New Roman"/>
          <w:sz w:val="24"/>
        </w:rPr>
        <w:t>. 2011;204 Suppl 1:S47-53.</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3. </w:t>
      </w:r>
      <w:r w:rsidRPr="00327F55">
        <w:rPr>
          <w:rFonts w:ascii="Times New Roman" w:hAnsi="Times New Roman" w:cs="Times New Roman"/>
          <w:sz w:val="24"/>
        </w:rPr>
        <w:tab/>
        <w:t xml:space="preserve">Chan MCW, Wang MH, Chen Z, et al. Frequent Genetic Mismatch between Vaccine Strains and Circulating Seasonal Influenza Viruses, Hong Kong, China, 1996–2012. </w:t>
      </w:r>
      <w:r w:rsidRPr="00327F55">
        <w:rPr>
          <w:rFonts w:ascii="Times New Roman" w:hAnsi="Times New Roman" w:cs="Times New Roman"/>
          <w:i/>
          <w:iCs/>
          <w:sz w:val="24"/>
        </w:rPr>
        <w:t>Emerg Infect Dis</w:t>
      </w:r>
      <w:r w:rsidRPr="00327F55">
        <w:rPr>
          <w:rFonts w:ascii="Times New Roman" w:hAnsi="Times New Roman" w:cs="Times New Roman"/>
          <w:sz w:val="24"/>
        </w:rPr>
        <w:t>. 2018;24(10):1825-1834.</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4. </w:t>
      </w:r>
      <w:r w:rsidRPr="00327F55">
        <w:rPr>
          <w:rFonts w:ascii="Times New Roman" w:hAnsi="Times New Roman" w:cs="Times New Roman"/>
          <w:sz w:val="24"/>
        </w:rPr>
        <w:tab/>
        <w:t xml:space="preserve">Ley RE, Lozupone CA, Hamady M, Knight R, Gordon JI. Worlds within worlds: evolution of the vertebrate gut microbiota. </w:t>
      </w:r>
      <w:r w:rsidRPr="00327F55">
        <w:rPr>
          <w:rFonts w:ascii="Times New Roman" w:hAnsi="Times New Roman" w:cs="Times New Roman"/>
          <w:i/>
          <w:iCs/>
          <w:sz w:val="24"/>
        </w:rPr>
        <w:t>Nat Rev Microbiol</w:t>
      </w:r>
      <w:r w:rsidRPr="00327F55">
        <w:rPr>
          <w:rFonts w:ascii="Times New Roman" w:hAnsi="Times New Roman" w:cs="Times New Roman"/>
          <w:sz w:val="24"/>
        </w:rPr>
        <w:t>. 2008;6(10):776-788.</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5. </w:t>
      </w:r>
      <w:r w:rsidRPr="00327F55">
        <w:rPr>
          <w:rFonts w:ascii="Times New Roman" w:hAnsi="Times New Roman" w:cs="Times New Roman"/>
          <w:sz w:val="24"/>
        </w:rPr>
        <w:tab/>
        <w:t xml:space="preserve">Haller SL, Peng C, McFadden G, Rothenburg S. Poxviruses and the evolution of host range and virulence. </w:t>
      </w:r>
      <w:r w:rsidRPr="00327F55">
        <w:rPr>
          <w:rFonts w:ascii="Times New Roman" w:hAnsi="Times New Roman" w:cs="Times New Roman"/>
          <w:i/>
          <w:iCs/>
          <w:sz w:val="24"/>
        </w:rPr>
        <w:t>Infect Genet Evol J Mol Epidemiol Evol Genet Infect Dis</w:t>
      </w:r>
      <w:r w:rsidRPr="00327F55">
        <w:rPr>
          <w:rFonts w:ascii="Times New Roman" w:hAnsi="Times New Roman" w:cs="Times New Roman"/>
          <w:sz w:val="24"/>
        </w:rPr>
        <w:t>. 2014;21:15-40.</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lastRenderedPageBreak/>
        <w:t xml:space="preserve">6. </w:t>
      </w:r>
      <w:r w:rsidRPr="00327F55">
        <w:rPr>
          <w:rFonts w:ascii="Times New Roman" w:hAnsi="Times New Roman" w:cs="Times New Roman"/>
          <w:sz w:val="24"/>
        </w:rPr>
        <w:tab/>
        <w:t xml:space="preserve">Norrby E, Sheshberadaran H, McCullough KC, Carpenter WC, Orvell C. Is rinderpest virus the archevirus of the Morbillivirus genus? </w:t>
      </w:r>
      <w:r w:rsidRPr="00327F55">
        <w:rPr>
          <w:rFonts w:ascii="Times New Roman" w:hAnsi="Times New Roman" w:cs="Times New Roman"/>
          <w:i/>
          <w:iCs/>
          <w:sz w:val="24"/>
        </w:rPr>
        <w:t>Intervirology</w:t>
      </w:r>
      <w:r w:rsidRPr="00327F55">
        <w:rPr>
          <w:rFonts w:ascii="Times New Roman" w:hAnsi="Times New Roman" w:cs="Times New Roman"/>
          <w:sz w:val="24"/>
        </w:rPr>
        <w:t>. 1985;23(4):228-232.</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7. </w:t>
      </w:r>
      <w:r w:rsidRPr="00327F55">
        <w:rPr>
          <w:rFonts w:ascii="Times New Roman" w:hAnsi="Times New Roman" w:cs="Times New Roman"/>
          <w:sz w:val="24"/>
        </w:rPr>
        <w:tab/>
        <w:t xml:space="preserve">Drexler JF, Corman VM, Müller MA, et al. Bats host major mammalian paramyxoviruses. </w:t>
      </w:r>
      <w:r w:rsidRPr="00327F55">
        <w:rPr>
          <w:rFonts w:ascii="Times New Roman" w:hAnsi="Times New Roman" w:cs="Times New Roman"/>
          <w:i/>
          <w:iCs/>
          <w:sz w:val="24"/>
        </w:rPr>
        <w:t>Nat Commun</w:t>
      </w:r>
      <w:r w:rsidRPr="00327F55">
        <w:rPr>
          <w:rFonts w:ascii="Times New Roman" w:hAnsi="Times New Roman" w:cs="Times New Roman"/>
          <w:sz w:val="24"/>
        </w:rPr>
        <w:t>. 2012;3:796.</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8. </w:t>
      </w:r>
      <w:r w:rsidRPr="00327F55">
        <w:rPr>
          <w:rFonts w:ascii="Times New Roman" w:hAnsi="Times New Roman" w:cs="Times New Roman"/>
          <w:sz w:val="24"/>
        </w:rPr>
        <w:tab/>
        <w:t xml:space="preserve">Sit THC, Brackman CJ, Ip SM, et al. Infection of dogs with SARS-CoV-2. </w:t>
      </w:r>
      <w:r w:rsidRPr="00327F55">
        <w:rPr>
          <w:rFonts w:ascii="Times New Roman" w:hAnsi="Times New Roman" w:cs="Times New Roman"/>
          <w:i/>
          <w:iCs/>
          <w:sz w:val="24"/>
        </w:rPr>
        <w:t>Nature</w:t>
      </w:r>
      <w:r w:rsidRPr="00327F55">
        <w:rPr>
          <w:rFonts w:ascii="Times New Roman" w:hAnsi="Times New Roman" w:cs="Times New Roman"/>
          <w:sz w:val="24"/>
        </w:rPr>
        <w:t>. 2020;586(7831):776-778.</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9. </w:t>
      </w:r>
      <w:r w:rsidRPr="00327F55">
        <w:rPr>
          <w:rFonts w:ascii="Times New Roman" w:hAnsi="Times New Roman" w:cs="Times New Roman"/>
          <w:sz w:val="24"/>
        </w:rPr>
        <w:tab/>
        <w:t xml:space="preserve">Li T, Liu D, Yang Y, et al. Phylogenetic supertree reveals detailed evolution of SARS-CoV-2. </w:t>
      </w:r>
      <w:r w:rsidRPr="00327F55">
        <w:rPr>
          <w:rFonts w:ascii="Times New Roman" w:hAnsi="Times New Roman" w:cs="Times New Roman"/>
          <w:i/>
          <w:iCs/>
          <w:sz w:val="24"/>
        </w:rPr>
        <w:t>Sci Rep</w:t>
      </w:r>
      <w:r w:rsidRPr="00327F55">
        <w:rPr>
          <w:rFonts w:ascii="Times New Roman" w:hAnsi="Times New Roman" w:cs="Times New Roman"/>
          <w:sz w:val="24"/>
        </w:rPr>
        <w:t>. 2020;10(1):22366.</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10. </w:t>
      </w:r>
      <w:r w:rsidRPr="00327F55">
        <w:rPr>
          <w:rFonts w:ascii="Times New Roman" w:hAnsi="Times New Roman" w:cs="Times New Roman"/>
          <w:sz w:val="24"/>
        </w:rPr>
        <w:tab/>
        <w:t xml:space="preserve">Gómez-Román VR, Patterson LJ, Venzon D, et al. Vaccine-Elicited Antibodies Mediate Antibody-Dependent Cellular Cytotoxicity Correlated with Significantly Reduced Acute Viremia in Rhesus Macaques Challenged with SIVmac251. </w:t>
      </w:r>
      <w:r w:rsidRPr="00327F55">
        <w:rPr>
          <w:rFonts w:ascii="Times New Roman" w:hAnsi="Times New Roman" w:cs="Times New Roman"/>
          <w:i/>
          <w:iCs/>
          <w:sz w:val="24"/>
        </w:rPr>
        <w:t>J Immunol</w:t>
      </w:r>
      <w:r w:rsidRPr="00327F55">
        <w:rPr>
          <w:rFonts w:ascii="Times New Roman" w:hAnsi="Times New Roman" w:cs="Times New Roman"/>
          <w:sz w:val="24"/>
        </w:rPr>
        <w:t>. 2005;174(4):2185-2189.</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11. </w:t>
      </w:r>
      <w:r w:rsidRPr="00327F55">
        <w:rPr>
          <w:rFonts w:ascii="Times New Roman" w:hAnsi="Times New Roman" w:cs="Times New Roman"/>
          <w:sz w:val="24"/>
        </w:rPr>
        <w:tab/>
        <w:t xml:space="preserve">Belyakov IM, Hammond SA, Ahlers JD, Glenn GM, Berzofsky JA. Transcutaneous immunization induces mucosal CTLs and protective immunity by migration of primed skin dendritic cells. </w:t>
      </w:r>
      <w:r w:rsidRPr="00327F55">
        <w:rPr>
          <w:rFonts w:ascii="Times New Roman" w:hAnsi="Times New Roman" w:cs="Times New Roman"/>
          <w:i/>
          <w:iCs/>
          <w:sz w:val="24"/>
        </w:rPr>
        <w:t>J Clin Invest</w:t>
      </w:r>
      <w:r w:rsidRPr="00327F55">
        <w:rPr>
          <w:rFonts w:ascii="Times New Roman" w:hAnsi="Times New Roman" w:cs="Times New Roman"/>
          <w:sz w:val="24"/>
        </w:rPr>
        <w:t>. 2004;113(7):998-1007.</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12. </w:t>
      </w:r>
      <w:r w:rsidRPr="00327F55">
        <w:rPr>
          <w:rFonts w:ascii="Times New Roman" w:hAnsi="Times New Roman" w:cs="Times New Roman"/>
          <w:sz w:val="24"/>
        </w:rPr>
        <w:tab/>
        <w:t xml:space="preserve">Hoft DF, Lottenbach KR, Blazevic A, et al. Comparisons of the Humoral and Cellular Immune Responses Induced by Live Attenuated Influenza Vaccine and Inactivated Influenza Vaccine in Adults. </w:t>
      </w:r>
      <w:r w:rsidRPr="00327F55">
        <w:rPr>
          <w:rFonts w:ascii="Times New Roman" w:hAnsi="Times New Roman" w:cs="Times New Roman"/>
          <w:i/>
          <w:iCs/>
          <w:sz w:val="24"/>
        </w:rPr>
        <w:t>Clin Vaccine Immunol CVI</w:t>
      </w:r>
      <w:r w:rsidRPr="00327F55">
        <w:rPr>
          <w:rFonts w:ascii="Times New Roman" w:hAnsi="Times New Roman" w:cs="Times New Roman"/>
          <w:sz w:val="24"/>
        </w:rPr>
        <w:t>. 2017;24(1).</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13. </w:t>
      </w:r>
      <w:r w:rsidRPr="00327F55">
        <w:rPr>
          <w:rFonts w:ascii="Times New Roman" w:hAnsi="Times New Roman" w:cs="Times New Roman"/>
          <w:sz w:val="24"/>
        </w:rPr>
        <w:tab/>
        <w:t xml:space="preserve">Graham BS, Henderson GS, Tang YW, Lu X, Neuzil KM, Colley DG. Priming immunization determines T helper cytokine mRNA expression patterns in lungs of mice challenged with respiratory syncytial virus. </w:t>
      </w:r>
      <w:r w:rsidRPr="00327F55">
        <w:rPr>
          <w:rFonts w:ascii="Times New Roman" w:hAnsi="Times New Roman" w:cs="Times New Roman"/>
          <w:i/>
          <w:iCs/>
          <w:sz w:val="24"/>
        </w:rPr>
        <w:t>J Immunol Baltim Md 1950</w:t>
      </w:r>
      <w:r w:rsidRPr="00327F55">
        <w:rPr>
          <w:rFonts w:ascii="Times New Roman" w:hAnsi="Times New Roman" w:cs="Times New Roman"/>
          <w:sz w:val="24"/>
        </w:rPr>
        <w:t>. 1993;151(4):2032-2040.</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14. </w:t>
      </w:r>
      <w:r w:rsidRPr="00327F55">
        <w:rPr>
          <w:rFonts w:ascii="Times New Roman" w:hAnsi="Times New Roman" w:cs="Times New Roman"/>
          <w:sz w:val="24"/>
        </w:rPr>
        <w:tab/>
        <w:t xml:space="preserve">Simonovich VA, Burgos Pratx LD, Scibona P, et al. A Randomized Trial of Convalescent Plasma in Covid-19 Severe Pneumonia. </w:t>
      </w:r>
      <w:r w:rsidRPr="00327F55">
        <w:rPr>
          <w:rFonts w:ascii="Times New Roman" w:hAnsi="Times New Roman" w:cs="Times New Roman"/>
          <w:i/>
          <w:iCs/>
          <w:sz w:val="24"/>
        </w:rPr>
        <w:t>N Engl J Med</w:t>
      </w:r>
      <w:r w:rsidRPr="00327F55">
        <w:rPr>
          <w:rFonts w:ascii="Times New Roman" w:hAnsi="Times New Roman" w:cs="Times New Roman"/>
          <w:sz w:val="24"/>
        </w:rPr>
        <w:t>. Published online November 24, 2020.</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15. </w:t>
      </w:r>
      <w:r w:rsidRPr="00327F55">
        <w:rPr>
          <w:rFonts w:ascii="Times New Roman" w:hAnsi="Times New Roman" w:cs="Times New Roman"/>
          <w:sz w:val="24"/>
        </w:rPr>
        <w:tab/>
        <w:t xml:space="preserve">Le Bert N, Tan AT, Kunasegaran K, et al. SARS-CoV-2-specific T cell immunity in cases of COVID-19 and SARS, and uninfected controls. </w:t>
      </w:r>
      <w:r w:rsidRPr="00327F55">
        <w:rPr>
          <w:rFonts w:ascii="Times New Roman" w:hAnsi="Times New Roman" w:cs="Times New Roman"/>
          <w:i/>
          <w:iCs/>
          <w:sz w:val="24"/>
        </w:rPr>
        <w:t>Nature</w:t>
      </w:r>
      <w:r w:rsidRPr="00327F55">
        <w:rPr>
          <w:rFonts w:ascii="Times New Roman" w:hAnsi="Times New Roman" w:cs="Times New Roman"/>
          <w:sz w:val="24"/>
        </w:rPr>
        <w:t>. 2020;584(7821):457-462.</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16. </w:t>
      </w:r>
      <w:r w:rsidRPr="00327F55">
        <w:rPr>
          <w:rFonts w:ascii="Times New Roman" w:hAnsi="Times New Roman" w:cs="Times New Roman"/>
          <w:sz w:val="24"/>
        </w:rPr>
        <w:tab/>
        <w:t xml:space="preserve">Lipsitch M, Grad YH, Sette A, Crotty S. Cross-reactive memory T cells and herd immunity to SARS-CoV-2. </w:t>
      </w:r>
      <w:r w:rsidRPr="00327F55">
        <w:rPr>
          <w:rFonts w:ascii="Times New Roman" w:hAnsi="Times New Roman" w:cs="Times New Roman"/>
          <w:i/>
          <w:iCs/>
          <w:sz w:val="24"/>
        </w:rPr>
        <w:t>Nat Rev Immunol</w:t>
      </w:r>
      <w:r w:rsidRPr="00327F55">
        <w:rPr>
          <w:rFonts w:ascii="Times New Roman" w:hAnsi="Times New Roman" w:cs="Times New Roman"/>
          <w:sz w:val="24"/>
        </w:rPr>
        <w:t>. 2020;20(11):709-713.</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17. </w:t>
      </w:r>
      <w:r w:rsidRPr="00327F55">
        <w:rPr>
          <w:rFonts w:ascii="Times New Roman" w:hAnsi="Times New Roman" w:cs="Times New Roman"/>
          <w:sz w:val="24"/>
        </w:rPr>
        <w:tab/>
        <w:t xml:space="preserve">Parker EPK, Shrotri M, Kampmann B. Keeping track of the SARS-CoV-2 vaccine pipeline. </w:t>
      </w:r>
      <w:r w:rsidRPr="00327F55">
        <w:rPr>
          <w:rFonts w:ascii="Times New Roman" w:hAnsi="Times New Roman" w:cs="Times New Roman"/>
          <w:i/>
          <w:iCs/>
          <w:sz w:val="24"/>
        </w:rPr>
        <w:t>Nat Rev Immunol</w:t>
      </w:r>
      <w:r w:rsidRPr="00327F55">
        <w:rPr>
          <w:rFonts w:ascii="Times New Roman" w:hAnsi="Times New Roman" w:cs="Times New Roman"/>
          <w:sz w:val="24"/>
        </w:rPr>
        <w:t>. 2020;20(11):650.</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18. </w:t>
      </w:r>
      <w:r w:rsidRPr="00327F55">
        <w:rPr>
          <w:rFonts w:ascii="Times New Roman" w:hAnsi="Times New Roman" w:cs="Times New Roman"/>
          <w:sz w:val="24"/>
        </w:rPr>
        <w:tab/>
        <w:t xml:space="preserve">Zhu N, Wang W, Liu Z, et al. Morphogenesis and cytopathic effect of SARS-CoV-2 infection in human airway epithelial cells. </w:t>
      </w:r>
      <w:r w:rsidRPr="00327F55">
        <w:rPr>
          <w:rFonts w:ascii="Times New Roman" w:hAnsi="Times New Roman" w:cs="Times New Roman"/>
          <w:i/>
          <w:iCs/>
          <w:sz w:val="24"/>
        </w:rPr>
        <w:t>Nat Commun</w:t>
      </w:r>
      <w:r w:rsidRPr="00327F55">
        <w:rPr>
          <w:rFonts w:ascii="Times New Roman" w:hAnsi="Times New Roman" w:cs="Times New Roman"/>
          <w:sz w:val="24"/>
        </w:rPr>
        <w:t>. 2020;11(1):3910.</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19. </w:t>
      </w:r>
      <w:r w:rsidRPr="00327F55">
        <w:rPr>
          <w:rFonts w:ascii="Times New Roman" w:hAnsi="Times New Roman" w:cs="Times New Roman"/>
          <w:sz w:val="24"/>
        </w:rPr>
        <w:tab/>
        <w:t xml:space="preserve">Subbarao K, McAuliffe J, Vogel L, et al. Prior infection and passive transfer of neutralizing antibody prevent replication of severe acute respiratory syndrome coronavirus in the respiratory tract of mice. </w:t>
      </w:r>
      <w:r w:rsidRPr="00327F55">
        <w:rPr>
          <w:rFonts w:ascii="Times New Roman" w:hAnsi="Times New Roman" w:cs="Times New Roman"/>
          <w:i/>
          <w:iCs/>
          <w:sz w:val="24"/>
        </w:rPr>
        <w:t>J Virol</w:t>
      </w:r>
      <w:r w:rsidRPr="00327F55">
        <w:rPr>
          <w:rFonts w:ascii="Times New Roman" w:hAnsi="Times New Roman" w:cs="Times New Roman"/>
          <w:sz w:val="24"/>
        </w:rPr>
        <w:t>. 2004;78(7):3572-3577.</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lastRenderedPageBreak/>
        <w:t xml:space="preserve">20. </w:t>
      </w:r>
      <w:r w:rsidRPr="00327F55">
        <w:rPr>
          <w:rFonts w:ascii="Times New Roman" w:hAnsi="Times New Roman" w:cs="Times New Roman"/>
          <w:sz w:val="24"/>
        </w:rPr>
        <w:tab/>
        <w:t xml:space="preserve">Vasquez-Bonilla WO, Orozco R, Argueta V, et al. A review of the main histopathological findings in coronavirus disease 2019. </w:t>
      </w:r>
      <w:r w:rsidRPr="00327F55">
        <w:rPr>
          <w:rFonts w:ascii="Times New Roman" w:hAnsi="Times New Roman" w:cs="Times New Roman"/>
          <w:i/>
          <w:iCs/>
          <w:sz w:val="24"/>
        </w:rPr>
        <w:t>Hum Pathol</w:t>
      </w:r>
      <w:r w:rsidRPr="00327F55">
        <w:rPr>
          <w:rFonts w:ascii="Times New Roman" w:hAnsi="Times New Roman" w:cs="Times New Roman"/>
          <w:sz w:val="24"/>
        </w:rPr>
        <w:t>. 2020;105:74-83.</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21. </w:t>
      </w:r>
      <w:r w:rsidRPr="00327F55">
        <w:rPr>
          <w:rFonts w:ascii="Times New Roman" w:hAnsi="Times New Roman" w:cs="Times New Roman"/>
          <w:sz w:val="24"/>
        </w:rPr>
        <w:tab/>
        <w:t xml:space="preserve">Laksono BM, Grosserichter-Wagener C, de Vries RD, et al. In Vitro Measles Virus Infection of Human Lymphocyte Subsets Demonstrates High Susceptibility and Permissiveness of both Naive and Memory B Cells. </w:t>
      </w:r>
      <w:r w:rsidRPr="00327F55">
        <w:rPr>
          <w:rFonts w:ascii="Times New Roman" w:hAnsi="Times New Roman" w:cs="Times New Roman"/>
          <w:i/>
          <w:iCs/>
          <w:sz w:val="24"/>
        </w:rPr>
        <w:t>J Virol</w:t>
      </w:r>
      <w:r w:rsidRPr="00327F55">
        <w:rPr>
          <w:rFonts w:ascii="Times New Roman" w:hAnsi="Times New Roman" w:cs="Times New Roman"/>
          <w:sz w:val="24"/>
        </w:rPr>
        <w:t>. 2018;92(8).</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22. </w:t>
      </w:r>
      <w:r w:rsidRPr="00327F55">
        <w:rPr>
          <w:rFonts w:ascii="Times New Roman" w:hAnsi="Times New Roman" w:cs="Times New Roman"/>
          <w:sz w:val="24"/>
        </w:rPr>
        <w:tab/>
        <w:t xml:space="preserve">de Vries RD, Mesman AW, Geijtenbeek TBH, Duprex WP, de Swart RL. The pathogenesis of measles. </w:t>
      </w:r>
      <w:r w:rsidRPr="00327F55">
        <w:rPr>
          <w:rFonts w:ascii="Times New Roman" w:hAnsi="Times New Roman" w:cs="Times New Roman"/>
          <w:i/>
          <w:iCs/>
          <w:sz w:val="24"/>
        </w:rPr>
        <w:t>Curr Opin Virol</w:t>
      </w:r>
      <w:r w:rsidRPr="00327F55">
        <w:rPr>
          <w:rFonts w:ascii="Times New Roman" w:hAnsi="Times New Roman" w:cs="Times New Roman"/>
          <w:sz w:val="24"/>
        </w:rPr>
        <w:t>. 2012;2(3):248-255.</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23. </w:t>
      </w:r>
      <w:r w:rsidRPr="00327F55">
        <w:rPr>
          <w:rFonts w:ascii="Times New Roman" w:hAnsi="Times New Roman" w:cs="Times New Roman"/>
          <w:sz w:val="24"/>
        </w:rPr>
        <w:tab/>
        <w:t xml:space="preserve">Leblanc J-F, Germain M, Delage G, OʼBrien S, Drews SJ, Lewin A. Risk of transmission of severe acute respiratory syndrome coronavirus 2 by transfusion: A literature review. </w:t>
      </w:r>
      <w:r w:rsidRPr="00327F55">
        <w:rPr>
          <w:rFonts w:ascii="Times New Roman" w:hAnsi="Times New Roman" w:cs="Times New Roman"/>
          <w:i/>
          <w:iCs/>
          <w:sz w:val="24"/>
        </w:rPr>
        <w:t>Transfusion (Paris)</w:t>
      </w:r>
      <w:r w:rsidRPr="00327F55">
        <w:rPr>
          <w:rFonts w:ascii="Times New Roman" w:hAnsi="Times New Roman" w:cs="Times New Roman"/>
          <w:sz w:val="24"/>
        </w:rPr>
        <w:t>. 2020;60(12):3046-3054.</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24. </w:t>
      </w:r>
      <w:r w:rsidRPr="00327F55">
        <w:rPr>
          <w:rFonts w:ascii="Times New Roman" w:hAnsi="Times New Roman" w:cs="Times New Roman"/>
          <w:sz w:val="24"/>
        </w:rPr>
        <w:tab/>
        <w:t>WHO | Designing a vaccine efficacy trial during public health emergencies. WHO.</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25. </w:t>
      </w:r>
      <w:r w:rsidRPr="00327F55">
        <w:rPr>
          <w:rFonts w:ascii="Times New Roman" w:hAnsi="Times New Roman" w:cs="Times New Roman"/>
          <w:sz w:val="24"/>
        </w:rPr>
        <w:tab/>
        <w:t xml:space="preserve">McNamee R. Confounding and confounders. </w:t>
      </w:r>
      <w:r w:rsidRPr="00327F55">
        <w:rPr>
          <w:rFonts w:ascii="Times New Roman" w:hAnsi="Times New Roman" w:cs="Times New Roman"/>
          <w:i/>
          <w:iCs/>
          <w:sz w:val="24"/>
        </w:rPr>
        <w:t>Occup Environ Med</w:t>
      </w:r>
      <w:r w:rsidRPr="00327F55">
        <w:rPr>
          <w:rFonts w:ascii="Times New Roman" w:hAnsi="Times New Roman" w:cs="Times New Roman"/>
          <w:sz w:val="24"/>
        </w:rPr>
        <w:t>. 2003;60(3):227-234; quiz 164, 234.</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26. </w:t>
      </w:r>
      <w:r w:rsidRPr="00327F55">
        <w:rPr>
          <w:rFonts w:ascii="Times New Roman" w:hAnsi="Times New Roman" w:cs="Times New Roman"/>
          <w:sz w:val="24"/>
        </w:rPr>
        <w:tab/>
        <w:t xml:space="preserve">Rubin DB. Causal Inference Using Potential Outcomes: Design, Modeling, Decisions. </w:t>
      </w:r>
      <w:r w:rsidRPr="00327F55">
        <w:rPr>
          <w:rFonts w:ascii="Times New Roman" w:hAnsi="Times New Roman" w:cs="Times New Roman"/>
          <w:i/>
          <w:iCs/>
          <w:sz w:val="24"/>
        </w:rPr>
        <w:t>J Am Stat Assoc</w:t>
      </w:r>
      <w:r w:rsidRPr="00327F55">
        <w:rPr>
          <w:rFonts w:ascii="Times New Roman" w:hAnsi="Times New Roman" w:cs="Times New Roman"/>
          <w:sz w:val="24"/>
        </w:rPr>
        <w:t>. 2005;100(469):322-331.</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27. </w:t>
      </w:r>
      <w:r w:rsidRPr="00327F55">
        <w:rPr>
          <w:rFonts w:ascii="Times New Roman" w:hAnsi="Times New Roman" w:cs="Times New Roman"/>
          <w:sz w:val="24"/>
        </w:rPr>
        <w:tab/>
        <w:t>Assessing a COVID-19 Vaccination Experiment and Its Results. Statistics By Jim.</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28. </w:t>
      </w:r>
      <w:r w:rsidRPr="00327F55">
        <w:rPr>
          <w:rFonts w:ascii="Times New Roman" w:hAnsi="Times New Roman" w:cs="Times New Roman"/>
          <w:sz w:val="24"/>
        </w:rPr>
        <w:tab/>
        <w:t xml:space="preserve">Bursac Z, Gauss CH, Williams DK, Hosmer DW. Purposeful selection of variables in logistic regression. </w:t>
      </w:r>
      <w:r w:rsidRPr="00327F55">
        <w:rPr>
          <w:rFonts w:ascii="Times New Roman" w:hAnsi="Times New Roman" w:cs="Times New Roman"/>
          <w:i/>
          <w:iCs/>
          <w:sz w:val="24"/>
        </w:rPr>
        <w:t>Source Code Biol Med</w:t>
      </w:r>
      <w:r w:rsidRPr="00327F55">
        <w:rPr>
          <w:rFonts w:ascii="Times New Roman" w:hAnsi="Times New Roman" w:cs="Times New Roman"/>
          <w:sz w:val="24"/>
        </w:rPr>
        <w:t>. 2008;3:17.</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29. </w:t>
      </w:r>
      <w:r w:rsidRPr="00327F55">
        <w:rPr>
          <w:rFonts w:ascii="Times New Roman" w:hAnsi="Times New Roman" w:cs="Times New Roman"/>
          <w:sz w:val="24"/>
        </w:rPr>
        <w:tab/>
        <w:t>Stare J, Maucort-Boulch D. Odds Ratio, Hazard Ratio and Relative Risk. :9.</w:t>
      </w:r>
    </w:p>
    <w:p w:rsidR="00327F55" w:rsidRPr="00327F55" w:rsidRDefault="00327F55" w:rsidP="00327F55">
      <w:pPr>
        <w:pStyle w:val="Kaynaka"/>
        <w:rPr>
          <w:rFonts w:ascii="Times New Roman" w:hAnsi="Times New Roman" w:cs="Times New Roman"/>
          <w:sz w:val="24"/>
        </w:rPr>
      </w:pPr>
      <w:r w:rsidRPr="00327F55">
        <w:rPr>
          <w:rFonts w:ascii="Times New Roman" w:hAnsi="Times New Roman" w:cs="Times New Roman"/>
          <w:sz w:val="24"/>
        </w:rPr>
        <w:t xml:space="preserve">30. </w:t>
      </w:r>
      <w:r w:rsidRPr="00327F55">
        <w:rPr>
          <w:rFonts w:ascii="Times New Roman" w:hAnsi="Times New Roman" w:cs="Times New Roman"/>
          <w:sz w:val="24"/>
        </w:rPr>
        <w:tab/>
        <w:t>Mackenzie D. US smallpox vaccination plan grinds to a halt. New Scientist.</w:t>
      </w:r>
    </w:p>
    <w:p w:rsidR="00BC516B" w:rsidRPr="00881E6A" w:rsidRDefault="00BC516B" w:rsidP="00881E6A">
      <w:pPr>
        <w:jc w:val="both"/>
        <w:rPr>
          <w:rFonts w:ascii="Times New Roman" w:hAnsi="Times New Roman" w:cs="Times New Roman"/>
          <w:sz w:val="24"/>
          <w:szCs w:val="24"/>
        </w:rPr>
      </w:pPr>
      <w:r w:rsidRPr="00881E6A">
        <w:rPr>
          <w:rFonts w:ascii="Times New Roman" w:hAnsi="Times New Roman" w:cs="Times New Roman"/>
          <w:sz w:val="24"/>
          <w:szCs w:val="24"/>
        </w:rPr>
        <w:fldChar w:fldCharType="end"/>
      </w:r>
    </w:p>
    <w:p w:rsidR="00A478E2" w:rsidRPr="00881E6A" w:rsidRDefault="00A478E2" w:rsidP="00881E6A">
      <w:pPr>
        <w:jc w:val="both"/>
        <w:rPr>
          <w:rFonts w:ascii="Times New Roman" w:hAnsi="Times New Roman" w:cs="Times New Roman"/>
          <w:sz w:val="24"/>
          <w:szCs w:val="24"/>
        </w:rPr>
      </w:pPr>
    </w:p>
    <w:sectPr w:rsidR="00A478E2" w:rsidRPr="00881E6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803" w:rsidRDefault="00CD5803" w:rsidP="001E2FCD">
      <w:pPr>
        <w:spacing w:after="0" w:line="240" w:lineRule="auto"/>
      </w:pPr>
      <w:r>
        <w:separator/>
      </w:r>
    </w:p>
  </w:endnote>
  <w:endnote w:type="continuationSeparator" w:id="0">
    <w:p w:rsidR="00CD5803" w:rsidRDefault="00CD5803" w:rsidP="001E2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789343"/>
      <w:docPartObj>
        <w:docPartGallery w:val="Page Numbers (Bottom of Page)"/>
        <w:docPartUnique/>
      </w:docPartObj>
    </w:sdtPr>
    <w:sdtEndPr/>
    <w:sdtContent>
      <w:p w:rsidR="001E2FCD" w:rsidRDefault="001E2FCD">
        <w:pPr>
          <w:pStyle w:val="Altbilgi"/>
          <w:jc w:val="center"/>
        </w:pPr>
        <w:r>
          <w:fldChar w:fldCharType="begin"/>
        </w:r>
        <w:r>
          <w:instrText>PAGE   \* MERGEFORMAT</w:instrText>
        </w:r>
        <w:r>
          <w:fldChar w:fldCharType="separate"/>
        </w:r>
        <w:r w:rsidR="00327F55">
          <w:rPr>
            <w:noProof/>
          </w:rPr>
          <w:t>10</w:t>
        </w:r>
        <w:r>
          <w:fldChar w:fldCharType="end"/>
        </w:r>
      </w:p>
    </w:sdtContent>
  </w:sdt>
  <w:p w:rsidR="001E2FCD" w:rsidRDefault="001E2FC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803" w:rsidRDefault="00CD5803" w:rsidP="001E2FCD">
      <w:pPr>
        <w:spacing w:after="0" w:line="240" w:lineRule="auto"/>
      </w:pPr>
      <w:r>
        <w:separator/>
      </w:r>
    </w:p>
  </w:footnote>
  <w:footnote w:type="continuationSeparator" w:id="0">
    <w:p w:rsidR="00CD5803" w:rsidRDefault="00CD5803" w:rsidP="001E2F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644B3"/>
    <w:multiLevelType w:val="hybridMultilevel"/>
    <w:tmpl w:val="71F8C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101B64"/>
    <w:multiLevelType w:val="multilevel"/>
    <w:tmpl w:val="E180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C678CB"/>
    <w:multiLevelType w:val="multilevel"/>
    <w:tmpl w:val="9CE8E8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66872871"/>
    <w:multiLevelType w:val="hybridMultilevel"/>
    <w:tmpl w:val="1E10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CD0003"/>
    <w:multiLevelType w:val="multilevel"/>
    <w:tmpl w:val="567683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CAB"/>
    <w:rsid w:val="00014AC8"/>
    <w:rsid w:val="00017B42"/>
    <w:rsid w:val="00022332"/>
    <w:rsid w:val="00022C49"/>
    <w:rsid w:val="00045F4A"/>
    <w:rsid w:val="00054D85"/>
    <w:rsid w:val="0008011B"/>
    <w:rsid w:val="000824DB"/>
    <w:rsid w:val="000855CA"/>
    <w:rsid w:val="00085E5D"/>
    <w:rsid w:val="00093FA2"/>
    <w:rsid w:val="000973BB"/>
    <w:rsid w:val="000C2F64"/>
    <w:rsid w:val="000C43B1"/>
    <w:rsid w:val="000C7BD3"/>
    <w:rsid w:val="000F09AE"/>
    <w:rsid w:val="00100922"/>
    <w:rsid w:val="00101547"/>
    <w:rsid w:val="001037C6"/>
    <w:rsid w:val="001511D8"/>
    <w:rsid w:val="0016472B"/>
    <w:rsid w:val="001679FC"/>
    <w:rsid w:val="00176883"/>
    <w:rsid w:val="001827C1"/>
    <w:rsid w:val="001B5E8E"/>
    <w:rsid w:val="001C1F4B"/>
    <w:rsid w:val="001E2FCD"/>
    <w:rsid w:val="001E474B"/>
    <w:rsid w:val="0020217E"/>
    <w:rsid w:val="0021139B"/>
    <w:rsid w:val="002204F2"/>
    <w:rsid w:val="00224754"/>
    <w:rsid w:val="002258E8"/>
    <w:rsid w:val="002309C6"/>
    <w:rsid w:val="00236E84"/>
    <w:rsid w:val="00237B70"/>
    <w:rsid w:val="00242455"/>
    <w:rsid w:val="00254E50"/>
    <w:rsid w:val="00261132"/>
    <w:rsid w:val="00283476"/>
    <w:rsid w:val="00285759"/>
    <w:rsid w:val="00294D9F"/>
    <w:rsid w:val="002A30B0"/>
    <w:rsid w:val="002A39B5"/>
    <w:rsid w:val="002B3A47"/>
    <w:rsid w:val="002C3DF5"/>
    <w:rsid w:val="002C6C74"/>
    <w:rsid w:val="002E0CCD"/>
    <w:rsid w:val="003045A0"/>
    <w:rsid w:val="00327F55"/>
    <w:rsid w:val="0033005F"/>
    <w:rsid w:val="00335AE1"/>
    <w:rsid w:val="003373AA"/>
    <w:rsid w:val="00367F97"/>
    <w:rsid w:val="0037571D"/>
    <w:rsid w:val="00375E74"/>
    <w:rsid w:val="003857EA"/>
    <w:rsid w:val="00397DB3"/>
    <w:rsid w:val="003A25FB"/>
    <w:rsid w:val="003B06B5"/>
    <w:rsid w:val="003B32A4"/>
    <w:rsid w:val="003D55DE"/>
    <w:rsid w:val="00410BBC"/>
    <w:rsid w:val="0041345E"/>
    <w:rsid w:val="00415D6A"/>
    <w:rsid w:val="00424BFB"/>
    <w:rsid w:val="00424DB7"/>
    <w:rsid w:val="00431381"/>
    <w:rsid w:val="00470937"/>
    <w:rsid w:val="004934CC"/>
    <w:rsid w:val="004A3D52"/>
    <w:rsid w:val="004C0702"/>
    <w:rsid w:val="004C4585"/>
    <w:rsid w:val="004F0355"/>
    <w:rsid w:val="004F4763"/>
    <w:rsid w:val="004F74E7"/>
    <w:rsid w:val="00535147"/>
    <w:rsid w:val="00550F4C"/>
    <w:rsid w:val="00580942"/>
    <w:rsid w:val="00587765"/>
    <w:rsid w:val="005C0CAB"/>
    <w:rsid w:val="005D33B7"/>
    <w:rsid w:val="006065FD"/>
    <w:rsid w:val="0061783E"/>
    <w:rsid w:val="00634DC0"/>
    <w:rsid w:val="00635BBB"/>
    <w:rsid w:val="00647A20"/>
    <w:rsid w:val="006774FF"/>
    <w:rsid w:val="00682481"/>
    <w:rsid w:val="006A2169"/>
    <w:rsid w:val="006A6E1C"/>
    <w:rsid w:val="006B0B1D"/>
    <w:rsid w:val="006C49B3"/>
    <w:rsid w:val="006C656D"/>
    <w:rsid w:val="006D05BD"/>
    <w:rsid w:val="006D46E6"/>
    <w:rsid w:val="006F4038"/>
    <w:rsid w:val="006F6E2E"/>
    <w:rsid w:val="007217BE"/>
    <w:rsid w:val="007262A6"/>
    <w:rsid w:val="00730929"/>
    <w:rsid w:val="007708BD"/>
    <w:rsid w:val="00780FDC"/>
    <w:rsid w:val="00783D76"/>
    <w:rsid w:val="00785E5A"/>
    <w:rsid w:val="007946CD"/>
    <w:rsid w:val="007A0607"/>
    <w:rsid w:val="007D2A5D"/>
    <w:rsid w:val="007D5C47"/>
    <w:rsid w:val="007F627D"/>
    <w:rsid w:val="00800898"/>
    <w:rsid w:val="00802A4A"/>
    <w:rsid w:val="00811DFB"/>
    <w:rsid w:val="0082786E"/>
    <w:rsid w:val="00846FA1"/>
    <w:rsid w:val="008520A9"/>
    <w:rsid w:val="008721B1"/>
    <w:rsid w:val="00881E6A"/>
    <w:rsid w:val="00885D6F"/>
    <w:rsid w:val="008A736F"/>
    <w:rsid w:val="008B4EC4"/>
    <w:rsid w:val="008F17DC"/>
    <w:rsid w:val="0090673C"/>
    <w:rsid w:val="00914368"/>
    <w:rsid w:val="00916D76"/>
    <w:rsid w:val="00937DA0"/>
    <w:rsid w:val="009511C2"/>
    <w:rsid w:val="00957C2C"/>
    <w:rsid w:val="009C223D"/>
    <w:rsid w:val="009C3760"/>
    <w:rsid w:val="009C7EC5"/>
    <w:rsid w:val="009F5703"/>
    <w:rsid w:val="00A12A88"/>
    <w:rsid w:val="00A26A3D"/>
    <w:rsid w:val="00A328CE"/>
    <w:rsid w:val="00A41CCE"/>
    <w:rsid w:val="00A43456"/>
    <w:rsid w:val="00A45B04"/>
    <w:rsid w:val="00A478E2"/>
    <w:rsid w:val="00A64DDA"/>
    <w:rsid w:val="00A71F02"/>
    <w:rsid w:val="00A803EB"/>
    <w:rsid w:val="00A81C8F"/>
    <w:rsid w:val="00A85B18"/>
    <w:rsid w:val="00AF70F3"/>
    <w:rsid w:val="00AF73CC"/>
    <w:rsid w:val="00B04FC3"/>
    <w:rsid w:val="00B12D96"/>
    <w:rsid w:val="00B34969"/>
    <w:rsid w:val="00B366F9"/>
    <w:rsid w:val="00B40F86"/>
    <w:rsid w:val="00B43596"/>
    <w:rsid w:val="00B826F1"/>
    <w:rsid w:val="00B9013E"/>
    <w:rsid w:val="00BA0105"/>
    <w:rsid w:val="00BA0845"/>
    <w:rsid w:val="00BB11FF"/>
    <w:rsid w:val="00BC0EFD"/>
    <w:rsid w:val="00BC274F"/>
    <w:rsid w:val="00BC516B"/>
    <w:rsid w:val="00BE48DE"/>
    <w:rsid w:val="00C0507F"/>
    <w:rsid w:val="00C11968"/>
    <w:rsid w:val="00C135CA"/>
    <w:rsid w:val="00C2236B"/>
    <w:rsid w:val="00C24942"/>
    <w:rsid w:val="00C25910"/>
    <w:rsid w:val="00C32E5D"/>
    <w:rsid w:val="00C463D8"/>
    <w:rsid w:val="00C524D0"/>
    <w:rsid w:val="00C54FEE"/>
    <w:rsid w:val="00C55D8B"/>
    <w:rsid w:val="00C814D7"/>
    <w:rsid w:val="00C83FB6"/>
    <w:rsid w:val="00CA2B5E"/>
    <w:rsid w:val="00CB13C2"/>
    <w:rsid w:val="00CB69C0"/>
    <w:rsid w:val="00CC0FCF"/>
    <w:rsid w:val="00CD0131"/>
    <w:rsid w:val="00CD5803"/>
    <w:rsid w:val="00CD591C"/>
    <w:rsid w:val="00D1386D"/>
    <w:rsid w:val="00D13FD2"/>
    <w:rsid w:val="00D21043"/>
    <w:rsid w:val="00D45EAC"/>
    <w:rsid w:val="00D5368A"/>
    <w:rsid w:val="00D53699"/>
    <w:rsid w:val="00D53B59"/>
    <w:rsid w:val="00D61161"/>
    <w:rsid w:val="00D673D5"/>
    <w:rsid w:val="00D67B58"/>
    <w:rsid w:val="00D70363"/>
    <w:rsid w:val="00D82645"/>
    <w:rsid w:val="00DA0790"/>
    <w:rsid w:val="00DA15F8"/>
    <w:rsid w:val="00DA3B0F"/>
    <w:rsid w:val="00DB1122"/>
    <w:rsid w:val="00DC2177"/>
    <w:rsid w:val="00DE39ED"/>
    <w:rsid w:val="00DE4C0E"/>
    <w:rsid w:val="00DF6818"/>
    <w:rsid w:val="00DF7AAD"/>
    <w:rsid w:val="00E06976"/>
    <w:rsid w:val="00E10EFE"/>
    <w:rsid w:val="00E215C5"/>
    <w:rsid w:val="00E25BA7"/>
    <w:rsid w:val="00E45C93"/>
    <w:rsid w:val="00E51B44"/>
    <w:rsid w:val="00E57636"/>
    <w:rsid w:val="00E65997"/>
    <w:rsid w:val="00E74992"/>
    <w:rsid w:val="00EA0C74"/>
    <w:rsid w:val="00EA1D25"/>
    <w:rsid w:val="00EB0E32"/>
    <w:rsid w:val="00EB47BE"/>
    <w:rsid w:val="00EC0C92"/>
    <w:rsid w:val="00ED6B9F"/>
    <w:rsid w:val="00EE5EAD"/>
    <w:rsid w:val="00F03260"/>
    <w:rsid w:val="00F22293"/>
    <w:rsid w:val="00F3411D"/>
    <w:rsid w:val="00F458BB"/>
    <w:rsid w:val="00F61E2F"/>
    <w:rsid w:val="00F91C14"/>
    <w:rsid w:val="00F97CE5"/>
    <w:rsid w:val="00FA4D76"/>
    <w:rsid w:val="00FB3FFE"/>
    <w:rsid w:val="00FB77D8"/>
    <w:rsid w:val="00FC2172"/>
    <w:rsid w:val="00FC7CF4"/>
    <w:rsid w:val="00FD6C79"/>
    <w:rsid w:val="00FD6CF2"/>
    <w:rsid w:val="00FE2573"/>
    <w:rsid w:val="00FF1735"/>
    <w:rsid w:val="00FF67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BC51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F67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aynaka">
    <w:name w:val="Bibliography"/>
    <w:basedOn w:val="Normal"/>
    <w:next w:val="Normal"/>
    <w:uiPriority w:val="37"/>
    <w:unhideWhenUsed/>
    <w:rsid w:val="00BC516B"/>
    <w:pPr>
      <w:tabs>
        <w:tab w:val="left" w:pos="504"/>
      </w:tabs>
      <w:spacing w:after="240" w:line="240" w:lineRule="auto"/>
      <w:ind w:left="504" w:hanging="504"/>
    </w:pPr>
  </w:style>
  <w:style w:type="character" w:customStyle="1" w:styleId="Balk1Char">
    <w:name w:val="Başlık 1 Char"/>
    <w:basedOn w:val="VarsaylanParagrafYazTipi"/>
    <w:link w:val="Balk1"/>
    <w:uiPriority w:val="9"/>
    <w:rsid w:val="00BC516B"/>
    <w:rPr>
      <w:rFonts w:asciiTheme="majorHAnsi" w:eastAsiaTheme="majorEastAsia" w:hAnsiTheme="majorHAnsi" w:cstheme="majorBidi"/>
      <w:b/>
      <w:bCs/>
      <w:color w:val="365F91" w:themeColor="accent1" w:themeShade="BF"/>
      <w:sz w:val="28"/>
      <w:szCs w:val="28"/>
    </w:rPr>
  </w:style>
  <w:style w:type="table" w:styleId="TabloKlavuzu">
    <w:name w:val="Table Grid"/>
    <w:basedOn w:val="NormalTablo"/>
    <w:uiPriority w:val="59"/>
    <w:rsid w:val="00C259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F91C14"/>
    <w:rPr>
      <w:color w:val="0000FF" w:themeColor="hyperlink"/>
      <w:u w:val="single"/>
    </w:rPr>
  </w:style>
  <w:style w:type="character" w:customStyle="1" w:styleId="Balk2Char">
    <w:name w:val="Başlık 2 Char"/>
    <w:basedOn w:val="VarsaylanParagrafYazTipi"/>
    <w:link w:val="Balk2"/>
    <w:uiPriority w:val="9"/>
    <w:rsid w:val="00FF67D3"/>
    <w:rPr>
      <w:rFonts w:asciiTheme="majorHAnsi" w:eastAsiaTheme="majorEastAsia" w:hAnsiTheme="majorHAnsi" w:cstheme="majorBidi"/>
      <w:b/>
      <w:bCs/>
      <w:color w:val="4F81BD" w:themeColor="accent1"/>
      <w:sz w:val="26"/>
      <w:szCs w:val="26"/>
    </w:rPr>
  </w:style>
  <w:style w:type="table" w:styleId="AkGlgeleme">
    <w:name w:val="Light Shading"/>
    <w:basedOn w:val="NormalTablo"/>
    <w:uiPriority w:val="60"/>
    <w:rsid w:val="000F09A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B40F86"/>
    <w:rPr>
      <w:rFonts w:ascii="Times New Roman" w:hAnsi="Times New Roman" w:cs="Times New Roman"/>
      <w:sz w:val="24"/>
      <w:szCs w:val="24"/>
    </w:rPr>
  </w:style>
  <w:style w:type="paragraph" w:styleId="ResimYazs">
    <w:name w:val="caption"/>
    <w:basedOn w:val="Normal"/>
    <w:next w:val="Normal"/>
    <w:uiPriority w:val="35"/>
    <w:unhideWhenUsed/>
    <w:qFormat/>
    <w:rsid w:val="00101547"/>
    <w:pPr>
      <w:spacing w:line="240" w:lineRule="auto"/>
    </w:pPr>
    <w:rPr>
      <w:b/>
      <w:bCs/>
      <w:color w:val="4F81BD" w:themeColor="accent1"/>
      <w:sz w:val="18"/>
      <w:szCs w:val="18"/>
    </w:rPr>
  </w:style>
  <w:style w:type="paragraph" w:styleId="ListeParagraf">
    <w:name w:val="List Paragraph"/>
    <w:basedOn w:val="Normal"/>
    <w:uiPriority w:val="34"/>
    <w:qFormat/>
    <w:rsid w:val="007F627D"/>
    <w:pPr>
      <w:ind w:left="720"/>
      <w:contextualSpacing/>
    </w:pPr>
  </w:style>
  <w:style w:type="character" w:customStyle="1" w:styleId="jlqj4b">
    <w:name w:val="jlqj4b"/>
    <w:basedOn w:val="VarsaylanParagrafYazTipi"/>
    <w:rsid w:val="009C223D"/>
  </w:style>
  <w:style w:type="paragraph" w:styleId="stbilgi">
    <w:name w:val="header"/>
    <w:basedOn w:val="Normal"/>
    <w:link w:val="stbilgiChar"/>
    <w:uiPriority w:val="99"/>
    <w:unhideWhenUsed/>
    <w:rsid w:val="001E2F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2FCD"/>
  </w:style>
  <w:style w:type="paragraph" w:styleId="Altbilgi">
    <w:name w:val="footer"/>
    <w:basedOn w:val="Normal"/>
    <w:link w:val="AltbilgiChar"/>
    <w:uiPriority w:val="99"/>
    <w:unhideWhenUsed/>
    <w:rsid w:val="001E2F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2F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BC51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F67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aynaka">
    <w:name w:val="Bibliography"/>
    <w:basedOn w:val="Normal"/>
    <w:next w:val="Normal"/>
    <w:uiPriority w:val="37"/>
    <w:unhideWhenUsed/>
    <w:rsid w:val="00BC516B"/>
    <w:pPr>
      <w:tabs>
        <w:tab w:val="left" w:pos="504"/>
      </w:tabs>
      <w:spacing w:after="240" w:line="240" w:lineRule="auto"/>
      <w:ind w:left="504" w:hanging="504"/>
    </w:pPr>
  </w:style>
  <w:style w:type="character" w:customStyle="1" w:styleId="Balk1Char">
    <w:name w:val="Başlık 1 Char"/>
    <w:basedOn w:val="VarsaylanParagrafYazTipi"/>
    <w:link w:val="Balk1"/>
    <w:uiPriority w:val="9"/>
    <w:rsid w:val="00BC516B"/>
    <w:rPr>
      <w:rFonts w:asciiTheme="majorHAnsi" w:eastAsiaTheme="majorEastAsia" w:hAnsiTheme="majorHAnsi" w:cstheme="majorBidi"/>
      <w:b/>
      <w:bCs/>
      <w:color w:val="365F91" w:themeColor="accent1" w:themeShade="BF"/>
      <w:sz w:val="28"/>
      <w:szCs w:val="28"/>
    </w:rPr>
  </w:style>
  <w:style w:type="table" w:styleId="TabloKlavuzu">
    <w:name w:val="Table Grid"/>
    <w:basedOn w:val="NormalTablo"/>
    <w:uiPriority w:val="59"/>
    <w:rsid w:val="00C259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F91C14"/>
    <w:rPr>
      <w:color w:val="0000FF" w:themeColor="hyperlink"/>
      <w:u w:val="single"/>
    </w:rPr>
  </w:style>
  <w:style w:type="character" w:customStyle="1" w:styleId="Balk2Char">
    <w:name w:val="Başlık 2 Char"/>
    <w:basedOn w:val="VarsaylanParagrafYazTipi"/>
    <w:link w:val="Balk2"/>
    <w:uiPriority w:val="9"/>
    <w:rsid w:val="00FF67D3"/>
    <w:rPr>
      <w:rFonts w:asciiTheme="majorHAnsi" w:eastAsiaTheme="majorEastAsia" w:hAnsiTheme="majorHAnsi" w:cstheme="majorBidi"/>
      <w:b/>
      <w:bCs/>
      <w:color w:val="4F81BD" w:themeColor="accent1"/>
      <w:sz w:val="26"/>
      <w:szCs w:val="26"/>
    </w:rPr>
  </w:style>
  <w:style w:type="table" w:styleId="AkGlgeleme">
    <w:name w:val="Light Shading"/>
    <w:basedOn w:val="NormalTablo"/>
    <w:uiPriority w:val="60"/>
    <w:rsid w:val="000F09A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B40F86"/>
    <w:rPr>
      <w:rFonts w:ascii="Times New Roman" w:hAnsi="Times New Roman" w:cs="Times New Roman"/>
      <w:sz w:val="24"/>
      <w:szCs w:val="24"/>
    </w:rPr>
  </w:style>
  <w:style w:type="paragraph" w:styleId="ResimYazs">
    <w:name w:val="caption"/>
    <w:basedOn w:val="Normal"/>
    <w:next w:val="Normal"/>
    <w:uiPriority w:val="35"/>
    <w:unhideWhenUsed/>
    <w:qFormat/>
    <w:rsid w:val="00101547"/>
    <w:pPr>
      <w:spacing w:line="240" w:lineRule="auto"/>
    </w:pPr>
    <w:rPr>
      <w:b/>
      <w:bCs/>
      <w:color w:val="4F81BD" w:themeColor="accent1"/>
      <w:sz w:val="18"/>
      <w:szCs w:val="18"/>
    </w:rPr>
  </w:style>
  <w:style w:type="paragraph" w:styleId="ListeParagraf">
    <w:name w:val="List Paragraph"/>
    <w:basedOn w:val="Normal"/>
    <w:uiPriority w:val="34"/>
    <w:qFormat/>
    <w:rsid w:val="007F627D"/>
    <w:pPr>
      <w:ind w:left="720"/>
      <w:contextualSpacing/>
    </w:pPr>
  </w:style>
  <w:style w:type="character" w:customStyle="1" w:styleId="jlqj4b">
    <w:name w:val="jlqj4b"/>
    <w:basedOn w:val="VarsaylanParagrafYazTipi"/>
    <w:rsid w:val="009C223D"/>
  </w:style>
  <w:style w:type="paragraph" w:styleId="stbilgi">
    <w:name w:val="header"/>
    <w:basedOn w:val="Normal"/>
    <w:link w:val="stbilgiChar"/>
    <w:uiPriority w:val="99"/>
    <w:unhideWhenUsed/>
    <w:rsid w:val="001E2F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2FCD"/>
  </w:style>
  <w:style w:type="paragraph" w:styleId="Altbilgi">
    <w:name w:val="footer"/>
    <w:basedOn w:val="Normal"/>
    <w:link w:val="AltbilgiChar"/>
    <w:uiPriority w:val="99"/>
    <w:unhideWhenUsed/>
    <w:rsid w:val="001E2F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2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207455">
      <w:bodyDiv w:val="1"/>
      <w:marLeft w:val="0"/>
      <w:marRight w:val="0"/>
      <w:marTop w:val="0"/>
      <w:marBottom w:val="0"/>
      <w:divBdr>
        <w:top w:val="none" w:sz="0" w:space="0" w:color="auto"/>
        <w:left w:val="none" w:sz="0" w:space="0" w:color="auto"/>
        <w:bottom w:val="none" w:sz="0" w:space="0" w:color="auto"/>
        <w:right w:val="none" w:sz="0" w:space="0" w:color="auto"/>
      </w:divBdr>
    </w:div>
    <w:div w:id="633606993">
      <w:bodyDiv w:val="1"/>
      <w:marLeft w:val="0"/>
      <w:marRight w:val="0"/>
      <w:marTop w:val="0"/>
      <w:marBottom w:val="0"/>
      <w:divBdr>
        <w:top w:val="none" w:sz="0" w:space="0" w:color="auto"/>
        <w:left w:val="none" w:sz="0" w:space="0" w:color="auto"/>
        <w:bottom w:val="none" w:sz="0" w:space="0" w:color="auto"/>
        <w:right w:val="none" w:sz="0" w:space="0" w:color="auto"/>
      </w:divBdr>
    </w:div>
    <w:div w:id="1148476943">
      <w:bodyDiv w:val="1"/>
      <w:marLeft w:val="0"/>
      <w:marRight w:val="0"/>
      <w:marTop w:val="0"/>
      <w:marBottom w:val="0"/>
      <w:divBdr>
        <w:top w:val="none" w:sz="0" w:space="0" w:color="auto"/>
        <w:left w:val="none" w:sz="0" w:space="0" w:color="auto"/>
        <w:bottom w:val="none" w:sz="0" w:space="0" w:color="auto"/>
        <w:right w:val="none" w:sz="0" w:space="0" w:color="auto"/>
      </w:divBdr>
    </w:div>
    <w:div w:id="1327703814">
      <w:bodyDiv w:val="1"/>
      <w:marLeft w:val="0"/>
      <w:marRight w:val="0"/>
      <w:marTop w:val="0"/>
      <w:marBottom w:val="0"/>
      <w:divBdr>
        <w:top w:val="none" w:sz="0" w:space="0" w:color="auto"/>
        <w:left w:val="none" w:sz="0" w:space="0" w:color="auto"/>
        <w:bottom w:val="none" w:sz="0" w:space="0" w:color="auto"/>
        <w:right w:val="none" w:sz="0" w:space="0" w:color="auto"/>
      </w:divBdr>
    </w:div>
    <w:div w:id="168409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ferhatarslandr@hotmail.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C4677-C10E-448B-ADFF-9FD4E6249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12963</Words>
  <Characters>73892</Characters>
  <Application>Microsoft Office Word</Application>
  <DocSecurity>0</DocSecurity>
  <Lines>615</Lines>
  <Paragraphs>173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dc:creator>
  <cp:lastModifiedBy>BH</cp:lastModifiedBy>
  <cp:revision>2</cp:revision>
  <dcterms:created xsi:type="dcterms:W3CDTF">2021-02-01T09:37:00Z</dcterms:created>
  <dcterms:modified xsi:type="dcterms:W3CDTF">2021-02-01T09:37:00Z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zotero-version="5.0.95.1"&gt;&lt;session id="k1u64X3T"/&gt;&lt;style id="http://www.zotero.org/styles/american-medical-association-no-url" hasBibliography="1" bibliographyStyleHasBeenSet="1"/&gt;&lt;prefs&gt;&lt;pref name="fieldType" value="Field"/&gt;&lt;pref n</vt:lpwstr>
  </property>
  <property fmtid="{D5CDD505-2E9C-101B-9397-08002B2CF9AE}" pid="3" name="ZOTERO_PREF_2">
    <vt:lpwstr>ame="automaticJournalAbbreviations" value="true"/&gt;&lt;/prefs&gt;&lt;/data&gt;</vt:lpwstr>
  </property>
</Properties>
</file>