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7AA" w:rsidRDefault="002D67AA" w:rsidP="002D67AA">
      <w:pPr>
        <w:widowControl w:val="0"/>
        <w:autoSpaceDE w:val="0"/>
        <w:autoSpaceDN w:val="0"/>
        <w:adjustRightInd w:val="0"/>
        <w:spacing w:before="0" w:after="0"/>
        <w:ind w:left="480" w:hanging="480"/>
        <w:rPr>
          <w:szCs w:val="24"/>
        </w:rPr>
      </w:pPr>
    </w:p>
    <w:tbl>
      <w:tblPr>
        <w:tblW w:w="9079" w:type="dxa"/>
        <w:tblInd w:w="-34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1134"/>
        <w:gridCol w:w="850"/>
        <w:gridCol w:w="851"/>
        <w:gridCol w:w="1294"/>
        <w:gridCol w:w="992"/>
        <w:gridCol w:w="1559"/>
        <w:gridCol w:w="981"/>
        <w:gridCol w:w="1418"/>
      </w:tblGrid>
      <w:tr w:rsidR="002D67AA" w:rsidRPr="009D4909" w:rsidTr="00756932"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both"/>
              <w:rPr>
                <w:szCs w:val="24"/>
              </w:rPr>
            </w:pPr>
            <w:bookmarkStart w:id="0" w:name="_GoBack"/>
            <w:bookmarkEnd w:id="0"/>
            <w:r w:rsidRPr="009D4909">
              <w:rPr>
                <w:szCs w:val="24"/>
              </w:rPr>
              <w:t>Vaccine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ind w:left="-107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Animal n°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VNT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ind w:left="-81"/>
              <w:rPr>
                <w:szCs w:val="24"/>
              </w:rPr>
            </w:pPr>
            <w:r w:rsidRPr="009D4909">
              <w:rPr>
                <w:szCs w:val="24"/>
              </w:rPr>
              <w:t xml:space="preserve">Mean </w:t>
            </w:r>
            <w:r w:rsidRPr="009D4909">
              <w:rPr>
                <w:szCs w:val="24"/>
                <w:lang w:val="es-AR"/>
              </w:rPr>
              <w:sym w:font="Symbol" w:char="F0B1"/>
            </w:r>
            <w:r w:rsidRPr="009D4909">
              <w:rPr>
                <w:szCs w:val="24"/>
              </w:rPr>
              <w:t>SD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ind w:left="-81"/>
              <w:rPr>
                <w:szCs w:val="24"/>
              </w:rPr>
            </w:pPr>
            <w:r w:rsidRPr="009D4909">
              <w:rPr>
                <w:szCs w:val="24"/>
              </w:rPr>
              <w:t>VNT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rPr>
                <w:szCs w:val="24"/>
              </w:rPr>
            </w:pPr>
            <w:r w:rsidRPr="009D4909">
              <w:rPr>
                <w:szCs w:val="24"/>
              </w:rPr>
              <w:t xml:space="preserve">Mean </w:t>
            </w:r>
            <w:r w:rsidRPr="009D4909">
              <w:rPr>
                <w:szCs w:val="24"/>
                <w:lang w:val="es-AR"/>
              </w:rPr>
              <w:sym w:font="Symbol" w:char="F0B1"/>
            </w:r>
            <w:r w:rsidRPr="009D4909">
              <w:rPr>
                <w:szCs w:val="24"/>
              </w:rPr>
              <w:t xml:space="preserve"> </w:t>
            </w:r>
            <w:r w:rsidRPr="009D4909">
              <w:rPr>
                <w:szCs w:val="24"/>
                <w:lang w:val="es-AR"/>
              </w:rPr>
              <w:t>SD</w:t>
            </w:r>
            <w:r w:rsidRPr="009D4909">
              <w:rPr>
                <w:szCs w:val="24"/>
              </w:rPr>
              <w:t xml:space="preserve">                              </w:t>
            </w: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rPr>
                <w:szCs w:val="24"/>
              </w:rPr>
            </w:pPr>
            <w:r w:rsidRPr="009D4909">
              <w:rPr>
                <w:szCs w:val="24"/>
              </w:rPr>
              <w:t xml:space="preserve">VNT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Mean</w:t>
            </w:r>
            <w:r w:rsidRPr="009D4909">
              <w:rPr>
                <w:szCs w:val="24"/>
                <w:lang w:val="es-AR"/>
              </w:rPr>
              <w:sym w:font="Symbol" w:char="F0B1"/>
            </w:r>
            <w:r w:rsidRPr="009D4909">
              <w:rPr>
                <w:szCs w:val="24"/>
                <w:lang w:val="es-AR"/>
              </w:rPr>
              <w:t>SD</w:t>
            </w:r>
            <w:r w:rsidRPr="009D4909">
              <w:rPr>
                <w:szCs w:val="24"/>
              </w:rPr>
              <w:t xml:space="preserve">                              </w:t>
            </w:r>
          </w:p>
        </w:tc>
      </w:tr>
      <w:tr w:rsidR="002D67AA" w:rsidRPr="009D4909" w:rsidTr="00756932"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rPr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15dpv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30dpv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45dpv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</w:tr>
      <w:tr w:rsidR="002D67AA" w:rsidRPr="009D4909" w:rsidTr="00756932"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VLPs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&lt;1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1.20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</w:tr>
      <w:tr w:rsidR="002D67AA" w:rsidRPr="009D4909" w:rsidTr="00756932">
        <w:tc>
          <w:tcPr>
            <w:tcW w:w="1134" w:type="dxa"/>
            <w:vMerge/>
            <w:shd w:val="clear" w:color="auto" w:fill="auto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260</w:t>
            </w:r>
          </w:p>
        </w:tc>
        <w:tc>
          <w:tcPr>
            <w:tcW w:w="851" w:type="dxa"/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&lt;1</w:t>
            </w:r>
          </w:p>
        </w:tc>
        <w:tc>
          <w:tcPr>
            <w:tcW w:w="1294" w:type="dxa"/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</w:tr>
      <w:tr w:rsidR="002D67AA" w:rsidRPr="009D4909" w:rsidTr="00756932">
        <w:tc>
          <w:tcPr>
            <w:tcW w:w="1134" w:type="dxa"/>
            <w:vMerge/>
            <w:shd w:val="clear" w:color="auto" w:fill="auto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268</w:t>
            </w:r>
          </w:p>
        </w:tc>
        <w:tc>
          <w:tcPr>
            <w:tcW w:w="851" w:type="dxa"/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&lt;1</w:t>
            </w:r>
          </w:p>
        </w:tc>
        <w:tc>
          <w:tcPr>
            <w:tcW w:w="1294" w:type="dxa"/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  <w:tc>
          <w:tcPr>
            <w:tcW w:w="981" w:type="dxa"/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</w:tr>
      <w:tr w:rsidR="002D67AA" w:rsidRPr="009D4909" w:rsidTr="00756932"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274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&lt;1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&lt;1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1.0</w:t>
            </w:r>
            <w:r w:rsidRPr="009D4909">
              <w:rPr>
                <w:szCs w:val="24"/>
                <w:lang w:val="es-AR"/>
              </w:rPr>
              <w:sym w:font="Symbol" w:char="F0B1"/>
            </w:r>
            <w:r w:rsidRPr="009D4909">
              <w:rPr>
                <w:szCs w:val="24"/>
              </w:rPr>
              <w:t>0.0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1.20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1.1</w:t>
            </w:r>
            <w:r w:rsidRPr="009D4909">
              <w:rPr>
                <w:szCs w:val="24"/>
                <w:lang w:val="es-AR"/>
              </w:rPr>
              <w:sym w:font="Symbol" w:char="F0B1"/>
            </w:r>
            <w:r w:rsidRPr="009D4909">
              <w:rPr>
                <w:szCs w:val="24"/>
              </w:rPr>
              <w:t>0.1</w:t>
            </w:r>
          </w:p>
        </w:tc>
      </w:tr>
      <w:tr w:rsidR="002D67AA" w:rsidRPr="009D4909" w:rsidTr="00756932"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VLPs-ISPA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255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1.60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2.00</w:t>
            </w:r>
            <w:r w:rsidRPr="009D4909" w:rsidDel="005A7D05">
              <w:rPr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2.00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</w:p>
        </w:tc>
      </w:tr>
      <w:tr w:rsidR="002D67AA" w:rsidRPr="009D4909" w:rsidTr="00756932">
        <w:tc>
          <w:tcPr>
            <w:tcW w:w="1134" w:type="dxa"/>
            <w:vMerge/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257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1.90</w:t>
            </w:r>
          </w:p>
        </w:tc>
        <w:tc>
          <w:tcPr>
            <w:tcW w:w="1294" w:type="dxa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1.90</w:t>
            </w:r>
          </w:p>
        </w:tc>
        <w:tc>
          <w:tcPr>
            <w:tcW w:w="1559" w:type="dxa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2.00</w:t>
            </w:r>
          </w:p>
        </w:tc>
        <w:tc>
          <w:tcPr>
            <w:tcW w:w="1418" w:type="dxa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</w:p>
        </w:tc>
      </w:tr>
      <w:tr w:rsidR="002D67AA" w:rsidRPr="009D4909" w:rsidTr="00756932">
        <w:tc>
          <w:tcPr>
            <w:tcW w:w="1134" w:type="dxa"/>
            <w:vMerge/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263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1.30</w:t>
            </w:r>
          </w:p>
        </w:tc>
        <w:tc>
          <w:tcPr>
            <w:tcW w:w="1294" w:type="dxa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2.00</w:t>
            </w:r>
          </w:p>
        </w:tc>
        <w:tc>
          <w:tcPr>
            <w:tcW w:w="1559" w:type="dxa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2.20</w:t>
            </w:r>
          </w:p>
        </w:tc>
        <w:tc>
          <w:tcPr>
            <w:tcW w:w="1418" w:type="dxa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</w:p>
        </w:tc>
      </w:tr>
      <w:tr w:rsidR="002D67AA" w:rsidRPr="009D4909" w:rsidTr="00756932"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276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1.60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  <w:r w:rsidRPr="009D4909">
              <w:rPr>
                <w:szCs w:val="24"/>
              </w:rPr>
              <w:t>1.6</w:t>
            </w:r>
            <w:r w:rsidRPr="009D4909">
              <w:rPr>
                <w:szCs w:val="24"/>
                <w:lang w:val="es-AR"/>
              </w:rPr>
              <w:sym w:font="Symbol" w:char="F0B1"/>
            </w:r>
            <w:r w:rsidRPr="009D4909">
              <w:rPr>
                <w:szCs w:val="24"/>
              </w:rPr>
              <w:t>0.2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2.00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D67AA" w:rsidRPr="009D4909" w:rsidRDefault="002D67AA" w:rsidP="00756932">
            <w:pPr>
              <w:spacing w:before="0" w:after="0" w:line="100" w:lineRule="atLeast"/>
              <w:ind w:right="-107"/>
              <w:jc w:val="center"/>
              <w:rPr>
                <w:color w:val="000000"/>
                <w:szCs w:val="24"/>
                <w:lang w:val="es-AR"/>
              </w:rPr>
            </w:pPr>
            <w:r w:rsidRPr="009D4909">
              <w:rPr>
                <w:color w:val="000000"/>
                <w:szCs w:val="24"/>
                <w:lang w:val="es-AR"/>
              </w:rPr>
              <w:t>1.97</w:t>
            </w:r>
            <w:r w:rsidRPr="009D4909">
              <w:rPr>
                <w:szCs w:val="24"/>
                <w:lang w:val="es-AR"/>
              </w:rPr>
              <w:sym w:font="Symbol" w:char="F0B1"/>
            </w:r>
            <w:r w:rsidRPr="009D4909">
              <w:rPr>
                <w:szCs w:val="24"/>
              </w:rPr>
              <w:t>0.05***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2.20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  <w:r w:rsidRPr="009D4909">
              <w:rPr>
                <w:color w:val="000000"/>
                <w:szCs w:val="24"/>
                <w:lang w:val="es-AR"/>
              </w:rPr>
              <w:t>2.1</w:t>
            </w:r>
            <w:r w:rsidRPr="009D4909">
              <w:rPr>
                <w:szCs w:val="24"/>
                <w:lang w:val="es-AR"/>
              </w:rPr>
              <w:sym w:font="Symbol" w:char="F0B1"/>
            </w:r>
            <w:r w:rsidRPr="009D4909">
              <w:rPr>
                <w:szCs w:val="24"/>
              </w:rPr>
              <w:t>0.1***</w:t>
            </w:r>
          </w:p>
        </w:tc>
      </w:tr>
      <w:tr w:rsidR="002D67AA" w:rsidRPr="009D4909" w:rsidTr="00756932"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VLPs-CA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259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  <w:lang w:val="es-AR"/>
              </w:rPr>
            </w:pPr>
            <w:r w:rsidRPr="009D4909">
              <w:rPr>
                <w:color w:val="000000"/>
                <w:szCs w:val="24"/>
                <w:lang w:val="es-AR"/>
              </w:rPr>
              <w:t>1.80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  <w:lang w:val="es-AR"/>
              </w:rPr>
            </w:pPr>
            <w:r w:rsidRPr="009D4909">
              <w:rPr>
                <w:color w:val="000000"/>
                <w:szCs w:val="24"/>
                <w:lang w:val="es-AR"/>
              </w:rPr>
              <w:t>2.61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  <w:lang w:val="es-AR"/>
              </w:rPr>
            </w:pPr>
            <w:r w:rsidRPr="009D4909">
              <w:rPr>
                <w:color w:val="000000"/>
                <w:szCs w:val="24"/>
                <w:lang w:val="es-AR"/>
              </w:rPr>
              <w:t>2.6</w:t>
            </w:r>
            <w:r w:rsidRPr="009D4909">
              <w:rPr>
                <w:szCs w:val="24"/>
                <w:lang w:val="es-AR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</w:p>
        </w:tc>
      </w:tr>
      <w:tr w:rsidR="002D67AA" w:rsidRPr="009D4909" w:rsidTr="00756932">
        <w:tc>
          <w:tcPr>
            <w:tcW w:w="1134" w:type="dxa"/>
            <w:vMerge/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264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1.90</w:t>
            </w:r>
          </w:p>
        </w:tc>
        <w:tc>
          <w:tcPr>
            <w:tcW w:w="1294" w:type="dxa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  <w:lang w:val="es-AR"/>
              </w:rPr>
            </w:pPr>
            <w:r w:rsidRPr="009D4909">
              <w:rPr>
                <w:color w:val="000000"/>
                <w:szCs w:val="24"/>
                <w:lang w:val="es-AR"/>
              </w:rPr>
              <w:t>2.20</w:t>
            </w:r>
          </w:p>
        </w:tc>
        <w:tc>
          <w:tcPr>
            <w:tcW w:w="1559" w:type="dxa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  <w:lang w:val="es-AR"/>
              </w:rPr>
            </w:pPr>
            <w:r w:rsidRPr="009D4909">
              <w:rPr>
                <w:color w:val="000000"/>
                <w:szCs w:val="24"/>
                <w:lang w:val="es-AR"/>
              </w:rPr>
              <w:t>2.51</w:t>
            </w:r>
          </w:p>
        </w:tc>
        <w:tc>
          <w:tcPr>
            <w:tcW w:w="1418" w:type="dxa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</w:p>
        </w:tc>
      </w:tr>
      <w:tr w:rsidR="002D67AA" w:rsidRPr="009D4909" w:rsidTr="00756932">
        <w:tc>
          <w:tcPr>
            <w:tcW w:w="1134" w:type="dxa"/>
            <w:vMerge/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273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1.80</w:t>
            </w:r>
          </w:p>
        </w:tc>
        <w:tc>
          <w:tcPr>
            <w:tcW w:w="1294" w:type="dxa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  <w:lang w:val="es-AR"/>
              </w:rPr>
            </w:pPr>
            <w:r w:rsidRPr="009D4909">
              <w:rPr>
                <w:color w:val="000000"/>
                <w:szCs w:val="24"/>
                <w:lang w:val="es-AR"/>
              </w:rPr>
              <w:t>2.20</w:t>
            </w:r>
          </w:p>
        </w:tc>
        <w:tc>
          <w:tcPr>
            <w:tcW w:w="1559" w:type="dxa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  <w:lang w:val="es-AR"/>
              </w:rPr>
            </w:pPr>
            <w:r w:rsidRPr="009D4909">
              <w:rPr>
                <w:color w:val="000000"/>
                <w:szCs w:val="24"/>
                <w:lang w:val="es-AR"/>
              </w:rPr>
              <w:t>2.40</w:t>
            </w:r>
          </w:p>
        </w:tc>
        <w:tc>
          <w:tcPr>
            <w:tcW w:w="1418" w:type="dxa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</w:p>
        </w:tc>
      </w:tr>
      <w:tr w:rsidR="002D67AA" w:rsidRPr="009D4909" w:rsidTr="00756932"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275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1.90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  <w:r w:rsidRPr="009D4909">
              <w:rPr>
                <w:color w:val="000000"/>
                <w:szCs w:val="24"/>
                <w:lang w:val="es-AR"/>
              </w:rPr>
              <w:t>1.85</w:t>
            </w:r>
            <w:r w:rsidRPr="009D4909">
              <w:rPr>
                <w:szCs w:val="24"/>
                <w:lang w:val="es-AR"/>
              </w:rPr>
              <w:sym w:font="Symbol" w:char="F0B1"/>
            </w:r>
            <w:r w:rsidRPr="009D4909">
              <w:rPr>
                <w:szCs w:val="24"/>
              </w:rPr>
              <w:t>0.06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  <w:lang w:val="es-AR"/>
              </w:rPr>
            </w:pPr>
            <w:r w:rsidRPr="009D4909">
              <w:rPr>
                <w:color w:val="000000"/>
                <w:szCs w:val="24"/>
                <w:lang w:val="es-AR"/>
              </w:rPr>
              <w:t>2.20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  <w:r w:rsidRPr="009D4909">
              <w:rPr>
                <w:color w:val="000000"/>
                <w:szCs w:val="24"/>
                <w:lang w:val="es-AR"/>
              </w:rPr>
              <w:t>2.3</w:t>
            </w:r>
            <w:r w:rsidRPr="009D4909">
              <w:rPr>
                <w:szCs w:val="24"/>
                <w:lang w:val="es-AR"/>
              </w:rPr>
              <w:sym w:font="Symbol" w:char="F0B1"/>
            </w:r>
            <w:r w:rsidRPr="009D4909">
              <w:rPr>
                <w:szCs w:val="24"/>
              </w:rPr>
              <w:t>0.2***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  <w:lang w:val="es-AR"/>
              </w:rPr>
            </w:pPr>
            <w:r w:rsidRPr="009D4909">
              <w:rPr>
                <w:color w:val="000000"/>
                <w:szCs w:val="24"/>
                <w:lang w:val="es-AR"/>
              </w:rPr>
              <w:t>2.20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  <w:r w:rsidRPr="009D4909">
              <w:rPr>
                <w:color w:val="000000"/>
                <w:szCs w:val="24"/>
                <w:lang w:val="es-AR"/>
              </w:rPr>
              <w:t>2.4</w:t>
            </w:r>
            <w:r w:rsidRPr="009D4909">
              <w:rPr>
                <w:szCs w:val="24"/>
                <w:lang w:val="es-AR"/>
              </w:rPr>
              <w:sym w:font="Symbol" w:char="F0B1"/>
            </w:r>
            <w:r w:rsidRPr="009D4909">
              <w:rPr>
                <w:szCs w:val="24"/>
              </w:rPr>
              <w:t>0.2***</w:t>
            </w:r>
          </w:p>
        </w:tc>
      </w:tr>
      <w:tr w:rsidR="002D67AA" w:rsidRPr="009D4909" w:rsidTr="00756932"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  <w:lang w:val="es-AR"/>
              </w:rPr>
            </w:pPr>
            <w:r w:rsidRPr="009D4909">
              <w:rPr>
                <w:szCs w:val="24"/>
                <w:lang w:val="es-AR"/>
              </w:rPr>
              <w:t>iFMDV-CA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  <w:lang w:val="es-AR"/>
              </w:rPr>
            </w:pPr>
            <w:r w:rsidRPr="009D4909">
              <w:rPr>
                <w:color w:val="000000"/>
                <w:szCs w:val="24"/>
                <w:lang w:val="es-AR"/>
              </w:rPr>
              <w:t>256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  <w:lang w:val="es-AR"/>
              </w:rPr>
            </w:pPr>
            <w:r w:rsidRPr="009D4909">
              <w:rPr>
                <w:szCs w:val="24"/>
                <w:lang w:val="es-AR"/>
              </w:rPr>
              <w:t>1.90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  <w:lang w:val="es-AR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  <w:lang w:val="es-AR"/>
              </w:rPr>
            </w:pPr>
            <w:r w:rsidRPr="009D4909">
              <w:rPr>
                <w:color w:val="000000"/>
                <w:szCs w:val="24"/>
                <w:lang w:val="es-AR"/>
              </w:rPr>
              <w:t>2.20</w:t>
            </w:r>
            <w:r w:rsidRPr="009D4909" w:rsidDel="005A7D05">
              <w:rPr>
                <w:szCs w:val="24"/>
                <w:lang w:val="es-AR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</w:rPr>
              <w:t>2.51</w:t>
            </w:r>
            <w:r w:rsidRPr="009D4909" w:rsidDel="005A7D05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</w:rPr>
            </w:pPr>
          </w:p>
        </w:tc>
      </w:tr>
      <w:tr w:rsidR="002D67AA" w:rsidRPr="009D4909" w:rsidTr="00756932"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rPr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</w:rPr>
              <w:t>265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szCs w:val="24"/>
              </w:rPr>
              <w:t>1.80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</w:rPr>
            </w:pPr>
            <w:r w:rsidRPr="009D4909">
              <w:rPr>
                <w:color w:val="000000"/>
                <w:szCs w:val="24"/>
                <w:lang w:val="es-AR"/>
              </w:rPr>
              <w:t>1.85</w:t>
            </w:r>
            <w:r w:rsidRPr="009D4909">
              <w:rPr>
                <w:szCs w:val="24"/>
                <w:lang w:val="es-AR"/>
              </w:rPr>
              <w:sym w:font="Symbol" w:char="F0B1"/>
            </w:r>
            <w:r w:rsidRPr="009D4909">
              <w:rPr>
                <w:szCs w:val="24"/>
              </w:rPr>
              <w:t>0.07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</w:rPr>
              <w:t>2.20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</w:rPr>
            </w:pPr>
            <w:r w:rsidRPr="009D4909">
              <w:rPr>
                <w:szCs w:val="24"/>
              </w:rPr>
              <w:t>2.2</w:t>
            </w:r>
            <w:r w:rsidRPr="009D4909">
              <w:rPr>
                <w:szCs w:val="24"/>
                <w:lang w:val="es-AR"/>
              </w:rPr>
              <w:sym w:font="Symbol" w:char="F0B1"/>
            </w:r>
            <w:r w:rsidRPr="009D4909">
              <w:rPr>
                <w:szCs w:val="24"/>
              </w:rPr>
              <w:t>0.0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szCs w:val="24"/>
              </w:rPr>
            </w:pPr>
            <w:r w:rsidRPr="009D4909">
              <w:rPr>
                <w:color w:val="000000"/>
                <w:szCs w:val="24"/>
              </w:rPr>
              <w:t>2.40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67AA" w:rsidRPr="009D4909" w:rsidRDefault="002D67AA" w:rsidP="00756932">
            <w:pPr>
              <w:spacing w:before="0" w:after="0" w:line="100" w:lineRule="atLeast"/>
              <w:jc w:val="center"/>
              <w:rPr>
                <w:color w:val="000000"/>
                <w:szCs w:val="24"/>
              </w:rPr>
            </w:pPr>
            <w:r w:rsidRPr="009D4909">
              <w:rPr>
                <w:szCs w:val="24"/>
              </w:rPr>
              <w:t>2.45</w:t>
            </w:r>
            <w:r w:rsidRPr="009D4909">
              <w:rPr>
                <w:szCs w:val="24"/>
                <w:lang w:val="es-AR"/>
              </w:rPr>
              <w:sym w:font="Symbol" w:char="F0B1"/>
            </w:r>
            <w:r w:rsidRPr="009D4909">
              <w:rPr>
                <w:szCs w:val="24"/>
              </w:rPr>
              <w:t>0.07</w:t>
            </w:r>
          </w:p>
        </w:tc>
      </w:tr>
    </w:tbl>
    <w:p w:rsidR="004B2C40" w:rsidRDefault="002D67AA">
      <w:r w:rsidRPr="009D4909">
        <w:rPr>
          <w:b/>
          <w:szCs w:val="24"/>
        </w:rPr>
        <w:t>Table 2</w:t>
      </w:r>
      <w:r w:rsidRPr="009D4909">
        <w:rPr>
          <w:szCs w:val="24"/>
        </w:rPr>
        <w:t xml:space="preserve">. </w:t>
      </w:r>
      <w:r w:rsidRPr="009F675D">
        <w:rPr>
          <w:szCs w:val="24"/>
        </w:rPr>
        <w:t xml:space="preserve">Virus neutralizing antibody titers </w:t>
      </w:r>
      <w:r w:rsidRPr="009D4909">
        <w:rPr>
          <w:szCs w:val="24"/>
        </w:rPr>
        <w:t xml:space="preserve">at 15, 30 and 45 days after inoculating cattle with </w:t>
      </w:r>
      <w:r>
        <w:rPr>
          <w:szCs w:val="24"/>
        </w:rPr>
        <w:t>experimental</w:t>
      </w:r>
      <w:r w:rsidRPr="009D4909">
        <w:rPr>
          <w:szCs w:val="24"/>
        </w:rPr>
        <w:t xml:space="preserve"> vaccines. Titers are expressed as log10 of the reciprocal of the serum dilution which neutralizes 50% of 100 TCID50 infective FMDV, using the fixed virus – variable serum method.  * Significant differences against </w:t>
      </w:r>
      <w:r>
        <w:rPr>
          <w:szCs w:val="24"/>
        </w:rPr>
        <w:t xml:space="preserve">the </w:t>
      </w:r>
      <w:r w:rsidRPr="009D4909">
        <w:rPr>
          <w:szCs w:val="24"/>
        </w:rPr>
        <w:t>VLPs group. *** (p&lt; 0.01).</w:t>
      </w:r>
    </w:p>
    <w:sectPr w:rsidR="004B2C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75">
    <w:altName w:val="MS Gothic"/>
    <w:charset w:val="8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AA"/>
    <w:rsid w:val="002D67AA"/>
    <w:rsid w:val="004006C5"/>
    <w:rsid w:val="004B2C40"/>
    <w:rsid w:val="00B1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174BB-3E1E-4AC1-98A1-A1F98B82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7AA"/>
    <w:pPr>
      <w:spacing w:before="120" w:after="240" w:line="240" w:lineRule="auto"/>
    </w:pPr>
    <w:rPr>
      <w:rFonts w:ascii="Times New Roman" w:eastAsia="Calibri" w:hAnsi="Times New Roman" w:cs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ion1">
    <w:name w:val="Caption1"/>
    <w:basedOn w:val="Normal"/>
    <w:rsid w:val="002D67AA"/>
    <w:pPr>
      <w:suppressAutoHyphens/>
      <w:spacing w:before="0" w:after="200" w:line="100" w:lineRule="atLeast"/>
    </w:pPr>
    <w:rPr>
      <w:rFonts w:ascii="Calibri" w:eastAsia="SimSun" w:hAnsi="Calibri" w:cs="font275"/>
      <w:bCs/>
      <w:sz w:val="18"/>
      <w:szCs w:val="18"/>
      <w:lang w:val="es-A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esteban bidart</dc:creator>
  <cp:keywords/>
  <dc:description/>
  <cp:lastModifiedBy>juan esteban bidart</cp:lastModifiedBy>
  <cp:revision>2</cp:revision>
  <dcterms:created xsi:type="dcterms:W3CDTF">2020-07-13T18:31:00Z</dcterms:created>
  <dcterms:modified xsi:type="dcterms:W3CDTF">2020-07-13T18:31:00Z</dcterms:modified>
</cp:coreProperties>
</file>