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FF0" w:rsidRPr="00543A0C" w:rsidRDefault="00137FF0" w:rsidP="00137FF0">
      <w:pPr>
        <w:pStyle w:val="Standard"/>
        <w:keepNext/>
        <w:spacing w:after="120" w:line="480" w:lineRule="auto"/>
        <w:rPr>
          <w:rFonts w:cs="Arial"/>
          <w:lang w:val="en-GB"/>
        </w:rPr>
      </w:pPr>
      <w:r w:rsidRPr="00543A0C">
        <w:rPr>
          <w:rFonts w:cs="Arial"/>
          <w:lang w:val="en-GB"/>
        </w:rPr>
        <w:t>Table 1: Maternal characteristics at randomisation</w:t>
      </w:r>
    </w:p>
    <w:tbl>
      <w:tblPr>
        <w:tblStyle w:val="Grille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1843"/>
        <w:gridCol w:w="1842"/>
      </w:tblGrid>
      <w:tr w:rsidR="00137FF0" w:rsidRPr="00543A0C" w:rsidTr="00EF2DA0">
        <w:tc>
          <w:tcPr>
            <w:tcW w:w="6062" w:type="dxa"/>
            <w:tcBorders>
              <w:top w:val="single" w:sz="4" w:space="0" w:color="auto"/>
            </w:tcBorders>
          </w:tcPr>
          <w:p w:rsidR="00137FF0" w:rsidRPr="00543A0C" w:rsidRDefault="00137FF0" w:rsidP="00EF2DA0">
            <w:pPr>
              <w:spacing w:line="480" w:lineRule="auto"/>
              <w:rPr>
                <w:rFonts w:cs="Arial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37FF0" w:rsidRPr="00543A0C" w:rsidRDefault="00137FF0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Exercise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37FF0" w:rsidRPr="00543A0C" w:rsidRDefault="00137FF0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Control</w:t>
            </w:r>
          </w:p>
        </w:tc>
      </w:tr>
      <w:tr w:rsidR="00137FF0" w:rsidRPr="00543A0C" w:rsidTr="00EF2DA0">
        <w:tc>
          <w:tcPr>
            <w:tcW w:w="6062" w:type="dxa"/>
            <w:tcBorders>
              <w:bottom w:val="single" w:sz="4" w:space="0" w:color="auto"/>
            </w:tcBorders>
          </w:tcPr>
          <w:p w:rsidR="00137FF0" w:rsidRPr="00543A0C" w:rsidRDefault="00137FF0" w:rsidP="00EF2DA0">
            <w:pPr>
              <w:spacing w:line="480" w:lineRule="auto"/>
              <w:rPr>
                <w:rFonts w:cs="Arial"/>
                <w:lang w:val="en-GB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37FF0" w:rsidRPr="00543A0C" w:rsidRDefault="00137FF0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proofErr w:type="gramStart"/>
            <w:r w:rsidRPr="00543A0C">
              <w:rPr>
                <w:rFonts w:cs="Arial"/>
                <w:lang w:val="en-GB"/>
              </w:rPr>
              <w:t>n</w:t>
            </w:r>
            <w:proofErr w:type="gramEnd"/>
            <w:r w:rsidRPr="00543A0C">
              <w:rPr>
                <w:rFonts w:cs="Arial"/>
                <w:lang w:val="en-GB"/>
              </w:rPr>
              <w:t>=55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137FF0" w:rsidRPr="00543A0C" w:rsidRDefault="00137FF0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proofErr w:type="gramStart"/>
            <w:r w:rsidRPr="00543A0C">
              <w:rPr>
                <w:rFonts w:cs="Arial"/>
                <w:lang w:val="en-GB"/>
              </w:rPr>
              <w:t>n</w:t>
            </w:r>
            <w:proofErr w:type="gramEnd"/>
            <w:r w:rsidRPr="00543A0C">
              <w:rPr>
                <w:rFonts w:cs="Arial"/>
                <w:lang w:val="en-GB"/>
              </w:rPr>
              <w:t>=52</w:t>
            </w:r>
          </w:p>
        </w:tc>
      </w:tr>
      <w:tr w:rsidR="00137FF0" w:rsidRPr="00543A0C" w:rsidTr="00EF2DA0">
        <w:tc>
          <w:tcPr>
            <w:tcW w:w="6062" w:type="dxa"/>
            <w:tcBorders>
              <w:top w:val="single" w:sz="4" w:space="0" w:color="auto"/>
            </w:tcBorders>
          </w:tcPr>
          <w:p w:rsidR="00137FF0" w:rsidRPr="00543A0C" w:rsidRDefault="00137FF0" w:rsidP="00EF2DA0">
            <w:pPr>
              <w:spacing w:line="480" w:lineRule="auto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Maternal age (years): mean (SD)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37FF0" w:rsidRPr="00543A0C" w:rsidRDefault="00137FF0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33.0 (5.3)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37FF0" w:rsidRPr="00543A0C" w:rsidRDefault="00137FF0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33.8 (6.5)</w:t>
            </w:r>
          </w:p>
        </w:tc>
      </w:tr>
      <w:tr w:rsidR="00137FF0" w:rsidRPr="00543A0C" w:rsidTr="00EF2DA0">
        <w:tc>
          <w:tcPr>
            <w:tcW w:w="6062" w:type="dxa"/>
          </w:tcPr>
          <w:p w:rsidR="00137FF0" w:rsidRPr="00543A0C" w:rsidRDefault="00137FF0" w:rsidP="00EF2DA0">
            <w:pPr>
              <w:spacing w:line="480" w:lineRule="auto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Nulliparous women: n (%)</w:t>
            </w:r>
          </w:p>
        </w:tc>
        <w:tc>
          <w:tcPr>
            <w:tcW w:w="1843" w:type="dxa"/>
          </w:tcPr>
          <w:p w:rsidR="00137FF0" w:rsidRPr="00543A0C" w:rsidRDefault="00137FF0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28 (50.9%)</w:t>
            </w:r>
          </w:p>
        </w:tc>
        <w:tc>
          <w:tcPr>
            <w:tcW w:w="1842" w:type="dxa"/>
          </w:tcPr>
          <w:p w:rsidR="00137FF0" w:rsidRPr="00543A0C" w:rsidRDefault="00137FF0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35 (67.3%)</w:t>
            </w:r>
          </w:p>
        </w:tc>
      </w:tr>
      <w:tr w:rsidR="00137FF0" w:rsidRPr="00543A0C" w:rsidTr="00EF2DA0">
        <w:tc>
          <w:tcPr>
            <w:tcW w:w="6062" w:type="dxa"/>
          </w:tcPr>
          <w:p w:rsidR="00137FF0" w:rsidRPr="00543A0C" w:rsidRDefault="00137FF0" w:rsidP="00EF2DA0">
            <w:pPr>
              <w:spacing w:line="480" w:lineRule="auto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Smoker: n (%)</w:t>
            </w:r>
          </w:p>
        </w:tc>
        <w:tc>
          <w:tcPr>
            <w:tcW w:w="1843" w:type="dxa"/>
          </w:tcPr>
          <w:p w:rsidR="00137FF0" w:rsidRPr="00543A0C" w:rsidRDefault="00137FF0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8/53 (15.1%)</w:t>
            </w:r>
          </w:p>
        </w:tc>
        <w:tc>
          <w:tcPr>
            <w:tcW w:w="1842" w:type="dxa"/>
          </w:tcPr>
          <w:p w:rsidR="00137FF0" w:rsidRPr="00543A0C" w:rsidRDefault="00137FF0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7/49 (14.3%)</w:t>
            </w:r>
          </w:p>
        </w:tc>
      </w:tr>
      <w:tr w:rsidR="00137FF0" w:rsidRPr="00543A0C" w:rsidTr="00EF2DA0">
        <w:tc>
          <w:tcPr>
            <w:tcW w:w="6062" w:type="dxa"/>
          </w:tcPr>
          <w:p w:rsidR="00137FF0" w:rsidRPr="00543A0C" w:rsidRDefault="00137FF0" w:rsidP="00EF2DA0">
            <w:pPr>
              <w:spacing w:line="480" w:lineRule="auto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Ethnic group: n (%)</w:t>
            </w:r>
          </w:p>
        </w:tc>
        <w:tc>
          <w:tcPr>
            <w:tcW w:w="1843" w:type="dxa"/>
          </w:tcPr>
          <w:p w:rsidR="00137FF0" w:rsidRPr="00543A0C" w:rsidRDefault="00137FF0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842" w:type="dxa"/>
          </w:tcPr>
          <w:p w:rsidR="00137FF0" w:rsidRPr="00543A0C" w:rsidRDefault="00137FF0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</w:p>
        </w:tc>
      </w:tr>
      <w:tr w:rsidR="00137FF0" w:rsidRPr="00543A0C" w:rsidTr="00EF2DA0">
        <w:tc>
          <w:tcPr>
            <w:tcW w:w="6062" w:type="dxa"/>
          </w:tcPr>
          <w:p w:rsidR="00137FF0" w:rsidRPr="00543A0C" w:rsidRDefault="00137FF0" w:rsidP="00EF2DA0">
            <w:pPr>
              <w:spacing w:line="480" w:lineRule="auto"/>
              <w:ind w:left="708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Caucasian</w:t>
            </w:r>
          </w:p>
        </w:tc>
        <w:tc>
          <w:tcPr>
            <w:tcW w:w="1843" w:type="dxa"/>
          </w:tcPr>
          <w:p w:rsidR="00137FF0" w:rsidRPr="00543A0C" w:rsidRDefault="00137FF0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43 (78.2%)</w:t>
            </w:r>
          </w:p>
        </w:tc>
        <w:tc>
          <w:tcPr>
            <w:tcW w:w="1842" w:type="dxa"/>
          </w:tcPr>
          <w:p w:rsidR="00137FF0" w:rsidRPr="00543A0C" w:rsidRDefault="00137FF0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36 (69.2%)</w:t>
            </w:r>
          </w:p>
        </w:tc>
      </w:tr>
      <w:tr w:rsidR="00137FF0" w:rsidRPr="00543A0C" w:rsidTr="00EF2DA0">
        <w:tc>
          <w:tcPr>
            <w:tcW w:w="6062" w:type="dxa"/>
          </w:tcPr>
          <w:p w:rsidR="00137FF0" w:rsidRPr="00543A0C" w:rsidRDefault="00137FF0" w:rsidP="00EF2DA0">
            <w:pPr>
              <w:spacing w:line="480" w:lineRule="auto"/>
              <w:ind w:left="708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Black</w:t>
            </w:r>
          </w:p>
        </w:tc>
        <w:tc>
          <w:tcPr>
            <w:tcW w:w="1843" w:type="dxa"/>
          </w:tcPr>
          <w:p w:rsidR="00137FF0" w:rsidRPr="00543A0C" w:rsidRDefault="00137FF0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11 (20.0%)</w:t>
            </w:r>
          </w:p>
        </w:tc>
        <w:tc>
          <w:tcPr>
            <w:tcW w:w="1842" w:type="dxa"/>
          </w:tcPr>
          <w:p w:rsidR="00137FF0" w:rsidRPr="00543A0C" w:rsidRDefault="00137FF0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10 (19.2%)</w:t>
            </w:r>
          </w:p>
        </w:tc>
      </w:tr>
      <w:tr w:rsidR="00137FF0" w:rsidRPr="00543A0C" w:rsidTr="00EF2DA0">
        <w:tc>
          <w:tcPr>
            <w:tcW w:w="6062" w:type="dxa"/>
          </w:tcPr>
          <w:p w:rsidR="00137FF0" w:rsidRPr="00543A0C" w:rsidRDefault="00137FF0" w:rsidP="00EF2DA0">
            <w:pPr>
              <w:spacing w:line="480" w:lineRule="auto"/>
              <w:ind w:left="708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Other</w:t>
            </w:r>
          </w:p>
        </w:tc>
        <w:tc>
          <w:tcPr>
            <w:tcW w:w="1843" w:type="dxa"/>
          </w:tcPr>
          <w:p w:rsidR="00137FF0" w:rsidRPr="00543A0C" w:rsidRDefault="00137FF0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1 (1.8%)</w:t>
            </w:r>
          </w:p>
        </w:tc>
        <w:tc>
          <w:tcPr>
            <w:tcW w:w="1842" w:type="dxa"/>
          </w:tcPr>
          <w:p w:rsidR="00137FF0" w:rsidRPr="00543A0C" w:rsidRDefault="00137FF0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6 (11.5%)</w:t>
            </w:r>
          </w:p>
        </w:tc>
      </w:tr>
      <w:tr w:rsidR="00137FF0" w:rsidRPr="00543A0C" w:rsidTr="00EF2DA0">
        <w:tc>
          <w:tcPr>
            <w:tcW w:w="6062" w:type="dxa"/>
          </w:tcPr>
          <w:p w:rsidR="00137FF0" w:rsidRPr="00543A0C" w:rsidRDefault="00137FF0" w:rsidP="00EF2DA0">
            <w:pPr>
              <w:spacing w:line="480" w:lineRule="auto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Weight before pregnancy (kg): mean (SD)</w:t>
            </w:r>
          </w:p>
        </w:tc>
        <w:tc>
          <w:tcPr>
            <w:tcW w:w="1843" w:type="dxa"/>
          </w:tcPr>
          <w:p w:rsidR="00137FF0" w:rsidRPr="00543A0C" w:rsidRDefault="00137FF0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68.9 (18.3)</w:t>
            </w:r>
          </w:p>
        </w:tc>
        <w:tc>
          <w:tcPr>
            <w:tcW w:w="1842" w:type="dxa"/>
          </w:tcPr>
          <w:p w:rsidR="00137FF0" w:rsidRPr="00543A0C" w:rsidRDefault="00137FF0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65.8 (12.6)</w:t>
            </w:r>
          </w:p>
        </w:tc>
      </w:tr>
      <w:tr w:rsidR="00137FF0" w:rsidRPr="00543A0C" w:rsidTr="00EF2DA0">
        <w:tc>
          <w:tcPr>
            <w:tcW w:w="6062" w:type="dxa"/>
          </w:tcPr>
          <w:p w:rsidR="00137FF0" w:rsidRPr="00543A0C" w:rsidRDefault="00137FF0" w:rsidP="00EF2DA0">
            <w:pPr>
              <w:spacing w:line="480" w:lineRule="auto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Weight at randomisation (kg): mean (SD)</w:t>
            </w:r>
          </w:p>
        </w:tc>
        <w:tc>
          <w:tcPr>
            <w:tcW w:w="1843" w:type="dxa"/>
          </w:tcPr>
          <w:p w:rsidR="00137FF0" w:rsidRPr="00543A0C" w:rsidRDefault="00137FF0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79.7 (16.4)</w:t>
            </w:r>
          </w:p>
        </w:tc>
        <w:tc>
          <w:tcPr>
            <w:tcW w:w="1842" w:type="dxa"/>
          </w:tcPr>
          <w:p w:rsidR="00137FF0" w:rsidRPr="00543A0C" w:rsidRDefault="00137FF0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75.6 (11.7)</w:t>
            </w:r>
          </w:p>
        </w:tc>
      </w:tr>
      <w:tr w:rsidR="00137FF0" w:rsidRPr="00543A0C" w:rsidTr="00EF2DA0">
        <w:tc>
          <w:tcPr>
            <w:tcW w:w="6062" w:type="dxa"/>
          </w:tcPr>
          <w:p w:rsidR="00137FF0" w:rsidRPr="00543A0C" w:rsidRDefault="00137FF0" w:rsidP="00EF2DA0">
            <w:pPr>
              <w:spacing w:line="480" w:lineRule="auto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Weight gain at randomisation (kg): mean (SD)</w:t>
            </w:r>
          </w:p>
        </w:tc>
        <w:tc>
          <w:tcPr>
            <w:tcW w:w="1843" w:type="dxa"/>
          </w:tcPr>
          <w:p w:rsidR="00137FF0" w:rsidRPr="00543A0C" w:rsidRDefault="00137FF0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10.8 (5.3)</w:t>
            </w:r>
          </w:p>
        </w:tc>
        <w:tc>
          <w:tcPr>
            <w:tcW w:w="1842" w:type="dxa"/>
          </w:tcPr>
          <w:p w:rsidR="00137FF0" w:rsidRPr="00543A0C" w:rsidRDefault="00137FF0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9.8 (4.2)</w:t>
            </w:r>
          </w:p>
        </w:tc>
      </w:tr>
      <w:tr w:rsidR="00137FF0" w:rsidRPr="00543A0C" w:rsidTr="00EF2DA0">
        <w:tc>
          <w:tcPr>
            <w:tcW w:w="6062" w:type="dxa"/>
          </w:tcPr>
          <w:p w:rsidR="00137FF0" w:rsidRPr="00543A0C" w:rsidRDefault="00137FF0" w:rsidP="00EF2DA0">
            <w:pPr>
              <w:spacing w:line="480" w:lineRule="auto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Height (cm): mean (SD)</w:t>
            </w:r>
          </w:p>
        </w:tc>
        <w:tc>
          <w:tcPr>
            <w:tcW w:w="1843" w:type="dxa"/>
          </w:tcPr>
          <w:p w:rsidR="00137FF0" w:rsidRPr="00543A0C" w:rsidRDefault="00137FF0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162.3 (5.8)</w:t>
            </w:r>
          </w:p>
        </w:tc>
        <w:tc>
          <w:tcPr>
            <w:tcW w:w="1842" w:type="dxa"/>
          </w:tcPr>
          <w:p w:rsidR="00137FF0" w:rsidRPr="00543A0C" w:rsidRDefault="00137FF0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161.8 (7.0)</w:t>
            </w:r>
          </w:p>
        </w:tc>
      </w:tr>
      <w:tr w:rsidR="00137FF0" w:rsidRPr="00543A0C" w:rsidTr="00EF2DA0">
        <w:tc>
          <w:tcPr>
            <w:tcW w:w="6062" w:type="dxa"/>
          </w:tcPr>
          <w:p w:rsidR="00137FF0" w:rsidRPr="00543A0C" w:rsidRDefault="00137FF0" w:rsidP="00EF2DA0">
            <w:pPr>
              <w:spacing w:line="480" w:lineRule="auto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BMI (kg/m</w:t>
            </w:r>
            <w:r w:rsidRPr="00543A0C">
              <w:rPr>
                <w:rFonts w:cs="Arial"/>
                <w:vertAlign w:val="superscript"/>
                <w:lang w:val="en-GB"/>
              </w:rPr>
              <w:t>2</w:t>
            </w:r>
            <w:r w:rsidRPr="00543A0C">
              <w:rPr>
                <w:rFonts w:cs="Arial"/>
                <w:lang w:val="en-GB"/>
              </w:rPr>
              <w:t>): mean (SD)</w:t>
            </w:r>
          </w:p>
        </w:tc>
        <w:tc>
          <w:tcPr>
            <w:tcW w:w="1843" w:type="dxa"/>
          </w:tcPr>
          <w:p w:rsidR="00137FF0" w:rsidRPr="00543A0C" w:rsidRDefault="00137FF0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26.1 (6.5)</w:t>
            </w:r>
          </w:p>
        </w:tc>
        <w:tc>
          <w:tcPr>
            <w:tcW w:w="1842" w:type="dxa"/>
          </w:tcPr>
          <w:p w:rsidR="00137FF0" w:rsidRPr="00543A0C" w:rsidRDefault="00137FF0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25.1 (4.4)</w:t>
            </w:r>
          </w:p>
        </w:tc>
      </w:tr>
      <w:tr w:rsidR="00137FF0" w:rsidRPr="00543A0C" w:rsidTr="00EF2DA0">
        <w:tc>
          <w:tcPr>
            <w:tcW w:w="6062" w:type="dxa"/>
          </w:tcPr>
          <w:p w:rsidR="00137FF0" w:rsidRPr="00543A0C" w:rsidRDefault="00137FF0" w:rsidP="00EF2DA0">
            <w:pPr>
              <w:spacing w:line="480" w:lineRule="auto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BMI categories: n (%)</w:t>
            </w:r>
          </w:p>
        </w:tc>
        <w:tc>
          <w:tcPr>
            <w:tcW w:w="1843" w:type="dxa"/>
          </w:tcPr>
          <w:p w:rsidR="00137FF0" w:rsidRPr="00543A0C" w:rsidRDefault="00137FF0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842" w:type="dxa"/>
          </w:tcPr>
          <w:p w:rsidR="00137FF0" w:rsidRPr="00543A0C" w:rsidRDefault="00137FF0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</w:p>
        </w:tc>
      </w:tr>
      <w:tr w:rsidR="00137FF0" w:rsidRPr="00543A0C" w:rsidTr="00EF2DA0">
        <w:tc>
          <w:tcPr>
            <w:tcW w:w="6062" w:type="dxa"/>
          </w:tcPr>
          <w:p w:rsidR="00137FF0" w:rsidRPr="00543A0C" w:rsidRDefault="00137FF0" w:rsidP="00EF2DA0">
            <w:pPr>
              <w:spacing w:line="480" w:lineRule="auto"/>
              <w:ind w:left="708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Normal (&lt;25 kg/m</w:t>
            </w:r>
            <w:r w:rsidRPr="00543A0C">
              <w:rPr>
                <w:rFonts w:cs="Arial"/>
                <w:vertAlign w:val="superscript"/>
                <w:lang w:val="en-GB"/>
              </w:rPr>
              <w:t>2</w:t>
            </w:r>
            <w:r w:rsidRPr="00543A0C">
              <w:rPr>
                <w:rFonts w:cs="Arial"/>
                <w:lang w:val="en-GB"/>
              </w:rPr>
              <w:t>)</w:t>
            </w:r>
          </w:p>
        </w:tc>
        <w:tc>
          <w:tcPr>
            <w:tcW w:w="1843" w:type="dxa"/>
          </w:tcPr>
          <w:p w:rsidR="00137FF0" w:rsidRPr="00543A0C" w:rsidRDefault="00137FF0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32 (58.2%)</w:t>
            </w:r>
          </w:p>
        </w:tc>
        <w:tc>
          <w:tcPr>
            <w:tcW w:w="1842" w:type="dxa"/>
          </w:tcPr>
          <w:p w:rsidR="00137FF0" w:rsidRPr="00543A0C" w:rsidRDefault="00137FF0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27 (51.9%)</w:t>
            </w:r>
          </w:p>
        </w:tc>
      </w:tr>
      <w:tr w:rsidR="00137FF0" w:rsidRPr="00543A0C" w:rsidTr="00EF2DA0">
        <w:tc>
          <w:tcPr>
            <w:tcW w:w="6062" w:type="dxa"/>
          </w:tcPr>
          <w:p w:rsidR="00137FF0" w:rsidRPr="00543A0C" w:rsidRDefault="00137FF0" w:rsidP="00EF2DA0">
            <w:pPr>
              <w:spacing w:line="480" w:lineRule="auto"/>
              <w:ind w:left="708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Overweight (25 to &lt;30 kg/m</w:t>
            </w:r>
            <w:r w:rsidRPr="00543A0C">
              <w:rPr>
                <w:rFonts w:cs="Arial"/>
                <w:vertAlign w:val="superscript"/>
                <w:lang w:val="en-GB"/>
              </w:rPr>
              <w:t>2</w:t>
            </w:r>
            <w:r w:rsidRPr="00543A0C">
              <w:rPr>
                <w:rFonts w:cs="Arial"/>
                <w:lang w:val="en-GB"/>
              </w:rPr>
              <w:t>)</w:t>
            </w:r>
          </w:p>
        </w:tc>
        <w:tc>
          <w:tcPr>
            <w:tcW w:w="1843" w:type="dxa"/>
          </w:tcPr>
          <w:p w:rsidR="00137FF0" w:rsidRPr="00543A0C" w:rsidRDefault="00137FF0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10 (18.2%)</w:t>
            </w:r>
          </w:p>
        </w:tc>
        <w:tc>
          <w:tcPr>
            <w:tcW w:w="1842" w:type="dxa"/>
          </w:tcPr>
          <w:p w:rsidR="00137FF0" w:rsidRPr="00543A0C" w:rsidRDefault="00137FF0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20 (38.5%)</w:t>
            </w:r>
          </w:p>
        </w:tc>
      </w:tr>
      <w:tr w:rsidR="00137FF0" w:rsidRPr="00543A0C" w:rsidTr="00EF2DA0">
        <w:tc>
          <w:tcPr>
            <w:tcW w:w="6062" w:type="dxa"/>
          </w:tcPr>
          <w:p w:rsidR="00137FF0" w:rsidRPr="00543A0C" w:rsidRDefault="00137FF0" w:rsidP="00EF2DA0">
            <w:pPr>
              <w:spacing w:line="480" w:lineRule="auto"/>
              <w:ind w:left="708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Obese (30 to &lt;35 kg/m</w:t>
            </w:r>
            <w:r w:rsidRPr="00543A0C">
              <w:rPr>
                <w:rFonts w:cs="Arial"/>
                <w:vertAlign w:val="superscript"/>
                <w:lang w:val="en-GB"/>
              </w:rPr>
              <w:t>2</w:t>
            </w:r>
            <w:r w:rsidRPr="00543A0C">
              <w:rPr>
                <w:rFonts w:cs="Arial"/>
                <w:lang w:val="en-GB"/>
              </w:rPr>
              <w:t>)</w:t>
            </w:r>
          </w:p>
        </w:tc>
        <w:tc>
          <w:tcPr>
            <w:tcW w:w="1843" w:type="dxa"/>
          </w:tcPr>
          <w:p w:rsidR="00137FF0" w:rsidRPr="00543A0C" w:rsidRDefault="00137FF0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8 (14.6%)</w:t>
            </w:r>
          </w:p>
        </w:tc>
        <w:tc>
          <w:tcPr>
            <w:tcW w:w="1842" w:type="dxa"/>
          </w:tcPr>
          <w:p w:rsidR="00137FF0" w:rsidRPr="00543A0C" w:rsidRDefault="00137FF0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4 (7.7%)</w:t>
            </w:r>
          </w:p>
        </w:tc>
      </w:tr>
      <w:tr w:rsidR="00137FF0" w:rsidRPr="00543A0C" w:rsidTr="00EF2DA0">
        <w:tc>
          <w:tcPr>
            <w:tcW w:w="6062" w:type="dxa"/>
          </w:tcPr>
          <w:p w:rsidR="00137FF0" w:rsidRPr="00543A0C" w:rsidRDefault="00137FF0" w:rsidP="00EF2DA0">
            <w:pPr>
              <w:spacing w:line="480" w:lineRule="auto"/>
              <w:ind w:left="708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Morbidly obese  (35 or more kg/m</w:t>
            </w:r>
            <w:r w:rsidRPr="00543A0C">
              <w:rPr>
                <w:rFonts w:cs="Arial"/>
                <w:vertAlign w:val="superscript"/>
                <w:lang w:val="en-GB"/>
              </w:rPr>
              <w:t>2</w:t>
            </w:r>
            <w:r w:rsidRPr="00543A0C">
              <w:rPr>
                <w:rFonts w:cs="Arial"/>
                <w:lang w:val="en-GB"/>
              </w:rPr>
              <w:t>)</w:t>
            </w:r>
          </w:p>
        </w:tc>
        <w:tc>
          <w:tcPr>
            <w:tcW w:w="1843" w:type="dxa"/>
          </w:tcPr>
          <w:p w:rsidR="00137FF0" w:rsidRPr="00543A0C" w:rsidRDefault="00137FF0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5 (9.1%)</w:t>
            </w:r>
          </w:p>
        </w:tc>
        <w:tc>
          <w:tcPr>
            <w:tcW w:w="1842" w:type="dxa"/>
          </w:tcPr>
          <w:p w:rsidR="00137FF0" w:rsidRPr="00543A0C" w:rsidRDefault="00137FF0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1 (1.9%)</w:t>
            </w:r>
          </w:p>
        </w:tc>
      </w:tr>
      <w:tr w:rsidR="00137FF0" w:rsidRPr="00543A0C" w:rsidTr="00EF2DA0">
        <w:tc>
          <w:tcPr>
            <w:tcW w:w="6062" w:type="dxa"/>
          </w:tcPr>
          <w:p w:rsidR="00137FF0" w:rsidRPr="00543A0C" w:rsidRDefault="00137FF0" w:rsidP="00EF2DA0">
            <w:pPr>
              <w:spacing w:line="480" w:lineRule="auto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Gestational age at randomisation (weeks): mean (SD)</w:t>
            </w:r>
          </w:p>
        </w:tc>
        <w:tc>
          <w:tcPr>
            <w:tcW w:w="1843" w:type="dxa"/>
          </w:tcPr>
          <w:p w:rsidR="00137FF0" w:rsidRPr="00543A0C" w:rsidRDefault="00137FF0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29.7 (2.1)</w:t>
            </w:r>
          </w:p>
        </w:tc>
        <w:tc>
          <w:tcPr>
            <w:tcW w:w="1842" w:type="dxa"/>
          </w:tcPr>
          <w:p w:rsidR="00137FF0" w:rsidRPr="00543A0C" w:rsidRDefault="00137FF0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29.8 (2.4)</w:t>
            </w:r>
          </w:p>
        </w:tc>
      </w:tr>
      <w:tr w:rsidR="00137FF0" w:rsidRPr="00543A0C" w:rsidTr="00EF2DA0">
        <w:tc>
          <w:tcPr>
            <w:tcW w:w="6062" w:type="dxa"/>
          </w:tcPr>
          <w:p w:rsidR="00137FF0" w:rsidRPr="00543A0C" w:rsidRDefault="00137FF0" w:rsidP="00EF2DA0">
            <w:pPr>
              <w:spacing w:line="480" w:lineRule="auto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Type of screening: n (%)</w:t>
            </w:r>
          </w:p>
        </w:tc>
        <w:tc>
          <w:tcPr>
            <w:tcW w:w="1843" w:type="dxa"/>
          </w:tcPr>
          <w:p w:rsidR="00137FF0" w:rsidRPr="00543A0C" w:rsidRDefault="00137FF0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842" w:type="dxa"/>
          </w:tcPr>
          <w:p w:rsidR="00137FF0" w:rsidRPr="00543A0C" w:rsidRDefault="00137FF0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</w:p>
        </w:tc>
      </w:tr>
      <w:tr w:rsidR="00137FF0" w:rsidRPr="00543A0C" w:rsidTr="00EF2DA0">
        <w:tc>
          <w:tcPr>
            <w:tcW w:w="6062" w:type="dxa"/>
          </w:tcPr>
          <w:p w:rsidR="00137FF0" w:rsidRPr="00543A0C" w:rsidRDefault="00137FF0" w:rsidP="00EF2DA0">
            <w:pPr>
              <w:spacing w:line="480" w:lineRule="auto"/>
              <w:ind w:left="708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O’Sullivan, followed by OGTT 100 gr</w:t>
            </w:r>
          </w:p>
        </w:tc>
        <w:tc>
          <w:tcPr>
            <w:tcW w:w="1843" w:type="dxa"/>
          </w:tcPr>
          <w:p w:rsidR="00137FF0" w:rsidRPr="00543A0C" w:rsidRDefault="00137FF0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26 (47.3%)</w:t>
            </w:r>
          </w:p>
        </w:tc>
        <w:tc>
          <w:tcPr>
            <w:tcW w:w="1842" w:type="dxa"/>
          </w:tcPr>
          <w:p w:rsidR="00137FF0" w:rsidRPr="00543A0C" w:rsidRDefault="00137FF0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23 (44.2%)</w:t>
            </w:r>
          </w:p>
        </w:tc>
      </w:tr>
      <w:tr w:rsidR="00137FF0" w:rsidRPr="00543A0C" w:rsidTr="00EF2DA0">
        <w:tc>
          <w:tcPr>
            <w:tcW w:w="6062" w:type="dxa"/>
          </w:tcPr>
          <w:p w:rsidR="00137FF0" w:rsidRPr="00543A0C" w:rsidRDefault="00137FF0" w:rsidP="00EF2DA0">
            <w:pPr>
              <w:spacing w:line="480" w:lineRule="auto"/>
              <w:ind w:left="708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OGTT 75 gr</w:t>
            </w:r>
          </w:p>
        </w:tc>
        <w:tc>
          <w:tcPr>
            <w:tcW w:w="1843" w:type="dxa"/>
          </w:tcPr>
          <w:p w:rsidR="00137FF0" w:rsidRPr="00543A0C" w:rsidRDefault="00137FF0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29 (52.7%)</w:t>
            </w:r>
          </w:p>
        </w:tc>
        <w:tc>
          <w:tcPr>
            <w:tcW w:w="1842" w:type="dxa"/>
          </w:tcPr>
          <w:p w:rsidR="00137FF0" w:rsidRPr="00543A0C" w:rsidRDefault="00137FF0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29 (55.8%)</w:t>
            </w:r>
          </w:p>
        </w:tc>
      </w:tr>
      <w:tr w:rsidR="00137FF0" w:rsidRPr="00543A0C" w:rsidTr="00EF2DA0">
        <w:tc>
          <w:tcPr>
            <w:tcW w:w="6062" w:type="dxa"/>
            <w:tcBorders>
              <w:top w:val="single" w:sz="4" w:space="0" w:color="auto"/>
            </w:tcBorders>
          </w:tcPr>
          <w:p w:rsidR="00137FF0" w:rsidRPr="00543A0C" w:rsidRDefault="00137FF0" w:rsidP="00EF2DA0">
            <w:pPr>
              <w:spacing w:line="480" w:lineRule="auto"/>
              <w:rPr>
                <w:rFonts w:cs="Arial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37FF0" w:rsidRPr="00543A0C" w:rsidRDefault="00137FF0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37FF0" w:rsidRPr="00543A0C" w:rsidRDefault="00137FF0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</w:p>
        </w:tc>
      </w:tr>
    </w:tbl>
    <w:p w:rsidR="00E16397" w:rsidRDefault="00E16397">
      <w:bookmarkStart w:id="0" w:name="_GoBack"/>
      <w:bookmarkEnd w:id="0"/>
    </w:p>
    <w:sectPr w:rsidR="00E16397" w:rsidSect="00066B7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FF0"/>
    <w:rsid w:val="00066B76"/>
    <w:rsid w:val="00137FF0"/>
    <w:rsid w:val="00E1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0AC3D9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FF0"/>
    <w:pPr>
      <w:widowControl w:val="0"/>
      <w:suppressAutoHyphens/>
      <w:autoSpaceDN w:val="0"/>
      <w:textAlignment w:val="baseline"/>
    </w:pPr>
    <w:rPr>
      <w:rFonts w:ascii="Arial" w:eastAsia="Arial" w:hAnsi="Arial" w:cs="Tahoma"/>
      <w:kern w:val="3"/>
      <w:lang w:val="fr-CH" w:eastAsia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link w:val="StandardCar"/>
    <w:rsid w:val="00137FF0"/>
    <w:pPr>
      <w:suppressAutoHyphens/>
      <w:autoSpaceDN w:val="0"/>
      <w:textAlignment w:val="baseline"/>
    </w:pPr>
    <w:rPr>
      <w:rFonts w:ascii="Arial" w:eastAsia="Arial" w:hAnsi="Arial" w:cs="Tahoma"/>
      <w:kern w:val="3"/>
      <w:lang w:val="fr-CH" w:eastAsia="fr-CH"/>
    </w:rPr>
  </w:style>
  <w:style w:type="table" w:styleId="Grille">
    <w:name w:val="Table Grid"/>
    <w:basedOn w:val="TableauNormal"/>
    <w:uiPriority w:val="59"/>
    <w:rsid w:val="00137F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andardCar">
    <w:name w:val="Standard Car"/>
    <w:basedOn w:val="Policepardfaut"/>
    <w:link w:val="Standard"/>
    <w:rsid w:val="00137FF0"/>
    <w:rPr>
      <w:rFonts w:ascii="Arial" w:eastAsia="Arial" w:hAnsi="Arial" w:cs="Tahoma"/>
      <w:kern w:val="3"/>
      <w:lang w:val="fr-CH" w:eastAsia="fr-CH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FF0"/>
    <w:pPr>
      <w:widowControl w:val="0"/>
      <w:suppressAutoHyphens/>
      <w:autoSpaceDN w:val="0"/>
      <w:textAlignment w:val="baseline"/>
    </w:pPr>
    <w:rPr>
      <w:rFonts w:ascii="Arial" w:eastAsia="Arial" w:hAnsi="Arial" w:cs="Tahoma"/>
      <w:kern w:val="3"/>
      <w:lang w:val="fr-CH" w:eastAsia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link w:val="StandardCar"/>
    <w:rsid w:val="00137FF0"/>
    <w:pPr>
      <w:suppressAutoHyphens/>
      <w:autoSpaceDN w:val="0"/>
      <w:textAlignment w:val="baseline"/>
    </w:pPr>
    <w:rPr>
      <w:rFonts w:ascii="Arial" w:eastAsia="Arial" w:hAnsi="Arial" w:cs="Tahoma"/>
      <w:kern w:val="3"/>
      <w:lang w:val="fr-CH" w:eastAsia="fr-CH"/>
    </w:rPr>
  </w:style>
  <w:style w:type="table" w:styleId="Grille">
    <w:name w:val="Table Grid"/>
    <w:basedOn w:val="TableauNormal"/>
    <w:uiPriority w:val="59"/>
    <w:rsid w:val="00137F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andardCar">
    <w:name w:val="Standard Car"/>
    <w:basedOn w:val="Policepardfaut"/>
    <w:link w:val="Standard"/>
    <w:rsid w:val="00137FF0"/>
    <w:rPr>
      <w:rFonts w:ascii="Arial" w:eastAsia="Arial" w:hAnsi="Arial" w:cs="Tahoma"/>
      <w:kern w:val="3"/>
      <w:lang w:val="fr-CH"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160</Words>
  <Characters>886</Characters>
  <Application>Microsoft Macintosh Word</Application>
  <DocSecurity>0</DocSecurity>
  <Lines>7</Lines>
  <Paragraphs>2</Paragraphs>
  <ScaleCrop>false</ScaleCrop>
  <Company>*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Michel Boulvain</dc:creator>
  <cp:keywords/>
  <dc:description/>
  <cp:lastModifiedBy>Michel Michel Boulvain</cp:lastModifiedBy>
  <cp:revision>1</cp:revision>
  <dcterms:created xsi:type="dcterms:W3CDTF">2022-06-28T09:16:00Z</dcterms:created>
  <dcterms:modified xsi:type="dcterms:W3CDTF">2022-06-28T09:17:00Z</dcterms:modified>
</cp:coreProperties>
</file>