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105" w:rsidRPr="00554F2D" w:rsidRDefault="000446C6" w:rsidP="000446C6">
      <w:pPr>
        <w:spacing w:line="480" w:lineRule="auto"/>
        <w:rPr>
          <w:rFonts w:ascii="Times New Roman" w:hAnsi="Times New Roman" w:cs="Times New Roman"/>
          <w:lang w:val="en-US"/>
        </w:rPr>
      </w:pPr>
      <w:r w:rsidRPr="00563B97">
        <w:rPr>
          <w:rFonts w:ascii="Times New Roman" w:hAnsi="Times New Roman" w:cs="Times New Roman"/>
          <w:b/>
          <w:lang w:val="en-US"/>
        </w:rPr>
        <w:t xml:space="preserve">Table </w:t>
      </w:r>
      <w:r w:rsidR="007A5916" w:rsidRPr="00563B97">
        <w:rPr>
          <w:rFonts w:ascii="Times New Roman" w:hAnsi="Times New Roman" w:cs="Times New Roman"/>
          <w:b/>
          <w:lang w:val="en-US"/>
        </w:rPr>
        <w:t>2</w:t>
      </w:r>
      <w:r w:rsidR="000C22DA" w:rsidRPr="00563B97">
        <w:rPr>
          <w:rFonts w:ascii="Times New Roman" w:hAnsi="Times New Roman" w:cs="Times New Roman"/>
          <w:lang w:val="en-US"/>
        </w:rPr>
        <w:t xml:space="preserve">: </w:t>
      </w:r>
      <w:r w:rsidR="00E077B0">
        <w:rPr>
          <w:rFonts w:ascii="Times New Roman" w:hAnsi="Times New Roman" w:cs="Times New Roman"/>
          <w:lang w:val="en-US"/>
        </w:rPr>
        <w:t>S</w:t>
      </w:r>
      <w:r w:rsidR="00E077B0" w:rsidRPr="00563B97">
        <w:rPr>
          <w:rFonts w:ascii="Times New Roman" w:hAnsi="Times New Roman" w:cs="Times New Roman"/>
          <w:lang w:val="en-US"/>
        </w:rPr>
        <w:t xml:space="preserve">ummary </w:t>
      </w:r>
      <w:r w:rsidR="00E077B0">
        <w:rPr>
          <w:rFonts w:ascii="Times New Roman" w:hAnsi="Times New Roman" w:cs="Times New Roman"/>
          <w:lang w:val="en-US"/>
        </w:rPr>
        <w:t>of p</w:t>
      </w:r>
      <w:r w:rsidR="007A5916" w:rsidRPr="00563B97">
        <w:rPr>
          <w:rFonts w:ascii="Times New Roman" w:hAnsi="Times New Roman" w:cs="Times New Roman"/>
          <w:lang w:val="en-US"/>
        </w:rPr>
        <w:t xml:space="preserve">hysical examination findings </w:t>
      </w:r>
      <w:r w:rsidR="007044A4">
        <w:rPr>
          <w:rFonts w:ascii="Times New Roman" w:hAnsi="Times New Roman" w:cs="Times New Roman"/>
          <w:lang w:val="en-US"/>
        </w:rPr>
        <w:t xml:space="preserve">on admission </w:t>
      </w:r>
      <w:r w:rsidR="004A6885" w:rsidRPr="00563B97">
        <w:rPr>
          <w:rFonts w:ascii="Times New Roman" w:hAnsi="Times New Roman" w:cs="Times New Roman"/>
          <w:lang w:val="en-US"/>
        </w:rPr>
        <w:t>of pha</w:t>
      </w:r>
      <w:r w:rsidR="00E077B0">
        <w:rPr>
          <w:rFonts w:ascii="Times New Roman" w:hAnsi="Times New Roman" w:cs="Times New Roman"/>
          <w:lang w:val="en-US"/>
        </w:rPr>
        <w:t>ryngeal mucosal space abscesses</w:t>
      </w:r>
      <w:r w:rsidR="00E077B0" w:rsidRPr="00E077B0">
        <w:rPr>
          <w:rFonts w:ascii="Times New Roman" w:hAnsi="Times New Roman" w:cs="Times New Roman"/>
          <w:lang w:val="en-US"/>
        </w:rPr>
        <w:t xml:space="preserve"> </w:t>
      </w:r>
      <w:r w:rsidR="00E077B0" w:rsidRPr="00563B97">
        <w:rPr>
          <w:rFonts w:ascii="Times New Roman" w:hAnsi="Times New Roman" w:cs="Times New Roman"/>
          <w:lang w:val="en-US"/>
        </w:rPr>
        <w:t>patients</w:t>
      </w:r>
      <w:r w:rsidR="00E077B0">
        <w:rPr>
          <w:rFonts w:ascii="Times New Roman" w:hAnsi="Times New Roman" w:cs="Times New Roman"/>
          <w:lang w:val="en-US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81"/>
        <w:gridCol w:w="1093"/>
        <w:gridCol w:w="1116"/>
      </w:tblGrid>
      <w:tr w:rsidR="00563B97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7A5916" w:rsidRPr="00E077B0" w:rsidRDefault="007A5916" w:rsidP="007A591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59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 = 106</w:t>
            </w:r>
          </w:p>
        </w:tc>
        <w:tc>
          <w:tcPr>
            <w:tcW w:w="673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%</w:t>
            </w:r>
          </w:p>
        </w:tc>
      </w:tr>
      <w:tr w:rsidR="00563B97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7A5916" w:rsidRPr="00E077B0" w:rsidRDefault="007A5916" w:rsidP="007A591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ORAL CAVITY</w:t>
            </w:r>
          </w:p>
        </w:tc>
        <w:tc>
          <w:tcPr>
            <w:tcW w:w="659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</w:tcPr>
          <w:p w:rsidR="00E077B0" w:rsidRPr="00E077B0" w:rsidRDefault="00E077B0" w:rsidP="00B73979">
            <w:pPr>
              <w:spacing w:line="480" w:lineRule="auto"/>
              <w:ind w:left="7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odontogenic source of infection</w:t>
            </w:r>
          </w:p>
        </w:tc>
        <w:tc>
          <w:tcPr>
            <w:tcW w:w="659" w:type="pct"/>
            <w:noWrap/>
          </w:tcPr>
          <w:p w:rsidR="00E077B0" w:rsidRPr="00E077B0" w:rsidRDefault="00E077B0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</w:t>
            </w:r>
          </w:p>
        </w:tc>
        <w:tc>
          <w:tcPr>
            <w:tcW w:w="673" w:type="pct"/>
            <w:noWrap/>
          </w:tcPr>
          <w:p w:rsidR="00E077B0" w:rsidRPr="00E077B0" w:rsidRDefault="00E077B0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0</w:t>
            </w:r>
          </w:p>
        </w:tc>
      </w:tr>
      <w:tr w:rsidR="00563B97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7A5916" w:rsidRPr="00E077B0" w:rsidRDefault="00FC281D" w:rsidP="001A31AD">
            <w:pPr>
              <w:spacing w:line="480" w:lineRule="auto"/>
              <w:ind w:left="7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</w:t>
            </w:r>
            <w:r w:rsidR="007A5916"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oor dentition</w:t>
            </w:r>
          </w:p>
        </w:tc>
        <w:tc>
          <w:tcPr>
            <w:tcW w:w="659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46</w:t>
            </w:r>
          </w:p>
        </w:tc>
        <w:tc>
          <w:tcPr>
            <w:tcW w:w="673" w:type="pct"/>
            <w:noWrap/>
            <w:hideMark/>
          </w:tcPr>
          <w:p w:rsidR="007A5916" w:rsidRPr="00E077B0" w:rsidRDefault="007A5916" w:rsidP="008D4280">
            <w:pPr>
              <w:spacing w:line="480" w:lineRule="auto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43,4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</w:tcPr>
          <w:p w:rsidR="00E077B0" w:rsidRPr="00E077B0" w:rsidRDefault="00E64D72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60</w:t>
            </w:r>
          </w:p>
        </w:tc>
        <w:tc>
          <w:tcPr>
            <w:tcW w:w="673" w:type="pct"/>
            <w:noWrap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56,60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OROPHARYNX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lateral pharyngeal wall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vallecula edema 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27,36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uvula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27,36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peritonsillar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26,42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unilaterally enlarged tonsil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17,92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soft palate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9,43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posterior pillar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5,66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tonsillar exudate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3,77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anterior pillar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2,83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HYPOPHARYNX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pyriform sinus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40,57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NASOPHARYNX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edema / adenoiditis 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2,83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103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97,17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LARYNX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54F2D" w:rsidRPr="00554F2D" w:rsidTr="008D4280">
        <w:trPr>
          <w:trHeight w:val="320"/>
        </w:trPr>
        <w:tc>
          <w:tcPr>
            <w:tcW w:w="3668" w:type="pct"/>
            <w:noWrap/>
          </w:tcPr>
          <w:p w:rsidR="00554F2D" w:rsidRPr="00554F2D" w:rsidRDefault="00554F2D" w:rsidP="00BA75FB">
            <w:pPr>
              <w:spacing w:line="480" w:lineRule="auto"/>
              <w:ind w:left="720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4F2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tenderness in palpation</w:t>
            </w:r>
          </w:p>
        </w:tc>
        <w:tc>
          <w:tcPr>
            <w:tcW w:w="659" w:type="pct"/>
            <w:noWrap/>
          </w:tcPr>
          <w:p w:rsidR="00554F2D" w:rsidRPr="00554F2D" w:rsidRDefault="00554F2D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54F2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106</w:t>
            </w:r>
          </w:p>
        </w:tc>
        <w:tc>
          <w:tcPr>
            <w:tcW w:w="673" w:type="pct"/>
            <w:noWrap/>
          </w:tcPr>
          <w:p w:rsidR="00554F2D" w:rsidRPr="00554F2D" w:rsidRDefault="00554F2D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54F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Supraglottic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arytenoid cartilage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19,81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aryepiglottic fold edema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8,49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edema of the laryngeal surface of epiglottis </w:t>
            </w:r>
            <w:r w:rsidR="007044A4" w:rsidRPr="0064463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(retention cyst*)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4,72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81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76,42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Glottic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true vocal cord edema</w:t>
            </w:r>
            <w:r w:rsidR="007044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044A4" w:rsidRPr="0064463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(</w:t>
            </w:r>
            <w:r w:rsidR="007044A4" w:rsidRPr="0064463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Reinke edema</w:t>
            </w:r>
            <w:r w:rsidR="007044A4" w:rsidRPr="0064463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*)</w:t>
            </w:r>
          </w:p>
        </w:tc>
        <w:tc>
          <w:tcPr>
            <w:tcW w:w="659" w:type="pct"/>
            <w:noWrap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73" w:type="pct"/>
            <w:noWrap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1,89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104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98,11</w:t>
            </w: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Subglottic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8D4280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  <w:tr w:rsidR="007B155A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NECK</w:t>
            </w:r>
          </w:p>
        </w:tc>
        <w:tc>
          <w:tcPr>
            <w:tcW w:w="659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B155A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cervical lymph nodes</w:t>
            </w:r>
          </w:p>
        </w:tc>
        <w:tc>
          <w:tcPr>
            <w:tcW w:w="659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673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24,53</w:t>
            </w:r>
          </w:p>
        </w:tc>
      </w:tr>
      <w:tr w:rsidR="007B155A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7B155A" w:rsidRPr="00E077B0" w:rsidRDefault="007B155A" w:rsidP="00B73979">
            <w:pPr>
              <w:pStyle w:val="a4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painless</w:t>
            </w:r>
          </w:p>
        </w:tc>
        <w:tc>
          <w:tcPr>
            <w:tcW w:w="659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13</w:t>
            </w:r>
          </w:p>
        </w:tc>
        <w:tc>
          <w:tcPr>
            <w:tcW w:w="673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12,26</w:t>
            </w:r>
          </w:p>
        </w:tc>
      </w:tr>
      <w:tr w:rsidR="007B155A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7B155A" w:rsidRPr="00E077B0" w:rsidRDefault="007B155A" w:rsidP="00B73979">
            <w:pPr>
              <w:pStyle w:val="a4"/>
              <w:numPr>
                <w:ilvl w:val="0"/>
                <w:numId w:val="1"/>
              </w:numPr>
              <w:spacing w:line="48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tenderness</w:t>
            </w:r>
          </w:p>
        </w:tc>
        <w:tc>
          <w:tcPr>
            <w:tcW w:w="659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13</w:t>
            </w:r>
          </w:p>
        </w:tc>
        <w:tc>
          <w:tcPr>
            <w:tcW w:w="673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12,26</w:t>
            </w:r>
          </w:p>
        </w:tc>
      </w:tr>
      <w:tr w:rsidR="007B155A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7B155A" w:rsidRPr="00E077B0" w:rsidRDefault="000D1787" w:rsidP="00B73979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80</w:t>
            </w:r>
          </w:p>
        </w:tc>
        <w:tc>
          <w:tcPr>
            <w:tcW w:w="673" w:type="pct"/>
            <w:noWrap/>
            <w:hideMark/>
          </w:tcPr>
          <w:p w:rsidR="007B155A" w:rsidRPr="00E077B0" w:rsidRDefault="007B155A" w:rsidP="00B73979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75,47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NASAL CAVITIES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clear secretions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13,21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purulent secretions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0,94</w:t>
            </w: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85,85</w:t>
            </w:r>
          </w:p>
        </w:tc>
      </w:tr>
      <w:tr w:rsidR="00E077B0" w:rsidRPr="007044A4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SALIVARY GLANDS / CRANIAL NERVES / EARS 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77B0" w:rsidRPr="00E077B0" w:rsidTr="00B73979">
        <w:trPr>
          <w:trHeight w:val="320"/>
        </w:trPr>
        <w:tc>
          <w:tcPr>
            <w:tcW w:w="3668" w:type="pct"/>
            <w:noWrap/>
            <w:hideMark/>
          </w:tcPr>
          <w:p w:rsidR="00E077B0" w:rsidRPr="00E077B0" w:rsidRDefault="000D1787" w:rsidP="00E077B0">
            <w:pPr>
              <w:spacing w:line="480" w:lineRule="auto"/>
              <w:ind w:left="7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7E60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Pr="00E64D7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clinically noticeable findings</w:t>
            </w:r>
          </w:p>
        </w:tc>
        <w:tc>
          <w:tcPr>
            <w:tcW w:w="659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106</w:t>
            </w:r>
          </w:p>
        </w:tc>
        <w:tc>
          <w:tcPr>
            <w:tcW w:w="673" w:type="pct"/>
            <w:noWrap/>
            <w:hideMark/>
          </w:tcPr>
          <w:p w:rsidR="00E077B0" w:rsidRPr="00E077B0" w:rsidRDefault="00E077B0" w:rsidP="00E077B0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77B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</w:tr>
    </w:tbl>
    <w:p w:rsidR="007A5916" w:rsidRPr="0064463E" w:rsidRDefault="007044A4" w:rsidP="000446C6">
      <w:pPr>
        <w:spacing w:line="480" w:lineRule="auto"/>
        <w:rPr>
          <w:rFonts w:ascii="Times New Roman" w:hAnsi="Times New Roman" w:cs="Times New Roman"/>
          <w:i/>
          <w:sz w:val="22"/>
          <w:lang w:val="en-US"/>
        </w:rPr>
      </w:pPr>
      <w:r w:rsidRPr="0064463E">
        <w:rPr>
          <w:rFonts w:ascii="Times New Roman" w:hAnsi="Times New Roman" w:cs="Times New Roman"/>
          <w:i/>
          <w:sz w:val="22"/>
          <w:lang w:val="en-US"/>
        </w:rPr>
        <w:t>*Follow up finding.</w:t>
      </w:r>
      <w:bookmarkStart w:id="0" w:name="_GoBack"/>
      <w:bookmarkEnd w:id="0"/>
    </w:p>
    <w:sectPr w:rsidR="007A5916" w:rsidRPr="0064463E" w:rsidSect="00D006E9">
      <w:headerReference w:type="even" r:id="rId7"/>
      <w:head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A82" w:rsidRDefault="00D27A82" w:rsidP="00213DF5">
      <w:r>
        <w:separator/>
      </w:r>
    </w:p>
  </w:endnote>
  <w:endnote w:type="continuationSeparator" w:id="0">
    <w:p w:rsidR="00D27A82" w:rsidRDefault="00D27A82" w:rsidP="0021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A82" w:rsidRDefault="00D27A82" w:rsidP="00213DF5">
      <w:r>
        <w:separator/>
      </w:r>
    </w:p>
  </w:footnote>
  <w:footnote w:type="continuationSeparator" w:id="0">
    <w:p w:rsidR="00D27A82" w:rsidRDefault="00D27A82" w:rsidP="0021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1200054836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213DF5" w:rsidRDefault="00213DF5" w:rsidP="00F818A2">
        <w:pPr>
          <w:pStyle w:val="a5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213DF5" w:rsidRDefault="00213DF5" w:rsidP="00213DF5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6"/>
      </w:rPr>
      <w:id w:val="-1417389362"/>
      <w:docPartObj>
        <w:docPartGallery w:val="Page Numbers (Top of Page)"/>
        <w:docPartUnique/>
      </w:docPartObj>
    </w:sdtPr>
    <w:sdtEndPr>
      <w:rPr>
        <w:rStyle w:val="a6"/>
      </w:rPr>
    </w:sdtEndPr>
    <w:sdtContent>
      <w:p w:rsidR="00213DF5" w:rsidRDefault="00213DF5" w:rsidP="00F818A2">
        <w:pPr>
          <w:pStyle w:val="a5"/>
          <w:framePr w:wrap="none" w:vAnchor="text" w:hAnchor="margin" w:xAlign="right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>
          <w:rPr>
            <w:rStyle w:val="a6"/>
            <w:noProof/>
          </w:rPr>
          <w:t>1</w:t>
        </w:r>
        <w:r>
          <w:rPr>
            <w:rStyle w:val="a6"/>
          </w:rPr>
          <w:fldChar w:fldCharType="end"/>
        </w:r>
      </w:p>
    </w:sdtContent>
  </w:sdt>
  <w:p w:rsidR="00213DF5" w:rsidRDefault="00213DF5" w:rsidP="00213DF5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F37EA"/>
    <w:multiLevelType w:val="hybridMultilevel"/>
    <w:tmpl w:val="BDE0BF4C"/>
    <w:lvl w:ilvl="0" w:tplc="B9941298">
      <w:start w:val="10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C6"/>
    <w:rsid w:val="000446C6"/>
    <w:rsid w:val="00053C33"/>
    <w:rsid w:val="00074B1D"/>
    <w:rsid w:val="000C22DA"/>
    <w:rsid w:val="000D1787"/>
    <w:rsid w:val="001476B1"/>
    <w:rsid w:val="001A31AD"/>
    <w:rsid w:val="001B159B"/>
    <w:rsid w:val="00213DF5"/>
    <w:rsid w:val="00262D02"/>
    <w:rsid w:val="00271DE2"/>
    <w:rsid w:val="00293C93"/>
    <w:rsid w:val="002E1E87"/>
    <w:rsid w:val="003002AD"/>
    <w:rsid w:val="00395406"/>
    <w:rsid w:val="00481A2C"/>
    <w:rsid w:val="004A6885"/>
    <w:rsid w:val="00554F2D"/>
    <w:rsid w:val="00563B97"/>
    <w:rsid w:val="0064463E"/>
    <w:rsid w:val="006A2EA0"/>
    <w:rsid w:val="006B3FD4"/>
    <w:rsid w:val="007044A4"/>
    <w:rsid w:val="007A5916"/>
    <w:rsid w:val="007B155A"/>
    <w:rsid w:val="007E60EC"/>
    <w:rsid w:val="00811C6C"/>
    <w:rsid w:val="00836347"/>
    <w:rsid w:val="008C4008"/>
    <w:rsid w:val="008D4280"/>
    <w:rsid w:val="009850D4"/>
    <w:rsid w:val="009D6772"/>
    <w:rsid w:val="009F6B5B"/>
    <w:rsid w:val="00A22057"/>
    <w:rsid w:val="00AB4141"/>
    <w:rsid w:val="00AF64D1"/>
    <w:rsid w:val="00BA75FB"/>
    <w:rsid w:val="00BF3FD5"/>
    <w:rsid w:val="00CD7B93"/>
    <w:rsid w:val="00D006E9"/>
    <w:rsid w:val="00D27A82"/>
    <w:rsid w:val="00D32105"/>
    <w:rsid w:val="00D51A47"/>
    <w:rsid w:val="00DC1252"/>
    <w:rsid w:val="00DE6735"/>
    <w:rsid w:val="00E01A32"/>
    <w:rsid w:val="00E077B0"/>
    <w:rsid w:val="00E64D72"/>
    <w:rsid w:val="00FA13CA"/>
    <w:rsid w:val="00FC281D"/>
    <w:rsid w:val="00FD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DA0BD"/>
  <w15:chartTrackingRefBased/>
  <w15:docId w15:val="{00D927AE-7E78-2049-9B0A-76353E0F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5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D428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13DF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213DF5"/>
  </w:style>
  <w:style w:type="character" w:styleId="a6">
    <w:name w:val="page number"/>
    <w:basedOn w:val="a0"/>
    <w:uiPriority w:val="99"/>
    <w:semiHidden/>
    <w:unhideWhenUsed/>
    <w:rsid w:val="00213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220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Vassilis</dc:creator>
  <cp:keywords/>
  <dc:description/>
  <cp:lastModifiedBy>Vassilis</cp:lastModifiedBy>
  <cp:revision>14</cp:revision>
  <cp:lastPrinted>2021-01-17T15:39:00Z</cp:lastPrinted>
  <dcterms:created xsi:type="dcterms:W3CDTF">2021-01-20T12:17:00Z</dcterms:created>
  <dcterms:modified xsi:type="dcterms:W3CDTF">2021-01-26T05:18:00Z</dcterms:modified>
</cp:coreProperties>
</file>