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D962B" w14:textId="098E82BA" w:rsidR="00982290" w:rsidRPr="00E848C7" w:rsidRDefault="00982290" w:rsidP="00982290">
      <w:pPr>
        <w:spacing w:line="360" w:lineRule="auto"/>
        <w:rPr>
          <w:b/>
          <w:bCs/>
          <w:lang w:val="en-US"/>
        </w:rPr>
      </w:pPr>
      <w:r w:rsidRPr="00BE2C92">
        <w:rPr>
          <w:b/>
          <w:bCs/>
          <w:lang w:val="en-US"/>
        </w:rPr>
        <w:t xml:space="preserve">Apparent </w:t>
      </w:r>
      <w:r>
        <w:rPr>
          <w:b/>
          <w:bCs/>
          <w:lang w:val="en-US"/>
        </w:rPr>
        <w:t>D</w:t>
      </w:r>
      <w:r w:rsidRPr="00BE2C92">
        <w:rPr>
          <w:b/>
          <w:bCs/>
          <w:lang w:val="en-US"/>
        </w:rPr>
        <w:t xml:space="preserve">iffusion </w:t>
      </w:r>
      <w:r>
        <w:rPr>
          <w:b/>
          <w:bCs/>
          <w:lang w:val="en-US"/>
        </w:rPr>
        <w:t>C</w:t>
      </w:r>
      <w:r w:rsidRPr="00BE2C92">
        <w:rPr>
          <w:b/>
          <w:bCs/>
          <w:lang w:val="en-US"/>
        </w:rPr>
        <w:t>oefficient</w:t>
      </w:r>
      <w:r>
        <w:rPr>
          <w:b/>
          <w:bCs/>
          <w:lang w:val="en-US"/>
        </w:rPr>
        <w:t xml:space="preserve"> (ADC)</w:t>
      </w:r>
      <w:r w:rsidRPr="00BE2C92">
        <w:rPr>
          <w:b/>
          <w:bCs/>
          <w:lang w:val="en-US"/>
        </w:rPr>
        <w:t> </w:t>
      </w:r>
      <w:r w:rsidRPr="00E848C7">
        <w:rPr>
          <w:b/>
          <w:bCs/>
          <w:lang w:val="en-US"/>
        </w:rPr>
        <w:t>Values as a Complementary Tool in the Prostate Gland Disease: A Prospective Evaluation of A</w:t>
      </w:r>
      <w:r>
        <w:rPr>
          <w:b/>
          <w:bCs/>
          <w:lang w:val="en-US"/>
        </w:rPr>
        <w:t>pparent Diffusion Coefficient (ADC)</w:t>
      </w:r>
      <w:r w:rsidRPr="00E848C7">
        <w:rPr>
          <w:b/>
          <w:bCs/>
          <w:lang w:val="en-US"/>
        </w:rPr>
        <w:t xml:space="preserve"> Values with Pathological Data</w:t>
      </w:r>
    </w:p>
    <w:p w14:paraId="351CE448" w14:textId="747F401C" w:rsidR="00982290" w:rsidRDefault="00982290" w:rsidP="00CD004E">
      <w:pPr>
        <w:spacing w:line="480" w:lineRule="auto"/>
        <w:jc w:val="both"/>
        <w:rPr>
          <w:b/>
          <w:bCs/>
          <w:lang w:val="en-US"/>
        </w:rPr>
      </w:pPr>
    </w:p>
    <w:p w14:paraId="50CB61E4" w14:textId="11D8D626" w:rsidR="00573965" w:rsidRDefault="00573965" w:rsidP="00CD004E">
      <w:pPr>
        <w:spacing w:line="480" w:lineRule="auto"/>
        <w:jc w:val="both"/>
        <w:rPr>
          <w:b/>
          <w:bCs/>
          <w:lang w:val="en-US"/>
        </w:rPr>
      </w:pPr>
      <w:r>
        <w:rPr>
          <w:b/>
          <w:bCs/>
          <w:lang w:val="en-US"/>
        </w:rPr>
        <w:t xml:space="preserve">Author Names </w:t>
      </w:r>
      <w:proofErr w:type="gramStart"/>
      <w:r>
        <w:rPr>
          <w:b/>
          <w:bCs/>
          <w:lang w:val="en-US"/>
        </w:rPr>
        <w:t>And</w:t>
      </w:r>
      <w:proofErr w:type="gramEnd"/>
      <w:r>
        <w:rPr>
          <w:b/>
          <w:bCs/>
          <w:lang w:val="en-US"/>
        </w:rPr>
        <w:t xml:space="preserve"> Affiliations:</w:t>
      </w:r>
    </w:p>
    <w:p w14:paraId="45FBE7CF" w14:textId="77777777" w:rsidR="00573965" w:rsidRPr="00E848C7" w:rsidRDefault="00573965" w:rsidP="00573965">
      <w:pPr>
        <w:pStyle w:val="ListeParagraf"/>
        <w:numPr>
          <w:ilvl w:val="0"/>
          <w:numId w:val="1"/>
        </w:numPr>
        <w:spacing w:line="480" w:lineRule="auto"/>
        <w:rPr>
          <w:rFonts w:ascii="Times New Roman" w:hAnsi="Times New Roman" w:cs="Times New Roman"/>
          <w:sz w:val="24"/>
          <w:szCs w:val="24"/>
          <w:u w:val="single"/>
          <w:lang w:val="en-US"/>
        </w:rPr>
      </w:pPr>
      <w:r w:rsidRPr="00E848C7">
        <w:rPr>
          <w:rFonts w:ascii="Times New Roman" w:hAnsi="Times New Roman" w:cs="Times New Roman"/>
          <w:sz w:val="24"/>
          <w:szCs w:val="24"/>
          <w:lang w:val="en-US"/>
        </w:rPr>
        <w:t>Gulsen Yucel Oguzdogan, MD</w:t>
      </w:r>
      <w:r w:rsidRPr="00E848C7">
        <w:rPr>
          <w:rFonts w:ascii="Times New Roman" w:hAnsi="Times New Roman" w:cs="Times New Roman"/>
          <w:sz w:val="24"/>
          <w:szCs w:val="24"/>
          <w:vertAlign w:val="superscript"/>
          <w:lang w:val="en-US"/>
        </w:rPr>
        <w:t>1</w:t>
      </w:r>
      <w:r w:rsidRPr="00E848C7">
        <w:rPr>
          <w:rFonts w:ascii="Times New Roman" w:hAnsi="Times New Roman" w:cs="Times New Roman"/>
          <w:sz w:val="24"/>
          <w:szCs w:val="24"/>
          <w:lang w:val="en-US"/>
        </w:rPr>
        <w:tab/>
      </w:r>
    </w:p>
    <w:p w14:paraId="6BF8D55A" w14:textId="77777777" w:rsidR="00573965" w:rsidRPr="00E848C7" w:rsidRDefault="00573965" w:rsidP="00573965">
      <w:pPr>
        <w:pStyle w:val="ListeParagraf"/>
        <w:spacing w:line="480" w:lineRule="auto"/>
        <w:ind w:left="1068"/>
        <w:rPr>
          <w:rFonts w:ascii="Times New Roman" w:hAnsi="Times New Roman" w:cs="Times New Roman"/>
          <w:sz w:val="24"/>
          <w:szCs w:val="24"/>
          <w:u w:val="single"/>
          <w:lang w:val="en-US"/>
        </w:rPr>
      </w:pPr>
      <w:r w:rsidRPr="00E848C7">
        <w:rPr>
          <w:rFonts w:ascii="Times New Roman" w:hAnsi="Times New Roman" w:cs="Times New Roman"/>
          <w:sz w:val="24"/>
          <w:szCs w:val="24"/>
          <w:lang w:val="en-US"/>
        </w:rPr>
        <w:t xml:space="preserve">email: </w:t>
      </w:r>
      <w:r w:rsidRPr="00E848C7">
        <w:rPr>
          <w:rFonts w:ascii="Times New Roman" w:hAnsi="Times New Roman" w:cs="Times New Roman"/>
          <w:sz w:val="24"/>
          <w:szCs w:val="24"/>
          <w:u w:val="single"/>
          <w:lang w:val="en-US"/>
        </w:rPr>
        <w:t>gulsenyuceloguzdogan@gmail.com</w:t>
      </w:r>
      <w:r w:rsidRPr="00E848C7">
        <w:rPr>
          <w:rFonts w:ascii="Times New Roman" w:hAnsi="Times New Roman" w:cs="Times New Roman"/>
          <w:sz w:val="24"/>
          <w:szCs w:val="24"/>
          <w:lang w:val="en-US"/>
        </w:rPr>
        <w:t xml:space="preserve">   </w:t>
      </w:r>
      <w:r w:rsidRPr="00E848C7">
        <w:rPr>
          <w:rFonts w:ascii="Times New Roman" w:hAnsi="Times New Roman" w:cs="Times New Roman"/>
          <w:sz w:val="24"/>
          <w:szCs w:val="24"/>
          <w:lang w:val="en-US"/>
        </w:rPr>
        <w:tab/>
        <w:t>Phone:</w:t>
      </w:r>
      <w:r>
        <w:rPr>
          <w:rFonts w:ascii="Times New Roman" w:hAnsi="Times New Roman" w:cs="Times New Roman"/>
          <w:sz w:val="24"/>
          <w:szCs w:val="24"/>
          <w:lang w:val="en-US"/>
        </w:rPr>
        <w:t xml:space="preserve"> </w:t>
      </w:r>
      <w:r w:rsidRPr="00E848C7">
        <w:rPr>
          <w:rFonts w:ascii="Times New Roman" w:hAnsi="Times New Roman" w:cs="Times New Roman"/>
          <w:sz w:val="24"/>
          <w:szCs w:val="24"/>
          <w:lang w:val="en-US"/>
        </w:rPr>
        <w:t>+90 505 827 63 95</w:t>
      </w:r>
    </w:p>
    <w:p w14:paraId="441DBFC7" w14:textId="77777777" w:rsidR="00573965" w:rsidRPr="00E848C7" w:rsidRDefault="00573965" w:rsidP="00573965">
      <w:pPr>
        <w:pStyle w:val="ListeParagraf"/>
        <w:numPr>
          <w:ilvl w:val="0"/>
          <w:numId w:val="1"/>
        </w:numPr>
        <w:spacing w:line="480" w:lineRule="auto"/>
        <w:rPr>
          <w:rFonts w:ascii="Times New Roman" w:hAnsi="Times New Roman" w:cs="Times New Roman"/>
          <w:sz w:val="24"/>
          <w:szCs w:val="24"/>
          <w:lang w:val="en-US"/>
        </w:rPr>
      </w:pPr>
      <w:r w:rsidRPr="00E848C7">
        <w:rPr>
          <w:rFonts w:ascii="Times New Roman" w:hAnsi="Times New Roman" w:cs="Times New Roman"/>
          <w:sz w:val="24"/>
          <w:szCs w:val="24"/>
          <w:lang w:val="en-US"/>
        </w:rPr>
        <w:t>Zehra Hilal Adibelli, MD, Associate professor</w:t>
      </w:r>
      <w:r w:rsidRPr="00E848C7">
        <w:rPr>
          <w:rFonts w:ascii="Times New Roman" w:hAnsi="Times New Roman" w:cs="Times New Roman"/>
          <w:sz w:val="24"/>
          <w:szCs w:val="24"/>
          <w:vertAlign w:val="superscript"/>
          <w:lang w:val="en-US"/>
        </w:rPr>
        <w:t>2</w:t>
      </w:r>
    </w:p>
    <w:p w14:paraId="4453064A" w14:textId="77777777" w:rsidR="00573965" w:rsidRPr="00E848C7" w:rsidRDefault="00573965" w:rsidP="00573965">
      <w:pPr>
        <w:pStyle w:val="ListeParagraf"/>
        <w:spacing w:line="480" w:lineRule="auto"/>
        <w:ind w:left="1068"/>
        <w:rPr>
          <w:rFonts w:ascii="Times New Roman" w:hAnsi="Times New Roman" w:cs="Times New Roman"/>
          <w:sz w:val="24"/>
          <w:szCs w:val="24"/>
          <w:lang w:val="en-US"/>
        </w:rPr>
      </w:pPr>
      <w:r w:rsidRPr="00E848C7">
        <w:rPr>
          <w:rFonts w:ascii="Times New Roman" w:hAnsi="Times New Roman" w:cs="Times New Roman"/>
          <w:sz w:val="24"/>
          <w:szCs w:val="24"/>
          <w:lang w:val="en-US"/>
        </w:rPr>
        <w:t xml:space="preserve">email: </w:t>
      </w:r>
      <w:r w:rsidRPr="00E848C7">
        <w:rPr>
          <w:rFonts w:ascii="Times New Roman" w:hAnsi="Times New Roman" w:cs="Times New Roman"/>
          <w:sz w:val="24"/>
          <w:szCs w:val="24"/>
          <w:u w:val="single"/>
          <w:lang w:val="en-US"/>
        </w:rPr>
        <w:t>adibellizehra@gmail.com</w:t>
      </w:r>
      <w:r w:rsidRPr="00E848C7">
        <w:rPr>
          <w:rFonts w:ascii="Times New Roman" w:hAnsi="Times New Roman" w:cs="Times New Roman"/>
          <w:sz w:val="24"/>
          <w:szCs w:val="24"/>
          <w:lang w:val="en-US"/>
        </w:rPr>
        <w:tab/>
      </w:r>
      <w:r w:rsidRPr="00E848C7">
        <w:rPr>
          <w:rFonts w:ascii="Times New Roman" w:hAnsi="Times New Roman" w:cs="Times New Roman"/>
          <w:sz w:val="24"/>
          <w:szCs w:val="24"/>
          <w:lang w:val="en-US"/>
        </w:rPr>
        <w:tab/>
      </w:r>
      <w:r w:rsidRPr="00E848C7">
        <w:rPr>
          <w:rFonts w:ascii="Times New Roman" w:hAnsi="Times New Roman" w:cs="Times New Roman"/>
          <w:sz w:val="24"/>
          <w:szCs w:val="24"/>
          <w:lang w:val="en-US"/>
        </w:rPr>
        <w:tab/>
        <w:t>Phone: +90 532 797 04 72</w:t>
      </w:r>
    </w:p>
    <w:p w14:paraId="40252C49" w14:textId="77777777" w:rsidR="00573965" w:rsidRPr="00E848C7" w:rsidRDefault="00573965" w:rsidP="00573965">
      <w:pPr>
        <w:pStyle w:val="ListeParagraf"/>
        <w:numPr>
          <w:ilvl w:val="0"/>
          <w:numId w:val="1"/>
        </w:numPr>
        <w:spacing w:line="480" w:lineRule="auto"/>
        <w:rPr>
          <w:rFonts w:ascii="Times New Roman" w:hAnsi="Times New Roman" w:cs="Times New Roman"/>
          <w:sz w:val="24"/>
          <w:szCs w:val="24"/>
          <w:u w:val="single"/>
          <w:lang w:val="en-US"/>
        </w:rPr>
      </w:pPr>
      <w:r w:rsidRPr="00E848C7">
        <w:rPr>
          <w:rFonts w:ascii="Times New Roman" w:hAnsi="Times New Roman" w:cs="Times New Roman"/>
          <w:sz w:val="24"/>
          <w:szCs w:val="24"/>
          <w:lang w:val="en-US"/>
        </w:rPr>
        <w:t>Ertugrul Sefik, MD, Assiociate professor</w:t>
      </w:r>
      <w:r w:rsidRPr="00E848C7">
        <w:rPr>
          <w:rFonts w:ascii="Times New Roman" w:hAnsi="Times New Roman" w:cs="Times New Roman"/>
          <w:sz w:val="24"/>
          <w:szCs w:val="24"/>
          <w:vertAlign w:val="superscript"/>
          <w:lang w:val="en-US"/>
        </w:rPr>
        <w:t>3</w:t>
      </w:r>
    </w:p>
    <w:p w14:paraId="6D20B978" w14:textId="77777777" w:rsidR="00573965" w:rsidRPr="00E848C7" w:rsidRDefault="00573965" w:rsidP="00573965">
      <w:pPr>
        <w:pStyle w:val="ListeParagraf"/>
        <w:spacing w:line="480" w:lineRule="auto"/>
        <w:ind w:left="1068"/>
        <w:rPr>
          <w:rFonts w:ascii="Times New Roman" w:hAnsi="Times New Roman" w:cs="Times New Roman"/>
          <w:sz w:val="24"/>
          <w:szCs w:val="24"/>
          <w:u w:val="single"/>
          <w:lang w:val="en-US"/>
        </w:rPr>
      </w:pPr>
      <w:r w:rsidRPr="00E848C7">
        <w:rPr>
          <w:rFonts w:ascii="Times New Roman" w:hAnsi="Times New Roman" w:cs="Times New Roman"/>
          <w:sz w:val="24"/>
          <w:szCs w:val="24"/>
          <w:lang w:val="en-US"/>
        </w:rPr>
        <w:t xml:space="preserve">email: </w:t>
      </w:r>
      <w:r w:rsidRPr="00E848C7">
        <w:rPr>
          <w:rFonts w:ascii="Times New Roman" w:hAnsi="Times New Roman" w:cs="Times New Roman"/>
          <w:sz w:val="24"/>
          <w:szCs w:val="24"/>
          <w:u w:val="single"/>
          <w:lang w:val="en-US"/>
        </w:rPr>
        <w:t>sefikanamur@yahoo.com</w:t>
      </w:r>
      <w:r w:rsidRPr="00E848C7">
        <w:rPr>
          <w:rFonts w:ascii="Times New Roman" w:hAnsi="Times New Roman" w:cs="Times New Roman"/>
          <w:sz w:val="24"/>
          <w:szCs w:val="24"/>
          <w:lang w:val="en-US"/>
        </w:rPr>
        <w:tab/>
      </w:r>
      <w:r w:rsidRPr="00E848C7">
        <w:rPr>
          <w:rFonts w:ascii="Times New Roman" w:hAnsi="Times New Roman" w:cs="Times New Roman"/>
          <w:sz w:val="24"/>
          <w:szCs w:val="24"/>
          <w:lang w:val="en-US"/>
        </w:rPr>
        <w:tab/>
      </w:r>
      <w:r w:rsidRPr="00E848C7">
        <w:rPr>
          <w:rFonts w:ascii="Times New Roman" w:hAnsi="Times New Roman" w:cs="Times New Roman"/>
          <w:sz w:val="24"/>
          <w:szCs w:val="24"/>
          <w:lang w:val="en-US"/>
        </w:rPr>
        <w:tab/>
        <w:t>Phone: +90 531 791 52 85</w:t>
      </w:r>
    </w:p>
    <w:p w14:paraId="1B781F57" w14:textId="77777777" w:rsidR="00573965" w:rsidRPr="00E848C7" w:rsidRDefault="00573965" w:rsidP="00573965">
      <w:pPr>
        <w:pStyle w:val="ListeParagraf"/>
        <w:numPr>
          <w:ilvl w:val="0"/>
          <w:numId w:val="1"/>
        </w:numPr>
        <w:spacing w:line="480" w:lineRule="auto"/>
        <w:rPr>
          <w:rFonts w:ascii="Times New Roman" w:hAnsi="Times New Roman" w:cs="Times New Roman"/>
          <w:sz w:val="24"/>
          <w:szCs w:val="24"/>
          <w:lang w:val="en-US"/>
        </w:rPr>
      </w:pPr>
      <w:r w:rsidRPr="00E848C7">
        <w:rPr>
          <w:rFonts w:ascii="Times New Roman" w:hAnsi="Times New Roman" w:cs="Times New Roman"/>
          <w:sz w:val="24"/>
          <w:szCs w:val="24"/>
          <w:lang w:val="en-US"/>
        </w:rPr>
        <w:t>Fatma Zeynep Arslan, MD,</w:t>
      </w:r>
      <w:r w:rsidRPr="00E848C7">
        <w:rPr>
          <w:rFonts w:ascii="Times New Roman" w:hAnsi="Times New Roman" w:cs="Times New Roman"/>
          <w:sz w:val="24"/>
          <w:szCs w:val="24"/>
          <w:vertAlign w:val="superscript"/>
          <w:lang w:val="en-US"/>
        </w:rPr>
        <w:t>1</w:t>
      </w:r>
      <w:r w:rsidRPr="00E848C7">
        <w:rPr>
          <w:rFonts w:ascii="Times New Roman" w:hAnsi="Times New Roman" w:cs="Times New Roman"/>
          <w:sz w:val="24"/>
          <w:szCs w:val="24"/>
          <w:lang w:val="en-US"/>
        </w:rPr>
        <w:t xml:space="preserve">                   </w:t>
      </w:r>
    </w:p>
    <w:p w14:paraId="6A571210" w14:textId="77777777" w:rsidR="00573965" w:rsidRPr="004C0BAC" w:rsidRDefault="00573965" w:rsidP="00573965">
      <w:pPr>
        <w:pStyle w:val="ListeParagraf"/>
        <w:spacing w:line="480" w:lineRule="auto"/>
        <w:ind w:left="1068"/>
        <w:rPr>
          <w:rFonts w:ascii="Times New Roman" w:hAnsi="Times New Roman" w:cs="Times New Roman"/>
          <w:sz w:val="24"/>
          <w:szCs w:val="24"/>
          <w:lang w:val="en-US"/>
        </w:rPr>
      </w:pPr>
      <w:r w:rsidRPr="00E848C7">
        <w:rPr>
          <w:rFonts w:ascii="Times New Roman" w:hAnsi="Times New Roman" w:cs="Times New Roman"/>
          <w:sz w:val="24"/>
          <w:szCs w:val="24"/>
          <w:lang w:val="en-US"/>
        </w:rPr>
        <w:t>email:</w:t>
      </w:r>
      <w:r>
        <w:rPr>
          <w:rFonts w:ascii="Times New Roman" w:hAnsi="Times New Roman" w:cs="Times New Roman"/>
          <w:sz w:val="24"/>
          <w:szCs w:val="24"/>
          <w:lang w:val="en-US"/>
        </w:rPr>
        <w:t xml:space="preserve"> </w:t>
      </w:r>
      <w:r w:rsidRPr="00E848C7">
        <w:rPr>
          <w:rFonts w:ascii="Times New Roman" w:hAnsi="Times New Roman" w:cs="Times New Roman"/>
          <w:sz w:val="24"/>
          <w:szCs w:val="24"/>
          <w:lang w:val="en-US"/>
        </w:rPr>
        <w:t>zeynep_a1002@hotmail.com</w:t>
      </w:r>
      <w:r w:rsidRPr="004C0BAC">
        <w:rPr>
          <w:rFonts w:ascii="Times New Roman" w:hAnsi="Times New Roman" w:cs="Times New Roman"/>
          <w:sz w:val="24"/>
          <w:szCs w:val="24"/>
          <w:lang w:val="en-US"/>
        </w:rPr>
        <w:tab/>
      </w:r>
      <w:r w:rsidRPr="004C0BAC">
        <w:rPr>
          <w:rFonts w:ascii="Times New Roman" w:hAnsi="Times New Roman" w:cs="Times New Roman"/>
          <w:sz w:val="24"/>
          <w:szCs w:val="24"/>
          <w:lang w:val="en-US"/>
        </w:rPr>
        <w:tab/>
        <w:t>Phone: +90 531 271 82 74</w:t>
      </w:r>
    </w:p>
    <w:p w14:paraId="295CD844" w14:textId="77777777" w:rsidR="00573965" w:rsidRPr="00AF6F17" w:rsidRDefault="00573965" w:rsidP="00573965">
      <w:pPr>
        <w:spacing w:line="360" w:lineRule="auto"/>
        <w:jc w:val="both"/>
        <w:rPr>
          <w:lang w:val="en-US"/>
        </w:rPr>
      </w:pPr>
      <w:r w:rsidRPr="00AF6F17">
        <w:rPr>
          <w:vertAlign w:val="superscript"/>
          <w:lang w:val="en-US"/>
        </w:rPr>
        <w:t>1</w:t>
      </w:r>
      <w:r w:rsidRPr="00AF6F17">
        <w:t>Basaksehir City Hospital, Department of Radiology, İstanbul, Turkey</w:t>
      </w:r>
    </w:p>
    <w:p w14:paraId="69E1641E" w14:textId="77777777" w:rsidR="00573965" w:rsidRPr="00AF6F17" w:rsidRDefault="00573965" w:rsidP="00573965">
      <w:pPr>
        <w:spacing w:line="360" w:lineRule="auto"/>
        <w:jc w:val="both"/>
        <w:rPr>
          <w:color w:val="000000"/>
          <w:shd w:val="clear" w:color="auto" w:fill="FFFFFF"/>
        </w:rPr>
      </w:pPr>
      <w:r w:rsidRPr="00AF6F17">
        <w:rPr>
          <w:vertAlign w:val="superscript"/>
          <w:lang w:val="en-US"/>
        </w:rPr>
        <w:t>2</w:t>
      </w:r>
      <w:r w:rsidRPr="00AF6F17">
        <w:t xml:space="preserve">Health Sciences University, Bozyaka Training and Research Hospital, Department of Radiology, Karabaglar, Izmir, Turkey </w:t>
      </w:r>
    </w:p>
    <w:p w14:paraId="06CAD4AE" w14:textId="77777777" w:rsidR="00573965" w:rsidRPr="00AF6F17" w:rsidRDefault="00573965" w:rsidP="00573965">
      <w:pPr>
        <w:spacing w:line="360" w:lineRule="auto"/>
        <w:jc w:val="both"/>
      </w:pPr>
      <w:r w:rsidRPr="00AF6F17">
        <w:rPr>
          <w:vertAlign w:val="superscript"/>
        </w:rPr>
        <w:t>3</w:t>
      </w:r>
      <w:r w:rsidRPr="00AF6F17">
        <w:t xml:space="preserve">Health Sciences University, Bozyaka Training and Research Hospital, Department of Urology, Karabaglar, Izmir, Turkey </w:t>
      </w:r>
    </w:p>
    <w:p w14:paraId="60581A9D" w14:textId="77777777" w:rsidR="00573965" w:rsidRDefault="00573965" w:rsidP="00573965">
      <w:pPr>
        <w:spacing w:line="360" w:lineRule="auto"/>
        <w:textAlignment w:val="top"/>
        <w:rPr>
          <w:b/>
          <w:bCs/>
          <w:lang w:val="en-US"/>
        </w:rPr>
      </w:pPr>
    </w:p>
    <w:p w14:paraId="7480E429" w14:textId="77777777" w:rsidR="00573965" w:rsidRDefault="00573965" w:rsidP="00573965">
      <w:pPr>
        <w:spacing w:line="360" w:lineRule="auto"/>
        <w:textAlignment w:val="top"/>
        <w:rPr>
          <w:lang w:val="en-US"/>
        </w:rPr>
      </w:pPr>
      <w:r w:rsidRPr="00E848C7">
        <w:rPr>
          <w:b/>
          <w:bCs/>
          <w:lang w:val="en-US"/>
        </w:rPr>
        <w:t>Corresponding author:</w:t>
      </w:r>
    </w:p>
    <w:p w14:paraId="49B0735A" w14:textId="77777777" w:rsidR="00573965" w:rsidRDefault="00573965" w:rsidP="00573965">
      <w:pPr>
        <w:spacing w:line="360" w:lineRule="auto"/>
        <w:textAlignment w:val="top"/>
        <w:rPr>
          <w:lang w:val="en-US"/>
        </w:rPr>
      </w:pPr>
      <w:r>
        <w:rPr>
          <w:lang w:val="en-US"/>
        </w:rPr>
        <w:t>Gülşen Yücel Oğuzdoğan</w:t>
      </w:r>
      <w:r w:rsidRPr="00E848C7">
        <w:rPr>
          <w:lang w:val="en-US"/>
        </w:rPr>
        <w:t>, MD</w:t>
      </w:r>
    </w:p>
    <w:p w14:paraId="46729EF8" w14:textId="77777777" w:rsidR="00573965" w:rsidRDefault="00573965" w:rsidP="00573965">
      <w:pPr>
        <w:spacing w:line="360" w:lineRule="auto"/>
        <w:textAlignment w:val="top"/>
        <w:rPr>
          <w:lang w:val="en-US"/>
        </w:rPr>
      </w:pPr>
      <w:r w:rsidRPr="00E848C7">
        <w:rPr>
          <w:lang w:val="en-US"/>
        </w:rPr>
        <w:t xml:space="preserve">Address: </w:t>
      </w:r>
      <w:bookmarkStart w:id="0" w:name="__DdeLink__6004_2458918052"/>
      <w:r w:rsidRPr="00E848C7">
        <w:rPr>
          <w:lang w:val="en-US"/>
        </w:rPr>
        <w:t>Basaksehir City Hospital</w:t>
      </w:r>
      <w:bookmarkEnd w:id="0"/>
      <w:r w:rsidRPr="00E848C7">
        <w:rPr>
          <w:lang w:val="en-US"/>
        </w:rPr>
        <w:t>, Radyology Department</w:t>
      </w:r>
    </w:p>
    <w:p w14:paraId="25EB8623" w14:textId="77777777" w:rsidR="00573965" w:rsidRDefault="00573965" w:rsidP="00573965">
      <w:pPr>
        <w:spacing w:line="360" w:lineRule="auto"/>
        <w:textAlignment w:val="top"/>
        <w:rPr>
          <w:lang w:val="en-US"/>
        </w:rPr>
      </w:pPr>
      <w:r w:rsidRPr="00E848C7">
        <w:rPr>
          <w:lang w:val="en-US"/>
        </w:rPr>
        <w:t>Olimpiyat Bulv</w:t>
      </w:r>
      <w:r>
        <w:rPr>
          <w:lang w:val="en-US"/>
        </w:rPr>
        <w:t>arı</w:t>
      </w:r>
      <w:r w:rsidRPr="00E848C7">
        <w:rPr>
          <w:lang w:val="en-US"/>
        </w:rPr>
        <w:t xml:space="preserve"> Caddesi</w:t>
      </w:r>
      <w:r>
        <w:t xml:space="preserve">, </w:t>
      </w:r>
      <w:r w:rsidRPr="00E848C7">
        <w:rPr>
          <w:lang w:val="en-US"/>
        </w:rPr>
        <w:t>Başakşehir, İstanbul,</w:t>
      </w:r>
      <w:r>
        <w:rPr>
          <w:lang w:val="en-US"/>
        </w:rPr>
        <w:t xml:space="preserve"> </w:t>
      </w:r>
      <w:r w:rsidRPr="00E848C7">
        <w:rPr>
          <w:lang w:val="en-US"/>
        </w:rPr>
        <w:t>Türkiye</w:t>
      </w:r>
    </w:p>
    <w:p w14:paraId="6361EB5A" w14:textId="77777777" w:rsidR="00573965" w:rsidRDefault="00573965" w:rsidP="00573965">
      <w:pPr>
        <w:spacing w:line="360" w:lineRule="auto"/>
        <w:textAlignment w:val="top"/>
        <w:rPr>
          <w:rStyle w:val="shorttext"/>
          <w:lang w:val="en-US"/>
        </w:rPr>
      </w:pPr>
      <w:r w:rsidRPr="00E848C7">
        <w:t>Telephone:</w:t>
      </w:r>
      <w:r w:rsidRPr="00E848C7">
        <w:rPr>
          <w:rStyle w:val="shorttext"/>
          <w:lang w:val="en-US"/>
        </w:rPr>
        <w:t xml:space="preserve"> </w:t>
      </w:r>
      <w:r>
        <w:rPr>
          <w:rStyle w:val="shorttext"/>
          <w:lang w:val="en-US"/>
        </w:rPr>
        <w:t>+90 505 827 63 95</w:t>
      </w:r>
    </w:p>
    <w:p w14:paraId="404647DD" w14:textId="3E8730A4" w:rsidR="00573965" w:rsidRPr="00573965" w:rsidRDefault="00573965" w:rsidP="00573965">
      <w:pPr>
        <w:spacing w:line="360" w:lineRule="auto"/>
        <w:textAlignment w:val="top"/>
        <w:rPr>
          <w:lang w:val="en-US"/>
        </w:rPr>
      </w:pPr>
      <w:proofErr w:type="gramStart"/>
      <w:r w:rsidRPr="00E848C7">
        <w:t>E-mail</w:t>
      </w:r>
      <w:proofErr w:type="gramEnd"/>
      <w:r w:rsidRPr="00E848C7">
        <w:t xml:space="preserve">: </w:t>
      </w:r>
      <w:r>
        <w:t>gulsenyuceloguzdogan</w:t>
      </w:r>
      <w:r w:rsidRPr="00E848C7">
        <w:t>@</w:t>
      </w:r>
      <w:r>
        <w:t>g</w:t>
      </w:r>
      <w:r w:rsidRPr="00E848C7">
        <w:t>mail.com</w:t>
      </w:r>
    </w:p>
    <w:p w14:paraId="1402D616" w14:textId="77777777" w:rsidR="00573965" w:rsidRDefault="00573965" w:rsidP="00573965">
      <w:pPr>
        <w:shd w:val="clear" w:color="auto" w:fill="FFFFFF"/>
        <w:spacing w:after="160" w:line="360" w:lineRule="auto"/>
        <w:jc w:val="both"/>
        <w:rPr>
          <w:b/>
          <w:bCs/>
          <w:color w:val="000000"/>
        </w:rPr>
      </w:pPr>
    </w:p>
    <w:p w14:paraId="019721AA" w14:textId="46A3C67F" w:rsidR="00573965" w:rsidRPr="00E848C7" w:rsidRDefault="00573965" w:rsidP="00573965">
      <w:pPr>
        <w:shd w:val="clear" w:color="auto" w:fill="FFFFFF"/>
        <w:spacing w:after="160" w:line="360" w:lineRule="auto"/>
        <w:jc w:val="both"/>
      </w:pPr>
      <w:r w:rsidRPr="00E848C7">
        <w:rPr>
          <w:b/>
          <w:bCs/>
          <w:color w:val="000000"/>
        </w:rPr>
        <w:t xml:space="preserve">Conflict of </w:t>
      </w:r>
      <w:proofErr w:type="gramStart"/>
      <w:r w:rsidRPr="00E848C7">
        <w:rPr>
          <w:b/>
          <w:bCs/>
          <w:color w:val="000000"/>
        </w:rPr>
        <w:t>interest:</w:t>
      </w:r>
      <w:r w:rsidRPr="00E848C7">
        <w:rPr>
          <w:color w:val="000000"/>
        </w:rPr>
        <w:t>The</w:t>
      </w:r>
      <w:proofErr w:type="gramEnd"/>
      <w:r w:rsidRPr="00E848C7">
        <w:rPr>
          <w:color w:val="000000"/>
        </w:rPr>
        <w:t xml:space="preserve"> authors declare that they have  no conflict of interest.</w:t>
      </w:r>
    </w:p>
    <w:p w14:paraId="1DF3346D" w14:textId="77777777" w:rsidR="00573965" w:rsidRPr="00E848C7" w:rsidRDefault="00573965" w:rsidP="00573965">
      <w:pPr>
        <w:spacing w:line="360" w:lineRule="auto"/>
        <w:rPr>
          <w:color w:val="000000"/>
        </w:rPr>
      </w:pPr>
      <w:r w:rsidRPr="00E848C7">
        <w:rPr>
          <w:b/>
          <w:bCs/>
          <w:color w:val="212121"/>
          <w:shd w:val="clear" w:color="auto" w:fill="FFFFFF"/>
        </w:rPr>
        <w:t>Compliance with Ethical Standards:</w:t>
      </w:r>
      <w:r w:rsidRPr="00E848C7">
        <w:rPr>
          <w:b/>
          <w:bCs/>
          <w:color w:val="000000"/>
          <w:shd w:val="clear" w:color="auto" w:fill="FFFFFF"/>
        </w:rPr>
        <w:t> </w:t>
      </w:r>
      <w:r w:rsidRPr="00E848C7">
        <w:rPr>
          <w:color w:val="000000"/>
          <w:shd w:val="clear" w:color="auto" w:fill="FFFFFF"/>
        </w:rPr>
        <w:t xml:space="preserve">All procedures performed in studies involving human participants were in accordance with the ethical standards of the institutional and/or national </w:t>
      </w:r>
      <w:r w:rsidRPr="00E848C7">
        <w:rPr>
          <w:color w:val="000000"/>
          <w:shd w:val="clear" w:color="auto" w:fill="FFFFFF"/>
        </w:rPr>
        <w:lastRenderedPageBreak/>
        <w:t>research committee and with the 1964 Helsinki declaration and its later amendments or comparable ethical standards. Ethical approval obtained from</w:t>
      </w:r>
      <w:r>
        <w:rPr>
          <w:color w:val="000000"/>
          <w:shd w:val="clear" w:color="auto" w:fill="FFFFFF"/>
        </w:rPr>
        <w:t xml:space="preserve"> </w:t>
      </w:r>
      <w:r w:rsidRPr="00E848C7">
        <w:rPr>
          <w:color w:val="000000"/>
          <w:shd w:val="clear" w:color="auto" w:fill="FFFFFF"/>
        </w:rPr>
        <w:t>a local commitee of</w:t>
      </w:r>
      <w:r w:rsidRPr="00E848C7">
        <w:t xml:space="preserve"> Health Sciences University, Bozyaka Training and Research Hospital</w:t>
      </w:r>
      <w:r w:rsidRPr="00E848C7">
        <w:rPr>
          <w:color w:val="000000"/>
          <w:shd w:val="clear" w:color="auto" w:fill="FFFFFF"/>
        </w:rPr>
        <w:t>. Consent form obtained from each patient.</w:t>
      </w:r>
    </w:p>
    <w:p w14:paraId="6A221A2C" w14:textId="77777777" w:rsidR="00573965" w:rsidRDefault="00573965" w:rsidP="00CD004E">
      <w:pPr>
        <w:spacing w:line="480" w:lineRule="auto"/>
        <w:jc w:val="both"/>
        <w:rPr>
          <w:b/>
          <w:bCs/>
          <w:lang w:val="en-US"/>
        </w:rPr>
      </w:pPr>
    </w:p>
    <w:p w14:paraId="0FC7038E" w14:textId="3B39D7E9" w:rsidR="004373AA" w:rsidRPr="00CD004E" w:rsidRDefault="004373AA" w:rsidP="00CD004E">
      <w:pPr>
        <w:spacing w:line="480" w:lineRule="auto"/>
        <w:jc w:val="both"/>
        <w:rPr>
          <w:b/>
          <w:bCs/>
        </w:rPr>
      </w:pPr>
      <w:r w:rsidRPr="00CD004E">
        <w:rPr>
          <w:b/>
          <w:bCs/>
        </w:rPr>
        <w:t>Abstract</w:t>
      </w:r>
    </w:p>
    <w:p w14:paraId="2BE7F412" w14:textId="12CAF934" w:rsidR="0003641D" w:rsidRPr="00CD004E" w:rsidRDefault="0003641D" w:rsidP="00CD004E">
      <w:pPr>
        <w:spacing w:line="480" w:lineRule="auto"/>
        <w:jc w:val="both"/>
      </w:pPr>
      <w:proofErr w:type="gramStart"/>
      <w:r w:rsidRPr="00CD004E">
        <w:rPr>
          <w:b/>
          <w:bCs/>
        </w:rPr>
        <w:t>Background:</w:t>
      </w:r>
      <w:r w:rsidRPr="00CD004E">
        <w:t>This</w:t>
      </w:r>
      <w:proofErr w:type="gramEnd"/>
      <w:r w:rsidRPr="00CD004E">
        <w:t xml:space="preserve"> prospective study aims to reveal whether the lesion is a benign pathological process or malignant by measuring ADC values under PI-RADSv2.1 guidance on MpMRI examinations. Additionally, the paper evaluates whether there is a correlation between malignant lesions’ pathological grade and ADC values, and whether ADC values provide noninvasive information about prostate cancer aggressiveness. </w:t>
      </w:r>
    </w:p>
    <w:p w14:paraId="7C8B1C4B" w14:textId="77777777" w:rsidR="0003641D" w:rsidRPr="00CD004E" w:rsidRDefault="0003641D" w:rsidP="00CD004E">
      <w:pPr>
        <w:spacing w:line="480" w:lineRule="auto"/>
        <w:jc w:val="both"/>
      </w:pPr>
      <w:proofErr w:type="gramStart"/>
      <w:r w:rsidRPr="00CD004E">
        <w:rPr>
          <w:b/>
          <w:bCs/>
        </w:rPr>
        <w:t>Purpose</w:t>
      </w:r>
      <w:r w:rsidRPr="00CD004E">
        <w:t>:To</w:t>
      </w:r>
      <w:proofErr w:type="gramEnd"/>
      <w:r w:rsidRPr="00CD004E">
        <w:t xml:space="preserve"> determine the cut-off ADC values that may exist to identify and distinguish between benign and malignant lesions and also identify cancers with an ISUP score≥2 and cancers with an ISUP score1 defined as silent disease. </w:t>
      </w:r>
    </w:p>
    <w:p w14:paraId="7FC96D91" w14:textId="77777777" w:rsidR="0003641D" w:rsidRPr="00CD004E" w:rsidRDefault="0003641D" w:rsidP="00CD004E">
      <w:pPr>
        <w:spacing w:line="480" w:lineRule="auto"/>
        <w:jc w:val="both"/>
      </w:pPr>
      <w:proofErr w:type="gramStart"/>
      <w:r w:rsidRPr="00CD004E">
        <w:rPr>
          <w:b/>
          <w:bCs/>
        </w:rPr>
        <w:t>Methods:</w:t>
      </w:r>
      <w:r w:rsidRPr="00CD004E">
        <w:t>This</w:t>
      </w:r>
      <w:proofErr w:type="gramEnd"/>
      <w:r w:rsidRPr="00CD004E">
        <w:t xml:space="preserve"> study includes 243 patients and they were diagnosed with TRUS-guided cognitive MRI fusion as tissue diagnosis. MpMRI images were evaluated before biopsy according to PI-RADSv2.1 guideline by a radiologist. Three groups which are benign prostatic tissue, prostatitis, prostate cancer, were obtained according to the histopathological results. </w:t>
      </w:r>
    </w:p>
    <w:p w14:paraId="6D7D4B7C" w14:textId="0C6CC8E7" w:rsidR="0003641D" w:rsidRPr="00CD004E" w:rsidRDefault="0003641D" w:rsidP="00CD004E">
      <w:pPr>
        <w:spacing w:line="480" w:lineRule="auto"/>
        <w:jc w:val="both"/>
      </w:pPr>
      <w:r w:rsidRPr="00CD004E">
        <w:rPr>
          <w:b/>
          <w:bCs/>
        </w:rPr>
        <w:t>Results:</w:t>
      </w:r>
      <w:r w:rsidR="00D06EDE" w:rsidRPr="00CD004E">
        <w:rPr>
          <w:b/>
          <w:bCs/>
        </w:rPr>
        <w:t xml:space="preserve"> </w:t>
      </w:r>
      <w:r w:rsidRPr="00CD004E">
        <w:t>When the cut-off value for ADC is 780 x10</w:t>
      </w:r>
      <w:r w:rsidRPr="00CD004E">
        <w:rPr>
          <w:vertAlign w:val="superscript"/>
        </w:rPr>
        <w:t>-3</w:t>
      </w:r>
      <w:r w:rsidRPr="00CD004E">
        <w:t>, sensitivity was 80%. When the cut-off value was taken as 668 x10</w:t>
      </w:r>
      <w:r w:rsidRPr="00CD004E">
        <w:rPr>
          <w:vertAlign w:val="superscript"/>
        </w:rPr>
        <w:t>-3</w:t>
      </w:r>
      <w:r w:rsidRPr="00CD004E">
        <w:t>, the sensitivity was found to be 72% and specificity 62%. When the cut-off ADC value was taken as 647 x10</w:t>
      </w:r>
      <w:r w:rsidRPr="00CD004E">
        <w:rPr>
          <w:vertAlign w:val="superscript"/>
        </w:rPr>
        <w:t>-3</w:t>
      </w:r>
      <w:r w:rsidRPr="00CD004E">
        <w:t xml:space="preserve">, the sensitivity was 83% and the specificity was 48.5%. ADC values varied significantly according to ISUP groups [p= 0.003]. It was determined that ISUP 1 group was significantly higher than each of the other groups. ADC group mean values did not show a statistically significant difference between Group 2,3,4 and 5. </w:t>
      </w:r>
    </w:p>
    <w:p w14:paraId="29058DD6" w14:textId="3E8DF41B" w:rsidR="004373AA" w:rsidRPr="00CD004E" w:rsidRDefault="0003641D" w:rsidP="00573965">
      <w:pPr>
        <w:spacing w:line="480" w:lineRule="auto"/>
        <w:jc w:val="both"/>
      </w:pPr>
      <w:proofErr w:type="gramStart"/>
      <w:r w:rsidRPr="00CD004E">
        <w:rPr>
          <w:b/>
          <w:bCs/>
        </w:rPr>
        <w:lastRenderedPageBreak/>
        <w:t>Conclusion:</w:t>
      </w:r>
      <w:r w:rsidRPr="00CD004E">
        <w:t>ADC</w:t>
      </w:r>
      <w:proofErr w:type="gramEnd"/>
      <w:r w:rsidRPr="00CD004E">
        <w:t xml:space="preserve"> value shows significant potential, and may it improve the diagnostic accuracy.</w:t>
      </w:r>
    </w:p>
    <w:p w14:paraId="0E80DA20" w14:textId="4BDBC0FD" w:rsidR="0003641D" w:rsidRDefault="0003641D" w:rsidP="00573965">
      <w:pPr>
        <w:spacing w:line="360" w:lineRule="auto"/>
        <w:jc w:val="both"/>
        <w:rPr>
          <w:lang w:val="en-US"/>
        </w:rPr>
      </w:pPr>
      <w:r w:rsidRPr="00CD004E">
        <w:rPr>
          <w:b/>
          <w:bCs/>
          <w:lang w:val="en-US"/>
        </w:rPr>
        <w:t xml:space="preserve">Keywords: </w:t>
      </w:r>
      <w:r w:rsidRPr="00CD004E">
        <w:rPr>
          <w:lang w:val="en-US"/>
        </w:rPr>
        <w:t>Prostate Cancer Aggressiveness, Magnetic Resonance Imaging, Apparent Diffusion Coefficient Value</w:t>
      </w:r>
      <w:r w:rsidR="00F05A5C" w:rsidRPr="00CD004E">
        <w:rPr>
          <w:lang w:val="en-US"/>
        </w:rPr>
        <w:t>, PI-RADSv2.1</w:t>
      </w:r>
    </w:p>
    <w:p w14:paraId="48879030" w14:textId="13B358F5" w:rsidR="00573965" w:rsidRDefault="00573965" w:rsidP="00573965">
      <w:pPr>
        <w:spacing w:line="360" w:lineRule="auto"/>
        <w:jc w:val="both"/>
        <w:rPr>
          <w:lang w:val="en-US"/>
        </w:rPr>
      </w:pPr>
    </w:p>
    <w:p w14:paraId="62686879" w14:textId="49EFDC21" w:rsidR="00573965" w:rsidRDefault="00573965" w:rsidP="00573965">
      <w:pPr>
        <w:spacing w:line="360" w:lineRule="auto"/>
        <w:jc w:val="both"/>
        <w:rPr>
          <w:b/>
          <w:bCs/>
          <w:lang w:val="en-US"/>
        </w:rPr>
      </w:pPr>
      <w:r w:rsidRPr="00573965">
        <w:rPr>
          <w:b/>
          <w:bCs/>
          <w:lang w:val="en-US"/>
        </w:rPr>
        <w:t>What is Known?</w:t>
      </w:r>
    </w:p>
    <w:p w14:paraId="080B4FE5" w14:textId="77777777" w:rsidR="00573965" w:rsidRDefault="00573965" w:rsidP="00573965">
      <w:pPr>
        <w:spacing w:line="360" w:lineRule="auto"/>
        <w:ind w:firstLine="708"/>
        <w:jc w:val="both"/>
      </w:pPr>
      <w:r>
        <w:t>In PI-RADSv2, a range between 750–900 mm</w:t>
      </w:r>
      <w:r w:rsidRPr="00C230DA">
        <w:rPr>
          <w:vertAlign w:val="superscript"/>
        </w:rPr>
        <w:t>2</w:t>
      </w:r>
      <w:r>
        <w:t>/s is suggestive for PCa.</w:t>
      </w:r>
      <w:r w:rsidRPr="00C230DA">
        <w:t xml:space="preserve"> </w:t>
      </w:r>
      <w:r>
        <w:t>However, in the literature; there is no consensus on the cut-off ADC value in distinguishing between PCa and healthy parenchyma.</w:t>
      </w:r>
    </w:p>
    <w:p w14:paraId="3504C814" w14:textId="77777777" w:rsidR="00573965" w:rsidRDefault="00573965" w:rsidP="00573965">
      <w:pPr>
        <w:spacing w:line="360" w:lineRule="auto"/>
        <w:jc w:val="both"/>
      </w:pPr>
    </w:p>
    <w:p w14:paraId="137C7BFA" w14:textId="77777777" w:rsidR="00573965" w:rsidRDefault="00573965" w:rsidP="00573965">
      <w:pPr>
        <w:spacing w:line="360" w:lineRule="auto"/>
        <w:jc w:val="both"/>
      </w:pPr>
      <w:r>
        <w:t>Several previous studies have shown that ADC values are inversely correlated with GS and can therefore be considered a marker of PCa aggressiveness. Also, there are no agreed ADC values that corresponds to ISUP grades.</w:t>
      </w:r>
    </w:p>
    <w:p w14:paraId="29ACD357" w14:textId="77777777" w:rsidR="00573965" w:rsidRDefault="00573965" w:rsidP="00573965">
      <w:pPr>
        <w:spacing w:line="360" w:lineRule="auto"/>
        <w:jc w:val="both"/>
      </w:pPr>
    </w:p>
    <w:p w14:paraId="66348490" w14:textId="77777777" w:rsidR="00573965" w:rsidRDefault="00573965" w:rsidP="00573965">
      <w:pPr>
        <w:spacing w:line="360" w:lineRule="auto"/>
        <w:jc w:val="both"/>
      </w:pPr>
      <w:r>
        <w:t xml:space="preserve">Wu et al. </w:t>
      </w:r>
      <w:proofErr w:type="gramStart"/>
      <w:r>
        <w:t>revealed</w:t>
      </w:r>
      <w:proofErr w:type="gramEnd"/>
      <w:r>
        <w:t xml:space="preserve"> that higher ADC values [0.830×10–3 mm</w:t>
      </w:r>
      <w:r w:rsidRPr="00753E1E">
        <w:rPr>
          <w:vertAlign w:val="superscript"/>
        </w:rPr>
        <w:t>2</w:t>
      </w:r>
      <w:r>
        <w:t xml:space="preserve">/s] were significantly associated with low-risk prostate cancer [GS 6 disease]. Alessandrino et al. </w:t>
      </w:r>
      <w:proofErr w:type="gramStart"/>
      <w:r>
        <w:t>found</w:t>
      </w:r>
      <w:proofErr w:type="gramEnd"/>
      <w:r>
        <w:t xml:space="preserve"> that quantitative values obtained from ADC [median ADC, and ADC ratio] are inversely correlated with ISUP score.</w:t>
      </w:r>
    </w:p>
    <w:p w14:paraId="07CE633E" w14:textId="77777777" w:rsidR="00573965" w:rsidRDefault="00573965" w:rsidP="00573965">
      <w:pPr>
        <w:spacing w:line="360" w:lineRule="auto"/>
        <w:jc w:val="both"/>
      </w:pPr>
    </w:p>
    <w:p w14:paraId="13C1F1EE" w14:textId="77777777" w:rsidR="00573965" w:rsidRDefault="00573965" w:rsidP="00573965">
      <w:pPr>
        <w:spacing w:line="360" w:lineRule="auto"/>
        <w:jc w:val="both"/>
      </w:pPr>
      <w:r>
        <w:t>Threshold values are enabling us to distinguish between prostatitis and benign lesions, and those values can be obtained with ADC mapping since it reflects the internal architecture and localization of the pathological process within the prostate.</w:t>
      </w:r>
    </w:p>
    <w:p w14:paraId="126AF7FA" w14:textId="77777777" w:rsidR="00573965" w:rsidRDefault="00573965" w:rsidP="00573965">
      <w:pPr>
        <w:spacing w:line="360" w:lineRule="auto"/>
        <w:jc w:val="both"/>
      </w:pPr>
    </w:p>
    <w:p w14:paraId="2CB7F45C" w14:textId="77777777" w:rsidR="00573965" w:rsidRDefault="00573965" w:rsidP="00573965">
      <w:pPr>
        <w:spacing w:line="360" w:lineRule="auto"/>
        <w:jc w:val="both"/>
      </w:pPr>
      <w:r>
        <w:t xml:space="preserve">Esen et al. </w:t>
      </w:r>
      <w:proofErr w:type="gramStart"/>
      <w:r>
        <w:t>reported</w:t>
      </w:r>
      <w:proofErr w:type="gramEnd"/>
      <w:r>
        <w:t xml:space="preserve"> that ADC values are highly effective in differentiating PCa from prostatitis, but there was no significant difference between normal prostate parenchyma and prostatitis. </w:t>
      </w:r>
    </w:p>
    <w:p w14:paraId="28262C4A" w14:textId="77777777" w:rsidR="00573965" w:rsidRDefault="00573965" w:rsidP="00573965">
      <w:pPr>
        <w:spacing w:line="360" w:lineRule="auto"/>
        <w:jc w:val="both"/>
      </w:pPr>
    </w:p>
    <w:p w14:paraId="5B7DD591" w14:textId="77777777" w:rsidR="00573965" w:rsidRDefault="00573965" w:rsidP="00573965">
      <w:pPr>
        <w:spacing w:line="360" w:lineRule="auto"/>
        <w:jc w:val="both"/>
      </w:pPr>
      <w:r>
        <w:t>Also, in distinguishing prostate cancer from normal prostate parenchyma and prostatitis; ADC value shows significant potential, and may it improve the diagnostic accuracy.</w:t>
      </w:r>
    </w:p>
    <w:p w14:paraId="11DCC491" w14:textId="5D6DBBB3" w:rsidR="00573965" w:rsidRDefault="00573965" w:rsidP="00573965">
      <w:pPr>
        <w:spacing w:line="360" w:lineRule="auto"/>
        <w:jc w:val="both"/>
        <w:rPr>
          <w:b/>
          <w:bCs/>
          <w:lang w:val="en-US"/>
        </w:rPr>
      </w:pPr>
    </w:p>
    <w:p w14:paraId="47DD0BB7" w14:textId="77777777" w:rsidR="00573965" w:rsidRDefault="00573965" w:rsidP="00573965">
      <w:pPr>
        <w:spacing w:line="360" w:lineRule="auto"/>
        <w:jc w:val="both"/>
        <w:rPr>
          <w:b/>
          <w:bCs/>
          <w:lang w:val="en-US"/>
        </w:rPr>
      </w:pPr>
    </w:p>
    <w:p w14:paraId="43868696" w14:textId="66DA8ED1" w:rsidR="00573965" w:rsidRDefault="00573965" w:rsidP="00573965">
      <w:pPr>
        <w:spacing w:line="360" w:lineRule="auto"/>
        <w:jc w:val="both"/>
        <w:rPr>
          <w:b/>
          <w:bCs/>
          <w:lang w:val="en-US"/>
        </w:rPr>
      </w:pPr>
    </w:p>
    <w:p w14:paraId="69A5E50E" w14:textId="77777777" w:rsidR="00573965" w:rsidRDefault="00573965" w:rsidP="00573965">
      <w:pPr>
        <w:spacing w:line="360" w:lineRule="auto"/>
        <w:jc w:val="both"/>
        <w:rPr>
          <w:b/>
          <w:bCs/>
          <w:lang w:val="en-US"/>
        </w:rPr>
      </w:pPr>
    </w:p>
    <w:p w14:paraId="03285D3F" w14:textId="77777777" w:rsidR="00573965" w:rsidRDefault="00573965" w:rsidP="00573965">
      <w:pPr>
        <w:spacing w:line="360" w:lineRule="auto"/>
        <w:jc w:val="both"/>
        <w:rPr>
          <w:b/>
          <w:bCs/>
          <w:lang w:val="en-US"/>
        </w:rPr>
      </w:pPr>
    </w:p>
    <w:p w14:paraId="55C6B7BD" w14:textId="1AE5F658" w:rsidR="00573965" w:rsidRDefault="00573965" w:rsidP="00573965">
      <w:pPr>
        <w:spacing w:line="360" w:lineRule="auto"/>
        <w:jc w:val="both"/>
        <w:rPr>
          <w:b/>
          <w:bCs/>
          <w:lang w:val="en-US"/>
        </w:rPr>
      </w:pPr>
      <w:r>
        <w:rPr>
          <w:b/>
          <w:bCs/>
          <w:lang w:val="en-US"/>
        </w:rPr>
        <w:lastRenderedPageBreak/>
        <w:t>What is New?</w:t>
      </w:r>
    </w:p>
    <w:p w14:paraId="2EB32A09" w14:textId="77777777" w:rsidR="00573965" w:rsidRDefault="00573965" w:rsidP="00573965">
      <w:pPr>
        <w:spacing w:line="360" w:lineRule="auto"/>
        <w:ind w:firstLine="708"/>
        <w:jc w:val="both"/>
      </w:pPr>
      <w:r>
        <w:t xml:space="preserve">In our study, the mean ADC value of the malignant lesions included was 629.97±151.77 for the PZ and 614.75±152.23 for the TZ. When PCa and non-cancerous lesions were compared, it was seen that ADC values were significantly different. DWI and ADC mapping demonstrated that the tissue cellularity of prostate parenchyma are basic sequences that can provide important information. </w:t>
      </w:r>
    </w:p>
    <w:p w14:paraId="2A60769C" w14:textId="77777777" w:rsidR="00573965" w:rsidRDefault="00573965" w:rsidP="00573965">
      <w:pPr>
        <w:spacing w:line="360" w:lineRule="auto"/>
        <w:jc w:val="both"/>
      </w:pPr>
    </w:p>
    <w:p w14:paraId="51B30242" w14:textId="77777777" w:rsidR="00573965" w:rsidRDefault="00573965" w:rsidP="00573965">
      <w:pPr>
        <w:spacing w:line="360" w:lineRule="auto"/>
        <w:jc w:val="both"/>
      </w:pPr>
      <w:r>
        <w:t xml:space="preserve">Our study shows that ADC values are successful in distinguishing cancers with an ISUP-1, which are defined as silent diseases, from cancers with a clinically </w:t>
      </w:r>
      <w:proofErr w:type="gramStart"/>
      <w:r>
        <w:t>important[</w:t>
      </w:r>
      <w:proofErr w:type="gramEnd"/>
      <w:r>
        <w:t xml:space="preserve">ISUP≥2]. Thus, in elderly patients where radical prostatectomy will not change the 5-year survival rate, with a simple measurement of ADC value, we can predict clinically </w:t>
      </w:r>
      <w:proofErr w:type="gramStart"/>
      <w:r>
        <w:t>insignificant[</w:t>
      </w:r>
      <w:proofErr w:type="gramEnd"/>
      <w:r>
        <w:t>ISUP-1] PCa before surgery. And we can protect these patients’ groups from the possible morbidity of radical prostatectomy, such as incontinence, by choosing a more conservative treatment plan.</w:t>
      </w:r>
    </w:p>
    <w:p w14:paraId="5B6A71AC" w14:textId="77777777" w:rsidR="00573965" w:rsidRDefault="00573965" w:rsidP="00573965">
      <w:pPr>
        <w:spacing w:line="360" w:lineRule="auto"/>
        <w:jc w:val="both"/>
      </w:pPr>
    </w:p>
    <w:p w14:paraId="1D97A934" w14:textId="77777777" w:rsidR="00573965" w:rsidRDefault="00573965" w:rsidP="00573965">
      <w:pPr>
        <w:spacing w:line="360" w:lineRule="auto"/>
        <w:jc w:val="both"/>
      </w:pPr>
      <w:r>
        <w:t>No significant difference was found between benign prostatic tissue and prostatitis group ADC values, but a significant difference was observed between normal prostate tissue and benign prostate disease ADC values as well as between normal prostate tissue and PCa.</w:t>
      </w:r>
    </w:p>
    <w:p w14:paraId="5E4301F0" w14:textId="77777777" w:rsidR="00573965" w:rsidRDefault="00573965" w:rsidP="00573965">
      <w:pPr>
        <w:spacing w:line="360" w:lineRule="auto"/>
        <w:jc w:val="both"/>
      </w:pPr>
    </w:p>
    <w:p w14:paraId="4BAE2A0E" w14:textId="77777777" w:rsidR="00573965" w:rsidRDefault="00573965" w:rsidP="00573965">
      <w:pPr>
        <w:spacing w:line="360" w:lineRule="auto"/>
        <w:jc w:val="both"/>
      </w:pPr>
    </w:p>
    <w:p w14:paraId="73903B11" w14:textId="77777777" w:rsidR="00573965" w:rsidRDefault="00573965" w:rsidP="00573965">
      <w:pPr>
        <w:spacing w:line="360" w:lineRule="auto"/>
        <w:jc w:val="both"/>
      </w:pPr>
      <w:r>
        <w:t>We think that the ADC values we found in our study will contribute to the literature in distinguishing between prostatitis and similar benign processes, clinically insignificant low-grade cancers and high-grade cancers.</w:t>
      </w:r>
    </w:p>
    <w:p w14:paraId="7F36EF29" w14:textId="77777777" w:rsidR="00573965" w:rsidRDefault="00573965" w:rsidP="00573965">
      <w:pPr>
        <w:spacing w:line="360" w:lineRule="auto"/>
        <w:jc w:val="both"/>
      </w:pPr>
    </w:p>
    <w:p w14:paraId="7981FEFD" w14:textId="77777777" w:rsidR="00573965" w:rsidRDefault="00573965" w:rsidP="00573965">
      <w:pPr>
        <w:spacing w:line="360" w:lineRule="auto"/>
        <w:jc w:val="both"/>
      </w:pPr>
      <w:r>
        <w:t xml:space="preserve">The importance of ADC values has been shown in the latest version of PI-RADS and we believe that ADC values should be used in the new version of the PI-RADS to be created. </w:t>
      </w:r>
    </w:p>
    <w:p w14:paraId="2ECBB382" w14:textId="77777777" w:rsidR="00573965" w:rsidRPr="00573965" w:rsidRDefault="00573965" w:rsidP="00573965">
      <w:pPr>
        <w:spacing w:line="360" w:lineRule="auto"/>
        <w:jc w:val="both"/>
        <w:rPr>
          <w:b/>
          <w:bCs/>
          <w:lang w:val="en-US"/>
        </w:rPr>
      </w:pPr>
    </w:p>
    <w:p w14:paraId="0144C5B5" w14:textId="77777777" w:rsidR="00573965" w:rsidRPr="00CD004E" w:rsidRDefault="00573965" w:rsidP="00573965">
      <w:pPr>
        <w:spacing w:line="360" w:lineRule="auto"/>
        <w:jc w:val="both"/>
        <w:rPr>
          <w:b/>
          <w:bCs/>
          <w:lang w:val="en-US"/>
        </w:rPr>
      </w:pPr>
    </w:p>
    <w:p w14:paraId="1D600249" w14:textId="05DBB882" w:rsidR="0003641D" w:rsidRDefault="0003641D" w:rsidP="00573965">
      <w:pPr>
        <w:pStyle w:val="NormalWeb"/>
        <w:spacing w:before="0" w:beforeAutospacing="0" w:after="0" w:afterAutospacing="0" w:line="360" w:lineRule="auto"/>
        <w:jc w:val="both"/>
        <w:rPr>
          <w:rStyle w:val="Gl"/>
          <w:color w:val="0E101A"/>
        </w:rPr>
      </w:pPr>
    </w:p>
    <w:p w14:paraId="59420A26" w14:textId="558C331D" w:rsidR="00573965" w:rsidRDefault="00573965" w:rsidP="00573965">
      <w:pPr>
        <w:pStyle w:val="NormalWeb"/>
        <w:spacing w:before="0" w:beforeAutospacing="0" w:after="0" w:afterAutospacing="0" w:line="360" w:lineRule="auto"/>
        <w:jc w:val="both"/>
        <w:rPr>
          <w:rStyle w:val="Gl"/>
          <w:color w:val="0E101A"/>
        </w:rPr>
      </w:pPr>
    </w:p>
    <w:p w14:paraId="7E91BB2B" w14:textId="37C66672" w:rsidR="00573965" w:rsidRDefault="00573965" w:rsidP="00573965">
      <w:pPr>
        <w:pStyle w:val="NormalWeb"/>
        <w:spacing w:before="0" w:beforeAutospacing="0" w:after="0" w:afterAutospacing="0" w:line="360" w:lineRule="auto"/>
        <w:jc w:val="both"/>
        <w:rPr>
          <w:rStyle w:val="Gl"/>
          <w:color w:val="0E101A"/>
        </w:rPr>
      </w:pPr>
    </w:p>
    <w:p w14:paraId="5154E6C6" w14:textId="41261F15" w:rsidR="00573965" w:rsidRDefault="00573965" w:rsidP="00573965">
      <w:pPr>
        <w:pStyle w:val="NormalWeb"/>
        <w:spacing w:before="0" w:beforeAutospacing="0" w:after="0" w:afterAutospacing="0" w:line="360" w:lineRule="auto"/>
        <w:jc w:val="both"/>
        <w:rPr>
          <w:rStyle w:val="Gl"/>
          <w:color w:val="0E101A"/>
        </w:rPr>
      </w:pPr>
    </w:p>
    <w:p w14:paraId="6E834AB5" w14:textId="77777777" w:rsidR="00573965" w:rsidRPr="00CD004E" w:rsidRDefault="00573965" w:rsidP="00573965">
      <w:pPr>
        <w:pStyle w:val="NormalWeb"/>
        <w:spacing w:before="0" w:beforeAutospacing="0" w:after="0" w:afterAutospacing="0" w:line="360" w:lineRule="auto"/>
        <w:jc w:val="both"/>
        <w:rPr>
          <w:rStyle w:val="Gl"/>
          <w:color w:val="0E101A"/>
        </w:rPr>
      </w:pPr>
    </w:p>
    <w:p w14:paraId="159D0A3D" w14:textId="449E8600" w:rsidR="00982290" w:rsidRDefault="00982290" w:rsidP="00982290">
      <w:pPr>
        <w:spacing w:line="360" w:lineRule="auto"/>
        <w:rPr>
          <w:b/>
          <w:bCs/>
          <w:lang w:val="en-US"/>
        </w:rPr>
      </w:pPr>
      <w:r w:rsidRPr="00BE2C92">
        <w:rPr>
          <w:b/>
          <w:bCs/>
          <w:lang w:val="en-US"/>
        </w:rPr>
        <w:lastRenderedPageBreak/>
        <w:t xml:space="preserve">Apparent </w:t>
      </w:r>
      <w:r>
        <w:rPr>
          <w:b/>
          <w:bCs/>
          <w:lang w:val="en-US"/>
        </w:rPr>
        <w:t>D</w:t>
      </w:r>
      <w:r w:rsidRPr="00BE2C92">
        <w:rPr>
          <w:b/>
          <w:bCs/>
          <w:lang w:val="en-US"/>
        </w:rPr>
        <w:t xml:space="preserve">iffusion </w:t>
      </w:r>
      <w:r>
        <w:rPr>
          <w:b/>
          <w:bCs/>
          <w:lang w:val="en-US"/>
        </w:rPr>
        <w:t>C</w:t>
      </w:r>
      <w:r w:rsidRPr="00BE2C92">
        <w:rPr>
          <w:b/>
          <w:bCs/>
          <w:lang w:val="en-US"/>
        </w:rPr>
        <w:t>oefficient</w:t>
      </w:r>
      <w:r>
        <w:rPr>
          <w:b/>
          <w:bCs/>
          <w:lang w:val="en-US"/>
        </w:rPr>
        <w:t xml:space="preserve"> (ADC)</w:t>
      </w:r>
      <w:r w:rsidRPr="00BE2C92">
        <w:rPr>
          <w:b/>
          <w:bCs/>
          <w:lang w:val="en-US"/>
        </w:rPr>
        <w:t> </w:t>
      </w:r>
      <w:r w:rsidRPr="00E848C7">
        <w:rPr>
          <w:b/>
          <w:bCs/>
          <w:lang w:val="en-US"/>
        </w:rPr>
        <w:t>Values as a Complementary Tool in the Prostate Gland Disease: A Prospective Evaluation of A</w:t>
      </w:r>
      <w:r>
        <w:rPr>
          <w:b/>
          <w:bCs/>
          <w:lang w:val="en-US"/>
        </w:rPr>
        <w:t>pparent Diffusion Coefficient (ADC)</w:t>
      </w:r>
      <w:r w:rsidRPr="00E848C7">
        <w:rPr>
          <w:b/>
          <w:bCs/>
          <w:lang w:val="en-US"/>
        </w:rPr>
        <w:t xml:space="preserve"> Values with Pathological Data</w:t>
      </w:r>
    </w:p>
    <w:p w14:paraId="10877E8D" w14:textId="77777777" w:rsidR="00982290" w:rsidRPr="00E848C7" w:rsidRDefault="00982290" w:rsidP="00982290">
      <w:pPr>
        <w:spacing w:line="360" w:lineRule="auto"/>
        <w:rPr>
          <w:b/>
          <w:bCs/>
          <w:lang w:val="en-US"/>
        </w:rPr>
      </w:pPr>
    </w:p>
    <w:p w14:paraId="4EEC5B54" w14:textId="77777777" w:rsidR="00CC2ABC" w:rsidRPr="00CD004E" w:rsidRDefault="00CC2ABC" w:rsidP="00CD004E">
      <w:pPr>
        <w:pStyle w:val="NormalWeb"/>
        <w:spacing w:before="0" w:beforeAutospacing="0" w:after="0" w:afterAutospacing="0" w:line="480" w:lineRule="auto"/>
        <w:ind w:firstLine="708"/>
        <w:jc w:val="both"/>
        <w:rPr>
          <w:color w:val="0E101A"/>
        </w:rPr>
      </w:pPr>
      <w:r w:rsidRPr="00CD004E">
        <w:rPr>
          <w:rStyle w:val="Gl"/>
          <w:color w:val="0E101A"/>
        </w:rPr>
        <w:t>Introduction:</w:t>
      </w:r>
    </w:p>
    <w:p w14:paraId="149844CC" w14:textId="2965D2CB" w:rsidR="00CC2ABC" w:rsidRPr="00CD004E" w:rsidRDefault="00CC2ABC" w:rsidP="00CD004E">
      <w:pPr>
        <w:pStyle w:val="NormalWeb"/>
        <w:spacing w:before="0" w:beforeAutospacing="0" w:after="0" w:afterAutospacing="0" w:line="480" w:lineRule="auto"/>
        <w:ind w:firstLine="708"/>
        <w:jc w:val="both"/>
        <w:rPr>
          <w:color w:val="0E101A"/>
        </w:rPr>
      </w:pPr>
      <w:r w:rsidRPr="00CD004E">
        <w:rPr>
          <w:color w:val="0E101A"/>
        </w:rPr>
        <w:t xml:space="preserve">Prostate cancer [PCa] is the most common cancer in men and is the </w:t>
      </w:r>
      <w:r w:rsidR="00D06EDE" w:rsidRPr="00CD004E">
        <w:rPr>
          <w:color w:val="0E101A"/>
        </w:rPr>
        <w:t>second</w:t>
      </w:r>
      <w:r w:rsidRPr="00CD004E">
        <w:rPr>
          <w:color w:val="0E101A"/>
        </w:rPr>
        <w:t xml:space="preserve"> most common reason for cancer-related deaths</w:t>
      </w:r>
      <w:r w:rsidR="00D27101">
        <w:rPr>
          <w:rStyle w:val="DipnotBavurusu"/>
          <w:color w:val="0E101A"/>
        </w:rPr>
        <w:fldChar w:fldCharType="begin" w:fldLock="1"/>
      </w:r>
      <w:r w:rsidR="00D27101">
        <w:rPr>
          <w:color w:val="0E101A"/>
        </w:rPr>
        <w:instrText>ADDIN CSL_CITATION {"citationItems":[{"id":"ITEM-1","itemData":{"DOI":"10.3322/caac.21654","ISSN":"0007-9235","PMID":"33433946","abstract":"Each year, the American Cancer Society estimates the numbers of new cancer cases and deaths in the United States and compiles the most recent data on population-based cancer occurrence. Incidence data (through 2017) were collected by the Surveillance, Epidemiology, and End Results Program; the National Program of Cancer Registries; and the North American Association of Central Cancer Registries. Mortality data (through 2018) were collected by the National Center for Health Statistics. In 2021, 1,898,160 new cancer cases and 608,570 cancer deaths are projected to occur in the United States. After increasing for most of the 20th century, the cancer death rate has fallen continuously from its peak in 1991 through 2018, for a total decline of 31%, because of reductions in smoking and improvements in early detection and treatment. This translates to 3.2 million fewer cancer deaths than would have occurred if peak rates had persisted. Long-term declines in mortality for the 4 leading cancers have halted for prostate cancer and slowed for breast and colorectal cancers, but accelerated for lung cancer, which accounted for almost one-half of the total mortality decline from 2014 to 2018. The pace of the annual decline in lung cancer mortality doubled from 3.1% during 2009 through 2013 to 5.5% during 2014 through 2018 in men, from 1.8% to 4.4% in women, and from 2.4% to 5% overall. This trend coincides with steady declines in incidence (2.2%-2.3%) but rapid gains in survival specifically for nonsmall cell lung cancer (NSCLC). For example, NSCLC 2-year relative survival increased from 34% for persons diagnosed during 2009 through 2010 to 42% during 2015 through 2016, including absolute increases of 5% to 6% for every stage of diagnosis; survival for small cell lung cancer remained at 14% to 15%. Improved treatment accelerated progress against lung cancer and drove a record drop in overall cancer mortality, despite slowing momentum for other common cancers.","author":[{"dropping-particle":"","family":"Siegel","given":"Rebecca L.","non-dropping-particle":"","parse-names":false,"suffix":""},{"dropping-particle":"","family":"Miller","given":"Kimberly D.","non-dropping-particle":"","parse-names":false,"suffix":""},{"dropping-particle":"","family":"Fuchs","given":"Hannah E.","non-dropping-particle":"","parse-names":false,"suffix":""},{"dropping-particle":"","family":"Jemal","given":"Ahmedin","non-dropping-particle":"","parse-names":false,"suffix":""}],"container-title":"CA: A Cancer Journal for Clinicians","id":"ITEM-1","issue":"1","issued":{"date-parts":[["2021"]]},"page":"7-33","title":"Cancer Statistics, 2021","type":"article-journal","volume":"71"},"uris":["http://www.mendeley.com/documents/?uuid=5c9d785c-81dd-4893-a882-ea30864a1802"]}],"mendeley":{"formattedCitation":"&lt;sup&gt;1&lt;/sup&gt;","plainTextFormattedCitation":"1","previouslyFormattedCitation":"Rebecca L. Siegel and others, ‘Cancer Statistics, 2021’, &lt;i&gt;CA: A Cancer Journal for Clinicians&lt;/i&gt;, 71.1 (2021), 7–33 &lt;https://doi.org/10.3322/caac.21654&gt;."},"properties":{"noteIndex":0},"schema":"https://github.com/citation-style-language/schema/raw/master/csl-citation.json"}</w:instrText>
      </w:r>
      <w:r w:rsidR="00D27101">
        <w:rPr>
          <w:rStyle w:val="DipnotBavurusu"/>
          <w:color w:val="0E101A"/>
        </w:rPr>
        <w:fldChar w:fldCharType="separate"/>
      </w:r>
      <w:r w:rsidR="00D27101" w:rsidRPr="00D27101">
        <w:rPr>
          <w:bCs/>
          <w:noProof/>
          <w:color w:val="0E101A"/>
          <w:vertAlign w:val="superscript"/>
        </w:rPr>
        <w:t>1</w:t>
      </w:r>
      <w:r w:rsidR="00D27101">
        <w:rPr>
          <w:rStyle w:val="DipnotBavurusu"/>
          <w:color w:val="0E101A"/>
        </w:rPr>
        <w:fldChar w:fldCharType="end"/>
      </w:r>
      <w:r w:rsidRPr="00CD004E">
        <w:rPr>
          <w:color w:val="0E101A"/>
        </w:rPr>
        <w:t>. There is a broad spectrum, ranging from low-grade organ-confined tumors to aggressive tumors that can metastasize and lead to death. Therefore, proper diagnosis and staging are essential</w:t>
      </w:r>
      <w:r w:rsidR="00D27101">
        <w:rPr>
          <w:rStyle w:val="DipnotBavurusu"/>
          <w:color w:val="0E101A"/>
        </w:rPr>
        <w:fldChar w:fldCharType="begin" w:fldLock="1"/>
      </w:r>
      <w:r w:rsidR="00D27101">
        <w:rPr>
          <w:color w:val="0E101A"/>
        </w:rPr>
        <w:instrText>ADDIN CSL_CITATION {"citationItems":[{"id":"ITEM-1","itemData":{"DOI":"10.1002/ijc.29538","ISSN":"10970215","abstract":"Prostate cancer screening may detect nonprogressive cancers, leading to overdiagnosis and overtreatment. The potential for overdiagnosis can be assessed from the reservoir of prostate cancer in autopsy studies that report incidental prostate cancer rates in men who died of other causes. We aimed to estimate the age-specific incidental cancer prevalence from all published autopsy studies. We identified eligible studies by searches of Medline and Embase, forward and backward citation searches and contacting authors. We screened the titles and abstracts of all articles; checked the full-text articles for eligibility and extracted clinical and pathology data using standardized forms. We extracted mean cancer prevalence, age-specific cancer prevalence and validity measures and then pooled data from all studies using logistic regression models with random effects. The 29 studies included in the review dated from 1948 to 2013. Incidental cancer was detected in all populations, with no obvious time trends in prevalence. Prostate cancer prevalence increased with each decade of age, OR = 1.7 (1.6-1.8), and was higher in studies that used the Gleason score, OR = 2.0 (1.1-3.7). No other factors were significantly predictive. The estimated mean cancer prevalence increased in a nonlinear fashion from 5% (95% CI: 3-8%) at age &lt;30 years to 59% (95% CI: 48-71%) by age &gt;79 years. There was substantial variation between populations in estimated cancer prevalence. There is a substantial reservoir of incidental prostate cancer which increases with age. The high risk of overdiagnosis limits the usefulness of prostate cancer screening.","author":[{"dropping-particle":"","family":"Bell","given":"Katy J.L.","non-dropping-particle":"","parse-names":false,"suffix":""},{"dropping-particle":"","family":"Mar","given":"Chris","non-dropping-particle":"Del","parse-names":false,"suffix":""},{"dropping-particle":"","family":"Wright","given":"Gordon","non-dropping-particle":"","parse-names":false,"suffix":""},{"dropping-particle":"","family":"Dickinson","given":"James","non-dropping-particle":"","parse-names":false,"suffix":""},{"dropping-particle":"","family":"Glasziou","given":"Paul","non-dropping-particle":"","parse-names":false,"suffix":""}],"container-title":"International Journal of Cancer","id":"ITEM-1","issued":{"date-parts":[["2015"]]},"title":"Prevalence of incidental prostate cancer: A systematic review of autopsy studies","type":"article-journal"},"uris":["http://www.mendeley.com/documents/?uuid=6b708e70-cb1c-4bac-8969-7a9e1023a64f"]}],"mendeley":{"formattedCitation":"&lt;sup&gt;2&lt;/sup&gt;","plainTextFormattedCitation":"2","previouslyFormattedCitation":"Katy J.L. Bell and others, ‘Prevalence of Incidental Prostate Cancer: A Systematic Review of Autopsy Studies’, &lt;i&gt;International Journal of Cancer&lt;/i&gt;, 2015 &lt;https://doi.org/10.1002/ijc.29538&gt;."},"properties":{"noteIndex":0},"schema":"https://github.com/citation-style-language/schema/raw/master/csl-citation.json"}</w:instrText>
      </w:r>
      <w:r w:rsidR="00D27101">
        <w:rPr>
          <w:rStyle w:val="DipnotBavurusu"/>
          <w:color w:val="0E101A"/>
        </w:rPr>
        <w:fldChar w:fldCharType="separate"/>
      </w:r>
      <w:r w:rsidR="00D27101" w:rsidRPr="00D27101">
        <w:rPr>
          <w:noProof/>
          <w:color w:val="0E101A"/>
          <w:vertAlign w:val="superscript"/>
        </w:rPr>
        <w:t>2</w:t>
      </w:r>
      <w:r w:rsidR="00D27101">
        <w:rPr>
          <w:rStyle w:val="DipnotBavurusu"/>
          <w:color w:val="0E101A"/>
        </w:rPr>
        <w:fldChar w:fldCharType="end"/>
      </w:r>
      <w:r w:rsidRPr="00CD004E">
        <w:rPr>
          <w:color w:val="0E101A"/>
        </w:rPr>
        <w:t>. Most of the cases diagnosed with PCa</w:t>
      </w:r>
      <w:r w:rsidR="00D06EDE" w:rsidRPr="00CD004E">
        <w:rPr>
          <w:color w:val="0E101A"/>
        </w:rPr>
        <w:t xml:space="preserve"> </w:t>
      </w:r>
      <w:r w:rsidRPr="00CD004E">
        <w:rPr>
          <w:color w:val="0E101A"/>
        </w:rPr>
        <w:t>are asymptomatic or</w:t>
      </w:r>
      <w:r w:rsidR="00D06EDE" w:rsidRPr="00CD004E">
        <w:rPr>
          <w:color w:val="0E101A"/>
        </w:rPr>
        <w:t xml:space="preserve"> </w:t>
      </w:r>
      <w:r w:rsidRPr="00CD004E">
        <w:rPr>
          <w:color w:val="0E101A"/>
        </w:rPr>
        <w:t>cancers that do not decrease life expectancy and therefore have no clinical significance</w:t>
      </w:r>
      <w:r w:rsidR="00D27101">
        <w:rPr>
          <w:rStyle w:val="DipnotBavurusu"/>
          <w:color w:val="0E101A"/>
        </w:rPr>
        <w:fldChar w:fldCharType="begin" w:fldLock="1"/>
      </w:r>
      <w:r w:rsidR="00D27101">
        <w:rPr>
          <w:color w:val="0E101A"/>
        </w:rPr>
        <w:instrText>ADDIN CSL_CITATION {"citationItems":[{"id":"ITEM-1","itemData":{"DOI":"10.21037/tau.2017.12.28","ISSN":"22234691","abstract":"© Translational Andrology and Urology. Background: Active surveillance (AS) for low-risk prostate cancer (PCa) appears to provide excellent longterm PCa-specific and overall survival. The choice for AS as initial treatment is mainly based on avoiding side effects from invasive treatment; but AS entails regular check-ups and the possibility of still having to switch or deciding to switch to invasive treatment. Here, we assessed the long-term follow-up data from AS in real life clinical practices. Methods: Data from the first 500 men, enrolled in PRIAS before July 2008 by 30 centers across 8 countries, were analyzed to provide long-term follow-up results. Men were advised to be regularly examined with prostate-specific antigen (PSA) tests, digital rectal examinations, and prostate biopsies. Men were advised to switch to invasive treatment if they had disease reclassification [Gleason score (GS) =3+4 on biopsy, more than two positive biopsy cores, a stage higher than cT2] or a PSA-doubling time of 0-3 years. We assessed time on AS, outcomes and reasons for discontinuing AS, and rates of potential unnecessary biopsies and treatments. Results: The median follow-up time was 6.5 years. During this period, 325 (65%) men discontinued after a median of 2.3 years and 121 (24%) men had no recent ( &gt; 1 year) data-update after a median of 7.3 years. The remaining 54 (11%) men were confirmed to be still on AS. Most men discontinued based on protocol advice; 38% had other reasons. During follow-up, 838 biopsy sessions were performed of which 79% to 90% did not lead to reclassification, depending on the criteria. Of the 325 discontinued men, 112 subsequently underwent radical prostatectomy (RP), 126 underwent radiotherapy, 57 switched to watchful waiting (WW) or died, and 30 had another or unknown treatment. RP results were available of 99 men: 34% to 68%, depending on definition, had favorable outcomes; 50% of unfavorable the outcomes occurred in the first 2 years. Of the 30 (6%) men who died, 1 man died due to PCa. Conclusions: These data, reflecting real life clinical practice, show that more than half of men switched to invasive treatment within 2.3 years, indicating limitations to the extent in which AS is able to reduce theadverse effects of overdiagnosis. Therefore, despite guidelines stating that PCa diagnosis must be uncoupled from treatment, it remains important to avoid overdiagnosing PCa as much as possible.","author":[{"dropping-particle":"","family":"Drost","given":"Frank Jan H.","non-dropping-particle":"","parse-names":false,"suffix":""},{"dropping-particle":"","family":"Rannikko","given":"Antti","non-dropping-particle":"","parse-names":false,"suffix":""},{"dropping-particle":"","family":"Valdagni","given":"Riccardo","non-dropping-particle":"","parse-names":false,"suffix":""},{"dropping-particle":"","family":"Pickles","given":"Tom","non-dropping-particle":"","parse-names":false,"suffix":""},{"dropping-particle":"","family":"Kakehi","given":"Yoshiyuki","non-dropping-particle":"","parse-names":false,"suffix":""},{"dropping-particle":"","family":"Remmers","given":"Sebastiaan","non-dropping-particle":"","parse-names":false,"suffix":""},{"dropping-particle":"","family":"Poel","given":"Henk G.","non-dropping-particle":"van der","parse-names":false,"suffix":""},{"dropping-particle":"","family":"Bangma","given":"Chris H.","non-dropping-particle":"","parse-names":false,"suffix":""},{"dropping-particle":"","family":"Roobol","given":"Monique J.","non-dropping-particle":"","parse-names":false,"suffix":""}],"container-title":"Translational Andrology and Urology","id":"ITEM-1","issue":"1","issued":{"date-parts":[["2018"]]},"page":"98-105","title":"Can active surveillance really reduce the harms of overdiagnosing prostate cancer? A reflection of real life clinical practice in the PRIAS study","type":"article-journal","volume":"7"},"uris":["http://www.mendeley.com/documents/?uuid=06d9bdcb-9815-41a8-821b-5324d4d294fb"]}],"mendeley":{"formattedCitation":"&lt;sup&gt;3&lt;/sup&gt;","plainTextFormattedCitation":"3","previouslyFormattedCitation":"Frank Jan H. Drost and others, ‘Can Active Surveillance Really Reduce the Harms of Overdiagnosing Prostate Cancer? A Reflection of Real Life Clinical Practice in the PRIAS Study’, &lt;i&gt;Translational Andrology and Urology&lt;/i&gt;, 7.1 (2018), 98–105 &lt;https://doi.org/10.21037/tau.2017.12.28&gt;."},"properties":{"noteIndex":0},"schema":"https://github.com/citation-style-language/schema/raw/master/csl-citation.json"}</w:instrText>
      </w:r>
      <w:r w:rsidR="00D27101">
        <w:rPr>
          <w:rStyle w:val="DipnotBavurusu"/>
          <w:color w:val="0E101A"/>
        </w:rPr>
        <w:fldChar w:fldCharType="separate"/>
      </w:r>
      <w:r w:rsidR="00D27101" w:rsidRPr="00D27101">
        <w:rPr>
          <w:bCs/>
          <w:noProof/>
          <w:color w:val="0E101A"/>
          <w:vertAlign w:val="superscript"/>
        </w:rPr>
        <w:t>3</w:t>
      </w:r>
      <w:r w:rsidR="00D27101">
        <w:rPr>
          <w:rStyle w:val="DipnotBavurusu"/>
          <w:color w:val="0E101A"/>
        </w:rPr>
        <w:fldChar w:fldCharType="end"/>
      </w:r>
      <w:r w:rsidRPr="00CD004E">
        <w:rPr>
          <w:color w:val="0E101A"/>
        </w:rPr>
        <w:t>. There are several treatment options for PCa; vary between emergency radical surgery, hormonotherapy, and active surveillance</w:t>
      </w:r>
      <w:r w:rsidR="00D27101">
        <w:rPr>
          <w:rStyle w:val="DipnotBavurusu"/>
          <w:color w:val="0E101A"/>
        </w:rPr>
        <w:fldChar w:fldCharType="begin" w:fldLock="1"/>
      </w:r>
      <w:r w:rsidR="00D27101">
        <w:rPr>
          <w:color w:val="0E101A"/>
        </w:rPr>
        <w:instrText>ADDIN CSL_CITATION {"citationItems":[{"id":"ITEM-1","itemData":{"DOI":"10.1016/j.juro.2011.08.055","ISSN":"00225347","author":[{"dropping-particle":"","family":"Bill-Axelson","given":"A.","non-dropping-particle":"","parse-names":false,"suffix":""},{"dropping-particle":"","family":"Holmberg","given":"L.","non-dropping-particle":"","parse-names":false,"suffix":""},{"dropping-particle":"","family":"Ruutu","given":"M.","non-dropping-particle":"","parse-names":false,"suffix":""},{"dropping-particle":"","family":"Garmo","given":"H.","non-dropping-particle":"","parse-names":false,"suffix":""},{"dropping-particle":"","family":"Stark","given":"J. R.","non-dropping-particle":"","parse-names":false,"suffix":""},{"dropping-particle":"","family":"Busch","given":"C.","non-dropping-particle":"","parse-names":false,"suffix":""},{"dropping-particle":"","family":"Nordling","given":"S.","non-dropping-particle":"","parse-names":false,"suffix":""},{"dropping-particle":"","family":"Häggman","given":"M.","non-dropping-particle":"","parse-names":false,"suffix":""},{"dropping-particle":"","family":"Andersson","given":"S. O.","non-dropping-particle":"","parse-names":false,"suffix":""},{"dropping-particle":"","family":"Bratell","given":"S.","non-dropping-particle":"","parse-names":false,"suffix":""},{"dropping-particle":"","family":"Spångberg","given":"A.","non-dropping-particle":"","parse-names":false,"suffix":""},{"dropping-particle":"","family":"Palmgren","given":"J.","non-dropping-particle":"","parse-names":false,"suffix":""},{"dropping-particle":"","family":"Steineck","given":"G.","non-dropping-particle":"","parse-names":false,"suffix":""},{"dropping-particle":"","family":"Adami","given":"H. O.","non-dropping-particle":"","parse-names":false,"suffix":""},{"dropping-particle":"","family":"Johansson","given":"J. E.","non-dropping-particle":"","parse-names":false,"suffix":""}],"container-title":"Journal of Urology","id":"ITEM-1","issued":{"date-parts":[["2011"]]},"title":"Re: Radical prostatectomy versus watchful waiting in early prostate cancer","type":"article"},"uris":["http://www.mendeley.com/documents/?uuid=2a531d86-86f6-41a8-8f49-e18ff70ba520"]}],"mendeley":{"formattedCitation":"&lt;sup&gt;4&lt;/sup&gt;","plainTextFormattedCitation":"4","previouslyFormattedCitation":"A. Bill-Axelson and others, ‘Re: Radical Prostatectomy versus Watchful Waiting in Early Prostate Cancer’, &lt;i&gt;Journal of Urology&lt;/i&gt;, 2011 &lt;https://doi.org/10.1016/j.juro.2011.08.055&gt;."},"properties":{"noteIndex":0},"schema":"https://github.com/citation-style-language/schema/raw/master/csl-citation.json"}</w:instrText>
      </w:r>
      <w:r w:rsidR="00D27101">
        <w:rPr>
          <w:rStyle w:val="DipnotBavurusu"/>
          <w:color w:val="0E101A"/>
        </w:rPr>
        <w:fldChar w:fldCharType="separate"/>
      </w:r>
      <w:r w:rsidR="00D27101" w:rsidRPr="00D27101">
        <w:rPr>
          <w:noProof/>
          <w:color w:val="0E101A"/>
          <w:vertAlign w:val="superscript"/>
        </w:rPr>
        <w:t>4</w:t>
      </w:r>
      <w:r w:rsidR="00D27101">
        <w:rPr>
          <w:rStyle w:val="DipnotBavurusu"/>
          <w:color w:val="0E101A"/>
        </w:rPr>
        <w:fldChar w:fldCharType="end"/>
      </w:r>
      <w:r w:rsidRPr="00CD004E">
        <w:rPr>
          <w:color w:val="0E101A"/>
        </w:rPr>
        <w:t>. However, radical treatment decreases the quality of life with the risks of incontinence and impotence. The difficulty of managing localized PCa is to distinguish clinically significant cancers that should receive a radical treatment from clinically insignificant</w:t>
      </w:r>
      <w:r w:rsidR="00D27101">
        <w:rPr>
          <w:rStyle w:val="DipnotBavurusu"/>
          <w:color w:val="0E101A"/>
        </w:rPr>
        <w:fldChar w:fldCharType="begin" w:fldLock="1"/>
      </w:r>
      <w:r w:rsidR="00D27101">
        <w:rPr>
          <w:color w:val="0E101A"/>
        </w:rPr>
        <w:instrText>ADDIN CSL_CITATION {"citationItems":[{"id":"ITEM-1","itemData":{"DOI":"10.1016/j.eururo.2015.03.021","ISSN":"18737560","PMID":"25800944","abstract":"Background To understand the threat posed by localized prostate cancer and the potential impact of surgery or radiation, patients and healthcare providers require information on long-term outcomes following conservative management. Objective To describe 15-yr survival outcomes and cancer therapy utilization among men 65 years and older managed conservatively for newly diagnosed localized prostate cancer. Design, settings, and participants This is a population-based cohort study with participants living in predefined geographic areas covered by the Surveillance, Epidemiology, and End Results program. The study includes 31 137 Medicare patients aged ≥65 yr diagnosed with localized prostate cancer in 1992-2009 who initially received conservative management (no surgery, radiotherapy, cryotherapy, or androgen deprivation therapy [ADT]). All patients were followed until death or December 31, 2009 (for prostate cancer-specific mortality [PCSM]) and December 31, 2011 (for overall mortality). Outcome measurements and statistical analysis Competing-risk analyses were used to examine PCSM, overall mortality, and utilization of cancer therapies. Results and limitations The 15-yr risk of PCSM for men aged 65-74 yr diagnosed with screening-detected prostate cancer was 5.7% (95% confidence interval [CI] 3.7-8.0%) for T1c Gleason 5-7 and 22% (95% CI 16-35%) for Gleason 8-10 disease. After 15 yr of follow-up, 24% (95% CI 21-27%) of men aged 65-74 yr with screening-detected Gleason 5-7 cancer received ADT. The corresponding result for men with Gleason 8-10 cancer was 38% (95% CI 32-44%). The major study limitations are the lack of data for men aged &lt;65 yr and detailed clinical information associated with secondary cancer therapy. Conclusions The 15-yr outcomes following conservative management of newly diagnosed Gleason 5-7 prostate cancer among men aged ≥65 yr are excellent. Men with Gleason 8-10 disease managed conservatively face a significant risk of PCSM. Patient summary We examined the long-term survival outcomes for a large group of patients diagnosed with localized prostate cancer who did not have surgery, radiotherapy, cryotherapy, or androgen deprivation therapy in the first 6 mo after cancer diagnosis. We found that the 15-yr disease-specific survival is excellent for men diagnosed with Gleason 5-7 disease. The data support conservative management as a reasonable choice for elderly patients with low-grade localized prostate cancer.","author":[{"dropping-particle":"","family":"Lu-Yao","given":"Grace L.","non-dropping-particle":"","parse-names":false,"suffix":""},{"dropping-particle":"","family":"Albertsen","given":"Peter C.","non-dropping-particle":"","parse-names":false,"suffix":""},{"dropping-particle":"","family":"Moore","given":"Dirk F.","non-dropping-particle":"","parse-names":false,"suffix":""},{"dropping-particle":"","family":"Lin","given":"Yong","non-dropping-particle":"","parse-names":false,"suffix":""},{"dropping-particle":"","family":"Dipaola","given":"Robert S.","non-dropping-particle":"","parse-names":false,"suffix":""},{"dropping-particle":"","family":"Yao","given":"Siu Long","non-dropping-particle":"","parse-names":false,"suffix":""}],"container-title":"European Urology","id":"ITEM-1","issued":{"date-parts":[["2015"]]},"title":"Fifteen-year outcomes following conservative management among men aged 65 years or older with localized prostate cancer","type":"article-journal"},"uris":["http://www.mendeley.com/documents/?uuid=8966ae3d-7aca-4110-a0af-ab2304a105fe"]}],"mendeley":{"formattedCitation":"&lt;sup&gt;5&lt;/sup&gt;","plainTextFormattedCitation":"5","previouslyFormattedCitation":"Grace L. Lu-Yao and others, ‘Fifteen-Year Outcomes Following Conservative Management among Men Aged 65 Years or Older with Localized Prostate Cancer’, &lt;i&gt;European Urology&lt;/i&gt;, 2015 &lt;https://doi.org/10.1016/j.eururo.2015.03.021&gt;."},"properties":{"noteIndex":0},"schema":"https://github.com/citation-style-language/schema/raw/master/csl-citation.json"}</w:instrText>
      </w:r>
      <w:r w:rsidR="00D27101">
        <w:rPr>
          <w:rStyle w:val="DipnotBavurusu"/>
          <w:color w:val="0E101A"/>
        </w:rPr>
        <w:fldChar w:fldCharType="separate"/>
      </w:r>
      <w:r w:rsidR="00D27101" w:rsidRPr="00D27101">
        <w:rPr>
          <w:noProof/>
          <w:color w:val="0E101A"/>
          <w:vertAlign w:val="superscript"/>
        </w:rPr>
        <w:t>5</w:t>
      </w:r>
      <w:r w:rsidR="00D27101">
        <w:rPr>
          <w:rStyle w:val="DipnotBavurusu"/>
          <w:color w:val="0E101A"/>
        </w:rPr>
        <w:fldChar w:fldCharType="end"/>
      </w:r>
      <w:r w:rsidRPr="00CD004E">
        <w:rPr>
          <w:color w:val="0E101A"/>
        </w:rPr>
        <w:t>. Recently, researches in the literature focused on distinguishing well-differentiated lesions expressed as “silent disease” with almost no fatality describing as clinically insignificant PCa [tumors with Gleason score[GS] of 6] from high-grade and aggressive cancers</w:t>
      </w:r>
      <w:r w:rsidR="00D27101">
        <w:rPr>
          <w:rStyle w:val="DipnotBavurusu"/>
          <w:color w:val="0E101A"/>
        </w:rPr>
        <w:fldChar w:fldCharType="begin" w:fldLock="1"/>
      </w:r>
      <w:r w:rsidR="00D27101">
        <w:rPr>
          <w:color w:val="0E101A"/>
        </w:rPr>
        <w:instrText>ADDIN CSL_CITATION {"citationItems":[{"id":"ITEM-1","itemData":{"ISBN":"978-94-92671-01-1","abstract":"EAU Guidelines. Edn. presented at the EAU Annual Congress Copenhagen 2018. ISBN 978-94-92671-01-1. Prieiga per: https://uroweb.org/wp-content/uploads/EAU-ESUR-ESTRO-SIOG-Guidelines-on-Prostate-Cancer-large-text-V2.pdf.","author":[{"dropping-particle":"","family":"Mottet","given":"N","non-dropping-particle":"","parse-names":false,"suffix":""},{"dropping-particle":"Van Den","family":"Bergh","given":"R C N","non-dropping-particle":"","parse-names":false,"suffix":""},{"dropping-particle":"","family":"Vice-chair","given":"P Cornford","non-dropping-particle":"","parse-names":false,"suffix":""},{"dropping-particle":"De","family":"Santis","given":"M","non-dropping-particle":"","parse-names":false,"suffix":""},{"dropping-particle":"","family":"Gillessen","given":"S","non-dropping-particle":"","parse-names":false,"suffix":""},{"dropping-particle":"","family":"Govorov","given":"A","non-dropping-particle":"","parse-names":false,"suffix":""},{"dropping-particle":"","family":"Grummet","given":"J","non-dropping-particle":"","parse-names":false,"suffix":""},{"dropping-particle":"","family":"Henry","given":"A M","non-dropping-particle":"","parse-names":false,"suffix":""},{"dropping-particle":"","family":"Lam","given":"T B","non-dropping-particle":"","parse-names":false,"suffix":""},{"dropping-particle":"","family":"Mason","given":"M D","non-dropping-particle":"","parse-names":false,"suffix":""},{"dropping-particle":"Van Der","family":"Kwast","given":"T H","non-dropping-particle":"","parse-names":false,"suffix":""},{"dropping-particle":"","family":"Rouvière","given":"O","non-dropping-particle":"","parse-names":false,"suffix":""},{"dropping-particle":"","family":"Wiegel","given":"T","non-dropping-particle":"","parse-names":false,"suffix":""},{"dropping-particle":"Van Den","family":"Broeck","given":"Guidelines Associates T","non-dropping-particle":"","parse-names":false,"suffix":""},{"dropping-particle":"","family":"Cumberbatch","given":"M","non-dropping-particle":"","parse-names":false,"suffix":""},{"dropping-particle":"","family":"Fossati","given":"N","non-dropping-particle":"","parse-names":false,"suffix":""},{"dropping-particle":"","family":"Gross","given":"T","non-dropping-particle":"","parse-names":false,"suffix":""},{"dropping-particle":"","family":"Lardas","given":"M","non-dropping-particle":"","parse-names":false,"suffix":""},{"dropping-particle":"","family":"Liew","given":"M","non-dropping-particle":"","parse-names":false,"suffix":""},{"dropping-particle":"","family":"Moris","given":"L","non-dropping-particle":"","parse-names":false,"suffix":""},{"dropping-particle":"","family":"Schoots","given":"I G","non-dropping-particle":"","parse-names":false,"suffix":""},{"dropping-particle":"","family":"Willemse","given":"P M","non-dropping-particle":"","parse-names":false,"suffix":""}],"container-title":"European Association of Urology 2018","id":"ITEM-1","issued":{"date-parts":[["2018"]]},"page":"1-145","title":"EAU-ESUR-ESTRO-SIOG Guidelines on Prostate Cancer/ Guias Europeas","type":"article-journal"},"uris":["http://www.mendeley.com/documents/?uuid=6f691ba7-e008-4565-b4fe-e9cd13fb8f5d"]}],"mendeley":{"formattedCitation":"&lt;sup&gt;6&lt;/sup&gt;","plainTextFormattedCitation":"6","previouslyFormattedCitation":"N Mottet and others, ‘EAU-ESUR-ESTRO-SIOG Guidelines on Prostate Cancer/ Guias Europeas’, &lt;i&gt;European Association of Urology 2018&lt;/i&gt;, 2018, 1–145 &lt;http://uroweb.org/guidelines/compilations-of-all-guidelines/&gt;."},"properties":{"noteIndex":0},"schema":"https://github.com/citation-style-language/schema/raw/master/csl-citation.json"}</w:instrText>
      </w:r>
      <w:r w:rsidR="00D27101">
        <w:rPr>
          <w:rStyle w:val="DipnotBavurusu"/>
          <w:color w:val="0E101A"/>
        </w:rPr>
        <w:fldChar w:fldCharType="separate"/>
      </w:r>
      <w:r w:rsidR="00D27101" w:rsidRPr="00D27101">
        <w:rPr>
          <w:bCs/>
          <w:noProof/>
          <w:color w:val="0E101A"/>
          <w:vertAlign w:val="superscript"/>
        </w:rPr>
        <w:t>6</w:t>
      </w:r>
      <w:r w:rsidR="00D27101">
        <w:rPr>
          <w:rStyle w:val="DipnotBavurusu"/>
          <w:color w:val="0E101A"/>
        </w:rPr>
        <w:fldChar w:fldCharType="end"/>
      </w:r>
      <w:r w:rsidRPr="00CD004E">
        <w:rPr>
          <w:color w:val="0E101A"/>
        </w:rPr>
        <w:t>. </w:t>
      </w:r>
    </w:p>
    <w:p w14:paraId="1D5CECBA" w14:textId="3B2DEBFA" w:rsidR="00CC2ABC" w:rsidRPr="00CD004E" w:rsidRDefault="00CC2ABC" w:rsidP="00CD004E">
      <w:pPr>
        <w:pStyle w:val="NormalWeb"/>
        <w:spacing w:before="0" w:beforeAutospacing="0" w:after="0" w:afterAutospacing="0" w:line="480" w:lineRule="auto"/>
        <w:ind w:firstLine="708"/>
        <w:jc w:val="both"/>
        <w:rPr>
          <w:color w:val="0E101A"/>
        </w:rPr>
      </w:pPr>
      <w:r w:rsidRPr="00CD004E">
        <w:rPr>
          <w:color w:val="0E101A"/>
        </w:rPr>
        <w:t>Multiparametric Magnetic resonance imaging[MpMRI] has become the basic noninvasive examination for the evaluation of the prostate gland</w:t>
      </w:r>
      <w:r w:rsidR="00D27101">
        <w:rPr>
          <w:rStyle w:val="DipnotBavurusu"/>
          <w:color w:val="0E101A"/>
        </w:rPr>
        <w:fldChar w:fldCharType="begin" w:fldLock="1"/>
      </w:r>
      <w:r w:rsidR="00D27101">
        <w:rPr>
          <w:color w:val="0E101A"/>
        </w:rPr>
        <w:instrText>ADDIN CSL_CITATION {"citationItems":[{"id":"ITEM-1","itemData":{"DOI":"10.1016/j.urology.2004.10.064","ISSN":"00904295","abstract":"Objectives. To determine whether a prostate-specific antigen (PSA) level of 2.0, 2.5, or 4.0 ng/mL is the most appropriate cutpoint for determining the need for prostate biopsy. It has been suggested that the PSA cutpoint of 4.0 ng/mL is inappropriate because the rate of prostate cancer detection is similar in patients with lower PSA values. Some investigators have recommended a 2.6-ng/mL cutpoint. Others have recommended a cutpoint of 2.0 ng/mL. Methods. A total of 36,316 prostate biopsies submitted to DIANON Systems from January 1, 1997 through December 31, 2001 were reviewed. These biopsy specimens also had DIANON PSA test results available that had been performed within 6 months of the biopsy date. These biopsies were stratified according to the PSA level within the 6 months before the time of biopsy, and the prostate cancer detection rate was determined for the stratified PSA levels. Results. The detection rate of prostate cancer varied according to the PSA level. The incidence of prostate cancer was similar for the groups with less than 2.0 ng/mL and 2.0 to 2.5 ng/mL (18.67% and 21.89%, respectively). Also, the groups with 2.5 to 4.0 ng/mL and 4.0 to 10.0 ng/mL had similar cancer detection rates (27.48% and 30.08%, respectively). Conclusions. The prostate cancer detection rate for a PSA level between 2.5 and 4.0 ng/mL was similar (27.48%) to that for the PSA range of 4.0 to 10.0 ng/mL (30.08%). The absolute cutpoint used to determine the need to evaluate a patient for prostate cancer by biopsy is not clear; however, many studies have suggested that 2.5 ng/mL may be a more appropriate cutpoint than 4.0 ng/mL. © 2005 Elsevier Inc.","author":[{"dropping-particle":"","family":"Gilbert","given":"Scott M.","non-dropping-particle":"","parse-names":false,"suffix":""},{"dropping-particle":"","family":"Cavallo","given":"Christina B.","non-dropping-particle":"","parse-names":false,"suffix":""},{"dropping-particle":"","family":"Kahane","given":"Hillel","non-dropping-particle":"","parse-names":false,"suffix":""},{"dropping-particle":"","family":"Lowe","given":"Franklin C.","non-dropping-particle":"","parse-names":false,"suffix":""}],"container-title":"Urology","id":"ITEM-1","issue":"3","issued":{"date-parts":[["2005"]]},"page":"549-553","title":"Evidence suggesting PSA cutpoint of 2.5 ng/mL for prompting prostate biopsy: Review of 36,316 biopsies","type":"article-journal","volume":"65"},"uris":["http://www.mendeley.com/documents/?uuid=cec52feb-d69b-43ce-a14e-85546d3f089c"]},{"id":"ITEM-2","itemData":{"DOI":"10.1016/j.rcl.2014.02.010","ISSN":"15578275","abstract":"Multiparametric magnetic resonance (MR) imaging of the prostate is gaining acceptance in the management of prostate cancer. Emerging indications of prostate MR imaging may expand its use in the work-up of localized prostate cancer. Improvements in the standardization of prostate MR imaging techniques and reporting are needed for further establishment of the emerging roles of prostate MR imaging. This article describes the prostate MR imaging techniques and provides an approach for interpretation of prostate MR imaging studies. Established and emerging indications for prostate MR imaging are also reviewed. © 2014 Elsevier Inc.","author":[{"dropping-particle":"","family":"Yacoub","given":"Joseph H.","non-dropping-particle":"","parse-names":false,"suffix":""},{"dropping-particle":"","family":"Oto","given":"Aytekin","non-dropping-particle":"","parse-names":false,"suffix":""},{"dropping-particle":"","family":"Miller","given":"Frank H.","non-dropping-particle":"","parse-names":false,"suffix":""}],"container-title":"Radiologic Clinics of North America","id":"ITEM-2","issue":"4","issued":{"date-parts":[["2014"]]},"page":"811-837","publisher":"Elsevier Inc","title":"MR Imaging of the prostate","type":"article-journal","volume":"52"},"uris":["http://www.mendeley.com/documents/?uuid=290e66dc-cd62-4afa-9930-1fed42351e6e"]},{"id":"ITEM-3","itemData":{"DOI":"10.21037/tau.2017.12.28","ISSN":"22234691","abstract":"© Translational Andrology and Urology. Background: Active surveillance (AS) for low-risk prostate cancer (PCa) appears to provide excellent longterm PCa-specific and overall survival. The choice for AS as initial treatment is mainly based on avoiding side effects from invasive treatment; but AS entails regular check-ups and the possibility of still having to switch or deciding to switch to invasive treatment. Here, we assessed the long-term follow-up data from AS in real life clinical practices. Methods: Data from the first 500 men, enrolled in PRIAS before July 2008 by 30 centers across 8 countries, were analyzed to provide long-term follow-up results. Men were advised to be regularly examined with prostate-specific antigen (PSA) tests, digital rectal examinations, and prostate biopsies. Men were advised to switch to invasive treatment if they had disease reclassification [Gleason score (GS) =3+4 on biopsy, more than two positive biopsy cores, a stage higher than cT2] or a PSA-doubling time of 0-3 years. We assessed time on AS, outcomes and reasons for discontinuing AS, and rates of potential unnecessary biopsies and treatments. Results: The median follow-up time was 6.5 years. During this period, 325 (65%) men discontinued after a median of 2.3 years and 121 (24%) men had no recent ( &gt; 1 year) data-update after a median of 7.3 years. The remaining 54 (11%) men were confirmed to be still on AS. Most men discontinued based on protocol advice; 38% had other reasons. During follow-up, 838 biopsy sessions were performed of which 79% to 90% did not lead to reclassification, depending on the criteria. Of the 325 discontinued men, 112 subsequently underwent radical prostatectomy (RP), 126 underwent radiotherapy, 57 switched to watchful waiting (WW) or died, and 30 had another or unknown treatment. RP results were available of 99 men: 34% to 68%, depending on definition, had favorable outcomes; 50% of unfavorable the outcomes occurred in the first 2 years. Of the 30 (6%) men who died, 1 man died due to PCa. Conclusions: These data, reflecting real life clinical practice, show that more than half of men switched to invasive treatment within 2.3 years, indicating limitations to the extent in which AS is able to reduce theadverse effects of overdiagnosis. Therefore, despite guidelines stating that PCa diagnosis must be uncoupled from treatment, it remains important to avoid overdiagnosing PCa as much as possible.","author":[{"dropping-particle":"","family":"Drost","given":"Frank Jan H.","non-dropping-particle":"","parse-names":false,"suffix":""},{"dropping-particle":"","family":"Rannikko","given":"Antti","non-dropping-particle":"","parse-names":false,"suffix":""},{"dropping-particle":"","family":"Valdagni","given":"Riccardo","non-dropping-particle":"","parse-names":false,"suffix":""},{"dropping-particle":"","family":"Pickles","given":"Tom","non-dropping-particle":"","parse-names":false,"suffix":""},{"dropping-particle":"","family":"Kakehi","given":"Yoshiyuki","non-dropping-particle":"","parse-names":false,"suffix":""},{"dropping-particle":"","family":"Remmers","given":"Sebastiaan","non-dropping-particle":"","parse-names":false,"suffix":""},{"dropping-particle":"","family":"Poel","given":"Henk G.","non-dropping-particle":"van der","parse-names":false,"suffix":""},{"dropping-particle":"","family":"Bangma","given":"Chris H.","non-dropping-particle":"","parse-names":false,"suffix":""},{"dropping-particle":"","family":"Roobol","given":"Monique J.","non-dropping-particle":"","parse-names":false,"suffix":""}],"container-title":"Translational Andrology and Urology","id":"ITEM-3","issue":"1","issued":{"date-parts":[["2018"]]},"page":"98-105","title":"Can active surveillance really reduce the harms of overdiagnosing prostate cancer? A reflection of real life clinical practice in the PRIAS study","type":"article-journal","volume":"7"},"uris":["http://www.mendeley.com/documents/?uuid=06d9bdcb-9815-41a8-821b-5324d4d294fb"]}],"mendeley":{"formattedCitation":"&lt;sup&gt;3,7,8&lt;/sup&gt;","plainTextFormattedCitation":"3,7,8","previouslyFormattedCitation":"Scott M. Gilbert and others, ‘Evidence Suggesting PSA Cutpoint of 2.5 Ng/ML for Prompting Prostate Biopsy: Review of 36,316 Biopsies’, &lt;i&gt;Urology&lt;/i&gt;, 65.3 (2005), 549–53 &lt;https://doi.org/10.1016/j.urology.2004.10.064&gt;; Joseph H. Yacoub, Aytekin Oto, and Frank H. Miller, ‘MR Imaging of the Prostate’, &lt;i&gt;Radiologic Clinics of North America&lt;/i&gt;, 52.4 (2014), 811–37 &lt;https://doi.org/10.1016/j.rcl.2014.02.010&gt;; Drost and others."},"properties":{"noteIndex":0},"schema":"https://github.com/citation-style-language/schema/raw/master/csl-citation.json"}</w:instrText>
      </w:r>
      <w:r w:rsidR="00D27101">
        <w:rPr>
          <w:rStyle w:val="DipnotBavurusu"/>
          <w:color w:val="0E101A"/>
        </w:rPr>
        <w:fldChar w:fldCharType="separate"/>
      </w:r>
      <w:r w:rsidR="00D27101" w:rsidRPr="00D27101">
        <w:rPr>
          <w:bCs/>
          <w:noProof/>
          <w:color w:val="0E101A"/>
          <w:vertAlign w:val="superscript"/>
        </w:rPr>
        <w:t>3,7,8</w:t>
      </w:r>
      <w:r w:rsidR="00D27101">
        <w:rPr>
          <w:rStyle w:val="DipnotBavurusu"/>
          <w:color w:val="0E101A"/>
        </w:rPr>
        <w:fldChar w:fldCharType="end"/>
      </w:r>
      <w:r w:rsidRPr="00CD004E">
        <w:rPr>
          <w:color w:val="0E101A"/>
        </w:rPr>
        <w:t xml:space="preserve">. Diffusion-weighted </w:t>
      </w:r>
      <w:proofErr w:type="gramStart"/>
      <w:r w:rsidRPr="00CD004E">
        <w:rPr>
          <w:color w:val="0E101A"/>
        </w:rPr>
        <w:t>imaging[</w:t>
      </w:r>
      <w:proofErr w:type="gramEnd"/>
      <w:r w:rsidRPr="00CD004E">
        <w:rPr>
          <w:color w:val="0E101A"/>
        </w:rPr>
        <w:t xml:space="preserve">DWI] is the basic functional sequence used in prostate MRI protocols in addition to conventional sequences, as it has advantages such as short exposure time, rapid acquisition, creation of qualitative and quantitative parametric image maps based on apparent diffusion coefficient[ADC] and using standard software. DWI is the main sequence in the evaluation of peripheral zone[PZ] lesions and its contribution to the final PI-RADS score in the transitional zone[TZ] has increased with the updated Prostate Imaging Reporting and Data System </w:t>
      </w:r>
      <w:r w:rsidRPr="00CD004E">
        <w:rPr>
          <w:color w:val="0E101A"/>
        </w:rPr>
        <w:lastRenderedPageBreak/>
        <w:t>version</w:t>
      </w:r>
      <w:r w:rsidR="00E31DCA" w:rsidRPr="00CD004E">
        <w:rPr>
          <w:color w:val="0E101A"/>
        </w:rPr>
        <w:t xml:space="preserve"> </w:t>
      </w:r>
      <w:r w:rsidRPr="00CD004E">
        <w:rPr>
          <w:color w:val="0E101A"/>
        </w:rPr>
        <w:t>2.1[PI-RADSv2.1] guide published in 2019</w:t>
      </w:r>
      <w:r w:rsidR="00D27101">
        <w:rPr>
          <w:rStyle w:val="DipnotBavurusu"/>
          <w:color w:val="0E101A"/>
        </w:rPr>
        <w:fldChar w:fldCharType="begin" w:fldLock="1"/>
      </w:r>
      <w:r w:rsidR="00D27101">
        <w:rPr>
          <w:color w:val="0E101A"/>
        </w:rPr>
        <w:instrText>ADDIN CSL_CITATION {"citationItems":[{"id":"ITEM-1","itemData":{"DOI":"10.1016/j.crad.2019.05.019","ISSN":"1365229X","abstract":"Multiparametric (mp) prostate magnetic resonance imaging (MRI) is playing an increasingly prominent role in the diagnostic work-up of patients with suspected prostate cancer. Performing mpMRI before biopsy offers several advantages including biopsy avoidance under certain clinical circumstances and targeting biopsy of suspicious lesions to enable the correct diagnosis. The success of the technique is heavily dependent on high-quality image acquisition, interpretation, and report communication, all areas addressed by previous versions of the Prostate Imaging-Reporting and Data System (PI-RADS) recommendations. Numerous studies have validated the approach, but the widespread adoption of PI-RADS version 2 has also highlighted inconsistencies and limitations, particularly relating to interobserver variability for evaluation of the transition zone. These limitations are addressed in the recently released version 2.1. In this article, we highlight the key changes proposed in PI-RADS v2.1 and explore the background reasoning and evidence for the recommendations.","author":[{"dropping-particle":"","family":"Barrett","given":"T.","non-dropping-particle":"","parse-names":false,"suffix":""},{"dropping-particle":"","family":"Rajesh","given":"A.","non-dropping-particle":"","parse-names":false,"suffix":""},{"dropping-particle":"","family":"Rosenkrantz","given":"A. B.","non-dropping-particle":"","parse-names":false,"suffix":""},{"dropping-particle":"","family":"Choyke","given":"P. L.","non-dropping-particle":"","parse-names":false,"suffix":""},{"dropping-particle":"","family":"Turkbey","given":"B.","non-dropping-particle":"","parse-names":false,"suffix":""}],"container-title":"Clinical Radiology","id":"ITEM-1","issue":"xxxx","issued":{"date-parts":[["2019"]]},"page":"1-12","publisher":"The Royal College of Radiologists","title":"PI-RADS version 2.1: one small step for prostate MRI","type":"article-journal"},"uris":["http://www.mendeley.com/documents/?uuid=e7d480c7-13af-4dc0-8920-01ab039903b9"]}],"mendeley":{"formattedCitation":"&lt;sup&gt;9&lt;/sup&gt;","plainTextFormattedCitation":"9","previouslyFormattedCitation":"T. Barrett and others, ‘PI-RADS Version 2.1: One Small Step for Prostate MRI’, &lt;i&gt;Clinical Radiology&lt;/i&gt;, xxxx, 2019, 1–12 &lt;https://doi.org/10.1016/j.crad.2019.05.019&gt;."},"properties":{"noteIndex":0},"schema":"https://github.com/citation-style-language/schema/raw/master/csl-citation.json"}</w:instrText>
      </w:r>
      <w:r w:rsidR="00D27101">
        <w:rPr>
          <w:rStyle w:val="DipnotBavurusu"/>
          <w:color w:val="0E101A"/>
        </w:rPr>
        <w:fldChar w:fldCharType="separate"/>
      </w:r>
      <w:r w:rsidR="00D27101" w:rsidRPr="00D27101">
        <w:rPr>
          <w:bCs/>
          <w:noProof/>
          <w:color w:val="0E101A"/>
          <w:vertAlign w:val="superscript"/>
        </w:rPr>
        <w:t>9</w:t>
      </w:r>
      <w:r w:rsidR="00D27101">
        <w:rPr>
          <w:rStyle w:val="DipnotBavurusu"/>
          <w:color w:val="0E101A"/>
        </w:rPr>
        <w:fldChar w:fldCharType="end"/>
      </w:r>
      <w:r w:rsidRPr="00CD004E">
        <w:rPr>
          <w:color w:val="0E101A"/>
        </w:rPr>
        <w:t xml:space="preserve">. To evaluate MpMRI </w:t>
      </w:r>
      <w:proofErr w:type="gramStart"/>
      <w:r w:rsidRPr="00CD004E">
        <w:rPr>
          <w:color w:val="0E101A"/>
        </w:rPr>
        <w:t>data</w:t>
      </w:r>
      <w:proofErr w:type="gramEnd"/>
      <w:r w:rsidRPr="00CD004E">
        <w:rPr>
          <w:color w:val="0E101A"/>
        </w:rPr>
        <w:t xml:space="preserve"> more accurately and objectively, determining ADC values in addition to the visual signal assessment, suggested in the PI-RADS</w:t>
      </w:r>
      <w:r w:rsidR="006D4C67" w:rsidRPr="00CD004E">
        <w:rPr>
          <w:color w:val="0E101A"/>
        </w:rPr>
        <w:t>v2.1</w:t>
      </w:r>
      <w:r w:rsidRPr="00CD004E">
        <w:rPr>
          <w:color w:val="0E101A"/>
        </w:rPr>
        <w:t>, can contribute to reporting standardization. ADC cut-off values can be used as a diagnostic tool showing malignancy risk and tumor aggressiveness of focal lesions. To establish such a model, the histopathological diagnosis of the lesion determined in the MpMRI and if the lesion is malignant, its grade should be known</w:t>
      </w:r>
      <w:r w:rsidR="00D27101">
        <w:rPr>
          <w:rStyle w:val="DipnotBavurusu"/>
          <w:color w:val="0E101A"/>
        </w:rPr>
        <w:fldChar w:fldCharType="begin" w:fldLock="1"/>
      </w:r>
      <w:r w:rsidR="00D27101">
        <w:rPr>
          <w:color w:val="0E101A"/>
        </w:rPr>
        <w:instrText>ADDIN CSL_CITATION {"citationItems":[{"id":"ITEM-1","itemData":{"DOI":"10.1148/radiol.2016151406","ISSN":"15271315","abstract":"© RSNA, 2016. Purpose: To assess the intermanufacturer variability of quantitative models in discriminating cancers with a Gleason score of at least 7 among peripheral zone (PZ) lesions seen at 3-T multiparametric magnetic resonance (MR) imaging. Materials and Methods: An institutional review board-approved prospective database of 257 patients who gave written consent and underwent T2-weighted, diffusion-weighted, and dynamic contrast material-enhanced imaging before prostatectomy was retrospectively reviewed. It contained outlined lesions found to be suspicious for malignancy by two independent radiologists and classified as malignant or benign after correlation with prostatectomy whole-mount specimens. One hundred six patients who underwent imaging with 3-T MR systems from two manufacturers were selected (data set A, n = 72; data set B, n = 34). Eleven parameters were calculated in PZ lesions: normalized T2-weighted signal intensity, skewness and kurtosis of T2-weighted signal intensity, T2 value, wash-in rate, washout rate, time to peak (TTP), mean apparent diffusion coefficient (ADC), 10th percentile of the ADC, and skewness and kurtosis of the histogram of the ADC values. Parameters were selected on the basis of their specificity for a sensitivity of 0.95 in diagnosing cancers with a Gleason score of at least 7, and the area under the receiver operating characteristic curve (AUC) for the models was calculated. Results: The model of the 10th percentile of the ADC with TTP yielded the highest AUC in both data sets. In data set A, the AUC was 0.90 (95% confidence interval [CI]: 0.85, 0.95) or 0.89 (95% CI: 0.82, 0.94) when it was trained in data set A or B, respectively. In data set B, the AUC was 0.84 (95% CI: 0.74, 0.94) or 0.86 (95% CI: 0.76, 0.95) when it was trained in data set A or B, respectively. No third variable added significantly independent information in any data set. Conclusion: The model of the 10th percentile of the ADC with TTP yielded accurate results in discriminating cancers with a Gleason score of at least 7 among PZ lesions at 3 T in data from two manufacturers.","author":[{"dropping-particle":"","family":"Dinh","given":"Au Hoang","non-dropping-particle":"","parse-names":false,"suffix":""},{"dropping-particle":"","family":"Melodelima","given":"Christelle","non-dropping-particle":"","parse-names":false,"suffix":""},{"dropping-particle":"","family":"Souchon","given":"Rémi","non-dropping-particle":"","parse-names":false,"suffix":""},{"dropping-particle":"","family":"Lehaire","given":"Jérôme","non-dropping-particle":"","parse-names":false,"suffix":""},{"dropping-particle":"","family":"Bratan","given":"Flavie","non-dropping-particle":"","parse-names":false,"suffix":""},{"dropping-particle":"","family":"Florence","given":"Mège Lechevallier","non-dropping-particle":"","parse-names":false,"suffix":""},{"dropping-particle":"","family":"Ruffion","given":"Alain","non-dropping-particle":"","parse-names":false,"suffix":""},{"dropping-particle":"","family":"Crouzet","given":"Sébastien","non-dropping-particle":"","parse-names":false,"suffix":""},{"dropping-particle":"","family":"Colombel","given":"Marc","non-dropping-particle":"","parse-names":false,"suffix":""},{"dropping-particle":"","family":"Rouvière","given":"Olivier","non-dropping-particle":"","parse-names":false,"suffix":""}],"container-title":"Radiology","id":"ITEM-1","issue":"1","issued":{"date-parts":[["2016"]]},"page":"117-127","title":"Quantitative analysis of prostate multiparametric MR images for detection of aggressive prostate cancer in the peripheral zone: A multiple imager study","type":"article-journal","volume":"280"},"uris":["http://www.mendeley.com/documents/?uuid=fde86328-eb76-40a9-bf1a-93ae7bb3bc19"]},{"id":"ITEM-2","itemData":{"ISSN":"1438-3276","author":[{"dropping-particle":"","family":"Seitz","given":"Michael","non-dropping-particle":"","parse-names":false,"suffix":""},{"dropping-particle":"","family":"Stanislaus","given":"P","non-dropping-particle":"","parse-names":false,"suffix":""},{"dropping-particle":"","family":"Stief","given":"C","non-dropping-particle":"","parse-names":false,"suffix":""}],"container-title":"MMW Fortschritte der Medizin","id":"ITEM-2","issue":"28-31","issued":{"date-parts":[["2008"]]},"page":"1-12","title":"Detection of prostate cancer: Quantitative multiparamotric mr imaging models developed using registered correlative histopathology","type":"article-journal","volume":"150"},"uris":["http://www.mendeley.com/documents/?uuid=3e315326-6df9-4024-af19-d4299cc31b87"]}],"mendeley":{"formattedCitation":"&lt;sup&gt;10,11&lt;/sup&gt;","plainTextFormattedCitation":"10,11","previouslyFormattedCitation":"Au Hoang Dinh and others, ‘Quantitative Analysis of Prostate Multiparametric MR Images for Detection of Aggressive Prostate Cancer in the Peripheral Zone: A Multiple Imager Study’, &lt;i&gt;Radiology&lt;/i&gt;, 280.1 (2016), 117–27 &lt;https://doi.org/10.1148/radiol.2016151406&gt;; Michael Seitz, P Stanislaus, and C Stief, ‘Detection of Prostate Cancer: Quantitative Multiparamotric Mr Imaging Models Developed Using Registered Correlative Histopathology’, &lt;i&gt;MMW Fortschritte Der Medizin&lt;/i&gt;, 150.28–31 (2008), 1–12."},"properties":{"noteIndex":0},"schema":"https://github.com/citation-style-language/schema/raw/master/csl-citation.json"}</w:instrText>
      </w:r>
      <w:r w:rsidR="00D27101">
        <w:rPr>
          <w:rStyle w:val="DipnotBavurusu"/>
          <w:color w:val="0E101A"/>
        </w:rPr>
        <w:fldChar w:fldCharType="separate"/>
      </w:r>
      <w:r w:rsidR="00D27101" w:rsidRPr="00D27101">
        <w:rPr>
          <w:bCs/>
          <w:noProof/>
          <w:color w:val="0E101A"/>
          <w:vertAlign w:val="superscript"/>
        </w:rPr>
        <w:t>10,11</w:t>
      </w:r>
      <w:r w:rsidR="00D27101">
        <w:rPr>
          <w:rStyle w:val="DipnotBavurusu"/>
          <w:color w:val="0E101A"/>
        </w:rPr>
        <w:fldChar w:fldCharType="end"/>
      </w:r>
      <w:r w:rsidRPr="00CD004E">
        <w:rPr>
          <w:color w:val="0E101A"/>
        </w:rPr>
        <w:t>. </w:t>
      </w:r>
    </w:p>
    <w:p w14:paraId="10F24AB4" w14:textId="4AB52D3C" w:rsidR="00CC2ABC" w:rsidRPr="00CD004E" w:rsidRDefault="00CC2ABC" w:rsidP="00CD004E">
      <w:pPr>
        <w:pStyle w:val="NormalWeb"/>
        <w:spacing w:before="0" w:beforeAutospacing="0" w:after="0" w:afterAutospacing="0" w:line="480" w:lineRule="auto"/>
        <w:ind w:firstLine="708"/>
        <w:jc w:val="both"/>
        <w:rPr>
          <w:color w:val="0E101A"/>
        </w:rPr>
      </w:pPr>
      <w:r w:rsidRPr="00CD004E">
        <w:rPr>
          <w:color w:val="0E101A"/>
        </w:rPr>
        <w:t xml:space="preserve">This prospective study aims to reveal whether the lesion is a benign pathological process or malignant by measuring ADC values under PI-RADSv2.1 guidance on MpMRI examinations and transrectal </w:t>
      </w:r>
      <w:proofErr w:type="gramStart"/>
      <w:r w:rsidRPr="00CD004E">
        <w:rPr>
          <w:color w:val="0E101A"/>
        </w:rPr>
        <w:t>ultrasound</w:t>
      </w:r>
      <w:r w:rsidR="006D4C67" w:rsidRPr="00CD004E">
        <w:rPr>
          <w:color w:val="0E101A"/>
        </w:rPr>
        <w:t>(</w:t>
      </w:r>
      <w:proofErr w:type="gramEnd"/>
      <w:r w:rsidR="006D4C67" w:rsidRPr="00CD004E">
        <w:rPr>
          <w:color w:val="000000" w:themeColor="text1"/>
        </w:rPr>
        <w:t>TRUS)</w:t>
      </w:r>
      <w:r w:rsidR="006D4C67" w:rsidRPr="00CD004E">
        <w:rPr>
          <w:color w:val="0E101A"/>
        </w:rPr>
        <w:t xml:space="preserve"> guided</w:t>
      </w:r>
      <w:r w:rsidRPr="00CD004E">
        <w:rPr>
          <w:color w:val="0E101A"/>
        </w:rPr>
        <w:t xml:space="preserve"> cognitive fusion biopsy</w:t>
      </w:r>
      <w:r w:rsidR="006D4C67" w:rsidRPr="00CD004E">
        <w:rPr>
          <w:color w:val="000000" w:themeColor="text1"/>
        </w:rPr>
        <w:t>(CF-Bx)</w:t>
      </w:r>
      <w:r w:rsidRPr="00CD004E">
        <w:rPr>
          <w:color w:val="0E101A"/>
        </w:rPr>
        <w:t xml:space="preserve">. Additionally, the </w:t>
      </w:r>
      <w:r w:rsidR="001433B3" w:rsidRPr="00CD004E">
        <w:rPr>
          <w:color w:val="0E101A"/>
        </w:rPr>
        <w:t>study</w:t>
      </w:r>
      <w:r w:rsidRPr="00CD004E">
        <w:rPr>
          <w:color w:val="0E101A"/>
        </w:rPr>
        <w:t xml:space="preserve"> evaluates whether there is a correlation between malignant lesions’ pathological </w:t>
      </w:r>
      <w:proofErr w:type="gramStart"/>
      <w:r w:rsidRPr="00CD004E">
        <w:rPr>
          <w:color w:val="0E101A"/>
        </w:rPr>
        <w:t>grade[</w:t>
      </w:r>
      <w:proofErr w:type="gramEnd"/>
      <w:r w:rsidRPr="00CD004E">
        <w:rPr>
          <w:color w:val="0E101A"/>
        </w:rPr>
        <w:t>ISUP</w:t>
      </w:r>
      <w:r w:rsidR="00625642" w:rsidRPr="00CD004E">
        <w:rPr>
          <w:color w:val="0E101A"/>
        </w:rPr>
        <w:t xml:space="preserve"> score</w:t>
      </w:r>
      <w:r w:rsidRPr="00CD004E">
        <w:rPr>
          <w:color w:val="0E101A"/>
        </w:rPr>
        <w:t>] and ADC values and whether ADC values provide noninvasive information about PCa aggressiveness. We tried to determine the cut-off ADC values that may exist to identify and distinguish between benign and malignant lesions and also identify cancers with an ISUP score≥2 and cancers with an ISUP score</w:t>
      </w:r>
      <w:r w:rsidR="00E0022E" w:rsidRPr="00CD004E">
        <w:rPr>
          <w:color w:val="0E101A"/>
        </w:rPr>
        <w:t xml:space="preserve"> </w:t>
      </w:r>
      <w:r w:rsidRPr="00CD004E">
        <w:rPr>
          <w:color w:val="0E101A"/>
        </w:rPr>
        <w:t>1</w:t>
      </w:r>
      <w:r w:rsidR="00C60DA9" w:rsidRPr="00CD004E">
        <w:rPr>
          <w:color w:val="0E101A"/>
        </w:rPr>
        <w:t>(Gleason Score 3+3)</w:t>
      </w:r>
      <w:r w:rsidRPr="00CD004E">
        <w:rPr>
          <w:color w:val="0E101A"/>
        </w:rPr>
        <w:t xml:space="preserve"> defined as silent disease.</w:t>
      </w:r>
    </w:p>
    <w:p w14:paraId="3A289888" w14:textId="1A7DDC6C" w:rsidR="00CC2ABC" w:rsidRPr="00CD004E" w:rsidRDefault="00CC2ABC" w:rsidP="00CD004E">
      <w:pPr>
        <w:pStyle w:val="NormalWeb"/>
        <w:spacing w:before="0" w:beforeAutospacing="0" w:after="0" w:afterAutospacing="0" w:line="480" w:lineRule="auto"/>
        <w:ind w:firstLine="708"/>
        <w:jc w:val="both"/>
        <w:rPr>
          <w:color w:val="0E101A"/>
        </w:rPr>
      </w:pPr>
      <w:r w:rsidRPr="00CD004E">
        <w:rPr>
          <w:rStyle w:val="Gl"/>
          <w:color w:val="0E101A"/>
        </w:rPr>
        <w:t>Material and methods</w:t>
      </w:r>
      <w:r w:rsidR="005A34CC" w:rsidRPr="00CD004E">
        <w:rPr>
          <w:rStyle w:val="Gl"/>
          <w:color w:val="0E101A"/>
        </w:rPr>
        <w:t>:</w:t>
      </w:r>
    </w:p>
    <w:p w14:paraId="42707BA3" w14:textId="5E3A57BE" w:rsidR="00CC2ABC" w:rsidRPr="00CD004E" w:rsidRDefault="00CC2ABC" w:rsidP="00CD004E">
      <w:pPr>
        <w:pStyle w:val="NormalWeb"/>
        <w:spacing w:before="0" w:beforeAutospacing="0" w:after="0" w:afterAutospacing="0" w:line="480" w:lineRule="auto"/>
        <w:ind w:firstLine="708"/>
        <w:jc w:val="both"/>
        <w:rPr>
          <w:color w:val="0E101A"/>
        </w:rPr>
      </w:pPr>
      <w:r w:rsidRPr="00CD004E">
        <w:rPr>
          <w:color w:val="0E101A"/>
        </w:rPr>
        <w:t>This prospective study includes consecutive 243 patients</w:t>
      </w:r>
      <w:r w:rsidR="00C60DA9" w:rsidRPr="00CD004E">
        <w:rPr>
          <w:color w:val="0E101A"/>
        </w:rPr>
        <w:t>,</w:t>
      </w:r>
      <w:r w:rsidRPr="00CD004E">
        <w:rPr>
          <w:color w:val="0E101A"/>
        </w:rPr>
        <w:t xml:space="preserve"> who were referred to the Radiology Clinic because of the elevated PSA values during the follow-up</w:t>
      </w:r>
      <w:r w:rsidR="00C60DA9" w:rsidRPr="00CD004E">
        <w:rPr>
          <w:color w:val="0E101A"/>
        </w:rPr>
        <w:t xml:space="preserve"> or</w:t>
      </w:r>
      <w:r w:rsidRPr="00CD004E">
        <w:rPr>
          <w:color w:val="0E101A"/>
        </w:rPr>
        <w:t xml:space="preserve"> positive digital rectal examination, </w:t>
      </w:r>
      <w:r w:rsidR="00C60DA9" w:rsidRPr="00CD004E">
        <w:rPr>
          <w:color w:val="0E101A"/>
        </w:rPr>
        <w:t>or</w:t>
      </w:r>
      <w:r w:rsidRPr="00CD004E">
        <w:rPr>
          <w:color w:val="0E101A"/>
        </w:rPr>
        <w:t xml:space="preserve"> family history of PCa</w:t>
      </w:r>
      <w:r w:rsidR="00C60DA9" w:rsidRPr="00CD004E">
        <w:rPr>
          <w:color w:val="0E101A"/>
        </w:rPr>
        <w:t>,</w:t>
      </w:r>
      <w:r w:rsidRPr="00CD004E">
        <w:rPr>
          <w:color w:val="0E101A"/>
        </w:rPr>
        <w:t xml:space="preserve"> underwent MpMRI for PCa diagnosis and screening between April 2019 and April 2020. 1.5</w:t>
      </w:r>
      <w:r w:rsidR="006D4C67" w:rsidRPr="00CD004E">
        <w:rPr>
          <w:color w:val="0E101A"/>
        </w:rPr>
        <w:t>T</w:t>
      </w:r>
      <w:r w:rsidRPr="00CD004E">
        <w:rPr>
          <w:color w:val="0E101A"/>
        </w:rPr>
        <w:t xml:space="preserve"> Siemens Magnetom Aera device was used in this study. Oral and written consents were obtained from all patients who participated in our study and ethics committee approval was obtained from the scientific research ethics committee. All images were evaluated on the SYNGO.VIA workstation. The inclusion criteria were to have a PI-RADS v2.1 score≥3 lesion and after mpMRI, to examine by MRI-</w:t>
      </w:r>
      <w:r w:rsidRPr="00CD004E">
        <w:rPr>
          <w:color w:val="0E101A"/>
        </w:rPr>
        <w:lastRenderedPageBreak/>
        <w:t>TRUS cognitive fusion biopsy. Fifty-three patients who had PI-RADS&lt;3 lesions, 15 patients with unsuitable image quality</w:t>
      </w:r>
      <w:r w:rsidR="00093096" w:rsidRPr="00CD004E">
        <w:rPr>
          <w:color w:val="0E101A"/>
        </w:rPr>
        <w:t xml:space="preserve"> due to persistent rectal gas distension</w:t>
      </w:r>
      <w:r w:rsidRPr="00CD004E">
        <w:rPr>
          <w:color w:val="0E101A"/>
        </w:rPr>
        <w:t>, 30 patients with bx performed previously, without cognitive fusion biopsy in our hospital and with prostate cancer treatment before testing, 10 patients with no tissue diagnosis due to refusing biopsy were excluded from the study. Finally, a total of 135 patients and 152 lesions with a PI-RADSv2.1 score</w:t>
      </w:r>
      <w:r w:rsidR="00A53C1B" w:rsidRPr="00CD004E">
        <w:rPr>
          <w:color w:val="0E101A"/>
        </w:rPr>
        <w:t>≥</w:t>
      </w:r>
      <w:r w:rsidRPr="00CD004E">
        <w:rPr>
          <w:color w:val="0E101A"/>
        </w:rPr>
        <w:t>3 were found eligible for our study, and they were diagnosed with TRUS-guided cognitive MRI fusion as tissue diagnosis in our urology clinic.</w:t>
      </w:r>
    </w:p>
    <w:p w14:paraId="7043FB12" w14:textId="77777777" w:rsidR="00CC2ABC" w:rsidRPr="00CD004E" w:rsidRDefault="00CC2ABC" w:rsidP="00CD004E">
      <w:pPr>
        <w:pStyle w:val="NormalWeb"/>
        <w:spacing w:before="0" w:beforeAutospacing="0" w:after="0" w:afterAutospacing="0" w:line="480" w:lineRule="auto"/>
        <w:ind w:firstLine="708"/>
        <w:jc w:val="both"/>
        <w:rPr>
          <w:i/>
          <w:iCs/>
          <w:color w:val="0E101A"/>
        </w:rPr>
      </w:pPr>
      <w:r w:rsidRPr="00CD004E">
        <w:rPr>
          <w:rStyle w:val="Gl"/>
          <w:i/>
          <w:iCs/>
          <w:color w:val="0E101A"/>
        </w:rPr>
        <w:t>MRI Protocol</w:t>
      </w:r>
    </w:p>
    <w:p w14:paraId="7B03E017" w14:textId="06E04754" w:rsidR="00CC2ABC" w:rsidRPr="00CD004E" w:rsidRDefault="00CC2ABC" w:rsidP="00CD004E">
      <w:pPr>
        <w:pStyle w:val="NormalWeb"/>
        <w:spacing w:before="0" w:beforeAutospacing="0" w:after="0" w:afterAutospacing="0" w:line="480" w:lineRule="auto"/>
        <w:ind w:firstLine="708"/>
        <w:jc w:val="both"/>
        <w:rPr>
          <w:color w:val="0E101A"/>
        </w:rPr>
      </w:pPr>
      <w:r w:rsidRPr="00CD004E">
        <w:rPr>
          <w:color w:val="0E101A"/>
        </w:rPr>
        <w:t>Prostate MpMRI images examined in the study were performed with a 1.5T Siemens Magnetom Aera [Siemens Healthcare, Erlangen, Germany] MRI device with 18 channels [body 18 A 1.5T Tim Coil] pelvic coil according to the protocols shown in Table</w:t>
      </w:r>
      <w:r w:rsidR="00E0022E" w:rsidRPr="00CD004E">
        <w:rPr>
          <w:color w:val="0E101A"/>
        </w:rPr>
        <w:t>-</w:t>
      </w:r>
      <w:r w:rsidRPr="00CD004E">
        <w:rPr>
          <w:color w:val="0E101A"/>
        </w:rPr>
        <w:t>1. DWI was obtained in the axial plane using 4 different b</w:t>
      </w:r>
      <w:r w:rsidR="006F35FF" w:rsidRPr="00CD004E">
        <w:rPr>
          <w:color w:val="0E101A"/>
        </w:rPr>
        <w:t>-</w:t>
      </w:r>
      <w:r w:rsidRPr="00CD004E">
        <w:rPr>
          <w:color w:val="0E101A"/>
        </w:rPr>
        <w:t>values before contrast administration [b: 50-800-1200-1800 sec/mm</w:t>
      </w:r>
      <w:r w:rsidRPr="00CD004E">
        <w:rPr>
          <w:color w:val="0E101A"/>
          <w:vertAlign w:val="superscript"/>
        </w:rPr>
        <w:t>2</w:t>
      </w:r>
      <w:r w:rsidRPr="00CD004E">
        <w:rPr>
          <w:color w:val="0E101A"/>
        </w:rPr>
        <w:t>]. The b-2000 value was calculated and generated by the device itself, and the ADC values were calculated with a monoexponential model on a pixel-pixel basis using all b values. ADC values were obtained quantitatively from ADC maps. Different b‐value distributions were applied which is vary between 50 and 1800 sec/mm</w:t>
      </w:r>
      <w:r w:rsidRPr="00CD004E">
        <w:rPr>
          <w:color w:val="0E101A"/>
          <w:vertAlign w:val="superscript"/>
        </w:rPr>
        <w:t>2</w:t>
      </w:r>
      <w:r w:rsidRPr="00CD004E">
        <w:rPr>
          <w:color w:val="0E101A"/>
        </w:rPr>
        <w:t>. </w:t>
      </w:r>
    </w:p>
    <w:p w14:paraId="5EB8CA9D" w14:textId="77777777" w:rsidR="00CC2ABC" w:rsidRPr="00CD004E" w:rsidRDefault="00CC2ABC" w:rsidP="00CD004E">
      <w:pPr>
        <w:pStyle w:val="NormalWeb"/>
        <w:spacing w:before="0" w:beforeAutospacing="0" w:after="0" w:afterAutospacing="0" w:line="480" w:lineRule="auto"/>
        <w:ind w:firstLine="708"/>
        <w:jc w:val="both"/>
        <w:rPr>
          <w:i/>
          <w:iCs/>
          <w:color w:val="0E101A"/>
        </w:rPr>
      </w:pPr>
      <w:r w:rsidRPr="00CD004E">
        <w:rPr>
          <w:rStyle w:val="Gl"/>
          <w:i/>
          <w:iCs/>
          <w:color w:val="0E101A"/>
        </w:rPr>
        <w:t>Evaluation of Images and Histopathological Correlation </w:t>
      </w:r>
    </w:p>
    <w:p w14:paraId="7241D767" w14:textId="2592EC3B" w:rsidR="00CC2ABC" w:rsidRPr="00CD004E" w:rsidRDefault="00CC2ABC" w:rsidP="00CD004E">
      <w:pPr>
        <w:pStyle w:val="NormalWeb"/>
        <w:spacing w:before="0" w:beforeAutospacing="0" w:after="0" w:afterAutospacing="0" w:line="480" w:lineRule="auto"/>
        <w:ind w:firstLine="708"/>
        <w:jc w:val="both"/>
        <w:rPr>
          <w:color w:val="0E101A"/>
        </w:rPr>
      </w:pPr>
      <w:r w:rsidRPr="00CD004E">
        <w:rPr>
          <w:color w:val="0E101A"/>
        </w:rPr>
        <w:t xml:space="preserve">MpMRI images were evaluated before biopsy according to PI-RADSv2.1 guideline by a radiologist with 5 years of experience in MpMRI evaluation. Patient age, serum prostate-specific antigen [PSA] value, PSA density [PSAd], prostate volume were recorded. The lesions in the TZ and </w:t>
      </w:r>
      <w:r w:rsidR="001433B3" w:rsidRPr="00CD004E">
        <w:rPr>
          <w:color w:val="0E101A"/>
        </w:rPr>
        <w:t>PZ</w:t>
      </w:r>
      <w:r w:rsidRPr="00CD004E">
        <w:rPr>
          <w:color w:val="0E101A"/>
        </w:rPr>
        <w:t xml:space="preserve"> were scored from 1 to 5 according to the PI-RADSv2.1 guideline by specifying their appearance and size. All lesions with a PI-RADSv2.1 score ≥3 were included in this study. Localization, largest diameter, and PI-RADS score of the tumors were recorded. The assessing radiologist chose the best suited ADC map image for each lesion with a PI-RADSv2.1 score≥3 and measured the ADC values of the lesions. Measurements were made </w:t>
      </w:r>
      <w:r w:rsidRPr="00CD004E">
        <w:rPr>
          <w:color w:val="0E101A"/>
        </w:rPr>
        <w:lastRenderedPageBreak/>
        <w:t xml:space="preserve">prospectively using an elliptical or circular ROI tool available on the SYNGO.VIA workstation using a field of </w:t>
      </w:r>
      <w:proofErr w:type="gramStart"/>
      <w:r w:rsidRPr="00CD004E">
        <w:rPr>
          <w:color w:val="0E101A"/>
        </w:rPr>
        <w:t>view[</w:t>
      </w:r>
      <w:proofErr w:type="gramEnd"/>
      <w:r w:rsidRPr="00CD004E">
        <w:rPr>
          <w:color w:val="0E101A"/>
        </w:rPr>
        <w:t xml:space="preserve">FOV] adjusted to prostate imaging from lesions and for comparison, measurements were taken avoiding borders in the parenchyma areas that appear homogeneous in all sequences without lesions in the </w:t>
      </w:r>
      <w:r w:rsidR="001433B3" w:rsidRPr="00CD004E">
        <w:rPr>
          <w:color w:val="0E101A"/>
        </w:rPr>
        <w:t>PZ</w:t>
      </w:r>
      <w:r w:rsidRPr="00CD004E">
        <w:rPr>
          <w:color w:val="0E101A"/>
        </w:rPr>
        <w:t xml:space="preserve"> and </w:t>
      </w:r>
      <w:r w:rsidR="001433B3" w:rsidRPr="00CD004E">
        <w:rPr>
          <w:color w:val="0E101A"/>
        </w:rPr>
        <w:t>TZ</w:t>
      </w:r>
      <w:r w:rsidRPr="00CD004E">
        <w:rPr>
          <w:color w:val="0E101A"/>
        </w:rPr>
        <w:t>. The measured ROI area was chosen between 10 mm</w:t>
      </w:r>
      <w:r w:rsidRPr="00CD004E">
        <w:rPr>
          <w:color w:val="0E101A"/>
          <w:vertAlign w:val="superscript"/>
        </w:rPr>
        <w:t>2</w:t>
      </w:r>
      <w:r w:rsidRPr="00CD004E">
        <w:rPr>
          <w:color w:val="0E101A"/>
        </w:rPr>
        <w:t>[6 pixels] and 22 mm</w:t>
      </w:r>
      <w:r w:rsidRPr="00CD004E">
        <w:rPr>
          <w:color w:val="0E101A"/>
          <w:vertAlign w:val="superscript"/>
        </w:rPr>
        <w:t>2</w:t>
      </w:r>
      <w:r w:rsidRPr="00CD004E">
        <w:rPr>
          <w:color w:val="0E101A"/>
        </w:rPr>
        <w:t>[13 pixels], with an average ROI area of 15 mm</w:t>
      </w:r>
      <w:r w:rsidRPr="00CD004E">
        <w:rPr>
          <w:color w:val="0E101A"/>
          <w:vertAlign w:val="superscript"/>
        </w:rPr>
        <w:t>2</w:t>
      </w:r>
      <w:r w:rsidRPr="00CD004E">
        <w:rPr>
          <w:color w:val="0E101A"/>
        </w:rPr>
        <w:t>[8 pixels]. Measurements were performed twice</w:t>
      </w:r>
      <w:r w:rsidR="00011E06" w:rsidRPr="00CD004E">
        <w:rPr>
          <w:color w:val="0E101A"/>
        </w:rPr>
        <w:t xml:space="preserve"> for both PZ and TZ and each lesions</w:t>
      </w:r>
      <w:r w:rsidRPr="00CD004E">
        <w:rPr>
          <w:color w:val="0E101A"/>
        </w:rPr>
        <w:t>, and a lower ADC value was used for the evaluation. In the radiology report, ADC values were defined as millimeter</w:t>
      </w:r>
      <w:r w:rsidRPr="00CD004E">
        <w:rPr>
          <w:color w:val="0E101A"/>
          <w:vertAlign w:val="superscript"/>
        </w:rPr>
        <w:t>2</w:t>
      </w:r>
      <w:r w:rsidRPr="00CD004E">
        <w:rPr>
          <w:color w:val="0E101A"/>
        </w:rPr>
        <w:t>×10</w:t>
      </w:r>
      <w:r w:rsidRPr="00CD004E">
        <w:rPr>
          <w:color w:val="0E101A"/>
          <w:vertAlign w:val="superscript"/>
        </w:rPr>
        <w:t>-3</w:t>
      </w:r>
      <w:r w:rsidRPr="00CD004E">
        <w:rPr>
          <w:color w:val="0E101A"/>
        </w:rPr>
        <w:t xml:space="preserve"> per second. Relationships between patient age, serum PSA level, tumor ADC value, and GS were investigated. Lesions with pathologically Gleason GS</w:t>
      </w:r>
      <w:r w:rsidR="00081B77" w:rsidRPr="00CD004E">
        <w:rPr>
          <w:color w:val="0E101A"/>
        </w:rPr>
        <w:t>≥</w:t>
      </w:r>
      <w:r w:rsidRPr="00CD004E">
        <w:rPr>
          <w:color w:val="0E101A"/>
        </w:rPr>
        <w:t>6 were accepted as positive. In our hospital, MpMRI cognitive fusion TRUS-bx,18G automatic tru-cut biopsy needle, and hypoechogenic-hyperechogenic foci were also taken into consideration and correlated with the foci identified in the MpMRI obtained before biopsy and marked on the sector map, and two samples were made from each lesion by 15 years experienced urologist. The radiologist and urologist made a consensus then decided on the localization of the lesion together during the biopsy. Histopathological analysis of prostate specimens was performed by 20 years experienced urological pathologist. Three groups which are benign prostatic tissue, prostatitis, prostate cancer, were obtained according to the histopathological results. The malignant lesions were grouped according to the International Association of Urological Pathology[ISUP] criteria[ISUP1, GS3+3; ISUP2, GS3+4; ISUP3, GS4+3; ISUP4, GS4+4; ISUP5, GS≥9]</w:t>
      </w:r>
      <w:r w:rsidR="00D27101">
        <w:rPr>
          <w:rStyle w:val="DipnotBavurusu"/>
          <w:color w:val="0E101A"/>
        </w:rPr>
        <w:fldChar w:fldCharType="begin" w:fldLock="1"/>
      </w:r>
      <w:r w:rsidR="00D27101">
        <w:rPr>
          <w:color w:val="0E101A"/>
        </w:rPr>
        <w:instrText>ADDIN CSL_CITATION {"citationItems":[{"id":"ITEM-1","itemData":{"DOI":"10.1097/PAS.0000000000000530","ISSN":"15320979","abstract":"© 2015 Wolters Kluwer Health, Inc. All rights reserved. In November, 2014, 65 prostate cancer pathology experts, along with 17 clinicians including urologists, radiation oncologists, and medical oncologists from 19 different countries gathered in a consensus conference to update the grading of prostate cancer, last revised in 2005. The major conclusions were: (1) Cribriform glands should be assigned a Gleason pattern 4, regardless of morphology; (2) Glomeruloid glands should be assigned a Gleason pattern 4, regardless of morphology; (3) Grading of mucinous carcinoma of the prostate should be based on its underlying growth pattern rather than grading them all as pattern 4; and (4) Intraductal carcinoma of the prostate without invasive carcinoma should not be assigned a Gleason grade and a comment as to its invariable association with aggressive prostate cancer should be made. Regarding morphologies of Gleason patterns, there was clear consensus on: (1) Gleason pattern 4 includes cribriform, fused, and poorly formed glands; (2) The term hypernephromatoid cancer should not be used; (3)  For a diagnosis of Gleason pattern 4, it needs to be seen at 10x lens magnification; (4) Occasional/seemingly poorly formed or fused glands between well-formed glands is insufficient for a diagnosis of pattern 4; (5) In cases with borderline morphology between Gleason pattern 3 and pattern 4 and crush artifacts, the lower grade should be favored; (6) Branched glands are allowed in Gleason pattern 3; (7) Small solid cylinders represent Gleason pattern 5; (8) Solid medium to large nests with rosette-like spaces should be considered to represent Gleason pattern 5; and (9) Presence of unequivocal comedonecrosis, even if focal is indicative of Gleason pattern 5. It was recognized by both pathologists and clinicians that despite the above changes, there were deficiencies with the Gleason system. The Gleason grading system ranges from 2 to 10, yet 6 is the lowest score currently assigned. When patients are told that they have a Gleason score 6 out of 10, it implies that their prognosis is intermediate and contributes to their fear of having a more aggressive cancer. Also, in the literature and for therapeutic purposes, various scores have been incorrectly grouped together with the assumption that they have a similar prognosis. For example, many classification systems consider Gleason score 7 as a single score without distinguishing 3+4 versus 4+3, despite studies showing significa…","author":[{"dropping-particle":"","family":"Epstein","given":"Jonathan I.","non-dropping-particle":"","parse-names":false,"suffix":""},{"dropping-particle":"","family":"Egevad","given":"Lars","non-dropping-particle":"","parse-names":false,"suffix":""},{"dropping-particle":"","family":"Amin","given":"Mahul B.","non-dropping-particle":"","parse-names":false,"suffix":""},{"dropping-particle":"","family":"Delahunt","given":"Brett","non-dropping-particle":"","parse-names":false,"suffix":""},{"dropping-particle":"","family":"Srigley","given":"John R.","non-dropping-particle":"","parse-names":false,"suffix":""},{"dropping-particle":"","family":"Humphrey","given":"Peter A.","non-dropping-particle":"","parse-names":false,"suffix":""}],"container-title":"American Journal of Surgical Pathology","id":"ITEM-1","issue":"2","issued":{"date-parts":[["2016"]]},"page":"244-252","title":"The 2014 international society of urological pathology (ISUP) consensus conference on gleason grading of prostatic carcinoma definition of grading patterns and proposal for a new grading system","type":"article-journal","volume":"40"},"uris":["http://www.mendeley.com/documents/?uuid=10dac400-9136-4b56-8385-ed667a7b5aaa"]}],"mendeley":{"formattedCitation":"&lt;sup&gt;12&lt;/sup&gt;","plainTextFormattedCitation":"12","previouslyFormattedCitation":"Jonathan I. Epstein and others, ‘The 2014 International Society of Urological Pathology (ISUP) Consensus Conference on Gleason Grading of Prostatic Carcinoma Definition of Grading Patterns and Proposal for a New Grading System’, &lt;i&gt;American Journal of Surgical Pathology&lt;/i&gt;, 40.2 (2016), 244–52 &lt;https://doi.org/10.1097/PAS.0000000000000530&gt;."},"properties":{"noteIndex":0},"schema":"https://github.com/citation-style-language/schema/raw/master/csl-citation.json"}</w:instrText>
      </w:r>
      <w:r w:rsidR="00D27101">
        <w:rPr>
          <w:rStyle w:val="DipnotBavurusu"/>
          <w:color w:val="0E101A"/>
        </w:rPr>
        <w:fldChar w:fldCharType="separate"/>
      </w:r>
      <w:r w:rsidR="00D27101" w:rsidRPr="00D27101">
        <w:rPr>
          <w:bCs/>
          <w:noProof/>
          <w:color w:val="0E101A"/>
          <w:vertAlign w:val="superscript"/>
        </w:rPr>
        <w:t>12</w:t>
      </w:r>
      <w:r w:rsidR="00D27101">
        <w:rPr>
          <w:rStyle w:val="DipnotBavurusu"/>
          <w:color w:val="0E101A"/>
        </w:rPr>
        <w:fldChar w:fldCharType="end"/>
      </w:r>
      <w:r w:rsidRPr="00CD004E">
        <w:rPr>
          <w:color w:val="0E101A"/>
        </w:rPr>
        <w:t>. </w:t>
      </w:r>
    </w:p>
    <w:p w14:paraId="0B4789D8" w14:textId="77777777" w:rsidR="006D4C67" w:rsidRPr="00CD004E" w:rsidRDefault="006D4C67" w:rsidP="00CD004E">
      <w:pPr>
        <w:pStyle w:val="NormalWeb"/>
        <w:spacing w:before="0" w:beforeAutospacing="0" w:after="0" w:afterAutospacing="0" w:line="480" w:lineRule="auto"/>
        <w:ind w:firstLine="708"/>
        <w:jc w:val="both"/>
        <w:rPr>
          <w:rStyle w:val="Gl"/>
          <w:i/>
          <w:iCs/>
          <w:color w:val="0E101A"/>
        </w:rPr>
      </w:pPr>
    </w:p>
    <w:p w14:paraId="0D79F2AF" w14:textId="77777777" w:rsidR="006D4C67" w:rsidRPr="00CD004E" w:rsidRDefault="006D4C67" w:rsidP="00CD004E">
      <w:pPr>
        <w:pStyle w:val="NormalWeb"/>
        <w:spacing w:before="0" w:beforeAutospacing="0" w:after="0" w:afterAutospacing="0" w:line="480" w:lineRule="auto"/>
        <w:ind w:firstLine="708"/>
        <w:jc w:val="both"/>
        <w:rPr>
          <w:rStyle w:val="Gl"/>
          <w:i/>
          <w:iCs/>
          <w:color w:val="0E101A"/>
        </w:rPr>
      </w:pPr>
    </w:p>
    <w:p w14:paraId="62F1799C" w14:textId="527FD778" w:rsidR="00CC2ABC" w:rsidRPr="00CD004E" w:rsidRDefault="00CC2ABC" w:rsidP="00CD004E">
      <w:pPr>
        <w:pStyle w:val="NormalWeb"/>
        <w:spacing w:before="0" w:beforeAutospacing="0" w:after="0" w:afterAutospacing="0" w:line="480" w:lineRule="auto"/>
        <w:ind w:firstLine="708"/>
        <w:jc w:val="both"/>
        <w:rPr>
          <w:i/>
          <w:iCs/>
          <w:color w:val="0E101A"/>
        </w:rPr>
      </w:pPr>
      <w:r w:rsidRPr="00CD004E">
        <w:rPr>
          <w:rStyle w:val="Gl"/>
          <w:i/>
          <w:iCs/>
          <w:color w:val="0E101A"/>
        </w:rPr>
        <w:t>Statistical analysis</w:t>
      </w:r>
    </w:p>
    <w:p w14:paraId="64D344CA" w14:textId="42B1E5D9" w:rsidR="00CC2ABC" w:rsidRPr="00CD004E" w:rsidRDefault="00CC2ABC" w:rsidP="00CD004E">
      <w:pPr>
        <w:pStyle w:val="NormalWeb"/>
        <w:spacing w:before="0" w:beforeAutospacing="0" w:after="0" w:afterAutospacing="0" w:line="480" w:lineRule="auto"/>
        <w:ind w:firstLine="708"/>
        <w:jc w:val="both"/>
        <w:rPr>
          <w:color w:val="0E101A"/>
        </w:rPr>
      </w:pPr>
      <w:r w:rsidRPr="00CD004E">
        <w:rPr>
          <w:color w:val="0E101A"/>
        </w:rPr>
        <w:t xml:space="preserve">In the descriptive analysis, continuous variables are presented as mean ± standard deviation or median [25-75th percentile], and categorical variables as a </w:t>
      </w:r>
      <w:proofErr w:type="gramStart"/>
      <w:r w:rsidRPr="00CD004E">
        <w:rPr>
          <w:color w:val="0E101A"/>
        </w:rPr>
        <w:t>percentage[</w:t>
      </w:r>
      <w:proofErr w:type="gramEnd"/>
      <w:r w:rsidRPr="00CD004E">
        <w:rPr>
          <w:color w:val="0E101A"/>
        </w:rPr>
        <w:t xml:space="preserve">%]. The </w:t>
      </w:r>
      <w:r w:rsidRPr="00CD004E">
        <w:rPr>
          <w:color w:val="0E101A"/>
        </w:rPr>
        <w:lastRenderedPageBreak/>
        <w:t xml:space="preserve">compliance of the </w:t>
      </w:r>
      <w:proofErr w:type="gramStart"/>
      <w:r w:rsidRPr="00CD004E">
        <w:rPr>
          <w:color w:val="0E101A"/>
        </w:rPr>
        <w:t>data</w:t>
      </w:r>
      <w:proofErr w:type="gramEnd"/>
      <w:r w:rsidRPr="00CD004E">
        <w:rPr>
          <w:color w:val="0E101A"/>
        </w:rPr>
        <w:t xml:space="preserve"> to the normal distribution was evaluated using the Shapiro-Wilk test. When the distribution of the </w:t>
      </w:r>
      <w:proofErr w:type="gramStart"/>
      <w:r w:rsidRPr="00CD004E">
        <w:rPr>
          <w:color w:val="0E101A"/>
        </w:rPr>
        <w:t>data</w:t>
      </w:r>
      <w:proofErr w:type="gramEnd"/>
      <w:r w:rsidRPr="00CD004E">
        <w:rPr>
          <w:color w:val="0E101A"/>
        </w:rPr>
        <w:t xml:space="preserve"> was normal, the t-test was used in the comparison of the two groups, and the Mann-Whitney-U test was used under non-parametric conditions. One-way ANOVA or non-parametric Kruskal-Wallis test was used to compare continuous variables between three and more categories. The strength of the correlation between two continuous variables was evaluated using Spearman correlation analysis. Accordingly, the correlation coefficient [r] values &lt;0.2 show very weak or no correlation, values from 0.2-0.4 show weak correlation, from 0.4-0.6 show moderate correlation, 0.6-0.8 show a high correlation, and values&gt;0.8 are interpreted as very high correlation. ROC analysis was used to evaluate the success of the obtained variables in diagnosing prostate cancer and to determine the cut-off values, and the area under the curve [AUC], sensitivity, specificity, positive predictive value [PPV], negative predictive value [NPV] were calculated. After confirming that the </w:t>
      </w:r>
      <w:proofErr w:type="gramStart"/>
      <w:r w:rsidRPr="00CD004E">
        <w:rPr>
          <w:color w:val="0E101A"/>
        </w:rPr>
        <w:t>data</w:t>
      </w:r>
      <w:proofErr w:type="gramEnd"/>
      <w:r w:rsidRPr="00CD004E">
        <w:rPr>
          <w:color w:val="0E101A"/>
        </w:rPr>
        <w:t xml:space="preserve"> were normally distributed, unpaired t-tests were used to determine significant differences in mean ADC value between normal and cancer regions in the prostate gland according to zones. The relationships between ADC values and tumor Gleason score in both PZ and TZ cancers were evaluated using the Spearman rank correlation </w:t>
      </w:r>
      <w:proofErr w:type="gramStart"/>
      <w:r w:rsidRPr="00CD004E">
        <w:rPr>
          <w:color w:val="0E101A"/>
        </w:rPr>
        <w:t>coefficient[</w:t>
      </w:r>
      <w:proofErr w:type="gramEnd"/>
      <w:r w:rsidRPr="00CD004E">
        <w:rPr>
          <w:color w:val="0E101A"/>
        </w:rPr>
        <w:t>"]. </w:t>
      </w:r>
    </w:p>
    <w:p w14:paraId="1802E189" w14:textId="3DCB8183" w:rsidR="00CC2ABC" w:rsidRPr="00CD004E" w:rsidRDefault="00CC2ABC" w:rsidP="00CD004E">
      <w:pPr>
        <w:pStyle w:val="NormalWeb"/>
        <w:spacing w:before="0" w:beforeAutospacing="0" w:after="0" w:afterAutospacing="0" w:line="480" w:lineRule="auto"/>
        <w:jc w:val="both"/>
        <w:rPr>
          <w:color w:val="0E101A"/>
        </w:rPr>
      </w:pPr>
      <w:r w:rsidRPr="00CD004E">
        <w:rPr>
          <w:color w:val="0E101A"/>
        </w:rPr>
        <w:t xml:space="preserve">SPSS 22.0 and MEDCALC programs were used for statistical analysis. </w:t>
      </w:r>
      <w:proofErr w:type="gramStart"/>
      <w:r w:rsidRPr="00CD004E">
        <w:rPr>
          <w:color w:val="0E101A"/>
        </w:rPr>
        <w:t>p</w:t>
      </w:r>
      <w:proofErr w:type="gramEnd"/>
      <w:r w:rsidRPr="00CD004E">
        <w:rPr>
          <w:color w:val="0E101A"/>
        </w:rPr>
        <w:t xml:space="preserve">&lt;0.05 was considered statistically significant. Data are shown as mean ± 95% confidence </w:t>
      </w:r>
      <w:proofErr w:type="gramStart"/>
      <w:r w:rsidRPr="00CD004E">
        <w:rPr>
          <w:color w:val="0E101A"/>
        </w:rPr>
        <w:t>interval[</w:t>
      </w:r>
      <w:proofErr w:type="gramEnd"/>
      <w:r w:rsidRPr="00CD004E">
        <w:rPr>
          <w:color w:val="0E101A"/>
        </w:rPr>
        <w:t>CI].</w:t>
      </w:r>
    </w:p>
    <w:p w14:paraId="41930AAE" w14:textId="77777777" w:rsidR="00CC2ABC" w:rsidRPr="00CD004E" w:rsidRDefault="00CC2ABC" w:rsidP="00CD004E">
      <w:pPr>
        <w:pStyle w:val="NormalWeb"/>
        <w:spacing w:before="0" w:beforeAutospacing="0" w:after="0" w:afterAutospacing="0" w:line="480" w:lineRule="auto"/>
        <w:ind w:firstLine="708"/>
        <w:jc w:val="both"/>
        <w:rPr>
          <w:color w:val="0E101A"/>
        </w:rPr>
      </w:pPr>
      <w:r w:rsidRPr="00CD004E">
        <w:rPr>
          <w:rStyle w:val="Gl"/>
          <w:color w:val="0E101A"/>
        </w:rPr>
        <w:t>Results:</w:t>
      </w:r>
    </w:p>
    <w:p w14:paraId="410D7ABF" w14:textId="1B4BC8B0" w:rsidR="00CC2ABC" w:rsidRPr="00CD004E" w:rsidRDefault="00CC2ABC" w:rsidP="00CD004E">
      <w:pPr>
        <w:pStyle w:val="NormalWeb"/>
        <w:spacing w:before="0" w:beforeAutospacing="0" w:after="0" w:afterAutospacing="0" w:line="480" w:lineRule="auto"/>
        <w:ind w:firstLine="708"/>
        <w:jc w:val="both"/>
        <w:rPr>
          <w:color w:val="0E101A"/>
        </w:rPr>
      </w:pPr>
      <w:r w:rsidRPr="00CD004E">
        <w:rPr>
          <w:color w:val="0E101A"/>
        </w:rPr>
        <w:t>A total of 135 patients and 152 lesions were included in this study. The mean age of the patients was 63.7±7.12. The mean PSA, prostate volume, and PSA</w:t>
      </w:r>
      <w:r w:rsidR="006E154B" w:rsidRPr="00CD004E">
        <w:rPr>
          <w:color w:val="0E101A"/>
        </w:rPr>
        <w:t>d</w:t>
      </w:r>
      <w:r w:rsidRPr="00CD004E">
        <w:rPr>
          <w:color w:val="0E101A"/>
        </w:rPr>
        <w:t xml:space="preserve"> of the individuals are 9.78±</w:t>
      </w:r>
      <w:r w:rsidR="00E0022E" w:rsidRPr="00CD004E">
        <w:rPr>
          <w:color w:val="0E101A"/>
        </w:rPr>
        <w:t>1</w:t>
      </w:r>
      <w:r w:rsidRPr="00CD004E">
        <w:rPr>
          <w:color w:val="0E101A"/>
        </w:rPr>
        <w:t xml:space="preserve">4, 65.83±35.07, 0.24±0.39, respectively. In the PI-RADS groups 3, 4, and 5, there were 84, 39, and 29 lesions identified respectively, and the PCA prevalence of them was 24.2%, 60%, and 93.4% respectively. </w:t>
      </w:r>
      <w:proofErr w:type="gramStart"/>
      <w:r w:rsidRPr="00CD004E">
        <w:rPr>
          <w:color w:val="0E101A"/>
        </w:rPr>
        <w:t>Forty[</w:t>
      </w:r>
      <w:proofErr w:type="gramEnd"/>
      <w:r w:rsidRPr="00CD004E">
        <w:rPr>
          <w:color w:val="0E101A"/>
        </w:rPr>
        <w:t xml:space="preserve">26.3%] of 152 lesions obtained from individuals were diagnosed as benign prostatic </w:t>
      </w:r>
      <w:r w:rsidR="001433B3" w:rsidRPr="00CD004E">
        <w:rPr>
          <w:color w:val="0E101A"/>
        </w:rPr>
        <w:t>tissue</w:t>
      </w:r>
      <w:r w:rsidRPr="00CD004E">
        <w:rPr>
          <w:color w:val="0E101A"/>
        </w:rPr>
        <w:t xml:space="preserve">, 55[36.2%] prostatitis, and 57[37.5%] of them were </w:t>
      </w:r>
      <w:r w:rsidRPr="00CD004E">
        <w:rPr>
          <w:color w:val="0E101A"/>
        </w:rPr>
        <w:lastRenderedPageBreak/>
        <w:t>diagnosed with PCa[Table 2].</w:t>
      </w:r>
      <w:r w:rsidR="00ED1581" w:rsidRPr="00CD004E">
        <w:rPr>
          <w:color w:val="0E101A"/>
        </w:rPr>
        <w:t xml:space="preserve"> 16 lesions were identified as ISUP1 </w:t>
      </w:r>
      <w:proofErr w:type="gramStart"/>
      <w:r w:rsidR="00ED1581" w:rsidRPr="00CD004E">
        <w:rPr>
          <w:color w:val="0E101A"/>
        </w:rPr>
        <w:t>and  41</w:t>
      </w:r>
      <w:proofErr w:type="gramEnd"/>
      <w:r w:rsidR="00ED1581" w:rsidRPr="00CD004E">
        <w:rPr>
          <w:color w:val="0E101A"/>
        </w:rPr>
        <w:t xml:space="preserve"> of the lesions had higher ISUP grades. </w:t>
      </w:r>
      <w:r w:rsidRPr="00CD004E">
        <w:rPr>
          <w:color w:val="0E101A"/>
        </w:rPr>
        <w:t> </w:t>
      </w:r>
    </w:p>
    <w:p w14:paraId="2B3F5EB6" w14:textId="5C0DA947" w:rsidR="00CC2ABC" w:rsidRPr="00CD004E" w:rsidRDefault="00CC2ABC" w:rsidP="00CD004E">
      <w:pPr>
        <w:pStyle w:val="NormalWeb"/>
        <w:spacing w:before="0" w:beforeAutospacing="0" w:after="0" w:afterAutospacing="0" w:line="480" w:lineRule="auto"/>
        <w:ind w:firstLine="708"/>
        <w:jc w:val="both"/>
        <w:rPr>
          <w:color w:val="0E101A"/>
        </w:rPr>
      </w:pPr>
      <w:r w:rsidRPr="00CD004E">
        <w:rPr>
          <w:color w:val="0E101A"/>
        </w:rPr>
        <w:t>When PCa-nonPCa lesions and PCa-prostatitis lesions were evaluated according to age, PSA, prostate volume, and PSAd; the mean PSA values were not statistically different [p: 0.051 and p: 0.256]. Mean age and PSAd were higher in the PCa group, and prostate volume was lower [Table 2]. Age showed a low level positive correlation [r= 0.308, p= 0.004] with the mean PSA. While there was a weak positive correlation between PSA and prostate volume [r= 0.275, p= 0.011]; a moderate positive correlation [r= 0.617, p&lt;0.001] was observed with the PSAd. A moderate negative correlation was found between prostate volume and PSAd</w:t>
      </w:r>
      <w:r w:rsidR="00E0022E" w:rsidRPr="00CD004E">
        <w:rPr>
          <w:color w:val="0E101A"/>
        </w:rPr>
        <w:t xml:space="preserve"> </w:t>
      </w:r>
      <w:r w:rsidRPr="00CD004E">
        <w:rPr>
          <w:color w:val="0E101A"/>
        </w:rPr>
        <w:t>[r</w:t>
      </w:r>
      <w:proofErr w:type="gramStart"/>
      <w:r w:rsidRPr="00CD004E">
        <w:rPr>
          <w:color w:val="0E101A"/>
        </w:rPr>
        <w:t>=</w:t>
      </w:r>
      <w:r w:rsidR="00E0022E" w:rsidRPr="00CD004E">
        <w:rPr>
          <w:color w:val="0E101A"/>
        </w:rPr>
        <w:t xml:space="preserve"> </w:t>
      </w:r>
      <w:r w:rsidRPr="00CD004E">
        <w:rPr>
          <w:color w:val="0E101A"/>
        </w:rPr>
        <w:t>-</w:t>
      </w:r>
      <w:proofErr w:type="gramEnd"/>
      <w:r w:rsidRPr="00CD004E">
        <w:rPr>
          <w:color w:val="0E101A"/>
        </w:rPr>
        <w:t>0.502, p &lt;0.001]</w:t>
      </w:r>
      <w:r w:rsidR="00E0022E" w:rsidRPr="00CD004E">
        <w:rPr>
          <w:color w:val="0E101A"/>
        </w:rPr>
        <w:t xml:space="preserve"> </w:t>
      </w:r>
      <w:r w:rsidRPr="00CD004E">
        <w:rPr>
          <w:color w:val="0E101A"/>
        </w:rPr>
        <w:t xml:space="preserve">[Table </w:t>
      </w:r>
      <w:r w:rsidR="00BD4DC9" w:rsidRPr="00CD004E">
        <w:rPr>
          <w:color w:val="0E101A"/>
        </w:rPr>
        <w:t>3</w:t>
      </w:r>
      <w:r w:rsidRPr="00CD004E">
        <w:rPr>
          <w:color w:val="0E101A"/>
        </w:rPr>
        <w:t>]. </w:t>
      </w:r>
    </w:p>
    <w:p w14:paraId="392147E8" w14:textId="66212B56" w:rsidR="00CC2ABC" w:rsidRPr="00CD004E" w:rsidRDefault="00CC2ABC" w:rsidP="00CD004E">
      <w:pPr>
        <w:pStyle w:val="NormalWeb"/>
        <w:spacing w:before="0" w:beforeAutospacing="0" w:after="0" w:afterAutospacing="0" w:line="480" w:lineRule="auto"/>
        <w:ind w:firstLine="708"/>
        <w:jc w:val="both"/>
        <w:rPr>
          <w:color w:val="0E101A"/>
        </w:rPr>
      </w:pPr>
      <w:r w:rsidRPr="00CD004E">
        <w:rPr>
          <w:color w:val="0E101A"/>
        </w:rPr>
        <w:t xml:space="preserve">The mean ADC value for the normal </w:t>
      </w:r>
      <w:r w:rsidR="001433B3" w:rsidRPr="00CD004E">
        <w:rPr>
          <w:color w:val="0E101A"/>
        </w:rPr>
        <w:t>PZ</w:t>
      </w:r>
      <w:r w:rsidRPr="00CD004E">
        <w:rPr>
          <w:color w:val="0E101A"/>
        </w:rPr>
        <w:t xml:space="preserve"> was 1174.22±178.19x10</w:t>
      </w:r>
      <w:r w:rsidRPr="00CD004E">
        <w:rPr>
          <w:color w:val="0E101A"/>
          <w:vertAlign w:val="superscript"/>
        </w:rPr>
        <w:t>-3</w:t>
      </w:r>
      <w:r w:rsidRPr="00CD004E">
        <w:rPr>
          <w:color w:val="0E101A"/>
        </w:rPr>
        <w:t xml:space="preserve"> [min-max: 739.0-1537.0x10</w:t>
      </w:r>
      <w:r w:rsidRPr="00CD004E">
        <w:rPr>
          <w:color w:val="0E101A"/>
          <w:vertAlign w:val="superscript"/>
        </w:rPr>
        <w:t>-3</w:t>
      </w:r>
      <w:r w:rsidRPr="00CD004E">
        <w:rPr>
          <w:color w:val="0E101A"/>
        </w:rPr>
        <w:t xml:space="preserve">], the mean ADC value for the normal </w:t>
      </w:r>
      <w:r w:rsidR="001433B3" w:rsidRPr="00CD004E">
        <w:rPr>
          <w:color w:val="0E101A"/>
        </w:rPr>
        <w:t>TZ</w:t>
      </w:r>
      <w:r w:rsidRPr="00CD004E">
        <w:rPr>
          <w:color w:val="0E101A"/>
        </w:rPr>
        <w:t xml:space="preserve"> was 920.27±158.27x10</w:t>
      </w:r>
      <w:r w:rsidRPr="00CD004E">
        <w:rPr>
          <w:color w:val="0E101A"/>
          <w:vertAlign w:val="superscript"/>
        </w:rPr>
        <w:t>-3</w:t>
      </w:r>
      <w:r w:rsidRPr="00CD004E">
        <w:rPr>
          <w:color w:val="0E101A"/>
        </w:rPr>
        <w:t xml:space="preserve"> [min-max: 312.4-1521.0x10</w:t>
      </w:r>
      <w:r w:rsidRPr="00CD004E">
        <w:rPr>
          <w:color w:val="0E101A"/>
          <w:vertAlign w:val="superscript"/>
        </w:rPr>
        <w:t>-3</w:t>
      </w:r>
      <w:r w:rsidRPr="00CD004E">
        <w:rPr>
          <w:color w:val="0E101A"/>
        </w:rPr>
        <w:t xml:space="preserve">]. While there was a weak negative correlation between </w:t>
      </w:r>
      <w:r w:rsidR="001433B3" w:rsidRPr="00CD004E">
        <w:rPr>
          <w:color w:val="0E101A"/>
        </w:rPr>
        <w:t>PZ</w:t>
      </w:r>
      <w:r w:rsidRPr="00CD004E">
        <w:rPr>
          <w:color w:val="0E101A"/>
        </w:rPr>
        <w:t xml:space="preserve"> ADC value and PSAd [r=-0.236, p=0.036], a weak positive correlation was observed between </w:t>
      </w:r>
      <w:r w:rsidR="001433B3" w:rsidRPr="00CD004E">
        <w:rPr>
          <w:color w:val="0E101A"/>
        </w:rPr>
        <w:t>TZ</w:t>
      </w:r>
      <w:r w:rsidRPr="00CD004E">
        <w:rPr>
          <w:color w:val="0E101A"/>
        </w:rPr>
        <w:t xml:space="preserve"> ADC and PSAd [r=</w:t>
      </w:r>
      <w:r w:rsidR="00081B77" w:rsidRPr="00CD004E">
        <w:rPr>
          <w:color w:val="0E101A"/>
        </w:rPr>
        <w:t>0</w:t>
      </w:r>
      <w:r w:rsidRPr="00CD004E">
        <w:rPr>
          <w:color w:val="0E101A"/>
        </w:rPr>
        <w:t xml:space="preserve">.326, p=0.003] [Table </w:t>
      </w:r>
      <w:r w:rsidR="00BD4DC9" w:rsidRPr="00CD004E">
        <w:rPr>
          <w:color w:val="0E101A"/>
        </w:rPr>
        <w:t>3</w:t>
      </w:r>
      <w:r w:rsidRPr="00CD004E">
        <w:rPr>
          <w:color w:val="0E101A"/>
        </w:rPr>
        <w:t>].</w:t>
      </w:r>
    </w:p>
    <w:p w14:paraId="4CD05650" w14:textId="10E00A09" w:rsidR="00CC2ABC" w:rsidRPr="00CD004E" w:rsidRDefault="00CC2ABC" w:rsidP="00CD004E">
      <w:pPr>
        <w:pStyle w:val="NormalWeb"/>
        <w:spacing w:before="0" w:beforeAutospacing="0" w:after="0" w:afterAutospacing="0" w:line="480" w:lineRule="auto"/>
        <w:jc w:val="both"/>
        <w:rPr>
          <w:color w:val="0E101A"/>
        </w:rPr>
      </w:pPr>
      <w:r w:rsidRPr="00CD004E">
        <w:rPr>
          <w:color w:val="0E101A"/>
        </w:rPr>
        <w:t xml:space="preserve">           When cancer lesions and non-cancerous lesions were compared ADC values were found to be significantly </w:t>
      </w:r>
      <w:proofErr w:type="gramStart"/>
      <w:r w:rsidRPr="00CD004E">
        <w:rPr>
          <w:color w:val="0E101A"/>
        </w:rPr>
        <w:t>different[</w:t>
      </w:r>
      <w:proofErr w:type="gramEnd"/>
      <w:r w:rsidRPr="00CD004E">
        <w:rPr>
          <w:color w:val="0E101A"/>
        </w:rPr>
        <w:t xml:space="preserve">Table </w:t>
      </w:r>
      <w:r w:rsidR="00BD4DC9" w:rsidRPr="00CD004E">
        <w:rPr>
          <w:color w:val="0E101A"/>
        </w:rPr>
        <w:t>4</w:t>
      </w:r>
      <w:r w:rsidRPr="00CD004E">
        <w:rPr>
          <w:color w:val="0E101A"/>
        </w:rPr>
        <w:t xml:space="preserve">]. When the mean ADC value of the malignant lesions according to the zones is evaluated, it is 629.97±151.77 for the </w:t>
      </w:r>
      <w:r w:rsidR="001433B3" w:rsidRPr="00CD004E">
        <w:rPr>
          <w:color w:val="0E101A"/>
        </w:rPr>
        <w:t>PZ</w:t>
      </w:r>
      <w:r w:rsidRPr="00CD004E">
        <w:rPr>
          <w:color w:val="0E101A"/>
        </w:rPr>
        <w:t xml:space="preserve"> and 614.75±152.23 for the </w:t>
      </w:r>
      <w:r w:rsidR="001433B3" w:rsidRPr="00CD004E">
        <w:rPr>
          <w:color w:val="0E101A"/>
        </w:rPr>
        <w:t>TZ</w:t>
      </w:r>
      <w:r w:rsidRPr="00CD004E">
        <w:rPr>
          <w:color w:val="0E101A"/>
        </w:rPr>
        <w:t xml:space="preserve">, and the difference between them is not statistically </w:t>
      </w:r>
      <w:proofErr w:type="gramStart"/>
      <w:r w:rsidRPr="00CD004E">
        <w:rPr>
          <w:color w:val="0E101A"/>
        </w:rPr>
        <w:t>significant[</w:t>
      </w:r>
      <w:proofErr w:type="gramEnd"/>
      <w:r w:rsidRPr="00CD004E">
        <w:rPr>
          <w:color w:val="0E101A"/>
        </w:rPr>
        <w:t xml:space="preserve">p= 0.830] [Table </w:t>
      </w:r>
      <w:r w:rsidR="00BD4DC9" w:rsidRPr="00CD004E">
        <w:rPr>
          <w:color w:val="0E101A"/>
        </w:rPr>
        <w:t>5</w:t>
      </w:r>
      <w:r w:rsidRPr="00CD004E">
        <w:rPr>
          <w:color w:val="0E101A"/>
        </w:rPr>
        <w:t>]. ADC values of benign prostatic tissue, prostatitis, and prostate cancer groups showed a statistically significant difference [p= 0.001]. </w:t>
      </w:r>
    </w:p>
    <w:p w14:paraId="6F8C1C64" w14:textId="13A46800" w:rsidR="00CC2ABC" w:rsidRPr="00CD004E" w:rsidRDefault="00CC2ABC" w:rsidP="00CD004E">
      <w:pPr>
        <w:pStyle w:val="NormalWeb"/>
        <w:spacing w:before="0" w:beforeAutospacing="0" w:after="0" w:afterAutospacing="0" w:line="480" w:lineRule="auto"/>
        <w:jc w:val="both"/>
        <w:rPr>
          <w:color w:val="0E101A"/>
        </w:rPr>
      </w:pPr>
      <w:r w:rsidRPr="00CD004E">
        <w:rPr>
          <w:color w:val="0E101A"/>
        </w:rPr>
        <w:t xml:space="preserve">To determine the group in which the difference originated, paired comparisons were made, no significant difference was found between the benign prostatic tissue and prostatitis group ADC </w:t>
      </w:r>
      <w:proofErr w:type="gramStart"/>
      <w:r w:rsidRPr="00CD004E">
        <w:rPr>
          <w:color w:val="0E101A"/>
        </w:rPr>
        <w:t>values[</w:t>
      </w:r>
      <w:proofErr w:type="gramEnd"/>
      <w:r w:rsidRPr="00CD004E">
        <w:rPr>
          <w:color w:val="0E101A"/>
        </w:rPr>
        <w:t>p= 0.076].</w:t>
      </w:r>
    </w:p>
    <w:p w14:paraId="0519DE77" w14:textId="2A2C279F" w:rsidR="00CC2ABC" w:rsidRPr="00CD004E" w:rsidRDefault="00CC2ABC" w:rsidP="00CD004E">
      <w:pPr>
        <w:pStyle w:val="Balk1"/>
        <w:spacing w:before="75" w:after="75" w:line="480" w:lineRule="auto"/>
        <w:rPr>
          <w:rFonts w:ascii="Times New Roman" w:eastAsia="Times New Roman" w:hAnsi="Times New Roman" w:cs="Times New Roman"/>
          <w:color w:val="0E101A"/>
          <w:sz w:val="24"/>
          <w:szCs w:val="24"/>
          <w:lang w:eastAsia="tr-TR"/>
        </w:rPr>
      </w:pPr>
      <w:r w:rsidRPr="00CD004E">
        <w:rPr>
          <w:rFonts w:ascii="Times New Roman" w:eastAsia="Times New Roman" w:hAnsi="Times New Roman" w:cs="Times New Roman"/>
          <w:color w:val="0E101A"/>
          <w:sz w:val="24"/>
          <w:szCs w:val="24"/>
          <w:lang w:eastAsia="tr-TR"/>
        </w:rPr>
        <w:lastRenderedPageBreak/>
        <w:t>The ADC values of the PCa lesions [598.82±145.35 x10</w:t>
      </w:r>
      <w:r w:rsidRPr="00CD004E">
        <w:rPr>
          <w:rFonts w:ascii="Times New Roman" w:eastAsia="Times New Roman" w:hAnsi="Times New Roman" w:cs="Times New Roman"/>
          <w:color w:val="0E101A"/>
          <w:sz w:val="24"/>
          <w:szCs w:val="24"/>
          <w:vertAlign w:val="superscript"/>
          <w:lang w:eastAsia="tr-TR"/>
        </w:rPr>
        <w:t>-3</w:t>
      </w:r>
      <w:r w:rsidRPr="00CD004E">
        <w:rPr>
          <w:rFonts w:ascii="Times New Roman" w:eastAsia="Times New Roman" w:hAnsi="Times New Roman" w:cs="Times New Roman"/>
          <w:color w:val="0E101A"/>
          <w:sz w:val="24"/>
          <w:szCs w:val="24"/>
          <w:lang w:eastAsia="tr-TR"/>
        </w:rPr>
        <w:t>] were found to be significantly lower than the prostatitis group [790.51±148.15 x10</w:t>
      </w:r>
      <w:r w:rsidRPr="00CD004E">
        <w:rPr>
          <w:rFonts w:ascii="Times New Roman" w:eastAsia="Times New Roman" w:hAnsi="Times New Roman" w:cs="Times New Roman"/>
          <w:color w:val="0E101A"/>
          <w:sz w:val="24"/>
          <w:szCs w:val="24"/>
          <w:vertAlign w:val="superscript"/>
          <w:lang w:eastAsia="tr-TR"/>
        </w:rPr>
        <w:t>-</w:t>
      </w:r>
      <w:proofErr w:type="gramStart"/>
      <w:r w:rsidRPr="00CD004E">
        <w:rPr>
          <w:rFonts w:ascii="Times New Roman" w:eastAsia="Times New Roman" w:hAnsi="Times New Roman" w:cs="Times New Roman"/>
          <w:color w:val="0E101A"/>
          <w:sz w:val="24"/>
          <w:szCs w:val="24"/>
          <w:vertAlign w:val="superscript"/>
          <w:lang w:eastAsia="tr-TR"/>
        </w:rPr>
        <w:t>3</w:t>
      </w:r>
      <w:r w:rsidRPr="00CD004E">
        <w:rPr>
          <w:rFonts w:ascii="Times New Roman" w:eastAsia="Times New Roman" w:hAnsi="Times New Roman" w:cs="Times New Roman"/>
          <w:color w:val="0E101A"/>
          <w:sz w:val="24"/>
          <w:szCs w:val="24"/>
          <w:lang w:eastAsia="tr-TR"/>
        </w:rPr>
        <w:t>][</w:t>
      </w:r>
      <w:proofErr w:type="gramEnd"/>
      <w:r w:rsidRPr="00CD004E">
        <w:rPr>
          <w:rFonts w:ascii="Times New Roman" w:eastAsia="Times New Roman" w:hAnsi="Times New Roman" w:cs="Times New Roman"/>
          <w:color w:val="0E101A"/>
          <w:sz w:val="24"/>
          <w:szCs w:val="24"/>
          <w:lang w:eastAsia="tr-TR"/>
        </w:rPr>
        <w:t>p=0.011] and the benign prostatic tissue group [707.34±131.04 x10</w:t>
      </w:r>
      <w:r w:rsidRPr="00CD004E">
        <w:rPr>
          <w:rFonts w:ascii="Times New Roman" w:eastAsia="Times New Roman" w:hAnsi="Times New Roman" w:cs="Times New Roman"/>
          <w:color w:val="0E101A"/>
          <w:sz w:val="24"/>
          <w:szCs w:val="24"/>
          <w:vertAlign w:val="superscript"/>
          <w:lang w:eastAsia="tr-TR"/>
        </w:rPr>
        <w:t>-3</w:t>
      </w:r>
      <w:r w:rsidRPr="00CD004E">
        <w:rPr>
          <w:rFonts w:ascii="Times New Roman" w:eastAsia="Times New Roman" w:hAnsi="Times New Roman" w:cs="Times New Roman"/>
          <w:color w:val="0E101A"/>
          <w:sz w:val="24"/>
          <w:szCs w:val="24"/>
          <w:lang w:eastAsia="tr-TR"/>
        </w:rPr>
        <w:t>][p</w:t>
      </w:r>
      <w:r w:rsidR="00E31DCA" w:rsidRPr="00CD004E">
        <w:rPr>
          <w:rFonts w:ascii="Times New Roman" w:eastAsia="Times New Roman" w:hAnsi="Times New Roman" w:cs="Times New Roman"/>
          <w:color w:val="0E101A"/>
          <w:sz w:val="24"/>
          <w:szCs w:val="24"/>
          <w:lang w:eastAsia="tr-TR"/>
        </w:rPr>
        <w:t xml:space="preserve"> ≤</w:t>
      </w:r>
      <w:r w:rsidRPr="00CD004E">
        <w:rPr>
          <w:rFonts w:ascii="Times New Roman" w:eastAsia="Times New Roman" w:hAnsi="Times New Roman" w:cs="Times New Roman"/>
          <w:color w:val="0E101A"/>
          <w:sz w:val="24"/>
          <w:szCs w:val="24"/>
          <w:lang w:eastAsia="tr-TR"/>
        </w:rPr>
        <w:t>0.005]. AUC is 0.796 [0.702-0.890] for the ADC value in diagnosing PCa, [p&lt;0.001]. When the cut-off value for ADC is 780 x10</w:t>
      </w:r>
      <w:r w:rsidRPr="00CD004E">
        <w:rPr>
          <w:rFonts w:ascii="Times New Roman" w:eastAsia="Times New Roman" w:hAnsi="Times New Roman" w:cs="Times New Roman"/>
          <w:color w:val="0E101A"/>
          <w:sz w:val="24"/>
          <w:szCs w:val="24"/>
          <w:vertAlign w:val="superscript"/>
          <w:lang w:eastAsia="tr-TR"/>
        </w:rPr>
        <w:t>-3</w:t>
      </w:r>
      <w:r w:rsidRPr="00CD004E">
        <w:rPr>
          <w:rFonts w:ascii="Times New Roman" w:eastAsia="Times New Roman" w:hAnsi="Times New Roman" w:cs="Times New Roman"/>
          <w:color w:val="0E101A"/>
          <w:sz w:val="24"/>
          <w:szCs w:val="24"/>
          <w:lang w:eastAsia="tr-TR"/>
        </w:rPr>
        <w:t>, sensitivity was 80% and specificity was 45.5%. When the cut-off value was taken as</w:t>
      </w:r>
      <w:r w:rsidR="00081B77" w:rsidRPr="00CD004E">
        <w:rPr>
          <w:rFonts w:ascii="Times New Roman" w:eastAsia="Times New Roman" w:hAnsi="Times New Roman" w:cs="Times New Roman"/>
          <w:color w:val="0E101A"/>
          <w:sz w:val="24"/>
          <w:szCs w:val="24"/>
          <w:lang w:eastAsia="tr-TR"/>
        </w:rPr>
        <w:t xml:space="preserve"> </w:t>
      </w:r>
      <w:r w:rsidRPr="00CD004E">
        <w:rPr>
          <w:rFonts w:ascii="Times New Roman" w:eastAsia="Times New Roman" w:hAnsi="Times New Roman" w:cs="Times New Roman"/>
          <w:color w:val="0E101A"/>
          <w:sz w:val="24"/>
          <w:szCs w:val="24"/>
          <w:lang w:eastAsia="tr-TR"/>
        </w:rPr>
        <w:t>668x10</w:t>
      </w:r>
      <w:r w:rsidRPr="00CD004E">
        <w:rPr>
          <w:rFonts w:ascii="Times New Roman" w:eastAsia="Times New Roman" w:hAnsi="Times New Roman" w:cs="Times New Roman"/>
          <w:color w:val="0E101A"/>
          <w:sz w:val="24"/>
          <w:szCs w:val="24"/>
          <w:vertAlign w:val="superscript"/>
          <w:lang w:eastAsia="tr-TR"/>
        </w:rPr>
        <w:t>-3</w:t>
      </w:r>
      <w:r w:rsidR="00081B77" w:rsidRPr="00CD004E">
        <w:rPr>
          <w:rFonts w:ascii="Times New Roman" w:eastAsia="Times New Roman" w:hAnsi="Times New Roman" w:cs="Times New Roman"/>
          <w:color w:val="0E101A"/>
          <w:sz w:val="24"/>
          <w:szCs w:val="24"/>
          <w:lang w:eastAsia="tr-TR"/>
        </w:rPr>
        <w:t xml:space="preserve">, </w:t>
      </w:r>
      <w:r w:rsidRPr="00CD004E">
        <w:rPr>
          <w:rFonts w:ascii="Times New Roman" w:eastAsia="Times New Roman" w:hAnsi="Times New Roman" w:cs="Times New Roman"/>
          <w:color w:val="0E101A"/>
          <w:sz w:val="24"/>
          <w:szCs w:val="24"/>
          <w:lang w:eastAsia="tr-TR"/>
        </w:rPr>
        <w:t xml:space="preserve">the sensitivity was found to be 72% and specificity 62%. AUC is 0.775 [0.686-0.864], </w:t>
      </w:r>
      <w:r w:rsidR="00081B77" w:rsidRPr="00CD004E">
        <w:rPr>
          <w:rFonts w:ascii="Times New Roman" w:eastAsia="Times New Roman" w:hAnsi="Times New Roman" w:cs="Times New Roman"/>
          <w:color w:val="0E101A"/>
          <w:sz w:val="24"/>
          <w:szCs w:val="24"/>
          <w:lang w:eastAsia="tr-TR"/>
        </w:rPr>
        <w:t>p&lt;</w:t>
      </w:r>
      <w:r w:rsidRPr="00CD004E">
        <w:rPr>
          <w:rFonts w:ascii="Times New Roman" w:eastAsia="Times New Roman" w:hAnsi="Times New Roman" w:cs="Times New Roman"/>
          <w:color w:val="0E101A"/>
          <w:sz w:val="24"/>
          <w:szCs w:val="24"/>
          <w:lang w:eastAsia="tr-TR"/>
        </w:rPr>
        <w:t>0.001</w:t>
      </w:r>
      <w:r w:rsidR="00081B77" w:rsidRPr="00CD004E">
        <w:rPr>
          <w:rFonts w:ascii="Times New Roman" w:eastAsia="Times New Roman" w:hAnsi="Times New Roman" w:cs="Times New Roman"/>
          <w:color w:val="0E101A"/>
          <w:sz w:val="24"/>
          <w:szCs w:val="24"/>
          <w:lang w:eastAsia="tr-TR"/>
        </w:rPr>
        <w:t xml:space="preserve"> </w:t>
      </w:r>
      <w:r w:rsidRPr="00CD004E">
        <w:rPr>
          <w:rFonts w:ascii="Times New Roman" w:eastAsia="Times New Roman" w:hAnsi="Times New Roman" w:cs="Times New Roman"/>
          <w:color w:val="0E101A"/>
          <w:sz w:val="24"/>
          <w:szCs w:val="24"/>
          <w:lang w:eastAsia="tr-TR"/>
        </w:rPr>
        <w:t>for ADC value in diagnosing prostatitis. When the cut-off ADC value was taken as 647x10</w:t>
      </w:r>
      <w:r w:rsidRPr="00CD004E">
        <w:rPr>
          <w:rFonts w:ascii="Times New Roman" w:eastAsia="Times New Roman" w:hAnsi="Times New Roman" w:cs="Times New Roman"/>
          <w:color w:val="0E101A"/>
          <w:sz w:val="24"/>
          <w:szCs w:val="24"/>
          <w:vertAlign w:val="superscript"/>
          <w:lang w:eastAsia="tr-TR"/>
        </w:rPr>
        <w:t>-3</w:t>
      </w:r>
      <w:r w:rsidRPr="00CD004E">
        <w:rPr>
          <w:rFonts w:ascii="Times New Roman" w:eastAsia="Times New Roman" w:hAnsi="Times New Roman" w:cs="Times New Roman"/>
          <w:color w:val="0E101A"/>
          <w:sz w:val="24"/>
          <w:szCs w:val="24"/>
          <w:lang w:eastAsia="tr-TR"/>
        </w:rPr>
        <w:t>, the sensitivity was 83% and the specificity was 48.5%. When the cut-off value for ADC was 773x10</w:t>
      </w:r>
      <w:r w:rsidRPr="00CD004E">
        <w:rPr>
          <w:rFonts w:ascii="Times New Roman" w:eastAsia="Times New Roman" w:hAnsi="Times New Roman" w:cs="Times New Roman"/>
          <w:color w:val="0E101A"/>
          <w:sz w:val="24"/>
          <w:szCs w:val="24"/>
          <w:vertAlign w:val="superscript"/>
          <w:lang w:eastAsia="tr-TR"/>
        </w:rPr>
        <w:t>-3</w:t>
      </w:r>
      <w:r w:rsidRPr="00CD004E">
        <w:rPr>
          <w:rFonts w:ascii="Times New Roman" w:eastAsia="Times New Roman" w:hAnsi="Times New Roman" w:cs="Times New Roman"/>
          <w:color w:val="0E101A"/>
          <w:sz w:val="24"/>
          <w:szCs w:val="24"/>
          <w:lang w:eastAsia="tr-TR"/>
        </w:rPr>
        <w:t>, sensitivity was 53% and specificity was 75.0</w:t>
      </w:r>
      <w:proofErr w:type="gramStart"/>
      <w:r w:rsidRPr="00CD004E">
        <w:rPr>
          <w:rFonts w:ascii="Times New Roman" w:eastAsia="Times New Roman" w:hAnsi="Times New Roman" w:cs="Times New Roman"/>
          <w:color w:val="0E101A"/>
          <w:sz w:val="24"/>
          <w:szCs w:val="24"/>
          <w:lang w:eastAsia="tr-TR"/>
        </w:rPr>
        <w:t xml:space="preserve">%  </w:t>
      </w:r>
      <w:r w:rsidR="00182D1F" w:rsidRPr="00CD004E">
        <w:rPr>
          <w:rFonts w:ascii="Times New Roman" w:eastAsia="Times New Roman" w:hAnsi="Times New Roman" w:cs="Times New Roman"/>
          <w:color w:val="0E101A"/>
          <w:sz w:val="24"/>
          <w:szCs w:val="24"/>
          <w:lang w:eastAsia="tr-TR"/>
        </w:rPr>
        <w:t>(</w:t>
      </w:r>
      <w:proofErr w:type="gramEnd"/>
      <w:r w:rsidRPr="00CD004E">
        <w:rPr>
          <w:rFonts w:ascii="Times New Roman" w:eastAsia="Times New Roman" w:hAnsi="Times New Roman" w:cs="Times New Roman"/>
          <w:color w:val="0E101A"/>
          <w:sz w:val="24"/>
          <w:szCs w:val="24"/>
          <w:lang w:eastAsia="tr-TR"/>
        </w:rPr>
        <w:t>CI was 95%</w:t>
      </w:r>
      <w:r w:rsidR="00182D1F" w:rsidRPr="00CD004E">
        <w:rPr>
          <w:rFonts w:ascii="Times New Roman" w:eastAsia="Times New Roman" w:hAnsi="Times New Roman" w:cs="Times New Roman"/>
          <w:color w:val="0E101A"/>
          <w:sz w:val="24"/>
          <w:szCs w:val="24"/>
          <w:lang w:eastAsia="tr-TR"/>
        </w:rPr>
        <w:t>)</w:t>
      </w:r>
      <w:r w:rsidRPr="00CD004E">
        <w:rPr>
          <w:rFonts w:ascii="Times New Roman" w:eastAsia="Times New Roman" w:hAnsi="Times New Roman" w:cs="Times New Roman"/>
          <w:color w:val="0E101A"/>
          <w:sz w:val="24"/>
          <w:szCs w:val="24"/>
          <w:lang w:eastAsia="tr-TR"/>
        </w:rPr>
        <w:t xml:space="preserve">. ADC values varied significantly according to ISUP groups [p= 0.003]. In paired comparisons, it was determined that ISUP 1 group was significantly higher than each of the other groups. ADC group mean values did not show a statistically significant difference between Group 2,3,4 and 5 [Table </w:t>
      </w:r>
      <w:r w:rsidR="00BD4DC9" w:rsidRPr="00CD004E">
        <w:rPr>
          <w:rFonts w:ascii="Times New Roman" w:eastAsia="Times New Roman" w:hAnsi="Times New Roman" w:cs="Times New Roman"/>
          <w:color w:val="0E101A"/>
          <w:sz w:val="24"/>
          <w:szCs w:val="24"/>
          <w:lang w:eastAsia="tr-TR"/>
        </w:rPr>
        <w:t>6</w:t>
      </w:r>
      <w:r w:rsidRPr="00CD004E">
        <w:rPr>
          <w:rFonts w:ascii="Times New Roman" w:eastAsia="Times New Roman" w:hAnsi="Times New Roman" w:cs="Times New Roman"/>
          <w:color w:val="0E101A"/>
          <w:sz w:val="24"/>
          <w:szCs w:val="24"/>
          <w:lang w:eastAsia="tr-TR"/>
        </w:rPr>
        <w:t>, Figure</w:t>
      </w:r>
      <w:r w:rsidR="00E31DCA" w:rsidRPr="00CD004E">
        <w:rPr>
          <w:rFonts w:ascii="Times New Roman" w:eastAsia="Times New Roman" w:hAnsi="Times New Roman" w:cs="Times New Roman"/>
          <w:color w:val="0E101A"/>
          <w:sz w:val="24"/>
          <w:szCs w:val="24"/>
          <w:lang w:eastAsia="tr-TR"/>
        </w:rPr>
        <w:t>-</w:t>
      </w:r>
      <w:r w:rsidRPr="00CD004E">
        <w:rPr>
          <w:rFonts w:ascii="Times New Roman" w:eastAsia="Times New Roman" w:hAnsi="Times New Roman" w:cs="Times New Roman"/>
          <w:color w:val="0E101A"/>
          <w:sz w:val="24"/>
          <w:szCs w:val="24"/>
          <w:lang w:eastAsia="tr-TR"/>
        </w:rPr>
        <w:t>1</w:t>
      </w:r>
      <w:r w:rsidR="00E31DCA" w:rsidRPr="00CD004E">
        <w:rPr>
          <w:rFonts w:ascii="Times New Roman" w:eastAsia="Times New Roman" w:hAnsi="Times New Roman" w:cs="Times New Roman"/>
          <w:color w:val="0E101A"/>
          <w:sz w:val="24"/>
          <w:szCs w:val="24"/>
          <w:lang w:eastAsia="tr-TR"/>
        </w:rPr>
        <w:t>,</w:t>
      </w:r>
      <w:r w:rsidRPr="00CD004E">
        <w:rPr>
          <w:rFonts w:ascii="Times New Roman" w:eastAsia="Times New Roman" w:hAnsi="Times New Roman" w:cs="Times New Roman"/>
          <w:color w:val="0E101A"/>
          <w:sz w:val="24"/>
          <w:szCs w:val="24"/>
          <w:lang w:eastAsia="tr-TR"/>
        </w:rPr>
        <w:t>2].</w:t>
      </w:r>
    </w:p>
    <w:p w14:paraId="4C783034" w14:textId="77777777" w:rsidR="00CC2ABC" w:rsidRPr="00CD004E" w:rsidRDefault="00CC2ABC" w:rsidP="00CD004E">
      <w:pPr>
        <w:pStyle w:val="NormalWeb"/>
        <w:spacing w:before="0" w:beforeAutospacing="0" w:after="0" w:afterAutospacing="0" w:line="480" w:lineRule="auto"/>
        <w:ind w:firstLine="708"/>
        <w:jc w:val="both"/>
        <w:rPr>
          <w:color w:val="0E101A"/>
        </w:rPr>
      </w:pPr>
      <w:r w:rsidRPr="00CD004E">
        <w:rPr>
          <w:rStyle w:val="Gl"/>
          <w:color w:val="0E101A"/>
        </w:rPr>
        <w:t>Discussion:</w:t>
      </w:r>
    </w:p>
    <w:p w14:paraId="39DE24D7" w14:textId="4C7DBED1" w:rsidR="00CC2ABC" w:rsidRPr="00CD004E" w:rsidRDefault="00CC2ABC" w:rsidP="00CD004E">
      <w:pPr>
        <w:pStyle w:val="NormalWeb"/>
        <w:spacing w:before="0" w:beforeAutospacing="0" w:after="0" w:afterAutospacing="0" w:line="480" w:lineRule="auto"/>
        <w:ind w:firstLine="708"/>
        <w:jc w:val="both"/>
        <w:rPr>
          <w:color w:val="0E101A"/>
        </w:rPr>
      </w:pPr>
      <w:r w:rsidRPr="00CD004E">
        <w:rPr>
          <w:color w:val="0E101A"/>
        </w:rPr>
        <w:t>PCa itself is a disease with a very heterogeneous clinical course, 5-year survival ranging from 100% to 29% for the localized disease</w:t>
      </w:r>
      <w:r w:rsidR="00D27101">
        <w:rPr>
          <w:rStyle w:val="DipnotBavurusu"/>
          <w:color w:val="0E101A"/>
        </w:rPr>
        <w:fldChar w:fldCharType="begin" w:fldLock="1"/>
      </w:r>
      <w:r w:rsidR="00D27101">
        <w:rPr>
          <w:color w:val="0E101A"/>
        </w:rPr>
        <w:instrText>ADDIN CSL_CITATION {"citationItems":[{"id":"ITEM-1","itemData":{"DOI":"10.1002/jmri.22317","ISSN":"10531807","PMID":"21182135","abstract":"Purpose To retrospectively evaluate the relationship between apparent diffusion coefficient (ADC) values and Gleason score (GS) in prostate cancer. Methods A total of 60 patients who underwent radical prostatectomy for clinically localized prostate cancer were selected for this study. Diffusion-weighted magnetic resonance (MR) images were obtained using a 1.5 T system. ADC values were analyzed between three groups: GS of 6 or less (n = 7); GS of 7 (n = 37); and GS of 8 or higher (n = 16). ADC values of the three GS groups were statistically analyzed in order to determine the relationship with GS. In the 37 patients with GS = 7 the difference in ADC values between GS 3+4 and GS 4+3 was analyzed. Results Median ADC values (10-3 mm 2/s) of the three GS groups were 1.04 (GS = 6 or less), 0.867 (GS = 7), and 0.729 (GS = 8 or higher). Although there was considerable overlap among the groups, the differences in ADC were statistically significant (P &lt; 0.0001). There was a significant inverse correlation between GS and ADC values (z = -0.437, P &lt; 0.0005). Median ADC values (10-3 mm 2/s) of GS 3+4 and GS 4+3 patients were 0.88 and 0.814, respectively (P &lt; 0.05). Conclusion ADC values showed a negative correlation with GS. Pathologically, however, there was considerable intrasubject heterogeneity. © 2010 Wiley-Liss, Inc.","author":[{"dropping-particle":"","family":"Itou","given":"Yasushi","non-dropping-particle":"","parse-names":false,"suffix":""},{"dropping-particle":"","family":"Nakanishi","given":"Katsuyuki","non-dropping-particle":"","parse-names":false,"suffix":""},{"dropping-particle":"","family":"Narumi","given":"Yoshifumi","non-dropping-particle":"","parse-names":false,"suffix":""},{"dropping-particle":"","family":"Nishizawa","given":"Yasuko","non-dropping-particle":"","parse-names":false,"suffix":""},{"dropping-particle":"","family":"Tsukuma","given":"Hideaki","non-dropping-particle":"","parse-names":false,"suffix":""}],"container-title":"Journal of Magnetic Resonance Imaging","id":"ITEM-1","issued":{"date-parts":[["2011"]]},"title":"Clinical utility of apparent diffusion coefficient (ADC) values in patients with prostate cancer: Can ADC values contribute to assess the aggressiveness of prostate cancer?","type":"article-journal"},"uris":["http://www.mendeley.com/documents/?uuid=2fb4243d-fefb-4302-81dc-570784b86590"]},{"id":"ITEM-2","itemData":{"DOI":"10.1007/s00261-015-0353-8","ISSN":"14320509","abstract":"© 2015, Springer Science+Business Media New York (outside the USA). Prostate cancer is a common malignancy in the United States that results in over 30,000 deaths per year. The current state of prostate cancer diagnosis, based on PSA screening and sextant biopsy, has been criticized for both overdiagnosis of low-grade tumors and underdiagnosis of clinically significant prostate cancers (Gleason score ≥7). Recently, image guidance has been added to perform targeted biopsies of lesions detected on multi-parametric magnetic resonance imaging (mpMRI) scans. These methods have improved the ability to detect clinically significant cancer, while reducing the diagnosis of low-grade tumors. Several approaches have been explored to improve the accuracy of image-guided targeted prostate biopsy, including in-bore MRI-guided, cognitive fusion, and MRI/transrectal ultrasound fusion-guided biopsy. This review will examine recent advances in these image-guided targeted prostate biopsy techniques.","author":[{"dropping-particle":"","family":"Brown","given":"Anna M.","non-dropping-particle":"","parse-names":false,"suffix":""},{"dropping-particle":"","family":"Elbuluk","given":"Osama","non-dropping-particle":"","parse-names":false,"suffix":""},{"dropping-particle":"","family":"Mertan","given":"Francesca","non-dropping-particle":"","parse-names":false,"suffix":""},{"dropping-particle":"","family":"Sankineni","given":"Sandeep","non-dropping-particle":"","parse-names":false,"suffix":""},{"dropping-particle":"","family":"Margolis","given":"Daniel J.","non-dropping-particle":"","parse-names":false,"suffix":""},{"dropping-particle":"","family":"Wood","given":"Bradford J.","non-dropping-particle":"","parse-names":false,"suffix":""},{"dropping-particle":"","family":"Pinto","given":"Peter A.","non-dropping-particle":"","parse-names":false,"suffix":""},{"dropping-particle":"","family":"Choyke","given":"Peter L.","non-dropping-particle":"","parse-names":false,"suffix":""},{"dropping-particle":"","family":"Turkbey","given":"Baris","non-dropping-particle":"","parse-names":false,"suffix":""}],"container-title":"Abdominal Imaging","id":"ITEM-2","issue":"6","issued":{"date-parts":[["2015"]]},"page":"1788-1799","title":"Recent advances in image-guided targeted prostate biopsy","type":"article-journal","volume":"40"},"uris":["http://www.mendeley.com/documents/?uuid=27f10532-54aa-4104-b58a-52d12555afe1"]},{"id":"ITEM-3","itemData":{"DOI":"10.1007/s00261-018-1718-6","ISSN":"23660058","PMID":"30066169","abstract":"Purpose: To compare the predictive roles of qualitative (PI-RADSv2) and quantitative assessment (ADC metrics), in differentiating Gleason pattern (GP) 3 + 4 from the more aggressive GP 4 + 3 prostate cancer (PCa) using radical prostatectomy (RP) specimen as the reference standard. Methods: We retrospectively identified treatment-naïve peripheral (PZ) and transitional zone (TZ) Gleason Score 7 PCa patients who underwent multiparametric 3T prostate MRI (DWI with b value of 0,1400 and where unavailable, 0,500) and subsequent RP from 2011 to 2015. For each lesion identified on MRI, a PI-RADSv2 score was assigned by a radiologist blinded to pathology data. A PI-RADSv2 score ≤ 3 was defined as “low risk,” a PI-RADSv2 score ≥ 4 as “high risk” for clinically significant PCa. Mean tumor ADC (ADC T ), ADC of adjacent normal tissue (ADC N ), and ADC ratio (ADC T /ADC N ) were calculated. Stepwise regression analysis using tumor location, ADC T and ADC ratio , b value, low vs. high PI-RADSv2 score was performed to differentiate GP 3 + 4 from 4 + 3. Results: 119 out of 645 cases initially identified met eligibility requirements. 76 lesions were GP 3 + 4, 43 were 4 + 3. ADC ratio was significantly different between the two GP groups (p = 0.001). PI-RADSv2 score (“low” vs. “high”) was not significantly different between the two GP groups (p = 0.17). Regression analysis selected ADC T (p = 0.03) and ADC ratio (p = 0.0007) as best predictors to differentiate GP 4 + 3 from 3 + 4. Estimated sensitivity, specificity, and accuracy of the predictive model in differentiating GP 4 + 3 from 3 + 4 were 37, 82, and 66%, respectively. Conclusions: ADC metrics could differentiate GP 3 + 4 from 4 + 3 PCa with high specificity and moderate accuracy while PI-RADSv2, did not differentiate between these patterns.","author":[{"dropping-particle":"","family":"Alessandrino","given":"Francesco","non-dropping-particle":"","parse-names":false,"suffix":""},{"dropping-particle":"","family":"Taghipour","given":"Mehdi","non-dropping-particle":"","parse-names":false,"suffix":""},{"dropping-particle":"","family":"Hassanzadeh","given":"Elmira","non-dropping-particle":"","parse-names":false,"suffix":""},{"dropping-particle":"","family":"Ziaei","given":"Alireza","non-dropping-particle":"","parse-names":false,"suffix":""},{"dropping-particle":"","family":"Vangel","given":"Mark","non-dropping-particle":"","parse-names":false,"suffix":""},{"dropping-particle":"","family":"Fedorov","given":"Andriy","non-dropping-particle":"","parse-names":false,"suffix":""},{"dropping-particle":"","family":"Tempany","given":"Clare M.","non-dropping-particle":"","parse-names":false,"suffix":""},{"dropping-particle":"","family":"Fennessy","given":"Fiona M.","non-dropping-particle":"","parse-names":false,"suffix":""}],"container-title":"Abdominal Radiology","id":"ITEM-3","issued":{"date-parts":[["2019"]]},"title":"Predictive role of PI-RADSv2 and ADC parameters in differentiating Gleason pattern 3 + 4 and 4 + 3 prostate cancer","type":"article-journal"},"uris":["http://www.mendeley.com/documents/?uuid=7fbd264b-315f-4fe2-a49c-f24a4a813c6e"]}],"mendeley":{"formattedCitation":"&lt;sup&gt;13–15&lt;/sup&gt;","plainTextFormattedCitation":"13–15","previouslyFormattedCitation":"Yasushi Itou and others, ‘Clinical Utility of Apparent Diffusion Coefficient (ADC) Values in Patients with Prostate Cancer: Can ADC Values Contribute to Assess the Aggressiveness of Prostate Cancer?’, &lt;i&gt;Journal of Magnetic Resonance Imaging&lt;/i&gt;, 2011 &lt;https://doi.org/10.1002/jmri.22317&gt;; Anna M. Brown and others, ‘Recent Advances in Image-Guided Targeted Prostate Biopsy’, &lt;i&gt;Abdominal Imaging&lt;/i&gt;, 40.6 (2015), 1788–99 &lt;https://doi.org/10.1007/s00261-015-0353-8&gt;; Francesco Alessandrino and others, ‘Predictive Role of PI-RADSv2 and ADC Parameters in Differentiating Gleason Pattern 3 + 4 and 4 + 3 Prostate Cancer’, &lt;i&gt;Abdominal Radiology&lt;/i&gt;, 2019 &lt;https://doi.org/10.1007/s00261-018-1718-6&gt;."},"properties":{"noteIndex":0},"schema":"https://github.com/citation-style-language/schema/raw/master/csl-citation.json"}</w:instrText>
      </w:r>
      <w:r w:rsidR="00D27101">
        <w:rPr>
          <w:rStyle w:val="DipnotBavurusu"/>
          <w:color w:val="0E101A"/>
        </w:rPr>
        <w:fldChar w:fldCharType="separate"/>
      </w:r>
      <w:r w:rsidR="00D27101" w:rsidRPr="00D27101">
        <w:rPr>
          <w:bCs/>
          <w:noProof/>
          <w:color w:val="0E101A"/>
          <w:vertAlign w:val="superscript"/>
        </w:rPr>
        <w:t>13–15</w:t>
      </w:r>
      <w:r w:rsidR="00D27101">
        <w:rPr>
          <w:rStyle w:val="DipnotBavurusu"/>
          <w:color w:val="0E101A"/>
        </w:rPr>
        <w:fldChar w:fldCharType="end"/>
      </w:r>
      <w:r w:rsidR="00081B77" w:rsidRPr="00CD004E">
        <w:rPr>
          <w:color w:val="0E101A"/>
        </w:rPr>
        <w:t xml:space="preserve">. </w:t>
      </w:r>
      <w:r w:rsidRPr="00CD004E">
        <w:rPr>
          <w:color w:val="0E101A"/>
        </w:rPr>
        <w:t>ISUP score is a widely accepted histopathological grading system for PCa, it reveals a 5-year survival rate of patients after radical prostatectomy</w:t>
      </w:r>
      <w:r w:rsidR="00D27101">
        <w:rPr>
          <w:rStyle w:val="DipnotBavurusu"/>
          <w:color w:val="0E101A"/>
        </w:rPr>
        <w:fldChar w:fldCharType="begin" w:fldLock="1"/>
      </w:r>
      <w:r w:rsidR="00D27101">
        <w:rPr>
          <w:color w:val="0E101A"/>
        </w:rPr>
        <w:instrText>ADDIN CSL_CITATION {"citationItems":[{"id":"ITEM-1","itemData":{"DOI":"10.1097/PAS.0000000000000530","ISSN":"15320979","abstract":"© 2015 Wolters Kluwer Health, Inc. All rights reserved. In November, 2014, 65 prostate cancer pathology experts, along with 17 clinicians including urologists, radiation oncologists, and medical oncologists from 19 different countries gathered in a consensus conference to update the grading of prostate cancer, last revised in 2005. The major conclusions were: (1) Cribriform glands should be assigned a Gleason pattern 4, regardless of morphology; (2) Glomeruloid glands should be assigned a Gleason pattern 4, regardless of morphology; (3) Grading of mucinous carcinoma of the prostate should be based on its underlying growth pattern rather than grading them all as pattern 4; and (4) Intraductal carcinoma of the prostate without invasive carcinoma should not be assigned a Gleason grade and a comment as to its invariable association with aggressive prostate cancer should be made. Regarding morphologies of Gleason patterns, there was clear consensus on: (1) Gleason pattern 4 includes cribriform, fused, and poorly formed glands; (2) The term hypernephromatoid cancer should not be used; (3)  For a diagnosis of Gleason pattern 4, it needs to be seen at 10x lens magnification; (4) Occasional/seemingly poorly formed or fused glands between well-formed glands is insufficient for a diagnosis of pattern 4; (5) In cases with borderline morphology between Gleason pattern 3 and pattern 4 and crush artifacts, the lower grade should be favored; (6) Branched glands are allowed in Gleason pattern 3; (7) Small solid cylinders represent Gleason pattern 5; (8) Solid medium to large nests with rosette-like spaces should be considered to represent Gleason pattern 5; and (9) Presence of unequivocal comedonecrosis, even if focal is indicative of Gleason pattern 5. It was recognized by both pathologists and clinicians that despite the above changes, there were deficiencies with the Gleason system. The Gleason grading system ranges from 2 to 10, yet 6 is the lowest score currently assigned. When patients are told that they have a Gleason score 6 out of 10, it implies that their prognosis is intermediate and contributes to their fear of having a more aggressive cancer. Also, in the literature and for therapeutic purposes, various scores have been incorrectly grouped together with the assumption that they have a similar prognosis. For example, many classification systems consider Gleason score 7 as a single score without distinguishing 3+4 versus 4+3, despite studies showing significa…","author":[{"dropping-particle":"","family":"Epstein","given":"Jonathan I.","non-dropping-particle":"","parse-names":false,"suffix":""},{"dropping-particle":"","family":"Egevad","given":"Lars","non-dropping-particle":"","parse-names":false,"suffix":""},{"dropping-particle":"","family":"Amin","given":"Mahul B.","non-dropping-particle":"","parse-names":false,"suffix":""},{"dropping-particle":"","family":"Delahunt","given":"Brett","non-dropping-particle":"","parse-names":false,"suffix":""},{"dropping-particle":"","family":"Srigley","given":"John R.","non-dropping-particle":"","parse-names":false,"suffix":""},{"dropping-particle":"","family":"Humphrey","given":"Peter A.","non-dropping-particle":"","parse-names":false,"suffix":""}],"container-title":"American Journal of Surgical Pathology","id":"ITEM-1","issue":"2","issued":{"date-parts":[["2016"]]},"page":"244-252","title":"The 2014 international society of urological pathology (ISUP) consensus conference on gleason grading of prostatic carcinoma definition of grading patterns and proposal for a new grading system","type":"article-journal","volume":"40"},"uris":["http://www.mendeley.com/documents/?uuid=10dac400-9136-4b56-8385-ed667a7b5aaa"]}],"mendeley":{"formattedCitation":"&lt;sup&gt;12&lt;/sup&gt;","plainTextFormattedCitation":"12","previouslyFormattedCitation":"Epstein and others."},"properties":{"noteIndex":0},"schema":"https://github.com/citation-style-language/schema/raw/master/csl-citation.json"}</w:instrText>
      </w:r>
      <w:r w:rsidR="00D27101">
        <w:rPr>
          <w:rStyle w:val="DipnotBavurusu"/>
          <w:color w:val="0E101A"/>
        </w:rPr>
        <w:fldChar w:fldCharType="separate"/>
      </w:r>
      <w:r w:rsidR="00D27101" w:rsidRPr="00D27101">
        <w:rPr>
          <w:noProof/>
          <w:color w:val="0E101A"/>
          <w:vertAlign w:val="superscript"/>
        </w:rPr>
        <w:t>12</w:t>
      </w:r>
      <w:r w:rsidR="00D27101">
        <w:rPr>
          <w:rStyle w:val="DipnotBavurusu"/>
          <w:color w:val="0E101A"/>
        </w:rPr>
        <w:fldChar w:fldCharType="end"/>
      </w:r>
      <w:r w:rsidRPr="00CD004E">
        <w:rPr>
          <w:color w:val="0E101A"/>
        </w:rPr>
        <w:t>. Differentiating a low-grade [ISUP</w:t>
      </w:r>
      <w:r w:rsidR="00E0022E" w:rsidRPr="00CD004E">
        <w:rPr>
          <w:color w:val="0E101A"/>
        </w:rPr>
        <w:t>-</w:t>
      </w:r>
      <w:r w:rsidRPr="00CD004E">
        <w:rPr>
          <w:color w:val="0E101A"/>
        </w:rPr>
        <w:t>1] tumor from significant [ISUP</w:t>
      </w:r>
      <w:r w:rsidR="00E0022E" w:rsidRPr="00CD004E">
        <w:rPr>
          <w:color w:val="0E101A"/>
        </w:rPr>
        <w:t xml:space="preserve"> </w:t>
      </w:r>
      <w:r w:rsidRPr="00CD004E">
        <w:rPr>
          <w:color w:val="0E101A"/>
        </w:rPr>
        <w:t>2–5] PCa, which is not expected to have a significant effect on 5-year survival, may decrease prebiopsy and pretreatment risk stratification of the patient</w:t>
      </w:r>
      <w:r w:rsidR="00D27101">
        <w:rPr>
          <w:rStyle w:val="DipnotBavurusu"/>
          <w:color w:val="0E101A"/>
        </w:rPr>
        <w:fldChar w:fldCharType="begin" w:fldLock="1"/>
      </w:r>
      <w:r w:rsidR="00D27101">
        <w:rPr>
          <w:color w:val="0E101A"/>
        </w:rPr>
        <w:instrText>ADDIN CSL_CITATION {"citationItems":[{"id":"ITEM-1","itemData":{"author":[{"dropping-particle":"","family":"Costa","given":"Daniel N","non-dropping-particle":"","parse-names":false,"suffix":""},{"dropping-particle":"","family":"Aziz","given":"Muhammad","non-dropping-particle":"","parse-names":false,"suffix":""},{"dropping-particle":"","family":"Passoni","given":"Niccolo","non-dropping-particle":"","parse-names":false,"suffix":""},{"dropping-particle":"","family":"Goldberg","given":"Kenneth","non-dropping-particle":"","parse-names":false,"suffix":""},{"dropping-particle":"","family":"Francis","given":"Franto","non-dropping-particle":"","parse-names":false,"suffix":""},{"dropping-particle":"","family":"Roehrborn","given":"Claus G","non-dropping-particle":"","parse-names":false,"suffix":""},{"dropping-particle":"De","family":"Leon","given":"Alberto Diaz","non-dropping-particle":"","parse-names":false,"suffix":""},{"dropping-particle":"","family":"Pedrosa","given":"Ivan","non-dropping-particle":"","parse-names":false,"suffix":""},{"dropping-particle":"","family":"Dn","given":"Costa","non-dropping-particle":"","parse-names":false,"suffix":""},{"dropping-particle":"","family":"Xi","given":"Y","non-dropping-particle":"","parse-names":false,"suffix":""},{"dropping-particle":"","family":"Aziz","given":"M","non-dropping-particle":"","parse-names":false,"suffix":""}],"id":"ITEM-1","issue":"January","issued":{"date-parts":[["2019"]]},"page":"1-8","title":"Prospective Inclusion of Apparent Diffusion Coefficients in Multiparametric Prostate MRI Structured Reports: Discrimination of Clinically Insignificant and Significant Cancers","type":"article-journal"},"uris":["http://www.mendeley.com/documents/?uuid=51eedfd1-6545-427c-8096-4b63b14836c9"]}],"mendeley":{"formattedCitation":"&lt;sup&gt;16&lt;/sup&gt;","plainTextFormattedCitation":"16","previouslyFormattedCitation":"Daniel N Costa and others, ‘Prospective Inclusion of Apparent Diffusion Coefficients in Multiparametric Prostate MRI Structured Reports: Discrimination of Clinically Insignificant and Significant Cancers’, January, 2019, 1–8."},"properties":{"noteIndex":0},"schema":"https://github.com/citation-style-language/schema/raw/master/csl-citation.json"}</w:instrText>
      </w:r>
      <w:r w:rsidR="00D27101">
        <w:rPr>
          <w:rStyle w:val="DipnotBavurusu"/>
          <w:color w:val="0E101A"/>
        </w:rPr>
        <w:fldChar w:fldCharType="separate"/>
      </w:r>
      <w:r w:rsidR="00D27101" w:rsidRPr="00D27101">
        <w:rPr>
          <w:bCs/>
          <w:noProof/>
          <w:color w:val="0E101A"/>
          <w:vertAlign w:val="superscript"/>
        </w:rPr>
        <w:t>16</w:t>
      </w:r>
      <w:r w:rsidR="00D27101">
        <w:rPr>
          <w:rStyle w:val="DipnotBavurusu"/>
          <w:color w:val="0E101A"/>
        </w:rPr>
        <w:fldChar w:fldCharType="end"/>
      </w:r>
      <w:r w:rsidRPr="00CD004E">
        <w:rPr>
          <w:color w:val="0E101A"/>
        </w:rPr>
        <w:t xml:space="preserve">. It will save the patient from the morbidities of radical prostatectomy that decrease the quality of life e.g. incontinence, especially in very elderly patients, and may lead the clinician to prefer more conservative treatments. It is a delicate balance to be able to distinguish between PCa cases that do not require any intervention and patients who will undergo radical treatment, and it can only be </w:t>
      </w:r>
      <w:r w:rsidRPr="00CD004E">
        <w:rPr>
          <w:color w:val="0E101A"/>
        </w:rPr>
        <w:lastRenderedPageBreak/>
        <w:t>established by using the correct auxiliary modalities. Advances in the MpMRI technique increase the diagnostic accuracy in detecting prostate cancer</w:t>
      </w:r>
      <w:r w:rsidR="00D27101">
        <w:rPr>
          <w:rStyle w:val="DipnotBavurusu"/>
          <w:color w:val="0E101A"/>
        </w:rPr>
        <w:fldChar w:fldCharType="begin" w:fldLock="1"/>
      </w:r>
      <w:r w:rsidR="00D27101">
        <w:rPr>
          <w:color w:val="0E101A"/>
        </w:rPr>
        <w:instrText>ADDIN CSL_CITATION {"citationItems":[{"id":"ITEM-1","itemData":{"DOI":"10.2214/AJR.13.11046","ISSN":"0361803X","abstract":"OBJECTIVE The purpose of this diagnostic meta-analysis was to determine the diagnostic accuracy of multiparametric MRI for prostate cancer detection using anatomic T2-weighted imaging combined with two functional techniques: diffusion-weighted imaging (DWI) and dynamic contrast-enhanced MRI (DCE-MRI). MATERIALS AND METHODS We searched electronic databases, including MEDLINE, Embase, and the Cochrane Central Register of Controlled Trials (CENTRAL) up to February 3, 2012. We included diagnostic accuracy studies using a combination of T2-weighted imaging, DWI, and DCE-MRI to detect prostate cancer with histopathologic data from prostatectomy or biopsy as the reference standard. The methodologic quality was assessed with version 2 of the Quality Assessment of Diagnostic Accuracy Studies (QUADAS-2) tool by two independent reviewers. Sensitivity and specificity of all studies were calculated from 2 × 2 tables, and the results were plotted in a hierarchic summary receiver operating characteristic plot. RESULTS Seven studies that met the inclusion criteria (526 patients) could be analyzed. The pooled data showed a specificity of 0.88 (95% CI, 0.82-0.92) and sensitivity of 0.74 (95% CI, 0.66-0.81) for prostate cancer detection, with negative predictive values (NPVs) ranging from 0.65 to 0.94. Subgroup analyses showed no significant difference between the subgroups. CONCLUSION The high specificity with variable but high NPVs and sensitivities implies a potential role for multiparametric MRI in detecting prostate cancer.","author":[{"dropping-particle":"","family":"Rooij","given":"Maarten","non-dropping-particle":"De","parse-names":false,"suffix":""},{"dropping-particle":"","family":"Hamoen","given":"Esther H J","non-dropping-particle":"","parse-names":false,"suffix":""},{"dropping-particle":"","family":"Fütterer","given":"Jurgen J.","non-dropping-particle":"","parse-names":false,"suffix":""},{"dropping-particle":"","family":"Barentsz","given":"Jelle O.","non-dropping-particle":"","parse-names":false,"suffix":""},{"dropping-particle":"","family":"Rovers","given":"Maroeska M.","non-dropping-particle":"","parse-names":false,"suffix":""}],"container-title":"American Journal of Roentgenology","id":"ITEM-1","issue":"2","issued":{"date-parts":[["2014"]]},"page":"343-351","title":"Accuracy of multiparametric MRI for prostate cancer detection: A meta-analysis","type":"article-journal","volume":"202"},"uris":["http://www.mendeley.com/documents/?uuid=47cd281e-68b1-4fbc-9043-478a79572aee"]}],"mendeley":{"formattedCitation":"&lt;sup&gt;17&lt;/sup&gt;","plainTextFormattedCitation":"17","previouslyFormattedCitation":"Maarten De Rooij and others, ‘Accuracy of Multiparametric MRI for Prostate Cancer Detection: A Meta-Analysis’, &lt;i&gt;American Journal of Roentgenology&lt;/i&gt;, 202.2 (2014), 343–51 &lt;https://doi.org/10.2214/AJR.13.11046&gt;."},"properties":{"noteIndex":0},"schema":"https://github.com/citation-style-language/schema/raw/master/csl-citation.json"}</w:instrText>
      </w:r>
      <w:r w:rsidR="00D27101">
        <w:rPr>
          <w:rStyle w:val="DipnotBavurusu"/>
          <w:color w:val="0E101A"/>
        </w:rPr>
        <w:fldChar w:fldCharType="separate"/>
      </w:r>
      <w:r w:rsidR="00D27101" w:rsidRPr="00D27101">
        <w:rPr>
          <w:noProof/>
          <w:color w:val="0E101A"/>
          <w:vertAlign w:val="superscript"/>
        </w:rPr>
        <w:t>17</w:t>
      </w:r>
      <w:r w:rsidR="00D27101">
        <w:rPr>
          <w:rStyle w:val="DipnotBavurusu"/>
          <w:color w:val="0E101A"/>
        </w:rPr>
        <w:fldChar w:fldCharType="end"/>
      </w:r>
      <w:r w:rsidRPr="00CD004E">
        <w:rPr>
          <w:color w:val="0E101A"/>
        </w:rPr>
        <w:t>. </w:t>
      </w:r>
    </w:p>
    <w:p w14:paraId="1A381FCE" w14:textId="533BE1DE" w:rsidR="00CC2ABC" w:rsidRPr="00CD004E" w:rsidRDefault="00CC2ABC" w:rsidP="00CD004E">
      <w:pPr>
        <w:pStyle w:val="NormalWeb"/>
        <w:spacing w:before="0" w:beforeAutospacing="0" w:after="0" w:afterAutospacing="0" w:line="480" w:lineRule="auto"/>
        <w:ind w:firstLine="708"/>
        <w:jc w:val="both"/>
        <w:rPr>
          <w:color w:val="0E101A"/>
        </w:rPr>
      </w:pPr>
      <w:r w:rsidRPr="00CD004E">
        <w:rPr>
          <w:color w:val="0E101A"/>
        </w:rPr>
        <w:t>DWI and ADC are two important milestones in PI-RADSv2</w:t>
      </w:r>
      <w:r w:rsidR="00182D1F" w:rsidRPr="00CD004E">
        <w:rPr>
          <w:color w:val="0E101A"/>
        </w:rPr>
        <w:t>.1</w:t>
      </w:r>
      <w:r w:rsidRPr="00CD004E">
        <w:rPr>
          <w:color w:val="0E101A"/>
        </w:rPr>
        <w:t xml:space="preserve"> for evaluating the </w:t>
      </w:r>
      <w:r w:rsidR="001433B3" w:rsidRPr="00CD004E">
        <w:rPr>
          <w:color w:val="0E101A"/>
        </w:rPr>
        <w:t>PZ</w:t>
      </w:r>
      <w:r w:rsidRPr="00CD004E">
        <w:rPr>
          <w:color w:val="0E101A"/>
        </w:rPr>
        <w:t>, where PCa is most common</w:t>
      </w:r>
      <w:r w:rsidR="00B55415" w:rsidRPr="00CD004E">
        <w:rPr>
          <w:color w:val="0E101A"/>
        </w:rPr>
        <w:t xml:space="preserve">, and TZ </w:t>
      </w:r>
      <w:r w:rsidR="00D27101">
        <w:rPr>
          <w:rStyle w:val="DipnotBavurusu"/>
          <w:color w:val="0E101A"/>
        </w:rPr>
        <w:fldChar w:fldCharType="begin" w:fldLock="1"/>
      </w:r>
      <w:r w:rsidR="00D27101">
        <w:rPr>
          <w:color w:val="0E101A"/>
        </w:rPr>
        <w:instrText>ADDIN CSL_CITATION {"citationItems":[{"id":"ITEM-1","itemData":{"author":[{"dropping-particle":"","family":"PI-RADS","given":"","non-dropping-particle":"","parse-names":false,"suffix":""}],"id":"ITEM-1","issued":{"date-parts":[["2019"]]},"title":"PI-RADS v2.1 - ACR","type":"article-journal"},"uris":["http://www.mendeley.com/documents/?uuid=c4f29e74-253c-4f8e-8197-610ece886e03"]}],"mendeley":{"formattedCitation":"&lt;sup&gt;18&lt;/sup&gt;","plainTextFormattedCitation":"18","previouslyFormattedCitation":"PI-RADS, ‘PI-RADS v2.1 - ACR’, 2019."},"properties":{"noteIndex":0},"schema":"https://github.com/citation-style-language/schema/raw/master/csl-citation.json"}</w:instrText>
      </w:r>
      <w:r w:rsidR="00D27101">
        <w:rPr>
          <w:rStyle w:val="DipnotBavurusu"/>
          <w:color w:val="0E101A"/>
        </w:rPr>
        <w:fldChar w:fldCharType="separate"/>
      </w:r>
      <w:r w:rsidR="00D27101" w:rsidRPr="00D27101">
        <w:rPr>
          <w:noProof/>
          <w:color w:val="0E101A"/>
          <w:vertAlign w:val="superscript"/>
        </w:rPr>
        <w:t>18</w:t>
      </w:r>
      <w:r w:rsidR="00D27101">
        <w:rPr>
          <w:rStyle w:val="DipnotBavurusu"/>
          <w:color w:val="0E101A"/>
        </w:rPr>
        <w:fldChar w:fldCharType="end"/>
      </w:r>
      <w:r w:rsidRPr="00CD004E">
        <w:rPr>
          <w:color w:val="0E101A"/>
        </w:rPr>
        <w:t>. It is a known fact that highly cellular cancers have smaller interstitial space and lower ADC values</w:t>
      </w:r>
      <w:r w:rsidR="00D27101">
        <w:rPr>
          <w:rStyle w:val="DipnotBavurusu"/>
          <w:color w:val="0E101A"/>
        </w:rPr>
        <w:fldChar w:fldCharType="begin" w:fldLock="1"/>
      </w:r>
      <w:r w:rsidR="00D27101">
        <w:rPr>
          <w:color w:val="0E101A"/>
        </w:rPr>
        <w:instrText>ADDIN CSL_CITATION {"citationItems":[{"id":"ITEM-1","itemData":{"DOI":"10.1111/j.1464-410X.2008.08130.x","ISSN":"14644096","abstract":"OBJECTIVE To assess the relationship between the apparent diffusion coefficient (ADC) on magnetic resonance imaging (MRI) and cell density (CD) obtained from radical prostatectomy (RP) specimens. PATIENTS AND METHODS In all, 36 patients with prostate cancer were recruited; T2-weighted and diffusion-weighted MRI was obtained axially using a 3.0 T scanner. Patients then proceeded to RP; the prostate was whole-mounted and sectioned axially. Slices (3 μm) were cut from the surface of each section and stained with haematoxylin and eosin (H&amp;E). Five randomly positioned areas from the tumour and normal peripheral zone (PZ) were examined by light microscopy at × 200, then digitally photographed and analysed to obtain automatic CD. ADC values were determined from the MRI data using the H&amp;E slides as a reference. ADC and CD values were measured in both malignant lesions and the PZ, and the correlation between ADC and CD assessed. RESULTS ADC values were lower (P ≤ 0.001) in regions pathologically determined as tumour, with a mean (sd) of 1.45 (0.26) × 10 -3 mm 2 /s, vs normal PZ, of 1.90 (0.33) × 10 -3 mm 2 /s. Similarly, the mean CD over the five fields was higher (P ≤ 0.001) in tumour than in normal PZ, with values of 18.89 (4.93)% vs 9.22 (3.23)%. There was a significant correlation between the ADC values and CD (r = -0.50, P &lt; 0.001) regardless of tissue type. CD values were high in cancer which had lower ADC values than normal PZ. CONCLUSIONS ADC values were correlated successfully with CD; this information cannot be obtained with conventional MRI and is useful in characterizing prostate cancer. © 2008 BJU International.","author":[{"dropping-particle":"","family":"Zelhof","given":"Bashar","non-dropping-particle":"","parse-names":false,"suffix":""},{"dropping-particle":"","family":"Pickles","given":"Martin","non-dropping-particle":"","parse-names":false,"suffix":""},{"dropping-particle":"","family":"Liney","given":"Gary","non-dropping-particle":"","parse-names":false,"suffix":""},{"dropping-particle":"","family":"Gibbs","given":"Peter","non-dropping-particle":"","parse-names":false,"suffix":""},{"dropping-particle":"","family":"Rodrigues","given":"Greta","non-dropping-particle":"","parse-names":false,"suffix":""},{"dropping-particle":"","family":"Kraus","given":"Sigurd","non-dropping-particle":"","parse-names":false,"suffix":""},{"dropping-particle":"","family":"Turnbull","given":"Lindsay","non-dropping-particle":"","parse-names":false,"suffix":""}],"container-title":"BJU International","id":"ITEM-1","issued":{"date-parts":[["2009"]]},"title":"Correlation of diffusion-weighted magnetic resonance data with cellularity in prostate cancer","type":"article-journal"},"uris":["http://www.mendeley.com/documents/?uuid=e3a4e5df-4a92-4943-b11e-410f7ed62692"]}],"mendeley":{"formattedCitation":"&lt;sup&gt;19&lt;/sup&gt;","plainTextFormattedCitation":"19","previouslyFormattedCitation":"Bashar Zelhof and others, ‘Correlation of Diffusion-Weighted Magnetic Resonance Data with Cellularity in Prostate Cancer’, &lt;i&gt;BJU International&lt;/i&gt;, 2009 &lt;https://doi.org/10.1111/j.1464-410X.2008.08130.x&gt;."},"properties":{"noteIndex":0},"schema":"https://github.com/citation-style-language/schema/raw/master/csl-citation.json"}</w:instrText>
      </w:r>
      <w:r w:rsidR="00D27101">
        <w:rPr>
          <w:rStyle w:val="DipnotBavurusu"/>
          <w:color w:val="0E101A"/>
        </w:rPr>
        <w:fldChar w:fldCharType="separate"/>
      </w:r>
      <w:r w:rsidR="00D27101" w:rsidRPr="00D27101">
        <w:rPr>
          <w:noProof/>
          <w:color w:val="0E101A"/>
          <w:vertAlign w:val="superscript"/>
        </w:rPr>
        <w:t>19</w:t>
      </w:r>
      <w:r w:rsidR="00D27101">
        <w:rPr>
          <w:rStyle w:val="DipnotBavurusu"/>
          <w:color w:val="0E101A"/>
        </w:rPr>
        <w:fldChar w:fldCharType="end"/>
      </w:r>
      <w:r w:rsidRPr="00CD004E">
        <w:rPr>
          <w:color w:val="0E101A"/>
        </w:rPr>
        <w:t xml:space="preserve">. Healthy prostate tissue observed in the </w:t>
      </w:r>
      <w:r w:rsidR="001433B3" w:rsidRPr="00CD004E">
        <w:rPr>
          <w:color w:val="0E101A"/>
        </w:rPr>
        <w:t>PZ</w:t>
      </w:r>
      <w:r w:rsidRPr="00CD004E">
        <w:rPr>
          <w:color w:val="0E101A"/>
        </w:rPr>
        <w:t xml:space="preserve"> of the prostate contains rich tubules and allows the diffusion of water. ADC value is high in this area. On ADC maps, lower ADC values are detected since PCa destructs the normal tissue and invades the ducts of the gland</w:t>
      </w:r>
      <w:r w:rsidR="00D27101">
        <w:rPr>
          <w:rStyle w:val="DipnotBavurusu"/>
          <w:color w:val="0E101A"/>
        </w:rPr>
        <w:fldChar w:fldCharType="begin" w:fldLock="1"/>
      </w:r>
      <w:r w:rsidR="00D27101">
        <w:rPr>
          <w:color w:val="0E101A"/>
        </w:rPr>
        <w:instrText>ADDIN CSL_CITATION {"citationItems":[{"id":"ITEM-1","itemData":{"DOI":"10.1002/mrm.1298","ISSN":"07403194","PMID":"11746568","abstract":"In this study, diffusion-weighted images of the human prostate were successfully obtained, enabling quantification of apparent diffusion coefficients (ADCs) in normal and pathologic regions. A dual acquisition fast spin-echo sequence was used for accurate T2 calculation. T2 values were significantly higher in the peripheral zone than the central gland (P = 0.015). No significant correlations were found in either normal or pathologic tissue between ADC values and relaxation rates for all three gradient directions and the orientationally averaged water diffusion coefficient. Evidence suggesting that diffusional anisotropy is present in normal prostatic tissue is also detailed, with significant differences noted between the z-component and both the x- and y-components of the ADC for peripheral zone (P &lt; 0.040) and central gland (P &lt; 0.001). © 2001 Wiley-Liss, Inc.","author":[{"dropping-particle":"","family":"Gibbs","given":"Peter","non-dropping-particle":"","parse-names":false,"suffix":""},{"dropping-particle":"","family":"Tozer","given":"Daniel J.","non-dropping-particle":"","parse-names":false,"suffix":""},{"dropping-particle":"","family":"Liney","given":"Gary P.","non-dropping-particle":"","parse-names":false,"suffix":""},{"dropping-particle":"","family":"Turnbull","given":"Lindsay W.","non-dropping-particle":"","parse-names":false,"suffix":""}],"container-title":"Magnetic Resonance in Medicine","id":"ITEM-1","issued":{"date-parts":[["2001"]]},"title":"Comparison of quantitative T2 mapping and diffusion-weighted imaging in the normal and pathologic prostate","type":"article-journal"},"uris":["http://www.mendeley.com/documents/?uuid=23f646c3-ca03-461c-abd7-9126e86000e2"]}],"mendeley":{"formattedCitation":"&lt;sup&gt;20&lt;/sup&gt;","plainTextFormattedCitation":"20","previouslyFormattedCitation":"Peter Gibbs and others, ‘Comparison of Quantitative T2 Mapping and Diffusion-Weighted Imaging in the Normal and Pathologic Prostate’, &lt;i&gt;Magnetic Resonance in Medicine&lt;/i&gt;, 2001 &lt;https://doi.org/10.1002/mrm.1298&gt;."},"properties":{"noteIndex":0},"schema":"https://github.com/citation-style-language/schema/raw/master/csl-citation.json"}</w:instrText>
      </w:r>
      <w:r w:rsidR="00D27101">
        <w:rPr>
          <w:rStyle w:val="DipnotBavurusu"/>
          <w:color w:val="0E101A"/>
        </w:rPr>
        <w:fldChar w:fldCharType="separate"/>
      </w:r>
      <w:r w:rsidR="00D27101" w:rsidRPr="00D27101">
        <w:rPr>
          <w:noProof/>
          <w:color w:val="0E101A"/>
          <w:vertAlign w:val="superscript"/>
        </w:rPr>
        <w:t>20</w:t>
      </w:r>
      <w:r w:rsidR="00D27101">
        <w:rPr>
          <w:rStyle w:val="DipnotBavurusu"/>
          <w:color w:val="0E101A"/>
        </w:rPr>
        <w:fldChar w:fldCharType="end"/>
      </w:r>
      <w:r w:rsidRPr="00CD004E">
        <w:rPr>
          <w:color w:val="0E101A"/>
        </w:rPr>
        <w:t>. In PCa detection and localization; ADC maps obtained from DWI are recommended by the American College of Radiology as part of standardized MpMRI protocol and increases the diagnostic accuracy</w:t>
      </w:r>
      <w:r w:rsidR="00D27101">
        <w:rPr>
          <w:rStyle w:val="DipnotBavurusu"/>
          <w:color w:val="0E101A"/>
        </w:rPr>
        <w:fldChar w:fldCharType="begin" w:fldLock="1"/>
      </w:r>
      <w:r w:rsidR="00D27101">
        <w:rPr>
          <w:color w:val="0E101A"/>
        </w:rPr>
        <w:instrText>ADDIN CSL_CITATION {"citationItems":[{"id":"ITEM-1","itemData":{"DOI":"10.1007/s00261-018-1718-6","ISSN":"23660058","PMID":"30066169","abstract":"Purpose: To compare the predictive roles of qualitative (PI-RADSv2) and quantitative assessment (ADC metrics), in differentiating Gleason pattern (GP) 3 + 4 from the more aggressive GP 4 + 3 prostate cancer (PCa) using radical prostatectomy (RP) specimen as the reference standard. Methods: We retrospectively identified treatment-naïve peripheral (PZ) and transitional zone (TZ) Gleason Score 7 PCa patients who underwent multiparametric 3T prostate MRI (DWI with b value of 0,1400 and where unavailable, 0,500) and subsequent RP from 2011 to 2015. For each lesion identified on MRI, a PI-RADSv2 score was assigned by a radiologist blinded to pathology data. A PI-RADSv2 score ≤ 3 was defined as “low risk,” a PI-RADSv2 score ≥ 4 as “high risk” for clinically significant PCa. Mean tumor ADC (ADC T ), ADC of adjacent normal tissue (ADC N ), and ADC ratio (ADC T /ADC N ) were calculated. Stepwise regression analysis using tumor location, ADC T and ADC ratio , b value, low vs. high PI-RADSv2 score was performed to differentiate GP 3 + 4 from 4 + 3. Results: 119 out of 645 cases initially identified met eligibility requirements. 76 lesions were GP 3 + 4, 43 were 4 + 3. ADC ratio was significantly different between the two GP groups (p = 0.001). PI-RADSv2 score (“low” vs. “high”) was not significantly different between the two GP groups (p = 0.17). Regression analysis selected ADC T (p = 0.03) and ADC ratio (p = 0.0007) as best predictors to differentiate GP 4 + 3 from 3 + 4. Estimated sensitivity, specificity, and accuracy of the predictive model in differentiating GP 4 + 3 from 3 + 4 were 37, 82, and 66%, respectively. Conclusions: ADC metrics could differentiate GP 3 + 4 from 4 + 3 PCa with high specificity and moderate accuracy while PI-RADSv2, did not differentiate between these patterns.","author":[{"dropping-particle":"","family":"Alessandrino","given":"Francesco","non-dropping-particle":"","parse-names":false,"suffix":""},{"dropping-particle":"","family":"Taghipour","given":"Mehdi","non-dropping-particle":"","parse-names":false,"suffix":""},{"dropping-particle":"","family":"Hassanzadeh","given":"Elmira","non-dropping-particle":"","parse-names":false,"suffix":""},{"dropping-particle":"","family":"Ziaei","given":"Alireza","non-dropping-particle":"","parse-names":false,"suffix":""},{"dropping-particle":"","family":"Vangel","given":"Mark","non-dropping-particle":"","parse-names":false,"suffix":""},{"dropping-particle":"","family":"Fedorov","given":"Andriy","non-dropping-particle":"","parse-names":false,"suffix":""},{"dropping-particle":"","family":"Tempany","given":"Clare M.","non-dropping-particle":"","parse-names":false,"suffix":""},{"dropping-particle":"","family":"Fennessy","given":"Fiona M.","non-dropping-particle":"","parse-names":false,"suffix":""}],"container-title":"Abdominal Radiology","id":"ITEM-1","issued":{"date-parts":[["2019"]]},"title":"Predictive role of PI-RADSv2 and ADC parameters in differentiating Gleason pattern 3 + 4 and 4 + 3 prostate cancer","type":"article-journal"},"uris":["http://www.mendeley.com/documents/?uuid=7fbd264b-315f-4fe2-a49c-f24a4a813c6e"]}],"mendeley":{"formattedCitation":"&lt;sup&gt;15&lt;/sup&gt;","plainTextFormattedCitation":"15","previouslyFormattedCitation":"Alessandrino and others."},"properties":{"noteIndex":0},"schema":"https://github.com/citation-style-language/schema/raw/master/csl-citation.json"}</w:instrText>
      </w:r>
      <w:r w:rsidR="00D27101">
        <w:rPr>
          <w:rStyle w:val="DipnotBavurusu"/>
          <w:color w:val="0E101A"/>
        </w:rPr>
        <w:fldChar w:fldCharType="separate"/>
      </w:r>
      <w:r w:rsidR="00D27101" w:rsidRPr="00D27101">
        <w:rPr>
          <w:noProof/>
          <w:color w:val="0E101A"/>
          <w:vertAlign w:val="superscript"/>
        </w:rPr>
        <w:t>15</w:t>
      </w:r>
      <w:r w:rsidR="00D27101">
        <w:rPr>
          <w:rStyle w:val="DipnotBavurusu"/>
          <w:color w:val="0E101A"/>
        </w:rPr>
        <w:fldChar w:fldCharType="end"/>
      </w:r>
      <w:r w:rsidRPr="00CD004E">
        <w:rPr>
          <w:color w:val="0E101A"/>
        </w:rPr>
        <w:t>. Several previous studies have shown that ADC values are inversely correlated with GS and can therefore be considered a marker of PCa aggressiveness</w:t>
      </w:r>
      <w:r w:rsidR="00D27101">
        <w:rPr>
          <w:rStyle w:val="DipnotBavurusu"/>
          <w:color w:val="0E101A"/>
        </w:rPr>
        <w:fldChar w:fldCharType="begin" w:fldLock="1"/>
      </w:r>
      <w:r w:rsidR="00D27101">
        <w:rPr>
          <w:color w:val="0E101A"/>
        </w:rPr>
        <w:instrText>ADDIN CSL_CITATION {"citationItems":[{"id":"ITEM-1","itemData":{"DOI":"10.2214/AJR.10.4441","ISSN":"0361803X","abstract":"The purpose of this article is to evaluate the relationship between apparent diffusion coefficient (ADC) values, tumor volume, and total Gleason grade in patients with prostate cancer before radical prostatectomy.","author":[{"dropping-particle":"","family":"Verma","given":"Sadhna","non-dropping-particle":"","parse-names":false,"suffix":""},{"dropping-particle":"","family":"Rajesh","given":"Arumugam","non-dropping-particle":"","parse-names":false,"suffix":""},{"dropping-particle":"","family":"Morales","given":"Humberto","non-dropping-particle":"","parse-names":false,"suffix":""},{"dropping-particle":"","family":"Lemen","given":"Lisa","non-dropping-particle":"","parse-names":false,"suffix":""},{"dropping-particle":"","family":"Bills","given":"Gordon","non-dropping-particle":"","parse-names":false,"suffix":""},{"dropping-particle":"","family":"Delworth","given":"Mark","non-dropping-particle":"","parse-names":false,"suffix":""},{"dropping-particle":"","family":"Gaitonde","given":"Krish","non-dropping-particle":"","parse-names":false,"suffix":""},{"dropping-particle":"","family":"Ying","given":"Jun","non-dropping-particle":"","parse-names":false,"suffix":""},{"dropping-particle":"","family":"Samartunga","given":"Ranasinghe","non-dropping-particle":"","parse-names":false,"suffix":""},{"dropping-particle":"","family":"Lamba","given":"Michael","non-dropping-particle":"","parse-names":false,"suffix":""}],"container-title":"American Journal of Roentgenology","id":"ITEM-1","issued":{"date-parts":[["2011"]]},"title":"Assessment of aggressiveness of prostate cancer: Correlation of apparent diffusion coefficient with histologic grade after radical prostatectomy","type":"article-journal"},"uris":["http://www.mendeley.com/documents/?uuid=ca0e5ea8-22ed-4fa9-8bce-f26f48500a1b"]},{"id":"ITEM-2","itemData":{"DOI":"10.1148/radiol.11102066","ISSN":"00338419","abstract":"Purpose: To assess the incremental value of diffusion-weighted (DW) magnetic resonance (MR) imaging over T2-weighted MR imaging at 3 T for prostate cancer detection and to investigate the use of the apparent diffusion coefficient (ADC) to characterize tumor aggressiveness, with wholemount step-section pathologic analysis as the reference standard. Materials and Methods: The Internal Review Board approved this HIPAA-compliant retrospective study and waived informed consent. Fifty-one patients with prostate cancer (median age, 58 years; range, 46-74 years) underwent T2-weighted MR imaging and DW MR imaging (b values:0 and 700 sec/mm2 [ n = 20] or 0 and 1000 sec/mm2 [ n = 31]) followed by prostatectomy. The prostate was divided into 12 regions; two readers provided a score for each region according to their level of suspicion for the presence of cancer on a five-point scale, first using T2-weighted MR imaging alone and then using T2-weighted MR imaging and the ADC map in conjunction. Areas under the receiver operating characteristic curve (AUCs) were estimated to evaluate performance. Generalized estimating equations were used to test the ADC difference between benign and malignant prostate regions and the association between ADCs and tumor Gleason scores. Results: For tumor detection, the AUCs for readers 1 and 2 were 0.79 and 0.76, respectively, for T2-weighted MR imaging and 0.79 and 0.78, respectively, for T2-weighted MR imaging plus the ADC map. Mean ADCs for both cancerous and healthy prostatic regions were lower when DW MR imaging was performed with a b value of 1000 sec/mm2 rather than 700 sec/mm2. Regardless of the b value used, there was a significant difference in the mean ADC between malignant and benign prostate regions. A lower mean ADC was significantly associated with a higher tumor Gleason score (mean ADCs of [1.21, 1.10, 0.87, and 0.69] 3 10-3 mm2 /sec were associated with Gleason score of 3 + 3, 3 + 4, 4 + 3, and 8 or higher, respectively; P =.017). Conclusion: Combined DW and T2-weighted MR imaging had similar performance to T2-weighted MR imaging alone for tumor detection;however, DW MR imaging provided additional quantitative information that significantly correlated with prostate cancer aggressiveness. © RSNA, 2011.","author":[{"dropping-particle":"","family":"Vargas","given":"Hebert Alberto","non-dropping-particle":"","parse-names":false,"suffix":""},{"dropping-particle":"","family":"Akin","given":"Oguz","non-dropping-particle":"","parse-names":false,"suffix":""},{"dropping-particle":"","family":"Franiel","given":"Tobias","non-dropping-particle":"","parse-names":false,"suffix":""},{"dropping-particle":"","family":"Mazaheri","given":"Yousef","non-dropping-particle":"","parse-names":false,"suffix":""},{"dropping-particle":"","family":"Zheng","given":"Junting","non-dropping-particle":"","parse-names":false,"suffix":""},{"dropping-particle":"","family":"Moskowitz","given":"Chaya","non-dropping-particle":"","parse-names":false,"suffix":""},{"dropping-particle":"","family":"Udo","given":"Kazuma","non-dropping-particle":"","parse-names":false,"suffix":""},{"dropping-particle":"","family":"Eastham","given":"James","non-dropping-particle":"","parse-names":false,"suffix":""},{"dropping-particle":"","family":"Hricak","given":"Hedvig","non-dropping-particle":"","parse-names":false,"suffix":""}],"container-title":"Radiology","id":"ITEM-2","issued":{"date-parts":[["2011"]]},"title":"Diffusion-weighted endorectal MR imaging at 3 T for prostate cancer: Tumor detection and assessment of aggressiveness","type":"article-journal"},"uris":["http://www.mendeley.com/documents/?uuid=c06e9615-422c-442a-8a55-142ed2271280"]}],"mendeley":{"formattedCitation":"&lt;sup&gt;21,22&lt;/sup&gt;","plainTextFormattedCitation":"21,22","previouslyFormattedCitation":"Sadhna Verma and others, ‘Assessment of Aggressiveness of Prostate Cancer: Correlation of Apparent Diffusion Coefficient with Histologic Grade after Radical Prostatectomy’, &lt;i&gt;American Journal of Roentgenology&lt;/i&gt;, 2011 &lt;https://doi.org/10.2214/AJR.10.4441&gt;; Hebert Alberto Vargas and others, ‘Diffusion-Weighted Endorectal MR Imaging at 3 T for Prostate Cancer: Tumor Detection and Assessment of Aggressiveness’, &lt;i&gt;Radiology&lt;/i&gt;, 2011 &lt;https://doi.org/10.1148/radiol.11102066&gt;."},"properties":{"noteIndex":0},"schema":"https://github.com/citation-style-language/schema/raw/master/csl-citation.json"}</w:instrText>
      </w:r>
      <w:r w:rsidR="00D27101">
        <w:rPr>
          <w:rStyle w:val="DipnotBavurusu"/>
          <w:color w:val="0E101A"/>
        </w:rPr>
        <w:fldChar w:fldCharType="separate"/>
      </w:r>
      <w:r w:rsidR="00D27101" w:rsidRPr="00D27101">
        <w:rPr>
          <w:noProof/>
          <w:color w:val="0E101A"/>
          <w:vertAlign w:val="superscript"/>
        </w:rPr>
        <w:t>21,22</w:t>
      </w:r>
      <w:r w:rsidR="00D27101">
        <w:rPr>
          <w:rStyle w:val="DipnotBavurusu"/>
          <w:color w:val="0E101A"/>
        </w:rPr>
        <w:fldChar w:fldCharType="end"/>
      </w:r>
      <w:r w:rsidRPr="00CD004E">
        <w:rPr>
          <w:color w:val="0E101A"/>
        </w:rPr>
        <w:t>. However, absolute ADC values vary considerably depending on individual factors such as b values selected and patient demographics</w:t>
      </w:r>
      <w:r w:rsidR="00D27101">
        <w:rPr>
          <w:rStyle w:val="DipnotBavurusu"/>
          <w:color w:val="0E101A"/>
        </w:rPr>
        <w:fldChar w:fldCharType="begin" w:fldLock="1"/>
      </w:r>
      <w:r w:rsidR="00D27101">
        <w:rPr>
          <w:color w:val="0E101A"/>
        </w:rPr>
        <w:instrText>ADDIN CSL_CITATION {"citationItems":[{"id":"ITEM-1","itemData":{"DOI":"10.1007/s00261-017-1058-y","ISSN":"23660058","PMID":"28161826","abstract":"Purpose: To assess the impact of patient race and age on the performance of apparent diffusion coefficient (ADC) values for assessment of prostate cancer aggressiveness. Materials and methods: 457 prostate cancer patients who underwent 3T phased-array coil prostate MRI including diffusion-weighted imaging (DWI; maximal b-value 1000 s/mm2) before prostatectomy were included. Mean ADC of a single dominant lesion was measured in each patient, using histopathologic findings from the prostatectomy specimen as reference. In subsets defined by race and age, ADC values were compared between Gleason score (GS) ≤ 3 + 4 and GS ≥ 4 + 3 tumors. Results: 81% of patients were Caucasian, 12% African-American, 7% Asian-American. 13% were &lt;55 years, 42% 55–64 years, 41% 65–74 years, and 4% ≥75 years. 63% were GS ≤ 3 + 4, 37% GS ≥ 4 + 3. ADC was significantly lower in GS ≥ 4 + 3 tumors than in GS ≤ 3 + 4 tumors in the entire cohort, as well as in Caucasian, African-American, and all four age groups (P ≤ 0.015). AUC for differentiation of GS ≤ 3 + 4 and GS ≥ 4 + 3 as well as optimal ADC threshold was Caucasian: 0.73/≤848; African-American: 0.76/≤780; Asian-American: 0.66/≤839: &lt;55 years, 0.73/≤830; 55–64 years, 0.71/≤800; 65–74 years, 0.74/≤872; ≥75 years, 0.79/≤880. A race-optimized ADC threshold resulted in higher specificity in African-American than Caucasian men (84.9% vs. 67.1%, P = 0.045); age-optimized ADC threshold resulted in higher sensitivity in patients aged ≥75 years than &lt;55 years or 55–64 years (100.0% vs. 53.6%–73.3%; P &lt; 0.001). Conclusion: Patients’ race and age may impact the diagnostic performance and optimal threshold when applying ADC values for evaluation of prostate cancer aggressiveness.","author":[{"dropping-particle":"","family":"Tamada","given":"Tsutomu","non-dropping-particle":"","parse-names":false,"suffix":""},{"dropping-particle":"","family":"Prabhu","given":"Vinay","non-dropping-particle":"","parse-names":false,"suffix":""},{"dropping-particle":"","family":"Li","given":"Jianhong","non-dropping-particle":"","parse-names":false,"suffix":""},{"dropping-particle":"","family":"Babb","given":"James S.","non-dropping-particle":"","parse-names":false,"suffix":""},{"dropping-particle":"","family":"Taneja","given":"Samir S.","non-dropping-particle":"","parse-names":false,"suffix":""},{"dropping-particle":"","family":"Rosenkrantz","given":"Andrew B.","non-dropping-particle":"","parse-names":false,"suffix":""}],"container-title":"Abdominal Radiology","id":"ITEM-1","issued":{"date-parts":[["2017"]]},"title":"Assessment of prostate cancer aggressiveness using apparent diffusion coefficient values: impact of patient race and age","type":"article-journal"},"uris":["http://www.mendeley.com/documents/?uuid=90022d67-9882-4087-a33e-d621c56488cf"]}],"mendeley":{"formattedCitation":"&lt;sup&gt;23&lt;/sup&gt;","plainTextFormattedCitation":"23","previouslyFormattedCitation":"Tsutomu Tamada and others, ‘Assessment of Prostate Cancer Aggressiveness Using Apparent Diffusion Coefficient Values: Impact of Patient Race and Age’, &lt;i&gt;Abdominal Radiology&lt;/i&gt;, 2017 &lt;https://doi.org/10.1007/s00261-017-1058-y&gt;."},"properties":{"noteIndex":0},"schema":"https://github.com/citation-style-language/schema/raw/master/csl-citation.json"}</w:instrText>
      </w:r>
      <w:r w:rsidR="00D27101">
        <w:rPr>
          <w:rStyle w:val="DipnotBavurusu"/>
          <w:color w:val="0E101A"/>
        </w:rPr>
        <w:fldChar w:fldCharType="separate"/>
      </w:r>
      <w:r w:rsidR="00D27101" w:rsidRPr="00D27101">
        <w:rPr>
          <w:noProof/>
          <w:color w:val="0E101A"/>
          <w:vertAlign w:val="superscript"/>
        </w:rPr>
        <w:t>23</w:t>
      </w:r>
      <w:r w:rsidR="00D27101">
        <w:rPr>
          <w:rStyle w:val="DipnotBavurusu"/>
          <w:color w:val="0E101A"/>
        </w:rPr>
        <w:fldChar w:fldCharType="end"/>
      </w:r>
      <w:r w:rsidRPr="00CD004E">
        <w:rPr>
          <w:color w:val="0E101A"/>
        </w:rPr>
        <w:t>. There is no consensus on the cut-off ADC value in distinguishing PCa from healthy parenchyma. Also, no agreed ADC values are corresponding to the ISUP grades. However, a range between 750–900 mm</w:t>
      </w:r>
      <w:r w:rsidRPr="00CD004E">
        <w:rPr>
          <w:color w:val="0E101A"/>
          <w:vertAlign w:val="superscript"/>
        </w:rPr>
        <w:t>2</w:t>
      </w:r>
      <w:r w:rsidRPr="00CD004E">
        <w:rPr>
          <w:color w:val="0E101A"/>
        </w:rPr>
        <w:t>/s is suggestive for PCa in PI-RADSv2</w:t>
      </w:r>
      <w:r w:rsidR="00D27101">
        <w:rPr>
          <w:rStyle w:val="DipnotBavurusu"/>
          <w:color w:val="0E101A"/>
        </w:rPr>
        <w:fldChar w:fldCharType="begin" w:fldLock="1"/>
      </w:r>
      <w:r w:rsidR="00D27101">
        <w:rPr>
          <w:color w:val="0E101A"/>
        </w:rPr>
        <w:instrText>ADDIN CSL_CITATION {"citationItems":[{"id":"ITEM-1","itemData":{"DOI":"10.21037/gs.2019.05.02","ISSN":"22278575","abstract":"Prostate cancer (PCa) is one of the most common cancers in male population. Multiparametric prostate magnetic resonance imaging (mp-MRI) has assumed a primary role in the diagnosis of PCa, combining morphological and functional data. Among different sequences, functional diffusion weighted imaging (DWI) is a powerful clinical tool which provides information about tissue on a cellular level. However, there is a considerable overlap between either BPH (Benign Prostate Hypertrophy) and prostatic cancer condition, as a different DWI signal intensity could be shown in the normal architecture gland. Apparent diffusion coefficient (ADC) has shown an increasing accuracy in addition to the DWI analysis in detection and localization of PCa. Notably, ADC maps derived DWI sequences has shown an overall high correlation with Gleason score (GS), considering the importance of an accurate grading of focal lesion, as main predictor factor. Furthermore, beyond the comparative analysis with DWI, ADC values has proven to be an useful marker of tumor aggressiveness, providing quantitative information on tumor characteristics according with GS and Gleason pattern, even more strenuous data are needed in order to verify which ADC analysis is more accurate.","author":[{"dropping-particle":"","family":"Manetta","given":"Rosa","non-dropping-particle":"","parse-names":false,"suffix":""},{"dropping-particle":"","family":"Palumbo","given":"Pierpaolo","non-dropping-particle":"","parse-names":false,"suffix":""},{"dropping-particle":"","family":"Gianneramo","given":"Camilla","non-dropping-particle":"","parse-names":false,"suffix":""},{"dropping-particle":"","family":"Bruno","given":"Federico","non-dropping-particle":"","parse-names":false,"suffix":""},{"dropping-particle":"","family":"Arrigoni","given":"Francesco","non-dropping-particle":"","parse-names":false,"suffix":""},{"dropping-particle":"","family":"Natella","given":"Raffaele","non-dropping-particle":"","parse-names":false,"suffix":""},{"dropping-particle":"","family":"Maggialetti","given":"Nicola","non-dropping-particle":"","parse-names":false,"suffix":""},{"dropping-particle":"","family":"Agostini","given":"Andrea","non-dropping-particle":"","parse-names":false,"suffix":""},{"dropping-particle":"","family":"Giovagnoni","given":"Andrea","non-dropping-particle":"","parse-names":false,"suffix":""},{"dropping-particle":"","family":"Cesare","given":"Ernesto","non-dropping-particle":"Di","parse-names":false,"suffix":""},{"dropping-particle":"","family":"Splendiani","given":"Alessandra","non-dropping-particle":"","parse-names":false,"suffix":""},{"dropping-particle":"","family":"Masciocchi","given":"Carlo","non-dropping-particle":"","parse-names":false,"suffix":""},{"dropping-particle":"","family":"Barile","given":"Antonio","non-dropping-particle":"","parse-names":false,"suffix":""}],"container-title":"Gland Surgery","id":"ITEM-1","issued":{"date-parts":[["2019"]]},"title":"Correlation between ADC values and Gleason score in evaluation of prostate cancer: Multicentre experience and review of the literature","type":"article"},"uris":["http://www.mendeley.com/documents/?uuid=084a06e6-39c9-4dfd-9490-ad951b2c50ee"]}],"mendeley":{"formattedCitation":"&lt;sup&gt;24&lt;/sup&gt;","plainTextFormattedCitation":"24","previouslyFormattedCitation":"Rosa Manetta and others, ‘Correlation between ADC Values and Gleason Score in Evaluation of Prostate Cancer: Multicentre Experience and Review of the Literature’, &lt;i&gt;Gland Surgery&lt;/i&gt;, 2019 &lt;https://doi.org/10.21037/gs.2019.05.02&gt;."},"properties":{"noteIndex":0},"schema":"https://github.com/citation-style-language/schema/raw/master/csl-citation.json"}</w:instrText>
      </w:r>
      <w:r w:rsidR="00D27101">
        <w:rPr>
          <w:rStyle w:val="DipnotBavurusu"/>
          <w:color w:val="0E101A"/>
        </w:rPr>
        <w:fldChar w:fldCharType="separate"/>
      </w:r>
      <w:r w:rsidR="00D27101" w:rsidRPr="00D27101">
        <w:rPr>
          <w:noProof/>
          <w:color w:val="0E101A"/>
          <w:vertAlign w:val="superscript"/>
        </w:rPr>
        <w:t>24</w:t>
      </w:r>
      <w:r w:rsidR="00D27101">
        <w:rPr>
          <w:rStyle w:val="DipnotBavurusu"/>
          <w:color w:val="0E101A"/>
        </w:rPr>
        <w:fldChar w:fldCharType="end"/>
      </w:r>
      <w:r w:rsidRPr="00CD004E">
        <w:rPr>
          <w:color w:val="0E101A"/>
        </w:rPr>
        <w:t>. The mean ADC value of the lesions included in our study was 629.97±151.77 for the PZ and 614.75±152.23 for the TZ. Currin et al. reported that malign cells within the aggressive PCa produce duct and acini then displacing normal prostatic secretions and have marked nucleomegaly, this may cause ISUP</w:t>
      </w:r>
      <w:r w:rsidR="00B55415" w:rsidRPr="00CD004E">
        <w:rPr>
          <w:color w:val="0E101A"/>
        </w:rPr>
        <w:t xml:space="preserve"> 2</w:t>
      </w:r>
      <w:r w:rsidRPr="00CD004E">
        <w:rPr>
          <w:color w:val="0E101A"/>
        </w:rPr>
        <w:t xml:space="preserve"> or </w:t>
      </w:r>
      <w:r w:rsidR="00B55415" w:rsidRPr="00CD004E">
        <w:rPr>
          <w:color w:val="0E101A"/>
        </w:rPr>
        <w:t>3</w:t>
      </w:r>
      <w:r w:rsidRPr="00CD004E">
        <w:rPr>
          <w:color w:val="0E101A"/>
        </w:rPr>
        <w:t xml:space="preserve"> tumors to resemble high-risk PCa at MRI</w:t>
      </w:r>
      <w:r w:rsidR="00D27101">
        <w:rPr>
          <w:rStyle w:val="DipnotBavurusu"/>
          <w:color w:val="0E101A"/>
        </w:rPr>
        <w:fldChar w:fldCharType="begin" w:fldLock="1"/>
      </w:r>
      <w:r w:rsidR="00D27101">
        <w:rPr>
          <w:color w:val="0E101A"/>
        </w:rPr>
        <w:instrText>ADDIN CSL_CITATION {"citationItems":[{"id":"ITEM-1","itemData":{"DOI":"10.1002/jmri.26594","ISSN":"15222586","PMID":"30585372","abstract":"Background: Prostatic intraductal carcinoma (IDC-P) is an aggressive variant of prostate cancer (PCa) characterized by proliferation of malignant cells within prostatic ducts/acini and nucleomegaly. Purpose/Hypothesis: To compare apparent diffusion coefficient (ADC) values and Prostate Imaging and Data Reporting System (PI-RADS) v. 2 scores in intermediate risk (International Society of Urological Pathology [ISUP] Grade Group [GG] 2 and 3) PCa with/without IDC-P to determine if IDC-P alters the MRI appearance of PCa. Study Type: Retrospective, case–control. Population: Fifteen consecutive men with ISUP GG 2/3 (Gleason score 3+4 = 7 [N = 4], 4+3 = 7 [N = 11]) PCa with IDC-P diagnosed at radical prostatectomy were compared with: 1) ISUP GG 2/3 PCa without IDC-P (matched for percentage Gleason pattern 4), and 2) ISUP GG 4 and 5 (Gleason score 8/9) PCa without IDC-P. Field Strength/Sequence: 3T multiparametric MRI. Assessment: Two blinded radiologists (R1/R2) measured mean ADC, ADC.ratio (ADC.tumor/ADC.normal peripheral zone) and assigned PI-RADS v2 scores. Statistical Tests: Chi-square and analysis of variance (ANOVA). Results: There were no differences in age, prostate serum antigen, tumor size, or stage between groups (P = 0.063-0.912). Tumors with IDC-P had lower mean ADC and ADC.ratio (0.741 ± 0.152 mm2/sec and 0.44 ± 0.07) compared with ISUP GG 2/3 tumors without IDC-P (0.888 ± 0.167 mm2/sec and 0.62 ± 0.14), P = 0.012 and &lt;0.001; and did not differ compared with ISUP GG 4/5 tumors (0.705 ± 0.141 mm2/sec and 0.44 ± 0.08), P = 0.509 and 0.868. Tumors with IDC-P were nearly all PI-RADS v2 score 5 (14/15) compared with ISUP GG 2/3 tumors without IDC-P (10/15 R1, 8/15 R2) and GG 4/5 tumors (9/15), (P = 0.040 = 0.092). Agreement in PI-RADS v2 scoring was moderate (K = 0.68). Data Conclusion: ISUP GG 2 and 3 (intermediate risk, Gleason score 7) PCa with IDC-P have lower ADC compared with tumors without IDC-P with a similar percentage of Gleason pattern 4 and resemble ISUP GG 4 and 5 high risk tumors on MRI. IDC-P lowers ADC values among intermediate risk prostate cancers. Level of Evidence: 3. Technical Efficacy Stage: 2. J. Magn. Reson. Imaging 2019;50:279–287.","author":[{"dropping-particle":"","family":"Currin","given":"Stephen","non-dropping-particle":"","parse-names":false,"suffix":""},{"dropping-particle":"","family":"Flood","given":"Trevor A.","non-dropping-particle":"","parse-names":false,"suffix":""},{"dropping-particle":"","family":"Krishna","given":"Satheesh","non-dropping-particle":"","parse-names":false,"suffix":""},{"dropping-particle":"","family":"Ansari","given":"Afshin","non-dropping-particle":"","parse-names":false,"suffix":""},{"dropping-particle":"","family":"McInnes","given":"Matthew D.F.","non-dropping-particle":"","parse-names":false,"suffix":""},{"dropping-particle":"","family":"Schieda","given":"Nicola","non-dropping-particle":"","parse-names":false,"suffix":""}],"container-title":"Journal of Magnetic Resonance Imaging","id":"ITEM-1","issued":{"date-parts":[["2019"]]},"title":"Intraductal carcinoma of the prostate (IDC-P) lowers apparent diffusion coefficient (ADC) values among intermediate risk prostate cancers","type":"article-journal"},"uris":["http://www.mendeley.com/documents/?uuid=41a77b55-ee3b-4f12-86f3-02d90c32e140"]}],"mendeley":{"formattedCitation":"&lt;sup&gt;25&lt;/sup&gt;","plainTextFormattedCitation":"25","previouslyFormattedCitation":"Stephen Currin and others, ‘Intraductal Carcinoma of the Prostate (IDC-P) Lowers Apparent Diffusion Coefficient (ADC) Values among Intermediate Risk Prostate Cancers’, &lt;i&gt;Journal of Magnetic Resonance Imaging&lt;/i&gt;, 2019 &lt;https://doi.org/10.1002/jmri.26594&gt;."},"properties":{"noteIndex":0},"schema":"https://github.com/citation-style-language/schema/raw/master/csl-citation.json"}</w:instrText>
      </w:r>
      <w:r w:rsidR="00D27101">
        <w:rPr>
          <w:rStyle w:val="DipnotBavurusu"/>
          <w:color w:val="0E101A"/>
        </w:rPr>
        <w:fldChar w:fldCharType="separate"/>
      </w:r>
      <w:r w:rsidR="00D27101" w:rsidRPr="00D27101">
        <w:rPr>
          <w:noProof/>
          <w:color w:val="0E101A"/>
          <w:vertAlign w:val="superscript"/>
        </w:rPr>
        <w:t>25</w:t>
      </w:r>
      <w:r w:rsidR="00D27101">
        <w:rPr>
          <w:rStyle w:val="DipnotBavurusu"/>
          <w:color w:val="0E101A"/>
        </w:rPr>
        <w:fldChar w:fldCharType="end"/>
      </w:r>
      <w:r w:rsidRPr="00CD004E">
        <w:rPr>
          <w:color w:val="0E101A"/>
        </w:rPr>
        <w:t>. Wu et al. revealed that higher ADC values [0.830×10</w:t>
      </w:r>
      <w:r w:rsidRPr="00CD004E">
        <w:rPr>
          <w:color w:val="0E101A"/>
          <w:vertAlign w:val="superscript"/>
        </w:rPr>
        <w:t>–3</w:t>
      </w:r>
      <w:r w:rsidRPr="00CD004E">
        <w:rPr>
          <w:color w:val="0E101A"/>
        </w:rPr>
        <w:t xml:space="preserve"> mm</w:t>
      </w:r>
      <w:r w:rsidRPr="00CD004E">
        <w:rPr>
          <w:color w:val="0E101A"/>
          <w:vertAlign w:val="superscript"/>
        </w:rPr>
        <w:t>2</w:t>
      </w:r>
      <w:r w:rsidRPr="00CD004E">
        <w:rPr>
          <w:color w:val="0E101A"/>
        </w:rPr>
        <w:t>/s] were significantly associated with low-risk prostate cancer [GS 6 disease]</w:t>
      </w:r>
      <w:r w:rsidR="00D27101">
        <w:rPr>
          <w:rStyle w:val="DipnotBavurusu"/>
          <w:color w:val="0E101A"/>
        </w:rPr>
        <w:fldChar w:fldCharType="begin" w:fldLock="1"/>
      </w:r>
      <w:r w:rsidR="00D27101">
        <w:rPr>
          <w:color w:val="0E101A"/>
        </w:rPr>
        <w:instrText>ADDIN CSL_CITATION {"citationItems":[{"id":"ITEM-1","itemData":{"DOI":"10.1016/j.diii.2016.08.009","ISSN":"22115684","PMID":"27687831","abstract":"Objectives: To investigate whether diffusion-weighted imaging (DWI) apparent diffusion coef-ficient (ADC) correlates with prostate cancer aggressiveness and further to compare the diagnostic performance of ADC and normalized ADC (nADC: normalized to non-tumor tissue). Patients and methods: Thirty pre-treatment patients (mean age, 69 years; range: 5978 years) with prostate cancer underwent magnetic resonance imaging (MRI) examination, including DWI with three b values: 50, 400, and 800 s/mm2. Both ADC and nADC were correlated with the Gleason score obtained through transrectal ultrasound-guided biopsy. Results: The tumor minimum ADC (ADCmin: the lowest ADC value within tumor) had an inverse correlation with the Gleason score (r = 0.43, P &lt; 0.05), and it was lower in patients with Gleason score 3 + 4 than in those with Gleason score 3 + 3 (0.54 ± 0.11 × 103 mm2/s vs. 0.64 ± 0.12 × 10?3 mm2/s, P &lt; 0.05). Both the nADCmin and nADCmean correlated with the Glea-son score (r = 0.52 and r = 0.55, P &lt; 0.01; respectively), and they were lower in patients with Gleason score 3 + 4 than those with Gleason score 3 + 3 (P &lt; 0.01; respectively). Receiver oper-ating characteristic (ROC) analysis showed that the area under the ROC curve was 0.765, 0.818, or 0.833 for the ADCmin, nADCmin, or nADCmean; respectively, in differentiating between Gleason score 3 + 4 and 3 + 3 tumors.","author":[{"dropping-particle":"","family":"Wu","given":"X.","non-dropping-particle":"","parse-names":false,"suffix":""},{"dropping-particle":"","family":"Reinikainen","given":"P.","non-dropping-particle":"","parse-names":false,"suffix":""},{"dropping-particle":"","family":"Vanhanen","given":"A.","non-dropping-particle":"","parse-names":false,"suffix":""},{"dropping-particle":"","family":"Kapanen","given":"M.","non-dropping-particle":"","parse-names":false,"suffix":""},{"dropping-particle":"","family":"Vierikko","given":"T.","non-dropping-particle":"","parse-names":false,"suffix":""},{"dropping-particle":"","family":"Ryymin","given":"P.","non-dropping-particle":"","parse-names":false,"suffix":""},{"dropping-particle":"","family":"Hyödynmaa","given":"S.","non-dropping-particle":"","parse-names":false,"suffix":""},{"dropping-particle":"","family":"Kellokumpu-Lehtinen","given":"P. L.","non-dropping-particle":"","parse-names":false,"suffix":""}],"container-title":"Diagnostic and Interventional Imaging","id":"ITEM-1","issued":{"date-parts":[["2017"]]},"title":"Correlation between apparent diffusion coefficient value on diffusion-weighted MR imaging and Gleason score in prostate cancer","type":"article-journal"},"uris":["http://www.mendeley.com/documents/?uuid=3e9e383e-a45d-4e9b-b154-f09b7dcc3ed0"]}],"mendeley":{"formattedCitation":"&lt;sup&gt;26&lt;/sup&gt;","plainTextFormattedCitation":"26","previouslyFormattedCitation":"X. Wu and others, ‘Correlation between Apparent Diffusion Coefficient Value on Diffusion-Weighted MR Imaging and Gleason Score in Prostate Cancer’, &lt;i&gt;Diagnostic and Interventional Imaging&lt;/i&gt;, 2017 &lt;https://doi.org/10.1016/j.diii.2016.08.009&gt;."},"properties":{"noteIndex":0},"schema":"https://github.com/citation-style-language/schema/raw/master/csl-citation.json"}</w:instrText>
      </w:r>
      <w:r w:rsidR="00D27101">
        <w:rPr>
          <w:rStyle w:val="DipnotBavurusu"/>
          <w:color w:val="0E101A"/>
        </w:rPr>
        <w:fldChar w:fldCharType="separate"/>
      </w:r>
      <w:r w:rsidR="00D27101" w:rsidRPr="00D27101">
        <w:rPr>
          <w:noProof/>
          <w:color w:val="0E101A"/>
          <w:vertAlign w:val="superscript"/>
        </w:rPr>
        <w:t>26</w:t>
      </w:r>
      <w:r w:rsidR="00D27101">
        <w:rPr>
          <w:rStyle w:val="DipnotBavurusu"/>
          <w:color w:val="0E101A"/>
        </w:rPr>
        <w:fldChar w:fldCharType="end"/>
      </w:r>
      <w:r w:rsidRPr="00CD004E">
        <w:rPr>
          <w:color w:val="0E101A"/>
        </w:rPr>
        <w:t xml:space="preserve">. Alessandrino et al. found that quantitative values obtained from ADC [median ADC, and ADC ratio] are inversely correlated with ISUP score </w:t>
      </w:r>
      <w:r w:rsidR="00D27101">
        <w:rPr>
          <w:rStyle w:val="DipnotBavurusu"/>
          <w:color w:val="0E101A"/>
        </w:rPr>
        <w:fldChar w:fldCharType="begin" w:fldLock="1"/>
      </w:r>
      <w:r w:rsidR="00D27101">
        <w:rPr>
          <w:color w:val="0E101A"/>
        </w:rPr>
        <w:instrText>ADDIN CSL_CITATION {"citationItems":[{"id":"ITEM-1","itemData":{"DOI":"10.1007/s00261-018-1718-6","ISSN":"23660058","PMID":"30066169","abstract":"Purpose: To compare the predictive roles of qualitative (PI-RADSv2) and quantitative assessment (ADC metrics), in differentiating Gleason pattern (GP) 3 + 4 from the more aggressive GP 4 + 3 prostate cancer (PCa) using radical prostatectomy (RP) specimen as the reference standard. Methods: We retrospectively identified treatment-naïve peripheral (PZ) and transitional zone (TZ) Gleason Score 7 PCa patients who underwent multiparametric 3T prostate MRI (DWI with b value of 0,1400 and where unavailable, 0,500) and subsequent RP from 2011 to 2015. For each lesion identified on MRI, a PI-RADSv2 score was assigned by a radiologist blinded to pathology data. A PI-RADSv2 score ≤ 3 was defined as “low risk,” a PI-RADSv2 score ≥ 4 as “high risk” for clinically significant PCa. Mean tumor ADC (ADC T ), ADC of adjacent normal tissue (ADC N ), and ADC ratio (ADC T /ADC N ) were calculated. Stepwise regression analysis using tumor location, ADC T and ADC ratio , b value, low vs. high PI-RADSv2 score was performed to differentiate GP 3 + 4 from 4 + 3. Results: 119 out of 645 cases initially identified met eligibility requirements. 76 lesions were GP 3 + 4, 43 were 4 + 3. ADC ratio was significantly different between the two GP groups (p = 0.001). PI-RADSv2 score (“low” vs. “high”) was not significantly different between the two GP groups (p = 0.17). Regression analysis selected ADC T (p = 0.03) and ADC ratio (p = 0.0007) as best predictors to differentiate GP 4 + 3 from 3 + 4. Estimated sensitivity, specificity, and accuracy of the predictive model in differentiating GP 4 + 3 from 3 + 4 were 37, 82, and 66%, respectively. Conclusions: ADC metrics could differentiate GP 3 + 4 from 4 + 3 PCa with high specificity and moderate accuracy while PI-RADSv2, did not differentiate between these patterns.","author":[{"dropping-particle":"","family":"Alessandrino","given":"Francesco","non-dropping-particle":"","parse-names":false,"suffix":""},{"dropping-particle":"","family":"Taghipour","given":"Mehdi","non-dropping-particle":"","parse-names":false,"suffix":""},{"dropping-particle":"","family":"Hassanzadeh","given":"Elmira","non-dropping-particle":"","parse-names":false,"suffix":""},{"dropping-particle":"","family":"Ziaei","given":"Alireza","non-dropping-particle":"","parse-names":false,"suffix":""},{"dropping-particle":"","family":"Vangel","given":"Mark","non-dropping-particle":"","parse-names":false,"suffix":""},{"dropping-particle":"","family":"Fedorov","given":"Andriy","non-dropping-particle":"","parse-names":false,"suffix":""},{"dropping-particle":"","family":"Tempany","given":"Clare M.","non-dropping-particle":"","parse-names":false,"suffix":""},{"dropping-particle":"","family":"Fennessy","given":"Fiona M.","non-dropping-particle":"","parse-names":false,"suffix":""}],"container-title":"Abdominal Radiology","id":"ITEM-1","issued":{"date-parts":[["2019"]]},"title":"Predictive role of PI-RADSv2 and ADC parameters in differentiating Gleason pattern 3 + 4 and 4 + 3 prostate cancer","type":"article-journal"},"uris":["http://www.mendeley.com/documents/?uuid=7fbd264b-315f-4fe2-a49c-f24a4a813c6e"]}],"mendeley":{"formattedCitation":"&lt;sup&gt;15&lt;/sup&gt;","plainTextFormattedCitation":"15","previouslyFormattedCitation":"Alessandrino and others."},"properties":{"noteIndex":0},"schema":"https://github.com/citation-style-language/schema/raw/master/csl-citation.json"}</w:instrText>
      </w:r>
      <w:r w:rsidR="00D27101">
        <w:rPr>
          <w:rStyle w:val="DipnotBavurusu"/>
          <w:color w:val="0E101A"/>
        </w:rPr>
        <w:fldChar w:fldCharType="separate"/>
      </w:r>
      <w:r w:rsidR="00D27101" w:rsidRPr="00D27101">
        <w:rPr>
          <w:noProof/>
          <w:color w:val="0E101A"/>
          <w:vertAlign w:val="superscript"/>
        </w:rPr>
        <w:t>15</w:t>
      </w:r>
      <w:r w:rsidR="00D27101">
        <w:rPr>
          <w:rStyle w:val="DipnotBavurusu"/>
          <w:color w:val="0E101A"/>
        </w:rPr>
        <w:fldChar w:fldCharType="end"/>
      </w:r>
      <w:r w:rsidRPr="00CD004E">
        <w:rPr>
          <w:color w:val="0E101A"/>
        </w:rPr>
        <w:t>. In another study, ADC values can distinguish GS 6, 7 PCa from 8–10, but there was no statistical difference between GS 3+4 and 4+3 PCa</w:t>
      </w:r>
      <w:r w:rsidR="00D27101">
        <w:rPr>
          <w:rStyle w:val="DipnotBavurusu"/>
          <w:color w:val="0E101A"/>
        </w:rPr>
        <w:fldChar w:fldCharType="begin" w:fldLock="1"/>
      </w:r>
      <w:r w:rsidR="00D27101">
        <w:rPr>
          <w:color w:val="0E101A"/>
        </w:rPr>
        <w:instrText>ADDIN CSL_CITATION {"citationItems":[{"id":"ITEM-1","itemData":{"DOI":"10.2214/AJR.14.13146","ISSN":"15463141","abstract":"OBJECTIVE. The purpose of this study is to test the association between diffusionweighted MRI and prostate cancer Gleason score at both biopsy and final pathologic analysis after radical prostatectomy. SUBJECTS AND METHODS. Patients with prostate cancer (n = 72) underwent diffusion-weighted MRI (b values, 0, 800, and 1600 s/mm&lt;sup&gt;2&lt;/sup&gt;) with an endorectal coil. Apparent diffusion coefficient (ADC) and ADC ratio were obtained in normal and pathologic tissue and were correlated with transrectal ultrasound-guided biopsy (n = 72) and histopathologic (n = 39) Gleason scores using the ANOVA test. ADC accuracy was estimated using ROC curves. RESULTS. Lesions suspicious for prostate cancer were detected in 65 patients. The mean ADC was 1.47 and 0.87 × 10-3 mm&lt;sup&gt;2&lt;/sup&gt;/s for normal and pathologic tissue, respectively (p &lt; 0.001). When we divided the population into four groups (normal tissue and biopsy Gleason scores of 6, 7, and 8-10), then the mean ADC value was 1.47, 0.96, 0.80, and 0.78 × 10&lt;sup&gt;-3&lt;/sup&gt; mm&lt;sup&gt;2&lt;/sup&gt;/s, respectively (p &lt; 0.001). The ADC ratio decreased along with an increase in biopsy Gleason score (66.9%, 56.7%, and 51.5% for Gleason scores of 6, 7 and 8-10, respectively) (ANOVA, p = 0.003) and pathologic Gleason score (ANOVA, p &lt; 0.001). ROC curves had an AUC of 0.94 and 0.86 for ADC and ADC ratio, respectively (p = 0.012 and 0.042, respectively). CONCLUSION. Decreasing ADC values may represent a strong risk factor of harboring a poorly differentiated prostate cancer, independently of biopsy characteristics.","author":[{"dropping-particle":"","family":"Cobelli","given":"Francesco","non-dropping-particle":"De","parse-names":false,"suffix":""},{"dropping-particle":"","family":"Ravelli","given":"Silvia","non-dropping-particle":"","parse-names":false,"suffix":""},{"dropping-particle":"","family":"Esposito","given":"Antonio","non-dropping-particle":"","parse-names":false,"suffix":""},{"dropping-particle":"","family":"Giganti","given":"Francesco","non-dropping-particle":"","parse-names":false,"suffix":""},{"dropping-particle":"","family":"Gallina","given":"Andrea","non-dropping-particle":"","parse-names":false,"suffix":""},{"dropping-particle":"","family":"Montorsi","given":"Francesco","non-dropping-particle":"","parse-names":false,"suffix":""},{"dropping-particle":"","family":"Maschio","given":"Alessandro","non-dropping-particle":"Del","parse-names":false,"suffix":""}],"container-title":"American Journal of Roentgenology","id":"ITEM-1","issued":{"date-parts":[["2015"]]},"title":"Apparent diffusion coefficient value and ratio as noninvasive potential biomarkers to predict prostate cancer grading: Comparison with prostate biopsy and radical prostatectomy specimen","type":"article-journal"},"uris":["http://www.mendeley.com/documents/?uuid=cc0705c3-b7d8-43a0-9953-98127df9c4da"]}],"mendeley":{"formattedCitation":"&lt;sup&gt;27&lt;/sup&gt;","plainTextFormattedCitation":"27","previouslyFormattedCitation":"Francesco De Cobelli and others, ‘Apparent Diffusion Coefficient Value and Ratio as Noninvasive Potential Biomarkers to Predict Prostate Cancer Grading: Comparison with Prostate Biopsy and Radical Prostatectomy Specimen’, &lt;i&gt;American Journal of Roentgenology&lt;/i&gt;, 2015 &lt;https://doi.org/10.2214/AJR.14.13146&gt;."},"properties":{"noteIndex":0},"schema":"https://github.com/citation-style-language/schema/raw/master/csl-citation.json"}</w:instrText>
      </w:r>
      <w:r w:rsidR="00D27101">
        <w:rPr>
          <w:rStyle w:val="DipnotBavurusu"/>
          <w:color w:val="0E101A"/>
        </w:rPr>
        <w:fldChar w:fldCharType="separate"/>
      </w:r>
      <w:r w:rsidR="00D27101" w:rsidRPr="00D27101">
        <w:rPr>
          <w:noProof/>
          <w:color w:val="0E101A"/>
          <w:vertAlign w:val="superscript"/>
        </w:rPr>
        <w:t>27</w:t>
      </w:r>
      <w:r w:rsidR="00D27101">
        <w:rPr>
          <w:rStyle w:val="DipnotBavurusu"/>
          <w:color w:val="0E101A"/>
        </w:rPr>
        <w:fldChar w:fldCharType="end"/>
      </w:r>
      <w:r w:rsidRPr="00CD004E">
        <w:rPr>
          <w:color w:val="0E101A"/>
        </w:rPr>
        <w:t xml:space="preserve">. Hambrock et al. found that ADC values </w:t>
      </w:r>
      <w:r w:rsidRPr="00CD004E">
        <w:rPr>
          <w:color w:val="0E101A"/>
        </w:rPr>
        <w:lastRenderedPageBreak/>
        <w:t>can perfectly differentiate low- vs. intermediate vs. high-grade PCa from each other</w:t>
      </w:r>
      <w:r w:rsidR="00D27101">
        <w:rPr>
          <w:rStyle w:val="DipnotBavurusu"/>
          <w:color w:val="0E101A"/>
        </w:rPr>
        <w:fldChar w:fldCharType="begin" w:fldLock="1"/>
      </w:r>
      <w:r w:rsidR="00D27101">
        <w:rPr>
          <w:color w:val="0E101A"/>
        </w:rPr>
        <w:instrText>ADDIN CSL_CITATION {"citationItems":[{"id":"ITEM-1","itemData":{"DOI":"10.1148/radiol.11091409","ISSN":"00338419","abstract":"Purpose: To retrospectively determine the relationship between apparent diffusion coefficients (ADCs) obtained with 3.0-T diffusion-weighted (DW) magnetic resonance (MR) imaging and Gleason grades in peripheral zone prostate cancer.Materials and Methods: The requirement to obtain institutional review board approval was waived. Fifty-one patients with prostate cancer underwent MR imaging before prostatectomy, including DW MR imaging with b values of 0, 50, 500, and 800 sec/mm2. In prostatectomy specimens, separate slice-by-slice determinations of Gleason grade groups were performed according to primary, secondary, and tertiary Gleason grades. In addition, tumors were classified into qualitative grade groups (low-, intermediate-, or high-grade tumors). ADC maps were aligned to step-sections and regions of interest annotated for each tumor slice. The median ADC of tumors was related to qualitative grade groups with linear mixed-model regression analysis. The accuracy of the median ADC in the most aggressive tumor component in the differentiation of low- from combined intermediate- and high-grade tumors was summarized by using the area under the receiver operating characteristic (ROC) curve (Az).Results: In 51 prostatectomy specimens, 62 different tumors and 251 step-section tumor lesions were identified. The median ADC in the tumors showed a negative relationship with Gleason grade group, and differences among the three qualitative grade groups were statistically significant (P &lt; .001). Overall, with an increase of one qualitative grade group, the median ADC (Âstandard deviation) decreased 0.18 Ã 10âˆ3 mm2/sec Â 0.02. Low-, intermediate-, and high-grade tumors had a median ADC of 1.30 Ã 10âˆ3 mm2/sec Â 0.30, 1.07 Ã 10âˆ3 mm2/sec Â 0.30, and 0.94 Ã 10âˆ3 mm2/sec Â 0.30, respectively. ROC analysis showed a discriminatory performance of Az = 0.90 in discerning low-grade from combined intermediate- and high-grade lesions.Conclusion: ADCs at 3.0 T showed an inverse relationship to Gleason grades in peripheral zone prostate cancer. A high discriminatory performance was achieved in the differentiation of low-, intermediate-, and high-grade cancer.Â RSNA, 2011","author":[{"dropping-particle":"","family":"Hambrock","given":"Thomas","non-dropping-particle":"","parse-names":false,"suffix":""},{"dropping-particle":"","family":"Somford","given":"Diederik M.","non-dropping-particle":"","parse-names":false,"suffix":""},{"dropping-particle":"","family":"Huisman","given":"Henkjan J.","non-dropping-particle":"","parse-names":false,"suffix":""},{"dropping-particle":"","family":"Oort","given":"Inge M.","non-dropping-particle":"Van","parse-names":false,"suffix":""},{"dropping-particle":"","family":"Witjes","given":"J. Alfred","non-dropping-particle":"","parse-names":false,"suffix":""},{"dropping-particle":"","family":"Hulsbergen-Van De Kaa","given":"Christina A.","non-dropping-particle":"","parse-names":false,"suffix":""},{"dropping-particle":"","family":"Scheenen","given":"Thomas","non-dropping-particle":"","parse-names":false,"suffix":""},{"dropping-particle":"","family":"Barentsz","given":"Jelle O.","non-dropping-particle":"","parse-names":false,"suffix":""}],"container-title":"Radiology","id":"ITEM-1","issued":{"date-parts":[["2011"]]},"title":"Relationship between apparent diffusion coefficients at 3.0-T mr imaging and gleason grade in peripheral zone prostate cancer","type":"article-journal"},"uris":["http://www.mendeley.com/documents/?uuid=8d3a7d3e-dbec-4344-a91f-782c82726999"]}],"mendeley":{"formattedCitation":"&lt;sup&gt;28&lt;/sup&gt;","plainTextFormattedCitation":"28","previouslyFormattedCitation":"Thomas Hambrock and others, ‘Relationship between Apparent Diffusion Coefficients at 3.0-T Mr Imaging and Gleason Grade in Peripheral Zone Prostate Cancer’, &lt;i&gt;Radiology&lt;/i&gt;, 2011 &lt;https://doi.org/10.1148/radiol.11091409&gt;."},"properties":{"noteIndex":0},"schema":"https://github.com/citation-style-language/schema/raw/master/csl-citation.json"}</w:instrText>
      </w:r>
      <w:r w:rsidR="00D27101">
        <w:rPr>
          <w:rStyle w:val="DipnotBavurusu"/>
          <w:color w:val="0E101A"/>
        </w:rPr>
        <w:fldChar w:fldCharType="separate"/>
      </w:r>
      <w:r w:rsidR="00D27101" w:rsidRPr="00D27101">
        <w:rPr>
          <w:bCs/>
          <w:noProof/>
          <w:color w:val="0E101A"/>
          <w:vertAlign w:val="superscript"/>
        </w:rPr>
        <w:t>28</w:t>
      </w:r>
      <w:r w:rsidR="00D27101">
        <w:rPr>
          <w:rStyle w:val="DipnotBavurusu"/>
          <w:color w:val="0E101A"/>
        </w:rPr>
        <w:fldChar w:fldCharType="end"/>
      </w:r>
      <w:r w:rsidRPr="00CD004E">
        <w:rPr>
          <w:color w:val="0E101A"/>
        </w:rPr>
        <w:t>. In another study, ADC values reduce the false-negative rate of MpMRI [PI-RADS&lt;3] for clinically significant PCa</w:t>
      </w:r>
      <w:r w:rsidR="00D27101">
        <w:rPr>
          <w:rStyle w:val="DipnotBavurusu"/>
          <w:color w:val="0E101A"/>
        </w:rPr>
        <w:fldChar w:fldCharType="begin" w:fldLock="1"/>
      </w:r>
      <w:r w:rsidR="00D27101">
        <w:rPr>
          <w:color w:val="0E101A"/>
        </w:rPr>
        <w:instrText>ADDIN CSL_CITATION {"citationItems":[{"id":"ITEM-1","itemData":{"DOI":"10.21873/invivo.11075","ISSN":"17917549","PMID":"28438871","abstract":"Aim: To evaluate the accuracy of multiparametric magnetic resonance imaging apparent diffusion coefficient (mpMRI ADC) in the diagnosis of clinically significant prostate cancer (PCa). Patients and Methods: From January 2016 to December 2016, 44 patients who underwent radical prostatectomy for PCa and mpMRI lesions suggestive of cancer were retrospectively evaluated at definitive specimen. The accuracy of suspicious mpMRI prostate imaging reporting and data system (PI-RADS ≥3) vs. ADC values in the diagnosis of Gleason score ≥7 was evaluated. Results: Receiver operating characteristics (ROC) curve analysis gave back an ADC threshold of 0.747×10-3 mm2/s to separate between Gleason Score 6 and ≥7. The diagnostic accuracy of ADC value (cut-off 0.747×10-3 mm2/s) vs. PI-RADS score ≥3 in diagnosing PCa with Gleason score ≥7 was equal to 84% vs. 63.6% with an area under the curve (AUC) ROC of 0.81 vs. 0.71, respectively. Conclusion: ADC evaluation could support clinicians in decision making of patients with PIRADS score &lt;3 at risk for PCa.","author":[{"dropping-particle":"","family":"Pepe","given":"Pietro","non-dropping-particle":"","parse-names":false,"suffix":""},{"dropping-particle":"","family":"D'urso","given":"Davide","non-dropping-particle":"","parse-names":false,"suffix":""},{"dropping-particle":"","family":"Garufi","given":"Antonio","non-dropping-particle":"","parse-names":false,"suffix":""},{"dropping-particle":"","family":"Priolo","given":"Giandomenico","non-dropping-particle":"","parse-names":false,"suffix":""},{"dropping-particle":"","family":"Pennisi","given":"Michele","non-dropping-particle":"","parse-names":false,"suffix":""},{"dropping-particle":"","family":"Russo","given":"Giorgio","non-dropping-particle":"","parse-names":false,"suffix":""},{"dropping-particle":"","family":"Sabini","given":"Maria Gabriella","non-dropping-particle":"","parse-names":false,"suffix":""},{"dropping-particle":"","family":"Valastro","given":"Lucia Maria","non-dropping-particle":"","parse-names":false,"suffix":""},{"dropping-particle":"","family":"Galia","given":"Antonio","non-dropping-particle":"","parse-names":false,"suffix":""},{"dropping-particle":"","family":"Fraggetta","given":"Filippo","non-dropping-particle":"","parse-names":false,"suffix":""}],"container-title":"In Vivo","id":"ITEM-1","issued":{"date-parts":[["2017"]]},"title":"Multiparametric MRI Apparent Diffusion Coefficient (ADC) accuracy in diagnosing clinically significant prostate cancer","type":"article-journal"},"uris":["http://www.mendeley.com/documents/?uuid=7ebdc359-8748-4ff5-b919-51131606e5df"]}],"mendeley":{"formattedCitation":"&lt;sup&gt;29&lt;/sup&gt;","plainTextFormattedCitation":"29","previouslyFormattedCitation":"Pietro Pepe and others, ‘Multiparametric MRI Apparent Diffusion Coefficient (ADC) Accuracy in Diagnosing Clinically Significant Prostate Cancer’, &lt;i&gt;In Vivo&lt;/i&gt;, 2017 &lt;https://doi.org/10.21873/invivo.11075&gt;."},"properties":{"noteIndex":0},"schema":"https://github.com/citation-style-language/schema/raw/master/csl-citation.json"}</w:instrText>
      </w:r>
      <w:r w:rsidR="00D27101">
        <w:rPr>
          <w:rStyle w:val="DipnotBavurusu"/>
          <w:color w:val="0E101A"/>
        </w:rPr>
        <w:fldChar w:fldCharType="separate"/>
      </w:r>
      <w:r w:rsidR="00D27101" w:rsidRPr="00D27101">
        <w:rPr>
          <w:noProof/>
          <w:color w:val="0E101A"/>
          <w:vertAlign w:val="superscript"/>
        </w:rPr>
        <w:t>29</w:t>
      </w:r>
      <w:r w:rsidR="00D27101">
        <w:rPr>
          <w:rStyle w:val="DipnotBavurusu"/>
          <w:color w:val="0E101A"/>
        </w:rPr>
        <w:fldChar w:fldCharType="end"/>
      </w:r>
      <w:r w:rsidRPr="00CD004E">
        <w:rPr>
          <w:color w:val="0E101A"/>
        </w:rPr>
        <w:t xml:space="preserve">. In a meta-analysis in which Shaish et al evaluated the studies about ADC values recently published in the literature; 13 studies were included, providing 1107 tumor foci in 705 patients. They reported that ADC values demonstrate moderate accuracy in distinguishing clinically significant PCa from insignificant. They reported that significant bias may occur in these studies, therefore the performance of ADC values in distinguishing high-grade cancers from low-grade cancers may have been exaggerated, and that there was substantial heterogeneity in the results </w:t>
      </w:r>
      <w:r w:rsidR="00D27101">
        <w:rPr>
          <w:rStyle w:val="DipnotBavurusu"/>
          <w:color w:val="0E101A"/>
        </w:rPr>
        <w:fldChar w:fldCharType="begin" w:fldLock="1"/>
      </w:r>
      <w:r w:rsidR="00D27101">
        <w:rPr>
          <w:color w:val="0E101A"/>
        </w:rPr>
        <w:instrText>ADDIN CSL_CITATION {"citationItems":[{"id":"ITEM-1","itemData":{"DOI":"10.1007/s00261-016-0848-y","ISSN":"23660058","PMID":"27562768","abstract":"Purpose: The purpose of the study is to perform a meta-analysis of studies investigating the diagnostic performance of apparent diffusion coefficient (ADC) values in separating high-risk from low-risk prostate cancer (PCa). Methods: MEDLINE and EMBASE databases were searched in December 2015 for studies reporting diagnostic performance of ADC values for discriminating high-risk from low-risk PCa and providing sufficient data to construct 2 × 2 contingency tables. Diagnostic performance was quantitatively pooled using a bivariate random-effects model including subgroup analysis and assessment of study heterogeneity and methodological quality. Results: 13 studies were included, providing 1107 tumor foci in 705 patients. Heterogeneity among studies was moderate (τ2 = 0.222). Overall sensitivity was 76.9% (95% CI 68.6–83.6%); overall specificity was 77.0% (95% CI 69.9–82.8%); and summary AUC was 0.67. Inverse correlation between sensitivity and specificity (ρ = −0.58) indicated interstudy heterogeneity was partly due to variation in threshold for test positivity. Primary biases were readers’ knowledge of Gleason score during ADC measurement, lack of prespecified ADC thresholds, and lack of prostatectomy as reference in some studies. Higher sensitivity was seen in studies published within the past 2 years and studies not using b value of at least 2000; higher specificity was associated with involvement of one, rather than two, readers measuring ADC. Field strength, coil selection, and advanced diffusion metrics did not significantly impact diagnostic performance. Conclusion: ADC values show moderate accuracy in separating high-risk from low-risk PCa, although important biases may overestimate performance and unexplained sources of heterogeneity likely exist. Further studies using a standardized methodology and addressing identified weaknesses may help guide the use of ADC values for clinical decision-making.","author":[{"dropping-particle":"","family":"Shaish","given":"Hiram","non-dropping-particle":"","parse-names":false,"suffix":""},{"dropping-particle":"","family":"Kang","given":"Stella K.","non-dropping-particle":"","parse-names":false,"suffix":""},{"dropping-particle":"","family":"Rosenkrantz","given":"Andrew B.","non-dropping-particle":"","parse-names":false,"suffix":""}],"container-title":"Abdominal Radiology","id":"ITEM-1","issued":{"date-parts":[["2017"]]},"title":"The utility of quantitative ADC values for differentiating high-risk from low-risk prostate cancer: a systematic review and meta-analysis","type":"article-journal"},"uris":["http://www.mendeley.com/documents/?uuid=e24de3f2-8da5-403e-a3b5-f998b4aa5186"]}],"mendeley":{"formattedCitation":"&lt;sup&gt;30&lt;/sup&gt;","plainTextFormattedCitation":"30","previouslyFormattedCitation":"Hiram Shaish, Stella K. Kang, and Andrew B. Rosenkrantz, ‘The Utility of Quantitative ADC Values for Differentiating High-Risk from Low-Risk Prostate Cancer: A Systematic Review and Meta-Analysis’, &lt;i&gt;Abdominal Radiology&lt;/i&gt;, 2017 &lt;https://doi.org/10.1007/s00261-016-0848-y&gt;."},"properties":{"noteIndex":0},"schema":"https://github.com/citation-style-language/schema/raw/master/csl-citation.json"}</w:instrText>
      </w:r>
      <w:r w:rsidR="00D27101">
        <w:rPr>
          <w:rStyle w:val="DipnotBavurusu"/>
          <w:color w:val="0E101A"/>
        </w:rPr>
        <w:fldChar w:fldCharType="separate"/>
      </w:r>
      <w:r w:rsidR="00D27101" w:rsidRPr="00D27101">
        <w:rPr>
          <w:noProof/>
          <w:color w:val="0E101A"/>
          <w:vertAlign w:val="superscript"/>
        </w:rPr>
        <w:t>30</w:t>
      </w:r>
      <w:r w:rsidR="00D27101">
        <w:rPr>
          <w:rStyle w:val="DipnotBavurusu"/>
          <w:color w:val="0E101A"/>
        </w:rPr>
        <w:fldChar w:fldCharType="end"/>
      </w:r>
      <w:r w:rsidRPr="00CD004E">
        <w:rPr>
          <w:color w:val="0E101A"/>
        </w:rPr>
        <w:t>. In fact, the results of our study also supported this broad meta-analysis. In paired comparisons, it was determined that ISUP</w:t>
      </w:r>
      <w:r w:rsidR="006D4C67" w:rsidRPr="00CD004E">
        <w:rPr>
          <w:color w:val="0E101A"/>
        </w:rPr>
        <w:t>-</w:t>
      </w:r>
      <w:r w:rsidRPr="00CD004E">
        <w:rPr>
          <w:color w:val="0E101A"/>
        </w:rPr>
        <w:t>1 group was significantly higher than each of the other groups. Mean ADC values did not show a statistically significant difference between Group 2,3,4,5. Our study shows that ADC values are successful in distinguishing cancers with an ISUP</w:t>
      </w:r>
      <w:r w:rsidR="00ED20A2" w:rsidRPr="00CD004E">
        <w:rPr>
          <w:color w:val="0E101A"/>
        </w:rPr>
        <w:t>-</w:t>
      </w:r>
      <w:r w:rsidRPr="00CD004E">
        <w:rPr>
          <w:color w:val="0E101A"/>
        </w:rPr>
        <w:t xml:space="preserve">1, which are defined as silent diseases, from cancers with a clinically </w:t>
      </w:r>
      <w:proofErr w:type="gramStart"/>
      <w:r w:rsidRPr="00CD004E">
        <w:rPr>
          <w:color w:val="0E101A"/>
        </w:rPr>
        <w:t>important[</w:t>
      </w:r>
      <w:proofErr w:type="gramEnd"/>
      <w:r w:rsidRPr="00CD004E">
        <w:rPr>
          <w:color w:val="0E101A"/>
        </w:rPr>
        <w:t xml:space="preserve">ISUP≥2]. Thus, in elderly patients where radical prostatectomy will not change the 5-year survival rate, with a simple measurement of ADC value, we can predict clinically </w:t>
      </w:r>
      <w:proofErr w:type="gramStart"/>
      <w:r w:rsidRPr="00CD004E">
        <w:rPr>
          <w:color w:val="0E101A"/>
        </w:rPr>
        <w:t>insignificant[</w:t>
      </w:r>
      <w:proofErr w:type="gramEnd"/>
      <w:r w:rsidRPr="00CD004E">
        <w:rPr>
          <w:color w:val="0E101A"/>
        </w:rPr>
        <w:t>ISUP</w:t>
      </w:r>
      <w:r w:rsidR="00E0022E" w:rsidRPr="00CD004E">
        <w:rPr>
          <w:color w:val="0E101A"/>
        </w:rPr>
        <w:t>-</w:t>
      </w:r>
      <w:r w:rsidRPr="00CD004E">
        <w:rPr>
          <w:color w:val="0E101A"/>
        </w:rPr>
        <w:t>1] PCa before surgery. And we can protect these patients’ groups from the possible morbidity of radical prostatectomy, such as incontinence, by choosing a more conservative treatment plan.</w:t>
      </w:r>
    </w:p>
    <w:p w14:paraId="7628D130" w14:textId="5B20676D" w:rsidR="00CC2ABC" w:rsidRPr="00CD004E" w:rsidRDefault="00CC2ABC" w:rsidP="00CD004E">
      <w:pPr>
        <w:pStyle w:val="NormalWeb"/>
        <w:spacing w:before="0" w:beforeAutospacing="0" w:after="0" w:afterAutospacing="0" w:line="480" w:lineRule="auto"/>
        <w:ind w:firstLine="708"/>
        <w:jc w:val="both"/>
        <w:rPr>
          <w:color w:val="0E101A"/>
        </w:rPr>
      </w:pPr>
      <w:r w:rsidRPr="00CD004E">
        <w:rPr>
          <w:color w:val="0E101A"/>
        </w:rPr>
        <w:t>The effectiveness of ADC values in differentiating PCa from benign processes is a known fact. In our study, when PCa and non-cancerous lesions were compared, it was seen that ADC values were significantly different. DWI and ADC mapping demonstrated the tissue cellularity of prostate parenchyma are basic sequences that can provide important information. Threshold values are enabling us to distinguish between prostatitis and benign lesions, and those values can be obtained with ADC mapping since it reflects the internal architecture and localization of the pathological process within the prostate</w:t>
      </w:r>
      <w:r w:rsidR="00D27101">
        <w:rPr>
          <w:rStyle w:val="DipnotBavurusu"/>
          <w:color w:val="0E101A"/>
        </w:rPr>
        <w:fldChar w:fldCharType="begin" w:fldLock="1"/>
      </w:r>
      <w:r w:rsidR="00D27101">
        <w:rPr>
          <w:color w:val="0E101A"/>
        </w:rPr>
        <w:instrText>ADDIN CSL_CITATION {"citationItems":[{"id":"ITEM-1","itemData":{"DOI":"10.1259/bjr.20190181","ISSN":"1748880X","PMID":"31184934","abstract":"Objective: The objectives of the study were to analyze the apparent difusion coefcient (ADC), trans, kep metrics in dynamic contrast-enhanced multiparametric MRI (DCE-mpMRI) in biopsy proven cases of prostate cancer (PCa) and prostatitis and to establish \"cut-of\" values for various pharmacokinetic parameters that may distinguish PCa from chronic prostatitis. methods: A retrospective review of all cases of PCa and chronic prostatitis patients, who underwent DCE-mpMRI in our institute was done from July 2017 to January 2019. Mean ADC, ktrans , kep for lesion \"L\" (ADCL, ktrans L , kepL) and normal prostate tissue \"N\" (ADCN, ktrans N , kepN ,) were calculated for each region of interest. Diferent ratios ADC ratio (defned as ADCL/ ADCN), ktrans ratio (ktrans L/ ktrans N), kepratio (kepL/kepN) were calculated to diferentiate PCa from chronic prostatitis. results: Total of biopsy proven 14 cases of PCa and 18 cases of chronic prostatitis were included in the study. For ktrans ratio, the optimal cut-of was at 1.49 units where sensitivity was 85.7%, specifcity was 61.1 % and Youden's index was 0.468 %. Similarly, optimal cut-ofs determined for kep lesion was 0.86 (sensitivity 85.7%, specifcity 66.7%, J = 0.524) and for kep ratio was 1.34 units (sensitivity 78.6%, specifcity 66.7%, J = 0.543). Conclusion: DCE-mpMRI metrics could diferentiate between PCa and chronic prostatitis with good speci-fcity and sensitivity, while ProstateImaging Reporting and Data System v. 2 alone, did not diferentiate between these patterns. advances in knowledge: ktrans ratio, kep lesion and kep ratio can diferentiate PCa from chronic prostatitis.","author":[{"dropping-particle":"","family":"Sureka","given":"Binit","non-dropping-particle":"","parse-names":false,"suffix":""},{"dropping-particle":"","family":"Elhence","given":"Poonam","non-dropping-particle":"","parse-names":false,"suffix":""},{"dropping-particle":"","family":"Khera","given":"Pushpinder Singh","non-dropping-particle":"","parse-names":false,"suffix":""},{"dropping-particle":"","family":"Choudhary","given":"Gautam Ram","non-dropping-particle":"","parse-names":false,"suffix":""},{"dropping-particle":"","family":"Pandey","given":"Himanshu","non-dropping-particle":"","parse-names":false,"suffix":""},{"dropping-particle":"","family":"Garg","given":"Pawan Kumar","non-dropping-particle":"","parse-names":false,"suffix":""},{"dropping-particle":"","family":"Yadav","given":"Kuldeep","non-dropping-particle":"","parse-names":false,"suffix":""},{"dropping-particle":"","family":"Goel","given":"Akhil","non-dropping-particle":"","parse-names":false,"suffix":""}],"container-title":"British Journal of Radiology","id":"ITEM-1","issue":"1100","issued":{"date-parts":[["2019"]]},"title":"Quantitative contrast-enhanced perfusion kinetics in multiparametric mri in diferentiating prostate cancer from chronic prostatitis: Results from a pilot study","type":"article-journal","volume":"92"},"uris":["http://www.mendeley.com/documents/?uuid=4619aec2-fb9b-4a74-bb25-598c0243b109"]}],"mendeley":{"formattedCitation":"&lt;sup&gt;31&lt;/sup&gt;","plainTextFormattedCitation":"31","previouslyFormattedCitation":"Binit Sureka and others, ‘Quantitative Contrast-Enhanced Perfusion Kinetics in Multiparametric Mri in Diferentiating Prostate Cancer from Chronic Prostatitis: Results from a Pilot Study’, &lt;i&gt;British Journal of Radiology&lt;/i&gt;, 92.1100 (2019) &lt;https://doi.org/10.1259/bjr.20190181&gt;."},"properties":{"noteIndex":0},"schema":"https://github.com/citation-style-language/schema/raw/master/csl-citation.json"}</w:instrText>
      </w:r>
      <w:r w:rsidR="00D27101">
        <w:rPr>
          <w:rStyle w:val="DipnotBavurusu"/>
          <w:color w:val="0E101A"/>
        </w:rPr>
        <w:fldChar w:fldCharType="separate"/>
      </w:r>
      <w:r w:rsidR="00D27101" w:rsidRPr="00D27101">
        <w:rPr>
          <w:bCs/>
          <w:noProof/>
          <w:color w:val="0E101A"/>
          <w:vertAlign w:val="superscript"/>
        </w:rPr>
        <w:t>31</w:t>
      </w:r>
      <w:r w:rsidR="00D27101">
        <w:rPr>
          <w:rStyle w:val="DipnotBavurusu"/>
          <w:color w:val="0E101A"/>
        </w:rPr>
        <w:fldChar w:fldCharType="end"/>
      </w:r>
      <w:r w:rsidRPr="00CD004E">
        <w:rPr>
          <w:color w:val="0E101A"/>
        </w:rPr>
        <w:t xml:space="preserve">. PCa and chronic </w:t>
      </w:r>
      <w:r w:rsidRPr="00CD004E">
        <w:rPr>
          <w:color w:val="0E101A"/>
        </w:rPr>
        <w:lastRenderedPageBreak/>
        <w:t>prostatitis are associated with variable clinical manifestations and clinical presentation may interfere. Unfortunately, there are no specific diagnostic laboratory tests to distinguish them from each other</w:t>
      </w:r>
      <w:r w:rsidR="00D27101">
        <w:rPr>
          <w:rStyle w:val="DipnotBavurusu"/>
          <w:color w:val="0E101A"/>
        </w:rPr>
        <w:fldChar w:fldCharType="begin" w:fldLock="1"/>
      </w:r>
      <w:r w:rsidR="00D27101">
        <w:rPr>
          <w:color w:val="0E101A"/>
        </w:rPr>
        <w:instrText>ADDIN CSL_CITATION {"citationItems":[{"id":"ITEM-1","itemData":{"DOI":"10.1259/bjr.20190181","ISSN":"1748880X","PMID":"31184934","abstract":"Objective: The objectives of the study were to analyze the apparent difusion coefcient (ADC), trans, kep metrics in dynamic contrast-enhanced multiparametric MRI (DCE-mpMRI) in biopsy proven cases of prostate cancer (PCa) and prostatitis and to establish \"cut-of\" values for various pharmacokinetic parameters that may distinguish PCa from chronic prostatitis. methods: A retrospective review of all cases of PCa and chronic prostatitis patients, who underwent DCE-mpMRI in our institute was done from July 2017 to January 2019. Mean ADC, ktrans , kep for lesion \"L\" (ADCL, ktrans L , kepL) and normal prostate tissue \"N\" (ADCN, ktrans N , kepN ,) were calculated for each region of interest. Diferent ratios ADC ratio (defned as ADCL/ ADCN), ktrans ratio (ktrans L/ ktrans N), kepratio (kepL/kepN) were calculated to diferentiate PCa from chronic prostatitis. results: Total of biopsy proven 14 cases of PCa and 18 cases of chronic prostatitis were included in the study. For ktrans ratio, the optimal cut-of was at 1.49 units where sensitivity was 85.7%, specifcity was 61.1 % and Youden's index was 0.468 %. Similarly, optimal cut-ofs determined for kep lesion was 0.86 (sensitivity 85.7%, specifcity 66.7%, J = 0.524) and for kep ratio was 1.34 units (sensitivity 78.6%, specifcity 66.7%, J = 0.543). Conclusion: DCE-mpMRI metrics could diferentiate between PCa and chronic prostatitis with good speci-fcity and sensitivity, while ProstateImaging Reporting and Data System v. 2 alone, did not diferentiate between these patterns. advances in knowledge: ktrans ratio, kep lesion and kep ratio can diferentiate PCa from chronic prostatitis.","author":[{"dropping-particle":"","family":"Sureka","given":"Binit","non-dropping-particle":"","parse-names":false,"suffix":""},{"dropping-particle":"","family":"Elhence","given":"Poonam","non-dropping-particle":"","parse-names":false,"suffix":""},{"dropping-particle":"","family":"Khera","given":"Pushpinder Singh","non-dropping-particle":"","parse-names":false,"suffix":""},{"dropping-particle":"","family":"Choudhary","given":"Gautam Ram","non-dropping-particle":"","parse-names":false,"suffix":""},{"dropping-particle":"","family":"Pandey","given":"Himanshu","non-dropping-particle":"","parse-names":false,"suffix":""},{"dropping-particle":"","family":"Garg","given":"Pawan Kumar","non-dropping-particle":"","parse-names":false,"suffix":""},{"dropping-particle":"","family":"Yadav","given":"Kuldeep","non-dropping-particle":"","parse-names":false,"suffix":""},{"dropping-particle":"","family":"Goel","given":"Akhil","non-dropping-particle":"","parse-names":false,"suffix":""}],"container-title":"British Journal of Radiology","id":"ITEM-1","issue":"1100","issued":{"date-parts":[["2019"]]},"title":"Quantitative contrast-enhanced perfusion kinetics in multiparametric mri in diferentiating prostate cancer from chronic prostatitis: Results from a pilot study","type":"article-journal","volume":"92"},"uris":["http://www.mendeley.com/documents/?uuid=4619aec2-fb9b-4a74-bb25-598c0243b109"]}],"mendeley":{"formattedCitation":"&lt;sup&gt;31&lt;/sup&gt;","plainTextFormattedCitation":"31","previouslyFormattedCitation":"Sureka and others."},"properties":{"noteIndex":0},"schema":"https://github.com/citation-style-language/schema/raw/master/csl-citation.json"}</w:instrText>
      </w:r>
      <w:r w:rsidR="00D27101">
        <w:rPr>
          <w:rStyle w:val="DipnotBavurusu"/>
          <w:color w:val="0E101A"/>
        </w:rPr>
        <w:fldChar w:fldCharType="separate"/>
      </w:r>
      <w:r w:rsidR="00D27101" w:rsidRPr="00D27101">
        <w:rPr>
          <w:noProof/>
          <w:color w:val="0E101A"/>
          <w:vertAlign w:val="superscript"/>
        </w:rPr>
        <w:t>31</w:t>
      </w:r>
      <w:r w:rsidR="00D27101">
        <w:rPr>
          <w:rStyle w:val="DipnotBavurusu"/>
          <w:color w:val="0E101A"/>
        </w:rPr>
        <w:fldChar w:fldCharType="end"/>
      </w:r>
      <w:r w:rsidRPr="00CD004E">
        <w:rPr>
          <w:color w:val="0E101A"/>
        </w:rPr>
        <w:t>. In another study, the accuracy of MR imaging was observed in the differentiation of PCa from other prostatic disorders, such as benign prostatic hyperplasia, acute bacterial prostatitis, and chronic bacterial prostatitis. The sensitivity to differentiate PCa from benign disorders was high, but they found that the accuracy of detecting bacterial prostatitis was low compared to other prostatitis groups</w:t>
      </w:r>
      <w:r w:rsidR="00D27101">
        <w:rPr>
          <w:rStyle w:val="DipnotBavurusu"/>
          <w:color w:val="0E101A"/>
        </w:rPr>
        <w:fldChar w:fldCharType="begin" w:fldLock="1"/>
      </w:r>
      <w:r w:rsidR="00D27101">
        <w:rPr>
          <w:color w:val="0E101A"/>
        </w:rPr>
        <w:instrText>ADDIN CSL_CITATION {"citationItems":[{"id":"ITEM-1","itemData":{"DOI":"10.1148/radiol.2313031391","ISSN":"00338419","PMID":"15163811","abstract":"PURPOSE: To determine whether chronic prostatitis affects three-dimensional proton magnetic resonance (MR) spectroscopic imaging in evaluation of disease in the peripheral zone. MATERIALS AND METHODS: Combined MR imaging and three-dimensional MR spectroscopic imaging data were examined retrospectively in 12 patients with radical prostatectomy specimens that contained regions of chronic prostatitis larger than 6 mm in the peripheral zone. The 6-mm restriction was based on MR spectroscopic imaging spatial resolution of 6.25 mm. Transverse T2-weighted MR images were reviewed for changes in signal intensity (SI): normal, suspicious for cancer (nodular focal low SI), or indeterminate (focal low SI that was not nodular or contour deforming or diffuse low SI). At MR spectroscopic imaging, proton spectra were considered suspicious for cancer if the ratio of choline plus creatine to citrate was more than 2 SDs above normal mean peripheral zone values. RESULTS: In the 12 patients, mean pretreatment prostate-specific antigen level was 5.77 ± 2.07 (SD), and median biopsy Gleason score for the gland was 6. At MR imaging in the area of histopathologically confirmed chronic prostatitis, seven of 12 patients had focal low SI that was not nodular (contour deforming) over a region in and around the pathologically defined focus of chronic prostatitis. MR imaging in one patient showed diffuse low SI that correlated with a diffuse area of chronic prostatitis at pathologic examination. MR imaging in another patient showed nodular focal low SI that was suspicious for cancer and corresponded to a focus of chronic prostatitis at pathologic examination. The remaining three patients had no MR imaging abnormality in the region of chronic prostatitis. In the pathologically identified regions of chronic prostatitis, MR spectroscopic imaging data in nine of 12 patients demonstrated elevated choline peak and reduced or no citrate, findings that mimic those of cancer. In two patients, the spectra were normal, and in the remaining patient, the spectra were nondiagnostic. CONCLUSION: At MR spectroscopic imaging, pathologically confirmed chronic prostatitis may demonstrate metabolic abnormality that leads to false-positive diagnosis of cancer. The most common MR imaging finding in chronic prostatitis was focal low SI that was not specific for cancer. In one patient, the MR imaging diagnosis of cancer could not be excluded. © RSNA, 2004.","author":[{"dropping-particle":"","family":"Shukla-Dave","given":"Amita","non-dropping-particle":"","parse-names":false,"suffix":""},{"dropping-particle":"","family":"Hricak","given":"Hedvig","non-dropping-particle":"","parse-names":false,"suffix":""},{"dropping-particle":"","family":"Eberhardt","given":"Steven C.","non-dropping-particle":"","parse-names":false,"suffix":""},{"dropping-particle":"","family":"Olgac","given":"Semra","non-dropping-particle":"","parse-names":false,"suffix":""},{"dropping-particle":"","family":"Muruganandham","given":"Manickam","non-dropping-particle":"","parse-names":false,"suffix":""},{"dropping-particle":"","family":"Scardino","given":"Peter T.","non-dropping-particle":"","parse-names":false,"suffix":""},{"dropping-particle":"","family":"Reuter","given":"Victor E.","non-dropping-particle":"","parse-names":false,"suffix":""},{"dropping-particle":"","family":"Koutcher","given":"Jason A.","non-dropping-particle":"","parse-names":false,"suffix":""},{"dropping-particle":"","family":"Zakian","given":"Kristen L.","non-dropping-particle":"","parse-names":false,"suffix":""}],"container-title":"Radiology","id":"ITEM-1","issued":{"date-parts":[["2004"]]},"title":"Chronic prostatitis: MR imaging and 1H MR spectroscopic imaging findings - Initial observations","type":"article-journal"},"uris":["http://www.mendeley.com/documents/?uuid=db9ebfae-3242-4f7d-85e0-9ae05f954fc8"]}],"mendeley":{"formattedCitation":"&lt;sup&gt;32&lt;/sup&gt;","plainTextFormattedCitation":"32","previouslyFormattedCitation":"Amita Shukla-Dave and others, ‘Chronic Prostatitis: MR Imaging and 1H MR Spectroscopic Imaging Findings - Initial Observations’, &lt;i&gt;Radiology&lt;/i&gt;, 2004 &lt;https://doi.org/10.1148/radiol.2313031391&gt;."},"properties":{"noteIndex":0},"schema":"https://github.com/citation-style-language/schema/raw/master/csl-citation.json"}</w:instrText>
      </w:r>
      <w:r w:rsidR="00D27101">
        <w:rPr>
          <w:rStyle w:val="DipnotBavurusu"/>
          <w:color w:val="0E101A"/>
        </w:rPr>
        <w:fldChar w:fldCharType="separate"/>
      </w:r>
      <w:r w:rsidR="00D27101" w:rsidRPr="00D27101">
        <w:rPr>
          <w:bCs/>
          <w:noProof/>
          <w:color w:val="0E101A"/>
          <w:vertAlign w:val="superscript"/>
        </w:rPr>
        <w:t>32</w:t>
      </w:r>
      <w:r w:rsidR="00D27101">
        <w:rPr>
          <w:rStyle w:val="DipnotBavurusu"/>
          <w:color w:val="0E101A"/>
        </w:rPr>
        <w:fldChar w:fldCharType="end"/>
      </w:r>
      <w:r w:rsidRPr="00CD004E">
        <w:rPr>
          <w:color w:val="0E101A"/>
        </w:rPr>
        <w:t>. Prostatitis has two forms known as acute and chronic prostatitis. Low signal intensity on T2-weighted images and early enhancement on dynamic MRI is both seen in PCa and prostatitis. Esen et al. reported that ADC values are highly effective in differentiating PCa from prostatitis, but there was no significant difference between normal prostate parenchyma and prostatitis</w:t>
      </w:r>
      <w:r w:rsidR="00D27101">
        <w:rPr>
          <w:rStyle w:val="DipnotBavurusu"/>
          <w:color w:val="0E101A"/>
        </w:rPr>
        <w:fldChar w:fldCharType="begin" w:fldLock="1"/>
      </w:r>
      <w:r w:rsidR="00D27101">
        <w:rPr>
          <w:color w:val="0E101A"/>
        </w:rPr>
        <w:instrText>ADDIN CSL_CITATION {"citationItems":[{"id":"ITEM-1","itemData":{"DOI":"10.3978/j.issn.2223-4292.2013.08.06","ISSN":"2223-4292","abstract":"To determine the utility of apparent diffusion coefficient (ADC) values in differentiation of prostate cancer from normal prostate parenchyma and prostatitis we obtained ADC values of 50 patients at b 100, 600 and 1,000 s/mm(2) diffusion gradients. The ADC values of prostate cancer group were significantly lower than normal prostate and prostatitis group at b 600 and 1,000 s/mm(2) gradients. The ADC values at high diffusion gradients may be used in differentiation prostate cancer from normal prostate and prostatitis.","author":[{"dropping-particle":"","family":"Esen","given":"Meltem","non-dropping-particle":"","parse-names":false,"suffix":""},{"dropping-particle":"","family":"Onur","given":"Mehmet Ruhi","non-dropping-particle":"","parse-names":false,"suffix":""},{"dropping-particle":"","family":"Akpolat","given":"Nusret","non-dropping-particle":"","parse-names":false,"suffix":""},{"dropping-particle":"","family":"Orhan","given":"Irfan","non-dropping-particle":"","parse-names":false,"suffix":""},{"dropping-particle":"","family":"Kocakoc","given":"Ercan","non-dropping-particle":"","parse-names":false,"suffix":""}],"container-title":"Quantitative imaging in medicine and surgery","id":"ITEM-1","issued":{"date-parts":[["2013"]]},"title":"Utility of ADC measurement on diffusion-weighted MRI in differentiation of prostate cancer, normal prostate and prostatitis.","type":"article-journal"},"uris":["http://www.mendeley.com/documents/?uuid=2d0531e7-7e62-44b5-891a-781bff862cb8"]}],"mendeley":{"formattedCitation":"&lt;sup&gt;33&lt;/sup&gt;","plainTextFormattedCitation":"33","previouslyFormattedCitation":"Meltem Esen and others, ‘Utility of ADC Measurement on Diffusion-Weighted MRI in Differentiation of Prostate Cancer, Normal Prostate and Prostatitis.’, &lt;i&gt;Quantitative Imaging in Medicine and Surgery&lt;/i&gt;, 2013 &lt;https://doi.org/10.3978/j.issn.2223-4292.2013.08.06&gt;."},"properties":{"noteIndex":0},"schema":"https://github.com/citation-style-language/schema/raw/master/csl-citation.json"}</w:instrText>
      </w:r>
      <w:r w:rsidR="00D27101">
        <w:rPr>
          <w:rStyle w:val="DipnotBavurusu"/>
          <w:color w:val="0E101A"/>
        </w:rPr>
        <w:fldChar w:fldCharType="separate"/>
      </w:r>
      <w:r w:rsidR="00D27101" w:rsidRPr="00D27101">
        <w:rPr>
          <w:noProof/>
          <w:color w:val="0E101A"/>
          <w:vertAlign w:val="superscript"/>
        </w:rPr>
        <w:t>33</w:t>
      </w:r>
      <w:r w:rsidR="00D27101">
        <w:rPr>
          <w:rStyle w:val="DipnotBavurusu"/>
          <w:color w:val="0E101A"/>
        </w:rPr>
        <w:fldChar w:fldCharType="end"/>
      </w:r>
      <w:r w:rsidRPr="00CD004E">
        <w:rPr>
          <w:color w:val="0E101A"/>
        </w:rPr>
        <w:t>. Similarly, in our study, no significant difference was found between benign prostatic tissue and prostatitis group ADC values, but a significant difference was observed between normal prostate tissue and benign prostate disease ADC values as well as between normal prostate tissue and PCa.</w:t>
      </w:r>
    </w:p>
    <w:p w14:paraId="16EE16DA" w14:textId="0D75F234" w:rsidR="00CC2ABC" w:rsidRPr="00CD004E" w:rsidRDefault="00CC2ABC" w:rsidP="00CD004E">
      <w:pPr>
        <w:pStyle w:val="NormalWeb"/>
        <w:spacing w:before="0" w:beforeAutospacing="0" w:after="0" w:afterAutospacing="0" w:line="480" w:lineRule="auto"/>
        <w:ind w:firstLine="708"/>
        <w:jc w:val="both"/>
        <w:rPr>
          <w:color w:val="0E101A"/>
        </w:rPr>
      </w:pPr>
      <w:r w:rsidRPr="00CD004E">
        <w:rPr>
          <w:color w:val="0E101A"/>
        </w:rPr>
        <w:t>Our study had some limitations; first, the reference ADC values did not investigate different b</w:t>
      </w:r>
      <w:r w:rsidR="006F35FF" w:rsidRPr="00CD004E">
        <w:rPr>
          <w:color w:val="0E101A"/>
        </w:rPr>
        <w:t>-</w:t>
      </w:r>
      <w:r w:rsidRPr="00CD004E">
        <w:rPr>
          <w:color w:val="0E101A"/>
        </w:rPr>
        <w:t>values. In our study, only the most preferred b</w:t>
      </w:r>
      <w:r w:rsidR="006F35FF" w:rsidRPr="00CD004E">
        <w:rPr>
          <w:color w:val="0E101A"/>
        </w:rPr>
        <w:t>-</w:t>
      </w:r>
      <w:r w:rsidRPr="00CD004E">
        <w:rPr>
          <w:color w:val="0E101A"/>
        </w:rPr>
        <w:t>values in the routine were used and normal ADC reference values were not compared according to the b</w:t>
      </w:r>
      <w:r w:rsidR="006F35FF" w:rsidRPr="00CD004E">
        <w:rPr>
          <w:color w:val="0E101A"/>
        </w:rPr>
        <w:t>-</w:t>
      </w:r>
      <w:r w:rsidRPr="00CD004E">
        <w:rPr>
          <w:color w:val="0E101A"/>
        </w:rPr>
        <w:t>value used. It is left for further studies to investigate its effect. The significant disadvantages of TRUS-guided cognitive fusion biopsy are that success rates are highly dependent on the operator’s experience and lack of standardization</w:t>
      </w:r>
      <w:r w:rsidR="00D27101">
        <w:rPr>
          <w:rStyle w:val="DipnotBavurusu"/>
          <w:color w:val="0E101A"/>
        </w:rPr>
        <w:fldChar w:fldCharType="begin" w:fldLock="1"/>
      </w:r>
      <w:r w:rsidR="00D27101">
        <w:rPr>
          <w:color w:val="0E101A"/>
        </w:rPr>
        <w:instrText>ADDIN CSL_CITATION {"citationItems":[{"id":"ITEM-1","itemData":{"DOI":"10.1007/s00261-015-0353-8","ISSN":"14320509","abstract":"© 2015, Springer Science+Business Media New York (outside the USA). Prostate cancer is a common malignancy in the United States that results in over 30,000 deaths per year. The current state of prostate cancer diagnosis, based on PSA screening and sextant biopsy, has been criticized for both overdiagnosis of low-grade tumors and underdiagnosis of clinically significant prostate cancers (Gleason score ≥7). Recently, image guidance has been added to perform targeted biopsies of lesions detected on multi-parametric magnetic resonance imaging (mpMRI) scans. These methods have improved the ability to detect clinically significant cancer, while reducing the diagnosis of low-grade tumors. Several approaches have been explored to improve the accuracy of image-guided targeted prostate biopsy, including in-bore MRI-guided, cognitive fusion, and MRI/transrectal ultrasound fusion-guided biopsy. This review will examine recent advances in these image-guided targeted prostate biopsy techniques.","author":[{"dropping-particle":"","family":"Brown","given":"Anna M.","non-dropping-particle":"","parse-names":false,"suffix":""},{"dropping-particle":"","family":"Elbuluk","given":"Osama","non-dropping-particle":"","parse-names":false,"suffix":""},{"dropping-particle":"","family":"Mertan","given":"Francesca","non-dropping-particle":"","parse-names":false,"suffix":""},{"dropping-particle":"","family":"Sankineni","given":"Sandeep","non-dropping-particle":"","parse-names":false,"suffix":""},{"dropping-particle":"","family":"Margolis","given":"Daniel J.","non-dropping-particle":"","parse-names":false,"suffix":""},{"dropping-particle":"","family":"Wood","given":"Bradford J.","non-dropping-particle":"","parse-names":false,"suffix":""},{"dropping-particle":"","family":"Pinto","given":"Peter A.","non-dropping-particle":"","parse-names":false,"suffix":""},{"dropping-particle":"","family":"Choyke","given":"Peter L.","non-dropping-particle":"","parse-names":false,"suffix":""},{"dropping-particle":"","family":"Turkbey","given":"Baris","non-dropping-particle":"","parse-names":false,"suffix":""}],"container-title":"Abdominal Imaging","id":"ITEM-1","issue":"6","issued":{"date-parts":[["2015"]]},"page":"1788-1799","title":"Recent advances in image-guided targeted prostate biopsy","type":"article-journal","volume":"40"},"uris":["http://www.mendeley.com/documents/?uuid=27f10532-54aa-4104-b58a-52d12555afe1"]}],"mendeley":{"formattedCitation":"&lt;sup&gt;14&lt;/sup&gt;","plainTextFormattedCitation":"14","previouslyFormattedCitation":"Brown and others."},"properties":{"noteIndex":0},"schema":"https://github.com/citation-style-language/schema/raw/master/csl-citation.json"}</w:instrText>
      </w:r>
      <w:r w:rsidR="00D27101">
        <w:rPr>
          <w:rStyle w:val="DipnotBavurusu"/>
          <w:color w:val="0E101A"/>
        </w:rPr>
        <w:fldChar w:fldCharType="separate"/>
      </w:r>
      <w:r w:rsidR="00D27101" w:rsidRPr="00D27101">
        <w:rPr>
          <w:noProof/>
          <w:color w:val="0E101A"/>
          <w:vertAlign w:val="superscript"/>
        </w:rPr>
        <w:t>14</w:t>
      </w:r>
      <w:r w:rsidR="00D27101">
        <w:rPr>
          <w:rStyle w:val="DipnotBavurusu"/>
          <w:color w:val="0E101A"/>
        </w:rPr>
        <w:fldChar w:fldCharType="end"/>
      </w:r>
      <w:r w:rsidRPr="00CD004E">
        <w:rPr>
          <w:color w:val="0E101A"/>
        </w:rPr>
        <w:t xml:space="preserve">. In our study, the false-negative rate of TRUS-guided </w:t>
      </w:r>
      <w:r w:rsidR="006D4C67" w:rsidRPr="00CD004E">
        <w:rPr>
          <w:color w:val="000000" w:themeColor="text1"/>
        </w:rPr>
        <w:t>CF-Bx</w:t>
      </w:r>
      <w:r w:rsidRPr="00CD004E">
        <w:rPr>
          <w:color w:val="0E101A"/>
        </w:rPr>
        <w:t>, especially in clinically insignificant tumors, was not taken into consideration. The present study was performed with one type and a 1,5T MRI. Other manufacturers’ devices should be investigated and compared. Also, interobserver variability was not evaluated in our study, we suggest a larger scale of a prospective study to be conducted. </w:t>
      </w:r>
    </w:p>
    <w:p w14:paraId="7CD88972" w14:textId="0E7EC5A7" w:rsidR="0047732E" w:rsidRPr="00CD004E" w:rsidRDefault="00CC2ABC" w:rsidP="00CD004E">
      <w:pPr>
        <w:pStyle w:val="NormalWeb"/>
        <w:spacing w:before="0" w:beforeAutospacing="0" w:after="0" w:afterAutospacing="0" w:line="480" w:lineRule="auto"/>
        <w:ind w:firstLine="708"/>
        <w:jc w:val="both"/>
        <w:rPr>
          <w:color w:val="0E101A"/>
        </w:rPr>
      </w:pPr>
      <w:r w:rsidRPr="00CD004E">
        <w:rPr>
          <w:color w:val="0E101A"/>
        </w:rPr>
        <w:lastRenderedPageBreak/>
        <w:t xml:space="preserve">In conclusion, ADC value is a potent and noninvasive imaging method that can provide useful information about tissue structure in prostate parenchyma. Creating a reference range for pathological ADC values accepted by all radiologists in the differentiation of prostate cancer from normal prostate parenchyma and prostatitis is also promising and has become a necessity. ADC values can be used as a complementary imaging method for clinically distinguishing insignificant PCa from significant tumors. Considering the presence of operator-dependent false-negative results in TRUS-guided biopsy and </w:t>
      </w:r>
      <w:r w:rsidR="006D4C67" w:rsidRPr="00CD004E">
        <w:rPr>
          <w:color w:val="000000" w:themeColor="text1"/>
        </w:rPr>
        <w:t>CF-Bx</w:t>
      </w:r>
      <w:r w:rsidRPr="00CD004E">
        <w:rPr>
          <w:color w:val="0E101A"/>
        </w:rPr>
        <w:t>; especially in the elderly patient group, demonstrating clinically insignificant PCa before surgery with accuracy may protect this patient group from possible complications of radical prostatectomy. Also, in distinguishing prostate cancer from normal prostate parenchyma and prostatitis; ADC value shows significant potential, and may it improve the diagnostic accuracy. Similar to our study, the importance of ADC values has been shown in the latest version of PI-RADS and we believe that ADC values should be used in the new version of the PI-RADS to be created.</w:t>
      </w:r>
    </w:p>
    <w:p w14:paraId="460897D6" w14:textId="77777777" w:rsidR="00E31DCA" w:rsidRPr="00CD004E" w:rsidRDefault="00E31DCA" w:rsidP="00CD004E">
      <w:pPr>
        <w:pStyle w:val="NormalWeb"/>
        <w:spacing w:before="0" w:beforeAutospacing="0" w:after="0" w:afterAutospacing="0" w:line="480" w:lineRule="auto"/>
        <w:ind w:firstLine="708"/>
        <w:jc w:val="both"/>
        <w:rPr>
          <w:color w:val="0E101A"/>
        </w:rPr>
      </w:pPr>
    </w:p>
    <w:p w14:paraId="2DE020E5" w14:textId="570D4C9B" w:rsidR="00945959" w:rsidRPr="00CD004E" w:rsidRDefault="00945959" w:rsidP="00F05A5C">
      <w:pPr>
        <w:rPr>
          <w:b/>
          <w:i/>
          <w:iCs/>
        </w:rPr>
      </w:pPr>
      <w:r w:rsidRPr="00CD004E">
        <w:rPr>
          <w:b/>
          <w:bCs/>
          <w:i/>
          <w:iCs/>
        </w:rPr>
        <w:t>Graphic 1. Distribution of ADC values</w:t>
      </w:r>
      <w:r w:rsidR="00566B32" w:rsidRPr="00CD004E">
        <w:rPr>
          <w:b/>
          <w:bCs/>
          <w:i/>
          <w:iCs/>
        </w:rPr>
        <w:t xml:space="preserve"> of </w:t>
      </w:r>
      <w:r w:rsidR="00BD4DC9" w:rsidRPr="00CD004E">
        <w:rPr>
          <w:b/>
          <w:bCs/>
          <w:i/>
          <w:iCs/>
        </w:rPr>
        <w:t>P</w:t>
      </w:r>
      <w:r w:rsidR="00566B32" w:rsidRPr="00CD004E">
        <w:rPr>
          <w:b/>
          <w:bCs/>
          <w:i/>
          <w:iCs/>
        </w:rPr>
        <w:t xml:space="preserve">atholojical </w:t>
      </w:r>
      <w:r w:rsidR="00BD4DC9" w:rsidRPr="00CD004E">
        <w:rPr>
          <w:b/>
          <w:bCs/>
          <w:i/>
          <w:iCs/>
        </w:rPr>
        <w:t>R</w:t>
      </w:r>
      <w:r w:rsidR="00566B32" w:rsidRPr="00CD004E">
        <w:rPr>
          <w:b/>
          <w:bCs/>
          <w:i/>
          <w:iCs/>
        </w:rPr>
        <w:t>esults</w:t>
      </w:r>
      <w:r w:rsidRPr="00CD004E">
        <w:rPr>
          <w:b/>
          <w:bCs/>
          <w:i/>
          <w:iCs/>
        </w:rPr>
        <w:t xml:space="preserve"> in the Peripheral and </w:t>
      </w:r>
      <w:r w:rsidRPr="00CD004E">
        <w:rPr>
          <w:b/>
          <w:i/>
          <w:iCs/>
        </w:rPr>
        <w:t>Transitional Zon</w:t>
      </w:r>
      <w:r w:rsidR="00BD4DC9" w:rsidRPr="00CD004E">
        <w:rPr>
          <w:b/>
          <w:i/>
          <w:iCs/>
        </w:rPr>
        <w:t>e</w:t>
      </w:r>
    </w:p>
    <w:p w14:paraId="7EC4BD36" w14:textId="5C9BC949" w:rsidR="00BD4DC9" w:rsidRPr="00CD004E" w:rsidRDefault="00BD4DC9" w:rsidP="00F05A5C">
      <w:pPr>
        <w:rPr>
          <w:b/>
          <w:i/>
          <w:iCs/>
        </w:rPr>
      </w:pPr>
      <w:r w:rsidRPr="00CD004E">
        <w:rPr>
          <w:noProof/>
          <w:lang w:val="en-US" w:eastAsia="zh-CN"/>
        </w:rPr>
        <w:drawing>
          <wp:inline distT="0" distB="0" distL="0" distR="0" wp14:anchorId="5F85DB58" wp14:editId="4CE2F385">
            <wp:extent cx="5384061" cy="3098800"/>
            <wp:effectExtent l="0" t="0" r="0" b="0"/>
            <wp:docPr id="2" name="Picture 2" descr="C:\Users\burakog\Desktop\ooo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urakog\Desktop\ooo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96085" cy="3105721"/>
                    </a:xfrm>
                    <a:prstGeom prst="rect">
                      <a:avLst/>
                    </a:prstGeom>
                    <a:noFill/>
                    <a:ln>
                      <a:noFill/>
                    </a:ln>
                  </pic:spPr>
                </pic:pic>
              </a:graphicData>
            </a:graphic>
          </wp:inline>
        </w:drawing>
      </w:r>
    </w:p>
    <w:p w14:paraId="20DAF0C6" w14:textId="39A51EAB" w:rsidR="00C0457A" w:rsidRPr="00CD004E" w:rsidRDefault="00945959" w:rsidP="00F05A5C">
      <w:r w:rsidRPr="00CD004E">
        <w:t>The mean ADC value for the normal peripheral zone is 1174.22 ± 178.19 x10</w:t>
      </w:r>
      <w:r w:rsidRPr="00CD004E">
        <w:rPr>
          <w:vertAlign w:val="superscript"/>
        </w:rPr>
        <w:t>-3</w:t>
      </w:r>
      <w:r w:rsidRPr="00CD004E">
        <w:t xml:space="preserve"> (min-max: 739.0-1537.0 x10</w:t>
      </w:r>
      <w:r w:rsidRPr="00CD004E">
        <w:rPr>
          <w:vertAlign w:val="superscript"/>
        </w:rPr>
        <w:t>-3</w:t>
      </w:r>
      <w:r w:rsidRPr="00CD004E">
        <w:t>), the mean ADC value for the normal transitional zone is 920.27 ± 158.27 x10</w:t>
      </w:r>
      <w:r w:rsidRPr="00CD004E">
        <w:rPr>
          <w:vertAlign w:val="superscript"/>
        </w:rPr>
        <w:t>-3</w:t>
      </w:r>
      <w:r w:rsidRPr="00CD004E">
        <w:t xml:space="preserve"> (min-max: 312.4-1521.0 x10</w:t>
      </w:r>
      <w:r w:rsidRPr="00CD004E">
        <w:rPr>
          <w:vertAlign w:val="superscript"/>
        </w:rPr>
        <w:t>-3</w:t>
      </w:r>
      <w:r w:rsidRPr="00CD004E">
        <w:t>).</w:t>
      </w:r>
    </w:p>
    <w:p w14:paraId="28CA2211" w14:textId="6A2DEFA6" w:rsidR="003C0154" w:rsidRPr="00CD004E" w:rsidRDefault="00B15BA9" w:rsidP="00A6188B">
      <w:pPr>
        <w:widowControl w:val="0"/>
        <w:autoSpaceDE w:val="0"/>
        <w:autoSpaceDN w:val="0"/>
        <w:adjustRightInd w:val="0"/>
        <w:rPr>
          <w:b/>
          <w:bCs/>
          <w:i/>
          <w:iCs/>
          <w:lang w:val="en-US"/>
        </w:rPr>
      </w:pPr>
      <w:r w:rsidRPr="00CD004E">
        <w:rPr>
          <w:b/>
          <w:bCs/>
          <w:i/>
          <w:iCs/>
          <w:lang w:val="en-US"/>
        </w:rPr>
        <w:lastRenderedPageBreak/>
        <w:t>Tables:</w:t>
      </w:r>
    </w:p>
    <w:p w14:paraId="27B99DB5" w14:textId="2FA4B349" w:rsidR="00C0457A" w:rsidRPr="00CD004E" w:rsidRDefault="00C0457A" w:rsidP="00F05A5C">
      <w:pPr>
        <w:rPr>
          <w:b/>
          <w:bCs/>
          <w:i/>
          <w:iCs/>
        </w:rPr>
      </w:pPr>
      <w:r w:rsidRPr="00CD004E">
        <w:rPr>
          <w:b/>
          <w:bCs/>
          <w:i/>
          <w:iCs/>
        </w:rPr>
        <w:t>Table 1. Prostate MRI Protocol</w:t>
      </w:r>
    </w:p>
    <w:tbl>
      <w:tblPr>
        <w:tblW w:w="10632" w:type="dxa"/>
        <w:tblInd w:w="-572" w:type="dxa"/>
        <w:tblCellMar>
          <w:left w:w="70" w:type="dxa"/>
          <w:right w:w="70" w:type="dxa"/>
        </w:tblCellMar>
        <w:tblLook w:val="04A0" w:firstRow="1" w:lastRow="0" w:firstColumn="1" w:lastColumn="0" w:noHBand="0" w:noVBand="1"/>
      </w:tblPr>
      <w:tblGrid>
        <w:gridCol w:w="1300"/>
        <w:gridCol w:w="1388"/>
        <w:gridCol w:w="1114"/>
        <w:gridCol w:w="927"/>
        <w:gridCol w:w="1287"/>
        <w:gridCol w:w="1088"/>
        <w:gridCol w:w="580"/>
        <w:gridCol w:w="620"/>
        <w:gridCol w:w="741"/>
        <w:gridCol w:w="860"/>
        <w:gridCol w:w="727"/>
      </w:tblGrid>
      <w:tr w:rsidR="00C0457A" w:rsidRPr="00CD004E" w14:paraId="4283E711" w14:textId="77777777" w:rsidTr="00634B83">
        <w:trPr>
          <w:trHeight w:val="20"/>
        </w:trPr>
        <w:tc>
          <w:tcPr>
            <w:tcW w:w="10632" w:type="dxa"/>
            <w:gridSpan w:val="11"/>
            <w:tcBorders>
              <w:top w:val="single" w:sz="4" w:space="0" w:color="000000"/>
              <w:left w:val="single" w:sz="4" w:space="0" w:color="000000"/>
              <w:bottom w:val="single" w:sz="4" w:space="0" w:color="000000"/>
              <w:right w:val="single" w:sz="4" w:space="0" w:color="000000"/>
            </w:tcBorders>
            <w:shd w:val="clear" w:color="auto" w:fill="auto"/>
          </w:tcPr>
          <w:p w14:paraId="16E3F6E8" w14:textId="77777777" w:rsidR="00C0457A" w:rsidRPr="00CD004E" w:rsidRDefault="00C0457A" w:rsidP="00F05A5C">
            <w:pPr>
              <w:jc w:val="center"/>
              <w:rPr>
                <w:b/>
                <w:bCs/>
                <w:color w:val="000000"/>
              </w:rPr>
            </w:pPr>
            <w:r w:rsidRPr="00CD004E">
              <w:rPr>
                <w:b/>
                <w:bCs/>
                <w:color w:val="000000"/>
              </w:rPr>
              <w:t xml:space="preserve">Prostate MRI </w:t>
            </w:r>
            <w:proofErr w:type="gramStart"/>
            <w:r w:rsidRPr="00CD004E">
              <w:rPr>
                <w:b/>
                <w:bCs/>
                <w:color w:val="000000"/>
              </w:rPr>
              <w:t>Protocol  (</w:t>
            </w:r>
            <w:proofErr w:type="gramEnd"/>
            <w:r w:rsidRPr="00CD004E">
              <w:rPr>
                <w:b/>
                <w:bCs/>
                <w:color w:val="000000"/>
              </w:rPr>
              <w:t>1.5T Siemens Magnetom Aera)</w:t>
            </w:r>
          </w:p>
        </w:tc>
      </w:tr>
      <w:tr w:rsidR="00C0457A" w:rsidRPr="00CD004E" w14:paraId="7E3580EC" w14:textId="77777777" w:rsidTr="00634B83">
        <w:trPr>
          <w:trHeight w:val="20"/>
        </w:trPr>
        <w:tc>
          <w:tcPr>
            <w:tcW w:w="1300" w:type="dxa"/>
            <w:tcBorders>
              <w:left w:val="single" w:sz="4" w:space="0" w:color="000000"/>
              <w:bottom w:val="single" w:sz="4" w:space="0" w:color="000000"/>
              <w:right w:val="single" w:sz="4" w:space="0" w:color="000000"/>
            </w:tcBorders>
            <w:shd w:val="clear" w:color="auto" w:fill="auto"/>
          </w:tcPr>
          <w:p w14:paraId="59444746" w14:textId="77777777" w:rsidR="00C0457A" w:rsidRPr="00CD004E" w:rsidRDefault="00C0457A" w:rsidP="00F05A5C">
            <w:pPr>
              <w:rPr>
                <w:color w:val="000000"/>
                <w:sz w:val="20"/>
                <w:szCs w:val="20"/>
              </w:rPr>
            </w:pPr>
            <w:r w:rsidRPr="00CD004E">
              <w:rPr>
                <w:color w:val="000000"/>
                <w:sz w:val="20"/>
                <w:szCs w:val="20"/>
              </w:rPr>
              <w:t> </w:t>
            </w:r>
          </w:p>
        </w:tc>
        <w:tc>
          <w:tcPr>
            <w:tcW w:w="1388" w:type="dxa"/>
            <w:tcBorders>
              <w:bottom w:val="single" w:sz="4" w:space="0" w:color="000000"/>
              <w:right w:val="single" w:sz="4" w:space="0" w:color="000000"/>
            </w:tcBorders>
            <w:shd w:val="clear" w:color="auto" w:fill="auto"/>
          </w:tcPr>
          <w:p w14:paraId="2B6F28F0" w14:textId="77777777" w:rsidR="00C0457A" w:rsidRPr="00CD004E" w:rsidRDefault="00C0457A" w:rsidP="00F05A5C">
            <w:pPr>
              <w:jc w:val="center"/>
              <w:rPr>
                <w:b/>
                <w:bCs/>
                <w:color w:val="000000"/>
                <w:sz w:val="20"/>
                <w:szCs w:val="20"/>
              </w:rPr>
            </w:pPr>
            <w:r w:rsidRPr="00CD004E">
              <w:rPr>
                <w:b/>
                <w:bCs/>
                <w:color w:val="000000"/>
                <w:sz w:val="20"/>
                <w:szCs w:val="20"/>
              </w:rPr>
              <w:t>Sequence</w:t>
            </w:r>
          </w:p>
        </w:tc>
        <w:tc>
          <w:tcPr>
            <w:tcW w:w="1114" w:type="dxa"/>
            <w:tcBorders>
              <w:bottom w:val="single" w:sz="4" w:space="0" w:color="000000"/>
              <w:right w:val="single" w:sz="4" w:space="0" w:color="000000"/>
            </w:tcBorders>
            <w:shd w:val="clear" w:color="auto" w:fill="auto"/>
          </w:tcPr>
          <w:p w14:paraId="6282573A" w14:textId="77777777" w:rsidR="00C0457A" w:rsidRPr="00CD004E" w:rsidRDefault="00C0457A" w:rsidP="00F05A5C">
            <w:pPr>
              <w:jc w:val="center"/>
              <w:rPr>
                <w:b/>
                <w:bCs/>
                <w:color w:val="000000"/>
                <w:sz w:val="20"/>
                <w:szCs w:val="20"/>
              </w:rPr>
            </w:pPr>
            <w:r w:rsidRPr="00CD004E">
              <w:rPr>
                <w:b/>
                <w:bCs/>
                <w:color w:val="000000"/>
                <w:sz w:val="20"/>
                <w:szCs w:val="20"/>
              </w:rPr>
              <w:t>Slice Thickness (mm)</w:t>
            </w:r>
          </w:p>
        </w:tc>
        <w:tc>
          <w:tcPr>
            <w:tcW w:w="927" w:type="dxa"/>
            <w:tcBorders>
              <w:bottom w:val="single" w:sz="4" w:space="0" w:color="000000"/>
              <w:right w:val="single" w:sz="4" w:space="0" w:color="000000"/>
            </w:tcBorders>
            <w:shd w:val="clear" w:color="auto" w:fill="auto"/>
          </w:tcPr>
          <w:p w14:paraId="3D593652" w14:textId="77777777" w:rsidR="00C0457A" w:rsidRPr="00CD004E" w:rsidRDefault="00C0457A" w:rsidP="00F05A5C">
            <w:pPr>
              <w:jc w:val="center"/>
              <w:rPr>
                <w:b/>
                <w:bCs/>
                <w:color w:val="000000"/>
                <w:sz w:val="20"/>
                <w:szCs w:val="20"/>
              </w:rPr>
            </w:pPr>
            <w:r w:rsidRPr="00CD004E">
              <w:rPr>
                <w:b/>
                <w:bCs/>
                <w:color w:val="000000"/>
                <w:sz w:val="20"/>
                <w:szCs w:val="20"/>
              </w:rPr>
              <w:t>Number of Slice</w:t>
            </w:r>
          </w:p>
        </w:tc>
        <w:tc>
          <w:tcPr>
            <w:tcW w:w="1287" w:type="dxa"/>
            <w:tcBorders>
              <w:bottom w:val="single" w:sz="4" w:space="0" w:color="000000"/>
              <w:right w:val="single" w:sz="4" w:space="0" w:color="000000"/>
            </w:tcBorders>
            <w:shd w:val="clear" w:color="auto" w:fill="auto"/>
          </w:tcPr>
          <w:p w14:paraId="2285B0FF" w14:textId="77777777" w:rsidR="00C0457A" w:rsidRPr="00CD004E" w:rsidRDefault="00C0457A" w:rsidP="00F05A5C">
            <w:pPr>
              <w:jc w:val="center"/>
              <w:rPr>
                <w:b/>
                <w:bCs/>
                <w:color w:val="000000"/>
                <w:sz w:val="20"/>
                <w:szCs w:val="20"/>
              </w:rPr>
            </w:pPr>
            <w:r w:rsidRPr="00CD004E">
              <w:rPr>
                <w:b/>
                <w:bCs/>
                <w:color w:val="000000"/>
                <w:sz w:val="20"/>
                <w:szCs w:val="20"/>
              </w:rPr>
              <w:t>Voxel Dimensions</w:t>
            </w:r>
            <w:r w:rsidRPr="00CD004E">
              <w:rPr>
                <w:b/>
                <w:bCs/>
                <w:color w:val="000000"/>
                <w:sz w:val="20"/>
                <w:szCs w:val="20"/>
              </w:rPr>
              <w:br/>
              <w:t>(mm</w:t>
            </w:r>
            <w:r w:rsidRPr="00CD004E">
              <w:rPr>
                <w:b/>
                <w:bCs/>
                <w:color w:val="000000"/>
                <w:sz w:val="20"/>
                <w:szCs w:val="20"/>
                <w:vertAlign w:val="superscript"/>
              </w:rPr>
              <w:t>3</w:t>
            </w:r>
            <w:r w:rsidRPr="00CD004E">
              <w:rPr>
                <w:b/>
                <w:bCs/>
                <w:color w:val="000000"/>
                <w:sz w:val="20"/>
                <w:szCs w:val="20"/>
              </w:rPr>
              <w:t>)</w:t>
            </w:r>
          </w:p>
        </w:tc>
        <w:tc>
          <w:tcPr>
            <w:tcW w:w="1088" w:type="dxa"/>
            <w:tcBorders>
              <w:bottom w:val="single" w:sz="4" w:space="0" w:color="000000"/>
              <w:right w:val="single" w:sz="4" w:space="0" w:color="000000"/>
            </w:tcBorders>
            <w:shd w:val="clear" w:color="auto" w:fill="auto"/>
          </w:tcPr>
          <w:p w14:paraId="7DE3EBDE" w14:textId="77777777" w:rsidR="00C0457A" w:rsidRPr="00CD004E" w:rsidRDefault="00C0457A" w:rsidP="00F05A5C">
            <w:pPr>
              <w:jc w:val="center"/>
              <w:rPr>
                <w:b/>
                <w:bCs/>
                <w:color w:val="000000"/>
                <w:sz w:val="20"/>
                <w:szCs w:val="20"/>
              </w:rPr>
            </w:pPr>
            <w:r w:rsidRPr="00CD004E">
              <w:rPr>
                <w:b/>
                <w:bCs/>
                <w:color w:val="000000"/>
                <w:sz w:val="20"/>
                <w:szCs w:val="20"/>
              </w:rPr>
              <w:t>Imaging Area</w:t>
            </w:r>
            <w:r w:rsidRPr="00CD004E">
              <w:rPr>
                <w:b/>
                <w:bCs/>
                <w:color w:val="000000"/>
                <w:sz w:val="20"/>
                <w:szCs w:val="20"/>
              </w:rPr>
              <w:br/>
              <w:t>(mm)</w:t>
            </w:r>
          </w:p>
        </w:tc>
        <w:tc>
          <w:tcPr>
            <w:tcW w:w="580" w:type="dxa"/>
            <w:tcBorders>
              <w:bottom w:val="single" w:sz="4" w:space="0" w:color="000000"/>
              <w:right w:val="single" w:sz="4" w:space="0" w:color="000000"/>
            </w:tcBorders>
            <w:shd w:val="clear" w:color="auto" w:fill="auto"/>
          </w:tcPr>
          <w:p w14:paraId="2BDC9D8F" w14:textId="77777777" w:rsidR="00C0457A" w:rsidRPr="00CD004E" w:rsidRDefault="00C0457A" w:rsidP="00F05A5C">
            <w:pPr>
              <w:jc w:val="center"/>
              <w:rPr>
                <w:b/>
                <w:bCs/>
                <w:color w:val="000000"/>
                <w:sz w:val="20"/>
                <w:szCs w:val="20"/>
              </w:rPr>
            </w:pPr>
            <w:r w:rsidRPr="00CD004E">
              <w:rPr>
                <w:b/>
                <w:bCs/>
                <w:color w:val="000000"/>
                <w:sz w:val="20"/>
                <w:szCs w:val="20"/>
              </w:rPr>
              <w:t xml:space="preserve">TE </w:t>
            </w:r>
            <w:r w:rsidRPr="00CD004E">
              <w:rPr>
                <w:b/>
                <w:bCs/>
                <w:color w:val="000000"/>
                <w:sz w:val="20"/>
                <w:szCs w:val="20"/>
              </w:rPr>
              <w:br/>
              <w:t>(ms)</w:t>
            </w:r>
          </w:p>
        </w:tc>
        <w:tc>
          <w:tcPr>
            <w:tcW w:w="620" w:type="dxa"/>
            <w:tcBorders>
              <w:bottom w:val="single" w:sz="4" w:space="0" w:color="000000"/>
              <w:right w:val="single" w:sz="4" w:space="0" w:color="000000"/>
            </w:tcBorders>
            <w:shd w:val="clear" w:color="auto" w:fill="auto"/>
          </w:tcPr>
          <w:p w14:paraId="49953ECE" w14:textId="77777777" w:rsidR="00C0457A" w:rsidRPr="00CD004E" w:rsidRDefault="00C0457A" w:rsidP="00F05A5C">
            <w:pPr>
              <w:jc w:val="center"/>
              <w:rPr>
                <w:b/>
                <w:bCs/>
                <w:color w:val="000000"/>
                <w:sz w:val="20"/>
                <w:szCs w:val="20"/>
              </w:rPr>
            </w:pPr>
            <w:r w:rsidRPr="00CD004E">
              <w:rPr>
                <w:b/>
                <w:bCs/>
                <w:color w:val="000000"/>
                <w:sz w:val="20"/>
                <w:szCs w:val="20"/>
              </w:rPr>
              <w:t>TR</w:t>
            </w:r>
            <w:r w:rsidRPr="00CD004E">
              <w:rPr>
                <w:b/>
                <w:bCs/>
                <w:color w:val="000000"/>
                <w:sz w:val="20"/>
                <w:szCs w:val="20"/>
              </w:rPr>
              <w:br/>
              <w:t>(ms)</w:t>
            </w:r>
          </w:p>
        </w:tc>
        <w:tc>
          <w:tcPr>
            <w:tcW w:w="741" w:type="dxa"/>
            <w:tcBorders>
              <w:bottom w:val="single" w:sz="4" w:space="0" w:color="000000"/>
              <w:right w:val="single" w:sz="4" w:space="0" w:color="000000"/>
            </w:tcBorders>
            <w:shd w:val="clear" w:color="auto" w:fill="auto"/>
          </w:tcPr>
          <w:p w14:paraId="7D974617" w14:textId="77777777" w:rsidR="00C0457A" w:rsidRPr="00CD004E" w:rsidRDefault="00C0457A" w:rsidP="00F05A5C">
            <w:pPr>
              <w:rPr>
                <w:b/>
                <w:bCs/>
                <w:color w:val="000000"/>
                <w:sz w:val="20"/>
                <w:szCs w:val="20"/>
              </w:rPr>
            </w:pPr>
            <w:r w:rsidRPr="00CD004E">
              <w:rPr>
                <w:b/>
                <w:bCs/>
                <w:color w:val="000000"/>
                <w:sz w:val="20"/>
                <w:szCs w:val="20"/>
              </w:rPr>
              <w:t>Space</w:t>
            </w:r>
            <w:r w:rsidRPr="00CD004E">
              <w:rPr>
                <w:b/>
                <w:bCs/>
                <w:color w:val="000000"/>
                <w:sz w:val="20"/>
                <w:szCs w:val="20"/>
              </w:rPr>
              <w:br/>
              <w:t>(mm)</w:t>
            </w:r>
          </w:p>
        </w:tc>
        <w:tc>
          <w:tcPr>
            <w:tcW w:w="860" w:type="dxa"/>
            <w:tcBorders>
              <w:bottom w:val="single" w:sz="4" w:space="0" w:color="000000"/>
              <w:right w:val="single" w:sz="4" w:space="0" w:color="000000"/>
            </w:tcBorders>
            <w:shd w:val="clear" w:color="auto" w:fill="auto"/>
          </w:tcPr>
          <w:p w14:paraId="2F68D7B8" w14:textId="77777777" w:rsidR="00C0457A" w:rsidRPr="00CD004E" w:rsidRDefault="00C0457A" w:rsidP="00F05A5C">
            <w:pPr>
              <w:jc w:val="center"/>
              <w:rPr>
                <w:b/>
                <w:bCs/>
                <w:color w:val="000000"/>
                <w:sz w:val="20"/>
                <w:szCs w:val="20"/>
              </w:rPr>
            </w:pPr>
            <w:proofErr w:type="gramStart"/>
            <w:r w:rsidRPr="00CD004E">
              <w:rPr>
                <w:b/>
                <w:bCs/>
                <w:color w:val="000000"/>
                <w:sz w:val="20"/>
                <w:szCs w:val="20"/>
              </w:rPr>
              <w:t>b</w:t>
            </w:r>
            <w:proofErr w:type="gramEnd"/>
            <w:r w:rsidRPr="00CD004E">
              <w:rPr>
                <w:b/>
                <w:bCs/>
                <w:color w:val="000000"/>
                <w:sz w:val="20"/>
                <w:szCs w:val="20"/>
              </w:rPr>
              <w:t xml:space="preserve"> value*</w:t>
            </w:r>
          </w:p>
        </w:tc>
        <w:tc>
          <w:tcPr>
            <w:tcW w:w="727" w:type="dxa"/>
            <w:tcBorders>
              <w:bottom w:val="single" w:sz="4" w:space="0" w:color="000000"/>
              <w:right w:val="single" w:sz="4" w:space="0" w:color="000000"/>
            </w:tcBorders>
            <w:shd w:val="clear" w:color="auto" w:fill="auto"/>
          </w:tcPr>
          <w:p w14:paraId="64286EF4" w14:textId="77777777" w:rsidR="00C0457A" w:rsidRPr="00CD004E" w:rsidRDefault="00C0457A" w:rsidP="00F05A5C">
            <w:pPr>
              <w:jc w:val="center"/>
              <w:rPr>
                <w:b/>
                <w:bCs/>
                <w:color w:val="000000"/>
                <w:sz w:val="20"/>
                <w:szCs w:val="20"/>
              </w:rPr>
            </w:pPr>
            <w:r w:rsidRPr="00CD004E">
              <w:rPr>
                <w:b/>
                <w:bCs/>
                <w:color w:val="000000"/>
                <w:sz w:val="20"/>
                <w:szCs w:val="20"/>
              </w:rPr>
              <w:t>Flip Angle</w:t>
            </w:r>
          </w:p>
        </w:tc>
      </w:tr>
      <w:tr w:rsidR="00C0457A" w:rsidRPr="00CD004E" w14:paraId="2DFF94AC" w14:textId="77777777" w:rsidTr="00634B83">
        <w:trPr>
          <w:trHeight w:val="20"/>
        </w:trPr>
        <w:tc>
          <w:tcPr>
            <w:tcW w:w="1300" w:type="dxa"/>
            <w:tcBorders>
              <w:left w:val="single" w:sz="4" w:space="0" w:color="000000"/>
              <w:bottom w:val="single" w:sz="4" w:space="0" w:color="000000"/>
              <w:right w:val="single" w:sz="4" w:space="0" w:color="000000"/>
            </w:tcBorders>
            <w:shd w:val="clear" w:color="auto" w:fill="auto"/>
          </w:tcPr>
          <w:p w14:paraId="659FC85B" w14:textId="77777777" w:rsidR="00C0457A" w:rsidRPr="00CD004E" w:rsidRDefault="00C0457A" w:rsidP="00F05A5C">
            <w:pPr>
              <w:rPr>
                <w:b/>
                <w:bCs/>
                <w:color w:val="000000"/>
                <w:sz w:val="20"/>
                <w:szCs w:val="20"/>
              </w:rPr>
            </w:pPr>
            <w:r w:rsidRPr="00CD004E">
              <w:rPr>
                <w:b/>
                <w:bCs/>
                <w:color w:val="000000"/>
                <w:sz w:val="20"/>
                <w:szCs w:val="20"/>
              </w:rPr>
              <w:t>T2W coronal</w:t>
            </w:r>
          </w:p>
        </w:tc>
        <w:tc>
          <w:tcPr>
            <w:tcW w:w="1388" w:type="dxa"/>
            <w:tcBorders>
              <w:bottom w:val="single" w:sz="4" w:space="0" w:color="000000"/>
              <w:right w:val="single" w:sz="4" w:space="0" w:color="000000"/>
            </w:tcBorders>
            <w:shd w:val="clear" w:color="auto" w:fill="auto"/>
          </w:tcPr>
          <w:p w14:paraId="3DD6372E" w14:textId="77777777" w:rsidR="00C0457A" w:rsidRPr="00CD004E" w:rsidRDefault="00C0457A" w:rsidP="00F05A5C">
            <w:pPr>
              <w:jc w:val="center"/>
              <w:rPr>
                <w:color w:val="000000"/>
                <w:sz w:val="20"/>
                <w:szCs w:val="20"/>
              </w:rPr>
            </w:pPr>
            <w:proofErr w:type="gramStart"/>
            <w:r w:rsidRPr="00CD004E">
              <w:rPr>
                <w:color w:val="000000"/>
                <w:sz w:val="20"/>
                <w:szCs w:val="20"/>
              </w:rPr>
              <w:t>haste</w:t>
            </w:r>
            <w:proofErr w:type="gramEnd"/>
          </w:p>
        </w:tc>
        <w:tc>
          <w:tcPr>
            <w:tcW w:w="1114" w:type="dxa"/>
            <w:tcBorders>
              <w:bottom w:val="single" w:sz="4" w:space="0" w:color="000000"/>
              <w:right w:val="single" w:sz="4" w:space="0" w:color="000000"/>
            </w:tcBorders>
            <w:shd w:val="clear" w:color="auto" w:fill="auto"/>
          </w:tcPr>
          <w:p w14:paraId="5E0FBDAB" w14:textId="77777777" w:rsidR="00C0457A" w:rsidRPr="00CD004E" w:rsidRDefault="00C0457A" w:rsidP="00F05A5C">
            <w:pPr>
              <w:jc w:val="center"/>
              <w:rPr>
                <w:color w:val="000000"/>
                <w:sz w:val="20"/>
                <w:szCs w:val="20"/>
              </w:rPr>
            </w:pPr>
            <w:r w:rsidRPr="00CD004E">
              <w:rPr>
                <w:color w:val="000000"/>
                <w:sz w:val="20"/>
                <w:szCs w:val="20"/>
              </w:rPr>
              <w:t>5 mm</w:t>
            </w:r>
          </w:p>
        </w:tc>
        <w:tc>
          <w:tcPr>
            <w:tcW w:w="927" w:type="dxa"/>
            <w:tcBorders>
              <w:bottom w:val="single" w:sz="4" w:space="0" w:color="000000"/>
              <w:right w:val="single" w:sz="4" w:space="0" w:color="000000"/>
            </w:tcBorders>
            <w:shd w:val="clear" w:color="auto" w:fill="auto"/>
          </w:tcPr>
          <w:p w14:paraId="1CEC40C9" w14:textId="77777777" w:rsidR="00C0457A" w:rsidRPr="00CD004E" w:rsidRDefault="00C0457A" w:rsidP="00F05A5C">
            <w:pPr>
              <w:jc w:val="center"/>
              <w:rPr>
                <w:color w:val="000000"/>
                <w:sz w:val="20"/>
                <w:szCs w:val="20"/>
              </w:rPr>
            </w:pPr>
            <w:r w:rsidRPr="00CD004E">
              <w:rPr>
                <w:color w:val="000000"/>
                <w:sz w:val="20"/>
                <w:szCs w:val="20"/>
              </w:rPr>
              <w:t>30</w:t>
            </w:r>
          </w:p>
        </w:tc>
        <w:tc>
          <w:tcPr>
            <w:tcW w:w="1287" w:type="dxa"/>
            <w:tcBorders>
              <w:bottom w:val="single" w:sz="4" w:space="0" w:color="000000"/>
              <w:right w:val="single" w:sz="4" w:space="0" w:color="000000"/>
            </w:tcBorders>
            <w:shd w:val="clear" w:color="auto" w:fill="auto"/>
          </w:tcPr>
          <w:p w14:paraId="2E7E1592" w14:textId="77777777" w:rsidR="00C0457A" w:rsidRPr="00CD004E" w:rsidRDefault="00C0457A" w:rsidP="00F05A5C">
            <w:pPr>
              <w:jc w:val="center"/>
              <w:rPr>
                <w:color w:val="000000"/>
                <w:sz w:val="20"/>
                <w:szCs w:val="20"/>
              </w:rPr>
            </w:pPr>
            <w:r w:rsidRPr="00CD004E">
              <w:rPr>
                <w:color w:val="000000"/>
                <w:sz w:val="20"/>
                <w:szCs w:val="20"/>
              </w:rPr>
              <w:t>1,4x1,4x5</w:t>
            </w:r>
          </w:p>
        </w:tc>
        <w:tc>
          <w:tcPr>
            <w:tcW w:w="1088" w:type="dxa"/>
            <w:tcBorders>
              <w:bottom w:val="single" w:sz="4" w:space="0" w:color="000000"/>
              <w:right w:val="single" w:sz="4" w:space="0" w:color="000000"/>
            </w:tcBorders>
            <w:shd w:val="clear" w:color="auto" w:fill="auto"/>
          </w:tcPr>
          <w:p w14:paraId="360E3E82" w14:textId="77777777" w:rsidR="00C0457A" w:rsidRPr="00CD004E" w:rsidRDefault="00C0457A" w:rsidP="00F05A5C">
            <w:pPr>
              <w:jc w:val="center"/>
              <w:rPr>
                <w:color w:val="000000"/>
                <w:sz w:val="20"/>
                <w:szCs w:val="20"/>
              </w:rPr>
            </w:pPr>
            <w:r w:rsidRPr="00CD004E">
              <w:rPr>
                <w:color w:val="000000"/>
                <w:sz w:val="20"/>
                <w:szCs w:val="20"/>
              </w:rPr>
              <w:t>360x360</w:t>
            </w:r>
          </w:p>
        </w:tc>
        <w:tc>
          <w:tcPr>
            <w:tcW w:w="580" w:type="dxa"/>
            <w:tcBorders>
              <w:bottom w:val="single" w:sz="4" w:space="0" w:color="000000"/>
              <w:right w:val="single" w:sz="4" w:space="0" w:color="000000"/>
            </w:tcBorders>
            <w:shd w:val="clear" w:color="auto" w:fill="auto"/>
          </w:tcPr>
          <w:p w14:paraId="5B80CB1B" w14:textId="77777777" w:rsidR="00C0457A" w:rsidRPr="00CD004E" w:rsidRDefault="00C0457A" w:rsidP="00F05A5C">
            <w:pPr>
              <w:jc w:val="center"/>
              <w:rPr>
                <w:color w:val="000000"/>
                <w:sz w:val="20"/>
                <w:szCs w:val="20"/>
              </w:rPr>
            </w:pPr>
            <w:r w:rsidRPr="00CD004E">
              <w:rPr>
                <w:color w:val="000000"/>
                <w:sz w:val="20"/>
                <w:szCs w:val="20"/>
              </w:rPr>
              <w:t>92</w:t>
            </w:r>
          </w:p>
        </w:tc>
        <w:tc>
          <w:tcPr>
            <w:tcW w:w="620" w:type="dxa"/>
            <w:tcBorders>
              <w:bottom w:val="single" w:sz="4" w:space="0" w:color="000000"/>
              <w:right w:val="single" w:sz="4" w:space="0" w:color="000000"/>
            </w:tcBorders>
            <w:shd w:val="clear" w:color="auto" w:fill="auto"/>
          </w:tcPr>
          <w:p w14:paraId="76FCA864" w14:textId="77777777" w:rsidR="00C0457A" w:rsidRPr="00CD004E" w:rsidRDefault="00C0457A" w:rsidP="00F05A5C">
            <w:pPr>
              <w:jc w:val="center"/>
              <w:rPr>
                <w:color w:val="000000"/>
                <w:sz w:val="20"/>
                <w:szCs w:val="20"/>
              </w:rPr>
            </w:pPr>
            <w:r w:rsidRPr="00CD004E">
              <w:rPr>
                <w:color w:val="000000"/>
                <w:sz w:val="20"/>
                <w:szCs w:val="20"/>
              </w:rPr>
              <w:t>1400</w:t>
            </w:r>
          </w:p>
        </w:tc>
        <w:tc>
          <w:tcPr>
            <w:tcW w:w="741" w:type="dxa"/>
            <w:tcBorders>
              <w:bottom w:val="single" w:sz="4" w:space="0" w:color="000000"/>
              <w:right w:val="single" w:sz="4" w:space="0" w:color="000000"/>
            </w:tcBorders>
            <w:shd w:val="clear" w:color="auto" w:fill="auto"/>
          </w:tcPr>
          <w:p w14:paraId="55D4FF82" w14:textId="77777777" w:rsidR="00C0457A" w:rsidRPr="00CD004E" w:rsidRDefault="00C0457A" w:rsidP="00F05A5C">
            <w:pPr>
              <w:jc w:val="center"/>
              <w:rPr>
                <w:color w:val="000000"/>
                <w:sz w:val="20"/>
                <w:szCs w:val="20"/>
              </w:rPr>
            </w:pPr>
            <w:r w:rsidRPr="00CD004E">
              <w:rPr>
                <w:color w:val="000000"/>
                <w:sz w:val="20"/>
                <w:szCs w:val="20"/>
              </w:rPr>
              <w:t>1 mm</w:t>
            </w:r>
          </w:p>
        </w:tc>
        <w:tc>
          <w:tcPr>
            <w:tcW w:w="860" w:type="dxa"/>
            <w:tcBorders>
              <w:bottom w:val="single" w:sz="4" w:space="0" w:color="000000"/>
              <w:right w:val="single" w:sz="4" w:space="0" w:color="000000"/>
            </w:tcBorders>
            <w:shd w:val="clear" w:color="auto" w:fill="auto"/>
          </w:tcPr>
          <w:p w14:paraId="675B0FBE" w14:textId="77777777" w:rsidR="00C0457A" w:rsidRPr="00CD004E" w:rsidRDefault="00C0457A" w:rsidP="00F05A5C">
            <w:pPr>
              <w:jc w:val="center"/>
              <w:rPr>
                <w:color w:val="000000"/>
                <w:sz w:val="20"/>
                <w:szCs w:val="20"/>
              </w:rPr>
            </w:pPr>
          </w:p>
        </w:tc>
        <w:tc>
          <w:tcPr>
            <w:tcW w:w="727" w:type="dxa"/>
            <w:tcBorders>
              <w:bottom w:val="single" w:sz="4" w:space="0" w:color="000000"/>
              <w:right w:val="single" w:sz="4" w:space="0" w:color="000000"/>
            </w:tcBorders>
            <w:shd w:val="clear" w:color="auto" w:fill="auto"/>
          </w:tcPr>
          <w:p w14:paraId="2B77CCFB" w14:textId="77777777" w:rsidR="00C0457A" w:rsidRPr="00CD004E" w:rsidRDefault="00C0457A" w:rsidP="00F05A5C">
            <w:pPr>
              <w:jc w:val="center"/>
              <w:rPr>
                <w:color w:val="000000"/>
                <w:sz w:val="20"/>
                <w:szCs w:val="20"/>
              </w:rPr>
            </w:pPr>
            <w:r w:rsidRPr="00CD004E">
              <w:rPr>
                <w:color w:val="000000"/>
                <w:sz w:val="20"/>
                <w:szCs w:val="20"/>
              </w:rPr>
              <w:t>180</w:t>
            </w:r>
          </w:p>
        </w:tc>
      </w:tr>
      <w:tr w:rsidR="00C0457A" w:rsidRPr="00CD004E" w14:paraId="7B5CAFB0" w14:textId="77777777" w:rsidTr="00634B83">
        <w:trPr>
          <w:trHeight w:val="20"/>
        </w:trPr>
        <w:tc>
          <w:tcPr>
            <w:tcW w:w="1300" w:type="dxa"/>
            <w:tcBorders>
              <w:left w:val="single" w:sz="4" w:space="0" w:color="000000"/>
              <w:bottom w:val="single" w:sz="4" w:space="0" w:color="000000"/>
              <w:right w:val="single" w:sz="4" w:space="0" w:color="000000"/>
            </w:tcBorders>
            <w:shd w:val="clear" w:color="auto" w:fill="auto"/>
          </w:tcPr>
          <w:p w14:paraId="40F75C02" w14:textId="77777777" w:rsidR="00C0457A" w:rsidRPr="00CD004E" w:rsidRDefault="00C0457A" w:rsidP="00F05A5C">
            <w:pPr>
              <w:rPr>
                <w:b/>
                <w:bCs/>
                <w:color w:val="000000"/>
                <w:sz w:val="20"/>
                <w:szCs w:val="20"/>
              </w:rPr>
            </w:pPr>
            <w:r w:rsidRPr="00CD004E">
              <w:rPr>
                <w:b/>
                <w:bCs/>
                <w:color w:val="000000"/>
                <w:sz w:val="20"/>
                <w:szCs w:val="20"/>
              </w:rPr>
              <w:t>T2A axial</w:t>
            </w:r>
          </w:p>
        </w:tc>
        <w:tc>
          <w:tcPr>
            <w:tcW w:w="1388" w:type="dxa"/>
            <w:tcBorders>
              <w:bottom w:val="single" w:sz="4" w:space="0" w:color="000000"/>
              <w:right w:val="single" w:sz="4" w:space="0" w:color="000000"/>
            </w:tcBorders>
            <w:shd w:val="clear" w:color="auto" w:fill="auto"/>
          </w:tcPr>
          <w:p w14:paraId="6C91842D" w14:textId="77777777" w:rsidR="00C0457A" w:rsidRPr="00CD004E" w:rsidRDefault="00C0457A" w:rsidP="00F05A5C">
            <w:pPr>
              <w:jc w:val="center"/>
              <w:rPr>
                <w:color w:val="000000"/>
                <w:sz w:val="20"/>
                <w:szCs w:val="20"/>
              </w:rPr>
            </w:pPr>
            <w:proofErr w:type="gramStart"/>
            <w:r w:rsidRPr="00CD004E">
              <w:rPr>
                <w:color w:val="000000"/>
                <w:sz w:val="20"/>
                <w:szCs w:val="20"/>
              </w:rPr>
              <w:t>haste</w:t>
            </w:r>
            <w:proofErr w:type="gramEnd"/>
          </w:p>
        </w:tc>
        <w:tc>
          <w:tcPr>
            <w:tcW w:w="1114" w:type="dxa"/>
            <w:tcBorders>
              <w:bottom w:val="single" w:sz="4" w:space="0" w:color="000000"/>
              <w:right w:val="single" w:sz="4" w:space="0" w:color="000000"/>
            </w:tcBorders>
            <w:shd w:val="clear" w:color="auto" w:fill="auto"/>
          </w:tcPr>
          <w:p w14:paraId="2588AF2E" w14:textId="77777777" w:rsidR="00C0457A" w:rsidRPr="00CD004E" w:rsidRDefault="00C0457A" w:rsidP="00F05A5C">
            <w:pPr>
              <w:jc w:val="center"/>
              <w:rPr>
                <w:color w:val="000000"/>
                <w:sz w:val="20"/>
                <w:szCs w:val="20"/>
              </w:rPr>
            </w:pPr>
            <w:r w:rsidRPr="00CD004E">
              <w:rPr>
                <w:color w:val="000000"/>
                <w:sz w:val="20"/>
                <w:szCs w:val="20"/>
              </w:rPr>
              <w:t>6 mm</w:t>
            </w:r>
          </w:p>
        </w:tc>
        <w:tc>
          <w:tcPr>
            <w:tcW w:w="927" w:type="dxa"/>
            <w:tcBorders>
              <w:bottom w:val="single" w:sz="4" w:space="0" w:color="000000"/>
              <w:right w:val="single" w:sz="4" w:space="0" w:color="000000"/>
            </w:tcBorders>
            <w:shd w:val="clear" w:color="auto" w:fill="auto"/>
          </w:tcPr>
          <w:p w14:paraId="07B542DE" w14:textId="77777777" w:rsidR="00C0457A" w:rsidRPr="00CD004E" w:rsidRDefault="00C0457A" w:rsidP="00F05A5C">
            <w:pPr>
              <w:jc w:val="center"/>
              <w:rPr>
                <w:color w:val="000000"/>
                <w:sz w:val="20"/>
                <w:szCs w:val="20"/>
              </w:rPr>
            </w:pPr>
            <w:r w:rsidRPr="00CD004E">
              <w:rPr>
                <w:color w:val="000000"/>
                <w:sz w:val="20"/>
                <w:szCs w:val="20"/>
              </w:rPr>
              <w:t>30</w:t>
            </w:r>
          </w:p>
        </w:tc>
        <w:tc>
          <w:tcPr>
            <w:tcW w:w="1287" w:type="dxa"/>
            <w:tcBorders>
              <w:bottom w:val="single" w:sz="4" w:space="0" w:color="000000"/>
              <w:right w:val="single" w:sz="4" w:space="0" w:color="000000"/>
            </w:tcBorders>
            <w:shd w:val="clear" w:color="auto" w:fill="auto"/>
          </w:tcPr>
          <w:p w14:paraId="4FD2F93E" w14:textId="77777777" w:rsidR="00C0457A" w:rsidRPr="00CD004E" w:rsidRDefault="00C0457A" w:rsidP="00F05A5C">
            <w:pPr>
              <w:jc w:val="center"/>
              <w:rPr>
                <w:color w:val="000000"/>
                <w:sz w:val="20"/>
                <w:szCs w:val="20"/>
              </w:rPr>
            </w:pPr>
            <w:r w:rsidRPr="00CD004E">
              <w:rPr>
                <w:color w:val="000000"/>
                <w:sz w:val="20"/>
                <w:szCs w:val="20"/>
              </w:rPr>
              <w:t>1,5x1,5x6</w:t>
            </w:r>
          </w:p>
        </w:tc>
        <w:tc>
          <w:tcPr>
            <w:tcW w:w="1088" w:type="dxa"/>
            <w:tcBorders>
              <w:bottom w:val="single" w:sz="4" w:space="0" w:color="000000"/>
              <w:right w:val="single" w:sz="4" w:space="0" w:color="000000"/>
            </w:tcBorders>
            <w:shd w:val="clear" w:color="auto" w:fill="auto"/>
          </w:tcPr>
          <w:p w14:paraId="6BB09B02" w14:textId="77777777" w:rsidR="00C0457A" w:rsidRPr="00CD004E" w:rsidRDefault="00C0457A" w:rsidP="00F05A5C">
            <w:pPr>
              <w:jc w:val="center"/>
              <w:rPr>
                <w:color w:val="000000"/>
                <w:sz w:val="20"/>
                <w:szCs w:val="20"/>
              </w:rPr>
            </w:pPr>
            <w:r w:rsidRPr="00CD004E">
              <w:rPr>
                <w:color w:val="000000"/>
                <w:sz w:val="20"/>
                <w:szCs w:val="20"/>
              </w:rPr>
              <w:t>380x380</w:t>
            </w:r>
          </w:p>
        </w:tc>
        <w:tc>
          <w:tcPr>
            <w:tcW w:w="580" w:type="dxa"/>
            <w:tcBorders>
              <w:bottom w:val="single" w:sz="4" w:space="0" w:color="000000"/>
              <w:right w:val="single" w:sz="4" w:space="0" w:color="000000"/>
            </w:tcBorders>
            <w:shd w:val="clear" w:color="auto" w:fill="auto"/>
          </w:tcPr>
          <w:p w14:paraId="7137939C" w14:textId="77777777" w:rsidR="00C0457A" w:rsidRPr="00CD004E" w:rsidRDefault="00C0457A" w:rsidP="00F05A5C">
            <w:pPr>
              <w:jc w:val="center"/>
              <w:rPr>
                <w:color w:val="000000"/>
                <w:sz w:val="20"/>
                <w:szCs w:val="20"/>
              </w:rPr>
            </w:pPr>
            <w:r w:rsidRPr="00CD004E">
              <w:rPr>
                <w:color w:val="000000"/>
                <w:sz w:val="20"/>
                <w:szCs w:val="20"/>
              </w:rPr>
              <w:t>91</w:t>
            </w:r>
          </w:p>
        </w:tc>
        <w:tc>
          <w:tcPr>
            <w:tcW w:w="620" w:type="dxa"/>
            <w:tcBorders>
              <w:bottom w:val="single" w:sz="4" w:space="0" w:color="000000"/>
              <w:right w:val="single" w:sz="4" w:space="0" w:color="000000"/>
            </w:tcBorders>
            <w:shd w:val="clear" w:color="auto" w:fill="auto"/>
          </w:tcPr>
          <w:p w14:paraId="7C26B97C" w14:textId="77777777" w:rsidR="00C0457A" w:rsidRPr="00CD004E" w:rsidRDefault="00C0457A" w:rsidP="00F05A5C">
            <w:pPr>
              <w:jc w:val="center"/>
              <w:rPr>
                <w:color w:val="000000"/>
                <w:sz w:val="20"/>
                <w:szCs w:val="20"/>
              </w:rPr>
            </w:pPr>
            <w:r w:rsidRPr="00CD004E">
              <w:rPr>
                <w:color w:val="000000"/>
                <w:sz w:val="20"/>
                <w:szCs w:val="20"/>
              </w:rPr>
              <w:t>1400</w:t>
            </w:r>
          </w:p>
        </w:tc>
        <w:tc>
          <w:tcPr>
            <w:tcW w:w="741" w:type="dxa"/>
            <w:tcBorders>
              <w:bottom w:val="single" w:sz="4" w:space="0" w:color="000000"/>
              <w:right w:val="single" w:sz="4" w:space="0" w:color="000000"/>
            </w:tcBorders>
            <w:shd w:val="clear" w:color="auto" w:fill="auto"/>
          </w:tcPr>
          <w:p w14:paraId="74A6C6F3" w14:textId="77777777" w:rsidR="00C0457A" w:rsidRPr="00CD004E" w:rsidRDefault="00C0457A" w:rsidP="00F05A5C">
            <w:pPr>
              <w:jc w:val="center"/>
              <w:rPr>
                <w:color w:val="000000"/>
                <w:sz w:val="20"/>
                <w:szCs w:val="20"/>
              </w:rPr>
            </w:pPr>
            <w:r w:rsidRPr="00CD004E">
              <w:rPr>
                <w:color w:val="000000"/>
                <w:sz w:val="20"/>
                <w:szCs w:val="20"/>
              </w:rPr>
              <w:t>1.2 mm</w:t>
            </w:r>
          </w:p>
        </w:tc>
        <w:tc>
          <w:tcPr>
            <w:tcW w:w="860" w:type="dxa"/>
            <w:tcBorders>
              <w:bottom w:val="single" w:sz="4" w:space="0" w:color="000000"/>
              <w:right w:val="single" w:sz="4" w:space="0" w:color="000000"/>
            </w:tcBorders>
            <w:shd w:val="clear" w:color="auto" w:fill="auto"/>
          </w:tcPr>
          <w:p w14:paraId="3D2B50B0" w14:textId="77777777" w:rsidR="00C0457A" w:rsidRPr="00CD004E" w:rsidRDefault="00C0457A" w:rsidP="00F05A5C">
            <w:pPr>
              <w:jc w:val="center"/>
              <w:rPr>
                <w:color w:val="000000"/>
                <w:sz w:val="20"/>
                <w:szCs w:val="20"/>
              </w:rPr>
            </w:pPr>
          </w:p>
        </w:tc>
        <w:tc>
          <w:tcPr>
            <w:tcW w:w="727" w:type="dxa"/>
            <w:tcBorders>
              <w:bottom w:val="single" w:sz="4" w:space="0" w:color="000000"/>
              <w:right w:val="single" w:sz="4" w:space="0" w:color="000000"/>
            </w:tcBorders>
            <w:shd w:val="clear" w:color="auto" w:fill="auto"/>
          </w:tcPr>
          <w:p w14:paraId="41C345E1" w14:textId="77777777" w:rsidR="00C0457A" w:rsidRPr="00CD004E" w:rsidRDefault="00C0457A" w:rsidP="00F05A5C">
            <w:pPr>
              <w:jc w:val="center"/>
              <w:rPr>
                <w:color w:val="000000"/>
                <w:sz w:val="20"/>
                <w:szCs w:val="20"/>
              </w:rPr>
            </w:pPr>
            <w:r w:rsidRPr="00CD004E">
              <w:rPr>
                <w:color w:val="000000"/>
                <w:sz w:val="20"/>
                <w:szCs w:val="20"/>
              </w:rPr>
              <w:t>180</w:t>
            </w:r>
          </w:p>
        </w:tc>
      </w:tr>
      <w:tr w:rsidR="00C0457A" w:rsidRPr="00CD004E" w14:paraId="7E80FD64" w14:textId="77777777" w:rsidTr="00634B83">
        <w:trPr>
          <w:trHeight w:val="20"/>
        </w:trPr>
        <w:tc>
          <w:tcPr>
            <w:tcW w:w="1300" w:type="dxa"/>
            <w:tcBorders>
              <w:left w:val="single" w:sz="4" w:space="0" w:color="000000"/>
              <w:bottom w:val="single" w:sz="4" w:space="0" w:color="000000"/>
              <w:right w:val="single" w:sz="4" w:space="0" w:color="000000"/>
            </w:tcBorders>
            <w:shd w:val="clear" w:color="auto" w:fill="auto"/>
          </w:tcPr>
          <w:p w14:paraId="2DCCE2CF" w14:textId="77777777" w:rsidR="00C0457A" w:rsidRPr="00CD004E" w:rsidRDefault="00C0457A" w:rsidP="00F05A5C">
            <w:pPr>
              <w:rPr>
                <w:b/>
                <w:bCs/>
                <w:color w:val="000000"/>
                <w:sz w:val="20"/>
                <w:szCs w:val="20"/>
              </w:rPr>
            </w:pPr>
            <w:r w:rsidRPr="00CD004E">
              <w:rPr>
                <w:b/>
                <w:bCs/>
                <w:color w:val="000000"/>
                <w:sz w:val="20"/>
                <w:szCs w:val="20"/>
              </w:rPr>
              <w:t>T2W sagittal</w:t>
            </w:r>
          </w:p>
        </w:tc>
        <w:tc>
          <w:tcPr>
            <w:tcW w:w="1388" w:type="dxa"/>
            <w:tcBorders>
              <w:bottom w:val="single" w:sz="4" w:space="0" w:color="000000"/>
              <w:right w:val="single" w:sz="4" w:space="0" w:color="000000"/>
            </w:tcBorders>
            <w:shd w:val="clear" w:color="auto" w:fill="auto"/>
          </w:tcPr>
          <w:p w14:paraId="2825DA05" w14:textId="77777777" w:rsidR="00C0457A" w:rsidRPr="00CD004E" w:rsidRDefault="00C0457A" w:rsidP="00F05A5C">
            <w:pPr>
              <w:jc w:val="center"/>
              <w:rPr>
                <w:color w:val="000000"/>
                <w:sz w:val="20"/>
                <w:szCs w:val="20"/>
              </w:rPr>
            </w:pPr>
            <w:proofErr w:type="gramStart"/>
            <w:r w:rsidRPr="00CD004E">
              <w:rPr>
                <w:color w:val="000000"/>
                <w:sz w:val="20"/>
                <w:szCs w:val="20"/>
              </w:rPr>
              <w:t>haste</w:t>
            </w:r>
            <w:proofErr w:type="gramEnd"/>
          </w:p>
        </w:tc>
        <w:tc>
          <w:tcPr>
            <w:tcW w:w="1114" w:type="dxa"/>
            <w:tcBorders>
              <w:bottom w:val="single" w:sz="4" w:space="0" w:color="000000"/>
              <w:right w:val="single" w:sz="4" w:space="0" w:color="000000"/>
            </w:tcBorders>
            <w:shd w:val="clear" w:color="auto" w:fill="auto"/>
          </w:tcPr>
          <w:p w14:paraId="4F29BBD8" w14:textId="77777777" w:rsidR="00C0457A" w:rsidRPr="00CD004E" w:rsidRDefault="00C0457A" w:rsidP="00F05A5C">
            <w:pPr>
              <w:jc w:val="center"/>
              <w:rPr>
                <w:color w:val="000000"/>
                <w:sz w:val="20"/>
                <w:szCs w:val="20"/>
              </w:rPr>
            </w:pPr>
            <w:r w:rsidRPr="00CD004E">
              <w:rPr>
                <w:color w:val="000000"/>
                <w:sz w:val="20"/>
                <w:szCs w:val="20"/>
              </w:rPr>
              <w:t>5 mm</w:t>
            </w:r>
          </w:p>
        </w:tc>
        <w:tc>
          <w:tcPr>
            <w:tcW w:w="927" w:type="dxa"/>
            <w:tcBorders>
              <w:bottom w:val="single" w:sz="4" w:space="0" w:color="000000"/>
              <w:right w:val="single" w:sz="4" w:space="0" w:color="000000"/>
            </w:tcBorders>
            <w:shd w:val="clear" w:color="auto" w:fill="auto"/>
          </w:tcPr>
          <w:p w14:paraId="0F1838FF" w14:textId="77777777" w:rsidR="00C0457A" w:rsidRPr="00CD004E" w:rsidRDefault="00C0457A" w:rsidP="00F05A5C">
            <w:pPr>
              <w:jc w:val="center"/>
              <w:rPr>
                <w:color w:val="000000"/>
                <w:sz w:val="20"/>
                <w:szCs w:val="20"/>
              </w:rPr>
            </w:pPr>
            <w:r w:rsidRPr="00CD004E">
              <w:rPr>
                <w:color w:val="000000"/>
                <w:sz w:val="20"/>
                <w:szCs w:val="20"/>
              </w:rPr>
              <w:t>30</w:t>
            </w:r>
          </w:p>
        </w:tc>
        <w:tc>
          <w:tcPr>
            <w:tcW w:w="1287" w:type="dxa"/>
            <w:tcBorders>
              <w:bottom w:val="single" w:sz="4" w:space="0" w:color="000000"/>
              <w:right w:val="single" w:sz="4" w:space="0" w:color="000000"/>
            </w:tcBorders>
            <w:shd w:val="clear" w:color="auto" w:fill="auto"/>
          </w:tcPr>
          <w:p w14:paraId="2F4F34DA" w14:textId="77777777" w:rsidR="00C0457A" w:rsidRPr="00CD004E" w:rsidRDefault="00C0457A" w:rsidP="00F05A5C">
            <w:pPr>
              <w:jc w:val="center"/>
              <w:rPr>
                <w:color w:val="000000"/>
                <w:sz w:val="20"/>
                <w:szCs w:val="20"/>
              </w:rPr>
            </w:pPr>
            <w:r w:rsidRPr="00CD004E">
              <w:rPr>
                <w:color w:val="000000"/>
                <w:sz w:val="20"/>
                <w:szCs w:val="20"/>
              </w:rPr>
              <w:t>1,2x1,2x5</w:t>
            </w:r>
          </w:p>
        </w:tc>
        <w:tc>
          <w:tcPr>
            <w:tcW w:w="1088" w:type="dxa"/>
            <w:tcBorders>
              <w:bottom w:val="single" w:sz="4" w:space="0" w:color="000000"/>
              <w:right w:val="single" w:sz="4" w:space="0" w:color="000000"/>
            </w:tcBorders>
            <w:shd w:val="clear" w:color="auto" w:fill="auto"/>
          </w:tcPr>
          <w:p w14:paraId="0CAB5B1A" w14:textId="77777777" w:rsidR="00C0457A" w:rsidRPr="00CD004E" w:rsidRDefault="00C0457A" w:rsidP="00F05A5C">
            <w:pPr>
              <w:jc w:val="center"/>
              <w:rPr>
                <w:color w:val="000000"/>
                <w:sz w:val="20"/>
                <w:szCs w:val="20"/>
              </w:rPr>
            </w:pPr>
            <w:r w:rsidRPr="00CD004E">
              <w:rPr>
                <w:color w:val="000000"/>
                <w:sz w:val="20"/>
                <w:szCs w:val="20"/>
              </w:rPr>
              <w:t>300x300</w:t>
            </w:r>
          </w:p>
        </w:tc>
        <w:tc>
          <w:tcPr>
            <w:tcW w:w="580" w:type="dxa"/>
            <w:tcBorders>
              <w:bottom w:val="single" w:sz="4" w:space="0" w:color="000000"/>
              <w:right w:val="single" w:sz="4" w:space="0" w:color="000000"/>
            </w:tcBorders>
            <w:shd w:val="clear" w:color="auto" w:fill="auto"/>
          </w:tcPr>
          <w:p w14:paraId="24D2A7FF" w14:textId="77777777" w:rsidR="00C0457A" w:rsidRPr="00CD004E" w:rsidRDefault="00C0457A" w:rsidP="00F05A5C">
            <w:pPr>
              <w:jc w:val="center"/>
              <w:rPr>
                <w:color w:val="000000"/>
                <w:sz w:val="20"/>
                <w:szCs w:val="20"/>
              </w:rPr>
            </w:pPr>
            <w:r w:rsidRPr="00CD004E">
              <w:rPr>
                <w:color w:val="000000"/>
                <w:sz w:val="20"/>
                <w:szCs w:val="20"/>
              </w:rPr>
              <w:t>92</w:t>
            </w:r>
          </w:p>
        </w:tc>
        <w:tc>
          <w:tcPr>
            <w:tcW w:w="620" w:type="dxa"/>
            <w:tcBorders>
              <w:bottom w:val="single" w:sz="4" w:space="0" w:color="000000"/>
              <w:right w:val="single" w:sz="4" w:space="0" w:color="000000"/>
            </w:tcBorders>
            <w:shd w:val="clear" w:color="auto" w:fill="auto"/>
          </w:tcPr>
          <w:p w14:paraId="4083BA47" w14:textId="77777777" w:rsidR="00C0457A" w:rsidRPr="00CD004E" w:rsidRDefault="00C0457A" w:rsidP="00F05A5C">
            <w:pPr>
              <w:jc w:val="center"/>
              <w:rPr>
                <w:color w:val="000000"/>
                <w:sz w:val="20"/>
                <w:szCs w:val="20"/>
              </w:rPr>
            </w:pPr>
            <w:r w:rsidRPr="00CD004E">
              <w:rPr>
                <w:color w:val="000000"/>
                <w:sz w:val="20"/>
                <w:szCs w:val="20"/>
              </w:rPr>
              <w:t>1400</w:t>
            </w:r>
          </w:p>
        </w:tc>
        <w:tc>
          <w:tcPr>
            <w:tcW w:w="741" w:type="dxa"/>
            <w:tcBorders>
              <w:bottom w:val="single" w:sz="4" w:space="0" w:color="000000"/>
              <w:right w:val="single" w:sz="4" w:space="0" w:color="000000"/>
            </w:tcBorders>
            <w:shd w:val="clear" w:color="auto" w:fill="auto"/>
          </w:tcPr>
          <w:p w14:paraId="188E0B10" w14:textId="77777777" w:rsidR="00C0457A" w:rsidRPr="00CD004E" w:rsidRDefault="00C0457A" w:rsidP="00F05A5C">
            <w:pPr>
              <w:jc w:val="center"/>
              <w:rPr>
                <w:color w:val="000000"/>
                <w:sz w:val="20"/>
                <w:szCs w:val="20"/>
              </w:rPr>
            </w:pPr>
            <w:r w:rsidRPr="00CD004E">
              <w:rPr>
                <w:color w:val="000000"/>
                <w:sz w:val="20"/>
                <w:szCs w:val="20"/>
              </w:rPr>
              <w:t>0 mm</w:t>
            </w:r>
          </w:p>
        </w:tc>
        <w:tc>
          <w:tcPr>
            <w:tcW w:w="860" w:type="dxa"/>
            <w:tcBorders>
              <w:bottom w:val="single" w:sz="4" w:space="0" w:color="000000"/>
              <w:right w:val="single" w:sz="4" w:space="0" w:color="000000"/>
            </w:tcBorders>
            <w:shd w:val="clear" w:color="auto" w:fill="auto"/>
          </w:tcPr>
          <w:p w14:paraId="1C4B336A" w14:textId="77777777" w:rsidR="00C0457A" w:rsidRPr="00CD004E" w:rsidRDefault="00C0457A" w:rsidP="00F05A5C">
            <w:pPr>
              <w:jc w:val="center"/>
              <w:rPr>
                <w:color w:val="000000"/>
                <w:sz w:val="20"/>
                <w:szCs w:val="20"/>
              </w:rPr>
            </w:pPr>
          </w:p>
        </w:tc>
        <w:tc>
          <w:tcPr>
            <w:tcW w:w="727" w:type="dxa"/>
            <w:tcBorders>
              <w:bottom w:val="single" w:sz="4" w:space="0" w:color="000000"/>
              <w:right w:val="single" w:sz="4" w:space="0" w:color="000000"/>
            </w:tcBorders>
            <w:shd w:val="clear" w:color="auto" w:fill="auto"/>
          </w:tcPr>
          <w:p w14:paraId="0C0031BE" w14:textId="77777777" w:rsidR="00C0457A" w:rsidRPr="00CD004E" w:rsidRDefault="00C0457A" w:rsidP="00F05A5C">
            <w:pPr>
              <w:jc w:val="center"/>
              <w:rPr>
                <w:color w:val="000000"/>
                <w:sz w:val="20"/>
                <w:szCs w:val="20"/>
              </w:rPr>
            </w:pPr>
            <w:r w:rsidRPr="00CD004E">
              <w:rPr>
                <w:color w:val="000000"/>
                <w:sz w:val="20"/>
                <w:szCs w:val="20"/>
              </w:rPr>
              <w:t>180</w:t>
            </w:r>
          </w:p>
        </w:tc>
      </w:tr>
      <w:tr w:rsidR="00C0457A" w:rsidRPr="00CD004E" w14:paraId="294068F6" w14:textId="77777777" w:rsidTr="00634B83">
        <w:trPr>
          <w:trHeight w:val="20"/>
        </w:trPr>
        <w:tc>
          <w:tcPr>
            <w:tcW w:w="1300" w:type="dxa"/>
            <w:tcBorders>
              <w:left w:val="single" w:sz="4" w:space="0" w:color="000000"/>
              <w:bottom w:val="single" w:sz="4" w:space="0" w:color="000000"/>
              <w:right w:val="single" w:sz="4" w:space="0" w:color="000000"/>
            </w:tcBorders>
            <w:shd w:val="clear" w:color="auto" w:fill="auto"/>
          </w:tcPr>
          <w:p w14:paraId="3585EE73" w14:textId="77777777" w:rsidR="00C0457A" w:rsidRPr="00CD004E" w:rsidRDefault="00C0457A" w:rsidP="00F05A5C">
            <w:pPr>
              <w:rPr>
                <w:b/>
                <w:bCs/>
                <w:color w:val="000000"/>
                <w:sz w:val="20"/>
                <w:szCs w:val="20"/>
              </w:rPr>
            </w:pPr>
            <w:r w:rsidRPr="00CD004E">
              <w:rPr>
                <w:b/>
                <w:bCs/>
                <w:color w:val="000000"/>
                <w:sz w:val="20"/>
                <w:szCs w:val="20"/>
              </w:rPr>
              <w:t>T2W coronal</w:t>
            </w:r>
          </w:p>
        </w:tc>
        <w:tc>
          <w:tcPr>
            <w:tcW w:w="1388" w:type="dxa"/>
            <w:tcBorders>
              <w:bottom w:val="single" w:sz="4" w:space="0" w:color="000000"/>
              <w:right w:val="single" w:sz="4" w:space="0" w:color="000000"/>
            </w:tcBorders>
            <w:shd w:val="clear" w:color="auto" w:fill="auto"/>
          </w:tcPr>
          <w:p w14:paraId="6E1974D6" w14:textId="77777777" w:rsidR="00C0457A" w:rsidRPr="00CD004E" w:rsidRDefault="00C0457A" w:rsidP="00F05A5C">
            <w:pPr>
              <w:jc w:val="center"/>
              <w:rPr>
                <w:color w:val="000000"/>
                <w:sz w:val="20"/>
                <w:szCs w:val="20"/>
              </w:rPr>
            </w:pPr>
            <w:r w:rsidRPr="00CD004E">
              <w:rPr>
                <w:color w:val="000000"/>
                <w:sz w:val="20"/>
                <w:szCs w:val="20"/>
              </w:rPr>
              <w:t>TSE</w:t>
            </w:r>
          </w:p>
        </w:tc>
        <w:tc>
          <w:tcPr>
            <w:tcW w:w="1114" w:type="dxa"/>
            <w:tcBorders>
              <w:bottom w:val="single" w:sz="4" w:space="0" w:color="000000"/>
              <w:right w:val="single" w:sz="4" w:space="0" w:color="000000"/>
            </w:tcBorders>
            <w:shd w:val="clear" w:color="auto" w:fill="auto"/>
          </w:tcPr>
          <w:p w14:paraId="61A42562" w14:textId="77777777" w:rsidR="00C0457A" w:rsidRPr="00CD004E" w:rsidRDefault="00C0457A" w:rsidP="00F05A5C">
            <w:pPr>
              <w:jc w:val="center"/>
              <w:rPr>
                <w:color w:val="000000"/>
                <w:sz w:val="20"/>
                <w:szCs w:val="20"/>
              </w:rPr>
            </w:pPr>
            <w:r w:rsidRPr="00CD004E">
              <w:rPr>
                <w:color w:val="000000"/>
                <w:sz w:val="20"/>
                <w:szCs w:val="20"/>
              </w:rPr>
              <w:t>3 mm</w:t>
            </w:r>
          </w:p>
        </w:tc>
        <w:tc>
          <w:tcPr>
            <w:tcW w:w="927" w:type="dxa"/>
            <w:tcBorders>
              <w:bottom w:val="single" w:sz="4" w:space="0" w:color="000000"/>
              <w:right w:val="single" w:sz="4" w:space="0" w:color="000000"/>
            </w:tcBorders>
            <w:shd w:val="clear" w:color="auto" w:fill="auto"/>
          </w:tcPr>
          <w:p w14:paraId="713B1350" w14:textId="77777777" w:rsidR="00C0457A" w:rsidRPr="00CD004E" w:rsidRDefault="00C0457A" w:rsidP="00F05A5C">
            <w:pPr>
              <w:jc w:val="center"/>
              <w:rPr>
                <w:color w:val="000000"/>
                <w:sz w:val="20"/>
                <w:szCs w:val="20"/>
              </w:rPr>
            </w:pPr>
            <w:r w:rsidRPr="00CD004E">
              <w:rPr>
                <w:color w:val="000000"/>
                <w:sz w:val="20"/>
                <w:szCs w:val="20"/>
              </w:rPr>
              <w:t>20</w:t>
            </w:r>
          </w:p>
        </w:tc>
        <w:tc>
          <w:tcPr>
            <w:tcW w:w="1287" w:type="dxa"/>
            <w:tcBorders>
              <w:bottom w:val="single" w:sz="4" w:space="0" w:color="000000"/>
              <w:right w:val="single" w:sz="4" w:space="0" w:color="000000"/>
            </w:tcBorders>
            <w:shd w:val="clear" w:color="auto" w:fill="auto"/>
          </w:tcPr>
          <w:p w14:paraId="0260E7CA" w14:textId="77777777" w:rsidR="00C0457A" w:rsidRPr="00CD004E" w:rsidRDefault="00C0457A" w:rsidP="00F05A5C">
            <w:pPr>
              <w:jc w:val="center"/>
              <w:rPr>
                <w:color w:val="000000"/>
                <w:sz w:val="20"/>
                <w:szCs w:val="20"/>
              </w:rPr>
            </w:pPr>
            <w:r w:rsidRPr="00CD004E">
              <w:rPr>
                <w:color w:val="000000"/>
                <w:sz w:val="20"/>
                <w:szCs w:val="20"/>
              </w:rPr>
              <w:t>0,7x0,7x3</w:t>
            </w:r>
          </w:p>
        </w:tc>
        <w:tc>
          <w:tcPr>
            <w:tcW w:w="1088" w:type="dxa"/>
            <w:tcBorders>
              <w:bottom w:val="single" w:sz="4" w:space="0" w:color="000000"/>
              <w:right w:val="single" w:sz="4" w:space="0" w:color="000000"/>
            </w:tcBorders>
            <w:shd w:val="clear" w:color="auto" w:fill="auto"/>
          </w:tcPr>
          <w:p w14:paraId="5AA8F072" w14:textId="77777777" w:rsidR="00C0457A" w:rsidRPr="00CD004E" w:rsidRDefault="00C0457A" w:rsidP="00F05A5C">
            <w:pPr>
              <w:jc w:val="center"/>
              <w:rPr>
                <w:color w:val="000000"/>
                <w:sz w:val="20"/>
                <w:szCs w:val="20"/>
              </w:rPr>
            </w:pPr>
            <w:r w:rsidRPr="00CD004E">
              <w:rPr>
                <w:color w:val="000000"/>
                <w:sz w:val="20"/>
                <w:szCs w:val="20"/>
              </w:rPr>
              <w:t>224x224</w:t>
            </w:r>
          </w:p>
        </w:tc>
        <w:tc>
          <w:tcPr>
            <w:tcW w:w="580" w:type="dxa"/>
            <w:tcBorders>
              <w:bottom w:val="single" w:sz="4" w:space="0" w:color="000000"/>
              <w:right w:val="single" w:sz="4" w:space="0" w:color="000000"/>
            </w:tcBorders>
            <w:shd w:val="clear" w:color="auto" w:fill="auto"/>
          </w:tcPr>
          <w:p w14:paraId="1E1D2ADF" w14:textId="77777777" w:rsidR="00C0457A" w:rsidRPr="00CD004E" w:rsidRDefault="00C0457A" w:rsidP="00F05A5C">
            <w:pPr>
              <w:jc w:val="center"/>
              <w:rPr>
                <w:color w:val="000000"/>
                <w:sz w:val="20"/>
                <w:szCs w:val="20"/>
              </w:rPr>
            </w:pPr>
            <w:r w:rsidRPr="00CD004E">
              <w:rPr>
                <w:color w:val="000000"/>
                <w:sz w:val="20"/>
                <w:szCs w:val="20"/>
              </w:rPr>
              <w:t>96</w:t>
            </w:r>
          </w:p>
        </w:tc>
        <w:tc>
          <w:tcPr>
            <w:tcW w:w="620" w:type="dxa"/>
            <w:tcBorders>
              <w:bottom w:val="single" w:sz="4" w:space="0" w:color="000000"/>
              <w:right w:val="single" w:sz="4" w:space="0" w:color="000000"/>
            </w:tcBorders>
            <w:shd w:val="clear" w:color="auto" w:fill="auto"/>
          </w:tcPr>
          <w:p w14:paraId="6002753E" w14:textId="77777777" w:rsidR="00C0457A" w:rsidRPr="00CD004E" w:rsidRDefault="00C0457A" w:rsidP="00F05A5C">
            <w:pPr>
              <w:jc w:val="center"/>
              <w:rPr>
                <w:color w:val="000000"/>
                <w:sz w:val="20"/>
                <w:szCs w:val="20"/>
              </w:rPr>
            </w:pPr>
            <w:r w:rsidRPr="00CD004E">
              <w:rPr>
                <w:color w:val="000000"/>
                <w:sz w:val="20"/>
                <w:szCs w:val="20"/>
              </w:rPr>
              <w:t>5490</w:t>
            </w:r>
          </w:p>
        </w:tc>
        <w:tc>
          <w:tcPr>
            <w:tcW w:w="741" w:type="dxa"/>
            <w:tcBorders>
              <w:bottom w:val="single" w:sz="4" w:space="0" w:color="000000"/>
              <w:right w:val="single" w:sz="4" w:space="0" w:color="000000"/>
            </w:tcBorders>
            <w:shd w:val="clear" w:color="auto" w:fill="auto"/>
          </w:tcPr>
          <w:p w14:paraId="5958A942" w14:textId="77777777" w:rsidR="00C0457A" w:rsidRPr="00CD004E" w:rsidRDefault="00C0457A" w:rsidP="00F05A5C">
            <w:pPr>
              <w:jc w:val="center"/>
              <w:rPr>
                <w:color w:val="000000"/>
                <w:sz w:val="20"/>
                <w:szCs w:val="20"/>
              </w:rPr>
            </w:pPr>
            <w:r w:rsidRPr="00CD004E">
              <w:rPr>
                <w:color w:val="000000"/>
                <w:sz w:val="20"/>
                <w:szCs w:val="20"/>
              </w:rPr>
              <w:t>0 mm</w:t>
            </w:r>
          </w:p>
        </w:tc>
        <w:tc>
          <w:tcPr>
            <w:tcW w:w="860" w:type="dxa"/>
            <w:tcBorders>
              <w:bottom w:val="single" w:sz="4" w:space="0" w:color="000000"/>
              <w:right w:val="single" w:sz="4" w:space="0" w:color="000000"/>
            </w:tcBorders>
            <w:shd w:val="clear" w:color="auto" w:fill="auto"/>
          </w:tcPr>
          <w:p w14:paraId="39622BBC" w14:textId="77777777" w:rsidR="00C0457A" w:rsidRPr="00CD004E" w:rsidRDefault="00C0457A" w:rsidP="00F05A5C">
            <w:pPr>
              <w:jc w:val="center"/>
              <w:rPr>
                <w:color w:val="000000"/>
                <w:sz w:val="20"/>
                <w:szCs w:val="20"/>
              </w:rPr>
            </w:pPr>
          </w:p>
        </w:tc>
        <w:tc>
          <w:tcPr>
            <w:tcW w:w="727" w:type="dxa"/>
            <w:tcBorders>
              <w:bottom w:val="single" w:sz="4" w:space="0" w:color="000000"/>
              <w:right w:val="single" w:sz="4" w:space="0" w:color="000000"/>
            </w:tcBorders>
            <w:shd w:val="clear" w:color="auto" w:fill="auto"/>
          </w:tcPr>
          <w:p w14:paraId="06348E36" w14:textId="77777777" w:rsidR="00C0457A" w:rsidRPr="00CD004E" w:rsidRDefault="00C0457A" w:rsidP="00F05A5C">
            <w:pPr>
              <w:jc w:val="center"/>
              <w:rPr>
                <w:color w:val="000000"/>
                <w:sz w:val="20"/>
                <w:szCs w:val="20"/>
              </w:rPr>
            </w:pPr>
            <w:r w:rsidRPr="00CD004E">
              <w:rPr>
                <w:color w:val="000000"/>
                <w:sz w:val="20"/>
                <w:szCs w:val="20"/>
              </w:rPr>
              <w:t>160</w:t>
            </w:r>
          </w:p>
        </w:tc>
      </w:tr>
      <w:tr w:rsidR="00C0457A" w:rsidRPr="00CD004E" w14:paraId="2C96F62B" w14:textId="77777777" w:rsidTr="00634B83">
        <w:trPr>
          <w:trHeight w:val="20"/>
        </w:trPr>
        <w:tc>
          <w:tcPr>
            <w:tcW w:w="1300" w:type="dxa"/>
            <w:tcBorders>
              <w:left w:val="single" w:sz="4" w:space="0" w:color="000000"/>
              <w:bottom w:val="single" w:sz="4" w:space="0" w:color="000000"/>
              <w:right w:val="single" w:sz="4" w:space="0" w:color="000000"/>
            </w:tcBorders>
            <w:shd w:val="clear" w:color="auto" w:fill="auto"/>
          </w:tcPr>
          <w:p w14:paraId="270779D0" w14:textId="77777777" w:rsidR="00C0457A" w:rsidRPr="00CD004E" w:rsidRDefault="00C0457A" w:rsidP="00F05A5C">
            <w:pPr>
              <w:rPr>
                <w:b/>
                <w:bCs/>
                <w:color w:val="000000"/>
                <w:sz w:val="20"/>
                <w:szCs w:val="20"/>
              </w:rPr>
            </w:pPr>
            <w:r w:rsidRPr="00CD004E">
              <w:rPr>
                <w:b/>
                <w:bCs/>
                <w:color w:val="000000"/>
                <w:sz w:val="20"/>
                <w:szCs w:val="20"/>
              </w:rPr>
              <w:t>T2A axial</w:t>
            </w:r>
          </w:p>
        </w:tc>
        <w:tc>
          <w:tcPr>
            <w:tcW w:w="1388" w:type="dxa"/>
            <w:tcBorders>
              <w:bottom w:val="single" w:sz="4" w:space="0" w:color="000000"/>
              <w:right w:val="single" w:sz="4" w:space="0" w:color="000000"/>
            </w:tcBorders>
            <w:shd w:val="clear" w:color="auto" w:fill="auto"/>
          </w:tcPr>
          <w:p w14:paraId="64D8EF3C" w14:textId="77777777" w:rsidR="00C0457A" w:rsidRPr="00CD004E" w:rsidRDefault="00C0457A" w:rsidP="00F05A5C">
            <w:pPr>
              <w:jc w:val="center"/>
              <w:rPr>
                <w:color w:val="000000"/>
                <w:sz w:val="20"/>
                <w:szCs w:val="20"/>
              </w:rPr>
            </w:pPr>
            <w:r w:rsidRPr="00CD004E">
              <w:rPr>
                <w:color w:val="000000"/>
                <w:sz w:val="20"/>
                <w:szCs w:val="20"/>
              </w:rPr>
              <w:t>TSE</w:t>
            </w:r>
          </w:p>
        </w:tc>
        <w:tc>
          <w:tcPr>
            <w:tcW w:w="1114" w:type="dxa"/>
            <w:tcBorders>
              <w:bottom w:val="single" w:sz="4" w:space="0" w:color="000000"/>
              <w:right w:val="single" w:sz="4" w:space="0" w:color="000000"/>
            </w:tcBorders>
            <w:shd w:val="clear" w:color="auto" w:fill="auto"/>
          </w:tcPr>
          <w:p w14:paraId="715EC65B" w14:textId="77777777" w:rsidR="00C0457A" w:rsidRPr="00CD004E" w:rsidRDefault="00C0457A" w:rsidP="00F05A5C">
            <w:pPr>
              <w:jc w:val="center"/>
              <w:rPr>
                <w:color w:val="000000"/>
                <w:sz w:val="20"/>
                <w:szCs w:val="20"/>
              </w:rPr>
            </w:pPr>
            <w:r w:rsidRPr="00CD004E">
              <w:rPr>
                <w:color w:val="000000"/>
                <w:sz w:val="20"/>
                <w:szCs w:val="20"/>
              </w:rPr>
              <w:t>3 mm</w:t>
            </w:r>
          </w:p>
        </w:tc>
        <w:tc>
          <w:tcPr>
            <w:tcW w:w="927" w:type="dxa"/>
            <w:tcBorders>
              <w:bottom w:val="single" w:sz="4" w:space="0" w:color="000000"/>
              <w:right w:val="single" w:sz="4" w:space="0" w:color="000000"/>
            </w:tcBorders>
            <w:shd w:val="clear" w:color="auto" w:fill="auto"/>
          </w:tcPr>
          <w:p w14:paraId="5BEC9109" w14:textId="77777777" w:rsidR="00C0457A" w:rsidRPr="00CD004E" w:rsidRDefault="00C0457A" w:rsidP="00F05A5C">
            <w:pPr>
              <w:jc w:val="center"/>
              <w:rPr>
                <w:color w:val="000000"/>
                <w:sz w:val="20"/>
                <w:szCs w:val="20"/>
              </w:rPr>
            </w:pPr>
            <w:r w:rsidRPr="00CD004E">
              <w:rPr>
                <w:color w:val="000000"/>
                <w:sz w:val="20"/>
                <w:szCs w:val="20"/>
              </w:rPr>
              <w:t>24</w:t>
            </w:r>
          </w:p>
        </w:tc>
        <w:tc>
          <w:tcPr>
            <w:tcW w:w="1287" w:type="dxa"/>
            <w:tcBorders>
              <w:bottom w:val="single" w:sz="4" w:space="0" w:color="000000"/>
              <w:right w:val="single" w:sz="4" w:space="0" w:color="000000"/>
            </w:tcBorders>
            <w:shd w:val="clear" w:color="auto" w:fill="auto"/>
          </w:tcPr>
          <w:p w14:paraId="1D84E967" w14:textId="77777777" w:rsidR="00C0457A" w:rsidRPr="00CD004E" w:rsidRDefault="00C0457A" w:rsidP="00F05A5C">
            <w:pPr>
              <w:jc w:val="center"/>
              <w:rPr>
                <w:color w:val="000000"/>
                <w:sz w:val="20"/>
                <w:szCs w:val="20"/>
              </w:rPr>
            </w:pPr>
            <w:r w:rsidRPr="00CD004E">
              <w:rPr>
                <w:color w:val="000000"/>
                <w:sz w:val="20"/>
                <w:szCs w:val="20"/>
              </w:rPr>
              <w:t>0,6x0,6x3</w:t>
            </w:r>
          </w:p>
        </w:tc>
        <w:tc>
          <w:tcPr>
            <w:tcW w:w="1088" w:type="dxa"/>
            <w:tcBorders>
              <w:bottom w:val="single" w:sz="4" w:space="0" w:color="000000"/>
              <w:right w:val="single" w:sz="4" w:space="0" w:color="000000"/>
            </w:tcBorders>
            <w:shd w:val="clear" w:color="auto" w:fill="auto"/>
          </w:tcPr>
          <w:p w14:paraId="0EFAD3D0" w14:textId="77777777" w:rsidR="00C0457A" w:rsidRPr="00CD004E" w:rsidRDefault="00C0457A" w:rsidP="00F05A5C">
            <w:pPr>
              <w:jc w:val="center"/>
              <w:rPr>
                <w:color w:val="000000"/>
                <w:sz w:val="20"/>
                <w:szCs w:val="20"/>
              </w:rPr>
            </w:pPr>
            <w:r w:rsidRPr="00CD004E">
              <w:rPr>
                <w:color w:val="000000"/>
                <w:sz w:val="20"/>
                <w:szCs w:val="20"/>
              </w:rPr>
              <w:t>200x200</w:t>
            </w:r>
          </w:p>
        </w:tc>
        <w:tc>
          <w:tcPr>
            <w:tcW w:w="580" w:type="dxa"/>
            <w:tcBorders>
              <w:bottom w:val="single" w:sz="4" w:space="0" w:color="000000"/>
              <w:right w:val="single" w:sz="4" w:space="0" w:color="000000"/>
            </w:tcBorders>
            <w:shd w:val="clear" w:color="auto" w:fill="auto"/>
          </w:tcPr>
          <w:p w14:paraId="479C794D" w14:textId="77777777" w:rsidR="00C0457A" w:rsidRPr="00CD004E" w:rsidRDefault="00C0457A" w:rsidP="00F05A5C">
            <w:pPr>
              <w:jc w:val="center"/>
              <w:rPr>
                <w:color w:val="000000"/>
                <w:sz w:val="20"/>
                <w:szCs w:val="20"/>
              </w:rPr>
            </w:pPr>
            <w:r w:rsidRPr="00CD004E">
              <w:rPr>
                <w:color w:val="000000"/>
                <w:sz w:val="20"/>
                <w:szCs w:val="20"/>
              </w:rPr>
              <w:t>101</w:t>
            </w:r>
          </w:p>
        </w:tc>
        <w:tc>
          <w:tcPr>
            <w:tcW w:w="620" w:type="dxa"/>
            <w:tcBorders>
              <w:bottom w:val="single" w:sz="4" w:space="0" w:color="000000"/>
              <w:right w:val="single" w:sz="4" w:space="0" w:color="000000"/>
            </w:tcBorders>
            <w:shd w:val="clear" w:color="auto" w:fill="auto"/>
          </w:tcPr>
          <w:p w14:paraId="58E6554A" w14:textId="77777777" w:rsidR="00C0457A" w:rsidRPr="00CD004E" w:rsidRDefault="00C0457A" w:rsidP="00F05A5C">
            <w:pPr>
              <w:jc w:val="center"/>
              <w:rPr>
                <w:color w:val="000000"/>
                <w:sz w:val="20"/>
                <w:szCs w:val="20"/>
              </w:rPr>
            </w:pPr>
            <w:r w:rsidRPr="00CD004E">
              <w:rPr>
                <w:color w:val="000000"/>
                <w:sz w:val="20"/>
                <w:szCs w:val="20"/>
              </w:rPr>
              <w:t>6620</w:t>
            </w:r>
          </w:p>
        </w:tc>
        <w:tc>
          <w:tcPr>
            <w:tcW w:w="741" w:type="dxa"/>
            <w:tcBorders>
              <w:bottom w:val="single" w:sz="4" w:space="0" w:color="000000"/>
              <w:right w:val="single" w:sz="4" w:space="0" w:color="000000"/>
            </w:tcBorders>
            <w:shd w:val="clear" w:color="auto" w:fill="auto"/>
          </w:tcPr>
          <w:p w14:paraId="1762DB51" w14:textId="77777777" w:rsidR="00C0457A" w:rsidRPr="00CD004E" w:rsidRDefault="00C0457A" w:rsidP="00F05A5C">
            <w:pPr>
              <w:jc w:val="center"/>
              <w:rPr>
                <w:color w:val="000000"/>
                <w:sz w:val="20"/>
                <w:szCs w:val="20"/>
              </w:rPr>
            </w:pPr>
            <w:r w:rsidRPr="00CD004E">
              <w:rPr>
                <w:color w:val="000000"/>
                <w:sz w:val="20"/>
                <w:szCs w:val="20"/>
              </w:rPr>
              <w:t>0 mm</w:t>
            </w:r>
          </w:p>
        </w:tc>
        <w:tc>
          <w:tcPr>
            <w:tcW w:w="860" w:type="dxa"/>
            <w:tcBorders>
              <w:bottom w:val="single" w:sz="4" w:space="0" w:color="000000"/>
              <w:right w:val="single" w:sz="4" w:space="0" w:color="000000"/>
            </w:tcBorders>
            <w:shd w:val="clear" w:color="auto" w:fill="auto"/>
          </w:tcPr>
          <w:p w14:paraId="46846753" w14:textId="77777777" w:rsidR="00C0457A" w:rsidRPr="00CD004E" w:rsidRDefault="00C0457A" w:rsidP="00F05A5C">
            <w:pPr>
              <w:jc w:val="center"/>
              <w:rPr>
                <w:color w:val="000000"/>
                <w:sz w:val="20"/>
                <w:szCs w:val="20"/>
              </w:rPr>
            </w:pPr>
          </w:p>
        </w:tc>
        <w:tc>
          <w:tcPr>
            <w:tcW w:w="727" w:type="dxa"/>
            <w:tcBorders>
              <w:bottom w:val="single" w:sz="4" w:space="0" w:color="000000"/>
              <w:right w:val="single" w:sz="4" w:space="0" w:color="000000"/>
            </w:tcBorders>
            <w:shd w:val="clear" w:color="auto" w:fill="auto"/>
          </w:tcPr>
          <w:p w14:paraId="607CBE22" w14:textId="77777777" w:rsidR="00C0457A" w:rsidRPr="00CD004E" w:rsidRDefault="00C0457A" w:rsidP="00F05A5C">
            <w:pPr>
              <w:jc w:val="center"/>
              <w:rPr>
                <w:color w:val="000000"/>
                <w:sz w:val="20"/>
                <w:szCs w:val="20"/>
              </w:rPr>
            </w:pPr>
            <w:r w:rsidRPr="00CD004E">
              <w:rPr>
                <w:color w:val="000000"/>
                <w:sz w:val="20"/>
                <w:szCs w:val="20"/>
              </w:rPr>
              <w:t>160</w:t>
            </w:r>
          </w:p>
        </w:tc>
      </w:tr>
      <w:tr w:rsidR="00C0457A" w:rsidRPr="00CD004E" w14:paraId="322F26D7" w14:textId="77777777" w:rsidTr="00634B83">
        <w:trPr>
          <w:trHeight w:val="20"/>
        </w:trPr>
        <w:tc>
          <w:tcPr>
            <w:tcW w:w="1300" w:type="dxa"/>
            <w:tcBorders>
              <w:left w:val="single" w:sz="4" w:space="0" w:color="000000"/>
              <w:bottom w:val="single" w:sz="4" w:space="0" w:color="000000"/>
              <w:right w:val="single" w:sz="4" w:space="0" w:color="000000"/>
            </w:tcBorders>
            <w:shd w:val="clear" w:color="auto" w:fill="auto"/>
          </w:tcPr>
          <w:p w14:paraId="366EA4F7" w14:textId="77777777" w:rsidR="00C0457A" w:rsidRPr="00CD004E" w:rsidRDefault="00C0457A" w:rsidP="00F05A5C">
            <w:pPr>
              <w:rPr>
                <w:b/>
                <w:bCs/>
                <w:color w:val="000000"/>
                <w:sz w:val="20"/>
                <w:szCs w:val="20"/>
              </w:rPr>
            </w:pPr>
            <w:r w:rsidRPr="00CD004E">
              <w:rPr>
                <w:b/>
                <w:bCs/>
                <w:color w:val="000000"/>
                <w:sz w:val="20"/>
                <w:szCs w:val="20"/>
              </w:rPr>
              <w:t>DWI</w:t>
            </w:r>
          </w:p>
        </w:tc>
        <w:tc>
          <w:tcPr>
            <w:tcW w:w="1388" w:type="dxa"/>
            <w:tcBorders>
              <w:bottom w:val="single" w:sz="4" w:space="0" w:color="000000"/>
              <w:right w:val="single" w:sz="4" w:space="0" w:color="000000"/>
            </w:tcBorders>
            <w:shd w:val="clear" w:color="auto" w:fill="auto"/>
          </w:tcPr>
          <w:p w14:paraId="4DBB6D4C" w14:textId="77777777" w:rsidR="00C0457A" w:rsidRPr="00CD004E" w:rsidRDefault="00C0457A" w:rsidP="00F05A5C">
            <w:pPr>
              <w:jc w:val="center"/>
              <w:rPr>
                <w:color w:val="000000"/>
                <w:sz w:val="20"/>
                <w:szCs w:val="20"/>
              </w:rPr>
            </w:pPr>
          </w:p>
        </w:tc>
        <w:tc>
          <w:tcPr>
            <w:tcW w:w="1114" w:type="dxa"/>
            <w:tcBorders>
              <w:bottom w:val="single" w:sz="4" w:space="0" w:color="000000"/>
              <w:right w:val="single" w:sz="4" w:space="0" w:color="000000"/>
            </w:tcBorders>
            <w:shd w:val="clear" w:color="auto" w:fill="auto"/>
          </w:tcPr>
          <w:p w14:paraId="2A5CE716" w14:textId="77777777" w:rsidR="00C0457A" w:rsidRPr="00CD004E" w:rsidRDefault="00C0457A" w:rsidP="00F05A5C">
            <w:pPr>
              <w:jc w:val="center"/>
              <w:rPr>
                <w:color w:val="000000"/>
                <w:sz w:val="20"/>
                <w:szCs w:val="20"/>
              </w:rPr>
            </w:pPr>
            <w:r w:rsidRPr="00CD004E">
              <w:rPr>
                <w:color w:val="000000"/>
                <w:sz w:val="20"/>
                <w:szCs w:val="20"/>
              </w:rPr>
              <w:t>3 mm</w:t>
            </w:r>
          </w:p>
        </w:tc>
        <w:tc>
          <w:tcPr>
            <w:tcW w:w="927" w:type="dxa"/>
            <w:tcBorders>
              <w:bottom w:val="single" w:sz="4" w:space="0" w:color="000000"/>
              <w:right w:val="single" w:sz="4" w:space="0" w:color="000000"/>
            </w:tcBorders>
            <w:shd w:val="clear" w:color="auto" w:fill="auto"/>
          </w:tcPr>
          <w:p w14:paraId="4919EEBD" w14:textId="77777777" w:rsidR="00C0457A" w:rsidRPr="00CD004E" w:rsidRDefault="00C0457A" w:rsidP="00F05A5C">
            <w:pPr>
              <w:jc w:val="center"/>
              <w:rPr>
                <w:color w:val="000000"/>
                <w:sz w:val="20"/>
                <w:szCs w:val="20"/>
              </w:rPr>
            </w:pPr>
            <w:r w:rsidRPr="00CD004E">
              <w:rPr>
                <w:color w:val="000000"/>
                <w:sz w:val="20"/>
                <w:szCs w:val="20"/>
              </w:rPr>
              <w:t>20</w:t>
            </w:r>
          </w:p>
        </w:tc>
        <w:tc>
          <w:tcPr>
            <w:tcW w:w="1287" w:type="dxa"/>
            <w:tcBorders>
              <w:bottom w:val="single" w:sz="4" w:space="0" w:color="000000"/>
              <w:right w:val="single" w:sz="4" w:space="0" w:color="000000"/>
            </w:tcBorders>
            <w:shd w:val="clear" w:color="auto" w:fill="auto"/>
          </w:tcPr>
          <w:p w14:paraId="02E8A7E6" w14:textId="77777777" w:rsidR="00C0457A" w:rsidRPr="00CD004E" w:rsidRDefault="00C0457A" w:rsidP="00F05A5C">
            <w:pPr>
              <w:jc w:val="center"/>
              <w:rPr>
                <w:color w:val="000000"/>
                <w:sz w:val="20"/>
                <w:szCs w:val="20"/>
              </w:rPr>
            </w:pPr>
            <w:r w:rsidRPr="00CD004E">
              <w:rPr>
                <w:color w:val="000000"/>
                <w:sz w:val="20"/>
                <w:szCs w:val="20"/>
              </w:rPr>
              <w:t>0,8x0,8x3</w:t>
            </w:r>
          </w:p>
        </w:tc>
        <w:tc>
          <w:tcPr>
            <w:tcW w:w="1088" w:type="dxa"/>
            <w:tcBorders>
              <w:bottom w:val="single" w:sz="4" w:space="0" w:color="000000"/>
              <w:right w:val="single" w:sz="4" w:space="0" w:color="000000"/>
            </w:tcBorders>
            <w:shd w:val="clear" w:color="auto" w:fill="auto"/>
          </w:tcPr>
          <w:p w14:paraId="327DD0DD" w14:textId="77777777" w:rsidR="00C0457A" w:rsidRPr="00CD004E" w:rsidRDefault="00C0457A" w:rsidP="00F05A5C">
            <w:pPr>
              <w:jc w:val="center"/>
              <w:rPr>
                <w:color w:val="000000"/>
                <w:sz w:val="20"/>
                <w:szCs w:val="20"/>
              </w:rPr>
            </w:pPr>
            <w:r w:rsidRPr="00CD004E">
              <w:rPr>
                <w:color w:val="000000"/>
                <w:sz w:val="20"/>
                <w:szCs w:val="20"/>
              </w:rPr>
              <w:t>200x200</w:t>
            </w:r>
          </w:p>
        </w:tc>
        <w:tc>
          <w:tcPr>
            <w:tcW w:w="580" w:type="dxa"/>
            <w:tcBorders>
              <w:bottom w:val="single" w:sz="4" w:space="0" w:color="000000"/>
              <w:right w:val="single" w:sz="4" w:space="0" w:color="000000"/>
            </w:tcBorders>
            <w:shd w:val="clear" w:color="auto" w:fill="auto"/>
          </w:tcPr>
          <w:p w14:paraId="1FC26B82" w14:textId="77777777" w:rsidR="00C0457A" w:rsidRPr="00CD004E" w:rsidRDefault="00C0457A" w:rsidP="00F05A5C">
            <w:pPr>
              <w:jc w:val="center"/>
              <w:rPr>
                <w:color w:val="000000"/>
                <w:sz w:val="20"/>
                <w:szCs w:val="20"/>
              </w:rPr>
            </w:pPr>
            <w:r w:rsidRPr="00CD004E">
              <w:rPr>
                <w:color w:val="000000"/>
                <w:sz w:val="20"/>
                <w:szCs w:val="20"/>
              </w:rPr>
              <w:t>80</w:t>
            </w:r>
          </w:p>
        </w:tc>
        <w:tc>
          <w:tcPr>
            <w:tcW w:w="620" w:type="dxa"/>
            <w:tcBorders>
              <w:bottom w:val="single" w:sz="4" w:space="0" w:color="000000"/>
              <w:right w:val="single" w:sz="4" w:space="0" w:color="000000"/>
            </w:tcBorders>
            <w:shd w:val="clear" w:color="auto" w:fill="auto"/>
          </w:tcPr>
          <w:p w14:paraId="00A30DB5" w14:textId="77777777" w:rsidR="00C0457A" w:rsidRPr="00CD004E" w:rsidRDefault="00C0457A" w:rsidP="00F05A5C">
            <w:pPr>
              <w:jc w:val="center"/>
              <w:rPr>
                <w:color w:val="000000"/>
                <w:sz w:val="20"/>
                <w:szCs w:val="20"/>
              </w:rPr>
            </w:pPr>
            <w:r w:rsidRPr="00CD004E">
              <w:rPr>
                <w:color w:val="000000"/>
                <w:sz w:val="20"/>
                <w:szCs w:val="20"/>
              </w:rPr>
              <w:t>5000</w:t>
            </w:r>
          </w:p>
        </w:tc>
        <w:tc>
          <w:tcPr>
            <w:tcW w:w="741" w:type="dxa"/>
            <w:tcBorders>
              <w:bottom w:val="single" w:sz="4" w:space="0" w:color="000000"/>
              <w:right w:val="single" w:sz="4" w:space="0" w:color="000000"/>
            </w:tcBorders>
            <w:shd w:val="clear" w:color="auto" w:fill="auto"/>
          </w:tcPr>
          <w:p w14:paraId="0A518411" w14:textId="77777777" w:rsidR="00C0457A" w:rsidRPr="00CD004E" w:rsidRDefault="00C0457A" w:rsidP="00F05A5C">
            <w:pPr>
              <w:jc w:val="center"/>
              <w:rPr>
                <w:color w:val="000000"/>
                <w:sz w:val="20"/>
                <w:szCs w:val="20"/>
              </w:rPr>
            </w:pPr>
            <w:r w:rsidRPr="00CD004E">
              <w:rPr>
                <w:color w:val="000000"/>
                <w:sz w:val="20"/>
                <w:szCs w:val="20"/>
              </w:rPr>
              <w:t>0 mm</w:t>
            </w:r>
          </w:p>
        </w:tc>
        <w:tc>
          <w:tcPr>
            <w:tcW w:w="860" w:type="dxa"/>
            <w:tcBorders>
              <w:bottom w:val="single" w:sz="4" w:space="0" w:color="000000"/>
              <w:right w:val="single" w:sz="4" w:space="0" w:color="000000"/>
            </w:tcBorders>
            <w:shd w:val="clear" w:color="auto" w:fill="auto"/>
          </w:tcPr>
          <w:p w14:paraId="74443333" w14:textId="77777777" w:rsidR="00C0457A" w:rsidRPr="00CD004E" w:rsidRDefault="00C0457A" w:rsidP="00F05A5C">
            <w:pPr>
              <w:jc w:val="center"/>
              <w:rPr>
                <w:color w:val="000000"/>
                <w:sz w:val="20"/>
                <w:szCs w:val="20"/>
              </w:rPr>
            </w:pPr>
            <w:r w:rsidRPr="00CD004E">
              <w:rPr>
                <w:color w:val="000000"/>
                <w:sz w:val="20"/>
                <w:szCs w:val="20"/>
              </w:rPr>
              <w:t>50 800 1200 1800 2000**</w:t>
            </w:r>
          </w:p>
        </w:tc>
        <w:tc>
          <w:tcPr>
            <w:tcW w:w="727" w:type="dxa"/>
            <w:tcBorders>
              <w:bottom w:val="single" w:sz="4" w:space="0" w:color="000000"/>
              <w:right w:val="single" w:sz="4" w:space="0" w:color="000000"/>
            </w:tcBorders>
            <w:shd w:val="clear" w:color="auto" w:fill="auto"/>
          </w:tcPr>
          <w:p w14:paraId="776D2B9D" w14:textId="77777777" w:rsidR="00C0457A" w:rsidRPr="00CD004E" w:rsidRDefault="00C0457A" w:rsidP="00F05A5C">
            <w:pPr>
              <w:jc w:val="center"/>
              <w:rPr>
                <w:color w:val="000000"/>
                <w:sz w:val="20"/>
                <w:szCs w:val="20"/>
              </w:rPr>
            </w:pPr>
            <w:r w:rsidRPr="00CD004E">
              <w:rPr>
                <w:color w:val="000000"/>
                <w:sz w:val="20"/>
                <w:szCs w:val="20"/>
              </w:rPr>
              <w:t>-</w:t>
            </w:r>
          </w:p>
        </w:tc>
      </w:tr>
      <w:tr w:rsidR="00C0457A" w:rsidRPr="00CD004E" w14:paraId="2D9717E5" w14:textId="77777777" w:rsidTr="00634B83">
        <w:trPr>
          <w:trHeight w:val="20"/>
        </w:trPr>
        <w:tc>
          <w:tcPr>
            <w:tcW w:w="1300" w:type="dxa"/>
            <w:tcBorders>
              <w:left w:val="single" w:sz="4" w:space="0" w:color="000000"/>
              <w:bottom w:val="single" w:sz="4" w:space="0" w:color="000000"/>
              <w:right w:val="single" w:sz="4" w:space="0" w:color="000000"/>
            </w:tcBorders>
            <w:shd w:val="clear" w:color="auto" w:fill="auto"/>
          </w:tcPr>
          <w:p w14:paraId="55F1C2DF" w14:textId="77777777" w:rsidR="00C0457A" w:rsidRPr="00CD004E" w:rsidRDefault="00C0457A" w:rsidP="00F05A5C">
            <w:pPr>
              <w:rPr>
                <w:b/>
                <w:bCs/>
                <w:color w:val="000000"/>
                <w:sz w:val="20"/>
                <w:szCs w:val="20"/>
              </w:rPr>
            </w:pPr>
            <w:r w:rsidRPr="00CD004E">
              <w:rPr>
                <w:b/>
                <w:bCs/>
                <w:color w:val="000000"/>
                <w:sz w:val="20"/>
                <w:szCs w:val="20"/>
              </w:rPr>
              <w:t>T1W axial Lymph node</w:t>
            </w:r>
          </w:p>
        </w:tc>
        <w:tc>
          <w:tcPr>
            <w:tcW w:w="1388" w:type="dxa"/>
            <w:tcBorders>
              <w:bottom w:val="single" w:sz="4" w:space="0" w:color="000000"/>
              <w:right w:val="single" w:sz="4" w:space="0" w:color="000000"/>
            </w:tcBorders>
            <w:shd w:val="clear" w:color="auto" w:fill="auto"/>
          </w:tcPr>
          <w:p w14:paraId="36CDCAC4" w14:textId="77777777" w:rsidR="00C0457A" w:rsidRPr="00CD004E" w:rsidRDefault="00C0457A" w:rsidP="00F05A5C">
            <w:pPr>
              <w:jc w:val="center"/>
              <w:rPr>
                <w:color w:val="000000"/>
                <w:sz w:val="20"/>
                <w:szCs w:val="20"/>
              </w:rPr>
            </w:pPr>
            <w:r w:rsidRPr="00CD004E">
              <w:rPr>
                <w:color w:val="000000"/>
                <w:sz w:val="20"/>
                <w:szCs w:val="20"/>
              </w:rPr>
              <w:t>TSE</w:t>
            </w:r>
          </w:p>
        </w:tc>
        <w:tc>
          <w:tcPr>
            <w:tcW w:w="1114" w:type="dxa"/>
            <w:tcBorders>
              <w:bottom w:val="single" w:sz="4" w:space="0" w:color="000000"/>
              <w:right w:val="single" w:sz="4" w:space="0" w:color="000000"/>
            </w:tcBorders>
            <w:shd w:val="clear" w:color="auto" w:fill="auto"/>
          </w:tcPr>
          <w:p w14:paraId="0FE88E4F" w14:textId="77777777" w:rsidR="00C0457A" w:rsidRPr="00CD004E" w:rsidRDefault="00C0457A" w:rsidP="00F05A5C">
            <w:pPr>
              <w:jc w:val="center"/>
              <w:rPr>
                <w:color w:val="000000"/>
                <w:sz w:val="20"/>
                <w:szCs w:val="20"/>
              </w:rPr>
            </w:pPr>
            <w:r w:rsidRPr="00CD004E">
              <w:rPr>
                <w:color w:val="000000"/>
                <w:sz w:val="20"/>
                <w:szCs w:val="20"/>
              </w:rPr>
              <w:t>4 mm</w:t>
            </w:r>
          </w:p>
        </w:tc>
        <w:tc>
          <w:tcPr>
            <w:tcW w:w="927" w:type="dxa"/>
            <w:tcBorders>
              <w:bottom w:val="single" w:sz="4" w:space="0" w:color="000000"/>
              <w:right w:val="single" w:sz="4" w:space="0" w:color="000000"/>
            </w:tcBorders>
            <w:shd w:val="clear" w:color="auto" w:fill="auto"/>
          </w:tcPr>
          <w:p w14:paraId="67A81CA7" w14:textId="77777777" w:rsidR="00C0457A" w:rsidRPr="00CD004E" w:rsidRDefault="00C0457A" w:rsidP="00F05A5C">
            <w:pPr>
              <w:jc w:val="center"/>
              <w:rPr>
                <w:color w:val="000000"/>
                <w:sz w:val="20"/>
                <w:szCs w:val="20"/>
              </w:rPr>
            </w:pPr>
            <w:r w:rsidRPr="00CD004E">
              <w:rPr>
                <w:color w:val="000000"/>
                <w:sz w:val="20"/>
                <w:szCs w:val="20"/>
              </w:rPr>
              <w:t>26</w:t>
            </w:r>
          </w:p>
        </w:tc>
        <w:tc>
          <w:tcPr>
            <w:tcW w:w="1287" w:type="dxa"/>
            <w:tcBorders>
              <w:bottom w:val="single" w:sz="4" w:space="0" w:color="000000"/>
              <w:right w:val="single" w:sz="4" w:space="0" w:color="000000"/>
            </w:tcBorders>
            <w:shd w:val="clear" w:color="auto" w:fill="auto"/>
          </w:tcPr>
          <w:p w14:paraId="37601619" w14:textId="77777777" w:rsidR="00C0457A" w:rsidRPr="00CD004E" w:rsidRDefault="00C0457A" w:rsidP="00F05A5C">
            <w:pPr>
              <w:jc w:val="center"/>
              <w:rPr>
                <w:color w:val="000000"/>
                <w:sz w:val="20"/>
                <w:szCs w:val="20"/>
              </w:rPr>
            </w:pPr>
            <w:r w:rsidRPr="00CD004E">
              <w:rPr>
                <w:color w:val="000000"/>
                <w:sz w:val="20"/>
                <w:szCs w:val="20"/>
              </w:rPr>
              <w:t>0,9x0,9x4</w:t>
            </w:r>
          </w:p>
        </w:tc>
        <w:tc>
          <w:tcPr>
            <w:tcW w:w="1088" w:type="dxa"/>
            <w:tcBorders>
              <w:bottom w:val="single" w:sz="4" w:space="0" w:color="000000"/>
              <w:right w:val="single" w:sz="4" w:space="0" w:color="000000"/>
            </w:tcBorders>
            <w:shd w:val="clear" w:color="auto" w:fill="auto"/>
          </w:tcPr>
          <w:p w14:paraId="7C3C9857" w14:textId="77777777" w:rsidR="00C0457A" w:rsidRPr="00CD004E" w:rsidRDefault="00C0457A" w:rsidP="00F05A5C">
            <w:pPr>
              <w:jc w:val="center"/>
              <w:rPr>
                <w:color w:val="000000"/>
                <w:sz w:val="20"/>
                <w:szCs w:val="20"/>
              </w:rPr>
            </w:pPr>
            <w:r w:rsidRPr="00CD004E">
              <w:rPr>
                <w:color w:val="000000"/>
                <w:sz w:val="20"/>
                <w:szCs w:val="20"/>
              </w:rPr>
              <w:t>300x300</w:t>
            </w:r>
          </w:p>
        </w:tc>
        <w:tc>
          <w:tcPr>
            <w:tcW w:w="580" w:type="dxa"/>
            <w:tcBorders>
              <w:bottom w:val="single" w:sz="4" w:space="0" w:color="000000"/>
              <w:right w:val="single" w:sz="4" w:space="0" w:color="000000"/>
            </w:tcBorders>
            <w:shd w:val="clear" w:color="auto" w:fill="auto"/>
          </w:tcPr>
          <w:p w14:paraId="3BAD4AF3" w14:textId="77777777" w:rsidR="00C0457A" w:rsidRPr="00CD004E" w:rsidRDefault="00C0457A" w:rsidP="00F05A5C">
            <w:pPr>
              <w:jc w:val="center"/>
              <w:rPr>
                <w:color w:val="000000"/>
                <w:sz w:val="20"/>
                <w:szCs w:val="20"/>
              </w:rPr>
            </w:pPr>
            <w:r w:rsidRPr="00CD004E">
              <w:rPr>
                <w:color w:val="000000"/>
                <w:sz w:val="20"/>
                <w:szCs w:val="20"/>
              </w:rPr>
              <w:t>20</w:t>
            </w:r>
          </w:p>
        </w:tc>
        <w:tc>
          <w:tcPr>
            <w:tcW w:w="620" w:type="dxa"/>
            <w:tcBorders>
              <w:bottom w:val="single" w:sz="4" w:space="0" w:color="000000"/>
              <w:right w:val="single" w:sz="4" w:space="0" w:color="000000"/>
            </w:tcBorders>
            <w:shd w:val="clear" w:color="auto" w:fill="auto"/>
          </w:tcPr>
          <w:p w14:paraId="0221242C" w14:textId="77777777" w:rsidR="00C0457A" w:rsidRPr="00CD004E" w:rsidRDefault="00C0457A" w:rsidP="00F05A5C">
            <w:pPr>
              <w:jc w:val="center"/>
              <w:rPr>
                <w:color w:val="000000"/>
                <w:sz w:val="20"/>
                <w:szCs w:val="20"/>
              </w:rPr>
            </w:pPr>
            <w:r w:rsidRPr="00CD004E">
              <w:rPr>
                <w:color w:val="000000"/>
                <w:sz w:val="20"/>
                <w:szCs w:val="20"/>
              </w:rPr>
              <w:t>552</w:t>
            </w:r>
          </w:p>
        </w:tc>
        <w:tc>
          <w:tcPr>
            <w:tcW w:w="741" w:type="dxa"/>
            <w:tcBorders>
              <w:bottom w:val="single" w:sz="4" w:space="0" w:color="000000"/>
              <w:right w:val="single" w:sz="4" w:space="0" w:color="000000"/>
            </w:tcBorders>
            <w:shd w:val="clear" w:color="auto" w:fill="auto"/>
          </w:tcPr>
          <w:p w14:paraId="4C7561EF" w14:textId="77777777" w:rsidR="00C0457A" w:rsidRPr="00CD004E" w:rsidRDefault="00C0457A" w:rsidP="00F05A5C">
            <w:pPr>
              <w:jc w:val="center"/>
              <w:rPr>
                <w:color w:val="000000"/>
                <w:sz w:val="20"/>
                <w:szCs w:val="20"/>
              </w:rPr>
            </w:pPr>
            <w:r w:rsidRPr="00CD004E">
              <w:rPr>
                <w:color w:val="000000"/>
                <w:sz w:val="20"/>
                <w:szCs w:val="20"/>
              </w:rPr>
              <w:t>0.8 mm</w:t>
            </w:r>
          </w:p>
        </w:tc>
        <w:tc>
          <w:tcPr>
            <w:tcW w:w="860" w:type="dxa"/>
            <w:tcBorders>
              <w:bottom w:val="single" w:sz="4" w:space="0" w:color="000000"/>
              <w:right w:val="single" w:sz="4" w:space="0" w:color="000000"/>
            </w:tcBorders>
            <w:shd w:val="clear" w:color="auto" w:fill="auto"/>
          </w:tcPr>
          <w:p w14:paraId="4E3ADF46" w14:textId="77777777" w:rsidR="00C0457A" w:rsidRPr="00CD004E" w:rsidRDefault="00C0457A" w:rsidP="00F05A5C">
            <w:pPr>
              <w:jc w:val="center"/>
              <w:rPr>
                <w:color w:val="000000"/>
                <w:sz w:val="20"/>
                <w:szCs w:val="20"/>
              </w:rPr>
            </w:pPr>
          </w:p>
        </w:tc>
        <w:tc>
          <w:tcPr>
            <w:tcW w:w="727" w:type="dxa"/>
            <w:tcBorders>
              <w:bottom w:val="single" w:sz="4" w:space="0" w:color="000000"/>
              <w:right w:val="single" w:sz="4" w:space="0" w:color="000000"/>
            </w:tcBorders>
            <w:shd w:val="clear" w:color="auto" w:fill="auto"/>
          </w:tcPr>
          <w:p w14:paraId="43945BEB" w14:textId="77777777" w:rsidR="00C0457A" w:rsidRPr="00CD004E" w:rsidRDefault="00C0457A" w:rsidP="00F05A5C">
            <w:pPr>
              <w:jc w:val="center"/>
              <w:rPr>
                <w:color w:val="000000"/>
                <w:sz w:val="20"/>
                <w:szCs w:val="20"/>
              </w:rPr>
            </w:pPr>
            <w:r w:rsidRPr="00CD004E">
              <w:rPr>
                <w:color w:val="000000"/>
                <w:sz w:val="20"/>
                <w:szCs w:val="20"/>
              </w:rPr>
              <w:t>167</w:t>
            </w:r>
          </w:p>
        </w:tc>
      </w:tr>
      <w:tr w:rsidR="00C0457A" w:rsidRPr="00CD004E" w14:paraId="18F0B777" w14:textId="77777777" w:rsidTr="00634B83">
        <w:trPr>
          <w:trHeight w:val="20"/>
        </w:trPr>
        <w:tc>
          <w:tcPr>
            <w:tcW w:w="1300" w:type="dxa"/>
            <w:tcBorders>
              <w:left w:val="single" w:sz="4" w:space="0" w:color="000000"/>
              <w:bottom w:val="single" w:sz="4" w:space="0" w:color="000000"/>
              <w:right w:val="single" w:sz="4" w:space="0" w:color="000000"/>
            </w:tcBorders>
            <w:shd w:val="clear" w:color="auto" w:fill="auto"/>
          </w:tcPr>
          <w:p w14:paraId="187C77A6" w14:textId="77777777" w:rsidR="00C0457A" w:rsidRPr="00CD004E" w:rsidRDefault="00C0457A" w:rsidP="00F05A5C">
            <w:pPr>
              <w:rPr>
                <w:b/>
                <w:bCs/>
                <w:color w:val="000000"/>
                <w:sz w:val="20"/>
                <w:szCs w:val="20"/>
              </w:rPr>
            </w:pPr>
            <w:r w:rsidRPr="00CD004E">
              <w:rPr>
                <w:b/>
                <w:bCs/>
                <w:color w:val="000000"/>
                <w:sz w:val="20"/>
                <w:szCs w:val="20"/>
              </w:rPr>
              <w:t>T1 Map axial</w:t>
            </w:r>
          </w:p>
        </w:tc>
        <w:tc>
          <w:tcPr>
            <w:tcW w:w="1388" w:type="dxa"/>
            <w:tcBorders>
              <w:bottom w:val="single" w:sz="4" w:space="0" w:color="000000"/>
              <w:right w:val="single" w:sz="4" w:space="0" w:color="000000"/>
            </w:tcBorders>
            <w:shd w:val="clear" w:color="auto" w:fill="auto"/>
          </w:tcPr>
          <w:p w14:paraId="7A06CB68" w14:textId="77777777" w:rsidR="00C0457A" w:rsidRPr="00CD004E" w:rsidRDefault="00C0457A" w:rsidP="00F05A5C">
            <w:pPr>
              <w:jc w:val="center"/>
              <w:rPr>
                <w:color w:val="000000"/>
                <w:sz w:val="20"/>
                <w:szCs w:val="20"/>
              </w:rPr>
            </w:pPr>
            <w:r w:rsidRPr="00CD004E">
              <w:rPr>
                <w:color w:val="000000"/>
                <w:sz w:val="20"/>
                <w:szCs w:val="20"/>
              </w:rPr>
              <w:t>Vibe tra</w:t>
            </w:r>
          </w:p>
        </w:tc>
        <w:tc>
          <w:tcPr>
            <w:tcW w:w="1114" w:type="dxa"/>
            <w:tcBorders>
              <w:bottom w:val="single" w:sz="4" w:space="0" w:color="000000"/>
              <w:right w:val="single" w:sz="4" w:space="0" w:color="000000"/>
            </w:tcBorders>
            <w:shd w:val="clear" w:color="auto" w:fill="auto"/>
          </w:tcPr>
          <w:p w14:paraId="71B64625" w14:textId="77777777" w:rsidR="00C0457A" w:rsidRPr="00CD004E" w:rsidRDefault="00C0457A" w:rsidP="00F05A5C">
            <w:pPr>
              <w:jc w:val="center"/>
              <w:rPr>
                <w:color w:val="000000"/>
                <w:sz w:val="20"/>
                <w:szCs w:val="20"/>
              </w:rPr>
            </w:pPr>
            <w:r w:rsidRPr="00CD004E">
              <w:rPr>
                <w:color w:val="000000"/>
                <w:sz w:val="20"/>
                <w:szCs w:val="20"/>
              </w:rPr>
              <w:t>3,5 mm</w:t>
            </w:r>
          </w:p>
        </w:tc>
        <w:tc>
          <w:tcPr>
            <w:tcW w:w="927" w:type="dxa"/>
            <w:tcBorders>
              <w:bottom w:val="single" w:sz="4" w:space="0" w:color="000000"/>
              <w:right w:val="single" w:sz="4" w:space="0" w:color="000000"/>
            </w:tcBorders>
            <w:shd w:val="clear" w:color="auto" w:fill="auto"/>
          </w:tcPr>
          <w:p w14:paraId="78ADF2E6" w14:textId="77777777" w:rsidR="00C0457A" w:rsidRPr="00CD004E" w:rsidRDefault="00C0457A" w:rsidP="00F05A5C">
            <w:pPr>
              <w:jc w:val="center"/>
              <w:rPr>
                <w:color w:val="000000"/>
                <w:sz w:val="20"/>
                <w:szCs w:val="20"/>
              </w:rPr>
            </w:pPr>
            <w:r w:rsidRPr="00CD004E">
              <w:rPr>
                <w:color w:val="000000"/>
                <w:sz w:val="20"/>
                <w:szCs w:val="20"/>
              </w:rPr>
              <w:t>20</w:t>
            </w:r>
          </w:p>
        </w:tc>
        <w:tc>
          <w:tcPr>
            <w:tcW w:w="1287" w:type="dxa"/>
            <w:tcBorders>
              <w:bottom w:val="single" w:sz="4" w:space="0" w:color="000000"/>
              <w:right w:val="single" w:sz="4" w:space="0" w:color="000000"/>
            </w:tcBorders>
            <w:shd w:val="clear" w:color="auto" w:fill="auto"/>
          </w:tcPr>
          <w:p w14:paraId="444C4C54" w14:textId="77777777" w:rsidR="00C0457A" w:rsidRPr="00CD004E" w:rsidRDefault="00C0457A" w:rsidP="00F05A5C">
            <w:pPr>
              <w:jc w:val="center"/>
              <w:rPr>
                <w:color w:val="000000"/>
                <w:sz w:val="20"/>
                <w:szCs w:val="20"/>
              </w:rPr>
            </w:pPr>
            <w:r w:rsidRPr="00CD004E">
              <w:rPr>
                <w:color w:val="000000"/>
                <w:sz w:val="20"/>
                <w:szCs w:val="20"/>
              </w:rPr>
              <w:t>1,4x1,4x3,5</w:t>
            </w:r>
          </w:p>
        </w:tc>
        <w:tc>
          <w:tcPr>
            <w:tcW w:w="1088" w:type="dxa"/>
            <w:tcBorders>
              <w:bottom w:val="single" w:sz="4" w:space="0" w:color="000000"/>
              <w:right w:val="single" w:sz="4" w:space="0" w:color="000000"/>
            </w:tcBorders>
            <w:shd w:val="clear" w:color="auto" w:fill="auto"/>
          </w:tcPr>
          <w:p w14:paraId="3E190636" w14:textId="77777777" w:rsidR="00C0457A" w:rsidRPr="00CD004E" w:rsidRDefault="00C0457A" w:rsidP="00F05A5C">
            <w:pPr>
              <w:jc w:val="center"/>
              <w:rPr>
                <w:color w:val="000000"/>
                <w:sz w:val="20"/>
                <w:szCs w:val="20"/>
              </w:rPr>
            </w:pPr>
            <w:r w:rsidRPr="00CD004E">
              <w:rPr>
                <w:color w:val="000000"/>
                <w:sz w:val="20"/>
                <w:szCs w:val="20"/>
              </w:rPr>
              <w:t>260x260</w:t>
            </w:r>
          </w:p>
        </w:tc>
        <w:tc>
          <w:tcPr>
            <w:tcW w:w="580" w:type="dxa"/>
            <w:tcBorders>
              <w:bottom w:val="single" w:sz="4" w:space="0" w:color="000000"/>
              <w:right w:val="single" w:sz="4" w:space="0" w:color="000000"/>
            </w:tcBorders>
            <w:shd w:val="clear" w:color="auto" w:fill="auto"/>
          </w:tcPr>
          <w:p w14:paraId="61101B55" w14:textId="77777777" w:rsidR="00C0457A" w:rsidRPr="00CD004E" w:rsidRDefault="00C0457A" w:rsidP="00F05A5C">
            <w:pPr>
              <w:jc w:val="center"/>
              <w:rPr>
                <w:color w:val="000000"/>
                <w:sz w:val="20"/>
                <w:szCs w:val="20"/>
              </w:rPr>
            </w:pPr>
            <w:r w:rsidRPr="00CD004E">
              <w:rPr>
                <w:color w:val="000000"/>
                <w:sz w:val="20"/>
                <w:szCs w:val="20"/>
              </w:rPr>
              <w:t>1,9</w:t>
            </w:r>
          </w:p>
        </w:tc>
        <w:tc>
          <w:tcPr>
            <w:tcW w:w="620" w:type="dxa"/>
            <w:tcBorders>
              <w:bottom w:val="single" w:sz="4" w:space="0" w:color="000000"/>
              <w:right w:val="single" w:sz="4" w:space="0" w:color="000000"/>
            </w:tcBorders>
            <w:shd w:val="clear" w:color="auto" w:fill="auto"/>
          </w:tcPr>
          <w:p w14:paraId="41F5844A" w14:textId="77777777" w:rsidR="00C0457A" w:rsidRPr="00CD004E" w:rsidRDefault="00C0457A" w:rsidP="00F05A5C">
            <w:pPr>
              <w:jc w:val="center"/>
              <w:rPr>
                <w:color w:val="000000"/>
                <w:sz w:val="20"/>
                <w:szCs w:val="20"/>
              </w:rPr>
            </w:pPr>
            <w:r w:rsidRPr="00CD004E">
              <w:rPr>
                <w:color w:val="000000"/>
                <w:sz w:val="20"/>
                <w:szCs w:val="20"/>
              </w:rPr>
              <w:t>4,11</w:t>
            </w:r>
          </w:p>
        </w:tc>
        <w:tc>
          <w:tcPr>
            <w:tcW w:w="741" w:type="dxa"/>
            <w:tcBorders>
              <w:bottom w:val="single" w:sz="4" w:space="0" w:color="000000"/>
              <w:right w:val="single" w:sz="4" w:space="0" w:color="000000"/>
            </w:tcBorders>
            <w:shd w:val="clear" w:color="auto" w:fill="auto"/>
          </w:tcPr>
          <w:p w14:paraId="02E0E0C1" w14:textId="77777777" w:rsidR="00C0457A" w:rsidRPr="00CD004E" w:rsidRDefault="00C0457A" w:rsidP="00F05A5C">
            <w:pPr>
              <w:jc w:val="center"/>
              <w:rPr>
                <w:color w:val="000000"/>
                <w:sz w:val="20"/>
                <w:szCs w:val="20"/>
              </w:rPr>
            </w:pPr>
            <w:r w:rsidRPr="00CD004E">
              <w:rPr>
                <w:color w:val="000000"/>
                <w:sz w:val="20"/>
                <w:szCs w:val="20"/>
              </w:rPr>
              <w:t>0 mm</w:t>
            </w:r>
          </w:p>
        </w:tc>
        <w:tc>
          <w:tcPr>
            <w:tcW w:w="860" w:type="dxa"/>
            <w:tcBorders>
              <w:bottom w:val="single" w:sz="4" w:space="0" w:color="000000"/>
              <w:right w:val="single" w:sz="4" w:space="0" w:color="000000"/>
            </w:tcBorders>
            <w:shd w:val="clear" w:color="auto" w:fill="auto"/>
          </w:tcPr>
          <w:p w14:paraId="081B05BD" w14:textId="77777777" w:rsidR="00C0457A" w:rsidRPr="00CD004E" w:rsidRDefault="00C0457A" w:rsidP="00F05A5C">
            <w:pPr>
              <w:jc w:val="center"/>
              <w:rPr>
                <w:color w:val="000000"/>
                <w:sz w:val="20"/>
                <w:szCs w:val="20"/>
              </w:rPr>
            </w:pPr>
          </w:p>
        </w:tc>
        <w:tc>
          <w:tcPr>
            <w:tcW w:w="727" w:type="dxa"/>
            <w:tcBorders>
              <w:bottom w:val="single" w:sz="4" w:space="0" w:color="000000"/>
              <w:right w:val="single" w:sz="4" w:space="0" w:color="000000"/>
            </w:tcBorders>
            <w:shd w:val="clear" w:color="auto" w:fill="auto"/>
          </w:tcPr>
          <w:p w14:paraId="0FB7CAEE" w14:textId="77777777" w:rsidR="00C0457A" w:rsidRPr="00CD004E" w:rsidRDefault="00C0457A" w:rsidP="00F05A5C">
            <w:pPr>
              <w:jc w:val="center"/>
              <w:rPr>
                <w:color w:val="000000"/>
                <w:sz w:val="20"/>
                <w:szCs w:val="20"/>
              </w:rPr>
            </w:pPr>
            <w:r w:rsidRPr="00CD004E">
              <w:rPr>
                <w:color w:val="000000"/>
                <w:sz w:val="20"/>
                <w:szCs w:val="20"/>
              </w:rPr>
              <w:t>2     15</w:t>
            </w:r>
          </w:p>
        </w:tc>
      </w:tr>
      <w:tr w:rsidR="00C0457A" w:rsidRPr="00CD004E" w14:paraId="722E6E32" w14:textId="77777777" w:rsidTr="00634B83">
        <w:trPr>
          <w:trHeight w:val="20"/>
        </w:trPr>
        <w:tc>
          <w:tcPr>
            <w:tcW w:w="1300" w:type="dxa"/>
            <w:tcBorders>
              <w:left w:val="single" w:sz="4" w:space="0" w:color="000000"/>
              <w:bottom w:val="single" w:sz="4" w:space="0" w:color="000000"/>
              <w:right w:val="single" w:sz="4" w:space="0" w:color="000000"/>
            </w:tcBorders>
            <w:shd w:val="clear" w:color="auto" w:fill="auto"/>
            <w:vAlign w:val="center"/>
          </w:tcPr>
          <w:p w14:paraId="65BAFE7F" w14:textId="77777777" w:rsidR="00C0457A" w:rsidRPr="00CD004E" w:rsidRDefault="00C0457A" w:rsidP="00F05A5C">
            <w:pPr>
              <w:rPr>
                <w:b/>
                <w:bCs/>
                <w:color w:val="000000"/>
                <w:sz w:val="20"/>
                <w:szCs w:val="20"/>
              </w:rPr>
            </w:pPr>
            <w:r w:rsidRPr="00CD004E">
              <w:rPr>
                <w:b/>
                <w:bCs/>
                <w:color w:val="000000"/>
                <w:sz w:val="20"/>
                <w:szCs w:val="20"/>
              </w:rPr>
              <w:t>T1W DCE-MRI***</w:t>
            </w:r>
          </w:p>
        </w:tc>
        <w:tc>
          <w:tcPr>
            <w:tcW w:w="1388" w:type="dxa"/>
            <w:tcBorders>
              <w:bottom w:val="single" w:sz="4" w:space="0" w:color="000000"/>
              <w:right w:val="single" w:sz="4" w:space="0" w:color="000000"/>
            </w:tcBorders>
            <w:shd w:val="clear" w:color="auto" w:fill="auto"/>
          </w:tcPr>
          <w:p w14:paraId="51C2416A" w14:textId="77777777" w:rsidR="00C0457A" w:rsidRPr="00CD004E" w:rsidRDefault="00C0457A" w:rsidP="00F05A5C">
            <w:pPr>
              <w:jc w:val="center"/>
              <w:rPr>
                <w:color w:val="000000"/>
                <w:sz w:val="20"/>
                <w:szCs w:val="20"/>
              </w:rPr>
            </w:pPr>
            <w:proofErr w:type="gramStart"/>
            <w:r w:rsidRPr="00CD004E">
              <w:rPr>
                <w:color w:val="000000"/>
                <w:sz w:val="20"/>
                <w:szCs w:val="20"/>
              </w:rPr>
              <w:t>vibe</w:t>
            </w:r>
            <w:proofErr w:type="gramEnd"/>
            <w:r w:rsidRPr="00CD004E">
              <w:rPr>
                <w:color w:val="000000"/>
                <w:sz w:val="20"/>
                <w:szCs w:val="20"/>
              </w:rPr>
              <w:t xml:space="preserve"> tra</w:t>
            </w:r>
          </w:p>
        </w:tc>
        <w:tc>
          <w:tcPr>
            <w:tcW w:w="1114" w:type="dxa"/>
            <w:tcBorders>
              <w:bottom w:val="single" w:sz="4" w:space="0" w:color="000000"/>
              <w:right w:val="single" w:sz="4" w:space="0" w:color="000000"/>
            </w:tcBorders>
            <w:shd w:val="clear" w:color="auto" w:fill="auto"/>
          </w:tcPr>
          <w:p w14:paraId="245457A0" w14:textId="77777777" w:rsidR="00C0457A" w:rsidRPr="00CD004E" w:rsidRDefault="00C0457A" w:rsidP="00F05A5C">
            <w:pPr>
              <w:jc w:val="center"/>
              <w:rPr>
                <w:color w:val="000000"/>
                <w:sz w:val="20"/>
                <w:szCs w:val="20"/>
              </w:rPr>
            </w:pPr>
            <w:r w:rsidRPr="00CD004E">
              <w:rPr>
                <w:color w:val="000000"/>
                <w:sz w:val="20"/>
                <w:szCs w:val="20"/>
              </w:rPr>
              <w:t>3,5 mm</w:t>
            </w:r>
          </w:p>
        </w:tc>
        <w:tc>
          <w:tcPr>
            <w:tcW w:w="927" w:type="dxa"/>
            <w:tcBorders>
              <w:bottom w:val="single" w:sz="4" w:space="0" w:color="000000"/>
              <w:right w:val="single" w:sz="4" w:space="0" w:color="000000"/>
            </w:tcBorders>
            <w:shd w:val="clear" w:color="auto" w:fill="auto"/>
          </w:tcPr>
          <w:p w14:paraId="52B25FFA" w14:textId="77777777" w:rsidR="00C0457A" w:rsidRPr="00CD004E" w:rsidRDefault="00C0457A" w:rsidP="00F05A5C">
            <w:pPr>
              <w:jc w:val="center"/>
              <w:rPr>
                <w:color w:val="000000"/>
                <w:sz w:val="20"/>
                <w:szCs w:val="20"/>
              </w:rPr>
            </w:pPr>
            <w:r w:rsidRPr="00CD004E">
              <w:rPr>
                <w:color w:val="000000"/>
                <w:sz w:val="20"/>
                <w:szCs w:val="20"/>
              </w:rPr>
              <w:t>20</w:t>
            </w:r>
          </w:p>
        </w:tc>
        <w:tc>
          <w:tcPr>
            <w:tcW w:w="1287" w:type="dxa"/>
            <w:tcBorders>
              <w:bottom w:val="single" w:sz="4" w:space="0" w:color="000000"/>
              <w:right w:val="single" w:sz="4" w:space="0" w:color="000000"/>
            </w:tcBorders>
            <w:shd w:val="clear" w:color="auto" w:fill="auto"/>
          </w:tcPr>
          <w:p w14:paraId="2018E545" w14:textId="77777777" w:rsidR="00C0457A" w:rsidRPr="00CD004E" w:rsidRDefault="00C0457A" w:rsidP="00F05A5C">
            <w:pPr>
              <w:jc w:val="center"/>
              <w:rPr>
                <w:color w:val="000000"/>
                <w:sz w:val="20"/>
                <w:szCs w:val="20"/>
              </w:rPr>
            </w:pPr>
            <w:r w:rsidRPr="00CD004E">
              <w:rPr>
                <w:color w:val="000000"/>
                <w:sz w:val="20"/>
                <w:szCs w:val="20"/>
              </w:rPr>
              <w:t>1,4x1,4x3,5</w:t>
            </w:r>
          </w:p>
        </w:tc>
        <w:tc>
          <w:tcPr>
            <w:tcW w:w="1088" w:type="dxa"/>
            <w:tcBorders>
              <w:bottom w:val="single" w:sz="4" w:space="0" w:color="000000"/>
              <w:right w:val="single" w:sz="4" w:space="0" w:color="000000"/>
            </w:tcBorders>
            <w:shd w:val="clear" w:color="auto" w:fill="auto"/>
          </w:tcPr>
          <w:p w14:paraId="76204DAC" w14:textId="77777777" w:rsidR="00C0457A" w:rsidRPr="00CD004E" w:rsidRDefault="00C0457A" w:rsidP="00F05A5C">
            <w:pPr>
              <w:jc w:val="center"/>
              <w:rPr>
                <w:color w:val="000000"/>
                <w:sz w:val="20"/>
                <w:szCs w:val="20"/>
              </w:rPr>
            </w:pPr>
            <w:r w:rsidRPr="00CD004E">
              <w:rPr>
                <w:color w:val="000000"/>
                <w:sz w:val="20"/>
                <w:szCs w:val="20"/>
              </w:rPr>
              <w:t>260x260</w:t>
            </w:r>
          </w:p>
        </w:tc>
        <w:tc>
          <w:tcPr>
            <w:tcW w:w="580" w:type="dxa"/>
            <w:tcBorders>
              <w:bottom w:val="single" w:sz="4" w:space="0" w:color="000000"/>
              <w:right w:val="single" w:sz="4" w:space="0" w:color="000000"/>
            </w:tcBorders>
            <w:shd w:val="clear" w:color="auto" w:fill="auto"/>
          </w:tcPr>
          <w:p w14:paraId="5050B5DF" w14:textId="77777777" w:rsidR="00C0457A" w:rsidRPr="00CD004E" w:rsidRDefault="00C0457A" w:rsidP="00F05A5C">
            <w:pPr>
              <w:jc w:val="center"/>
              <w:rPr>
                <w:color w:val="000000"/>
                <w:sz w:val="20"/>
                <w:szCs w:val="20"/>
              </w:rPr>
            </w:pPr>
            <w:r w:rsidRPr="00CD004E">
              <w:rPr>
                <w:color w:val="000000"/>
                <w:sz w:val="20"/>
                <w:szCs w:val="20"/>
              </w:rPr>
              <w:t>1,58</w:t>
            </w:r>
          </w:p>
        </w:tc>
        <w:tc>
          <w:tcPr>
            <w:tcW w:w="620" w:type="dxa"/>
            <w:tcBorders>
              <w:bottom w:val="single" w:sz="4" w:space="0" w:color="000000"/>
              <w:right w:val="single" w:sz="4" w:space="0" w:color="000000"/>
            </w:tcBorders>
            <w:shd w:val="clear" w:color="auto" w:fill="auto"/>
          </w:tcPr>
          <w:p w14:paraId="435E058D" w14:textId="77777777" w:rsidR="00C0457A" w:rsidRPr="00CD004E" w:rsidRDefault="00C0457A" w:rsidP="00F05A5C">
            <w:pPr>
              <w:jc w:val="center"/>
              <w:rPr>
                <w:color w:val="000000"/>
                <w:sz w:val="20"/>
                <w:szCs w:val="20"/>
              </w:rPr>
            </w:pPr>
            <w:r w:rsidRPr="00CD004E">
              <w:rPr>
                <w:color w:val="000000"/>
                <w:sz w:val="20"/>
                <w:szCs w:val="20"/>
              </w:rPr>
              <w:t>4,46</w:t>
            </w:r>
          </w:p>
        </w:tc>
        <w:tc>
          <w:tcPr>
            <w:tcW w:w="741" w:type="dxa"/>
            <w:tcBorders>
              <w:bottom w:val="single" w:sz="4" w:space="0" w:color="000000"/>
              <w:right w:val="single" w:sz="4" w:space="0" w:color="000000"/>
            </w:tcBorders>
            <w:shd w:val="clear" w:color="auto" w:fill="auto"/>
          </w:tcPr>
          <w:p w14:paraId="0907CE63" w14:textId="77777777" w:rsidR="00C0457A" w:rsidRPr="00CD004E" w:rsidRDefault="00C0457A" w:rsidP="00F05A5C">
            <w:pPr>
              <w:jc w:val="center"/>
              <w:rPr>
                <w:color w:val="000000"/>
                <w:sz w:val="20"/>
                <w:szCs w:val="20"/>
              </w:rPr>
            </w:pPr>
            <w:r w:rsidRPr="00CD004E">
              <w:rPr>
                <w:color w:val="000000"/>
                <w:sz w:val="20"/>
                <w:szCs w:val="20"/>
              </w:rPr>
              <w:t>0 mm</w:t>
            </w:r>
          </w:p>
        </w:tc>
        <w:tc>
          <w:tcPr>
            <w:tcW w:w="860" w:type="dxa"/>
            <w:tcBorders>
              <w:bottom w:val="single" w:sz="4" w:space="0" w:color="000000"/>
              <w:right w:val="single" w:sz="4" w:space="0" w:color="000000"/>
            </w:tcBorders>
            <w:shd w:val="clear" w:color="auto" w:fill="auto"/>
          </w:tcPr>
          <w:p w14:paraId="0B856F7B" w14:textId="77777777" w:rsidR="00C0457A" w:rsidRPr="00CD004E" w:rsidRDefault="00C0457A" w:rsidP="00F05A5C">
            <w:pPr>
              <w:jc w:val="center"/>
              <w:rPr>
                <w:color w:val="000000"/>
                <w:sz w:val="20"/>
                <w:szCs w:val="20"/>
              </w:rPr>
            </w:pPr>
          </w:p>
        </w:tc>
        <w:tc>
          <w:tcPr>
            <w:tcW w:w="727" w:type="dxa"/>
            <w:tcBorders>
              <w:bottom w:val="single" w:sz="4" w:space="0" w:color="000000"/>
              <w:right w:val="single" w:sz="4" w:space="0" w:color="000000"/>
            </w:tcBorders>
            <w:shd w:val="clear" w:color="auto" w:fill="auto"/>
          </w:tcPr>
          <w:p w14:paraId="1912680D" w14:textId="77777777" w:rsidR="00C0457A" w:rsidRPr="00CD004E" w:rsidRDefault="00C0457A" w:rsidP="00F05A5C">
            <w:pPr>
              <w:jc w:val="center"/>
              <w:rPr>
                <w:color w:val="000000"/>
                <w:sz w:val="20"/>
                <w:szCs w:val="20"/>
              </w:rPr>
            </w:pPr>
            <w:r w:rsidRPr="00CD004E">
              <w:rPr>
                <w:color w:val="000000"/>
                <w:sz w:val="20"/>
                <w:szCs w:val="20"/>
              </w:rPr>
              <w:t>12</w:t>
            </w:r>
          </w:p>
        </w:tc>
      </w:tr>
      <w:tr w:rsidR="00C0457A" w:rsidRPr="00CD004E" w14:paraId="2EFEAE1F" w14:textId="77777777" w:rsidTr="00634B83">
        <w:trPr>
          <w:trHeight w:val="20"/>
        </w:trPr>
        <w:tc>
          <w:tcPr>
            <w:tcW w:w="1300" w:type="dxa"/>
            <w:tcBorders>
              <w:left w:val="single" w:sz="4" w:space="0" w:color="000000"/>
              <w:bottom w:val="single" w:sz="4" w:space="0" w:color="000000"/>
              <w:right w:val="single" w:sz="4" w:space="0" w:color="000000"/>
            </w:tcBorders>
            <w:shd w:val="clear" w:color="auto" w:fill="auto"/>
          </w:tcPr>
          <w:p w14:paraId="7A466C32" w14:textId="22188446" w:rsidR="00C0457A" w:rsidRPr="00CD004E" w:rsidRDefault="00A826C3" w:rsidP="00F05A5C">
            <w:pPr>
              <w:rPr>
                <w:b/>
                <w:bCs/>
                <w:color w:val="000000"/>
                <w:sz w:val="20"/>
                <w:szCs w:val="20"/>
              </w:rPr>
            </w:pPr>
            <w:r w:rsidRPr="00CD004E">
              <w:rPr>
                <w:b/>
                <w:bCs/>
                <w:color w:val="000000"/>
                <w:sz w:val="20"/>
                <w:szCs w:val="20"/>
              </w:rPr>
              <w:t>P</w:t>
            </w:r>
            <w:r w:rsidR="00C0457A" w:rsidRPr="00CD004E">
              <w:rPr>
                <w:b/>
                <w:bCs/>
                <w:color w:val="000000"/>
                <w:sz w:val="20"/>
                <w:szCs w:val="20"/>
              </w:rPr>
              <w:t>ost</w:t>
            </w:r>
            <w:r w:rsidRPr="00CD004E">
              <w:rPr>
                <w:b/>
                <w:bCs/>
                <w:color w:val="000000"/>
                <w:sz w:val="20"/>
                <w:szCs w:val="20"/>
              </w:rPr>
              <w:t>-</w:t>
            </w:r>
            <w:r w:rsidR="00C0457A" w:rsidRPr="00CD004E">
              <w:rPr>
                <w:b/>
                <w:bCs/>
                <w:color w:val="000000"/>
                <w:sz w:val="20"/>
                <w:szCs w:val="20"/>
              </w:rPr>
              <w:t>contrast T1W axial</w:t>
            </w:r>
          </w:p>
        </w:tc>
        <w:tc>
          <w:tcPr>
            <w:tcW w:w="1388" w:type="dxa"/>
            <w:tcBorders>
              <w:bottom w:val="single" w:sz="4" w:space="0" w:color="000000"/>
              <w:right w:val="single" w:sz="4" w:space="0" w:color="000000"/>
            </w:tcBorders>
            <w:shd w:val="clear" w:color="auto" w:fill="auto"/>
          </w:tcPr>
          <w:p w14:paraId="7AB1BA10" w14:textId="77777777" w:rsidR="00C0457A" w:rsidRPr="00CD004E" w:rsidRDefault="00C0457A" w:rsidP="00F05A5C">
            <w:pPr>
              <w:jc w:val="center"/>
              <w:rPr>
                <w:color w:val="000000"/>
                <w:sz w:val="20"/>
                <w:szCs w:val="20"/>
              </w:rPr>
            </w:pPr>
            <w:r w:rsidRPr="00CD004E">
              <w:rPr>
                <w:color w:val="000000"/>
                <w:sz w:val="20"/>
                <w:szCs w:val="20"/>
              </w:rPr>
              <w:t>TSE</w:t>
            </w:r>
          </w:p>
        </w:tc>
        <w:tc>
          <w:tcPr>
            <w:tcW w:w="1114" w:type="dxa"/>
            <w:tcBorders>
              <w:bottom w:val="single" w:sz="4" w:space="0" w:color="000000"/>
              <w:right w:val="single" w:sz="4" w:space="0" w:color="000000"/>
            </w:tcBorders>
            <w:shd w:val="clear" w:color="auto" w:fill="auto"/>
          </w:tcPr>
          <w:p w14:paraId="0F3BFA6A" w14:textId="77777777" w:rsidR="00C0457A" w:rsidRPr="00CD004E" w:rsidRDefault="00C0457A" w:rsidP="00F05A5C">
            <w:pPr>
              <w:jc w:val="center"/>
              <w:rPr>
                <w:color w:val="000000"/>
                <w:sz w:val="20"/>
                <w:szCs w:val="20"/>
              </w:rPr>
            </w:pPr>
            <w:r w:rsidRPr="00CD004E">
              <w:rPr>
                <w:color w:val="000000"/>
                <w:sz w:val="20"/>
                <w:szCs w:val="20"/>
              </w:rPr>
              <w:t>4 mm</w:t>
            </w:r>
          </w:p>
        </w:tc>
        <w:tc>
          <w:tcPr>
            <w:tcW w:w="927" w:type="dxa"/>
            <w:tcBorders>
              <w:bottom w:val="single" w:sz="4" w:space="0" w:color="000000"/>
              <w:right w:val="single" w:sz="4" w:space="0" w:color="000000"/>
            </w:tcBorders>
            <w:shd w:val="clear" w:color="auto" w:fill="auto"/>
          </w:tcPr>
          <w:p w14:paraId="0B027F11" w14:textId="77777777" w:rsidR="00C0457A" w:rsidRPr="00CD004E" w:rsidRDefault="00C0457A" w:rsidP="00F05A5C">
            <w:pPr>
              <w:jc w:val="center"/>
              <w:rPr>
                <w:color w:val="000000"/>
                <w:sz w:val="20"/>
                <w:szCs w:val="20"/>
              </w:rPr>
            </w:pPr>
            <w:r w:rsidRPr="00CD004E">
              <w:rPr>
                <w:color w:val="000000"/>
                <w:sz w:val="20"/>
                <w:szCs w:val="20"/>
              </w:rPr>
              <w:t>34</w:t>
            </w:r>
          </w:p>
        </w:tc>
        <w:tc>
          <w:tcPr>
            <w:tcW w:w="1287" w:type="dxa"/>
            <w:tcBorders>
              <w:bottom w:val="single" w:sz="4" w:space="0" w:color="000000"/>
              <w:right w:val="single" w:sz="4" w:space="0" w:color="000000"/>
            </w:tcBorders>
            <w:shd w:val="clear" w:color="auto" w:fill="auto"/>
          </w:tcPr>
          <w:p w14:paraId="79D15862" w14:textId="77777777" w:rsidR="00C0457A" w:rsidRPr="00CD004E" w:rsidRDefault="00C0457A" w:rsidP="00F05A5C">
            <w:pPr>
              <w:jc w:val="center"/>
              <w:rPr>
                <w:color w:val="000000"/>
                <w:sz w:val="20"/>
                <w:szCs w:val="20"/>
              </w:rPr>
            </w:pPr>
            <w:r w:rsidRPr="00CD004E">
              <w:rPr>
                <w:color w:val="000000"/>
                <w:sz w:val="20"/>
                <w:szCs w:val="20"/>
              </w:rPr>
              <w:t>0,6x0,6x4</w:t>
            </w:r>
          </w:p>
        </w:tc>
        <w:tc>
          <w:tcPr>
            <w:tcW w:w="1088" w:type="dxa"/>
            <w:tcBorders>
              <w:bottom w:val="single" w:sz="4" w:space="0" w:color="000000"/>
              <w:right w:val="single" w:sz="4" w:space="0" w:color="000000"/>
            </w:tcBorders>
            <w:shd w:val="clear" w:color="auto" w:fill="auto"/>
          </w:tcPr>
          <w:p w14:paraId="6F38A40E" w14:textId="77777777" w:rsidR="00C0457A" w:rsidRPr="00CD004E" w:rsidRDefault="00C0457A" w:rsidP="00F05A5C">
            <w:pPr>
              <w:jc w:val="center"/>
              <w:rPr>
                <w:color w:val="000000"/>
                <w:sz w:val="20"/>
                <w:szCs w:val="20"/>
              </w:rPr>
            </w:pPr>
            <w:r w:rsidRPr="00CD004E">
              <w:rPr>
                <w:color w:val="000000"/>
                <w:sz w:val="20"/>
                <w:szCs w:val="20"/>
              </w:rPr>
              <w:t>360x360</w:t>
            </w:r>
          </w:p>
        </w:tc>
        <w:tc>
          <w:tcPr>
            <w:tcW w:w="580" w:type="dxa"/>
            <w:tcBorders>
              <w:bottom w:val="single" w:sz="4" w:space="0" w:color="000000"/>
              <w:right w:val="single" w:sz="4" w:space="0" w:color="000000"/>
            </w:tcBorders>
            <w:shd w:val="clear" w:color="auto" w:fill="auto"/>
          </w:tcPr>
          <w:p w14:paraId="6AFAA20C" w14:textId="77777777" w:rsidR="00C0457A" w:rsidRPr="00CD004E" w:rsidRDefault="00C0457A" w:rsidP="00F05A5C">
            <w:pPr>
              <w:jc w:val="center"/>
              <w:rPr>
                <w:color w:val="000000"/>
                <w:sz w:val="20"/>
                <w:szCs w:val="20"/>
              </w:rPr>
            </w:pPr>
            <w:r w:rsidRPr="00CD004E">
              <w:rPr>
                <w:color w:val="000000"/>
                <w:sz w:val="20"/>
                <w:szCs w:val="20"/>
              </w:rPr>
              <w:t>11</w:t>
            </w:r>
          </w:p>
        </w:tc>
        <w:tc>
          <w:tcPr>
            <w:tcW w:w="620" w:type="dxa"/>
            <w:tcBorders>
              <w:bottom w:val="single" w:sz="4" w:space="0" w:color="000000"/>
              <w:right w:val="single" w:sz="4" w:space="0" w:color="000000"/>
            </w:tcBorders>
            <w:shd w:val="clear" w:color="auto" w:fill="auto"/>
          </w:tcPr>
          <w:p w14:paraId="2C279508" w14:textId="77777777" w:rsidR="00C0457A" w:rsidRPr="00CD004E" w:rsidRDefault="00C0457A" w:rsidP="00F05A5C">
            <w:pPr>
              <w:jc w:val="center"/>
              <w:rPr>
                <w:color w:val="000000"/>
                <w:sz w:val="20"/>
                <w:szCs w:val="20"/>
              </w:rPr>
            </w:pPr>
            <w:r w:rsidRPr="00CD004E">
              <w:rPr>
                <w:color w:val="000000"/>
                <w:sz w:val="20"/>
                <w:szCs w:val="20"/>
              </w:rPr>
              <w:t>606</w:t>
            </w:r>
          </w:p>
        </w:tc>
        <w:tc>
          <w:tcPr>
            <w:tcW w:w="741" w:type="dxa"/>
            <w:tcBorders>
              <w:bottom w:val="single" w:sz="4" w:space="0" w:color="000000"/>
              <w:right w:val="single" w:sz="4" w:space="0" w:color="000000"/>
            </w:tcBorders>
            <w:shd w:val="clear" w:color="auto" w:fill="auto"/>
          </w:tcPr>
          <w:p w14:paraId="058D1253" w14:textId="77777777" w:rsidR="00C0457A" w:rsidRPr="00CD004E" w:rsidRDefault="00C0457A" w:rsidP="00F05A5C">
            <w:pPr>
              <w:jc w:val="center"/>
              <w:rPr>
                <w:color w:val="000000"/>
                <w:sz w:val="20"/>
                <w:szCs w:val="20"/>
              </w:rPr>
            </w:pPr>
            <w:r w:rsidRPr="00CD004E">
              <w:rPr>
                <w:color w:val="000000"/>
                <w:sz w:val="20"/>
                <w:szCs w:val="20"/>
              </w:rPr>
              <w:t>0.8 mm</w:t>
            </w:r>
          </w:p>
        </w:tc>
        <w:tc>
          <w:tcPr>
            <w:tcW w:w="860" w:type="dxa"/>
            <w:tcBorders>
              <w:bottom w:val="single" w:sz="4" w:space="0" w:color="000000"/>
              <w:right w:val="single" w:sz="4" w:space="0" w:color="000000"/>
            </w:tcBorders>
            <w:shd w:val="clear" w:color="auto" w:fill="auto"/>
          </w:tcPr>
          <w:p w14:paraId="1004B965" w14:textId="77777777" w:rsidR="00C0457A" w:rsidRPr="00CD004E" w:rsidRDefault="00C0457A" w:rsidP="00F05A5C">
            <w:pPr>
              <w:jc w:val="center"/>
              <w:rPr>
                <w:color w:val="000000"/>
                <w:sz w:val="20"/>
                <w:szCs w:val="20"/>
              </w:rPr>
            </w:pPr>
          </w:p>
        </w:tc>
        <w:tc>
          <w:tcPr>
            <w:tcW w:w="727" w:type="dxa"/>
            <w:tcBorders>
              <w:bottom w:val="single" w:sz="4" w:space="0" w:color="000000"/>
              <w:right w:val="single" w:sz="4" w:space="0" w:color="000000"/>
            </w:tcBorders>
            <w:shd w:val="clear" w:color="auto" w:fill="auto"/>
          </w:tcPr>
          <w:p w14:paraId="204916DC" w14:textId="77777777" w:rsidR="00C0457A" w:rsidRPr="00CD004E" w:rsidRDefault="00C0457A" w:rsidP="00F05A5C">
            <w:pPr>
              <w:jc w:val="center"/>
              <w:rPr>
                <w:color w:val="000000"/>
                <w:sz w:val="20"/>
                <w:szCs w:val="20"/>
              </w:rPr>
            </w:pPr>
            <w:r w:rsidRPr="00CD004E">
              <w:rPr>
                <w:color w:val="000000"/>
                <w:sz w:val="20"/>
                <w:szCs w:val="20"/>
              </w:rPr>
              <w:t>180</w:t>
            </w:r>
          </w:p>
        </w:tc>
      </w:tr>
      <w:tr w:rsidR="00C0457A" w:rsidRPr="00CD004E" w14:paraId="6C57F75D" w14:textId="77777777" w:rsidTr="00634B83">
        <w:trPr>
          <w:trHeight w:val="20"/>
        </w:trPr>
        <w:tc>
          <w:tcPr>
            <w:tcW w:w="10632"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4345EB12" w14:textId="4B8F571F" w:rsidR="00C0457A" w:rsidRPr="00CD004E" w:rsidRDefault="00C0457A" w:rsidP="00F05A5C">
            <w:pPr>
              <w:jc w:val="center"/>
              <w:rPr>
                <w:b/>
                <w:bCs/>
                <w:color w:val="000000"/>
                <w:sz w:val="21"/>
                <w:szCs w:val="21"/>
              </w:rPr>
            </w:pPr>
            <w:proofErr w:type="gramStart"/>
            <w:r w:rsidRPr="00CD004E">
              <w:rPr>
                <w:b/>
                <w:bCs/>
                <w:color w:val="000000"/>
                <w:sz w:val="20"/>
                <w:szCs w:val="20"/>
              </w:rPr>
              <w:t>HASTE:Half</w:t>
            </w:r>
            <w:proofErr w:type="gramEnd"/>
            <w:r w:rsidRPr="00CD004E">
              <w:rPr>
                <w:b/>
                <w:bCs/>
                <w:color w:val="000000"/>
                <w:sz w:val="20"/>
                <w:szCs w:val="20"/>
              </w:rPr>
              <w:t>-fourier acquisition single shot turbo spin echo  TSE:Turbo Spin Echo   TE:Time of Echo  TR:Time of Repetition</w:t>
            </w:r>
            <w:r w:rsidR="00A826C3" w:rsidRPr="00CD004E">
              <w:rPr>
                <w:b/>
                <w:bCs/>
                <w:color w:val="000000"/>
                <w:sz w:val="20"/>
                <w:szCs w:val="20"/>
              </w:rPr>
              <w:t xml:space="preserve"> </w:t>
            </w:r>
            <w:r w:rsidRPr="00CD004E">
              <w:rPr>
                <w:b/>
                <w:bCs/>
                <w:color w:val="000000"/>
                <w:sz w:val="20"/>
                <w:szCs w:val="20"/>
              </w:rPr>
              <w:t>VIBE TRA:Volumetric interpolated breath-hold examination  T1W: T1-Weighted T2W: T2-Weighted DWI: Diffusion-Weighted Imaging  **:Calculated B value</w:t>
            </w:r>
          </w:p>
        </w:tc>
      </w:tr>
    </w:tbl>
    <w:p w14:paraId="05B9A539" w14:textId="77777777" w:rsidR="00C0457A" w:rsidRPr="00CD004E" w:rsidRDefault="00C0457A" w:rsidP="00F05A5C"/>
    <w:p w14:paraId="3E0427B1" w14:textId="7BBE64E9" w:rsidR="00C0457A" w:rsidRPr="00CD004E" w:rsidRDefault="00C0457A" w:rsidP="00F05A5C">
      <w:r w:rsidRPr="00CD004E">
        <w:t>*</w:t>
      </w:r>
      <w:r w:rsidRPr="00CD004E">
        <w:rPr>
          <w:rFonts w:eastAsiaTheme="majorEastAsia"/>
          <w:bCs/>
        </w:rPr>
        <w:t>There is no currently widely accepted optimal “high b-value” beyond the requirement for a DW image set with a b-value ≥1,400 sec/mm</w:t>
      </w:r>
      <w:r w:rsidRPr="00CD004E">
        <w:rPr>
          <w:rFonts w:eastAsiaTheme="majorEastAsia"/>
          <w:bCs/>
          <w:vertAlign w:val="superscript"/>
        </w:rPr>
        <w:t>2</w:t>
      </w:r>
      <w:r w:rsidRPr="00CD004E">
        <w:rPr>
          <w:rFonts w:eastAsiaTheme="majorEastAsia"/>
          <w:bCs/>
        </w:rPr>
        <w:t>.</w:t>
      </w:r>
      <w:r w:rsidR="00D27101">
        <w:rPr>
          <w:rStyle w:val="DipnotBavurusu"/>
          <w:rFonts w:eastAsiaTheme="majorEastAsia"/>
          <w:bCs/>
        </w:rPr>
        <w:fldChar w:fldCharType="begin" w:fldLock="1"/>
      </w:r>
      <w:r w:rsidR="00D27101">
        <w:rPr>
          <w:rFonts w:eastAsiaTheme="majorEastAsia"/>
          <w:bCs/>
        </w:rPr>
        <w:instrText>ADDIN CSL_CITATION {"citationItems":[{"id":"ITEM-1","itemData":{"author":[{"dropping-particle":"","family":"PI-RADS","given":"","non-dropping-particle":"","parse-names":false,"suffix":""}],"id":"ITEM-1","issued":{"date-parts":[["2019"]]},"title":"PI-RADS v2.1 - ACR","type":"article-journal"},"uris":["http://www.mendeley.com/documents/?uuid=c4f29e74-253c-4f8e-8197-610ece886e03"]}],"mendeley":{"formattedCitation":"&lt;sup&gt;18&lt;/sup&gt;","plainTextFormattedCitation":"18","previouslyFormattedCitation":"PI-RADS."},"properties":{"noteIndex":0},"schema":"https://github.com/citation-style-language/schema/raw/master/csl-citation.json"}</w:instrText>
      </w:r>
      <w:r w:rsidR="00D27101">
        <w:rPr>
          <w:rStyle w:val="DipnotBavurusu"/>
          <w:rFonts w:eastAsiaTheme="majorEastAsia"/>
          <w:bCs/>
        </w:rPr>
        <w:fldChar w:fldCharType="separate"/>
      </w:r>
      <w:r w:rsidR="00D27101" w:rsidRPr="00D27101">
        <w:rPr>
          <w:rFonts w:eastAsiaTheme="majorEastAsia"/>
          <w:bCs/>
          <w:noProof/>
          <w:vertAlign w:val="superscript"/>
        </w:rPr>
        <w:t>18</w:t>
      </w:r>
      <w:r w:rsidR="00D27101">
        <w:rPr>
          <w:rStyle w:val="DipnotBavurusu"/>
          <w:rFonts w:eastAsiaTheme="majorEastAsia"/>
          <w:bCs/>
        </w:rPr>
        <w:fldChar w:fldCharType="end"/>
      </w:r>
      <w:r w:rsidRPr="00CD004E">
        <w:rPr>
          <w:rFonts w:eastAsiaTheme="majorEastAsia"/>
          <w:bCs/>
        </w:rPr>
        <w:t xml:space="preserve"> </w:t>
      </w:r>
    </w:p>
    <w:p w14:paraId="40737CAE" w14:textId="77777777" w:rsidR="00C0457A" w:rsidRPr="00CD004E" w:rsidRDefault="00C0457A" w:rsidP="00F05A5C">
      <w:pPr>
        <w:rPr>
          <w:color w:val="0E101A"/>
        </w:rPr>
      </w:pPr>
      <w:r w:rsidRPr="00CD004E">
        <w:t>**</w:t>
      </w:r>
      <w:r w:rsidRPr="00CD004E">
        <w:rPr>
          <w:color w:val="0E101A"/>
        </w:rPr>
        <w:t xml:space="preserve">*In </w:t>
      </w:r>
      <w:r w:rsidRPr="00CD004E">
        <w:rPr>
          <w:rFonts w:eastAsiaTheme="majorEastAsia"/>
          <w:bCs/>
        </w:rPr>
        <w:t>dynamic contrast enhancement imaging</w:t>
      </w:r>
      <w:r w:rsidRPr="00CD004E">
        <w:rPr>
          <w:color w:val="0E101A"/>
        </w:rPr>
        <w:t xml:space="preserve"> (DCE-MRI), a gadolinium-based contrast agent with an automatic injector at 0.1-0.2 mmol/kg concentration and 2-4 mL/s injection rate via IV were used and T1 axial sections were obtained over 240-300 sc. </w:t>
      </w:r>
      <w:proofErr w:type="gramStart"/>
      <w:r w:rsidRPr="00CD004E">
        <w:rPr>
          <w:color w:val="0E101A"/>
        </w:rPr>
        <w:t>duration</w:t>
      </w:r>
      <w:proofErr w:type="gramEnd"/>
      <w:r w:rsidRPr="00CD004E">
        <w:rPr>
          <w:color w:val="0E101A"/>
        </w:rPr>
        <w:t xml:space="preserve"> with one every 7 sc. </w:t>
      </w:r>
      <w:proofErr w:type="gramStart"/>
      <w:r w:rsidRPr="00CD004E">
        <w:rPr>
          <w:color w:val="0E101A"/>
        </w:rPr>
        <w:t>before</w:t>
      </w:r>
      <w:proofErr w:type="gramEnd"/>
      <w:r w:rsidRPr="00CD004E">
        <w:rPr>
          <w:color w:val="0E101A"/>
        </w:rPr>
        <w:t>, during, and after administration including the entire prostate.</w:t>
      </w:r>
    </w:p>
    <w:p w14:paraId="3F469C2B" w14:textId="77777777" w:rsidR="00C0457A" w:rsidRPr="00CD004E" w:rsidRDefault="00C0457A" w:rsidP="00F05A5C"/>
    <w:p w14:paraId="12E204E0" w14:textId="6B3EC6AE" w:rsidR="00C0457A" w:rsidRPr="00CD004E" w:rsidRDefault="00C0457A" w:rsidP="00F05A5C">
      <w:pPr>
        <w:rPr>
          <w:b/>
          <w:bCs/>
          <w:i/>
          <w:iCs/>
        </w:rPr>
      </w:pPr>
      <w:r w:rsidRPr="00CD004E">
        <w:rPr>
          <w:b/>
          <w:bCs/>
          <w:i/>
          <w:iCs/>
        </w:rPr>
        <w:t>Table 2. Descriptive statistics of patients who have PCa or nonPCa</w:t>
      </w:r>
      <w:r w:rsidR="007C5E71" w:rsidRPr="00CD004E">
        <w:rPr>
          <w:b/>
          <w:bCs/>
          <w:i/>
          <w:iCs/>
        </w:rPr>
        <w:t xml:space="preserve"> or Prostatitis</w:t>
      </w:r>
    </w:p>
    <w:p w14:paraId="6258F546" w14:textId="77777777" w:rsidR="00BD4DC9" w:rsidRPr="00CD004E" w:rsidRDefault="00BD4DC9" w:rsidP="00F05A5C">
      <w:pPr>
        <w:rPr>
          <w:b/>
          <w:bCs/>
          <w:i/>
          <w:iCs/>
        </w:rPr>
      </w:pPr>
    </w:p>
    <w:p w14:paraId="751F9AC7" w14:textId="5C0B9F32" w:rsidR="007C5E71" w:rsidRPr="00CD004E" w:rsidRDefault="007C5E71" w:rsidP="00F05A5C">
      <w:pPr>
        <w:rPr>
          <w:b/>
          <w:bCs/>
          <w:i/>
          <w:iCs/>
          <w:sz w:val="28"/>
          <w:szCs w:val="28"/>
        </w:rPr>
      </w:pPr>
    </w:p>
    <w:tbl>
      <w:tblPr>
        <w:tblStyle w:val="TabloKlavuzu"/>
        <w:tblW w:w="9320" w:type="dxa"/>
        <w:tblLook w:val="04A0" w:firstRow="1" w:lastRow="0" w:firstColumn="1" w:lastColumn="0" w:noHBand="0" w:noVBand="1"/>
      </w:tblPr>
      <w:tblGrid>
        <w:gridCol w:w="1580"/>
        <w:gridCol w:w="1940"/>
        <w:gridCol w:w="1580"/>
        <w:gridCol w:w="1580"/>
        <w:gridCol w:w="1580"/>
        <w:gridCol w:w="1060"/>
      </w:tblGrid>
      <w:tr w:rsidR="00BD4DC9" w:rsidRPr="00CD004E" w14:paraId="24794E26" w14:textId="77777777" w:rsidTr="00BD4DC9">
        <w:trPr>
          <w:trHeight w:val="320"/>
        </w:trPr>
        <w:tc>
          <w:tcPr>
            <w:tcW w:w="1580" w:type="dxa"/>
            <w:vMerge w:val="restart"/>
            <w:hideMark/>
          </w:tcPr>
          <w:p w14:paraId="093B81E3" w14:textId="77777777" w:rsidR="00BD4DC9" w:rsidRPr="00CD004E" w:rsidRDefault="00BD4DC9" w:rsidP="00F05A5C">
            <w:pPr>
              <w:jc w:val="center"/>
              <w:rPr>
                <w:color w:val="000000"/>
                <w:sz w:val="24"/>
                <w:szCs w:val="24"/>
              </w:rPr>
            </w:pPr>
            <w:r w:rsidRPr="00CD004E">
              <w:rPr>
                <w:color w:val="000000"/>
                <w:sz w:val="24"/>
                <w:szCs w:val="24"/>
              </w:rPr>
              <w:t>Variables</w:t>
            </w:r>
          </w:p>
        </w:tc>
        <w:tc>
          <w:tcPr>
            <w:tcW w:w="1940" w:type="dxa"/>
            <w:hideMark/>
          </w:tcPr>
          <w:p w14:paraId="4AF29B62" w14:textId="77777777" w:rsidR="00BD4DC9" w:rsidRPr="00CD004E" w:rsidRDefault="00BD4DC9" w:rsidP="00F05A5C">
            <w:pPr>
              <w:jc w:val="center"/>
              <w:rPr>
                <w:b/>
                <w:bCs/>
                <w:color w:val="000000"/>
                <w:sz w:val="24"/>
                <w:szCs w:val="24"/>
              </w:rPr>
            </w:pPr>
            <w:r w:rsidRPr="00CD004E">
              <w:rPr>
                <w:b/>
                <w:bCs/>
                <w:color w:val="000000"/>
                <w:sz w:val="24"/>
                <w:szCs w:val="24"/>
              </w:rPr>
              <w:t>PCa positive n:51</w:t>
            </w:r>
          </w:p>
        </w:tc>
        <w:tc>
          <w:tcPr>
            <w:tcW w:w="1580" w:type="dxa"/>
            <w:hideMark/>
          </w:tcPr>
          <w:p w14:paraId="583FE819" w14:textId="77777777" w:rsidR="00BD4DC9" w:rsidRPr="00CD004E" w:rsidRDefault="00BD4DC9" w:rsidP="00F05A5C">
            <w:pPr>
              <w:jc w:val="center"/>
              <w:rPr>
                <w:b/>
                <w:bCs/>
                <w:color w:val="000000"/>
                <w:sz w:val="24"/>
                <w:szCs w:val="24"/>
              </w:rPr>
            </w:pPr>
            <w:proofErr w:type="gramStart"/>
            <w:r w:rsidRPr="00CD004E">
              <w:rPr>
                <w:b/>
                <w:bCs/>
                <w:color w:val="000000"/>
                <w:sz w:val="24"/>
                <w:szCs w:val="24"/>
              </w:rPr>
              <w:t>nonPCa</w:t>
            </w:r>
            <w:proofErr w:type="gramEnd"/>
            <w:r w:rsidRPr="00CD004E">
              <w:rPr>
                <w:b/>
                <w:bCs/>
                <w:color w:val="000000"/>
                <w:sz w:val="24"/>
                <w:szCs w:val="24"/>
              </w:rPr>
              <w:t xml:space="preserve"> n:84</w:t>
            </w:r>
          </w:p>
        </w:tc>
        <w:tc>
          <w:tcPr>
            <w:tcW w:w="1580" w:type="dxa"/>
            <w:hideMark/>
          </w:tcPr>
          <w:p w14:paraId="26B7FDB2" w14:textId="77777777" w:rsidR="00BD4DC9" w:rsidRPr="00CD004E" w:rsidRDefault="00BD4DC9" w:rsidP="00F05A5C">
            <w:pPr>
              <w:jc w:val="center"/>
              <w:rPr>
                <w:b/>
                <w:bCs/>
                <w:color w:val="000000"/>
                <w:sz w:val="24"/>
                <w:szCs w:val="24"/>
              </w:rPr>
            </w:pPr>
            <w:r w:rsidRPr="00CD004E">
              <w:rPr>
                <w:b/>
                <w:bCs/>
                <w:color w:val="000000"/>
                <w:sz w:val="24"/>
                <w:szCs w:val="24"/>
              </w:rPr>
              <w:t>Prostatitis n:59</w:t>
            </w:r>
          </w:p>
        </w:tc>
        <w:tc>
          <w:tcPr>
            <w:tcW w:w="1580" w:type="dxa"/>
            <w:hideMark/>
          </w:tcPr>
          <w:p w14:paraId="7B8C5DBE" w14:textId="77777777" w:rsidR="00BD4DC9" w:rsidRPr="00CD004E" w:rsidRDefault="00BD4DC9" w:rsidP="00F05A5C">
            <w:pPr>
              <w:jc w:val="center"/>
              <w:rPr>
                <w:b/>
                <w:bCs/>
                <w:color w:val="000000"/>
                <w:sz w:val="24"/>
                <w:szCs w:val="24"/>
              </w:rPr>
            </w:pPr>
            <w:proofErr w:type="gramStart"/>
            <w:r w:rsidRPr="00CD004E">
              <w:rPr>
                <w:b/>
                <w:bCs/>
                <w:color w:val="000000"/>
                <w:sz w:val="24"/>
                <w:szCs w:val="24"/>
              </w:rPr>
              <w:t>p</w:t>
            </w:r>
            <w:proofErr w:type="gramEnd"/>
            <w:r w:rsidRPr="00CD004E">
              <w:rPr>
                <w:b/>
                <w:bCs/>
                <w:color w:val="000000"/>
                <w:sz w:val="24"/>
                <w:szCs w:val="24"/>
              </w:rPr>
              <w:t xml:space="preserve"> value</w:t>
            </w:r>
          </w:p>
        </w:tc>
        <w:tc>
          <w:tcPr>
            <w:tcW w:w="1060" w:type="dxa"/>
            <w:hideMark/>
          </w:tcPr>
          <w:p w14:paraId="52F5382F" w14:textId="77777777" w:rsidR="00BD4DC9" w:rsidRPr="00CD004E" w:rsidRDefault="00BD4DC9" w:rsidP="00F05A5C">
            <w:pPr>
              <w:rPr>
                <w:b/>
                <w:bCs/>
                <w:color w:val="000000"/>
                <w:sz w:val="24"/>
                <w:szCs w:val="24"/>
              </w:rPr>
            </w:pPr>
            <w:proofErr w:type="gramStart"/>
            <w:r w:rsidRPr="00CD004E">
              <w:rPr>
                <w:b/>
                <w:bCs/>
                <w:color w:val="000000"/>
                <w:sz w:val="24"/>
                <w:szCs w:val="24"/>
              </w:rPr>
              <w:t>p</w:t>
            </w:r>
            <w:proofErr w:type="gramEnd"/>
            <w:r w:rsidRPr="00CD004E">
              <w:rPr>
                <w:b/>
                <w:bCs/>
                <w:color w:val="000000"/>
                <w:sz w:val="24"/>
                <w:szCs w:val="24"/>
              </w:rPr>
              <w:t xml:space="preserve"> value*</w:t>
            </w:r>
          </w:p>
        </w:tc>
      </w:tr>
      <w:tr w:rsidR="00BD4DC9" w:rsidRPr="00CD004E" w14:paraId="20C3BEEB" w14:textId="77777777" w:rsidTr="00BD4DC9">
        <w:trPr>
          <w:trHeight w:val="320"/>
        </w:trPr>
        <w:tc>
          <w:tcPr>
            <w:tcW w:w="1580" w:type="dxa"/>
            <w:vMerge/>
            <w:hideMark/>
          </w:tcPr>
          <w:p w14:paraId="5CB7D0EF" w14:textId="77777777" w:rsidR="00BD4DC9" w:rsidRPr="00CD004E" w:rsidRDefault="00BD4DC9" w:rsidP="00F05A5C">
            <w:pPr>
              <w:rPr>
                <w:color w:val="000000"/>
                <w:sz w:val="24"/>
                <w:szCs w:val="24"/>
              </w:rPr>
            </w:pPr>
          </w:p>
        </w:tc>
        <w:tc>
          <w:tcPr>
            <w:tcW w:w="1940" w:type="dxa"/>
            <w:hideMark/>
          </w:tcPr>
          <w:p w14:paraId="12D74575" w14:textId="77777777" w:rsidR="00BD4DC9" w:rsidRPr="00CD004E" w:rsidRDefault="00BD4DC9" w:rsidP="00F05A5C">
            <w:pPr>
              <w:jc w:val="center"/>
              <w:rPr>
                <w:color w:val="000000"/>
                <w:sz w:val="24"/>
                <w:szCs w:val="24"/>
              </w:rPr>
            </w:pPr>
            <w:proofErr w:type="gramStart"/>
            <w:r w:rsidRPr="00CD004E">
              <w:rPr>
                <w:color w:val="000000"/>
                <w:sz w:val="24"/>
                <w:szCs w:val="24"/>
              </w:rPr>
              <w:t>mean</w:t>
            </w:r>
            <w:proofErr w:type="gramEnd"/>
            <w:r w:rsidRPr="00CD004E">
              <w:rPr>
                <w:color w:val="000000"/>
                <w:sz w:val="24"/>
                <w:szCs w:val="24"/>
              </w:rPr>
              <w:t>±SD</w:t>
            </w:r>
          </w:p>
        </w:tc>
        <w:tc>
          <w:tcPr>
            <w:tcW w:w="1580" w:type="dxa"/>
            <w:hideMark/>
          </w:tcPr>
          <w:p w14:paraId="67904ACE" w14:textId="77777777" w:rsidR="00BD4DC9" w:rsidRPr="00CD004E" w:rsidRDefault="00BD4DC9" w:rsidP="00F05A5C">
            <w:pPr>
              <w:jc w:val="center"/>
              <w:rPr>
                <w:color w:val="000000"/>
                <w:sz w:val="24"/>
                <w:szCs w:val="24"/>
              </w:rPr>
            </w:pPr>
            <w:proofErr w:type="gramStart"/>
            <w:r w:rsidRPr="00CD004E">
              <w:rPr>
                <w:color w:val="000000"/>
                <w:sz w:val="24"/>
                <w:szCs w:val="24"/>
              </w:rPr>
              <w:t>mean</w:t>
            </w:r>
            <w:proofErr w:type="gramEnd"/>
            <w:r w:rsidRPr="00CD004E">
              <w:rPr>
                <w:color w:val="000000"/>
                <w:sz w:val="24"/>
                <w:szCs w:val="24"/>
              </w:rPr>
              <w:t>±SD</w:t>
            </w:r>
          </w:p>
        </w:tc>
        <w:tc>
          <w:tcPr>
            <w:tcW w:w="1580" w:type="dxa"/>
            <w:hideMark/>
          </w:tcPr>
          <w:p w14:paraId="2592AE9C" w14:textId="77777777" w:rsidR="00BD4DC9" w:rsidRPr="00CD004E" w:rsidRDefault="00BD4DC9" w:rsidP="00F05A5C">
            <w:pPr>
              <w:jc w:val="center"/>
              <w:rPr>
                <w:color w:val="000000"/>
                <w:sz w:val="24"/>
                <w:szCs w:val="24"/>
              </w:rPr>
            </w:pPr>
            <w:proofErr w:type="gramStart"/>
            <w:r w:rsidRPr="00CD004E">
              <w:rPr>
                <w:color w:val="000000"/>
                <w:sz w:val="24"/>
                <w:szCs w:val="24"/>
              </w:rPr>
              <w:t>mean</w:t>
            </w:r>
            <w:proofErr w:type="gramEnd"/>
            <w:r w:rsidRPr="00CD004E">
              <w:rPr>
                <w:color w:val="000000"/>
                <w:sz w:val="24"/>
                <w:szCs w:val="24"/>
              </w:rPr>
              <w:t>±SD</w:t>
            </w:r>
          </w:p>
        </w:tc>
        <w:tc>
          <w:tcPr>
            <w:tcW w:w="1580" w:type="dxa"/>
            <w:hideMark/>
          </w:tcPr>
          <w:p w14:paraId="07414E1F" w14:textId="77777777" w:rsidR="00BD4DC9" w:rsidRPr="00CD004E" w:rsidRDefault="00BD4DC9" w:rsidP="00F05A5C">
            <w:pPr>
              <w:rPr>
                <w:color w:val="000000"/>
                <w:sz w:val="24"/>
                <w:szCs w:val="24"/>
              </w:rPr>
            </w:pPr>
            <w:r w:rsidRPr="00CD004E">
              <w:rPr>
                <w:color w:val="000000"/>
                <w:sz w:val="24"/>
                <w:szCs w:val="24"/>
              </w:rPr>
              <w:t> </w:t>
            </w:r>
          </w:p>
        </w:tc>
        <w:tc>
          <w:tcPr>
            <w:tcW w:w="1060" w:type="dxa"/>
            <w:hideMark/>
          </w:tcPr>
          <w:p w14:paraId="6F5EBE9F" w14:textId="77777777" w:rsidR="00BD4DC9" w:rsidRPr="00CD004E" w:rsidRDefault="00BD4DC9" w:rsidP="00F05A5C">
            <w:pPr>
              <w:rPr>
                <w:color w:val="000000"/>
                <w:sz w:val="24"/>
                <w:szCs w:val="24"/>
              </w:rPr>
            </w:pPr>
            <w:r w:rsidRPr="00CD004E">
              <w:rPr>
                <w:color w:val="000000"/>
                <w:sz w:val="24"/>
                <w:szCs w:val="24"/>
              </w:rPr>
              <w:t> </w:t>
            </w:r>
          </w:p>
        </w:tc>
      </w:tr>
      <w:tr w:rsidR="00BD4DC9" w:rsidRPr="00CD004E" w14:paraId="21D2EEBD" w14:textId="77777777" w:rsidTr="00BD4DC9">
        <w:trPr>
          <w:trHeight w:val="320"/>
        </w:trPr>
        <w:tc>
          <w:tcPr>
            <w:tcW w:w="1580" w:type="dxa"/>
            <w:hideMark/>
          </w:tcPr>
          <w:p w14:paraId="107FF93E" w14:textId="77777777" w:rsidR="00BD4DC9" w:rsidRPr="00CD004E" w:rsidRDefault="00BD4DC9" w:rsidP="00F05A5C">
            <w:pPr>
              <w:jc w:val="center"/>
              <w:rPr>
                <w:color w:val="000000"/>
                <w:sz w:val="24"/>
                <w:szCs w:val="24"/>
              </w:rPr>
            </w:pPr>
            <w:r w:rsidRPr="00CD004E">
              <w:rPr>
                <w:color w:val="000000"/>
                <w:sz w:val="24"/>
                <w:szCs w:val="24"/>
              </w:rPr>
              <w:t>Age</w:t>
            </w:r>
          </w:p>
        </w:tc>
        <w:tc>
          <w:tcPr>
            <w:tcW w:w="1940" w:type="dxa"/>
            <w:hideMark/>
          </w:tcPr>
          <w:p w14:paraId="18897806" w14:textId="77777777" w:rsidR="00BD4DC9" w:rsidRPr="00CD004E" w:rsidRDefault="00BD4DC9" w:rsidP="00F05A5C">
            <w:pPr>
              <w:jc w:val="center"/>
              <w:rPr>
                <w:color w:val="000000"/>
                <w:sz w:val="24"/>
                <w:szCs w:val="24"/>
              </w:rPr>
            </w:pPr>
            <w:r w:rsidRPr="00CD004E">
              <w:rPr>
                <w:color w:val="000000"/>
                <w:sz w:val="24"/>
                <w:szCs w:val="24"/>
              </w:rPr>
              <w:t>65.23±7.8</w:t>
            </w:r>
          </w:p>
        </w:tc>
        <w:tc>
          <w:tcPr>
            <w:tcW w:w="1580" w:type="dxa"/>
            <w:hideMark/>
          </w:tcPr>
          <w:p w14:paraId="6CCE3001" w14:textId="77777777" w:rsidR="00BD4DC9" w:rsidRPr="00CD004E" w:rsidRDefault="00BD4DC9" w:rsidP="00F05A5C">
            <w:pPr>
              <w:jc w:val="center"/>
              <w:rPr>
                <w:color w:val="000000"/>
                <w:sz w:val="24"/>
                <w:szCs w:val="24"/>
              </w:rPr>
            </w:pPr>
            <w:r w:rsidRPr="00CD004E">
              <w:rPr>
                <w:color w:val="000000"/>
                <w:sz w:val="24"/>
                <w:szCs w:val="24"/>
              </w:rPr>
              <w:t>62.06±6.90</w:t>
            </w:r>
          </w:p>
        </w:tc>
        <w:tc>
          <w:tcPr>
            <w:tcW w:w="1580" w:type="dxa"/>
            <w:hideMark/>
          </w:tcPr>
          <w:p w14:paraId="3D148E8C" w14:textId="77777777" w:rsidR="00BD4DC9" w:rsidRPr="00CD004E" w:rsidRDefault="00BD4DC9" w:rsidP="00F05A5C">
            <w:pPr>
              <w:jc w:val="center"/>
              <w:rPr>
                <w:color w:val="000000"/>
                <w:sz w:val="24"/>
                <w:szCs w:val="24"/>
              </w:rPr>
            </w:pPr>
            <w:r w:rsidRPr="00CD004E">
              <w:rPr>
                <w:color w:val="000000"/>
                <w:sz w:val="24"/>
                <w:szCs w:val="24"/>
              </w:rPr>
              <w:t>61.41±7.04</w:t>
            </w:r>
          </w:p>
        </w:tc>
        <w:tc>
          <w:tcPr>
            <w:tcW w:w="1580" w:type="dxa"/>
            <w:hideMark/>
          </w:tcPr>
          <w:p w14:paraId="58AD782F" w14:textId="77777777" w:rsidR="00BD4DC9" w:rsidRPr="00CD004E" w:rsidRDefault="00BD4DC9" w:rsidP="00F05A5C">
            <w:pPr>
              <w:jc w:val="center"/>
              <w:rPr>
                <w:color w:val="000000"/>
                <w:sz w:val="24"/>
                <w:szCs w:val="24"/>
              </w:rPr>
            </w:pPr>
            <w:r w:rsidRPr="00CD004E">
              <w:rPr>
                <w:color w:val="000000"/>
                <w:sz w:val="24"/>
                <w:szCs w:val="24"/>
              </w:rPr>
              <w:t>0.051</w:t>
            </w:r>
          </w:p>
        </w:tc>
        <w:tc>
          <w:tcPr>
            <w:tcW w:w="1060" w:type="dxa"/>
            <w:hideMark/>
          </w:tcPr>
          <w:p w14:paraId="11E88F6C" w14:textId="77777777" w:rsidR="00BD4DC9" w:rsidRPr="00CD004E" w:rsidRDefault="00BD4DC9" w:rsidP="00F05A5C">
            <w:pPr>
              <w:rPr>
                <w:color w:val="000000"/>
                <w:sz w:val="24"/>
                <w:szCs w:val="24"/>
              </w:rPr>
            </w:pPr>
            <w:r w:rsidRPr="00CD004E">
              <w:rPr>
                <w:color w:val="000000"/>
                <w:sz w:val="24"/>
                <w:szCs w:val="24"/>
              </w:rPr>
              <w:t>0.048</w:t>
            </w:r>
          </w:p>
        </w:tc>
      </w:tr>
      <w:tr w:rsidR="00BD4DC9" w:rsidRPr="00CD004E" w14:paraId="263B1C22" w14:textId="77777777" w:rsidTr="00BD4DC9">
        <w:trPr>
          <w:trHeight w:val="320"/>
        </w:trPr>
        <w:tc>
          <w:tcPr>
            <w:tcW w:w="1580" w:type="dxa"/>
            <w:hideMark/>
          </w:tcPr>
          <w:p w14:paraId="341D8D98" w14:textId="77777777" w:rsidR="00BD4DC9" w:rsidRPr="00CD004E" w:rsidRDefault="00BD4DC9" w:rsidP="00F05A5C">
            <w:pPr>
              <w:jc w:val="center"/>
              <w:rPr>
                <w:color w:val="000000"/>
                <w:sz w:val="24"/>
                <w:szCs w:val="24"/>
              </w:rPr>
            </w:pPr>
            <w:r w:rsidRPr="00CD004E">
              <w:rPr>
                <w:color w:val="000000"/>
                <w:sz w:val="24"/>
                <w:szCs w:val="24"/>
              </w:rPr>
              <w:t>PSA</w:t>
            </w:r>
          </w:p>
        </w:tc>
        <w:tc>
          <w:tcPr>
            <w:tcW w:w="1940" w:type="dxa"/>
            <w:hideMark/>
          </w:tcPr>
          <w:p w14:paraId="6CCDDE40" w14:textId="77777777" w:rsidR="00BD4DC9" w:rsidRPr="00CD004E" w:rsidRDefault="00BD4DC9" w:rsidP="00F05A5C">
            <w:pPr>
              <w:jc w:val="center"/>
              <w:rPr>
                <w:color w:val="000000"/>
                <w:sz w:val="24"/>
                <w:szCs w:val="24"/>
              </w:rPr>
            </w:pPr>
            <w:r w:rsidRPr="00CD004E">
              <w:rPr>
                <w:color w:val="000000"/>
                <w:sz w:val="24"/>
                <w:szCs w:val="24"/>
              </w:rPr>
              <w:t>16.24±24.12</w:t>
            </w:r>
          </w:p>
        </w:tc>
        <w:tc>
          <w:tcPr>
            <w:tcW w:w="1580" w:type="dxa"/>
            <w:hideMark/>
          </w:tcPr>
          <w:p w14:paraId="30D43BE1" w14:textId="77777777" w:rsidR="00BD4DC9" w:rsidRPr="00CD004E" w:rsidRDefault="00BD4DC9" w:rsidP="00F05A5C">
            <w:pPr>
              <w:jc w:val="center"/>
              <w:rPr>
                <w:color w:val="000000"/>
                <w:sz w:val="24"/>
                <w:szCs w:val="24"/>
              </w:rPr>
            </w:pPr>
            <w:r w:rsidRPr="00CD004E">
              <w:rPr>
                <w:color w:val="000000"/>
                <w:sz w:val="24"/>
                <w:szCs w:val="24"/>
              </w:rPr>
              <w:t>8.70±7.52</w:t>
            </w:r>
          </w:p>
        </w:tc>
        <w:tc>
          <w:tcPr>
            <w:tcW w:w="1580" w:type="dxa"/>
            <w:hideMark/>
          </w:tcPr>
          <w:p w14:paraId="5909FFAD" w14:textId="77777777" w:rsidR="00BD4DC9" w:rsidRPr="00CD004E" w:rsidRDefault="00BD4DC9" w:rsidP="00F05A5C">
            <w:pPr>
              <w:jc w:val="center"/>
              <w:rPr>
                <w:color w:val="000000"/>
                <w:sz w:val="24"/>
                <w:szCs w:val="24"/>
              </w:rPr>
            </w:pPr>
            <w:r w:rsidRPr="00CD004E">
              <w:rPr>
                <w:color w:val="000000"/>
                <w:sz w:val="24"/>
                <w:szCs w:val="24"/>
              </w:rPr>
              <w:t>9.64±9.13</w:t>
            </w:r>
          </w:p>
        </w:tc>
        <w:tc>
          <w:tcPr>
            <w:tcW w:w="1580" w:type="dxa"/>
            <w:hideMark/>
          </w:tcPr>
          <w:p w14:paraId="6FA280FD" w14:textId="77777777" w:rsidR="00BD4DC9" w:rsidRPr="00CD004E" w:rsidRDefault="00BD4DC9" w:rsidP="00F05A5C">
            <w:pPr>
              <w:jc w:val="center"/>
              <w:rPr>
                <w:color w:val="000000"/>
                <w:sz w:val="24"/>
                <w:szCs w:val="24"/>
              </w:rPr>
            </w:pPr>
            <w:r w:rsidRPr="00CD004E">
              <w:rPr>
                <w:color w:val="000000"/>
                <w:sz w:val="24"/>
                <w:szCs w:val="24"/>
              </w:rPr>
              <w:t>0.250</w:t>
            </w:r>
          </w:p>
        </w:tc>
        <w:tc>
          <w:tcPr>
            <w:tcW w:w="1060" w:type="dxa"/>
            <w:hideMark/>
          </w:tcPr>
          <w:p w14:paraId="483B4E64" w14:textId="77777777" w:rsidR="00BD4DC9" w:rsidRPr="00CD004E" w:rsidRDefault="00BD4DC9" w:rsidP="00F05A5C">
            <w:pPr>
              <w:rPr>
                <w:color w:val="000000"/>
                <w:sz w:val="24"/>
                <w:szCs w:val="24"/>
              </w:rPr>
            </w:pPr>
            <w:r w:rsidRPr="00CD004E">
              <w:rPr>
                <w:color w:val="000000"/>
                <w:sz w:val="24"/>
                <w:szCs w:val="24"/>
              </w:rPr>
              <w:t>0.256</w:t>
            </w:r>
          </w:p>
        </w:tc>
      </w:tr>
      <w:tr w:rsidR="00BD4DC9" w:rsidRPr="00CD004E" w14:paraId="6717EE47" w14:textId="77777777" w:rsidTr="00BD4DC9">
        <w:trPr>
          <w:trHeight w:val="320"/>
        </w:trPr>
        <w:tc>
          <w:tcPr>
            <w:tcW w:w="1580" w:type="dxa"/>
            <w:hideMark/>
          </w:tcPr>
          <w:p w14:paraId="44B31AF8" w14:textId="77777777" w:rsidR="00BD4DC9" w:rsidRPr="00CD004E" w:rsidRDefault="00BD4DC9" w:rsidP="00F05A5C">
            <w:pPr>
              <w:jc w:val="center"/>
              <w:rPr>
                <w:color w:val="000000"/>
                <w:sz w:val="24"/>
                <w:szCs w:val="24"/>
              </w:rPr>
            </w:pPr>
            <w:r w:rsidRPr="00CD004E">
              <w:rPr>
                <w:color w:val="000000"/>
                <w:sz w:val="24"/>
                <w:szCs w:val="24"/>
              </w:rPr>
              <w:t>Prostat volume</w:t>
            </w:r>
          </w:p>
        </w:tc>
        <w:tc>
          <w:tcPr>
            <w:tcW w:w="1940" w:type="dxa"/>
            <w:hideMark/>
          </w:tcPr>
          <w:p w14:paraId="261E7509" w14:textId="77777777" w:rsidR="00BD4DC9" w:rsidRPr="00CD004E" w:rsidRDefault="00BD4DC9" w:rsidP="00F05A5C">
            <w:pPr>
              <w:jc w:val="center"/>
              <w:rPr>
                <w:color w:val="000000"/>
                <w:sz w:val="24"/>
                <w:szCs w:val="24"/>
              </w:rPr>
            </w:pPr>
            <w:r w:rsidRPr="00CD004E">
              <w:rPr>
                <w:color w:val="000000"/>
                <w:sz w:val="24"/>
                <w:szCs w:val="24"/>
              </w:rPr>
              <w:t>45.71±29.21</w:t>
            </w:r>
          </w:p>
        </w:tc>
        <w:tc>
          <w:tcPr>
            <w:tcW w:w="1580" w:type="dxa"/>
            <w:hideMark/>
          </w:tcPr>
          <w:p w14:paraId="797CA50B" w14:textId="77777777" w:rsidR="00BD4DC9" w:rsidRPr="00CD004E" w:rsidRDefault="00BD4DC9" w:rsidP="00F05A5C">
            <w:pPr>
              <w:jc w:val="center"/>
              <w:rPr>
                <w:color w:val="000000"/>
                <w:sz w:val="24"/>
                <w:szCs w:val="24"/>
              </w:rPr>
            </w:pPr>
            <w:r w:rsidRPr="00CD004E">
              <w:rPr>
                <w:color w:val="000000"/>
                <w:sz w:val="24"/>
                <w:szCs w:val="24"/>
              </w:rPr>
              <w:t>76.54±39.51</w:t>
            </w:r>
          </w:p>
        </w:tc>
        <w:tc>
          <w:tcPr>
            <w:tcW w:w="1580" w:type="dxa"/>
            <w:hideMark/>
          </w:tcPr>
          <w:p w14:paraId="3DD4A1D7" w14:textId="77777777" w:rsidR="00BD4DC9" w:rsidRPr="00CD004E" w:rsidRDefault="00BD4DC9" w:rsidP="00F05A5C">
            <w:pPr>
              <w:jc w:val="center"/>
              <w:rPr>
                <w:color w:val="000000"/>
                <w:sz w:val="24"/>
                <w:szCs w:val="24"/>
              </w:rPr>
            </w:pPr>
            <w:r w:rsidRPr="00CD004E">
              <w:rPr>
                <w:color w:val="000000"/>
                <w:sz w:val="24"/>
                <w:szCs w:val="24"/>
              </w:rPr>
              <w:t>76.49±42.68</w:t>
            </w:r>
          </w:p>
        </w:tc>
        <w:tc>
          <w:tcPr>
            <w:tcW w:w="1580" w:type="dxa"/>
            <w:hideMark/>
          </w:tcPr>
          <w:p w14:paraId="21517EE9" w14:textId="77777777" w:rsidR="00BD4DC9" w:rsidRPr="00CD004E" w:rsidRDefault="00BD4DC9" w:rsidP="00F05A5C">
            <w:pPr>
              <w:jc w:val="center"/>
              <w:rPr>
                <w:b/>
                <w:bCs/>
                <w:color w:val="000000"/>
                <w:sz w:val="24"/>
                <w:szCs w:val="24"/>
              </w:rPr>
            </w:pPr>
            <w:r w:rsidRPr="00CD004E">
              <w:rPr>
                <w:b/>
                <w:bCs/>
                <w:color w:val="000000"/>
                <w:sz w:val="24"/>
                <w:szCs w:val="24"/>
              </w:rPr>
              <w:t>&lt;0.001</w:t>
            </w:r>
          </w:p>
        </w:tc>
        <w:tc>
          <w:tcPr>
            <w:tcW w:w="1060" w:type="dxa"/>
            <w:hideMark/>
          </w:tcPr>
          <w:p w14:paraId="4E7E8743" w14:textId="77777777" w:rsidR="00BD4DC9" w:rsidRPr="00CD004E" w:rsidRDefault="00BD4DC9" w:rsidP="00F05A5C">
            <w:pPr>
              <w:rPr>
                <w:b/>
                <w:bCs/>
                <w:color w:val="000000"/>
                <w:sz w:val="24"/>
                <w:szCs w:val="24"/>
              </w:rPr>
            </w:pPr>
            <w:r w:rsidRPr="00CD004E">
              <w:rPr>
                <w:b/>
                <w:bCs/>
                <w:color w:val="000000"/>
                <w:sz w:val="24"/>
                <w:szCs w:val="24"/>
              </w:rPr>
              <w:t>0.003</w:t>
            </w:r>
          </w:p>
        </w:tc>
      </w:tr>
      <w:tr w:rsidR="00BD4DC9" w:rsidRPr="00CD004E" w14:paraId="21F9E31B" w14:textId="77777777" w:rsidTr="00BD4DC9">
        <w:trPr>
          <w:trHeight w:val="320"/>
        </w:trPr>
        <w:tc>
          <w:tcPr>
            <w:tcW w:w="1580" w:type="dxa"/>
            <w:hideMark/>
          </w:tcPr>
          <w:p w14:paraId="1C1D0AF0" w14:textId="77777777" w:rsidR="00BD4DC9" w:rsidRPr="00CD004E" w:rsidRDefault="00BD4DC9" w:rsidP="00F05A5C">
            <w:pPr>
              <w:jc w:val="center"/>
              <w:rPr>
                <w:color w:val="000000"/>
                <w:sz w:val="24"/>
                <w:szCs w:val="24"/>
              </w:rPr>
            </w:pPr>
            <w:r w:rsidRPr="00CD004E">
              <w:rPr>
                <w:color w:val="000000"/>
                <w:sz w:val="24"/>
                <w:szCs w:val="24"/>
              </w:rPr>
              <w:t>PSA density</w:t>
            </w:r>
          </w:p>
        </w:tc>
        <w:tc>
          <w:tcPr>
            <w:tcW w:w="1940" w:type="dxa"/>
            <w:hideMark/>
          </w:tcPr>
          <w:p w14:paraId="2139574E" w14:textId="77777777" w:rsidR="00BD4DC9" w:rsidRPr="00CD004E" w:rsidRDefault="00BD4DC9" w:rsidP="00F05A5C">
            <w:pPr>
              <w:jc w:val="center"/>
              <w:rPr>
                <w:color w:val="000000"/>
                <w:sz w:val="24"/>
                <w:szCs w:val="24"/>
              </w:rPr>
            </w:pPr>
            <w:r w:rsidRPr="00CD004E">
              <w:rPr>
                <w:color w:val="000000"/>
                <w:sz w:val="24"/>
                <w:szCs w:val="24"/>
              </w:rPr>
              <w:t>0.42±0.55</w:t>
            </w:r>
          </w:p>
        </w:tc>
        <w:tc>
          <w:tcPr>
            <w:tcW w:w="1580" w:type="dxa"/>
            <w:hideMark/>
          </w:tcPr>
          <w:p w14:paraId="2FD71511" w14:textId="77777777" w:rsidR="00BD4DC9" w:rsidRPr="00CD004E" w:rsidRDefault="00BD4DC9" w:rsidP="00F05A5C">
            <w:pPr>
              <w:jc w:val="center"/>
              <w:rPr>
                <w:color w:val="000000"/>
                <w:sz w:val="24"/>
                <w:szCs w:val="24"/>
              </w:rPr>
            </w:pPr>
            <w:r w:rsidRPr="00CD004E">
              <w:rPr>
                <w:color w:val="000000"/>
                <w:sz w:val="24"/>
                <w:szCs w:val="24"/>
              </w:rPr>
              <w:t>0.128±0.121</w:t>
            </w:r>
          </w:p>
        </w:tc>
        <w:tc>
          <w:tcPr>
            <w:tcW w:w="1580" w:type="dxa"/>
            <w:hideMark/>
          </w:tcPr>
          <w:p w14:paraId="694FFCD3" w14:textId="77777777" w:rsidR="00BD4DC9" w:rsidRPr="00CD004E" w:rsidRDefault="00BD4DC9" w:rsidP="00F05A5C">
            <w:pPr>
              <w:jc w:val="center"/>
              <w:rPr>
                <w:color w:val="000000"/>
                <w:sz w:val="24"/>
                <w:szCs w:val="24"/>
              </w:rPr>
            </w:pPr>
            <w:r w:rsidRPr="00CD004E">
              <w:rPr>
                <w:color w:val="000000"/>
                <w:sz w:val="24"/>
                <w:szCs w:val="24"/>
              </w:rPr>
              <w:t>0.13±0.12</w:t>
            </w:r>
          </w:p>
        </w:tc>
        <w:tc>
          <w:tcPr>
            <w:tcW w:w="1580" w:type="dxa"/>
            <w:hideMark/>
          </w:tcPr>
          <w:p w14:paraId="3CA307B7" w14:textId="77777777" w:rsidR="00BD4DC9" w:rsidRPr="00CD004E" w:rsidRDefault="00BD4DC9" w:rsidP="00F05A5C">
            <w:pPr>
              <w:jc w:val="center"/>
              <w:rPr>
                <w:b/>
                <w:bCs/>
                <w:color w:val="000000"/>
                <w:sz w:val="24"/>
                <w:szCs w:val="24"/>
              </w:rPr>
            </w:pPr>
            <w:r w:rsidRPr="00CD004E">
              <w:rPr>
                <w:b/>
                <w:bCs/>
                <w:color w:val="000000"/>
                <w:sz w:val="24"/>
                <w:szCs w:val="24"/>
              </w:rPr>
              <w:t>&lt;0.001</w:t>
            </w:r>
          </w:p>
        </w:tc>
        <w:tc>
          <w:tcPr>
            <w:tcW w:w="1060" w:type="dxa"/>
            <w:hideMark/>
          </w:tcPr>
          <w:p w14:paraId="556BC1E2" w14:textId="77777777" w:rsidR="00BD4DC9" w:rsidRPr="00CD004E" w:rsidRDefault="00BD4DC9" w:rsidP="00F05A5C">
            <w:pPr>
              <w:rPr>
                <w:b/>
                <w:bCs/>
                <w:color w:val="000000"/>
                <w:sz w:val="24"/>
                <w:szCs w:val="24"/>
              </w:rPr>
            </w:pPr>
            <w:r w:rsidRPr="00CD004E">
              <w:rPr>
                <w:b/>
                <w:bCs/>
                <w:color w:val="000000"/>
                <w:sz w:val="24"/>
                <w:szCs w:val="24"/>
              </w:rPr>
              <w:t>0.012</w:t>
            </w:r>
          </w:p>
        </w:tc>
      </w:tr>
      <w:tr w:rsidR="00BD4DC9" w:rsidRPr="00CD004E" w14:paraId="73FDD86E" w14:textId="77777777" w:rsidTr="00BD4DC9">
        <w:trPr>
          <w:trHeight w:val="505"/>
        </w:trPr>
        <w:tc>
          <w:tcPr>
            <w:tcW w:w="9320" w:type="dxa"/>
            <w:gridSpan w:val="6"/>
            <w:hideMark/>
          </w:tcPr>
          <w:p w14:paraId="0A8A3AC9" w14:textId="77777777" w:rsidR="00BD4DC9" w:rsidRPr="00CD004E" w:rsidRDefault="00BD4DC9" w:rsidP="00F05A5C">
            <w:pPr>
              <w:rPr>
                <w:color w:val="000000"/>
                <w:sz w:val="24"/>
                <w:szCs w:val="24"/>
              </w:rPr>
            </w:pPr>
            <w:proofErr w:type="gramStart"/>
            <w:r w:rsidRPr="00CD004E">
              <w:rPr>
                <w:color w:val="000000"/>
                <w:sz w:val="24"/>
                <w:szCs w:val="24"/>
              </w:rPr>
              <w:t>p</w:t>
            </w:r>
            <w:proofErr w:type="gramEnd"/>
            <w:r w:rsidRPr="00CD004E">
              <w:rPr>
                <w:color w:val="000000"/>
                <w:sz w:val="24"/>
                <w:szCs w:val="24"/>
              </w:rPr>
              <w:t xml:space="preserve"> value refers to comparison in between PCa and nonPCa, p value* refers to comparison in between PCa and Prostatitis.</w:t>
            </w:r>
          </w:p>
        </w:tc>
      </w:tr>
    </w:tbl>
    <w:p w14:paraId="03E1C465" w14:textId="77777777" w:rsidR="00C0457A" w:rsidRPr="00CD004E" w:rsidRDefault="00C0457A" w:rsidP="00F05A5C"/>
    <w:p w14:paraId="20BBF4BF" w14:textId="77777777" w:rsidR="00C0457A" w:rsidRPr="00CD004E" w:rsidRDefault="00C0457A" w:rsidP="00F05A5C">
      <w:r w:rsidRPr="00CD004E">
        <w:t>PCa: Prostat cancer, n: number of lesions, SD: standart deviation</w:t>
      </w:r>
      <w:r w:rsidRPr="00CD004E">
        <w:rPr>
          <w:rFonts w:eastAsiaTheme="majorEastAsia"/>
          <w:bCs/>
          <w:sz w:val="21"/>
          <w:szCs w:val="21"/>
        </w:rPr>
        <w:t xml:space="preserve"> </w:t>
      </w:r>
      <w:r w:rsidRPr="00CD004E">
        <w:t xml:space="preserve">PSA: prostate spesific </w:t>
      </w:r>
      <w:proofErr w:type="gramStart"/>
      <w:r w:rsidRPr="00CD004E">
        <w:t>anjigen  PSAd</w:t>
      </w:r>
      <w:proofErr w:type="gramEnd"/>
      <w:r w:rsidRPr="00CD004E">
        <w:t>: PSA density</w:t>
      </w:r>
    </w:p>
    <w:p w14:paraId="20BF6F2E" w14:textId="0E964870" w:rsidR="00C0457A" w:rsidRPr="00CD004E" w:rsidRDefault="00C0457A" w:rsidP="00F05A5C">
      <w:r w:rsidRPr="00CD004E">
        <w:t xml:space="preserve">Prostate Volume and PSAd values are statistically significant for PCa and prostatitis lesion differentation. </w:t>
      </w:r>
    </w:p>
    <w:p w14:paraId="088F2C60" w14:textId="77777777" w:rsidR="00C0457A" w:rsidRPr="00CD004E" w:rsidRDefault="00C0457A" w:rsidP="00F05A5C">
      <w:pPr>
        <w:rPr>
          <w:sz w:val="22"/>
          <w:szCs w:val="22"/>
        </w:rPr>
      </w:pPr>
    </w:p>
    <w:p w14:paraId="77A604A3" w14:textId="2BF77E52" w:rsidR="00C0457A" w:rsidRDefault="00C0457A" w:rsidP="00F05A5C">
      <w:pPr>
        <w:rPr>
          <w:b/>
          <w:bCs/>
          <w:i/>
          <w:iCs/>
        </w:rPr>
      </w:pPr>
      <w:r w:rsidRPr="00CD004E">
        <w:rPr>
          <w:b/>
          <w:bCs/>
          <w:i/>
          <w:iCs/>
        </w:rPr>
        <w:lastRenderedPageBreak/>
        <w:t xml:space="preserve">Table </w:t>
      </w:r>
      <w:r w:rsidR="00BD4DC9" w:rsidRPr="00CD004E">
        <w:rPr>
          <w:b/>
          <w:bCs/>
          <w:i/>
          <w:iCs/>
        </w:rPr>
        <w:t>3</w:t>
      </w:r>
      <w:r w:rsidRPr="00CD004E">
        <w:rPr>
          <w:b/>
          <w:bCs/>
          <w:i/>
          <w:iCs/>
        </w:rPr>
        <w:t>.</w:t>
      </w:r>
      <w:r w:rsidR="00DF2B8A" w:rsidRPr="00CD004E">
        <w:rPr>
          <w:b/>
          <w:bCs/>
          <w:i/>
          <w:iCs/>
        </w:rPr>
        <w:t xml:space="preserve"> </w:t>
      </w:r>
      <w:r w:rsidRPr="00CD004E">
        <w:rPr>
          <w:b/>
          <w:bCs/>
          <w:i/>
          <w:iCs/>
        </w:rPr>
        <w:t>The correlation analysis between patient age, serum PSA value, prostate volume, PSAd and ADC values</w:t>
      </w:r>
    </w:p>
    <w:p w14:paraId="50B5CBF5" w14:textId="77777777" w:rsidR="00CD004E" w:rsidRPr="00CD004E" w:rsidRDefault="00CD004E" w:rsidP="00F05A5C">
      <w:pPr>
        <w:rPr>
          <w:i/>
          <w:iCs/>
        </w:rPr>
      </w:pPr>
    </w:p>
    <w:tbl>
      <w:tblPr>
        <w:tblStyle w:val="TabloKlavuzu"/>
        <w:tblW w:w="10139" w:type="dxa"/>
        <w:tblInd w:w="-522" w:type="dxa"/>
        <w:tblLayout w:type="fixed"/>
        <w:tblLook w:val="04A0" w:firstRow="1" w:lastRow="0" w:firstColumn="1" w:lastColumn="0" w:noHBand="0" w:noVBand="1"/>
      </w:tblPr>
      <w:tblGrid>
        <w:gridCol w:w="1525"/>
        <w:gridCol w:w="1086"/>
        <w:gridCol w:w="1097"/>
        <w:gridCol w:w="1099"/>
        <w:gridCol w:w="1255"/>
        <w:gridCol w:w="1097"/>
        <w:gridCol w:w="1412"/>
        <w:gridCol w:w="1568"/>
      </w:tblGrid>
      <w:tr w:rsidR="00C0457A" w:rsidRPr="00CD004E" w14:paraId="5427A973" w14:textId="77777777" w:rsidTr="001500A6">
        <w:trPr>
          <w:trHeight w:val="510"/>
        </w:trPr>
        <w:tc>
          <w:tcPr>
            <w:tcW w:w="1525" w:type="dxa"/>
            <w:shd w:val="clear" w:color="auto" w:fill="auto"/>
          </w:tcPr>
          <w:p w14:paraId="370CD009" w14:textId="77777777" w:rsidR="00C0457A" w:rsidRPr="00CD004E" w:rsidRDefault="00C0457A" w:rsidP="00F05A5C">
            <w:pPr>
              <w:rPr>
                <w:sz w:val="24"/>
                <w:szCs w:val="24"/>
              </w:rPr>
            </w:pPr>
          </w:p>
        </w:tc>
        <w:tc>
          <w:tcPr>
            <w:tcW w:w="1086" w:type="dxa"/>
            <w:shd w:val="clear" w:color="auto" w:fill="auto"/>
            <w:vAlign w:val="center"/>
          </w:tcPr>
          <w:p w14:paraId="0195B5A0" w14:textId="77777777" w:rsidR="00C0457A" w:rsidRPr="00CD004E" w:rsidRDefault="00C0457A" w:rsidP="00F05A5C">
            <w:pPr>
              <w:jc w:val="center"/>
              <w:rPr>
                <w:sz w:val="24"/>
                <w:szCs w:val="24"/>
              </w:rPr>
            </w:pPr>
          </w:p>
        </w:tc>
        <w:tc>
          <w:tcPr>
            <w:tcW w:w="1097" w:type="dxa"/>
            <w:shd w:val="clear" w:color="auto" w:fill="auto"/>
            <w:vAlign w:val="center"/>
          </w:tcPr>
          <w:p w14:paraId="6765721F" w14:textId="77777777" w:rsidR="00C0457A" w:rsidRPr="00CD004E" w:rsidRDefault="00C0457A" w:rsidP="00F05A5C">
            <w:pPr>
              <w:jc w:val="center"/>
              <w:rPr>
                <w:b/>
                <w:sz w:val="24"/>
                <w:szCs w:val="24"/>
              </w:rPr>
            </w:pPr>
            <w:r w:rsidRPr="00CD004E">
              <w:rPr>
                <w:b/>
                <w:sz w:val="24"/>
                <w:szCs w:val="24"/>
              </w:rPr>
              <w:t>Age</w:t>
            </w:r>
          </w:p>
        </w:tc>
        <w:tc>
          <w:tcPr>
            <w:tcW w:w="1099" w:type="dxa"/>
            <w:shd w:val="clear" w:color="auto" w:fill="auto"/>
            <w:vAlign w:val="center"/>
          </w:tcPr>
          <w:p w14:paraId="39D7F58A" w14:textId="77777777" w:rsidR="00C0457A" w:rsidRPr="00CD004E" w:rsidRDefault="00C0457A" w:rsidP="00F05A5C">
            <w:pPr>
              <w:jc w:val="center"/>
              <w:rPr>
                <w:b/>
                <w:sz w:val="24"/>
                <w:szCs w:val="24"/>
              </w:rPr>
            </w:pPr>
            <w:r w:rsidRPr="00CD004E">
              <w:rPr>
                <w:b/>
                <w:sz w:val="24"/>
                <w:szCs w:val="24"/>
              </w:rPr>
              <w:t>PSA</w:t>
            </w:r>
          </w:p>
        </w:tc>
        <w:tc>
          <w:tcPr>
            <w:tcW w:w="1255" w:type="dxa"/>
            <w:shd w:val="clear" w:color="auto" w:fill="auto"/>
            <w:vAlign w:val="center"/>
          </w:tcPr>
          <w:p w14:paraId="2CF3921D" w14:textId="77777777" w:rsidR="00C0457A" w:rsidRPr="00CD004E" w:rsidRDefault="00C0457A" w:rsidP="00F05A5C">
            <w:pPr>
              <w:jc w:val="center"/>
              <w:rPr>
                <w:b/>
                <w:sz w:val="24"/>
                <w:szCs w:val="24"/>
              </w:rPr>
            </w:pPr>
            <w:r w:rsidRPr="00CD004E">
              <w:rPr>
                <w:b/>
                <w:sz w:val="24"/>
                <w:szCs w:val="24"/>
              </w:rPr>
              <w:t>Prostate</w:t>
            </w:r>
          </w:p>
          <w:p w14:paraId="17393A5B" w14:textId="77777777" w:rsidR="00C0457A" w:rsidRPr="00CD004E" w:rsidRDefault="00C0457A" w:rsidP="00F05A5C">
            <w:pPr>
              <w:jc w:val="center"/>
              <w:rPr>
                <w:b/>
                <w:sz w:val="24"/>
                <w:szCs w:val="24"/>
              </w:rPr>
            </w:pPr>
            <w:proofErr w:type="gramStart"/>
            <w:r w:rsidRPr="00CD004E">
              <w:rPr>
                <w:b/>
                <w:sz w:val="24"/>
                <w:szCs w:val="24"/>
              </w:rPr>
              <w:t>volume</w:t>
            </w:r>
            <w:proofErr w:type="gramEnd"/>
          </w:p>
        </w:tc>
        <w:tc>
          <w:tcPr>
            <w:tcW w:w="1097" w:type="dxa"/>
            <w:shd w:val="clear" w:color="auto" w:fill="auto"/>
            <w:vAlign w:val="center"/>
          </w:tcPr>
          <w:p w14:paraId="0980640B" w14:textId="77777777" w:rsidR="00C0457A" w:rsidRPr="00CD004E" w:rsidRDefault="00C0457A" w:rsidP="00F05A5C">
            <w:pPr>
              <w:jc w:val="center"/>
              <w:rPr>
                <w:b/>
                <w:sz w:val="24"/>
                <w:szCs w:val="24"/>
              </w:rPr>
            </w:pPr>
            <w:r w:rsidRPr="00CD004E">
              <w:rPr>
                <w:b/>
                <w:sz w:val="24"/>
                <w:szCs w:val="24"/>
              </w:rPr>
              <w:t>Prostate density</w:t>
            </w:r>
          </w:p>
        </w:tc>
        <w:tc>
          <w:tcPr>
            <w:tcW w:w="1412" w:type="dxa"/>
            <w:shd w:val="clear" w:color="auto" w:fill="auto"/>
            <w:vAlign w:val="center"/>
          </w:tcPr>
          <w:p w14:paraId="1D8AA934" w14:textId="77777777" w:rsidR="00C0457A" w:rsidRPr="00CD004E" w:rsidRDefault="00C0457A" w:rsidP="00F05A5C">
            <w:pPr>
              <w:jc w:val="center"/>
              <w:rPr>
                <w:b/>
                <w:sz w:val="24"/>
                <w:szCs w:val="24"/>
              </w:rPr>
            </w:pPr>
            <w:r w:rsidRPr="00CD004E">
              <w:rPr>
                <w:b/>
                <w:sz w:val="24"/>
                <w:szCs w:val="24"/>
              </w:rPr>
              <w:t>Peripheral</w:t>
            </w:r>
          </w:p>
          <w:p w14:paraId="6B89F400" w14:textId="77777777" w:rsidR="00C0457A" w:rsidRPr="00CD004E" w:rsidRDefault="00C0457A" w:rsidP="00F05A5C">
            <w:pPr>
              <w:jc w:val="center"/>
              <w:rPr>
                <w:b/>
                <w:sz w:val="24"/>
                <w:szCs w:val="24"/>
              </w:rPr>
            </w:pPr>
            <w:proofErr w:type="gramStart"/>
            <w:r w:rsidRPr="00CD004E">
              <w:rPr>
                <w:b/>
                <w:sz w:val="24"/>
                <w:szCs w:val="24"/>
              </w:rPr>
              <w:t>zone</w:t>
            </w:r>
            <w:proofErr w:type="gramEnd"/>
            <w:r w:rsidRPr="00CD004E">
              <w:rPr>
                <w:b/>
                <w:sz w:val="24"/>
                <w:szCs w:val="24"/>
              </w:rPr>
              <w:t xml:space="preserve"> ADC</w:t>
            </w:r>
          </w:p>
        </w:tc>
        <w:tc>
          <w:tcPr>
            <w:tcW w:w="1568" w:type="dxa"/>
            <w:shd w:val="clear" w:color="auto" w:fill="auto"/>
            <w:vAlign w:val="center"/>
          </w:tcPr>
          <w:p w14:paraId="2662821D" w14:textId="77777777" w:rsidR="00C0457A" w:rsidRPr="00CD004E" w:rsidRDefault="00C0457A" w:rsidP="00F05A5C">
            <w:pPr>
              <w:jc w:val="center"/>
              <w:rPr>
                <w:b/>
                <w:sz w:val="24"/>
                <w:szCs w:val="24"/>
              </w:rPr>
            </w:pPr>
            <w:r w:rsidRPr="00CD004E">
              <w:rPr>
                <w:b/>
                <w:sz w:val="24"/>
                <w:szCs w:val="24"/>
              </w:rPr>
              <w:t>Transitional</w:t>
            </w:r>
          </w:p>
          <w:p w14:paraId="2C264B68" w14:textId="77777777" w:rsidR="00C0457A" w:rsidRPr="00CD004E" w:rsidRDefault="00C0457A" w:rsidP="00F05A5C">
            <w:pPr>
              <w:jc w:val="center"/>
              <w:rPr>
                <w:b/>
                <w:sz w:val="24"/>
                <w:szCs w:val="24"/>
              </w:rPr>
            </w:pPr>
            <w:proofErr w:type="gramStart"/>
            <w:r w:rsidRPr="00CD004E">
              <w:rPr>
                <w:b/>
                <w:sz w:val="24"/>
                <w:szCs w:val="24"/>
              </w:rPr>
              <w:t>zone</w:t>
            </w:r>
            <w:proofErr w:type="gramEnd"/>
            <w:r w:rsidRPr="00CD004E">
              <w:rPr>
                <w:b/>
                <w:sz w:val="24"/>
                <w:szCs w:val="24"/>
              </w:rPr>
              <w:t xml:space="preserve"> ADC</w:t>
            </w:r>
          </w:p>
        </w:tc>
      </w:tr>
      <w:tr w:rsidR="001C6C38" w:rsidRPr="00CD004E" w14:paraId="73D26607" w14:textId="77777777" w:rsidTr="001500A6">
        <w:trPr>
          <w:trHeight w:val="328"/>
        </w:trPr>
        <w:tc>
          <w:tcPr>
            <w:tcW w:w="1525" w:type="dxa"/>
            <w:vMerge w:val="restart"/>
            <w:shd w:val="clear" w:color="auto" w:fill="auto"/>
            <w:vAlign w:val="center"/>
          </w:tcPr>
          <w:p w14:paraId="109C845C" w14:textId="77777777" w:rsidR="001C6C38" w:rsidRPr="00CD004E" w:rsidRDefault="001C6C38" w:rsidP="00F05A5C">
            <w:pPr>
              <w:rPr>
                <w:b/>
                <w:sz w:val="24"/>
                <w:szCs w:val="24"/>
              </w:rPr>
            </w:pPr>
            <w:r w:rsidRPr="00CD004E">
              <w:rPr>
                <w:b/>
                <w:sz w:val="24"/>
                <w:szCs w:val="24"/>
              </w:rPr>
              <w:t>Age</w:t>
            </w:r>
          </w:p>
        </w:tc>
        <w:tc>
          <w:tcPr>
            <w:tcW w:w="1086" w:type="dxa"/>
            <w:shd w:val="clear" w:color="auto" w:fill="auto"/>
            <w:vAlign w:val="center"/>
          </w:tcPr>
          <w:p w14:paraId="5F8E8042" w14:textId="77777777" w:rsidR="001C6C38" w:rsidRPr="00CD004E" w:rsidRDefault="001C6C38" w:rsidP="00F05A5C">
            <w:pPr>
              <w:jc w:val="center"/>
              <w:rPr>
                <w:color w:val="000000"/>
                <w:sz w:val="24"/>
                <w:szCs w:val="24"/>
              </w:rPr>
            </w:pPr>
            <w:proofErr w:type="gramStart"/>
            <w:r w:rsidRPr="00CD004E">
              <w:rPr>
                <w:color w:val="000000"/>
                <w:sz w:val="24"/>
                <w:szCs w:val="24"/>
              </w:rPr>
              <w:t>r</w:t>
            </w:r>
            <w:proofErr w:type="gramEnd"/>
          </w:p>
        </w:tc>
        <w:tc>
          <w:tcPr>
            <w:tcW w:w="1097" w:type="dxa"/>
            <w:shd w:val="clear" w:color="auto" w:fill="auto"/>
            <w:vAlign w:val="center"/>
          </w:tcPr>
          <w:p w14:paraId="78DB3EB6" w14:textId="77777777" w:rsidR="001C6C38" w:rsidRPr="00CD004E" w:rsidRDefault="001C6C38" w:rsidP="00F05A5C">
            <w:pPr>
              <w:jc w:val="center"/>
              <w:rPr>
                <w:color w:val="000000"/>
                <w:sz w:val="24"/>
                <w:szCs w:val="24"/>
              </w:rPr>
            </w:pPr>
            <w:r w:rsidRPr="00CD004E">
              <w:rPr>
                <w:color w:val="000000"/>
                <w:sz w:val="24"/>
                <w:szCs w:val="24"/>
              </w:rPr>
              <w:t>1</w:t>
            </w:r>
          </w:p>
        </w:tc>
        <w:tc>
          <w:tcPr>
            <w:tcW w:w="1099" w:type="dxa"/>
            <w:shd w:val="clear" w:color="auto" w:fill="auto"/>
            <w:vAlign w:val="center"/>
          </w:tcPr>
          <w:p w14:paraId="0E01CB0D" w14:textId="77777777" w:rsidR="001C6C38" w:rsidRPr="00CD004E" w:rsidRDefault="001C6C38" w:rsidP="00F05A5C">
            <w:pPr>
              <w:jc w:val="center"/>
              <w:rPr>
                <w:b/>
                <w:color w:val="000000"/>
                <w:sz w:val="24"/>
                <w:szCs w:val="24"/>
              </w:rPr>
            </w:pPr>
            <w:r w:rsidRPr="00CD004E">
              <w:rPr>
                <w:b/>
                <w:color w:val="000000"/>
                <w:sz w:val="24"/>
                <w:szCs w:val="24"/>
              </w:rPr>
              <w:t>0.308**</w:t>
            </w:r>
          </w:p>
        </w:tc>
        <w:tc>
          <w:tcPr>
            <w:tcW w:w="1255" w:type="dxa"/>
            <w:shd w:val="clear" w:color="auto" w:fill="auto"/>
            <w:vAlign w:val="center"/>
          </w:tcPr>
          <w:p w14:paraId="75D759CE" w14:textId="77777777" w:rsidR="001C6C38" w:rsidRPr="00CD004E" w:rsidRDefault="001C6C38" w:rsidP="00F05A5C">
            <w:pPr>
              <w:jc w:val="center"/>
              <w:rPr>
                <w:color w:val="000000"/>
                <w:sz w:val="24"/>
                <w:szCs w:val="24"/>
              </w:rPr>
            </w:pPr>
            <w:r w:rsidRPr="00CD004E">
              <w:rPr>
                <w:color w:val="000000"/>
                <w:sz w:val="24"/>
                <w:szCs w:val="24"/>
              </w:rPr>
              <w:t>0.125</w:t>
            </w:r>
          </w:p>
        </w:tc>
        <w:tc>
          <w:tcPr>
            <w:tcW w:w="1097" w:type="dxa"/>
            <w:shd w:val="clear" w:color="auto" w:fill="auto"/>
            <w:vAlign w:val="center"/>
          </w:tcPr>
          <w:p w14:paraId="619D3ADB" w14:textId="77777777" w:rsidR="001C6C38" w:rsidRPr="00CD004E" w:rsidRDefault="001C6C38" w:rsidP="00F05A5C">
            <w:pPr>
              <w:jc w:val="center"/>
              <w:rPr>
                <w:color w:val="000000"/>
                <w:sz w:val="24"/>
                <w:szCs w:val="24"/>
              </w:rPr>
            </w:pPr>
            <w:r w:rsidRPr="00CD004E">
              <w:rPr>
                <w:color w:val="000000"/>
                <w:sz w:val="24"/>
                <w:szCs w:val="24"/>
              </w:rPr>
              <w:t>0.155</w:t>
            </w:r>
          </w:p>
        </w:tc>
        <w:tc>
          <w:tcPr>
            <w:tcW w:w="1412" w:type="dxa"/>
            <w:shd w:val="clear" w:color="auto" w:fill="auto"/>
            <w:vAlign w:val="center"/>
          </w:tcPr>
          <w:p w14:paraId="67E7C9AF" w14:textId="77777777" w:rsidR="001C6C38" w:rsidRPr="00CD004E" w:rsidRDefault="001C6C38" w:rsidP="00F05A5C">
            <w:pPr>
              <w:jc w:val="center"/>
              <w:rPr>
                <w:color w:val="000000"/>
                <w:sz w:val="24"/>
                <w:szCs w:val="24"/>
              </w:rPr>
            </w:pPr>
            <w:r w:rsidRPr="00CD004E">
              <w:rPr>
                <w:color w:val="000000"/>
                <w:sz w:val="24"/>
                <w:szCs w:val="24"/>
              </w:rPr>
              <w:t>-0.170</w:t>
            </w:r>
          </w:p>
        </w:tc>
        <w:tc>
          <w:tcPr>
            <w:tcW w:w="1568" w:type="dxa"/>
            <w:shd w:val="clear" w:color="auto" w:fill="auto"/>
            <w:vAlign w:val="center"/>
          </w:tcPr>
          <w:p w14:paraId="42312E84" w14:textId="77777777" w:rsidR="001C6C38" w:rsidRPr="00CD004E" w:rsidRDefault="001C6C38" w:rsidP="00F05A5C">
            <w:pPr>
              <w:jc w:val="center"/>
              <w:rPr>
                <w:color w:val="000000"/>
                <w:sz w:val="24"/>
                <w:szCs w:val="24"/>
              </w:rPr>
            </w:pPr>
            <w:r w:rsidRPr="00CD004E">
              <w:rPr>
                <w:color w:val="000000"/>
                <w:sz w:val="24"/>
                <w:szCs w:val="24"/>
              </w:rPr>
              <w:t>0.016</w:t>
            </w:r>
          </w:p>
        </w:tc>
      </w:tr>
      <w:tr w:rsidR="001C6C38" w:rsidRPr="00CD004E" w14:paraId="1180F56D" w14:textId="77777777" w:rsidTr="001500A6">
        <w:trPr>
          <w:trHeight w:val="50"/>
        </w:trPr>
        <w:tc>
          <w:tcPr>
            <w:tcW w:w="1525" w:type="dxa"/>
            <w:vMerge/>
            <w:shd w:val="clear" w:color="auto" w:fill="auto"/>
            <w:vAlign w:val="center"/>
          </w:tcPr>
          <w:p w14:paraId="69A0FFD8" w14:textId="77777777" w:rsidR="001C6C38" w:rsidRPr="00CD004E" w:rsidRDefault="001C6C38" w:rsidP="00F05A5C">
            <w:pPr>
              <w:rPr>
                <w:b/>
                <w:sz w:val="24"/>
                <w:szCs w:val="24"/>
              </w:rPr>
            </w:pPr>
          </w:p>
        </w:tc>
        <w:tc>
          <w:tcPr>
            <w:tcW w:w="1086" w:type="dxa"/>
            <w:shd w:val="clear" w:color="auto" w:fill="auto"/>
            <w:vAlign w:val="center"/>
          </w:tcPr>
          <w:p w14:paraId="6083F17C" w14:textId="77777777" w:rsidR="001C6C38" w:rsidRPr="00CD004E" w:rsidRDefault="001C6C38" w:rsidP="00F05A5C">
            <w:pPr>
              <w:jc w:val="center"/>
              <w:rPr>
                <w:color w:val="000000"/>
                <w:sz w:val="24"/>
                <w:szCs w:val="24"/>
              </w:rPr>
            </w:pPr>
            <w:proofErr w:type="gramStart"/>
            <w:r w:rsidRPr="00CD004E">
              <w:rPr>
                <w:color w:val="000000"/>
                <w:sz w:val="24"/>
                <w:szCs w:val="24"/>
              </w:rPr>
              <w:t>p</w:t>
            </w:r>
            <w:proofErr w:type="gramEnd"/>
            <w:r w:rsidRPr="00CD004E">
              <w:rPr>
                <w:color w:val="000000"/>
                <w:sz w:val="24"/>
                <w:szCs w:val="24"/>
              </w:rPr>
              <w:t xml:space="preserve"> value</w:t>
            </w:r>
          </w:p>
        </w:tc>
        <w:tc>
          <w:tcPr>
            <w:tcW w:w="1097" w:type="dxa"/>
            <w:shd w:val="clear" w:color="auto" w:fill="auto"/>
            <w:vAlign w:val="center"/>
          </w:tcPr>
          <w:p w14:paraId="40D41117" w14:textId="77777777" w:rsidR="001C6C38" w:rsidRPr="00CD004E" w:rsidRDefault="001C6C38" w:rsidP="00F05A5C">
            <w:pPr>
              <w:jc w:val="center"/>
              <w:rPr>
                <w:color w:val="000000"/>
                <w:sz w:val="24"/>
                <w:szCs w:val="24"/>
              </w:rPr>
            </w:pPr>
          </w:p>
        </w:tc>
        <w:tc>
          <w:tcPr>
            <w:tcW w:w="1099" w:type="dxa"/>
            <w:shd w:val="clear" w:color="auto" w:fill="auto"/>
            <w:vAlign w:val="center"/>
          </w:tcPr>
          <w:p w14:paraId="22A0808A" w14:textId="77777777" w:rsidR="001C6C38" w:rsidRPr="00CD004E" w:rsidRDefault="001C6C38" w:rsidP="00F05A5C">
            <w:pPr>
              <w:jc w:val="center"/>
              <w:rPr>
                <w:color w:val="000000"/>
                <w:sz w:val="24"/>
                <w:szCs w:val="24"/>
              </w:rPr>
            </w:pPr>
            <w:r w:rsidRPr="00CD004E">
              <w:rPr>
                <w:color w:val="000000"/>
                <w:sz w:val="24"/>
                <w:szCs w:val="24"/>
              </w:rPr>
              <w:t>0.004</w:t>
            </w:r>
          </w:p>
        </w:tc>
        <w:tc>
          <w:tcPr>
            <w:tcW w:w="1255" w:type="dxa"/>
            <w:shd w:val="clear" w:color="auto" w:fill="auto"/>
            <w:vAlign w:val="center"/>
          </w:tcPr>
          <w:p w14:paraId="026FF82B" w14:textId="77777777" w:rsidR="001C6C38" w:rsidRPr="00CD004E" w:rsidRDefault="001C6C38" w:rsidP="00F05A5C">
            <w:pPr>
              <w:jc w:val="center"/>
              <w:rPr>
                <w:color w:val="000000"/>
                <w:sz w:val="24"/>
                <w:szCs w:val="24"/>
              </w:rPr>
            </w:pPr>
            <w:r w:rsidRPr="00CD004E">
              <w:rPr>
                <w:color w:val="000000"/>
                <w:sz w:val="24"/>
                <w:szCs w:val="24"/>
              </w:rPr>
              <w:t>0.259</w:t>
            </w:r>
          </w:p>
        </w:tc>
        <w:tc>
          <w:tcPr>
            <w:tcW w:w="1097" w:type="dxa"/>
            <w:shd w:val="clear" w:color="auto" w:fill="auto"/>
            <w:vAlign w:val="center"/>
          </w:tcPr>
          <w:p w14:paraId="1C90286B" w14:textId="77777777" w:rsidR="001C6C38" w:rsidRPr="00CD004E" w:rsidRDefault="001C6C38" w:rsidP="00F05A5C">
            <w:pPr>
              <w:jc w:val="center"/>
              <w:rPr>
                <w:color w:val="000000"/>
                <w:sz w:val="24"/>
                <w:szCs w:val="24"/>
              </w:rPr>
            </w:pPr>
            <w:r w:rsidRPr="00CD004E">
              <w:rPr>
                <w:color w:val="000000"/>
                <w:sz w:val="24"/>
                <w:szCs w:val="24"/>
              </w:rPr>
              <w:t>0.160</w:t>
            </w:r>
          </w:p>
        </w:tc>
        <w:tc>
          <w:tcPr>
            <w:tcW w:w="1412" w:type="dxa"/>
            <w:shd w:val="clear" w:color="auto" w:fill="auto"/>
            <w:vAlign w:val="center"/>
          </w:tcPr>
          <w:p w14:paraId="616B5D73" w14:textId="77777777" w:rsidR="001C6C38" w:rsidRPr="00CD004E" w:rsidRDefault="001C6C38" w:rsidP="00F05A5C">
            <w:pPr>
              <w:jc w:val="center"/>
              <w:rPr>
                <w:color w:val="000000"/>
                <w:sz w:val="24"/>
                <w:szCs w:val="24"/>
              </w:rPr>
            </w:pPr>
            <w:r w:rsidRPr="00CD004E">
              <w:rPr>
                <w:color w:val="000000"/>
                <w:sz w:val="24"/>
                <w:szCs w:val="24"/>
              </w:rPr>
              <w:t>0.134</w:t>
            </w:r>
          </w:p>
        </w:tc>
        <w:tc>
          <w:tcPr>
            <w:tcW w:w="1568" w:type="dxa"/>
            <w:shd w:val="clear" w:color="auto" w:fill="auto"/>
            <w:vAlign w:val="center"/>
          </w:tcPr>
          <w:p w14:paraId="6EECE7AE" w14:textId="77777777" w:rsidR="001C6C38" w:rsidRPr="00CD004E" w:rsidRDefault="001C6C38" w:rsidP="00F05A5C">
            <w:pPr>
              <w:jc w:val="center"/>
              <w:rPr>
                <w:color w:val="000000"/>
                <w:sz w:val="24"/>
                <w:szCs w:val="24"/>
              </w:rPr>
            </w:pPr>
            <w:r w:rsidRPr="00CD004E">
              <w:rPr>
                <w:color w:val="000000"/>
                <w:sz w:val="24"/>
                <w:szCs w:val="24"/>
              </w:rPr>
              <w:t>0.888</w:t>
            </w:r>
          </w:p>
        </w:tc>
      </w:tr>
      <w:tr w:rsidR="001C6C38" w:rsidRPr="00CD004E" w14:paraId="01214D86" w14:textId="77777777" w:rsidTr="001500A6">
        <w:trPr>
          <w:trHeight w:val="332"/>
        </w:trPr>
        <w:tc>
          <w:tcPr>
            <w:tcW w:w="1525" w:type="dxa"/>
            <w:vMerge w:val="restart"/>
            <w:shd w:val="clear" w:color="auto" w:fill="auto"/>
            <w:vAlign w:val="center"/>
          </w:tcPr>
          <w:p w14:paraId="1B5409C7" w14:textId="77777777" w:rsidR="001C6C38" w:rsidRPr="00CD004E" w:rsidRDefault="001C6C38" w:rsidP="00F05A5C">
            <w:pPr>
              <w:rPr>
                <w:b/>
                <w:sz w:val="24"/>
                <w:szCs w:val="24"/>
              </w:rPr>
            </w:pPr>
            <w:r w:rsidRPr="00CD004E">
              <w:rPr>
                <w:b/>
                <w:sz w:val="24"/>
                <w:szCs w:val="24"/>
              </w:rPr>
              <w:t>PSA</w:t>
            </w:r>
          </w:p>
        </w:tc>
        <w:tc>
          <w:tcPr>
            <w:tcW w:w="1086" w:type="dxa"/>
            <w:shd w:val="clear" w:color="auto" w:fill="auto"/>
            <w:vAlign w:val="center"/>
          </w:tcPr>
          <w:p w14:paraId="0207CD18" w14:textId="77777777" w:rsidR="001C6C38" w:rsidRPr="00CD004E" w:rsidRDefault="001C6C38" w:rsidP="00F05A5C">
            <w:pPr>
              <w:jc w:val="center"/>
              <w:rPr>
                <w:color w:val="000000"/>
                <w:sz w:val="24"/>
                <w:szCs w:val="24"/>
              </w:rPr>
            </w:pPr>
            <w:proofErr w:type="gramStart"/>
            <w:r w:rsidRPr="00CD004E">
              <w:rPr>
                <w:color w:val="000000"/>
                <w:sz w:val="24"/>
                <w:szCs w:val="24"/>
              </w:rPr>
              <w:t>r</w:t>
            </w:r>
            <w:proofErr w:type="gramEnd"/>
          </w:p>
        </w:tc>
        <w:tc>
          <w:tcPr>
            <w:tcW w:w="1097" w:type="dxa"/>
            <w:shd w:val="clear" w:color="auto" w:fill="auto"/>
            <w:vAlign w:val="center"/>
          </w:tcPr>
          <w:p w14:paraId="0053D53C" w14:textId="77777777" w:rsidR="001C6C38" w:rsidRPr="00CD004E" w:rsidRDefault="001C6C38" w:rsidP="00F05A5C">
            <w:pPr>
              <w:jc w:val="center"/>
              <w:rPr>
                <w:b/>
                <w:color w:val="000000"/>
                <w:sz w:val="24"/>
                <w:szCs w:val="24"/>
              </w:rPr>
            </w:pPr>
            <w:r w:rsidRPr="00CD004E">
              <w:rPr>
                <w:b/>
                <w:color w:val="000000"/>
                <w:sz w:val="24"/>
                <w:szCs w:val="24"/>
              </w:rPr>
              <w:t>0.308**</w:t>
            </w:r>
          </w:p>
        </w:tc>
        <w:tc>
          <w:tcPr>
            <w:tcW w:w="1099" w:type="dxa"/>
            <w:shd w:val="clear" w:color="auto" w:fill="auto"/>
            <w:vAlign w:val="center"/>
          </w:tcPr>
          <w:p w14:paraId="2B28052A" w14:textId="77777777" w:rsidR="001C6C38" w:rsidRPr="00CD004E" w:rsidRDefault="001C6C38" w:rsidP="00F05A5C">
            <w:pPr>
              <w:jc w:val="center"/>
              <w:rPr>
                <w:color w:val="000000"/>
                <w:sz w:val="24"/>
                <w:szCs w:val="24"/>
              </w:rPr>
            </w:pPr>
            <w:r w:rsidRPr="00CD004E">
              <w:rPr>
                <w:color w:val="000000"/>
                <w:sz w:val="24"/>
                <w:szCs w:val="24"/>
              </w:rPr>
              <w:t>1</w:t>
            </w:r>
          </w:p>
        </w:tc>
        <w:tc>
          <w:tcPr>
            <w:tcW w:w="1255" w:type="dxa"/>
            <w:shd w:val="clear" w:color="auto" w:fill="auto"/>
            <w:vAlign w:val="center"/>
          </w:tcPr>
          <w:p w14:paraId="395AE6BB" w14:textId="77777777" w:rsidR="001C6C38" w:rsidRPr="00CD004E" w:rsidRDefault="001C6C38" w:rsidP="00F05A5C">
            <w:pPr>
              <w:jc w:val="center"/>
              <w:rPr>
                <w:b/>
                <w:color w:val="000000"/>
                <w:sz w:val="24"/>
                <w:szCs w:val="24"/>
              </w:rPr>
            </w:pPr>
            <w:r w:rsidRPr="00CD004E">
              <w:rPr>
                <w:b/>
                <w:color w:val="000000"/>
                <w:sz w:val="24"/>
                <w:szCs w:val="24"/>
              </w:rPr>
              <w:t>0.275*</w:t>
            </w:r>
          </w:p>
        </w:tc>
        <w:tc>
          <w:tcPr>
            <w:tcW w:w="1097" w:type="dxa"/>
            <w:shd w:val="clear" w:color="auto" w:fill="auto"/>
            <w:vAlign w:val="center"/>
          </w:tcPr>
          <w:p w14:paraId="6F5272A4" w14:textId="77777777" w:rsidR="001C6C38" w:rsidRPr="00CD004E" w:rsidRDefault="001C6C38" w:rsidP="00F05A5C">
            <w:pPr>
              <w:jc w:val="center"/>
              <w:rPr>
                <w:b/>
                <w:color w:val="000000"/>
                <w:sz w:val="24"/>
                <w:szCs w:val="24"/>
              </w:rPr>
            </w:pPr>
            <w:r w:rsidRPr="00CD004E">
              <w:rPr>
                <w:b/>
                <w:color w:val="000000"/>
                <w:sz w:val="24"/>
                <w:szCs w:val="24"/>
              </w:rPr>
              <w:t>0.617**</w:t>
            </w:r>
          </w:p>
        </w:tc>
        <w:tc>
          <w:tcPr>
            <w:tcW w:w="1412" w:type="dxa"/>
            <w:shd w:val="clear" w:color="auto" w:fill="auto"/>
            <w:vAlign w:val="center"/>
          </w:tcPr>
          <w:p w14:paraId="4904EE32" w14:textId="77777777" w:rsidR="001C6C38" w:rsidRPr="00CD004E" w:rsidRDefault="001C6C38" w:rsidP="00F05A5C">
            <w:pPr>
              <w:jc w:val="center"/>
              <w:rPr>
                <w:color w:val="000000"/>
                <w:sz w:val="24"/>
                <w:szCs w:val="24"/>
              </w:rPr>
            </w:pPr>
            <w:r w:rsidRPr="00CD004E">
              <w:rPr>
                <w:color w:val="000000"/>
                <w:sz w:val="24"/>
                <w:szCs w:val="24"/>
              </w:rPr>
              <w:t>-0.18</w:t>
            </w:r>
          </w:p>
        </w:tc>
        <w:tc>
          <w:tcPr>
            <w:tcW w:w="1568" w:type="dxa"/>
            <w:shd w:val="clear" w:color="auto" w:fill="auto"/>
            <w:vAlign w:val="center"/>
          </w:tcPr>
          <w:p w14:paraId="5D32CE4D" w14:textId="77777777" w:rsidR="001C6C38" w:rsidRPr="00CD004E" w:rsidRDefault="001C6C38" w:rsidP="00F05A5C">
            <w:pPr>
              <w:jc w:val="center"/>
              <w:rPr>
                <w:color w:val="000000"/>
                <w:sz w:val="24"/>
                <w:szCs w:val="24"/>
              </w:rPr>
            </w:pPr>
            <w:r w:rsidRPr="00CD004E">
              <w:rPr>
                <w:color w:val="000000"/>
                <w:sz w:val="24"/>
                <w:szCs w:val="24"/>
              </w:rPr>
              <w:t>0.026</w:t>
            </w:r>
          </w:p>
        </w:tc>
      </w:tr>
      <w:tr w:rsidR="001C6C38" w:rsidRPr="00CD004E" w14:paraId="7EE897ED" w14:textId="77777777" w:rsidTr="001500A6">
        <w:trPr>
          <w:trHeight w:val="177"/>
        </w:trPr>
        <w:tc>
          <w:tcPr>
            <w:tcW w:w="1525" w:type="dxa"/>
            <w:vMerge/>
            <w:shd w:val="clear" w:color="auto" w:fill="auto"/>
            <w:vAlign w:val="center"/>
          </w:tcPr>
          <w:p w14:paraId="75A7B038" w14:textId="77777777" w:rsidR="001C6C38" w:rsidRPr="00CD004E" w:rsidRDefault="001C6C38" w:rsidP="00F05A5C">
            <w:pPr>
              <w:rPr>
                <w:b/>
                <w:sz w:val="24"/>
                <w:szCs w:val="24"/>
              </w:rPr>
            </w:pPr>
          </w:p>
        </w:tc>
        <w:tc>
          <w:tcPr>
            <w:tcW w:w="1086" w:type="dxa"/>
            <w:shd w:val="clear" w:color="auto" w:fill="auto"/>
            <w:vAlign w:val="center"/>
          </w:tcPr>
          <w:p w14:paraId="3D204A6F" w14:textId="77777777" w:rsidR="001C6C38" w:rsidRPr="00CD004E" w:rsidRDefault="001C6C38" w:rsidP="00F05A5C">
            <w:pPr>
              <w:jc w:val="center"/>
              <w:rPr>
                <w:color w:val="000000"/>
                <w:sz w:val="24"/>
                <w:szCs w:val="24"/>
              </w:rPr>
            </w:pPr>
            <w:proofErr w:type="gramStart"/>
            <w:r w:rsidRPr="00CD004E">
              <w:rPr>
                <w:color w:val="000000"/>
                <w:sz w:val="24"/>
                <w:szCs w:val="24"/>
              </w:rPr>
              <w:t>p</w:t>
            </w:r>
            <w:proofErr w:type="gramEnd"/>
            <w:r w:rsidRPr="00CD004E">
              <w:rPr>
                <w:color w:val="000000"/>
                <w:sz w:val="24"/>
                <w:szCs w:val="24"/>
              </w:rPr>
              <w:t xml:space="preserve"> value</w:t>
            </w:r>
          </w:p>
        </w:tc>
        <w:tc>
          <w:tcPr>
            <w:tcW w:w="1097" w:type="dxa"/>
            <w:shd w:val="clear" w:color="auto" w:fill="auto"/>
            <w:vAlign w:val="center"/>
          </w:tcPr>
          <w:p w14:paraId="1AD44D88" w14:textId="77777777" w:rsidR="001C6C38" w:rsidRPr="00CD004E" w:rsidRDefault="001C6C38" w:rsidP="00F05A5C">
            <w:pPr>
              <w:jc w:val="center"/>
              <w:rPr>
                <w:color w:val="000000"/>
                <w:sz w:val="24"/>
                <w:szCs w:val="24"/>
              </w:rPr>
            </w:pPr>
            <w:r w:rsidRPr="00CD004E">
              <w:rPr>
                <w:color w:val="000000"/>
                <w:sz w:val="24"/>
                <w:szCs w:val="24"/>
              </w:rPr>
              <w:t>0.004</w:t>
            </w:r>
          </w:p>
        </w:tc>
        <w:tc>
          <w:tcPr>
            <w:tcW w:w="1099" w:type="dxa"/>
            <w:shd w:val="clear" w:color="auto" w:fill="auto"/>
            <w:vAlign w:val="center"/>
          </w:tcPr>
          <w:p w14:paraId="5DAF1FA3" w14:textId="77777777" w:rsidR="001C6C38" w:rsidRPr="00CD004E" w:rsidRDefault="001C6C38" w:rsidP="00F05A5C">
            <w:pPr>
              <w:jc w:val="center"/>
              <w:rPr>
                <w:color w:val="000000"/>
                <w:sz w:val="24"/>
                <w:szCs w:val="24"/>
              </w:rPr>
            </w:pPr>
            <w:r w:rsidRPr="00CD004E">
              <w:rPr>
                <w:color w:val="000000"/>
                <w:sz w:val="24"/>
                <w:szCs w:val="24"/>
              </w:rPr>
              <w:t>.</w:t>
            </w:r>
          </w:p>
        </w:tc>
        <w:tc>
          <w:tcPr>
            <w:tcW w:w="1255" w:type="dxa"/>
            <w:shd w:val="clear" w:color="auto" w:fill="auto"/>
            <w:vAlign w:val="center"/>
          </w:tcPr>
          <w:p w14:paraId="225DAA20" w14:textId="77777777" w:rsidR="001C6C38" w:rsidRPr="00CD004E" w:rsidRDefault="001C6C38" w:rsidP="00F05A5C">
            <w:pPr>
              <w:jc w:val="center"/>
              <w:rPr>
                <w:color w:val="000000"/>
                <w:sz w:val="24"/>
                <w:szCs w:val="24"/>
              </w:rPr>
            </w:pPr>
            <w:r w:rsidRPr="00CD004E">
              <w:rPr>
                <w:color w:val="000000"/>
                <w:sz w:val="24"/>
                <w:szCs w:val="24"/>
              </w:rPr>
              <w:t>0.011</w:t>
            </w:r>
          </w:p>
        </w:tc>
        <w:tc>
          <w:tcPr>
            <w:tcW w:w="1097" w:type="dxa"/>
            <w:shd w:val="clear" w:color="auto" w:fill="auto"/>
            <w:vAlign w:val="center"/>
          </w:tcPr>
          <w:p w14:paraId="7E545567" w14:textId="77777777" w:rsidR="001C6C38" w:rsidRPr="00CD004E" w:rsidRDefault="001C6C38" w:rsidP="00F05A5C">
            <w:pPr>
              <w:jc w:val="center"/>
              <w:rPr>
                <w:color w:val="000000"/>
                <w:sz w:val="24"/>
                <w:szCs w:val="24"/>
              </w:rPr>
            </w:pPr>
            <w:r w:rsidRPr="00CD004E">
              <w:rPr>
                <w:color w:val="000000"/>
                <w:sz w:val="24"/>
                <w:szCs w:val="24"/>
              </w:rPr>
              <w:t>&lt;0.001</w:t>
            </w:r>
          </w:p>
        </w:tc>
        <w:tc>
          <w:tcPr>
            <w:tcW w:w="1412" w:type="dxa"/>
            <w:shd w:val="clear" w:color="auto" w:fill="auto"/>
            <w:vAlign w:val="center"/>
          </w:tcPr>
          <w:p w14:paraId="045D5113" w14:textId="77777777" w:rsidR="001C6C38" w:rsidRPr="00CD004E" w:rsidRDefault="001C6C38" w:rsidP="00F05A5C">
            <w:pPr>
              <w:jc w:val="center"/>
              <w:rPr>
                <w:color w:val="000000"/>
                <w:sz w:val="24"/>
                <w:szCs w:val="24"/>
              </w:rPr>
            </w:pPr>
            <w:r w:rsidRPr="00CD004E">
              <w:rPr>
                <w:color w:val="000000"/>
                <w:sz w:val="24"/>
                <w:szCs w:val="24"/>
              </w:rPr>
              <w:t>0.112</w:t>
            </w:r>
          </w:p>
        </w:tc>
        <w:tc>
          <w:tcPr>
            <w:tcW w:w="1568" w:type="dxa"/>
            <w:shd w:val="clear" w:color="auto" w:fill="auto"/>
            <w:vAlign w:val="center"/>
          </w:tcPr>
          <w:p w14:paraId="0AFBF4BC" w14:textId="77777777" w:rsidR="001C6C38" w:rsidRPr="00CD004E" w:rsidRDefault="001C6C38" w:rsidP="00F05A5C">
            <w:pPr>
              <w:jc w:val="center"/>
              <w:rPr>
                <w:color w:val="000000"/>
                <w:sz w:val="24"/>
                <w:szCs w:val="24"/>
              </w:rPr>
            </w:pPr>
            <w:r w:rsidRPr="00CD004E">
              <w:rPr>
                <w:color w:val="000000"/>
                <w:sz w:val="24"/>
                <w:szCs w:val="24"/>
              </w:rPr>
              <w:t>0.822</w:t>
            </w:r>
          </w:p>
        </w:tc>
      </w:tr>
      <w:tr w:rsidR="001C6C38" w:rsidRPr="00CD004E" w14:paraId="40EBC52A" w14:textId="77777777" w:rsidTr="001500A6">
        <w:trPr>
          <w:trHeight w:val="510"/>
        </w:trPr>
        <w:tc>
          <w:tcPr>
            <w:tcW w:w="1525" w:type="dxa"/>
            <w:vMerge w:val="restart"/>
            <w:shd w:val="clear" w:color="auto" w:fill="auto"/>
            <w:vAlign w:val="center"/>
          </w:tcPr>
          <w:p w14:paraId="3C1951D0" w14:textId="77777777" w:rsidR="001C6C38" w:rsidRPr="00CD004E" w:rsidRDefault="001C6C38" w:rsidP="00F05A5C">
            <w:pPr>
              <w:rPr>
                <w:b/>
                <w:sz w:val="24"/>
                <w:szCs w:val="24"/>
              </w:rPr>
            </w:pPr>
            <w:r w:rsidRPr="00CD004E">
              <w:rPr>
                <w:b/>
                <w:sz w:val="24"/>
                <w:szCs w:val="24"/>
              </w:rPr>
              <w:t>Prostate volume</w:t>
            </w:r>
          </w:p>
        </w:tc>
        <w:tc>
          <w:tcPr>
            <w:tcW w:w="1086" w:type="dxa"/>
            <w:shd w:val="clear" w:color="auto" w:fill="auto"/>
            <w:vAlign w:val="center"/>
          </w:tcPr>
          <w:p w14:paraId="32647600" w14:textId="77777777" w:rsidR="001C6C38" w:rsidRPr="00CD004E" w:rsidRDefault="001C6C38" w:rsidP="00F05A5C">
            <w:pPr>
              <w:jc w:val="center"/>
              <w:rPr>
                <w:color w:val="000000"/>
                <w:sz w:val="24"/>
                <w:szCs w:val="24"/>
              </w:rPr>
            </w:pPr>
            <w:proofErr w:type="gramStart"/>
            <w:r w:rsidRPr="00CD004E">
              <w:rPr>
                <w:color w:val="000000"/>
                <w:sz w:val="24"/>
                <w:szCs w:val="24"/>
              </w:rPr>
              <w:t>r</w:t>
            </w:r>
            <w:proofErr w:type="gramEnd"/>
          </w:p>
        </w:tc>
        <w:tc>
          <w:tcPr>
            <w:tcW w:w="1097" w:type="dxa"/>
            <w:shd w:val="clear" w:color="auto" w:fill="auto"/>
            <w:vAlign w:val="center"/>
          </w:tcPr>
          <w:p w14:paraId="530FA4E2" w14:textId="77777777" w:rsidR="001C6C38" w:rsidRPr="00CD004E" w:rsidRDefault="001C6C38" w:rsidP="00F05A5C">
            <w:pPr>
              <w:jc w:val="center"/>
              <w:rPr>
                <w:color w:val="000000"/>
                <w:sz w:val="24"/>
                <w:szCs w:val="24"/>
              </w:rPr>
            </w:pPr>
            <w:r w:rsidRPr="00CD004E">
              <w:rPr>
                <w:color w:val="000000"/>
                <w:sz w:val="24"/>
                <w:szCs w:val="24"/>
              </w:rPr>
              <w:t>0.125</w:t>
            </w:r>
          </w:p>
        </w:tc>
        <w:tc>
          <w:tcPr>
            <w:tcW w:w="1099" w:type="dxa"/>
            <w:shd w:val="clear" w:color="auto" w:fill="auto"/>
            <w:vAlign w:val="center"/>
          </w:tcPr>
          <w:p w14:paraId="1A354580" w14:textId="77777777" w:rsidR="001C6C38" w:rsidRPr="00CD004E" w:rsidRDefault="001C6C38" w:rsidP="00F05A5C">
            <w:pPr>
              <w:jc w:val="center"/>
              <w:rPr>
                <w:color w:val="000000"/>
                <w:sz w:val="24"/>
                <w:szCs w:val="24"/>
              </w:rPr>
            </w:pPr>
            <w:r w:rsidRPr="00CD004E">
              <w:rPr>
                <w:color w:val="000000"/>
                <w:sz w:val="24"/>
                <w:szCs w:val="24"/>
              </w:rPr>
              <w:t>0.275*</w:t>
            </w:r>
          </w:p>
        </w:tc>
        <w:tc>
          <w:tcPr>
            <w:tcW w:w="1255" w:type="dxa"/>
            <w:shd w:val="clear" w:color="auto" w:fill="auto"/>
            <w:vAlign w:val="center"/>
          </w:tcPr>
          <w:p w14:paraId="08B7F959" w14:textId="77777777" w:rsidR="001C6C38" w:rsidRPr="00CD004E" w:rsidRDefault="001C6C38" w:rsidP="00F05A5C">
            <w:pPr>
              <w:jc w:val="center"/>
              <w:rPr>
                <w:color w:val="000000"/>
                <w:sz w:val="24"/>
                <w:szCs w:val="24"/>
              </w:rPr>
            </w:pPr>
            <w:r w:rsidRPr="00CD004E">
              <w:rPr>
                <w:color w:val="000000"/>
                <w:sz w:val="24"/>
                <w:szCs w:val="24"/>
              </w:rPr>
              <w:t>1</w:t>
            </w:r>
          </w:p>
        </w:tc>
        <w:tc>
          <w:tcPr>
            <w:tcW w:w="1097" w:type="dxa"/>
            <w:shd w:val="clear" w:color="auto" w:fill="auto"/>
            <w:vAlign w:val="center"/>
          </w:tcPr>
          <w:p w14:paraId="14E58781" w14:textId="77777777" w:rsidR="001C6C38" w:rsidRPr="00CD004E" w:rsidRDefault="001C6C38" w:rsidP="00F05A5C">
            <w:pPr>
              <w:jc w:val="center"/>
              <w:rPr>
                <w:b/>
                <w:color w:val="000000"/>
                <w:sz w:val="24"/>
                <w:szCs w:val="24"/>
              </w:rPr>
            </w:pPr>
            <w:r w:rsidRPr="00CD004E">
              <w:rPr>
                <w:b/>
                <w:color w:val="000000"/>
                <w:sz w:val="24"/>
                <w:szCs w:val="24"/>
              </w:rPr>
              <w:t>-0.502**</w:t>
            </w:r>
          </w:p>
        </w:tc>
        <w:tc>
          <w:tcPr>
            <w:tcW w:w="1412" w:type="dxa"/>
            <w:shd w:val="clear" w:color="auto" w:fill="auto"/>
            <w:vAlign w:val="center"/>
          </w:tcPr>
          <w:p w14:paraId="448C0DDF" w14:textId="77777777" w:rsidR="001C6C38" w:rsidRPr="00CD004E" w:rsidRDefault="001C6C38" w:rsidP="00F05A5C">
            <w:pPr>
              <w:jc w:val="center"/>
              <w:rPr>
                <w:color w:val="000000"/>
                <w:sz w:val="24"/>
                <w:szCs w:val="24"/>
              </w:rPr>
            </w:pPr>
            <w:r w:rsidRPr="00CD004E">
              <w:rPr>
                <w:color w:val="000000"/>
                <w:sz w:val="24"/>
                <w:szCs w:val="24"/>
              </w:rPr>
              <w:t>0.052</w:t>
            </w:r>
          </w:p>
        </w:tc>
        <w:tc>
          <w:tcPr>
            <w:tcW w:w="1568" w:type="dxa"/>
            <w:shd w:val="clear" w:color="auto" w:fill="auto"/>
            <w:vAlign w:val="center"/>
          </w:tcPr>
          <w:p w14:paraId="4BFCEBB8" w14:textId="77777777" w:rsidR="001C6C38" w:rsidRPr="00CD004E" w:rsidRDefault="001C6C38" w:rsidP="00F05A5C">
            <w:pPr>
              <w:jc w:val="center"/>
              <w:rPr>
                <w:color w:val="000000"/>
                <w:sz w:val="24"/>
                <w:szCs w:val="24"/>
              </w:rPr>
            </w:pPr>
            <w:r w:rsidRPr="00CD004E">
              <w:rPr>
                <w:color w:val="000000"/>
                <w:sz w:val="24"/>
                <w:szCs w:val="24"/>
              </w:rPr>
              <w:t>0.019</w:t>
            </w:r>
          </w:p>
        </w:tc>
      </w:tr>
      <w:tr w:rsidR="001C6C38" w:rsidRPr="00CD004E" w14:paraId="308F83F8" w14:textId="77777777" w:rsidTr="001500A6">
        <w:trPr>
          <w:trHeight w:val="166"/>
        </w:trPr>
        <w:tc>
          <w:tcPr>
            <w:tcW w:w="1525" w:type="dxa"/>
            <w:vMerge/>
            <w:shd w:val="clear" w:color="auto" w:fill="auto"/>
            <w:vAlign w:val="center"/>
          </w:tcPr>
          <w:p w14:paraId="2FF7B580" w14:textId="77777777" w:rsidR="001C6C38" w:rsidRPr="00CD004E" w:rsidRDefault="001C6C38" w:rsidP="00F05A5C">
            <w:pPr>
              <w:rPr>
                <w:b/>
                <w:sz w:val="24"/>
                <w:szCs w:val="24"/>
              </w:rPr>
            </w:pPr>
          </w:p>
        </w:tc>
        <w:tc>
          <w:tcPr>
            <w:tcW w:w="1086" w:type="dxa"/>
            <w:shd w:val="clear" w:color="auto" w:fill="auto"/>
            <w:vAlign w:val="center"/>
          </w:tcPr>
          <w:p w14:paraId="4CFAAFCA" w14:textId="77777777" w:rsidR="001C6C38" w:rsidRPr="00CD004E" w:rsidRDefault="001C6C38" w:rsidP="00F05A5C">
            <w:pPr>
              <w:jc w:val="center"/>
              <w:rPr>
                <w:color w:val="000000"/>
                <w:sz w:val="24"/>
                <w:szCs w:val="24"/>
              </w:rPr>
            </w:pPr>
            <w:proofErr w:type="gramStart"/>
            <w:r w:rsidRPr="00CD004E">
              <w:rPr>
                <w:color w:val="000000"/>
                <w:sz w:val="24"/>
                <w:szCs w:val="24"/>
              </w:rPr>
              <w:t>p</w:t>
            </w:r>
            <w:proofErr w:type="gramEnd"/>
            <w:r w:rsidRPr="00CD004E">
              <w:rPr>
                <w:color w:val="000000"/>
                <w:sz w:val="24"/>
                <w:szCs w:val="24"/>
              </w:rPr>
              <w:t xml:space="preserve"> value</w:t>
            </w:r>
          </w:p>
        </w:tc>
        <w:tc>
          <w:tcPr>
            <w:tcW w:w="1097" w:type="dxa"/>
            <w:shd w:val="clear" w:color="auto" w:fill="auto"/>
            <w:vAlign w:val="center"/>
          </w:tcPr>
          <w:p w14:paraId="4836AC61" w14:textId="77777777" w:rsidR="001C6C38" w:rsidRPr="00CD004E" w:rsidRDefault="001C6C38" w:rsidP="00F05A5C">
            <w:pPr>
              <w:jc w:val="center"/>
              <w:rPr>
                <w:color w:val="000000"/>
                <w:sz w:val="24"/>
                <w:szCs w:val="24"/>
              </w:rPr>
            </w:pPr>
            <w:r w:rsidRPr="00CD004E">
              <w:rPr>
                <w:color w:val="000000"/>
                <w:sz w:val="24"/>
                <w:szCs w:val="24"/>
              </w:rPr>
              <w:t>0.259</w:t>
            </w:r>
          </w:p>
        </w:tc>
        <w:tc>
          <w:tcPr>
            <w:tcW w:w="1099" w:type="dxa"/>
            <w:shd w:val="clear" w:color="auto" w:fill="auto"/>
            <w:vAlign w:val="center"/>
          </w:tcPr>
          <w:p w14:paraId="747FD077" w14:textId="77777777" w:rsidR="001C6C38" w:rsidRPr="00CD004E" w:rsidRDefault="001C6C38" w:rsidP="00F05A5C">
            <w:pPr>
              <w:jc w:val="center"/>
              <w:rPr>
                <w:color w:val="000000"/>
                <w:sz w:val="24"/>
                <w:szCs w:val="24"/>
              </w:rPr>
            </w:pPr>
            <w:r w:rsidRPr="00CD004E">
              <w:rPr>
                <w:color w:val="000000"/>
                <w:sz w:val="24"/>
                <w:szCs w:val="24"/>
              </w:rPr>
              <w:t>0.011</w:t>
            </w:r>
          </w:p>
        </w:tc>
        <w:tc>
          <w:tcPr>
            <w:tcW w:w="1255" w:type="dxa"/>
            <w:shd w:val="clear" w:color="auto" w:fill="auto"/>
            <w:vAlign w:val="center"/>
          </w:tcPr>
          <w:p w14:paraId="666D4D27" w14:textId="77777777" w:rsidR="001C6C38" w:rsidRPr="00CD004E" w:rsidRDefault="001C6C38" w:rsidP="00F05A5C">
            <w:pPr>
              <w:jc w:val="center"/>
              <w:rPr>
                <w:color w:val="000000"/>
                <w:sz w:val="24"/>
                <w:szCs w:val="24"/>
              </w:rPr>
            </w:pPr>
            <w:r w:rsidRPr="00CD004E">
              <w:rPr>
                <w:color w:val="000000"/>
                <w:sz w:val="24"/>
                <w:szCs w:val="24"/>
              </w:rPr>
              <w:t>.</w:t>
            </w:r>
          </w:p>
        </w:tc>
        <w:tc>
          <w:tcPr>
            <w:tcW w:w="1097" w:type="dxa"/>
            <w:shd w:val="clear" w:color="auto" w:fill="auto"/>
            <w:vAlign w:val="center"/>
          </w:tcPr>
          <w:p w14:paraId="0A35CEFA" w14:textId="77777777" w:rsidR="001C6C38" w:rsidRPr="00CD004E" w:rsidRDefault="001C6C38" w:rsidP="00F05A5C">
            <w:pPr>
              <w:jc w:val="center"/>
              <w:rPr>
                <w:color w:val="000000"/>
                <w:sz w:val="24"/>
                <w:szCs w:val="24"/>
              </w:rPr>
            </w:pPr>
            <w:r w:rsidRPr="00CD004E">
              <w:rPr>
                <w:color w:val="000000"/>
                <w:sz w:val="24"/>
                <w:szCs w:val="24"/>
              </w:rPr>
              <w:t>&lt;0.001</w:t>
            </w:r>
          </w:p>
        </w:tc>
        <w:tc>
          <w:tcPr>
            <w:tcW w:w="1412" w:type="dxa"/>
            <w:shd w:val="clear" w:color="auto" w:fill="auto"/>
            <w:vAlign w:val="center"/>
          </w:tcPr>
          <w:p w14:paraId="4D51FF52" w14:textId="77777777" w:rsidR="001C6C38" w:rsidRPr="00CD004E" w:rsidRDefault="001C6C38" w:rsidP="00F05A5C">
            <w:pPr>
              <w:jc w:val="center"/>
              <w:rPr>
                <w:color w:val="000000"/>
                <w:sz w:val="24"/>
                <w:szCs w:val="24"/>
              </w:rPr>
            </w:pPr>
            <w:r w:rsidRPr="00CD004E">
              <w:rPr>
                <w:color w:val="000000"/>
                <w:sz w:val="24"/>
                <w:szCs w:val="24"/>
              </w:rPr>
              <w:t>0.651</w:t>
            </w:r>
          </w:p>
        </w:tc>
        <w:tc>
          <w:tcPr>
            <w:tcW w:w="1568" w:type="dxa"/>
            <w:shd w:val="clear" w:color="auto" w:fill="auto"/>
            <w:vAlign w:val="center"/>
          </w:tcPr>
          <w:p w14:paraId="5DBCD6F6" w14:textId="77777777" w:rsidR="001C6C38" w:rsidRPr="00CD004E" w:rsidRDefault="001C6C38" w:rsidP="00F05A5C">
            <w:pPr>
              <w:jc w:val="center"/>
              <w:rPr>
                <w:color w:val="000000"/>
                <w:sz w:val="24"/>
                <w:szCs w:val="24"/>
              </w:rPr>
            </w:pPr>
            <w:r w:rsidRPr="00CD004E">
              <w:rPr>
                <w:color w:val="000000"/>
                <w:sz w:val="24"/>
                <w:szCs w:val="24"/>
              </w:rPr>
              <w:t>0.866</w:t>
            </w:r>
          </w:p>
        </w:tc>
      </w:tr>
      <w:tr w:rsidR="001C6C38" w:rsidRPr="00CD004E" w14:paraId="6B5FD995" w14:textId="77777777" w:rsidTr="001500A6">
        <w:trPr>
          <w:trHeight w:val="332"/>
        </w:trPr>
        <w:tc>
          <w:tcPr>
            <w:tcW w:w="1525" w:type="dxa"/>
            <w:vMerge w:val="restart"/>
            <w:shd w:val="clear" w:color="auto" w:fill="auto"/>
            <w:vAlign w:val="center"/>
          </w:tcPr>
          <w:p w14:paraId="0CC68A74" w14:textId="77777777" w:rsidR="001C6C38" w:rsidRPr="00CD004E" w:rsidRDefault="001C6C38" w:rsidP="00F05A5C">
            <w:pPr>
              <w:rPr>
                <w:b/>
                <w:sz w:val="24"/>
                <w:szCs w:val="24"/>
              </w:rPr>
            </w:pPr>
            <w:r w:rsidRPr="00CD004E">
              <w:rPr>
                <w:b/>
                <w:sz w:val="24"/>
                <w:szCs w:val="24"/>
              </w:rPr>
              <w:t>Prostate density</w:t>
            </w:r>
          </w:p>
        </w:tc>
        <w:tc>
          <w:tcPr>
            <w:tcW w:w="1086" w:type="dxa"/>
            <w:shd w:val="clear" w:color="auto" w:fill="auto"/>
            <w:vAlign w:val="center"/>
          </w:tcPr>
          <w:p w14:paraId="37BA30F3" w14:textId="77777777" w:rsidR="001C6C38" w:rsidRPr="00CD004E" w:rsidRDefault="001C6C38" w:rsidP="00F05A5C">
            <w:pPr>
              <w:jc w:val="center"/>
              <w:rPr>
                <w:color w:val="000000"/>
                <w:sz w:val="24"/>
                <w:szCs w:val="24"/>
              </w:rPr>
            </w:pPr>
            <w:proofErr w:type="gramStart"/>
            <w:r w:rsidRPr="00CD004E">
              <w:rPr>
                <w:color w:val="000000"/>
                <w:sz w:val="24"/>
                <w:szCs w:val="24"/>
              </w:rPr>
              <w:t>r</w:t>
            </w:r>
            <w:proofErr w:type="gramEnd"/>
          </w:p>
        </w:tc>
        <w:tc>
          <w:tcPr>
            <w:tcW w:w="1097" w:type="dxa"/>
            <w:shd w:val="clear" w:color="auto" w:fill="auto"/>
            <w:vAlign w:val="center"/>
          </w:tcPr>
          <w:p w14:paraId="7CF4A594" w14:textId="77777777" w:rsidR="001C6C38" w:rsidRPr="00CD004E" w:rsidRDefault="001C6C38" w:rsidP="00F05A5C">
            <w:pPr>
              <w:jc w:val="center"/>
              <w:rPr>
                <w:color w:val="000000"/>
                <w:sz w:val="24"/>
                <w:szCs w:val="24"/>
              </w:rPr>
            </w:pPr>
            <w:r w:rsidRPr="00CD004E">
              <w:rPr>
                <w:color w:val="000000"/>
                <w:sz w:val="24"/>
                <w:szCs w:val="24"/>
              </w:rPr>
              <w:t>0.155</w:t>
            </w:r>
          </w:p>
        </w:tc>
        <w:tc>
          <w:tcPr>
            <w:tcW w:w="1099" w:type="dxa"/>
            <w:shd w:val="clear" w:color="auto" w:fill="auto"/>
            <w:vAlign w:val="center"/>
          </w:tcPr>
          <w:p w14:paraId="50810DA9" w14:textId="77777777" w:rsidR="001C6C38" w:rsidRPr="00CD004E" w:rsidRDefault="001C6C38" w:rsidP="00F05A5C">
            <w:pPr>
              <w:jc w:val="center"/>
              <w:rPr>
                <w:b/>
                <w:color w:val="000000"/>
                <w:sz w:val="24"/>
                <w:szCs w:val="24"/>
              </w:rPr>
            </w:pPr>
            <w:r w:rsidRPr="00CD004E">
              <w:rPr>
                <w:b/>
                <w:color w:val="000000"/>
                <w:sz w:val="24"/>
                <w:szCs w:val="24"/>
              </w:rPr>
              <w:t>0.617**</w:t>
            </w:r>
          </w:p>
        </w:tc>
        <w:tc>
          <w:tcPr>
            <w:tcW w:w="1255" w:type="dxa"/>
            <w:shd w:val="clear" w:color="auto" w:fill="auto"/>
            <w:vAlign w:val="center"/>
          </w:tcPr>
          <w:p w14:paraId="01F5DFA5" w14:textId="77777777" w:rsidR="001C6C38" w:rsidRPr="00CD004E" w:rsidRDefault="001C6C38" w:rsidP="00F05A5C">
            <w:pPr>
              <w:jc w:val="center"/>
              <w:rPr>
                <w:b/>
                <w:color w:val="000000"/>
                <w:sz w:val="24"/>
                <w:szCs w:val="24"/>
              </w:rPr>
            </w:pPr>
            <w:r w:rsidRPr="00CD004E">
              <w:rPr>
                <w:b/>
                <w:color w:val="000000"/>
                <w:sz w:val="24"/>
                <w:szCs w:val="24"/>
              </w:rPr>
              <w:t>-0.502**</w:t>
            </w:r>
          </w:p>
        </w:tc>
        <w:tc>
          <w:tcPr>
            <w:tcW w:w="1097" w:type="dxa"/>
            <w:shd w:val="clear" w:color="auto" w:fill="auto"/>
            <w:vAlign w:val="center"/>
          </w:tcPr>
          <w:p w14:paraId="509168D9" w14:textId="77777777" w:rsidR="001C6C38" w:rsidRPr="00CD004E" w:rsidRDefault="001C6C38" w:rsidP="00F05A5C">
            <w:pPr>
              <w:jc w:val="center"/>
              <w:rPr>
                <w:color w:val="000000"/>
                <w:sz w:val="24"/>
                <w:szCs w:val="24"/>
              </w:rPr>
            </w:pPr>
            <w:r w:rsidRPr="00CD004E">
              <w:rPr>
                <w:color w:val="000000"/>
                <w:sz w:val="24"/>
                <w:szCs w:val="24"/>
              </w:rPr>
              <w:t>1</w:t>
            </w:r>
          </w:p>
        </w:tc>
        <w:tc>
          <w:tcPr>
            <w:tcW w:w="1412" w:type="dxa"/>
            <w:shd w:val="clear" w:color="auto" w:fill="auto"/>
            <w:vAlign w:val="center"/>
          </w:tcPr>
          <w:p w14:paraId="7570379B" w14:textId="77777777" w:rsidR="001C6C38" w:rsidRPr="00CD004E" w:rsidRDefault="001C6C38" w:rsidP="00F05A5C">
            <w:pPr>
              <w:jc w:val="center"/>
              <w:rPr>
                <w:b/>
                <w:color w:val="000000"/>
                <w:sz w:val="24"/>
                <w:szCs w:val="24"/>
              </w:rPr>
            </w:pPr>
            <w:r w:rsidRPr="00CD004E">
              <w:rPr>
                <w:b/>
                <w:color w:val="000000"/>
                <w:sz w:val="24"/>
                <w:szCs w:val="24"/>
              </w:rPr>
              <w:t>-0.236*</w:t>
            </w:r>
          </w:p>
        </w:tc>
        <w:tc>
          <w:tcPr>
            <w:tcW w:w="1568" w:type="dxa"/>
            <w:shd w:val="clear" w:color="auto" w:fill="auto"/>
            <w:vAlign w:val="center"/>
          </w:tcPr>
          <w:p w14:paraId="6D121FEE" w14:textId="77777777" w:rsidR="001C6C38" w:rsidRPr="00CD004E" w:rsidRDefault="001C6C38" w:rsidP="00F05A5C">
            <w:pPr>
              <w:jc w:val="center"/>
              <w:rPr>
                <w:color w:val="000000"/>
                <w:sz w:val="24"/>
                <w:szCs w:val="24"/>
              </w:rPr>
            </w:pPr>
            <w:r w:rsidRPr="00CD004E">
              <w:rPr>
                <w:color w:val="000000"/>
                <w:sz w:val="24"/>
                <w:szCs w:val="24"/>
              </w:rPr>
              <w:t>0.015</w:t>
            </w:r>
          </w:p>
        </w:tc>
      </w:tr>
      <w:tr w:rsidR="001C6C38" w:rsidRPr="00CD004E" w14:paraId="3A3893BD" w14:textId="77777777" w:rsidTr="001500A6">
        <w:trPr>
          <w:trHeight w:val="166"/>
        </w:trPr>
        <w:tc>
          <w:tcPr>
            <w:tcW w:w="1525" w:type="dxa"/>
            <w:vMerge/>
            <w:shd w:val="clear" w:color="auto" w:fill="auto"/>
            <w:vAlign w:val="center"/>
          </w:tcPr>
          <w:p w14:paraId="572B072A" w14:textId="77777777" w:rsidR="001C6C38" w:rsidRPr="00CD004E" w:rsidRDefault="001C6C38" w:rsidP="00F05A5C">
            <w:pPr>
              <w:rPr>
                <w:b/>
                <w:sz w:val="24"/>
                <w:szCs w:val="24"/>
              </w:rPr>
            </w:pPr>
          </w:p>
        </w:tc>
        <w:tc>
          <w:tcPr>
            <w:tcW w:w="1086" w:type="dxa"/>
            <w:shd w:val="clear" w:color="auto" w:fill="auto"/>
            <w:vAlign w:val="center"/>
          </w:tcPr>
          <w:p w14:paraId="28BEAE9A" w14:textId="77777777" w:rsidR="001C6C38" w:rsidRPr="00CD004E" w:rsidRDefault="001C6C38" w:rsidP="00F05A5C">
            <w:pPr>
              <w:jc w:val="center"/>
              <w:rPr>
                <w:color w:val="000000"/>
                <w:sz w:val="24"/>
                <w:szCs w:val="24"/>
              </w:rPr>
            </w:pPr>
            <w:proofErr w:type="gramStart"/>
            <w:r w:rsidRPr="00CD004E">
              <w:rPr>
                <w:color w:val="000000"/>
                <w:sz w:val="24"/>
                <w:szCs w:val="24"/>
              </w:rPr>
              <w:t>p</w:t>
            </w:r>
            <w:proofErr w:type="gramEnd"/>
            <w:r w:rsidRPr="00CD004E">
              <w:rPr>
                <w:color w:val="000000"/>
                <w:sz w:val="24"/>
                <w:szCs w:val="24"/>
              </w:rPr>
              <w:t xml:space="preserve"> value</w:t>
            </w:r>
          </w:p>
        </w:tc>
        <w:tc>
          <w:tcPr>
            <w:tcW w:w="1097" w:type="dxa"/>
            <w:shd w:val="clear" w:color="auto" w:fill="auto"/>
            <w:vAlign w:val="center"/>
          </w:tcPr>
          <w:p w14:paraId="363D0357" w14:textId="77777777" w:rsidR="001C6C38" w:rsidRPr="00CD004E" w:rsidRDefault="001C6C38" w:rsidP="00F05A5C">
            <w:pPr>
              <w:jc w:val="center"/>
              <w:rPr>
                <w:color w:val="000000"/>
                <w:sz w:val="24"/>
                <w:szCs w:val="24"/>
              </w:rPr>
            </w:pPr>
            <w:r w:rsidRPr="00CD004E">
              <w:rPr>
                <w:color w:val="000000"/>
                <w:sz w:val="24"/>
                <w:szCs w:val="24"/>
              </w:rPr>
              <w:t>0.160</w:t>
            </w:r>
          </w:p>
        </w:tc>
        <w:tc>
          <w:tcPr>
            <w:tcW w:w="1099" w:type="dxa"/>
            <w:shd w:val="clear" w:color="auto" w:fill="auto"/>
            <w:vAlign w:val="center"/>
          </w:tcPr>
          <w:p w14:paraId="5DB5FFB0" w14:textId="77777777" w:rsidR="001C6C38" w:rsidRPr="00CD004E" w:rsidRDefault="001C6C38" w:rsidP="00F05A5C">
            <w:pPr>
              <w:jc w:val="center"/>
              <w:rPr>
                <w:color w:val="000000"/>
                <w:sz w:val="24"/>
                <w:szCs w:val="24"/>
              </w:rPr>
            </w:pPr>
            <w:r w:rsidRPr="00CD004E">
              <w:rPr>
                <w:color w:val="000000"/>
                <w:sz w:val="24"/>
                <w:szCs w:val="24"/>
              </w:rPr>
              <w:t>&lt;0.001</w:t>
            </w:r>
          </w:p>
        </w:tc>
        <w:tc>
          <w:tcPr>
            <w:tcW w:w="1255" w:type="dxa"/>
            <w:shd w:val="clear" w:color="auto" w:fill="auto"/>
            <w:vAlign w:val="center"/>
          </w:tcPr>
          <w:p w14:paraId="2A1EF009" w14:textId="77777777" w:rsidR="001C6C38" w:rsidRPr="00CD004E" w:rsidRDefault="001C6C38" w:rsidP="00F05A5C">
            <w:pPr>
              <w:jc w:val="center"/>
              <w:rPr>
                <w:color w:val="000000"/>
                <w:sz w:val="24"/>
                <w:szCs w:val="24"/>
              </w:rPr>
            </w:pPr>
            <w:r w:rsidRPr="00CD004E">
              <w:rPr>
                <w:color w:val="000000"/>
                <w:sz w:val="24"/>
                <w:szCs w:val="24"/>
              </w:rPr>
              <w:t>&lt;0.001</w:t>
            </w:r>
          </w:p>
        </w:tc>
        <w:tc>
          <w:tcPr>
            <w:tcW w:w="1097" w:type="dxa"/>
            <w:shd w:val="clear" w:color="auto" w:fill="auto"/>
            <w:vAlign w:val="center"/>
          </w:tcPr>
          <w:p w14:paraId="7FEB4EB9" w14:textId="77777777" w:rsidR="001C6C38" w:rsidRPr="00CD004E" w:rsidRDefault="001C6C38" w:rsidP="00F05A5C">
            <w:pPr>
              <w:jc w:val="center"/>
              <w:rPr>
                <w:color w:val="000000"/>
                <w:sz w:val="24"/>
                <w:szCs w:val="24"/>
              </w:rPr>
            </w:pPr>
            <w:r w:rsidRPr="00CD004E">
              <w:rPr>
                <w:color w:val="000000"/>
                <w:sz w:val="24"/>
                <w:szCs w:val="24"/>
              </w:rPr>
              <w:t>.</w:t>
            </w:r>
          </w:p>
        </w:tc>
        <w:tc>
          <w:tcPr>
            <w:tcW w:w="1412" w:type="dxa"/>
            <w:shd w:val="clear" w:color="auto" w:fill="auto"/>
            <w:vAlign w:val="center"/>
          </w:tcPr>
          <w:p w14:paraId="01381E06" w14:textId="77777777" w:rsidR="001C6C38" w:rsidRPr="00CD004E" w:rsidRDefault="001C6C38" w:rsidP="00F05A5C">
            <w:pPr>
              <w:jc w:val="center"/>
              <w:rPr>
                <w:color w:val="000000"/>
                <w:sz w:val="24"/>
                <w:szCs w:val="24"/>
              </w:rPr>
            </w:pPr>
            <w:r w:rsidRPr="00CD004E">
              <w:rPr>
                <w:color w:val="000000"/>
                <w:sz w:val="24"/>
                <w:szCs w:val="24"/>
              </w:rPr>
              <w:t>0.036</w:t>
            </w:r>
          </w:p>
        </w:tc>
        <w:tc>
          <w:tcPr>
            <w:tcW w:w="1568" w:type="dxa"/>
            <w:shd w:val="clear" w:color="auto" w:fill="auto"/>
            <w:vAlign w:val="center"/>
          </w:tcPr>
          <w:p w14:paraId="60E487BF" w14:textId="77777777" w:rsidR="001C6C38" w:rsidRPr="00CD004E" w:rsidRDefault="001C6C38" w:rsidP="00F05A5C">
            <w:pPr>
              <w:jc w:val="center"/>
              <w:rPr>
                <w:color w:val="000000"/>
                <w:sz w:val="24"/>
                <w:szCs w:val="24"/>
              </w:rPr>
            </w:pPr>
            <w:r w:rsidRPr="00CD004E">
              <w:rPr>
                <w:color w:val="000000"/>
                <w:sz w:val="24"/>
                <w:szCs w:val="24"/>
              </w:rPr>
              <w:t>0.897</w:t>
            </w:r>
          </w:p>
        </w:tc>
      </w:tr>
      <w:tr w:rsidR="001C6C38" w:rsidRPr="00CD004E" w14:paraId="7C770278" w14:textId="77777777" w:rsidTr="001500A6">
        <w:trPr>
          <w:trHeight w:val="344"/>
        </w:trPr>
        <w:tc>
          <w:tcPr>
            <w:tcW w:w="1525" w:type="dxa"/>
            <w:vMerge w:val="restart"/>
            <w:shd w:val="clear" w:color="auto" w:fill="auto"/>
            <w:vAlign w:val="center"/>
          </w:tcPr>
          <w:p w14:paraId="27888770" w14:textId="77777777" w:rsidR="001C6C38" w:rsidRPr="00CD004E" w:rsidRDefault="001C6C38" w:rsidP="00F05A5C">
            <w:pPr>
              <w:rPr>
                <w:b/>
                <w:sz w:val="24"/>
                <w:szCs w:val="24"/>
              </w:rPr>
            </w:pPr>
            <w:r w:rsidRPr="00CD004E">
              <w:rPr>
                <w:b/>
                <w:sz w:val="24"/>
                <w:szCs w:val="24"/>
              </w:rPr>
              <w:t>Peripheral zone ADC</w:t>
            </w:r>
          </w:p>
        </w:tc>
        <w:tc>
          <w:tcPr>
            <w:tcW w:w="1086" w:type="dxa"/>
            <w:shd w:val="clear" w:color="auto" w:fill="auto"/>
            <w:vAlign w:val="center"/>
          </w:tcPr>
          <w:p w14:paraId="3BC09BFE" w14:textId="77777777" w:rsidR="001C6C38" w:rsidRPr="00CD004E" w:rsidRDefault="001C6C38" w:rsidP="00F05A5C">
            <w:pPr>
              <w:jc w:val="center"/>
              <w:rPr>
                <w:color w:val="000000"/>
                <w:sz w:val="24"/>
                <w:szCs w:val="24"/>
              </w:rPr>
            </w:pPr>
            <w:proofErr w:type="gramStart"/>
            <w:r w:rsidRPr="00CD004E">
              <w:rPr>
                <w:color w:val="000000"/>
                <w:sz w:val="24"/>
                <w:szCs w:val="24"/>
              </w:rPr>
              <w:t>r</w:t>
            </w:r>
            <w:proofErr w:type="gramEnd"/>
          </w:p>
        </w:tc>
        <w:tc>
          <w:tcPr>
            <w:tcW w:w="1097" w:type="dxa"/>
            <w:shd w:val="clear" w:color="auto" w:fill="auto"/>
            <w:vAlign w:val="center"/>
          </w:tcPr>
          <w:p w14:paraId="672D43FA" w14:textId="77777777" w:rsidR="001C6C38" w:rsidRPr="00CD004E" w:rsidRDefault="001C6C38" w:rsidP="00F05A5C">
            <w:pPr>
              <w:jc w:val="center"/>
              <w:rPr>
                <w:color w:val="000000"/>
                <w:sz w:val="24"/>
                <w:szCs w:val="24"/>
              </w:rPr>
            </w:pPr>
            <w:r w:rsidRPr="00CD004E">
              <w:rPr>
                <w:color w:val="000000"/>
                <w:sz w:val="24"/>
                <w:szCs w:val="24"/>
              </w:rPr>
              <w:t>-0.170</w:t>
            </w:r>
          </w:p>
        </w:tc>
        <w:tc>
          <w:tcPr>
            <w:tcW w:w="1099" w:type="dxa"/>
            <w:shd w:val="clear" w:color="auto" w:fill="auto"/>
            <w:vAlign w:val="center"/>
          </w:tcPr>
          <w:p w14:paraId="4E95AC74" w14:textId="77777777" w:rsidR="001C6C38" w:rsidRPr="00CD004E" w:rsidRDefault="001C6C38" w:rsidP="00F05A5C">
            <w:pPr>
              <w:jc w:val="center"/>
              <w:rPr>
                <w:color w:val="000000"/>
                <w:sz w:val="24"/>
                <w:szCs w:val="24"/>
              </w:rPr>
            </w:pPr>
            <w:r w:rsidRPr="00CD004E">
              <w:rPr>
                <w:color w:val="000000"/>
                <w:sz w:val="24"/>
                <w:szCs w:val="24"/>
              </w:rPr>
              <w:t>-0.180</w:t>
            </w:r>
          </w:p>
        </w:tc>
        <w:tc>
          <w:tcPr>
            <w:tcW w:w="1255" w:type="dxa"/>
            <w:shd w:val="clear" w:color="auto" w:fill="auto"/>
            <w:vAlign w:val="center"/>
          </w:tcPr>
          <w:p w14:paraId="5F05C7CA" w14:textId="77777777" w:rsidR="001C6C38" w:rsidRPr="00CD004E" w:rsidRDefault="001C6C38" w:rsidP="00F05A5C">
            <w:pPr>
              <w:jc w:val="center"/>
              <w:rPr>
                <w:color w:val="000000"/>
                <w:sz w:val="24"/>
                <w:szCs w:val="24"/>
              </w:rPr>
            </w:pPr>
            <w:r w:rsidRPr="00CD004E">
              <w:rPr>
                <w:color w:val="000000"/>
                <w:sz w:val="24"/>
                <w:szCs w:val="24"/>
              </w:rPr>
              <w:t>0.052</w:t>
            </w:r>
          </w:p>
        </w:tc>
        <w:tc>
          <w:tcPr>
            <w:tcW w:w="1097" w:type="dxa"/>
            <w:shd w:val="clear" w:color="auto" w:fill="auto"/>
            <w:vAlign w:val="center"/>
          </w:tcPr>
          <w:p w14:paraId="7BCE6E90" w14:textId="77777777" w:rsidR="001C6C38" w:rsidRPr="00CD004E" w:rsidRDefault="001C6C38" w:rsidP="00F05A5C">
            <w:pPr>
              <w:jc w:val="center"/>
              <w:rPr>
                <w:b/>
                <w:color w:val="000000"/>
                <w:sz w:val="24"/>
                <w:szCs w:val="24"/>
              </w:rPr>
            </w:pPr>
            <w:r w:rsidRPr="00CD004E">
              <w:rPr>
                <w:b/>
                <w:color w:val="000000"/>
                <w:sz w:val="24"/>
                <w:szCs w:val="24"/>
              </w:rPr>
              <w:t>-0.236*</w:t>
            </w:r>
          </w:p>
        </w:tc>
        <w:tc>
          <w:tcPr>
            <w:tcW w:w="1412" w:type="dxa"/>
            <w:shd w:val="clear" w:color="auto" w:fill="auto"/>
            <w:vAlign w:val="center"/>
          </w:tcPr>
          <w:p w14:paraId="397496E1" w14:textId="77777777" w:rsidR="001C6C38" w:rsidRPr="00CD004E" w:rsidRDefault="001C6C38" w:rsidP="00F05A5C">
            <w:pPr>
              <w:jc w:val="center"/>
              <w:rPr>
                <w:color w:val="000000"/>
                <w:sz w:val="24"/>
                <w:szCs w:val="24"/>
              </w:rPr>
            </w:pPr>
            <w:r w:rsidRPr="00CD004E">
              <w:rPr>
                <w:color w:val="000000"/>
                <w:sz w:val="24"/>
                <w:szCs w:val="24"/>
              </w:rPr>
              <w:t>1</w:t>
            </w:r>
          </w:p>
        </w:tc>
        <w:tc>
          <w:tcPr>
            <w:tcW w:w="1568" w:type="dxa"/>
            <w:shd w:val="clear" w:color="auto" w:fill="auto"/>
            <w:vAlign w:val="center"/>
          </w:tcPr>
          <w:p w14:paraId="48CD0649" w14:textId="77777777" w:rsidR="001C6C38" w:rsidRPr="00CD004E" w:rsidRDefault="001C6C38" w:rsidP="00F05A5C">
            <w:pPr>
              <w:jc w:val="center"/>
              <w:rPr>
                <w:b/>
                <w:color w:val="000000"/>
                <w:sz w:val="24"/>
                <w:szCs w:val="24"/>
              </w:rPr>
            </w:pPr>
            <w:r w:rsidRPr="00CD004E">
              <w:rPr>
                <w:b/>
                <w:color w:val="000000"/>
                <w:sz w:val="24"/>
                <w:szCs w:val="24"/>
              </w:rPr>
              <w:t>0.326**</w:t>
            </w:r>
          </w:p>
        </w:tc>
      </w:tr>
      <w:tr w:rsidR="001C6C38" w:rsidRPr="00CD004E" w14:paraId="33AD7ADB" w14:textId="77777777" w:rsidTr="001500A6">
        <w:trPr>
          <w:trHeight w:val="166"/>
        </w:trPr>
        <w:tc>
          <w:tcPr>
            <w:tcW w:w="1525" w:type="dxa"/>
            <w:vMerge/>
            <w:shd w:val="clear" w:color="auto" w:fill="auto"/>
            <w:vAlign w:val="center"/>
          </w:tcPr>
          <w:p w14:paraId="7CA6C1A2" w14:textId="77777777" w:rsidR="001C6C38" w:rsidRPr="00CD004E" w:rsidRDefault="001C6C38" w:rsidP="00F05A5C">
            <w:pPr>
              <w:rPr>
                <w:b/>
                <w:sz w:val="24"/>
                <w:szCs w:val="24"/>
              </w:rPr>
            </w:pPr>
          </w:p>
        </w:tc>
        <w:tc>
          <w:tcPr>
            <w:tcW w:w="1086" w:type="dxa"/>
            <w:shd w:val="clear" w:color="auto" w:fill="auto"/>
            <w:vAlign w:val="center"/>
          </w:tcPr>
          <w:p w14:paraId="245F506D" w14:textId="77777777" w:rsidR="001C6C38" w:rsidRPr="00CD004E" w:rsidRDefault="001C6C38" w:rsidP="00F05A5C">
            <w:pPr>
              <w:jc w:val="center"/>
              <w:rPr>
                <w:color w:val="000000"/>
                <w:sz w:val="24"/>
                <w:szCs w:val="24"/>
              </w:rPr>
            </w:pPr>
            <w:proofErr w:type="gramStart"/>
            <w:r w:rsidRPr="00CD004E">
              <w:rPr>
                <w:color w:val="000000"/>
                <w:sz w:val="24"/>
                <w:szCs w:val="24"/>
              </w:rPr>
              <w:t>p</w:t>
            </w:r>
            <w:proofErr w:type="gramEnd"/>
            <w:r w:rsidRPr="00CD004E">
              <w:rPr>
                <w:color w:val="000000"/>
                <w:sz w:val="24"/>
                <w:szCs w:val="24"/>
              </w:rPr>
              <w:t xml:space="preserve"> value</w:t>
            </w:r>
          </w:p>
        </w:tc>
        <w:tc>
          <w:tcPr>
            <w:tcW w:w="1097" w:type="dxa"/>
            <w:shd w:val="clear" w:color="auto" w:fill="auto"/>
            <w:vAlign w:val="center"/>
          </w:tcPr>
          <w:p w14:paraId="779D20B7" w14:textId="77777777" w:rsidR="001C6C38" w:rsidRPr="00CD004E" w:rsidRDefault="001C6C38" w:rsidP="00F05A5C">
            <w:pPr>
              <w:jc w:val="center"/>
              <w:rPr>
                <w:color w:val="000000"/>
                <w:sz w:val="24"/>
                <w:szCs w:val="24"/>
              </w:rPr>
            </w:pPr>
            <w:r w:rsidRPr="00CD004E">
              <w:rPr>
                <w:color w:val="000000"/>
                <w:sz w:val="24"/>
                <w:szCs w:val="24"/>
              </w:rPr>
              <w:t>0.134</w:t>
            </w:r>
          </w:p>
        </w:tc>
        <w:tc>
          <w:tcPr>
            <w:tcW w:w="1099" w:type="dxa"/>
            <w:shd w:val="clear" w:color="auto" w:fill="auto"/>
            <w:vAlign w:val="center"/>
          </w:tcPr>
          <w:p w14:paraId="61FCF262" w14:textId="77777777" w:rsidR="001C6C38" w:rsidRPr="00CD004E" w:rsidRDefault="001C6C38" w:rsidP="00F05A5C">
            <w:pPr>
              <w:jc w:val="center"/>
              <w:rPr>
                <w:color w:val="000000"/>
                <w:sz w:val="24"/>
                <w:szCs w:val="24"/>
              </w:rPr>
            </w:pPr>
            <w:r w:rsidRPr="00CD004E">
              <w:rPr>
                <w:color w:val="000000"/>
                <w:sz w:val="24"/>
                <w:szCs w:val="24"/>
              </w:rPr>
              <w:t>0.112</w:t>
            </w:r>
          </w:p>
        </w:tc>
        <w:tc>
          <w:tcPr>
            <w:tcW w:w="1255" w:type="dxa"/>
            <w:shd w:val="clear" w:color="auto" w:fill="auto"/>
            <w:vAlign w:val="center"/>
          </w:tcPr>
          <w:p w14:paraId="3FEB74A4" w14:textId="77777777" w:rsidR="001C6C38" w:rsidRPr="00CD004E" w:rsidRDefault="001C6C38" w:rsidP="00F05A5C">
            <w:pPr>
              <w:jc w:val="center"/>
              <w:rPr>
                <w:color w:val="000000"/>
                <w:sz w:val="24"/>
                <w:szCs w:val="24"/>
              </w:rPr>
            </w:pPr>
            <w:r w:rsidRPr="00CD004E">
              <w:rPr>
                <w:color w:val="000000"/>
                <w:sz w:val="24"/>
                <w:szCs w:val="24"/>
              </w:rPr>
              <w:t>0.651</w:t>
            </w:r>
          </w:p>
        </w:tc>
        <w:tc>
          <w:tcPr>
            <w:tcW w:w="1097" w:type="dxa"/>
            <w:shd w:val="clear" w:color="auto" w:fill="auto"/>
            <w:vAlign w:val="center"/>
          </w:tcPr>
          <w:p w14:paraId="46E685A7" w14:textId="77777777" w:rsidR="001C6C38" w:rsidRPr="00CD004E" w:rsidRDefault="001C6C38" w:rsidP="00F05A5C">
            <w:pPr>
              <w:jc w:val="center"/>
              <w:rPr>
                <w:color w:val="000000"/>
                <w:sz w:val="24"/>
                <w:szCs w:val="24"/>
              </w:rPr>
            </w:pPr>
            <w:r w:rsidRPr="00CD004E">
              <w:rPr>
                <w:color w:val="000000"/>
                <w:sz w:val="24"/>
                <w:szCs w:val="24"/>
              </w:rPr>
              <w:t>0.036</w:t>
            </w:r>
          </w:p>
        </w:tc>
        <w:tc>
          <w:tcPr>
            <w:tcW w:w="1412" w:type="dxa"/>
            <w:shd w:val="clear" w:color="auto" w:fill="auto"/>
            <w:vAlign w:val="center"/>
          </w:tcPr>
          <w:p w14:paraId="14A23BDA" w14:textId="77777777" w:rsidR="001C6C38" w:rsidRPr="00CD004E" w:rsidRDefault="001C6C38" w:rsidP="00F05A5C">
            <w:pPr>
              <w:jc w:val="center"/>
              <w:rPr>
                <w:color w:val="000000"/>
                <w:sz w:val="24"/>
                <w:szCs w:val="24"/>
              </w:rPr>
            </w:pPr>
            <w:r w:rsidRPr="00CD004E">
              <w:rPr>
                <w:color w:val="000000"/>
                <w:sz w:val="24"/>
                <w:szCs w:val="24"/>
              </w:rPr>
              <w:t>.</w:t>
            </w:r>
          </w:p>
        </w:tc>
        <w:tc>
          <w:tcPr>
            <w:tcW w:w="1568" w:type="dxa"/>
            <w:shd w:val="clear" w:color="auto" w:fill="auto"/>
            <w:vAlign w:val="center"/>
          </w:tcPr>
          <w:p w14:paraId="2EDEC80E" w14:textId="77777777" w:rsidR="001C6C38" w:rsidRPr="00CD004E" w:rsidRDefault="001C6C38" w:rsidP="00F05A5C">
            <w:pPr>
              <w:jc w:val="center"/>
              <w:rPr>
                <w:color w:val="000000"/>
                <w:sz w:val="24"/>
                <w:szCs w:val="24"/>
              </w:rPr>
            </w:pPr>
            <w:r w:rsidRPr="00CD004E">
              <w:rPr>
                <w:color w:val="000000"/>
                <w:sz w:val="24"/>
                <w:szCs w:val="24"/>
              </w:rPr>
              <w:t>0.003</w:t>
            </w:r>
          </w:p>
        </w:tc>
      </w:tr>
      <w:tr w:rsidR="001C6C38" w:rsidRPr="00CD004E" w14:paraId="2954D6ED" w14:textId="77777777" w:rsidTr="001500A6">
        <w:trPr>
          <w:trHeight w:val="510"/>
        </w:trPr>
        <w:tc>
          <w:tcPr>
            <w:tcW w:w="1525" w:type="dxa"/>
            <w:vMerge w:val="restart"/>
            <w:shd w:val="clear" w:color="auto" w:fill="auto"/>
            <w:vAlign w:val="center"/>
          </w:tcPr>
          <w:p w14:paraId="214EFF20" w14:textId="77777777" w:rsidR="001C6C38" w:rsidRPr="00CD004E" w:rsidRDefault="001C6C38" w:rsidP="00F05A5C">
            <w:pPr>
              <w:rPr>
                <w:b/>
                <w:sz w:val="24"/>
                <w:szCs w:val="24"/>
              </w:rPr>
            </w:pPr>
            <w:r w:rsidRPr="00CD004E">
              <w:rPr>
                <w:b/>
                <w:sz w:val="24"/>
                <w:szCs w:val="24"/>
              </w:rPr>
              <w:t>Transitional zone ADC</w:t>
            </w:r>
          </w:p>
        </w:tc>
        <w:tc>
          <w:tcPr>
            <w:tcW w:w="1086" w:type="dxa"/>
            <w:shd w:val="clear" w:color="auto" w:fill="auto"/>
            <w:vAlign w:val="center"/>
          </w:tcPr>
          <w:p w14:paraId="6E9E20C0" w14:textId="77777777" w:rsidR="001C6C38" w:rsidRPr="00CD004E" w:rsidRDefault="001C6C38" w:rsidP="00F05A5C">
            <w:pPr>
              <w:jc w:val="center"/>
              <w:rPr>
                <w:color w:val="000000"/>
                <w:sz w:val="24"/>
                <w:szCs w:val="24"/>
              </w:rPr>
            </w:pPr>
            <w:proofErr w:type="gramStart"/>
            <w:r w:rsidRPr="00CD004E">
              <w:rPr>
                <w:color w:val="000000"/>
                <w:sz w:val="24"/>
                <w:szCs w:val="24"/>
              </w:rPr>
              <w:t>r</w:t>
            </w:r>
            <w:proofErr w:type="gramEnd"/>
          </w:p>
        </w:tc>
        <w:tc>
          <w:tcPr>
            <w:tcW w:w="1097" w:type="dxa"/>
            <w:shd w:val="clear" w:color="auto" w:fill="auto"/>
            <w:vAlign w:val="center"/>
          </w:tcPr>
          <w:p w14:paraId="435B5372" w14:textId="77777777" w:rsidR="001C6C38" w:rsidRPr="00CD004E" w:rsidRDefault="001C6C38" w:rsidP="00F05A5C">
            <w:pPr>
              <w:jc w:val="center"/>
              <w:rPr>
                <w:color w:val="000000"/>
                <w:sz w:val="24"/>
                <w:szCs w:val="24"/>
              </w:rPr>
            </w:pPr>
            <w:r w:rsidRPr="00CD004E">
              <w:rPr>
                <w:color w:val="000000"/>
                <w:sz w:val="24"/>
                <w:szCs w:val="24"/>
              </w:rPr>
              <w:t>0.016</w:t>
            </w:r>
          </w:p>
        </w:tc>
        <w:tc>
          <w:tcPr>
            <w:tcW w:w="1099" w:type="dxa"/>
            <w:shd w:val="clear" w:color="auto" w:fill="auto"/>
            <w:vAlign w:val="center"/>
          </w:tcPr>
          <w:p w14:paraId="219D1342" w14:textId="77777777" w:rsidR="001C6C38" w:rsidRPr="00CD004E" w:rsidRDefault="001C6C38" w:rsidP="00F05A5C">
            <w:pPr>
              <w:jc w:val="center"/>
              <w:rPr>
                <w:color w:val="000000"/>
                <w:sz w:val="24"/>
                <w:szCs w:val="24"/>
              </w:rPr>
            </w:pPr>
            <w:r w:rsidRPr="00CD004E">
              <w:rPr>
                <w:color w:val="000000"/>
                <w:sz w:val="24"/>
                <w:szCs w:val="24"/>
              </w:rPr>
              <w:t>0.026</w:t>
            </w:r>
          </w:p>
        </w:tc>
        <w:tc>
          <w:tcPr>
            <w:tcW w:w="1255" w:type="dxa"/>
            <w:shd w:val="clear" w:color="auto" w:fill="auto"/>
            <w:vAlign w:val="center"/>
          </w:tcPr>
          <w:p w14:paraId="21F89276" w14:textId="77777777" w:rsidR="001C6C38" w:rsidRPr="00CD004E" w:rsidRDefault="001C6C38" w:rsidP="00F05A5C">
            <w:pPr>
              <w:jc w:val="center"/>
              <w:rPr>
                <w:color w:val="000000"/>
                <w:sz w:val="24"/>
                <w:szCs w:val="24"/>
              </w:rPr>
            </w:pPr>
            <w:r w:rsidRPr="00CD004E">
              <w:rPr>
                <w:color w:val="000000"/>
                <w:sz w:val="24"/>
                <w:szCs w:val="24"/>
              </w:rPr>
              <w:t>0.019</w:t>
            </w:r>
          </w:p>
        </w:tc>
        <w:tc>
          <w:tcPr>
            <w:tcW w:w="1097" w:type="dxa"/>
            <w:shd w:val="clear" w:color="auto" w:fill="auto"/>
            <w:vAlign w:val="center"/>
          </w:tcPr>
          <w:p w14:paraId="58177748" w14:textId="77777777" w:rsidR="001C6C38" w:rsidRPr="00CD004E" w:rsidRDefault="001C6C38" w:rsidP="00F05A5C">
            <w:pPr>
              <w:jc w:val="center"/>
              <w:rPr>
                <w:color w:val="000000"/>
                <w:sz w:val="24"/>
                <w:szCs w:val="24"/>
              </w:rPr>
            </w:pPr>
            <w:r w:rsidRPr="00CD004E">
              <w:rPr>
                <w:color w:val="000000"/>
                <w:sz w:val="24"/>
                <w:szCs w:val="24"/>
              </w:rPr>
              <w:t>0.015</w:t>
            </w:r>
          </w:p>
        </w:tc>
        <w:tc>
          <w:tcPr>
            <w:tcW w:w="1412" w:type="dxa"/>
            <w:shd w:val="clear" w:color="auto" w:fill="auto"/>
            <w:vAlign w:val="center"/>
          </w:tcPr>
          <w:p w14:paraId="1747EAC3" w14:textId="77777777" w:rsidR="001C6C38" w:rsidRPr="00CD004E" w:rsidRDefault="001C6C38" w:rsidP="00F05A5C">
            <w:pPr>
              <w:jc w:val="center"/>
              <w:rPr>
                <w:b/>
                <w:color w:val="000000"/>
                <w:sz w:val="24"/>
                <w:szCs w:val="24"/>
              </w:rPr>
            </w:pPr>
            <w:r w:rsidRPr="00CD004E">
              <w:rPr>
                <w:b/>
                <w:color w:val="000000"/>
                <w:sz w:val="24"/>
                <w:szCs w:val="24"/>
              </w:rPr>
              <w:t>0.326**</w:t>
            </w:r>
          </w:p>
        </w:tc>
        <w:tc>
          <w:tcPr>
            <w:tcW w:w="1568" w:type="dxa"/>
            <w:shd w:val="clear" w:color="auto" w:fill="auto"/>
            <w:vAlign w:val="center"/>
          </w:tcPr>
          <w:p w14:paraId="3D05FA01" w14:textId="77777777" w:rsidR="001C6C38" w:rsidRPr="00CD004E" w:rsidRDefault="001C6C38" w:rsidP="00F05A5C">
            <w:pPr>
              <w:jc w:val="center"/>
              <w:rPr>
                <w:color w:val="000000"/>
                <w:sz w:val="24"/>
                <w:szCs w:val="24"/>
              </w:rPr>
            </w:pPr>
            <w:r w:rsidRPr="00CD004E">
              <w:rPr>
                <w:color w:val="000000"/>
                <w:sz w:val="24"/>
                <w:szCs w:val="24"/>
              </w:rPr>
              <w:t>1</w:t>
            </w:r>
          </w:p>
        </w:tc>
      </w:tr>
      <w:tr w:rsidR="001C6C38" w:rsidRPr="00CD004E" w14:paraId="4FAB2A04" w14:textId="77777777" w:rsidTr="001500A6">
        <w:trPr>
          <w:trHeight w:val="166"/>
        </w:trPr>
        <w:tc>
          <w:tcPr>
            <w:tcW w:w="1525" w:type="dxa"/>
            <w:vMerge/>
            <w:shd w:val="clear" w:color="auto" w:fill="auto"/>
          </w:tcPr>
          <w:p w14:paraId="36C5FE6A" w14:textId="77777777" w:rsidR="001C6C38" w:rsidRPr="00CD004E" w:rsidRDefault="001C6C38" w:rsidP="00F05A5C">
            <w:pPr>
              <w:rPr>
                <w:b/>
                <w:sz w:val="24"/>
                <w:szCs w:val="24"/>
              </w:rPr>
            </w:pPr>
          </w:p>
        </w:tc>
        <w:tc>
          <w:tcPr>
            <w:tcW w:w="1086" w:type="dxa"/>
            <w:shd w:val="clear" w:color="auto" w:fill="auto"/>
            <w:vAlign w:val="center"/>
          </w:tcPr>
          <w:p w14:paraId="64BE0AD0" w14:textId="77777777" w:rsidR="001C6C38" w:rsidRPr="00CD004E" w:rsidRDefault="001C6C38" w:rsidP="00F05A5C">
            <w:pPr>
              <w:jc w:val="center"/>
              <w:rPr>
                <w:color w:val="000000"/>
                <w:sz w:val="24"/>
                <w:szCs w:val="24"/>
              </w:rPr>
            </w:pPr>
            <w:proofErr w:type="gramStart"/>
            <w:r w:rsidRPr="00CD004E">
              <w:rPr>
                <w:color w:val="000000"/>
                <w:sz w:val="24"/>
                <w:szCs w:val="24"/>
              </w:rPr>
              <w:t>p</w:t>
            </w:r>
            <w:proofErr w:type="gramEnd"/>
            <w:r w:rsidRPr="00CD004E">
              <w:rPr>
                <w:color w:val="000000"/>
                <w:sz w:val="24"/>
                <w:szCs w:val="24"/>
              </w:rPr>
              <w:t xml:space="preserve"> value</w:t>
            </w:r>
          </w:p>
        </w:tc>
        <w:tc>
          <w:tcPr>
            <w:tcW w:w="1097" w:type="dxa"/>
            <w:shd w:val="clear" w:color="auto" w:fill="auto"/>
            <w:vAlign w:val="center"/>
          </w:tcPr>
          <w:p w14:paraId="69B1B363" w14:textId="77777777" w:rsidR="001C6C38" w:rsidRPr="00CD004E" w:rsidRDefault="001C6C38" w:rsidP="00F05A5C">
            <w:pPr>
              <w:jc w:val="center"/>
              <w:rPr>
                <w:color w:val="000000"/>
                <w:sz w:val="24"/>
                <w:szCs w:val="24"/>
              </w:rPr>
            </w:pPr>
            <w:r w:rsidRPr="00CD004E">
              <w:rPr>
                <w:color w:val="000000"/>
                <w:sz w:val="24"/>
                <w:szCs w:val="24"/>
              </w:rPr>
              <w:t>0.888</w:t>
            </w:r>
          </w:p>
        </w:tc>
        <w:tc>
          <w:tcPr>
            <w:tcW w:w="1099" w:type="dxa"/>
            <w:shd w:val="clear" w:color="auto" w:fill="auto"/>
            <w:vAlign w:val="center"/>
          </w:tcPr>
          <w:p w14:paraId="613BD765" w14:textId="77777777" w:rsidR="001C6C38" w:rsidRPr="00CD004E" w:rsidRDefault="001C6C38" w:rsidP="00F05A5C">
            <w:pPr>
              <w:jc w:val="center"/>
              <w:rPr>
                <w:color w:val="000000"/>
                <w:sz w:val="24"/>
                <w:szCs w:val="24"/>
              </w:rPr>
            </w:pPr>
            <w:r w:rsidRPr="00CD004E">
              <w:rPr>
                <w:color w:val="000000"/>
                <w:sz w:val="24"/>
                <w:szCs w:val="24"/>
              </w:rPr>
              <w:t>0.822</w:t>
            </w:r>
          </w:p>
        </w:tc>
        <w:tc>
          <w:tcPr>
            <w:tcW w:w="1255" w:type="dxa"/>
            <w:shd w:val="clear" w:color="auto" w:fill="auto"/>
            <w:vAlign w:val="center"/>
          </w:tcPr>
          <w:p w14:paraId="4FC33640" w14:textId="77777777" w:rsidR="001C6C38" w:rsidRPr="00CD004E" w:rsidRDefault="001C6C38" w:rsidP="00F05A5C">
            <w:pPr>
              <w:jc w:val="center"/>
              <w:rPr>
                <w:color w:val="000000"/>
                <w:sz w:val="24"/>
                <w:szCs w:val="24"/>
              </w:rPr>
            </w:pPr>
            <w:r w:rsidRPr="00CD004E">
              <w:rPr>
                <w:color w:val="000000"/>
                <w:sz w:val="24"/>
                <w:szCs w:val="24"/>
              </w:rPr>
              <w:t>0.866</w:t>
            </w:r>
          </w:p>
        </w:tc>
        <w:tc>
          <w:tcPr>
            <w:tcW w:w="1097" w:type="dxa"/>
            <w:shd w:val="clear" w:color="auto" w:fill="auto"/>
            <w:vAlign w:val="center"/>
          </w:tcPr>
          <w:p w14:paraId="0F05190F" w14:textId="77777777" w:rsidR="001C6C38" w:rsidRPr="00CD004E" w:rsidRDefault="001C6C38" w:rsidP="00F05A5C">
            <w:pPr>
              <w:jc w:val="center"/>
              <w:rPr>
                <w:color w:val="000000"/>
                <w:sz w:val="24"/>
                <w:szCs w:val="24"/>
              </w:rPr>
            </w:pPr>
            <w:r w:rsidRPr="00CD004E">
              <w:rPr>
                <w:color w:val="000000"/>
                <w:sz w:val="24"/>
                <w:szCs w:val="24"/>
              </w:rPr>
              <w:t>0.897</w:t>
            </w:r>
          </w:p>
        </w:tc>
        <w:tc>
          <w:tcPr>
            <w:tcW w:w="1412" w:type="dxa"/>
            <w:shd w:val="clear" w:color="auto" w:fill="auto"/>
            <w:vAlign w:val="center"/>
          </w:tcPr>
          <w:p w14:paraId="519F05D4" w14:textId="77777777" w:rsidR="001C6C38" w:rsidRPr="00CD004E" w:rsidRDefault="001C6C38" w:rsidP="00F05A5C">
            <w:pPr>
              <w:jc w:val="center"/>
              <w:rPr>
                <w:color w:val="000000"/>
                <w:sz w:val="24"/>
                <w:szCs w:val="24"/>
              </w:rPr>
            </w:pPr>
            <w:r w:rsidRPr="00CD004E">
              <w:rPr>
                <w:color w:val="000000"/>
                <w:sz w:val="24"/>
                <w:szCs w:val="24"/>
              </w:rPr>
              <w:t>0.003</w:t>
            </w:r>
          </w:p>
        </w:tc>
        <w:tc>
          <w:tcPr>
            <w:tcW w:w="1568" w:type="dxa"/>
            <w:shd w:val="clear" w:color="auto" w:fill="auto"/>
            <w:vAlign w:val="center"/>
          </w:tcPr>
          <w:p w14:paraId="5CAF6464" w14:textId="77777777" w:rsidR="001C6C38" w:rsidRPr="00CD004E" w:rsidRDefault="001C6C38" w:rsidP="00F05A5C">
            <w:pPr>
              <w:jc w:val="center"/>
              <w:rPr>
                <w:color w:val="000000"/>
                <w:sz w:val="24"/>
                <w:szCs w:val="24"/>
              </w:rPr>
            </w:pPr>
          </w:p>
        </w:tc>
      </w:tr>
    </w:tbl>
    <w:p w14:paraId="460F6262" w14:textId="5168DDAA" w:rsidR="00C0457A" w:rsidRPr="00CD004E" w:rsidRDefault="00C0457A" w:rsidP="00F05A5C">
      <w:pPr>
        <w:rPr>
          <w:sz w:val="28"/>
          <w:szCs w:val="28"/>
        </w:rPr>
      </w:pPr>
      <w:r w:rsidRPr="00CD004E">
        <w:t>PSA: Prostat</w:t>
      </w:r>
      <w:r w:rsidR="00F76D88" w:rsidRPr="00CD004E">
        <w:t>e</w:t>
      </w:r>
      <w:r w:rsidRPr="00CD004E">
        <w:t xml:space="preserve"> spesific antigen, n: number of lesions, SD: standart deviation, p value less than 0,05 considered as statistically significant.</w:t>
      </w:r>
    </w:p>
    <w:p w14:paraId="0133A3AB" w14:textId="77777777" w:rsidR="00C0457A" w:rsidRPr="00CD004E" w:rsidRDefault="00C0457A" w:rsidP="00F05A5C">
      <w:pPr>
        <w:rPr>
          <w:sz w:val="22"/>
          <w:szCs w:val="22"/>
        </w:rPr>
      </w:pPr>
    </w:p>
    <w:p w14:paraId="61580C94" w14:textId="77777777" w:rsidR="00CD004E" w:rsidRDefault="00CD004E" w:rsidP="00F05A5C">
      <w:pPr>
        <w:rPr>
          <w:b/>
          <w:bCs/>
          <w:i/>
          <w:iCs/>
        </w:rPr>
      </w:pPr>
    </w:p>
    <w:p w14:paraId="351A9610" w14:textId="695E4A5F" w:rsidR="00C0457A" w:rsidRPr="00CD004E" w:rsidRDefault="00C0457A" w:rsidP="00F05A5C">
      <w:pPr>
        <w:rPr>
          <w:b/>
          <w:bCs/>
          <w:i/>
          <w:iCs/>
        </w:rPr>
      </w:pPr>
      <w:r w:rsidRPr="00CD004E">
        <w:rPr>
          <w:b/>
          <w:bCs/>
          <w:i/>
          <w:iCs/>
        </w:rPr>
        <w:t xml:space="preserve">Table </w:t>
      </w:r>
      <w:r w:rsidR="00BD4DC9" w:rsidRPr="00CD004E">
        <w:rPr>
          <w:b/>
          <w:bCs/>
          <w:i/>
          <w:iCs/>
        </w:rPr>
        <w:t>4</w:t>
      </w:r>
      <w:r w:rsidRPr="00CD004E">
        <w:rPr>
          <w:b/>
          <w:bCs/>
          <w:i/>
          <w:iCs/>
        </w:rPr>
        <w:t>. The comparation of ADC values between cancer lesions and non-cancerous lesions</w:t>
      </w:r>
    </w:p>
    <w:tbl>
      <w:tblPr>
        <w:tblStyle w:val="TabloKlavuzu"/>
        <w:tblW w:w="8940" w:type="dxa"/>
        <w:tblInd w:w="6" w:type="dxa"/>
        <w:tblLook w:val="04A0" w:firstRow="1" w:lastRow="0" w:firstColumn="1" w:lastColumn="0" w:noHBand="0" w:noVBand="1"/>
      </w:tblPr>
      <w:tblGrid>
        <w:gridCol w:w="2176"/>
        <w:gridCol w:w="2518"/>
        <w:gridCol w:w="2576"/>
        <w:gridCol w:w="1670"/>
      </w:tblGrid>
      <w:tr w:rsidR="00C0457A" w:rsidRPr="00CD004E" w14:paraId="59F17F96" w14:textId="77777777" w:rsidTr="005813AE">
        <w:tc>
          <w:tcPr>
            <w:tcW w:w="2176" w:type="dxa"/>
            <w:shd w:val="clear" w:color="auto" w:fill="auto"/>
            <w:vAlign w:val="center"/>
          </w:tcPr>
          <w:p w14:paraId="57FBAD78" w14:textId="77777777" w:rsidR="00C0457A" w:rsidRPr="00CD004E" w:rsidRDefault="00C0457A" w:rsidP="00F05A5C">
            <w:pPr>
              <w:rPr>
                <w:b/>
                <w:bCs/>
                <w:sz w:val="24"/>
                <w:szCs w:val="24"/>
              </w:rPr>
            </w:pPr>
            <w:r w:rsidRPr="00CD004E">
              <w:rPr>
                <w:b/>
                <w:bCs/>
                <w:sz w:val="24"/>
                <w:szCs w:val="24"/>
              </w:rPr>
              <w:t>Variables</w:t>
            </w:r>
          </w:p>
        </w:tc>
        <w:tc>
          <w:tcPr>
            <w:tcW w:w="2518" w:type="dxa"/>
            <w:shd w:val="clear" w:color="auto" w:fill="auto"/>
            <w:vAlign w:val="center"/>
          </w:tcPr>
          <w:p w14:paraId="6D3AA8C6" w14:textId="21A5B31F" w:rsidR="00C0457A" w:rsidRPr="00CD004E" w:rsidRDefault="00C0457A" w:rsidP="00F05A5C">
            <w:pPr>
              <w:jc w:val="center"/>
              <w:rPr>
                <w:b/>
                <w:bCs/>
                <w:sz w:val="24"/>
                <w:szCs w:val="24"/>
              </w:rPr>
            </w:pPr>
            <w:r w:rsidRPr="00CD004E">
              <w:rPr>
                <w:b/>
                <w:bCs/>
                <w:sz w:val="24"/>
                <w:szCs w:val="24"/>
              </w:rPr>
              <w:t>PCa</w:t>
            </w:r>
            <w:r w:rsidR="001500A6" w:rsidRPr="00CD004E">
              <w:rPr>
                <w:b/>
                <w:bCs/>
                <w:sz w:val="24"/>
                <w:szCs w:val="24"/>
              </w:rPr>
              <w:t xml:space="preserve"> </w:t>
            </w:r>
            <w:r w:rsidRPr="00CD004E">
              <w:rPr>
                <w:b/>
                <w:bCs/>
                <w:sz w:val="24"/>
                <w:szCs w:val="24"/>
              </w:rPr>
              <w:t>(n:57)</w:t>
            </w:r>
          </w:p>
        </w:tc>
        <w:tc>
          <w:tcPr>
            <w:tcW w:w="2576" w:type="dxa"/>
            <w:shd w:val="clear" w:color="auto" w:fill="auto"/>
            <w:vAlign w:val="center"/>
          </w:tcPr>
          <w:p w14:paraId="7E69A3B8" w14:textId="28E9AE9E" w:rsidR="00C0457A" w:rsidRPr="00CD004E" w:rsidRDefault="00C0457A" w:rsidP="00F05A5C">
            <w:pPr>
              <w:jc w:val="center"/>
              <w:rPr>
                <w:b/>
                <w:bCs/>
                <w:sz w:val="24"/>
                <w:szCs w:val="24"/>
              </w:rPr>
            </w:pPr>
            <w:proofErr w:type="gramStart"/>
            <w:r w:rsidRPr="00CD004E">
              <w:rPr>
                <w:b/>
                <w:bCs/>
                <w:sz w:val="24"/>
                <w:szCs w:val="24"/>
              </w:rPr>
              <w:t>nonPCa</w:t>
            </w:r>
            <w:proofErr w:type="gramEnd"/>
            <w:r w:rsidR="001500A6" w:rsidRPr="00CD004E">
              <w:rPr>
                <w:b/>
                <w:bCs/>
                <w:sz w:val="24"/>
                <w:szCs w:val="24"/>
              </w:rPr>
              <w:t xml:space="preserve"> </w:t>
            </w:r>
            <w:r w:rsidRPr="00CD004E">
              <w:rPr>
                <w:b/>
                <w:bCs/>
                <w:sz w:val="24"/>
                <w:szCs w:val="24"/>
              </w:rPr>
              <w:t>(n:95)</w:t>
            </w:r>
          </w:p>
        </w:tc>
        <w:tc>
          <w:tcPr>
            <w:tcW w:w="1670" w:type="dxa"/>
            <w:shd w:val="clear" w:color="auto" w:fill="auto"/>
            <w:vAlign w:val="center"/>
          </w:tcPr>
          <w:p w14:paraId="35BACA59" w14:textId="77777777" w:rsidR="00C0457A" w:rsidRPr="00CD004E" w:rsidRDefault="00C0457A" w:rsidP="00F05A5C">
            <w:pPr>
              <w:jc w:val="center"/>
              <w:rPr>
                <w:b/>
                <w:bCs/>
                <w:sz w:val="24"/>
                <w:szCs w:val="24"/>
              </w:rPr>
            </w:pPr>
            <w:proofErr w:type="gramStart"/>
            <w:r w:rsidRPr="00CD004E">
              <w:rPr>
                <w:b/>
                <w:bCs/>
                <w:sz w:val="24"/>
                <w:szCs w:val="24"/>
              </w:rPr>
              <w:t>p</w:t>
            </w:r>
            <w:proofErr w:type="gramEnd"/>
            <w:r w:rsidRPr="00CD004E">
              <w:rPr>
                <w:b/>
                <w:bCs/>
                <w:sz w:val="24"/>
                <w:szCs w:val="24"/>
              </w:rPr>
              <w:t xml:space="preserve"> value</w:t>
            </w:r>
          </w:p>
        </w:tc>
      </w:tr>
      <w:tr w:rsidR="00C0457A" w:rsidRPr="00CD004E" w14:paraId="6C2FC6F0" w14:textId="77777777" w:rsidTr="005813AE">
        <w:tc>
          <w:tcPr>
            <w:tcW w:w="2176" w:type="dxa"/>
            <w:shd w:val="clear" w:color="auto" w:fill="auto"/>
            <w:vAlign w:val="center"/>
          </w:tcPr>
          <w:p w14:paraId="20B893BB" w14:textId="77777777" w:rsidR="00C0457A" w:rsidRPr="00CD004E" w:rsidRDefault="00C0457A" w:rsidP="00F05A5C">
            <w:pPr>
              <w:rPr>
                <w:b/>
                <w:bCs/>
                <w:sz w:val="24"/>
                <w:szCs w:val="24"/>
              </w:rPr>
            </w:pPr>
            <w:r w:rsidRPr="00CD004E">
              <w:rPr>
                <w:b/>
                <w:bCs/>
                <w:sz w:val="24"/>
                <w:szCs w:val="24"/>
              </w:rPr>
              <w:t>ADC</w:t>
            </w:r>
          </w:p>
        </w:tc>
        <w:tc>
          <w:tcPr>
            <w:tcW w:w="2518" w:type="dxa"/>
            <w:shd w:val="clear" w:color="auto" w:fill="auto"/>
            <w:vAlign w:val="center"/>
          </w:tcPr>
          <w:p w14:paraId="64083889" w14:textId="77777777" w:rsidR="00C0457A" w:rsidRPr="00CD004E" w:rsidRDefault="00C0457A" w:rsidP="00F05A5C">
            <w:pPr>
              <w:jc w:val="center"/>
              <w:rPr>
                <w:color w:val="000000"/>
                <w:sz w:val="24"/>
                <w:szCs w:val="24"/>
              </w:rPr>
            </w:pPr>
            <w:r w:rsidRPr="00CD004E">
              <w:rPr>
                <w:color w:val="000000"/>
                <w:sz w:val="24"/>
                <w:szCs w:val="24"/>
              </w:rPr>
              <w:t xml:space="preserve">598.8233±145.3503 </w:t>
            </w:r>
            <w:r w:rsidRPr="00CD004E">
              <w:rPr>
                <w:sz w:val="24"/>
                <w:szCs w:val="24"/>
              </w:rPr>
              <w:t>x10</w:t>
            </w:r>
            <w:r w:rsidRPr="00CD004E">
              <w:rPr>
                <w:sz w:val="24"/>
                <w:szCs w:val="24"/>
                <w:vertAlign w:val="superscript"/>
              </w:rPr>
              <w:t>-3</w:t>
            </w:r>
          </w:p>
        </w:tc>
        <w:tc>
          <w:tcPr>
            <w:tcW w:w="2576" w:type="dxa"/>
            <w:shd w:val="clear" w:color="auto" w:fill="auto"/>
            <w:vAlign w:val="center"/>
          </w:tcPr>
          <w:p w14:paraId="2A6DC42D" w14:textId="77777777" w:rsidR="00C0457A" w:rsidRPr="00CD004E" w:rsidRDefault="00C0457A" w:rsidP="00F05A5C">
            <w:pPr>
              <w:jc w:val="center"/>
              <w:rPr>
                <w:color w:val="000000"/>
                <w:sz w:val="24"/>
                <w:szCs w:val="24"/>
              </w:rPr>
            </w:pPr>
            <w:r w:rsidRPr="00CD004E">
              <w:rPr>
                <w:color w:val="000000"/>
                <w:sz w:val="24"/>
                <w:szCs w:val="24"/>
              </w:rPr>
              <w:t xml:space="preserve">758.9636±146.49521 </w:t>
            </w:r>
            <w:r w:rsidRPr="00CD004E">
              <w:rPr>
                <w:sz w:val="24"/>
                <w:szCs w:val="24"/>
              </w:rPr>
              <w:t>x10</w:t>
            </w:r>
            <w:r w:rsidRPr="00CD004E">
              <w:rPr>
                <w:sz w:val="24"/>
                <w:szCs w:val="24"/>
                <w:vertAlign w:val="superscript"/>
              </w:rPr>
              <w:t>-3</w:t>
            </w:r>
          </w:p>
        </w:tc>
        <w:tc>
          <w:tcPr>
            <w:tcW w:w="1670" w:type="dxa"/>
            <w:shd w:val="clear" w:color="auto" w:fill="auto"/>
            <w:vAlign w:val="center"/>
          </w:tcPr>
          <w:p w14:paraId="500BB51C" w14:textId="77777777" w:rsidR="00C0457A" w:rsidRPr="00CD004E" w:rsidRDefault="00C0457A" w:rsidP="00F05A5C">
            <w:pPr>
              <w:jc w:val="center"/>
              <w:rPr>
                <w:color w:val="000000"/>
                <w:sz w:val="24"/>
                <w:szCs w:val="24"/>
              </w:rPr>
            </w:pPr>
            <w:r w:rsidRPr="00CD004E">
              <w:rPr>
                <w:color w:val="000000"/>
                <w:sz w:val="24"/>
                <w:szCs w:val="24"/>
              </w:rPr>
              <w:t>&lt;0.001</w:t>
            </w:r>
          </w:p>
        </w:tc>
      </w:tr>
    </w:tbl>
    <w:p w14:paraId="5D9D142E" w14:textId="3A7263BB" w:rsidR="00C0457A" w:rsidRPr="00CD004E" w:rsidRDefault="00C0457A" w:rsidP="00F05A5C">
      <w:pPr>
        <w:rPr>
          <w:sz w:val="28"/>
          <w:szCs w:val="28"/>
        </w:rPr>
      </w:pPr>
      <w:r w:rsidRPr="00CD004E">
        <w:t>PCa: Prostat</w:t>
      </w:r>
      <w:r w:rsidR="00F76D88" w:rsidRPr="00CD004E">
        <w:t>e</w:t>
      </w:r>
      <w:r w:rsidRPr="00CD004E">
        <w:t xml:space="preserve"> cancer, n: number of lesions, SD: standart deviation</w:t>
      </w:r>
    </w:p>
    <w:p w14:paraId="107541EA" w14:textId="77777777" w:rsidR="00C0457A" w:rsidRPr="00CD004E" w:rsidRDefault="00C0457A" w:rsidP="00F05A5C"/>
    <w:p w14:paraId="11AAAC05" w14:textId="77777777" w:rsidR="00CD004E" w:rsidRDefault="00CD004E" w:rsidP="00F05A5C">
      <w:pPr>
        <w:rPr>
          <w:b/>
          <w:bCs/>
          <w:i/>
          <w:iCs/>
        </w:rPr>
      </w:pPr>
    </w:p>
    <w:p w14:paraId="6630A9AF" w14:textId="77777777" w:rsidR="00D27101" w:rsidRDefault="00D27101" w:rsidP="00F05A5C">
      <w:pPr>
        <w:rPr>
          <w:b/>
          <w:bCs/>
          <w:i/>
          <w:iCs/>
        </w:rPr>
      </w:pPr>
    </w:p>
    <w:p w14:paraId="7D6E7AA8" w14:textId="777532F4" w:rsidR="00C0457A" w:rsidRPr="00CD004E" w:rsidRDefault="00C0457A" w:rsidP="00F05A5C">
      <w:pPr>
        <w:rPr>
          <w:b/>
          <w:bCs/>
          <w:i/>
          <w:iCs/>
        </w:rPr>
      </w:pPr>
      <w:r w:rsidRPr="00CD004E">
        <w:rPr>
          <w:b/>
          <w:bCs/>
          <w:i/>
          <w:iCs/>
        </w:rPr>
        <w:t xml:space="preserve">Table </w:t>
      </w:r>
      <w:r w:rsidR="00BD4DC9" w:rsidRPr="00CD004E">
        <w:rPr>
          <w:b/>
          <w:bCs/>
          <w:i/>
          <w:iCs/>
        </w:rPr>
        <w:t>5</w:t>
      </w:r>
      <w:r w:rsidRPr="00CD004E">
        <w:rPr>
          <w:b/>
          <w:bCs/>
          <w:i/>
          <w:iCs/>
        </w:rPr>
        <w:t>. Mean ADC values according to the pathological diagnosis</w:t>
      </w:r>
    </w:p>
    <w:tbl>
      <w:tblPr>
        <w:tblStyle w:val="TabloKlavuzu"/>
        <w:tblW w:w="9656" w:type="dxa"/>
        <w:tblInd w:w="-612" w:type="dxa"/>
        <w:tblLook w:val="04A0" w:firstRow="1" w:lastRow="0" w:firstColumn="1" w:lastColumn="0" w:noHBand="0" w:noVBand="1"/>
      </w:tblPr>
      <w:tblGrid>
        <w:gridCol w:w="1336"/>
        <w:gridCol w:w="1336"/>
        <w:gridCol w:w="1759"/>
        <w:gridCol w:w="1668"/>
        <w:gridCol w:w="2466"/>
        <w:gridCol w:w="1091"/>
      </w:tblGrid>
      <w:tr w:rsidR="005813AE" w:rsidRPr="00CD004E" w14:paraId="573BB5C6" w14:textId="77777777" w:rsidTr="005813AE">
        <w:trPr>
          <w:trHeight w:val="191"/>
        </w:trPr>
        <w:tc>
          <w:tcPr>
            <w:tcW w:w="9656" w:type="dxa"/>
            <w:gridSpan w:val="6"/>
            <w:shd w:val="clear" w:color="auto" w:fill="auto"/>
            <w:vAlign w:val="center"/>
          </w:tcPr>
          <w:p w14:paraId="0DD248B3" w14:textId="63B352C1" w:rsidR="005813AE" w:rsidRPr="00CD004E" w:rsidRDefault="005813AE" w:rsidP="00F05A5C">
            <w:pPr>
              <w:jc w:val="center"/>
              <w:rPr>
                <w:sz w:val="24"/>
                <w:szCs w:val="24"/>
              </w:rPr>
            </w:pPr>
            <w:r w:rsidRPr="00CD004E">
              <w:rPr>
                <w:b/>
                <w:bCs/>
                <w:sz w:val="24"/>
                <w:szCs w:val="24"/>
              </w:rPr>
              <w:t>Pathological definitive diagnosis</w:t>
            </w:r>
          </w:p>
        </w:tc>
      </w:tr>
      <w:tr w:rsidR="005813AE" w:rsidRPr="00CD004E" w14:paraId="0B35A11F" w14:textId="77777777" w:rsidTr="005813AE">
        <w:trPr>
          <w:trHeight w:val="382"/>
        </w:trPr>
        <w:tc>
          <w:tcPr>
            <w:tcW w:w="2672" w:type="dxa"/>
            <w:gridSpan w:val="2"/>
            <w:shd w:val="clear" w:color="auto" w:fill="auto"/>
            <w:vAlign w:val="center"/>
          </w:tcPr>
          <w:p w14:paraId="66E564D9" w14:textId="7B8F1D4C" w:rsidR="005813AE" w:rsidRPr="00CD004E" w:rsidRDefault="005813AE" w:rsidP="00F05A5C">
            <w:pPr>
              <w:rPr>
                <w:b/>
                <w:bCs/>
                <w:sz w:val="24"/>
                <w:szCs w:val="24"/>
              </w:rPr>
            </w:pPr>
            <w:r w:rsidRPr="00CD004E">
              <w:rPr>
                <w:b/>
                <w:bCs/>
                <w:sz w:val="24"/>
                <w:szCs w:val="24"/>
              </w:rPr>
              <w:t>Variables</w:t>
            </w:r>
          </w:p>
        </w:tc>
        <w:tc>
          <w:tcPr>
            <w:tcW w:w="1759" w:type="dxa"/>
            <w:shd w:val="clear" w:color="auto" w:fill="auto"/>
            <w:vAlign w:val="center"/>
          </w:tcPr>
          <w:p w14:paraId="095ACC3A" w14:textId="77777777" w:rsidR="005813AE" w:rsidRPr="00CD004E" w:rsidRDefault="005813AE" w:rsidP="00F05A5C">
            <w:pPr>
              <w:jc w:val="center"/>
              <w:rPr>
                <w:b/>
                <w:bCs/>
                <w:sz w:val="24"/>
                <w:szCs w:val="24"/>
              </w:rPr>
            </w:pPr>
            <w:r w:rsidRPr="00CD004E">
              <w:rPr>
                <w:b/>
                <w:bCs/>
                <w:sz w:val="24"/>
                <w:szCs w:val="24"/>
              </w:rPr>
              <w:t>Benign prostatic tissue (n:40)</w:t>
            </w:r>
          </w:p>
        </w:tc>
        <w:tc>
          <w:tcPr>
            <w:tcW w:w="1668" w:type="dxa"/>
            <w:shd w:val="clear" w:color="auto" w:fill="auto"/>
            <w:vAlign w:val="center"/>
          </w:tcPr>
          <w:p w14:paraId="7B59760E" w14:textId="77777777" w:rsidR="005813AE" w:rsidRPr="00CD004E" w:rsidRDefault="005813AE" w:rsidP="00F05A5C">
            <w:pPr>
              <w:jc w:val="center"/>
              <w:rPr>
                <w:b/>
                <w:bCs/>
                <w:sz w:val="24"/>
                <w:szCs w:val="24"/>
              </w:rPr>
            </w:pPr>
            <w:r w:rsidRPr="00CD004E">
              <w:rPr>
                <w:b/>
                <w:bCs/>
                <w:sz w:val="24"/>
                <w:szCs w:val="24"/>
              </w:rPr>
              <w:t>Prostatitis (n:55)</w:t>
            </w:r>
          </w:p>
        </w:tc>
        <w:tc>
          <w:tcPr>
            <w:tcW w:w="2466" w:type="dxa"/>
            <w:shd w:val="clear" w:color="auto" w:fill="auto"/>
            <w:vAlign w:val="center"/>
          </w:tcPr>
          <w:p w14:paraId="18F3EE41" w14:textId="0BFE3C23" w:rsidR="005813AE" w:rsidRPr="00CD004E" w:rsidRDefault="005813AE" w:rsidP="00F05A5C">
            <w:pPr>
              <w:jc w:val="center"/>
              <w:rPr>
                <w:b/>
                <w:bCs/>
                <w:sz w:val="24"/>
                <w:szCs w:val="24"/>
              </w:rPr>
            </w:pPr>
            <w:r w:rsidRPr="00CD004E">
              <w:rPr>
                <w:b/>
                <w:bCs/>
                <w:sz w:val="24"/>
                <w:szCs w:val="24"/>
              </w:rPr>
              <w:t>PCa(n:57)</w:t>
            </w:r>
          </w:p>
        </w:tc>
        <w:tc>
          <w:tcPr>
            <w:tcW w:w="1091" w:type="dxa"/>
            <w:shd w:val="clear" w:color="auto" w:fill="auto"/>
            <w:vAlign w:val="center"/>
          </w:tcPr>
          <w:p w14:paraId="610801B0" w14:textId="77777777" w:rsidR="005813AE" w:rsidRPr="00CD004E" w:rsidRDefault="005813AE" w:rsidP="00F05A5C">
            <w:pPr>
              <w:jc w:val="center"/>
              <w:rPr>
                <w:b/>
                <w:bCs/>
                <w:sz w:val="24"/>
                <w:szCs w:val="24"/>
              </w:rPr>
            </w:pPr>
            <w:proofErr w:type="gramStart"/>
            <w:r w:rsidRPr="00CD004E">
              <w:rPr>
                <w:b/>
                <w:bCs/>
                <w:sz w:val="24"/>
                <w:szCs w:val="24"/>
              </w:rPr>
              <w:t>p</w:t>
            </w:r>
            <w:proofErr w:type="gramEnd"/>
            <w:r w:rsidRPr="00CD004E">
              <w:rPr>
                <w:b/>
                <w:bCs/>
                <w:sz w:val="24"/>
                <w:szCs w:val="24"/>
              </w:rPr>
              <w:t xml:space="preserve"> values</w:t>
            </w:r>
          </w:p>
        </w:tc>
      </w:tr>
      <w:tr w:rsidR="005813AE" w:rsidRPr="00CD004E" w14:paraId="6ECC48E5" w14:textId="77777777" w:rsidTr="005813AE">
        <w:trPr>
          <w:trHeight w:val="573"/>
        </w:trPr>
        <w:tc>
          <w:tcPr>
            <w:tcW w:w="1336" w:type="dxa"/>
            <w:vMerge w:val="restart"/>
            <w:shd w:val="clear" w:color="auto" w:fill="auto"/>
            <w:vAlign w:val="center"/>
          </w:tcPr>
          <w:p w14:paraId="2372D01F" w14:textId="77777777" w:rsidR="005813AE" w:rsidRPr="00CD004E" w:rsidRDefault="005813AE" w:rsidP="00F05A5C">
            <w:pPr>
              <w:rPr>
                <w:b/>
                <w:bCs/>
                <w:sz w:val="24"/>
                <w:szCs w:val="24"/>
              </w:rPr>
            </w:pPr>
            <w:r w:rsidRPr="00CD004E">
              <w:rPr>
                <w:b/>
                <w:bCs/>
                <w:sz w:val="24"/>
                <w:szCs w:val="24"/>
              </w:rPr>
              <w:t>ADC</w:t>
            </w:r>
          </w:p>
        </w:tc>
        <w:tc>
          <w:tcPr>
            <w:tcW w:w="1336" w:type="dxa"/>
            <w:shd w:val="clear" w:color="auto" w:fill="auto"/>
            <w:vAlign w:val="center"/>
          </w:tcPr>
          <w:p w14:paraId="06A6EF09" w14:textId="32B9C406" w:rsidR="005813AE" w:rsidRPr="00CD004E" w:rsidRDefault="00A6188B" w:rsidP="00F05A5C">
            <w:pPr>
              <w:rPr>
                <w:b/>
                <w:bCs/>
                <w:sz w:val="24"/>
                <w:szCs w:val="24"/>
              </w:rPr>
            </w:pPr>
            <w:r w:rsidRPr="00CD004E">
              <w:rPr>
                <w:b/>
                <w:bCs/>
                <w:sz w:val="24"/>
                <w:szCs w:val="24"/>
              </w:rPr>
              <w:t>Mean</w:t>
            </w:r>
            <w:r w:rsidR="005813AE" w:rsidRPr="00CD004E">
              <w:rPr>
                <w:b/>
                <w:bCs/>
                <w:sz w:val="24"/>
                <w:szCs w:val="24"/>
              </w:rPr>
              <w:t>±SD</w:t>
            </w:r>
          </w:p>
        </w:tc>
        <w:tc>
          <w:tcPr>
            <w:tcW w:w="1759" w:type="dxa"/>
            <w:shd w:val="clear" w:color="auto" w:fill="auto"/>
            <w:vAlign w:val="center"/>
          </w:tcPr>
          <w:p w14:paraId="4D2CE178" w14:textId="77777777" w:rsidR="005813AE" w:rsidRPr="00CD004E" w:rsidRDefault="005813AE" w:rsidP="00F05A5C">
            <w:pPr>
              <w:jc w:val="center"/>
              <w:rPr>
                <w:sz w:val="24"/>
                <w:szCs w:val="24"/>
              </w:rPr>
            </w:pPr>
            <w:r w:rsidRPr="00CD004E">
              <w:rPr>
                <w:sz w:val="24"/>
                <w:szCs w:val="24"/>
              </w:rPr>
              <w:t>707.34±131.04 x10</w:t>
            </w:r>
            <w:r w:rsidRPr="00CD004E">
              <w:rPr>
                <w:sz w:val="24"/>
                <w:szCs w:val="24"/>
                <w:vertAlign w:val="superscript"/>
              </w:rPr>
              <w:t>-3</w:t>
            </w:r>
          </w:p>
          <w:p w14:paraId="4DD29115" w14:textId="77777777" w:rsidR="005813AE" w:rsidRPr="00CD004E" w:rsidRDefault="005813AE" w:rsidP="00F05A5C">
            <w:pPr>
              <w:jc w:val="center"/>
              <w:rPr>
                <w:sz w:val="24"/>
                <w:szCs w:val="24"/>
              </w:rPr>
            </w:pPr>
          </w:p>
        </w:tc>
        <w:tc>
          <w:tcPr>
            <w:tcW w:w="1668" w:type="dxa"/>
            <w:shd w:val="clear" w:color="auto" w:fill="auto"/>
            <w:vAlign w:val="center"/>
          </w:tcPr>
          <w:p w14:paraId="2214C053" w14:textId="77777777" w:rsidR="005813AE" w:rsidRPr="00CD004E" w:rsidRDefault="005813AE" w:rsidP="00F05A5C">
            <w:pPr>
              <w:jc w:val="center"/>
              <w:rPr>
                <w:sz w:val="24"/>
                <w:szCs w:val="24"/>
              </w:rPr>
            </w:pPr>
            <w:r w:rsidRPr="00CD004E">
              <w:rPr>
                <w:sz w:val="24"/>
                <w:szCs w:val="24"/>
              </w:rPr>
              <w:t>790.51±148.15 x10</w:t>
            </w:r>
            <w:r w:rsidRPr="00CD004E">
              <w:rPr>
                <w:sz w:val="24"/>
                <w:szCs w:val="24"/>
                <w:vertAlign w:val="superscript"/>
              </w:rPr>
              <w:t>-3</w:t>
            </w:r>
          </w:p>
          <w:p w14:paraId="112306FF" w14:textId="77777777" w:rsidR="005813AE" w:rsidRPr="00CD004E" w:rsidRDefault="005813AE" w:rsidP="00F05A5C">
            <w:pPr>
              <w:jc w:val="center"/>
              <w:rPr>
                <w:sz w:val="24"/>
                <w:szCs w:val="24"/>
              </w:rPr>
            </w:pPr>
          </w:p>
        </w:tc>
        <w:tc>
          <w:tcPr>
            <w:tcW w:w="2466" w:type="dxa"/>
            <w:shd w:val="clear" w:color="auto" w:fill="auto"/>
            <w:vAlign w:val="center"/>
          </w:tcPr>
          <w:p w14:paraId="44B4502F" w14:textId="77777777" w:rsidR="005813AE" w:rsidRPr="00CD004E" w:rsidRDefault="005813AE" w:rsidP="00F05A5C">
            <w:pPr>
              <w:jc w:val="center"/>
              <w:rPr>
                <w:sz w:val="24"/>
                <w:szCs w:val="24"/>
              </w:rPr>
            </w:pPr>
            <w:r w:rsidRPr="00CD004E">
              <w:rPr>
                <w:sz w:val="24"/>
                <w:szCs w:val="24"/>
              </w:rPr>
              <w:t>598.82±145.35 x10</w:t>
            </w:r>
            <w:r w:rsidRPr="00CD004E">
              <w:rPr>
                <w:sz w:val="24"/>
                <w:szCs w:val="24"/>
                <w:vertAlign w:val="superscript"/>
              </w:rPr>
              <w:t>-3</w:t>
            </w:r>
          </w:p>
          <w:p w14:paraId="2C185574" w14:textId="77777777" w:rsidR="005813AE" w:rsidRPr="00CD004E" w:rsidRDefault="005813AE" w:rsidP="00F05A5C">
            <w:pPr>
              <w:jc w:val="center"/>
              <w:rPr>
                <w:sz w:val="24"/>
                <w:szCs w:val="24"/>
              </w:rPr>
            </w:pPr>
          </w:p>
        </w:tc>
        <w:tc>
          <w:tcPr>
            <w:tcW w:w="1091" w:type="dxa"/>
            <w:vMerge w:val="restart"/>
            <w:shd w:val="clear" w:color="auto" w:fill="auto"/>
            <w:vAlign w:val="center"/>
          </w:tcPr>
          <w:p w14:paraId="3C93024E" w14:textId="77777777" w:rsidR="005813AE" w:rsidRPr="00CD004E" w:rsidRDefault="005813AE" w:rsidP="00F05A5C">
            <w:pPr>
              <w:jc w:val="center"/>
              <w:rPr>
                <w:sz w:val="24"/>
                <w:szCs w:val="24"/>
              </w:rPr>
            </w:pPr>
            <w:r w:rsidRPr="00CD004E">
              <w:rPr>
                <w:sz w:val="24"/>
                <w:szCs w:val="24"/>
              </w:rPr>
              <w:t>&lt;0.001</w:t>
            </w:r>
          </w:p>
        </w:tc>
      </w:tr>
      <w:tr w:rsidR="005813AE" w:rsidRPr="00CD004E" w14:paraId="432C5586" w14:textId="77777777" w:rsidTr="005813AE">
        <w:trPr>
          <w:trHeight w:val="382"/>
        </w:trPr>
        <w:tc>
          <w:tcPr>
            <w:tcW w:w="1336" w:type="dxa"/>
            <w:vMerge/>
            <w:shd w:val="clear" w:color="auto" w:fill="auto"/>
            <w:vAlign w:val="center"/>
          </w:tcPr>
          <w:p w14:paraId="2E155BE0" w14:textId="77777777" w:rsidR="005813AE" w:rsidRPr="00CD004E" w:rsidRDefault="005813AE" w:rsidP="00F05A5C">
            <w:pPr>
              <w:jc w:val="center"/>
              <w:rPr>
                <w:b/>
                <w:bCs/>
                <w:sz w:val="24"/>
                <w:szCs w:val="24"/>
              </w:rPr>
            </w:pPr>
          </w:p>
        </w:tc>
        <w:tc>
          <w:tcPr>
            <w:tcW w:w="1336" w:type="dxa"/>
            <w:shd w:val="clear" w:color="auto" w:fill="auto"/>
            <w:vAlign w:val="center"/>
          </w:tcPr>
          <w:p w14:paraId="04725C66" w14:textId="2BB15CCE" w:rsidR="005813AE" w:rsidRPr="00CD004E" w:rsidRDefault="00A6188B" w:rsidP="00F05A5C">
            <w:pPr>
              <w:rPr>
                <w:b/>
                <w:bCs/>
                <w:sz w:val="24"/>
                <w:szCs w:val="24"/>
              </w:rPr>
            </w:pPr>
            <w:r w:rsidRPr="00CD004E">
              <w:rPr>
                <w:b/>
                <w:bCs/>
                <w:sz w:val="24"/>
                <w:szCs w:val="24"/>
              </w:rPr>
              <w:t>Median</w:t>
            </w:r>
          </w:p>
          <w:p w14:paraId="324F5520" w14:textId="77777777" w:rsidR="005813AE" w:rsidRPr="00CD004E" w:rsidRDefault="005813AE" w:rsidP="00F05A5C">
            <w:pPr>
              <w:rPr>
                <w:b/>
                <w:bCs/>
                <w:sz w:val="24"/>
                <w:szCs w:val="24"/>
              </w:rPr>
            </w:pPr>
            <w:r w:rsidRPr="00CD004E">
              <w:rPr>
                <w:b/>
                <w:bCs/>
                <w:sz w:val="24"/>
                <w:szCs w:val="24"/>
              </w:rPr>
              <w:t>(25p-75p)</w:t>
            </w:r>
          </w:p>
        </w:tc>
        <w:tc>
          <w:tcPr>
            <w:tcW w:w="1759" w:type="dxa"/>
            <w:shd w:val="clear" w:color="auto" w:fill="auto"/>
            <w:vAlign w:val="center"/>
          </w:tcPr>
          <w:p w14:paraId="28817C93" w14:textId="11A448D6" w:rsidR="005813AE" w:rsidRPr="00CD004E" w:rsidRDefault="005813AE" w:rsidP="00F05A5C">
            <w:pPr>
              <w:jc w:val="center"/>
              <w:rPr>
                <w:sz w:val="24"/>
                <w:szCs w:val="24"/>
              </w:rPr>
            </w:pPr>
            <w:r w:rsidRPr="00CD004E">
              <w:rPr>
                <w:sz w:val="24"/>
                <w:szCs w:val="24"/>
              </w:rPr>
              <w:t>679.48 x10</w:t>
            </w:r>
            <w:r w:rsidRPr="00CD004E">
              <w:rPr>
                <w:sz w:val="24"/>
                <w:szCs w:val="24"/>
                <w:vertAlign w:val="superscript"/>
              </w:rPr>
              <w:t>-3</w:t>
            </w:r>
            <w:r w:rsidRPr="00CD004E">
              <w:rPr>
                <w:sz w:val="24"/>
                <w:szCs w:val="24"/>
              </w:rPr>
              <w:t xml:space="preserve"> (608.00-820.76)</w:t>
            </w:r>
          </w:p>
        </w:tc>
        <w:tc>
          <w:tcPr>
            <w:tcW w:w="1668" w:type="dxa"/>
            <w:shd w:val="clear" w:color="auto" w:fill="auto"/>
            <w:vAlign w:val="center"/>
          </w:tcPr>
          <w:p w14:paraId="0A94E5FA" w14:textId="77777777" w:rsidR="005813AE" w:rsidRPr="00CD004E" w:rsidRDefault="005813AE" w:rsidP="00F05A5C">
            <w:pPr>
              <w:jc w:val="center"/>
              <w:rPr>
                <w:sz w:val="24"/>
                <w:szCs w:val="24"/>
              </w:rPr>
            </w:pPr>
            <w:r w:rsidRPr="00CD004E">
              <w:rPr>
                <w:sz w:val="24"/>
                <w:szCs w:val="24"/>
              </w:rPr>
              <w:t>788.39 x10</w:t>
            </w:r>
            <w:r w:rsidRPr="00CD004E">
              <w:rPr>
                <w:sz w:val="24"/>
                <w:szCs w:val="24"/>
                <w:vertAlign w:val="superscript"/>
              </w:rPr>
              <w:t>-3</w:t>
            </w:r>
            <w:r w:rsidRPr="00CD004E">
              <w:rPr>
                <w:sz w:val="24"/>
                <w:szCs w:val="24"/>
              </w:rPr>
              <w:t xml:space="preserve"> (663.05-905.25)</w:t>
            </w:r>
          </w:p>
        </w:tc>
        <w:tc>
          <w:tcPr>
            <w:tcW w:w="2466" w:type="dxa"/>
            <w:shd w:val="clear" w:color="auto" w:fill="auto"/>
            <w:vAlign w:val="center"/>
          </w:tcPr>
          <w:p w14:paraId="067D792A" w14:textId="5EA2C178" w:rsidR="005813AE" w:rsidRPr="00CD004E" w:rsidRDefault="005813AE" w:rsidP="00F05A5C">
            <w:pPr>
              <w:jc w:val="center"/>
              <w:rPr>
                <w:sz w:val="24"/>
                <w:szCs w:val="24"/>
              </w:rPr>
            </w:pPr>
            <w:r w:rsidRPr="00CD004E">
              <w:rPr>
                <w:sz w:val="24"/>
                <w:szCs w:val="24"/>
              </w:rPr>
              <w:t>544.50 x10</w:t>
            </w:r>
            <w:r w:rsidRPr="00CD004E">
              <w:rPr>
                <w:sz w:val="24"/>
                <w:szCs w:val="24"/>
                <w:vertAlign w:val="superscript"/>
              </w:rPr>
              <w:t>-3</w:t>
            </w:r>
            <w:r w:rsidRPr="00CD004E">
              <w:rPr>
                <w:sz w:val="24"/>
                <w:szCs w:val="24"/>
              </w:rPr>
              <w:t xml:space="preserve"> (485.0-727.83)</w:t>
            </w:r>
          </w:p>
        </w:tc>
        <w:tc>
          <w:tcPr>
            <w:tcW w:w="1091" w:type="dxa"/>
            <w:vMerge/>
            <w:shd w:val="clear" w:color="auto" w:fill="auto"/>
            <w:vAlign w:val="center"/>
          </w:tcPr>
          <w:p w14:paraId="169DEA25" w14:textId="77777777" w:rsidR="005813AE" w:rsidRPr="00CD004E" w:rsidRDefault="005813AE" w:rsidP="00F05A5C">
            <w:pPr>
              <w:jc w:val="center"/>
              <w:rPr>
                <w:sz w:val="24"/>
                <w:szCs w:val="24"/>
              </w:rPr>
            </w:pPr>
          </w:p>
        </w:tc>
      </w:tr>
    </w:tbl>
    <w:p w14:paraId="6B7E6F96" w14:textId="1E7D0311" w:rsidR="00A64538" w:rsidRDefault="00C0457A" w:rsidP="00F05A5C">
      <w:r w:rsidRPr="00CD004E">
        <w:t>PCa: Prostat</w:t>
      </w:r>
      <w:r w:rsidR="00E458F9" w:rsidRPr="00CD004E">
        <w:t>e</w:t>
      </w:r>
      <w:r w:rsidRPr="00CD004E">
        <w:t xml:space="preserve"> cancer, n: number of lesions, SD: standart deviation, p value less than 0,05 considered as statistically significant.</w:t>
      </w:r>
    </w:p>
    <w:p w14:paraId="3CEB68A3" w14:textId="737C57E4" w:rsidR="00CD004E" w:rsidRDefault="00CD004E" w:rsidP="00F05A5C"/>
    <w:p w14:paraId="0444CB34" w14:textId="5E3449A7" w:rsidR="00D27101" w:rsidRDefault="00D27101" w:rsidP="00F05A5C"/>
    <w:p w14:paraId="16FA7B9D" w14:textId="2264F7C0" w:rsidR="00D27101" w:rsidRDefault="00D27101" w:rsidP="00F05A5C"/>
    <w:p w14:paraId="353126C1" w14:textId="77777777" w:rsidR="00CD004E" w:rsidRPr="00CD004E" w:rsidRDefault="00CD004E" w:rsidP="00F05A5C">
      <w:pPr>
        <w:rPr>
          <w:sz w:val="28"/>
          <w:szCs w:val="28"/>
        </w:rPr>
      </w:pPr>
    </w:p>
    <w:p w14:paraId="3225258B" w14:textId="2460CF86" w:rsidR="00C0457A" w:rsidRPr="00CD004E" w:rsidRDefault="00C0457A" w:rsidP="00F05A5C">
      <w:pPr>
        <w:rPr>
          <w:b/>
          <w:bCs/>
          <w:i/>
          <w:iCs/>
        </w:rPr>
      </w:pPr>
      <w:r w:rsidRPr="00CD004E">
        <w:rPr>
          <w:b/>
          <w:bCs/>
          <w:i/>
          <w:iCs/>
        </w:rPr>
        <w:lastRenderedPageBreak/>
        <w:t xml:space="preserve">Table </w:t>
      </w:r>
      <w:r w:rsidR="00BD4DC9" w:rsidRPr="00CD004E">
        <w:rPr>
          <w:b/>
          <w:bCs/>
          <w:i/>
          <w:iCs/>
        </w:rPr>
        <w:t>6</w:t>
      </w:r>
      <w:r w:rsidRPr="00CD004E">
        <w:rPr>
          <w:b/>
          <w:bCs/>
          <w:i/>
          <w:iCs/>
        </w:rPr>
        <w:t>. The Asssociation between ADC values and ISUP grades</w:t>
      </w:r>
    </w:p>
    <w:tbl>
      <w:tblPr>
        <w:tblStyle w:val="TabloKlavuzu"/>
        <w:tblW w:w="7369" w:type="dxa"/>
        <w:tblLook w:val="04A0" w:firstRow="1" w:lastRow="0" w:firstColumn="1" w:lastColumn="0" w:noHBand="0" w:noVBand="1"/>
      </w:tblPr>
      <w:tblGrid>
        <w:gridCol w:w="1843"/>
        <w:gridCol w:w="1842"/>
        <w:gridCol w:w="2547"/>
        <w:gridCol w:w="1137"/>
      </w:tblGrid>
      <w:tr w:rsidR="005813AE" w:rsidRPr="00CD004E" w14:paraId="56EC8225" w14:textId="77777777" w:rsidTr="005813AE">
        <w:tc>
          <w:tcPr>
            <w:tcW w:w="1843" w:type="dxa"/>
            <w:vMerge w:val="restart"/>
            <w:shd w:val="clear" w:color="auto" w:fill="auto"/>
            <w:vAlign w:val="center"/>
          </w:tcPr>
          <w:p w14:paraId="561E22A2" w14:textId="77777777" w:rsidR="005813AE" w:rsidRPr="00CD004E" w:rsidRDefault="005813AE" w:rsidP="00F05A5C">
            <w:pPr>
              <w:rPr>
                <w:b/>
                <w:bCs/>
                <w:sz w:val="24"/>
                <w:szCs w:val="24"/>
              </w:rPr>
            </w:pPr>
            <w:r w:rsidRPr="00CD004E">
              <w:rPr>
                <w:b/>
                <w:bCs/>
                <w:sz w:val="24"/>
                <w:szCs w:val="24"/>
              </w:rPr>
              <w:t>ADC</w:t>
            </w:r>
          </w:p>
        </w:tc>
        <w:tc>
          <w:tcPr>
            <w:tcW w:w="1842" w:type="dxa"/>
            <w:shd w:val="clear" w:color="auto" w:fill="auto"/>
            <w:vAlign w:val="center"/>
          </w:tcPr>
          <w:p w14:paraId="5D237239" w14:textId="77777777" w:rsidR="005813AE" w:rsidRPr="00CD004E" w:rsidRDefault="005813AE" w:rsidP="00F05A5C">
            <w:pPr>
              <w:jc w:val="center"/>
              <w:rPr>
                <w:b/>
                <w:bCs/>
                <w:sz w:val="24"/>
                <w:szCs w:val="24"/>
              </w:rPr>
            </w:pPr>
            <w:r w:rsidRPr="00CD004E">
              <w:rPr>
                <w:b/>
                <w:bCs/>
                <w:sz w:val="24"/>
                <w:szCs w:val="24"/>
              </w:rPr>
              <w:t>ISUP</w:t>
            </w:r>
          </w:p>
        </w:tc>
        <w:tc>
          <w:tcPr>
            <w:tcW w:w="2547" w:type="dxa"/>
            <w:shd w:val="clear" w:color="auto" w:fill="auto"/>
            <w:vAlign w:val="center"/>
          </w:tcPr>
          <w:p w14:paraId="33E1D896" w14:textId="77777777" w:rsidR="005813AE" w:rsidRPr="00CD004E" w:rsidRDefault="005813AE" w:rsidP="00F05A5C">
            <w:pPr>
              <w:jc w:val="center"/>
              <w:rPr>
                <w:b/>
                <w:bCs/>
                <w:sz w:val="24"/>
                <w:szCs w:val="24"/>
              </w:rPr>
            </w:pPr>
            <w:proofErr w:type="gramStart"/>
            <w:r w:rsidRPr="00CD004E">
              <w:rPr>
                <w:b/>
                <w:bCs/>
                <w:sz w:val="24"/>
                <w:szCs w:val="24"/>
              </w:rPr>
              <w:t>mean</w:t>
            </w:r>
            <w:proofErr w:type="gramEnd"/>
            <w:r w:rsidRPr="00CD004E">
              <w:rPr>
                <w:b/>
                <w:bCs/>
                <w:sz w:val="24"/>
                <w:szCs w:val="24"/>
              </w:rPr>
              <w:t>±SD</w:t>
            </w:r>
          </w:p>
        </w:tc>
        <w:tc>
          <w:tcPr>
            <w:tcW w:w="1137" w:type="dxa"/>
            <w:shd w:val="clear" w:color="auto" w:fill="auto"/>
            <w:vAlign w:val="center"/>
          </w:tcPr>
          <w:p w14:paraId="7A3ED133" w14:textId="77777777" w:rsidR="005813AE" w:rsidRPr="00CD004E" w:rsidRDefault="005813AE" w:rsidP="00F05A5C">
            <w:pPr>
              <w:jc w:val="center"/>
              <w:rPr>
                <w:b/>
                <w:bCs/>
                <w:sz w:val="24"/>
                <w:szCs w:val="24"/>
              </w:rPr>
            </w:pPr>
            <w:proofErr w:type="gramStart"/>
            <w:r w:rsidRPr="00CD004E">
              <w:rPr>
                <w:b/>
                <w:bCs/>
                <w:sz w:val="24"/>
                <w:szCs w:val="24"/>
              </w:rPr>
              <w:t>p</w:t>
            </w:r>
            <w:proofErr w:type="gramEnd"/>
            <w:r w:rsidRPr="00CD004E">
              <w:rPr>
                <w:b/>
                <w:bCs/>
                <w:sz w:val="24"/>
                <w:szCs w:val="24"/>
              </w:rPr>
              <w:t xml:space="preserve"> value</w:t>
            </w:r>
          </w:p>
        </w:tc>
      </w:tr>
      <w:tr w:rsidR="005813AE" w:rsidRPr="00CD004E" w14:paraId="4D08ADF4" w14:textId="77777777" w:rsidTr="005813AE">
        <w:tc>
          <w:tcPr>
            <w:tcW w:w="1843" w:type="dxa"/>
            <w:vMerge/>
            <w:shd w:val="clear" w:color="auto" w:fill="auto"/>
            <w:vAlign w:val="center"/>
          </w:tcPr>
          <w:p w14:paraId="4A499F94" w14:textId="77777777" w:rsidR="005813AE" w:rsidRPr="00CD004E" w:rsidRDefault="005813AE" w:rsidP="00F05A5C">
            <w:pPr>
              <w:jc w:val="center"/>
              <w:rPr>
                <w:sz w:val="24"/>
                <w:szCs w:val="24"/>
              </w:rPr>
            </w:pPr>
          </w:p>
        </w:tc>
        <w:tc>
          <w:tcPr>
            <w:tcW w:w="1842" w:type="dxa"/>
            <w:shd w:val="clear" w:color="auto" w:fill="auto"/>
            <w:vAlign w:val="center"/>
          </w:tcPr>
          <w:p w14:paraId="057BDE51" w14:textId="77777777" w:rsidR="005813AE" w:rsidRPr="00CD004E" w:rsidRDefault="005813AE" w:rsidP="00F05A5C">
            <w:pPr>
              <w:jc w:val="center"/>
              <w:rPr>
                <w:sz w:val="24"/>
                <w:szCs w:val="24"/>
              </w:rPr>
            </w:pPr>
            <w:r w:rsidRPr="00CD004E">
              <w:rPr>
                <w:sz w:val="24"/>
                <w:szCs w:val="24"/>
              </w:rPr>
              <w:t>1 (n:16)</w:t>
            </w:r>
          </w:p>
        </w:tc>
        <w:tc>
          <w:tcPr>
            <w:tcW w:w="2547" w:type="dxa"/>
            <w:shd w:val="clear" w:color="auto" w:fill="auto"/>
            <w:vAlign w:val="center"/>
          </w:tcPr>
          <w:p w14:paraId="7C0C6BF7" w14:textId="77777777" w:rsidR="005813AE" w:rsidRPr="00CD004E" w:rsidRDefault="005813AE" w:rsidP="00F05A5C">
            <w:pPr>
              <w:jc w:val="center"/>
              <w:rPr>
                <w:sz w:val="24"/>
                <w:szCs w:val="24"/>
              </w:rPr>
            </w:pPr>
            <w:r w:rsidRPr="00CD004E">
              <w:rPr>
                <w:sz w:val="24"/>
                <w:szCs w:val="24"/>
              </w:rPr>
              <w:t>726.71±143.08 x10</w:t>
            </w:r>
            <w:r w:rsidRPr="00CD004E">
              <w:rPr>
                <w:sz w:val="24"/>
                <w:szCs w:val="24"/>
                <w:vertAlign w:val="superscript"/>
              </w:rPr>
              <w:t>-3</w:t>
            </w:r>
          </w:p>
        </w:tc>
        <w:tc>
          <w:tcPr>
            <w:tcW w:w="1137" w:type="dxa"/>
            <w:shd w:val="clear" w:color="auto" w:fill="auto"/>
            <w:vAlign w:val="center"/>
          </w:tcPr>
          <w:p w14:paraId="0396D8D2" w14:textId="77777777" w:rsidR="005813AE" w:rsidRPr="00CD004E" w:rsidRDefault="005813AE" w:rsidP="00F05A5C">
            <w:pPr>
              <w:jc w:val="center"/>
              <w:rPr>
                <w:sz w:val="24"/>
                <w:szCs w:val="24"/>
              </w:rPr>
            </w:pPr>
            <w:r w:rsidRPr="00CD004E">
              <w:rPr>
                <w:sz w:val="24"/>
                <w:szCs w:val="24"/>
              </w:rPr>
              <w:t>0.003</w:t>
            </w:r>
          </w:p>
        </w:tc>
      </w:tr>
      <w:tr w:rsidR="005813AE" w:rsidRPr="00CD004E" w14:paraId="102B0CBD" w14:textId="77777777" w:rsidTr="005813AE">
        <w:tc>
          <w:tcPr>
            <w:tcW w:w="1843" w:type="dxa"/>
            <w:vMerge/>
            <w:shd w:val="clear" w:color="auto" w:fill="auto"/>
            <w:vAlign w:val="center"/>
          </w:tcPr>
          <w:p w14:paraId="61065649" w14:textId="77777777" w:rsidR="005813AE" w:rsidRPr="00CD004E" w:rsidRDefault="005813AE" w:rsidP="00F05A5C">
            <w:pPr>
              <w:jc w:val="center"/>
              <w:rPr>
                <w:sz w:val="24"/>
                <w:szCs w:val="24"/>
              </w:rPr>
            </w:pPr>
          </w:p>
        </w:tc>
        <w:tc>
          <w:tcPr>
            <w:tcW w:w="1842" w:type="dxa"/>
            <w:shd w:val="clear" w:color="auto" w:fill="auto"/>
            <w:vAlign w:val="center"/>
          </w:tcPr>
          <w:p w14:paraId="4B2916E5" w14:textId="77777777" w:rsidR="005813AE" w:rsidRPr="00CD004E" w:rsidRDefault="005813AE" w:rsidP="00F05A5C">
            <w:pPr>
              <w:jc w:val="center"/>
              <w:rPr>
                <w:sz w:val="24"/>
                <w:szCs w:val="24"/>
              </w:rPr>
            </w:pPr>
            <w:r w:rsidRPr="00CD004E">
              <w:rPr>
                <w:sz w:val="24"/>
                <w:szCs w:val="24"/>
              </w:rPr>
              <w:t>2 (n:9)</w:t>
            </w:r>
          </w:p>
        </w:tc>
        <w:tc>
          <w:tcPr>
            <w:tcW w:w="2547" w:type="dxa"/>
            <w:shd w:val="clear" w:color="auto" w:fill="auto"/>
            <w:vAlign w:val="center"/>
          </w:tcPr>
          <w:p w14:paraId="02602A02" w14:textId="77777777" w:rsidR="005813AE" w:rsidRPr="00CD004E" w:rsidRDefault="005813AE" w:rsidP="00F05A5C">
            <w:pPr>
              <w:jc w:val="center"/>
              <w:rPr>
                <w:sz w:val="24"/>
                <w:szCs w:val="24"/>
              </w:rPr>
            </w:pPr>
            <w:r w:rsidRPr="00CD004E">
              <w:rPr>
                <w:sz w:val="24"/>
                <w:szCs w:val="24"/>
              </w:rPr>
              <w:t>558.03±132.98 x10</w:t>
            </w:r>
            <w:r w:rsidRPr="00CD004E">
              <w:rPr>
                <w:sz w:val="24"/>
                <w:szCs w:val="24"/>
                <w:vertAlign w:val="superscript"/>
              </w:rPr>
              <w:t>-3</w:t>
            </w:r>
          </w:p>
        </w:tc>
        <w:tc>
          <w:tcPr>
            <w:tcW w:w="1137" w:type="dxa"/>
            <w:shd w:val="clear" w:color="auto" w:fill="auto"/>
            <w:vAlign w:val="center"/>
          </w:tcPr>
          <w:p w14:paraId="3E3847E6" w14:textId="77777777" w:rsidR="005813AE" w:rsidRPr="00CD004E" w:rsidRDefault="005813AE" w:rsidP="00F05A5C">
            <w:pPr>
              <w:jc w:val="center"/>
              <w:rPr>
                <w:sz w:val="24"/>
                <w:szCs w:val="24"/>
              </w:rPr>
            </w:pPr>
          </w:p>
        </w:tc>
      </w:tr>
      <w:tr w:rsidR="005813AE" w:rsidRPr="00CD004E" w14:paraId="4730D116" w14:textId="77777777" w:rsidTr="005813AE">
        <w:tc>
          <w:tcPr>
            <w:tcW w:w="1843" w:type="dxa"/>
            <w:vMerge/>
            <w:shd w:val="clear" w:color="auto" w:fill="auto"/>
            <w:vAlign w:val="center"/>
          </w:tcPr>
          <w:p w14:paraId="5E947265" w14:textId="77777777" w:rsidR="005813AE" w:rsidRPr="00CD004E" w:rsidRDefault="005813AE" w:rsidP="00F05A5C">
            <w:pPr>
              <w:jc w:val="center"/>
              <w:rPr>
                <w:sz w:val="24"/>
                <w:szCs w:val="24"/>
              </w:rPr>
            </w:pPr>
          </w:p>
        </w:tc>
        <w:tc>
          <w:tcPr>
            <w:tcW w:w="1842" w:type="dxa"/>
            <w:shd w:val="clear" w:color="auto" w:fill="auto"/>
            <w:vAlign w:val="center"/>
          </w:tcPr>
          <w:p w14:paraId="7FF56E52" w14:textId="77777777" w:rsidR="005813AE" w:rsidRPr="00CD004E" w:rsidRDefault="005813AE" w:rsidP="00F05A5C">
            <w:pPr>
              <w:jc w:val="center"/>
              <w:rPr>
                <w:sz w:val="24"/>
                <w:szCs w:val="24"/>
              </w:rPr>
            </w:pPr>
            <w:r w:rsidRPr="00CD004E">
              <w:rPr>
                <w:sz w:val="24"/>
                <w:szCs w:val="24"/>
              </w:rPr>
              <w:t>3 (n:10)</w:t>
            </w:r>
          </w:p>
        </w:tc>
        <w:tc>
          <w:tcPr>
            <w:tcW w:w="2547" w:type="dxa"/>
            <w:shd w:val="clear" w:color="auto" w:fill="auto"/>
            <w:vAlign w:val="center"/>
          </w:tcPr>
          <w:p w14:paraId="059633A2" w14:textId="77777777" w:rsidR="005813AE" w:rsidRPr="00CD004E" w:rsidRDefault="005813AE" w:rsidP="00F05A5C">
            <w:pPr>
              <w:jc w:val="center"/>
              <w:rPr>
                <w:sz w:val="24"/>
                <w:szCs w:val="24"/>
              </w:rPr>
            </w:pPr>
            <w:r w:rsidRPr="00CD004E">
              <w:rPr>
                <w:sz w:val="24"/>
                <w:szCs w:val="24"/>
              </w:rPr>
              <w:t>496.21±73.69 x10</w:t>
            </w:r>
            <w:r w:rsidRPr="00CD004E">
              <w:rPr>
                <w:sz w:val="24"/>
                <w:szCs w:val="24"/>
                <w:vertAlign w:val="superscript"/>
              </w:rPr>
              <w:t>-3</w:t>
            </w:r>
          </w:p>
        </w:tc>
        <w:tc>
          <w:tcPr>
            <w:tcW w:w="1137" w:type="dxa"/>
            <w:shd w:val="clear" w:color="auto" w:fill="auto"/>
            <w:vAlign w:val="center"/>
          </w:tcPr>
          <w:p w14:paraId="6E477A6E" w14:textId="77777777" w:rsidR="005813AE" w:rsidRPr="00CD004E" w:rsidRDefault="005813AE" w:rsidP="00F05A5C">
            <w:pPr>
              <w:jc w:val="center"/>
              <w:rPr>
                <w:sz w:val="24"/>
                <w:szCs w:val="24"/>
              </w:rPr>
            </w:pPr>
          </w:p>
        </w:tc>
      </w:tr>
      <w:tr w:rsidR="005813AE" w:rsidRPr="00CD004E" w14:paraId="7C5389F9" w14:textId="77777777" w:rsidTr="005813AE">
        <w:tc>
          <w:tcPr>
            <w:tcW w:w="1843" w:type="dxa"/>
            <w:vMerge/>
            <w:shd w:val="clear" w:color="auto" w:fill="auto"/>
            <w:vAlign w:val="center"/>
          </w:tcPr>
          <w:p w14:paraId="36D20E09" w14:textId="77777777" w:rsidR="005813AE" w:rsidRPr="00CD004E" w:rsidRDefault="005813AE" w:rsidP="00F05A5C">
            <w:pPr>
              <w:jc w:val="center"/>
              <w:rPr>
                <w:sz w:val="24"/>
                <w:szCs w:val="24"/>
              </w:rPr>
            </w:pPr>
          </w:p>
        </w:tc>
        <w:tc>
          <w:tcPr>
            <w:tcW w:w="1842" w:type="dxa"/>
            <w:shd w:val="clear" w:color="auto" w:fill="auto"/>
            <w:vAlign w:val="center"/>
          </w:tcPr>
          <w:p w14:paraId="33714F54" w14:textId="77777777" w:rsidR="005813AE" w:rsidRPr="00CD004E" w:rsidRDefault="005813AE" w:rsidP="00F05A5C">
            <w:pPr>
              <w:jc w:val="center"/>
              <w:rPr>
                <w:sz w:val="24"/>
                <w:szCs w:val="24"/>
              </w:rPr>
            </w:pPr>
            <w:r w:rsidRPr="00CD004E">
              <w:rPr>
                <w:sz w:val="24"/>
                <w:szCs w:val="24"/>
              </w:rPr>
              <w:t>4 (n:12)</w:t>
            </w:r>
          </w:p>
        </w:tc>
        <w:tc>
          <w:tcPr>
            <w:tcW w:w="2547" w:type="dxa"/>
            <w:shd w:val="clear" w:color="auto" w:fill="auto"/>
            <w:vAlign w:val="center"/>
          </w:tcPr>
          <w:p w14:paraId="1CFD1E1D" w14:textId="77777777" w:rsidR="005813AE" w:rsidRPr="00CD004E" w:rsidRDefault="005813AE" w:rsidP="00F05A5C">
            <w:pPr>
              <w:jc w:val="center"/>
              <w:rPr>
                <w:sz w:val="24"/>
                <w:szCs w:val="24"/>
              </w:rPr>
            </w:pPr>
            <w:r w:rsidRPr="00CD004E">
              <w:rPr>
                <w:sz w:val="24"/>
                <w:szCs w:val="24"/>
              </w:rPr>
              <w:t>508.67±27.94 x10</w:t>
            </w:r>
            <w:r w:rsidRPr="00CD004E">
              <w:rPr>
                <w:sz w:val="24"/>
                <w:szCs w:val="24"/>
                <w:vertAlign w:val="superscript"/>
              </w:rPr>
              <w:t>-3</w:t>
            </w:r>
          </w:p>
        </w:tc>
        <w:tc>
          <w:tcPr>
            <w:tcW w:w="1137" w:type="dxa"/>
            <w:shd w:val="clear" w:color="auto" w:fill="auto"/>
            <w:vAlign w:val="center"/>
          </w:tcPr>
          <w:p w14:paraId="3578F4C9" w14:textId="77777777" w:rsidR="005813AE" w:rsidRPr="00CD004E" w:rsidRDefault="005813AE" w:rsidP="00F05A5C">
            <w:pPr>
              <w:jc w:val="center"/>
              <w:rPr>
                <w:sz w:val="24"/>
                <w:szCs w:val="24"/>
              </w:rPr>
            </w:pPr>
          </w:p>
        </w:tc>
      </w:tr>
      <w:tr w:rsidR="005813AE" w:rsidRPr="00CD004E" w14:paraId="1972407A" w14:textId="77777777" w:rsidTr="005813AE">
        <w:tc>
          <w:tcPr>
            <w:tcW w:w="1843" w:type="dxa"/>
            <w:vMerge/>
            <w:shd w:val="clear" w:color="auto" w:fill="auto"/>
            <w:vAlign w:val="center"/>
          </w:tcPr>
          <w:p w14:paraId="2BE1162F" w14:textId="77777777" w:rsidR="005813AE" w:rsidRPr="00CD004E" w:rsidRDefault="005813AE" w:rsidP="00F05A5C">
            <w:pPr>
              <w:jc w:val="center"/>
              <w:rPr>
                <w:sz w:val="24"/>
                <w:szCs w:val="24"/>
              </w:rPr>
            </w:pPr>
          </w:p>
        </w:tc>
        <w:tc>
          <w:tcPr>
            <w:tcW w:w="1842" w:type="dxa"/>
            <w:shd w:val="clear" w:color="auto" w:fill="auto"/>
            <w:vAlign w:val="center"/>
          </w:tcPr>
          <w:p w14:paraId="751CE54F" w14:textId="77777777" w:rsidR="005813AE" w:rsidRPr="00CD004E" w:rsidRDefault="005813AE" w:rsidP="00F05A5C">
            <w:pPr>
              <w:jc w:val="center"/>
              <w:rPr>
                <w:sz w:val="24"/>
                <w:szCs w:val="24"/>
              </w:rPr>
            </w:pPr>
            <w:r w:rsidRPr="00CD004E">
              <w:rPr>
                <w:sz w:val="24"/>
                <w:szCs w:val="24"/>
              </w:rPr>
              <w:t>5 (n:10)</w:t>
            </w:r>
          </w:p>
        </w:tc>
        <w:tc>
          <w:tcPr>
            <w:tcW w:w="2547" w:type="dxa"/>
            <w:shd w:val="clear" w:color="auto" w:fill="auto"/>
            <w:vAlign w:val="center"/>
          </w:tcPr>
          <w:p w14:paraId="7095F88A" w14:textId="77777777" w:rsidR="005813AE" w:rsidRPr="00CD004E" w:rsidRDefault="005813AE" w:rsidP="00F05A5C">
            <w:pPr>
              <w:jc w:val="center"/>
              <w:rPr>
                <w:sz w:val="24"/>
                <w:szCs w:val="24"/>
              </w:rPr>
            </w:pPr>
            <w:r w:rsidRPr="00CD004E">
              <w:rPr>
                <w:sz w:val="24"/>
                <w:szCs w:val="24"/>
              </w:rPr>
              <w:t>527.16±63.48 x10</w:t>
            </w:r>
            <w:r w:rsidRPr="00CD004E">
              <w:rPr>
                <w:sz w:val="24"/>
                <w:szCs w:val="24"/>
                <w:vertAlign w:val="superscript"/>
              </w:rPr>
              <w:t>-3</w:t>
            </w:r>
          </w:p>
        </w:tc>
        <w:tc>
          <w:tcPr>
            <w:tcW w:w="1137" w:type="dxa"/>
            <w:shd w:val="clear" w:color="auto" w:fill="auto"/>
            <w:vAlign w:val="center"/>
          </w:tcPr>
          <w:p w14:paraId="446CB540" w14:textId="77777777" w:rsidR="005813AE" w:rsidRPr="00CD004E" w:rsidRDefault="005813AE" w:rsidP="00F05A5C">
            <w:pPr>
              <w:jc w:val="center"/>
              <w:rPr>
                <w:sz w:val="24"/>
                <w:szCs w:val="24"/>
              </w:rPr>
            </w:pPr>
          </w:p>
        </w:tc>
      </w:tr>
    </w:tbl>
    <w:p w14:paraId="1107C337" w14:textId="100CD043" w:rsidR="00C0457A" w:rsidRDefault="00C0457A" w:rsidP="00F05A5C">
      <w:r w:rsidRPr="00CD004E">
        <w:t>SD: standart deviation, p value less than 0</w:t>
      </w:r>
      <w:r w:rsidR="006D2297" w:rsidRPr="00CD004E">
        <w:t>.</w:t>
      </w:r>
      <w:r w:rsidRPr="00CD004E">
        <w:t>05 considered as statistically significan</w:t>
      </w:r>
      <w:r w:rsidR="00B15BA9" w:rsidRPr="00CD004E">
        <w:t>t.</w:t>
      </w:r>
    </w:p>
    <w:p w14:paraId="569E51B6" w14:textId="12B195E0" w:rsidR="00D27101" w:rsidRDefault="00D27101" w:rsidP="00F05A5C"/>
    <w:p w14:paraId="41CF7549" w14:textId="2439E194" w:rsidR="00D27101" w:rsidRDefault="00D27101" w:rsidP="00F05A5C"/>
    <w:p w14:paraId="5B8FA12A" w14:textId="30269D27" w:rsidR="00D27101" w:rsidRDefault="00D27101" w:rsidP="00F05A5C"/>
    <w:p w14:paraId="17D80C84" w14:textId="77777777" w:rsidR="00D27101" w:rsidRDefault="00D27101" w:rsidP="00F05A5C"/>
    <w:p w14:paraId="78E312A0" w14:textId="77777777" w:rsidR="00D27101" w:rsidRPr="00CD004E" w:rsidRDefault="00D27101" w:rsidP="00D27101">
      <w:pPr>
        <w:widowControl w:val="0"/>
        <w:autoSpaceDE w:val="0"/>
        <w:autoSpaceDN w:val="0"/>
        <w:adjustRightInd w:val="0"/>
        <w:spacing w:line="480" w:lineRule="auto"/>
        <w:ind w:left="640" w:hanging="640"/>
        <w:rPr>
          <w:b/>
          <w:bCs/>
          <w:lang w:val="en-US"/>
        </w:rPr>
      </w:pPr>
      <w:r w:rsidRPr="00CD004E">
        <w:rPr>
          <w:b/>
          <w:bCs/>
          <w:i/>
          <w:iCs/>
        </w:rPr>
        <w:t>Image Legends:</w:t>
      </w:r>
    </w:p>
    <w:p w14:paraId="3A4E79B0" w14:textId="77777777" w:rsidR="00D27101" w:rsidRPr="00CD004E" w:rsidRDefault="00D27101" w:rsidP="00D27101">
      <w:pPr>
        <w:spacing w:line="480" w:lineRule="auto"/>
        <w:rPr>
          <w:b/>
          <w:bCs/>
          <w:i/>
          <w:iCs/>
        </w:rPr>
      </w:pPr>
      <w:r w:rsidRPr="00CD004E">
        <w:rPr>
          <w:b/>
          <w:bCs/>
          <w:i/>
          <w:iCs/>
        </w:rPr>
        <w:t>Figure 1:</w:t>
      </w:r>
    </w:p>
    <w:p w14:paraId="6F9F2EA0" w14:textId="77777777" w:rsidR="00D27101" w:rsidRPr="00CD004E" w:rsidRDefault="00D27101" w:rsidP="00D27101">
      <w:pPr>
        <w:spacing w:line="480" w:lineRule="auto"/>
        <w:jc w:val="both"/>
      </w:pPr>
      <w:r w:rsidRPr="00CD004E">
        <w:t>A 68-year-old male patient whose serum PSA level was 6.7 ng/mL. a.) On the T2W axial view; a prominent hypointense lesion (17x12x10 mm in size) located in the right middle part of the peripheral zone is seen. b.) on DWI axial image (b = 1800 s/mm2); lesion is markedly hyperintense, c.) ADC map shows markedly hypointens lesion and ADC value measured as 471,90x10-3mm2/s. d.) on DWI axial image (b = 2000 s/mm</w:t>
      </w:r>
      <w:r w:rsidRPr="00CD004E">
        <w:rPr>
          <w:vertAlign w:val="superscript"/>
        </w:rPr>
        <w:t>2</w:t>
      </w:r>
      <w:r w:rsidRPr="00CD004E">
        <w:t>); lesion is markedly hyperintense. Lesion evaluated as PI-RADS score:5 and histopathologically confirmed as ISUP Grade 5 PCa.</w:t>
      </w:r>
    </w:p>
    <w:p w14:paraId="48CC9A39" w14:textId="77777777" w:rsidR="00D27101" w:rsidRPr="00CD004E" w:rsidRDefault="00D27101" w:rsidP="00D27101">
      <w:pPr>
        <w:spacing w:line="480" w:lineRule="auto"/>
        <w:rPr>
          <w:i/>
          <w:iCs/>
        </w:rPr>
      </w:pPr>
    </w:p>
    <w:p w14:paraId="6C455E56" w14:textId="77777777" w:rsidR="00D27101" w:rsidRPr="00CD004E" w:rsidRDefault="00D27101" w:rsidP="00D27101">
      <w:pPr>
        <w:spacing w:line="480" w:lineRule="auto"/>
        <w:rPr>
          <w:b/>
          <w:bCs/>
          <w:i/>
          <w:iCs/>
        </w:rPr>
      </w:pPr>
      <w:r w:rsidRPr="00CD004E">
        <w:rPr>
          <w:b/>
          <w:bCs/>
          <w:i/>
          <w:iCs/>
        </w:rPr>
        <w:t>Figure 2:</w:t>
      </w:r>
    </w:p>
    <w:p w14:paraId="3C40FD15" w14:textId="16BE316D" w:rsidR="00D27101" w:rsidRDefault="00D27101" w:rsidP="00D27101">
      <w:pPr>
        <w:spacing w:line="480" w:lineRule="auto"/>
        <w:jc w:val="both"/>
      </w:pPr>
      <w:r w:rsidRPr="00CD004E">
        <w:t>A 55-year-old male patient whose serum PSA level was 5.6 ng/mL. a.) On the T2W axial view; a prominent hypointense lesion (7x8x10mm in size) located in the left middle part of the peripheral zone is seen. b.) on DWI axial image (b = 1800 s/mm2); lesion is mildly hyperintense, c.) ADC map shows markedly hypointens lesion and ADC value measured as 710,94x10</w:t>
      </w:r>
      <w:r w:rsidRPr="00CD004E">
        <w:rPr>
          <w:vertAlign w:val="superscript"/>
        </w:rPr>
        <w:t>-3</w:t>
      </w:r>
      <w:r w:rsidRPr="00CD004E">
        <w:t>mm</w:t>
      </w:r>
      <w:r w:rsidRPr="00CD004E">
        <w:rPr>
          <w:vertAlign w:val="superscript"/>
        </w:rPr>
        <w:t>2</w:t>
      </w:r>
      <w:r w:rsidRPr="00CD004E">
        <w:t>/s. d.) on DWI axial image (b = 2000 s/mm2); there is no abnormal signal. Lesion evaluated as PI-RADS score:3 and histopathologically confirmed as ISUP Grade 1 PCa.</w:t>
      </w:r>
    </w:p>
    <w:p w14:paraId="197AE1B1" w14:textId="1A30F488" w:rsidR="00A6188B" w:rsidRDefault="00A6188B" w:rsidP="00D27101">
      <w:pPr>
        <w:spacing w:line="480" w:lineRule="auto"/>
        <w:jc w:val="both"/>
      </w:pPr>
    </w:p>
    <w:p w14:paraId="3A63FD46" w14:textId="77777777" w:rsidR="00A6188B" w:rsidRDefault="00A6188B" w:rsidP="00A6188B">
      <w:pPr>
        <w:spacing w:line="360" w:lineRule="auto"/>
        <w:jc w:val="both"/>
        <w:rPr>
          <w:b/>
          <w:bCs/>
          <w:color w:val="000000"/>
        </w:rPr>
      </w:pPr>
      <w:r w:rsidRPr="00BE2C92">
        <w:rPr>
          <w:b/>
          <w:bCs/>
          <w:color w:val="000000"/>
        </w:rPr>
        <w:lastRenderedPageBreak/>
        <w:t>Acknowledgments</w:t>
      </w:r>
      <w:r>
        <w:rPr>
          <w:b/>
          <w:bCs/>
          <w:color w:val="000000"/>
        </w:rPr>
        <w:t>:</w:t>
      </w:r>
    </w:p>
    <w:p w14:paraId="5830B81E" w14:textId="3D6DDA7F" w:rsidR="00A6188B" w:rsidRPr="00A6188B" w:rsidRDefault="00A6188B" w:rsidP="00A6188B">
      <w:pPr>
        <w:spacing w:line="360" w:lineRule="auto"/>
        <w:jc w:val="both"/>
        <w:rPr>
          <w:b/>
          <w:bCs/>
          <w:color w:val="000000"/>
        </w:rPr>
      </w:pPr>
      <w:r w:rsidRPr="00BE2C92">
        <w:rPr>
          <w:color w:val="000000"/>
        </w:rPr>
        <w:t>Professor Doctor Enver Vardar, working in the department of pathology, helped us to evaluate the pathology preparations of our patients.</w:t>
      </w:r>
    </w:p>
    <w:p w14:paraId="2C9C7BCC" w14:textId="77777777" w:rsidR="00A6188B" w:rsidRPr="00BE2C92" w:rsidRDefault="00A6188B" w:rsidP="00A6188B">
      <w:pPr>
        <w:spacing w:line="360" w:lineRule="auto"/>
        <w:jc w:val="both"/>
        <w:rPr>
          <w:b/>
          <w:bCs/>
          <w:color w:val="000000"/>
        </w:rPr>
      </w:pPr>
    </w:p>
    <w:p w14:paraId="7178020B" w14:textId="77777777" w:rsidR="00A6188B" w:rsidRDefault="00A6188B" w:rsidP="00A6188B">
      <w:pPr>
        <w:shd w:val="clear" w:color="auto" w:fill="FFFFFF"/>
        <w:spacing w:after="160" w:line="360" w:lineRule="auto"/>
        <w:jc w:val="both"/>
        <w:rPr>
          <w:b/>
          <w:bCs/>
          <w:color w:val="212121"/>
        </w:rPr>
      </w:pPr>
      <w:r w:rsidRPr="00E848C7">
        <w:rPr>
          <w:b/>
          <w:bCs/>
          <w:color w:val="212121"/>
        </w:rPr>
        <w:t>Funding:</w:t>
      </w:r>
    </w:p>
    <w:p w14:paraId="60142CEA" w14:textId="5556794A" w:rsidR="00A6188B" w:rsidRPr="00A6188B" w:rsidRDefault="00A6188B" w:rsidP="00A6188B">
      <w:pPr>
        <w:shd w:val="clear" w:color="auto" w:fill="FFFFFF"/>
        <w:spacing w:after="160" w:line="360" w:lineRule="auto"/>
        <w:jc w:val="both"/>
        <w:rPr>
          <w:color w:val="000000"/>
        </w:rPr>
      </w:pPr>
      <w:r w:rsidRPr="00A6188B">
        <w:rPr>
          <w:color w:val="000000"/>
        </w:rPr>
        <w:t>This study was not funded by any organization.</w:t>
      </w:r>
    </w:p>
    <w:p w14:paraId="50DF0E52" w14:textId="18353D61" w:rsidR="00A6188B" w:rsidRDefault="00A6188B" w:rsidP="00D27101">
      <w:pPr>
        <w:spacing w:line="480" w:lineRule="auto"/>
        <w:jc w:val="both"/>
      </w:pPr>
    </w:p>
    <w:p w14:paraId="510A57D1" w14:textId="77777777" w:rsidR="00A6188B" w:rsidRPr="00CD004E" w:rsidRDefault="00A6188B" w:rsidP="00A6188B">
      <w:pPr>
        <w:spacing w:line="480" w:lineRule="auto"/>
        <w:jc w:val="both"/>
        <w:rPr>
          <w:b/>
          <w:bCs/>
          <w:lang w:val="en-US"/>
        </w:rPr>
      </w:pPr>
      <w:r w:rsidRPr="00CD004E">
        <w:rPr>
          <w:b/>
          <w:bCs/>
          <w:lang w:val="en-US"/>
        </w:rPr>
        <w:t>References:</w:t>
      </w:r>
    </w:p>
    <w:p w14:paraId="14D7CDE3" w14:textId="77777777" w:rsidR="00A6188B" w:rsidRPr="00D27101" w:rsidRDefault="00A6188B" w:rsidP="00A6188B">
      <w:pPr>
        <w:widowControl w:val="0"/>
        <w:autoSpaceDE w:val="0"/>
        <w:autoSpaceDN w:val="0"/>
        <w:adjustRightInd w:val="0"/>
        <w:spacing w:line="480" w:lineRule="auto"/>
        <w:ind w:left="640" w:hanging="640"/>
        <w:rPr>
          <w:noProof/>
        </w:rPr>
      </w:pPr>
      <w:r w:rsidRPr="00CD004E">
        <w:rPr>
          <w:b/>
          <w:bCs/>
          <w:lang w:val="en-US"/>
        </w:rPr>
        <w:fldChar w:fldCharType="begin" w:fldLock="1"/>
      </w:r>
      <w:r w:rsidRPr="00CD004E">
        <w:rPr>
          <w:b/>
          <w:bCs/>
          <w:lang w:val="en-US"/>
        </w:rPr>
        <w:instrText xml:space="preserve">ADDIN Mendeley Bibliography CSL_BIBLIOGRAPHY </w:instrText>
      </w:r>
      <w:r w:rsidRPr="00CD004E">
        <w:rPr>
          <w:b/>
          <w:bCs/>
          <w:lang w:val="en-US"/>
        </w:rPr>
        <w:fldChar w:fldCharType="separate"/>
      </w:r>
      <w:r w:rsidRPr="00D27101">
        <w:rPr>
          <w:noProof/>
        </w:rPr>
        <w:t xml:space="preserve">1. </w:t>
      </w:r>
      <w:r w:rsidRPr="00D27101">
        <w:rPr>
          <w:noProof/>
        </w:rPr>
        <w:tab/>
        <w:t xml:space="preserve">Siegel RL, Miller KD, Fuchs HE, Jemal A. Cancer Statistics, 2021. </w:t>
      </w:r>
      <w:r w:rsidRPr="00D27101">
        <w:rPr>
          <w:i/>
          <w:iCs/>
          <w:noProof/>
        </w:rPr>
        <w:t>CA Cancer J Clin</w:t>
      </w:r>
      <w:r w:rsidRPr="00D27101">
        <w:rPr>
          <w:noProof/>
        </w:rPr>
        <w:t>. 2021;71(1):7-33. doi:10.3322/caac.21654</w:t>
      </w:r>
    </w:p>
    <w:p w14:paraId="36023297"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2. </w:t>
      </w:r>
      <w:r w:rsidRPr="00D27101">
        <w:rPr>
          <w:noProof/>
        </w:rPr>
        <w:tab/>
        <w:t xml:space="preserve">Bell KJL, Del Mar C, Wright G, Dickinson J, Glasziou P. Prevalence of incidental prostate cancer: A systematic review of autopsy studies. </w:t>
      </w:r>
      <w:r w:rsidRPr="00D27101">
        <w:rPr>
          <w:i/>
          <w:iCs/>
          <w:noProof/>
        </w:rPr>
        <w:t>Int J Cancer</w:t>
      </w:r>
      <w:r w:rsidRPr="00D27101">
        <w:rPr>
          <w:noProof/>
        </w:rPr>
        <w:t>. 2015. doi:10.1002/ijc.29538</w:t>
      </w:r>
    </w:p>
    <w:p w14:paraId="0D5B9C62"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3. </w:t>
      </w:r>
      <w:r w:rsidRPr="00D27101">
        <w:rPr>
          <w:noProof/>
        </w:rPr>
        <w:tab/>
        <w:t xml:space="preserve">Drost FJH, Rannikko A, Valdagni R, et al. Can active surveillance really reduce the harms of overdiagnosing prostate cancer? A reflection of real life clinical practice in the PRIAS study. </w:t>
      </w:r>
      <w:r w:rsidRPr="00D27101">
        <w:rPr>
          <w:i/>
          <w:iCs/>
          <w:noProof/>
        </w:rPr>
        <w:t>Transl Androl Urol</w:t>
      </w:r>
      <w:r w:rsidRPr="00D27101">
        <w:rPr>
          <w:noProof/>
        </w:rPr>
        <w:t>. 2018;7(1):98-105. doi:10.21037/tau.2017.12.28</w:t>
      </w:r>
    </w:p>
    <w:p w14:paraId="0E8B00B2"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4. </w:t>
      </w:r>
      <w:r w:rsidRPr="00D27101">
        <w:rPr>
          <w:noProof/>
        </w:rPr>
        <w:tab/>
        <w:t xml:space="preserve">Bill-Axelson A, Holmberg L, Ruutu M, et al. Re: Radical prostatectomy versus watchful waiting in early prostate cancer. </w:t>
      </w:r>
      <w:r w:rsidRPr="00D27101">
        <w:rPr>
          <w:i/>
          <w:iCs/>
          <w:noProof/>
        </w:rPr>
        <w:t>J Urol</w:t>
      </w:r>
      <w:r w:rsidRPr="00D27101">
        <w:rPr>
          <w:noProof/>
        </w:rPr>
        <w:t>. 2011. doi:10.1016/j.juro.2011.08.055</w:t>
      </w:r>
    </w:p>
    <w:p w14:paraId="05A65CC6"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5. </w:t>
      </w:r>
      <w:r w:rsidRPr="00D27101">
        <w:rPr>
          <w:noProof/>
        </w:rPr>
        <w:tab/>
        <w:t xml:space="preserve">Lu-Yao GL, Albertsen PC, Moore DF, Lin Y, Dipaola RS, Yao SL. Fifteen-year outcomes following conservative management among men aged 65 years or older with localized prostate cancer. </w:t>
      </w:r>
      <w:r w:rsidRPr="00D27101">
        <w:rPr>
          <w:i/>
          <w:iCs/>
          <w:noProof/>
        </w:rPr>
        <w:t>Eur Urol</w:t>
      </w:r>
      <w:r w:rsidRPr="00D27101">
        <w:rPr>
          <w:noProof/>
        </w:rPr>
        <w:t>. 2015. doi:10.1016/j.eururo.2015.03.021</w:t>
      </w:r>
    </w:p>
    <w:p w14:paraId="5A41BC91"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6. </w:t>
      </w:r>
      <w:r w:rsidRPr="00D27101">
        <w:rPr>
          <w:noProof/>
        </w:rPr>
        <w:tab/>
        <w:t xml:space="preserve">Mottet N, Bergh RCN Van Den, Vice-chair PC, et al. EAU-ESUR-ESTRO-SIOG Guidelines on Prostate Cancer/ Guias Europeas. </w:t>
      </w:r>
      <w:r w:rsidRPr="00D27101">
        <w:rPr>
          <w:i/>
          <w:iCs/>
          <w:noProof/>
        </w:rPr>
        <w:t>Eur Assoc Urol 2018</w:t>
      </w:r>
      <w:r w:rsidRPr="00D27101">
        <w:rPr>
          <w:noProof/>
        </w:rPr>
        <w:t>. 2018:1-145. http://uroweb.org/guidelines/compilations-of-all-guidelines/.</w:t>
      </w:r>
    </w:p>
    <w:p w14:paraId="26EC0010"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7. </w:t>
      </w:r>
      <w:r w:rsidRPr="00D27101">
        <w:rPr>
          <w:noProof/>
        </w:rPr>
        <w:tab/>
        <w:t xml:space="preserve">Gilbert SM, Cavallo CB, Kahane H, Lowe FC. Evidence suggesting PSA cutpoint of 2.5 ng/mL for prompting prostate biopsy: Review of 36,316 biopsies. </w:t>
      </w:r>
      <w:r w:rsidRPr="00D27101">
        <w:rPr>
          <w:i/>
          <w:iCs/>
          <w:noProof/>
        </w:rPr>
        <w:t>Urology</w:t>
      </w:r>
      <w:r w:rsidRPr="00D27101">
        <w:rPr>
          <w:noProof/>
        </w:rPr>
        <w:t xml:space="preserve">. </w:t>
      </w:r>
      <w:r w:rsidRPr="00D27101">
        <w:rPr>
          <w:noProof/>
        </w:rPr>
        <w:lastRenderedPageBreak/>
        <w:t>2005;65(3):549-553. doi:10.1016/j.urology.2004.10.064</w:t>
      </w:r>
    </w:p>
    <w:p w14:paraId="46CB232E"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8. </w:t>
      </w:r>
      <w:r w:rsidRPr="00D27101">
        <w:rPr>
          <w:noProof/>
        </w:rPr>
        <w:tab/>
        <w:t xml:space="preserve">Yacoub JH, Oto A, Miller FH. MR Imaging of the prostate. </w:t>
      </w:r>
      <w:r w:rsidRPr="00D27101">
        <w:rPr>
          <w:i/>
          <w:iCs/>
          <w:noProof/>
        </w:rPr>
        <w:t>Radiol Clin North Am</w:t>
      </w:r>
      <w:r w:rsidRPr="00D27101">
        <w:rPr>
          <w:noProof/>
        </w:rPr>
        <w:t>. 2014;52(4):811-837. doi:10.1016/j.rcl.2014.02.010</w:t>
      </w:r>
    </w:p>
    <w:p w14:paraId="7A116C7B"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9. </w:t>
      </w:r>
      <w:r w:rsidRPr="00D27101">
        <w:rPr>
          <w:noProof/>
        </w:rPr>
        <w:tab/>
        <w:t xml:space="preserve">Barrett T, Rajesh A, Rosenkrantz AB, Choyke PL, Turkbey B. PI-RADS version 2.1: one small step for prostate MRI. </w:t>
      </w:r>
      <w:r w:rsidRPr="00D27101">
        <w:rPr>
          <w:i/>
          <w:iCs/>
          <w:noProof/>
        </w:rPr>
        <w:t>Clin Radiol</w:t>
      </w:r>
      <w:r w:rsidRPr="00D27101">
        <w:rPr>
          <w:noProof/>
        </w:rPr>
        <w:t>. 2019;(xxxx):1-12. doi:10.1016/j.crad.2019.05.019</w:t>
      </w:r>
    </w:p>
    <w:p w14:paraId="097BA38C"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10. </w:t>
      </w:r>
      <w:r w:rsidRPr="00D27101">
        <w:rPr>
          <w:noProof/>
        </w:rPr>
        <w:tab/>
        <w:t xml:space="preserve">Dinh AH, Melodelima C, Souchon R, et al. Quantitative analysis of prostate multiparametric MR images for detection of aggressive prostate cancer in the peripheral zone: A multiple imager study. </w:t>
      </w:r>
      <w:r w:rsidRPr="00D27101">
        <w:rPr>
          <w:i/>
          <w:iCs/>
          <w:noProof/>
        </w:rPr>
        <w:t>Radiology</w:t>
      </w:r>
      <w:r w:rsidRPr="00D27101">
        <w:rPr>
          <w:noProof/>
        </w:rPr>
        <w:t>. 2016;280(1):117-127. doi:10.1148/radiol.2016151406</w:t>
      </w:r>
    </w:p>
    <w:p w14:paraId="673DE4E2"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11. </w:t>
      </w:r>
      <w:r w:rsidRPr="00D27101">
        <w:rPr>
          <w:noProof/>
        </w:rPr>
        <w:tab/>
        <w:t xml:space="preserve">Seitz M, Stanislaus P, Stief C. Detection of prostate cancer: Quantitative multiparamotric mr imaging models developed using registered correlative histopathology. </w:t>
      </w:r>
      <w:r w:rsidRPr="00D27101">
        <w:rPr>
          <w:i/>
          <w:iCs/>
          <w:noProof/>
        </w:rPr>
        <w:t>MMW Fortschr Med</w:t>
      </w:r>
      <w:r w:rsidRPr="00D27101">
        <w:rPr>
          <w:noProof/>
        </w:rPr>
        <w:t>. 2008;150(28-31):1-12.</w:t>
      </w:r>
    </w:p>
    <w:p w14:paraId="4C82A6B1"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12. </w:t>
      </w:r>
      <w:r w:rsidRPr="00D27101">
        <w:rPr>
          <w:noProof/>
        </w:rPr>
        <w:tab/>
        <w:t xml:space="preserve">Epstein JI, Egevad L, Amin MB, Delahunt B, Srigley JR, Humphrey PA. The 2014 international society of urological pathology (ISUP) consensus conference on gleason grading of prostatic carcinoma definition of grading patterns and proposal for a new grading system. </w:t>
      </w:r>
      <w:r w:rsidRPr="00D27101">
        <w:rPr>
          <w:i/>
          <w:iCs/>
          <w:noProof/>
        </w:rPr>
        <w:t>Am J Surg Pathol</w:t>
      </w:r>
      <w:r w:rsidRPr="00D27101">
        <w:rPr>
          <w:noProof/>
        </w:rPr>
        <w:t>. 2016;40(2):244-252. doi:10.1097/PAS.0000000000000530</w:t>
      </w:r>
    </w:p>
    <w:p w14:paraId="4B41A00E"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13. </w:t>
      </w:r>
      <w:r w:rsidRPr="00D27101">
        <w:rPr>
          <w:noProof/>
        </w:rPr>
        <w:tab/>
        <w:t xml:space="preserve">Itou Y, Nakanishi K, Narumi Y, Nishizawa Y, Tsukuma H. Clinical utility of apparent diffusion coefficient (ADC) values in patients with prostate cancer: Can ADC values contribute to assess the aggressiveness of prostate cancer? </w:t>
      </w:r>
      <w:r w:rsidRPr="00D27101">
        <w:rPr>
          <w:i/>
          <w:iCs/>
          <w:noProof/>
        </w:rPr>
        <w:t>J Magn Reson Imaging</w:t>
      </w:r>
      <w:r w:rsidRPr="00D27101">
        <w:rPr>
          <w:noProof/>
        </w:rPr>
        <w:t>. 2011. doi:10.1002/jmri.22317</w:t>
      </w:r>
    </w:p>
    <w:p w14:paraId="2FA60511"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14. </w:t>
      </w:r>
      <w:r w:rsidRPr="00D27101">
        <w:rPr>
          <w:noProof/>
        </w:rPr>
        <w:tab/>
        <w:t xml:space="preserve">Brown AM, Elbuluk O, Mertan F, et al. Recent advances in image-guided targeted prostate biopsy. </w:t>
      </w:r>
      <w:r w:rsidRPr="00D27101">
        <w:rPr>
          <w:i/>
          <w:iCs/>
          <w:noProof/>
        </w:rPr>
        <w:t>Abdom Imaging</w:t>
      </w:r>
      <w:r w:rsidRPr="00D27101">
        <w:rPr>
          <w:noProof/>
        </w:rPr>
        <w:t>. 2015;40(6):1788-1799. doi:10.1007/s00261-015-0353-8</w:t>
      </w:r>
    </w:p>
    <w:p w14:paraId="0F1D17B3"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lastRenderedPageBreak/>
        <w:t xml:space="preserve">15. </w:t>
      </w:r>
      <w:r w:rsidRPr="00D27101">
        <w:rPr>
          <w:noProof/>
        </w:rPr>
        <w:tab/>
        <w:t xml:space="preserve">Alessandrino F, Taghipour M, Hassanzadeh E, et al. Predictive role of PI-RADSv2 and ADC parameters in differentiating Gleason pattern 3 + 4 and 4 + 3 prostate cancer. </w:t>
      </w:r>
      <w:r w:rsidRPr="00D27101">
        <w:rPr>
          <w:i/>
          <w:iCs/>
          <w:noProof/>
        </w:rPr>
        <w:t>Abdom Radiol</w:t>
      </w:r>
      <w:r w:rsidRPr="00D27101">
        <w:rPr>
          <w:noProof/>
        </w:rPr>
        <w:t>. 2019. doi:10.1007/s00261-018-1718-6</w:t>
      </w:r>
    </w:p>
    <w:p w14:paraId="6A22DC2E"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16. </w:t>
      </w:r>
      <w:r w:rsidRPr="00D27101">
        <w:rPr>
          <w:noProof/>
        </w:rPr>
        <w:tab/>
        <w:t>Costa DN, Aziz M, Passoni N, et al. Prospective Inclusion of Apparent Diffusion Coefficients in Multiparametric Prostate MRI Structured Reports: Discrimination of Clinically Insignificant and Significant Cancers. 2019;(January):1-8.</w:t>
      </w:r>
    </w:p>
    <w:p w14:paraId="5665CCB7"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17. </w:t>
      </w:r>
      <w:r w:rsidRPr="00D27101">
        <w:rPr>
          <w:noProof/>
        </w:rPr>
        <w:tab/>
        <w:t xml:space="preserve">De Rooij M, Hamoen EHJ, Fütterer JJ, Barentsz JO, Rovers MM. Accuracy of multiparametric MRI for prostate cancer detection: A meta-analysis. </w:t>
      </w:r>
      <w:r w:rsidRPr="00D27101">
        <w:rPr>
          <w:i/>
          <w:iCs/>
          <w:noProof/>
        </w:rPr>
        <w:t>Am J Roentgenol</w:t>
      </w:r>
      <w:r w:rsidRPr="00D27101">
        <w:rPr>
          <w:noProof/>
        </w:rPr>
        <w:t>. 2014;202(2):343-351. doi:10.2214/AJR.13.11046</w:t>
      </w:r>
    </w:p>
    <w:p w14:paraId="1A6B79ED"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18. </w:t>
      </w:r>
      <w:r w:rsidRPr="00D27101">
        <w:rPr>
          <w:noProof/>
        </w:rPr>
        <w:tab/>
        <w:t>PI-RADS. PI-RADS v2.1 - ACR. 2019.</w:t>
      </w:r>
    </w:p>
    <w:p w14:paraId="28312CBA"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19. </w:t>
      </w:r>
      <w:r w:rsidRPr="00D27101">
        <w:rPr>
          <w:noProof/>
        </w:rPr>
        <w:tab/>
        <w:t xml:space="preserve">Zelhof B, Pickles M, Liney G, et al. Correlation of diffusion-weighted magnetic resonance data with cellularity in prostate cancer. </w:t>
      </w:r>
      <w:r w:rsidRPr="00D27101">
        <w:rPr>
          <w:i/>
          <w:iCs/>
          <w:noProof/>
        </w:rPr>
        <w:t>BJU Int</w:t>
      </w:r>
      <w:r w:rsidRPr="00D27101">
        <w:rPr>
          <w:noProof/>
        </w:rPr>
        <w:t>. 2009. doi:10.1111/j.1464-410X.2008.08130.x</w:t>
      </w:r>
    </w:p>
    <w:p w14:paraId="018D94D2"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20. </w:t>
      </w:r>
      <w:r w:rsidRPr="00D27101">
        <w:rPr>
          <w:noProof/>
        </w:rPr>
        <w:tab/>
        <w:t xml:space="preserve">Gibbs P, Tozer DJ, Liney GP, Turnbull LW. Comparison of quantitative T2 mapping and diffusion-weighted imaging in the normal and pathologic prostate. </w:t>
      </w:r>
      <w:r w:rsidRPr="00D27101">
        <w:rPr>
          <w:i/>
          <w:iCs/>
          <w:noProof/>
        </w:rPr>
        <w:t>Magn Reson Med</w:t>
      </w:r>
      <w:r w:rsidRPr="00D27101">
        <w:rPr>
          <w:noProof/>
        </w:rPr>
        <w:t>. 2001. doi:10.1002/mrm.1298</w:t>
      </w:r>
    </w:p>
    <w:p w14:paraId="2F92E713"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21. </w:t>
      </w:r>
      <w:r w:rsidRPr="00D27101">
        <w:rPr>
          <w:noProof/>
        </w:rPr>
        <w:tab/>
        <w:t xml:space="preserve">Verma S, Rajesh A, Morales H, et al. Assessment of aggressiveness of prostate cancer: Correlation of apparent diffusion coefficient with histologic grade after radical prostatectomy. </w:t>
      </w:r>
      <w:r w:rsidRPr="00D27101">
        <w:rPr>
          <w:i/>
          <w:iCs/>
          <w:noProof/>
        </w:rPr>
        <w:t>Am J Roentgenol</w:t>
      </w:r>
      <w:r w:rsidRPr="00D27101">
        <w:rPr>
          <w:noProof/>
        </w:rPr>
        <w:t>. 2011. doi:10.2214/AJR.10.4441</w:t>
      </w:r>
    </w:p>
    <w:p w14:paraId="31B792E1"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22. </w:t>
      </w:r>
      <w:r w:rsidRPr="00D27101">
        <w:rPr>
          <w:noProof/>
        </w:rPr>
        <w:tab/>
        <w:t xml:space="preserve">Vargas HA, Akin O, Franiel T, et al. Diffusion-weighted endorectal MR imaging at 3 T for prostate cancer: Tumor detection and assessment of aggressiveness. </w:t>
      </w:r>
      <w:r w:rsidRPr="00D27101">
        <w:rPr>
          <w:i/>
          <w:iCs/>
          <w:noProof/>
        </w:rPr>
        <w:t>Radiology</w:t>
      </w:r>
      <w:r w:rsidRPr="00D27101">
        <w:rPr>
          <w:noProof/>
        </w:rPr>
        <w:t>. 2011. doi:10.1148/radiol.11102066</w:t>
      </w:r>
    </w:p>
    <w:p w14:paraId="6A8A91F2"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23. </w:t>
      </w:r>
      <w:r w:rsidRPr="00D27101">
        <w:rPr>
          <w:noProof/>
        </w:rPr>
        <w:tab/>
        <w:t xml:space="preserve">Tamada T, Prabhu V, Li J, Babb JS, Taneja SS, Rosenkrantz AB. Assessment of prostate cancer aggressiveness using apparent diffusion coefficient values: impact of patient race and age. </w:t>
      </w:r>
      <w:r w:rsidRPr="00D27101">
        <w:rPr>
          <w:i/>
          <w:iCs/>
          <w:noProof/>
        </w:rPr>
        <w:t>Abdom Radiol</w:t>
      </w:r>
      <w:r w:rsidRPr="00D27101">
        <w:rPr>
          <w:noProof/>
        </w:rPr>
        <w:t>. 2017. doi:10.1007/s00261-017-1058-y</w:t>
      </w:r>
    </w:p>
    <w:p w14:paraId="610DEF0E"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lastRenderedPageBreak/>
        <w:t xml:space="preserve">24. </w:t>
      </w:r>
      <w:r w:rsidRPr="00D27101">
        <w:rPr>
          <w:noProof/>
        </w:rPr>
        <w:tab/>
        <w:t xml:space="preserve">Manetta R, Palumbo P, Gianneramo C, et al. Correlation between ADC values and Gleason score in evaluation of prostate cancer: Multicentre experience and review of the literature. </w:t>
      </w:r>
      <w:r w:rsidRPr="00D27101">
        <w:rPr>
          <w:i/>
          <w:iCs/>
          <w:noProof/>
        </w:rPr>
        <w:t>Gland Surg</w:t>
      </w:r>
      <w:r w:rsidRPr="00D27101">
        <w:rPr>
          <w:noProof/>
        </w:rPr>
        <w:t>. 2019. doi:10.21037/gs.2019.05.02</w:t>
      </w:r>
    </w:p>
    <w:p w14:paraId="6E98D116"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25. </w:t>
      </w:r>
      <w:r w:rsidRPr="00D27101">
        <w:rPr>
          <w:noProof/>
        </w:rPr>
        <w:tab/>
        <w:t xml:space="preserve">Currin S, Flood TA, Krishna S, Ansari A, McInnes MDF, Schieda N. Intraductal carcinoma of the prostate (IDC-P) lowers apparent diffusion coefficient (ADC) values among intermediate risk prostate cancers. </w:t>
      </w:r>
      <w:r w:rsidRPr="00D27101">
        <w:rPr>
          <w:i/>
          <w:iCs/>
          <w:noProof/>
        </w:rPr>
        <w:t>J Magn Reson Imaging</w:t>
      </w:r>
      <w:r w:rsidRPr="00D27101">
        <w:rPr>
          <w:noProof/>
        </w:rPr>
        <w:t>. 2019. doi:10.1002/jmri.26594</w:t>
      </w:r>
    </w:p>
    <w:p w14:paraId="779A337F"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26. </w:t>
      </w:r>
      <w:r w:rsidRPr="00D27101">
        <w:rPr>
          <w:noProof/>
        </w:rPr>
        <w:tab/>
        <w:t xml:space="preserve">Wu X, Reinikainen P, Vanhanen A, et al. Correlation between apparent diffusion coefficient value on diffusion-weighted MR imaging and Gleason score in prostate cancer. </w:t>
      </w:r>
      <w:r w:rsidRPr="00D27101">
        <w:rPr>
          <w:i/>
          <w:iCs/>
          <w:noProof/>
        </w:rPr>
        <w:t>Diagn Interv Imaging</w:t>
      </w:r>
      <w:r w:rsidRPr="00D27101">
        <w:rPr>
          <w:noProof/>
        </w:rPr>
        <w:t>. 2017. doi:10.1016/j.diii.2016.08.009</w:t>
      </w:r>
    </w:p>
    <w:p w14:paraId="71B68EBD"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27. </w:t>
      </w:r>
      <w:r w:rsidRPr="00D27101">
        <w:rPr>
          <w:noProof/>
        </w:rPr>
        <w:tab/>
        <w:t xml:space="preserve">De Cobelli F, Ravelli S, Esposito A, et al. Apparent diffusion coefficient value and ratio as noninvasive potential biomarkers to predict prostate cancer grading: Comparison with prostate biopsy and radical prostatectomy specimen. </w:t>
      </w:r>
      <w:r w:rsidRPr="00D27101">
        <w:rPr>
          <w:i/>
          <w:iCs/>
          <w:noProof/>
        </w:rPr>
        <w:t>Am J Roentgenol</w:t>
      </w:r>
      <w:r w:rsidRPr="00D27101">
        <w:rPr>
          <w:noProof/>
        </w:rPr>
        <w:t>. 2015. doi:10.2214/AJR.14.13146</w:t>
      </w:r>
    </w:p>
    <w:p w14:paraId="038ECF64"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28. </w:t>
      </w:r>
      <w:r w:rsidRPr="00D27101">
        <w:rPr>
          <w:noProof/>
        </w:rPr>
        <w:tab/>
        <w:t xml:space="preserve">Hambrock T, Somford DM, Huisman HJ, et al. Relationship between apparent diffusion coefficients at 3.0-T mr imaging and gleason grade in peripheral zone prostate cancer. </w:t>
      </w:r>
      <w:r w:rsidRPr="00D27101">
        <w:rPr>
          <w:i/>
          <w:iCs/>
          <w:noProof/>
        </w:rPr>
        <w:t>Radiology</w:t>
      </w:r>
      <w:r w:rsidRPr="00D27101">
        <w:rPr>
          <w:noProof/>
        </w:rPr>
        <w:t>. 2011. doi:10.1148/radiol.11091409</w:t>
      </w:r>
    </w:p>
    <w:p w14:paraId="18B6E401"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29. </w:t>
      </w:r>
      <w:r w:rsidRPr="00D27101">
        <w:rPr>
          <w:noProof/>
        </w:rPr>
        <w:tab/>
        <w:t xml:space="preserve">Pepe P, D’urso D, Garufi A, et al. Multiparametric MRI Apparent Diffusion Coefficient (ADC) accuracy in diagnosing clinically significant prostate cancer. </w:t>
      </w:r>
      <w:r w:rsidRPr="00D27101">
        <w:rPr>
          <w:i/>
          <w:iCs/>
          <w:noProof/>
        </w:rPr>
        <w:t>In Vivo (Brooklyn)</w:t>
      </w:r>
      <w:r w:rsidRPr="00D27101">
        <w:rPr>
          <w:noProof/>
        </w:rPr>
        <w:t>. 2017. doi:10.21873/invivo.11075</w:t>
      </w:r>
    </w:p>
    <w:p w14:paraId="3B55C870"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30. </w:t>
      </w:r>
      <w:r w:rsidRPr="00D27101">
        <w:rPr>
          <w:noProof/>
        </w:rPr>
        <w:tab/>
        <w:t xml:space="preserve">Shaish H, Kang SK, Rosenkrantz AB. The utility of quantitative ADC values for differentiating high-risk from low-risk prostate cancer: a systematic review and meta-analysis. </w:t>
      </w:r>
      <w:r w:rsidRPr="00D27101">
        <w:rPr>
          <w:i/>
          <w:iCs/>
          <w:noProof/>
        </w:rPr>
        <w:t>Abdom Radiol</w:t>
      </w:r>
      <w:r w:rsidRPr="00D27101">
        <w:rPr>
          <w:noProof/>
        </w:rPr>
        <w:t>. 2017. doi:10.1007/s00261-016-0848-y</w:t>
      </w:r>
    </w:p>
    <w:p w14:paraId="64F754DD"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31. </w:t>
      </w:r>
      <w:r w:rsidRPr="00D27101">
        <w:rPr>
          <w:noProof/>
        </w:rPr>
        <w:tab/>
        <w:t xml:space="preserve">Sureka B, Elhence P, Khera PS, et al. Quantitative contrast-enhanced perfusion kinetics in multiparametric mri in diferentiating prostate cancer from chronic prostatitis: Results </w:t>
      </w:r>
      <w:r w:rsidRPr="00D27101">
        <w:rPr>
          <w:noProof/>
        </w:rPr>
        <w:lastRenderedPageBreak/>
        <w:t xml:space="preserve">from a pilot study. </w:t>
      </w:r>
      <w:r w:rsidRPr="00D27101">
        <w:rPr>
          <w:i/>
          <w:iCs/>
          <w:noProof/>
        </w:rPr>
        <w:t>Br J Radiol</w:t>
      </w:r>
      <w:r w:rsidRPr="00D27101">
        <w:rPr>
          <w:noProof/>
        </w:rPr>
        <w:t>. 2019;92(1100). doi:10.1259/bjr.20190181</w:t>
      </w:r>
    </w:p>
    <w:p w14:paraId="7F7F9CDD" w14:textId="77777777" w:rsidR="00A6188B" w:rsidRPr="00D27101" w:rsidRDefault="00A6188B" w:rsidP="00A6188B">
      <w:pPr>
        <w:widowControl w:val="0"/>
        <w:autoSpaceDE w:val="0"/>
        <w:autoSpaceDN w:val="0"/>
        <w:adjustRightInd w:val="0"/>
        <w:spacing w:line="480" w:lineRule="auto"/>
        <w:ind w:left="640" w:hanging="640"/>
        <w:rPr>
          <w:noProof/>
        </w:rPr>
      </w:pPr>
      <w:r w:rsidRPr="00D27101">
        <w:rPr>
          <w:noProof/>
        </w:rPr>
        <w:t xml:space="preserve">32. </w:t>
      </w:r>
      <w:r w:rsidRPr="00D27101">
        <w:rPr>
          <w:noProof/>
        </w:rPr>
        <w:tab/>
        <w:t xml:space="preserve">Shukla-Dave A, Hricak H, Eberhardt SC, et al. Chronic prostatitis: MR imaging and 1H MR spectroscopic imaging findings - Initial observations. </w:t>
      </w:r>
      <w:r w:rsidRPr="00D27101">
        <w:rPr>
          <w:i/>
          <w:iCs/>
          <w:noProof/>
        </w:rPr>
        <w:t>Radiology</w:t>
      </w:r>
      <w:r w:rsidRPr="00D27101">
        <w:rPr>
          <w:noProof/>
        </w:rPr>
        <w:t>. 2004. doi:10.1148/radiol.2313031391</w:t>
      </w:r>
    </w:p>
    <w:p w14:paraId="5DB1D0C8" w14:textId="585D9613" w:rsidR="00A6188B" w:rsidRDefault="00A6188B" w:rsidP="00A6188B">
      <w:pPr>
        <w:widowControl w:val="0"/>
        <w:autoSpaceDE w:val="0"/>
        <w:autoSpaceDN w:val="0"/>
        <w:adjustRightInd w:val="0"/>
        <w:spacing w:line="480" w:lineRule="auto"/>
        <w:ind w:left="640" w:hanging="640"/>
        <w:rPr>
          <w:noProof/>
        </w:rPr>
      </w:pPr>
      <w:r w:rsidRPr="00D27101">
        <w:rPr>
          <w:noProof/>
        </w:rPr>
        <w:t xml:space="preserve">33. </w:t>
      </w:r>
      <w:r w:rsidRPr="00D27101">
        <w:rPr>
          <w:noProof/>
        </w:rPr>
        <w:tab/>
        <w:t xml:space="preserve">Esen M, Onur MR, Akpolat N, Orhan I, Kocakoc E. Utility of ADC measurement on diffusion-weighted MRI in differentiation of prostate cancer, normal prostate and prostatitis. </w:t>
      </w:r>
      <w:r w:rsidRPr="00D27101">
        <w:rPr>
          <w:i/>
          <w:iCs/>
          <w:noProof/>
        </w:rPr>
        <w:t>Quant Imaging Med Surg</w:t>
      </w:r>
      <w:r w:rsidRPr="00D27101">
        <w:rPr>
          <w:noProof/>
        </w:rPr>
        <w:t>. 2013. doi:10.3978/j.issn.2223-4292.2013.08.06</w:t>
      </w:r>
    </w:p>
    <w:p w14:paraId="19532C53" w14:textId="26D82254" w:rsidR="00A6188B" w:rsidRDefault="00A6188B" w:rsidP="00A6188B">
      <w:pPr>
        <w:widowControl w:val="0"/>
        <w:autoSpaceDE w:val="0"/>
        <w:autoSpaceDN w:val="0"/>
        <w:adjustRightInd w:val="0"/>
        <w:spacing w:line="480" w:lineRule="auto"/>
        <w:ind w:left="640" w:hanging="640"/>
        <w:rPr>
          <w:noProof/>
        </w:rPr>
      </w:pPr>
    </w:p>
    <w:p w14:paraId="4CA9B081" w14:textId="24E5235A" w:rsidR="00A6188B" w:rsidRDefault="00A6188B" w:rsidP="00A6188B">
      <w:pPr>
        <w:widowControl w:val="0"/>
        <w:autoSpaceDE w:val="0"/>
        <w:autoSpaceDN w:val="0"/>
        <w:adjustRightInd w:val="0"/>
        <w:spacing w:line="480" w:lineRule="auto"/>
        <w:ind w:left="640" w:hanging="640"/>
        <w:rPr>
          <w:noProof/>
        </w:rPr>
      </w:pPr>
    </w:p>
    <w:p w14:paraId="0589E90C" w14:textId="77777777" w:rsidR="00A6188B" w:rsidRPr="00D27101" w:rsidRDefault="00A6188B" w:rsidP="00A6188B">
      <w:pPr>
        <w:widowControl w:val="0"/>
        <w:autoSpaceDE w:val="0"/>
        <w:autoSpaceDN w:val="0"/>
        <w:adjustRightInd w:val="0"/>
        <w:spacing w:line="480" w:lineRule="auto"/>
        <w:ind w:left="640" w:hanging="640"/>
        <w:rPr>
          <w:noProof/>
        </w:rPr>
      </w:pPr>
    </w:p>
    <w:p w14:paraId="4D8060B1" w14:textId="09A3644C" w:rsidR="00A6188B" w:rsidRPr="00CD004E" w:rsidRDefault="00A6188B" w:rsidP="00A6188B">
      <w:pPr>
        <w:spacing w:line="480" w:lineRule="auto"/>
        <w:jc w:val="both"/>
      </w:pPr>
      <w:r w:rsidRPr="00CD004E">
        <w:rPr>
          <w:b/>
          <w:bCs/>
          <w:lang w:val="en-US"/>
        </w:rPr>
        <w:fldChar w:fldCharType="end"/>
      </w:r>
    </w:p>
    <w:p w14:paraId="1C2CAC84" w14:textId="77777777" w:rsidR="00D27101" w:rsidRPr="00CD004E" w:rsidRDefault="00D27101" w:rsidP="00F05A5C">
      <w:pPr>
        <w:rPr>
          <w:sz w:val="28"/>
          <w:szCs w:val="28"/>
        </w:rPr>
      </w:pPr>
    </w:p>
    <w:sectPr w:rsidR="00D27101" w:rsidRPr="00CD004E" w:rsidSect="004F653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4C5FC" w14:textId="77777777" w:rsidR="00DC456E" w:rsidRDefault="00DC456E" w:rsidP="009C360F">
      <w:r>
        <w:separator/>
      </w:r>
    </w:p>
  </w:endnote>
  <w:endnote w:type="continuationSeparator" w:id="0">
    <w:p w14:paraId="2FE23856" w14:textId="77777777" w:rsidR="00DC456E" w:rsidRDefault="00DC456E" w:rsidP="009C3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Liberation Serif">
    <w:altName w:val="Times New Roman"/>
    <w:panose1 w:val="020B0604020202020204"/>
    <w:charset w:val="A2"/>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7503065"/>
      <w:docPartObj>
        <w:docPartGallery w:val="Page Numbers (Bottom of Page)"/>
        <w:docPartUnique/>
      </w:docPartObj>
    </w:sdtPr>
    <w:sdtEndPr/>
    <w:sdtContent>
      <w:p w14:paraId="261F39F7" w14:textId="614E4EC2" w:rsidR="00694D0F" w:rsidRDefault="00694D0F">
        <w:pPr>
          <w:pStyle w:val="AltBilgi"/>
          <w:jc w:val="right"/>
        </w:pPr>
        <w:r>
          <w:fldChar w:fldCharType="begin"/>
        </w:r>
        <w:r>
          <w:instrText>PAGE   \* MERGEFORMAT</w:instrText>
        </w:r>
        <w:r>
          <w:fldChar w:fldCharType="separate"/>
        </w:r>
        <w:r>
          <w:t>2</w:t>
        </w:r>
        <w:r>
          <w:fldChar w:fldCharType="end"/>
        </w:r>
      </w:p>
    </w:sdtContent>
  </w:sdt>
  <w:p w14:paraId="1E961FA6" w14:textId="77777777" w:rsidR="00694D0F" w:rsidRDefault="00694D0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264CF" w14:textId="77777777" w:rsidR="00DC456E" w:rsidRDefault="00DC456E" w:rsidP="009C360F">
      <w:r>
        <w:separator/>
      </w:r>
    </w:p>
  </w:footnote>
  <w:footnote w:type="continuationSeparator" w:id="0">
    <w:p w14:paraId="62F11CC2" w14:textId="77777777" w:rsidR="00DC456E" w:rsidRDefault="00DC456E" w:rsidP="009C36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03259"/>
    <w:multiLevelType w:val="hybridMultilevel"/>
    <w:tmpl w:val="1D1058DE"/>
    <w:lvl w:ilvl="0" w:tplc="FAC053B0">
      <w:start w:val="1"/>
      <w:numFmt w:val="decimal"/>
      <w:lvlText w:val="%1."/>
      <w:lvlJc w:val="left"/>
      <w:pPr>
        <w:ind w:left="1068" w:hanging="360"/>
      </w:pPr>
      <w:rPr>
        <w:rFonts w:hint="default"/>
        <w:u w:val="none"/>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activeWritingStyle w:appName="MSWord" w:lang="tr-TR" w:vendorID="64" w:dllVersion="0" w:nlCheck="1" w:checkStyle="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A618C"/>
    <w:rsid w:val="000015FA"/>
    <w:rsid w:val="0000162C"/>
    <w:rsid w:val="000062C7"/>
    <w:rsid w:val="000073A2"/>
    <w:rsid w:val="00010821"/>
    <w:rsid w:val="0001150A"/>
    <w:rsid w:val="00011E06"/>
    <w:rsid w:val="00012227"/>
    <w:rsid w:val="00024449"/>
    <w:rsid w:val="00032C50"/>
    <w:rsid w:val="0003641D"/>
    <w:rsid w:val="00037852"/>
    <w:rsid w:val="0004259D"/>
    <w:rsid w:val="00046DA8"/>
    <w:rsid w:val="000506DC"/>
    <w:rsid w:val="00051EF3"/>
    <w:rsid w:val="000601CB"/>
    <w:rsid w:val="000622AC"/>
    <w:rsid w:val="000714BD"/>
    <w:rsid w:val="00080859"/>
    <w:rsid w:val="00081769"/>
    <w:rsid w:val="00081B77"/>
    <w:rsid w:val="00082656"/>
    <w:rsid w:val="00092DBB"/>
    <w:rsid w:val="00093096"/>
    <w:rsid w:val="000A3DD2"/>
    <w:rsid w:val="000A73CA"/>
    <w:rsid w:val="000B042F"/>
    <w:rsid w:val="000C038B"/>
    <w:rsid w:val="000D530F"/>
    <w:rsid w:val="000D6957"/>
    <w:rsid w:val="000E19BB"/>
    <w:rsid w:val="000E1FB9"/>
    <w:rsid w:val="000E2537"/>
    <w:rsid w:val="000E3831"/>
    <w:rsid w:val="000F1B6E"/>
    <w:rsid w:val="000F1CA9"/>
    <w:rsid w:val="000F21EF"/>
    <w:rsid w:val="000F2F96"/>
    <w:rsid w:val="000F4320"/>
    <w:rsid w:val="000F4AC8"/>
    <w:rsid w:val="00105FDA"/>
    <w:rsid w:val="00107265"/>
    <w:rsid w:val="00116584"/>
    <w:rsid w:val="001217B7"/>
    <w:rsid w:val="00123495"/>
    <w:rsid w:val="00124EAF"/>
    <w:rsid w:val="00126803"/>
    <w:rsid w:val="00127D35"/>
    <w:rsid w:val="00130FEA"/>
    <w:rsid w:val="00132145"/>
    <w:rsid w:val="00132C88"/>
    <w:rsid w:val="00140210"/>
    <w:rsid w:val="001431BD"/>
    <w:rsid w:val="001433B3"/>
    <w:rsid w:val="00147DF2"/>
    <w:rsid w:val="001500A6"/>
    <w:rsid w:val="00151626"/>
    <w:rsid w:val="001516BA"/>
    <w:rsid w:val="001526A7"/>
    <w:rsid w:val="00163AF6"/>
    <w:rsid w:val="00164DAD"/>
    <w:rsid w:val="00171292"/>
    <w:rsid w:val="00174651"/>
    <w:rsid w:val="00176983"/>
    <w:rsid w:val="001803EE"/>
    <w:rsid w:val="0018051F"/>
    <w:rsid w:val="00182D1F"/>
    <w:rsid w:val="00183C45"/>
    <w:rsid w:val="00192C32"/>
    <w:rsid w:val="00194914"/>
    <w:rsid w:val="001973D9"/>
    <w:rsid w:val="001A0C9E"/>
    <w:rsid w:val="001A0F05"/>
    <w:rsid w:val="001A3AC8"/>
    <w:rsid w:val="001B173A"/>
    <w:rsid w:val="001B2FC4"/>
    <w:rsid w:val="001B7053"/>
    <w:rsid w:val="001C53CF"/>
    <w:rsid w:val="001C6C38"/>
    <w:rsid w:val="001C6C69"/>
    <w:rsid w:val="001D1FE4"/>
    <w:rsid w:val="001D4294"/>
    <w:rsid w:val="001D7555"/>
    <w:rsid w:val="001E6948"/>
    <w:rsid w:val="001F1ACF"/>
    <w:rsid w:val="001F206C"/>
    <w:rsid w:val="001F732E"/>
    <w:rsid w:val="00206E3C"/>
    <w:rsid w:val="002104DE"/>
    <w:rsid w:val="002135CA"/>
    <w:rsid w:val="00214B0C"/>
    <w:rsid w:val="0021686B"/>
    <w:rsid w:val="00217905"/>
    <w:rsid w:val="00221D4B"/>
    <w:rsid w:val="002245E0"/>
    <w:rsid w:val="00224836"/>
    <w:rsid w:val="00225C3A"/>
    <w:rsid w:val="0024134D"/>
    <w:rsid w:val="002422FE"/>
    <w:rsid w:val="00256D78"/>
    <w:rsid w:val="0026177E"/>
    <w:rsid w:val="0026304B"/>
    <w:rsid w:val="00263607"/>
    <w:rsid w:val="00275FA4"/>
    <w:rsid w:val="00277521"/>
    <w:rsid w:val="00280E9F"/>
    <w:rsid w:val="00282779"/>
    <w:rsid w:val="00284E44"/>
    <w:rsid w:val="0028532F"/>
    <w:rsid w:val="00294363"/>
    <w:rsid w:val="002A2F68"/>
    <w:rsid w:val="002A6611"/>
    <w:rsid w:val="002C78E3"/>
    <w:rsid w:val="002D2173"/>
    <w:rsid w:val="002D3E25"/>
    <w:rsid w:val="002D7D07"/>
    <w:rsid w:val="002E0AC7"/>
    <w:rsid w:val="002F2D3E"/>
    <w:rsid w:val="002F3828"/>
    <w:rsid w:val="002F5CAC"/>
    <w:rsid w:val="00300D10"/>
    <w:rsid w:val="00303327"/>
    <w:rsid w:val="00305123"/>
    <w:rsid w:val="003121DF"/>
    <w:rsid w:val="00316768"/>
    <w:rsid w:val="00320C2E"/>
    <w:rsid w:val="00320DD4"/>
    <w:rsid w:val="0032247F"/>
    <w:rsid w:val="00322DBC"/>
    <w:rsid w:val="003263FC"/>
    <w:rsid w:val="00326C1A"/>
    <w:rsid w:val="00332842"/>
    <w:rsid w:val="003370AF"/>
    <w:rsid w:val="00344DBF"/>
    <w:rsid w:val="003525C4"/>
    <w:rsid w:val="00354195"/>
    <w:rsid w:val="00356A8B"/>
    <w:rsid w:val="00356CFC"/>
    <w:rsid w:val="00362186"/>
    <w:rsid w:val="00366993"/>
    <w:rsid w:val="00372F97"/>
    <w:rsid w:val="00373C2A"/>
    <w:rsid w:val="00375C75"/>
    <w:rsid w:val="00381604"/>
    <w:rsid w:val="00394FC4"/>
    <w:rsid w:val="003A3C99"/>
    <w:rsid w:val="003A5BD5"/>
    <w:rsid w:val="003A6BF8"/>
    <w:rsid w:val="003A6F60"/>
    <w:rsid w:val="003A7922"/>
    <w:rsid w:val="003B3D38"/>
    <w:rsid w:val="003C0154"/>
    <w:rsid w:val="003C01A7"/>
    <w:rsid w:val="003C61D9"/>
    <w:rsid w:val="003E22DB"/>
    <w:rsid w:val="003F0605"/>
    <w:rsid w:val="003F28F7"/>
    <w:rsid w:val="003F638B"/>
    <w:rsid w:val="003F6476"/>
    <w:rsid w:val="00403605"/>
    <w:rsid w:val="00410AF9"/>
    <w:rsid w:val="00411C4C"/>
    <w:rsid w:val="00415C75"/>
    <w:rsid w:val="00416247"/>
    <w:rsid w:val="00425D02"/>
    <w:rsid w:val="00427981"/>
    <w:rsid w:val="004345FA"/>
    <w:rsid w:val="004373AA"/>
    <w:rsid w:val="00440C8F"/>
    <w:rsid w:val="00447C6A"/>
    <w:rsid w:val="00451413"/>
    <w:rsid w:val="00452E65"/>
    <w:rsid w:val="00472592"/>
    <w:rsid w:val="00474504"/>
    <w:rsid w:val="0047674C"/>
    <w:rsid w:val="0047732E"/>
    <w:rsid w:val="0048634C"/>
    <w:rsid w:val="00486631"/>
    <w:rsid w:val="00487B06"/>
    <w:rsid w:val="004913C5"/>
    <w:rsid w:val="00494C5B"/>
    <w:rsid w:val="004A1705"/>
    <w:rsid w:val="004A3E61"/>
    <w:rsid w:val="004B11C8"/>
    <w:rsid w:val="004B12F1"/>
    <w:rsid w:val="004B4474"/>
    <w:rsid w:val="004C2207"/>
    <w:rsid w:val="004C5379"/>
    <w:rsid w:val="004C5761"/>
    <w:rsid w:val="004D5F99"/>
    <w:rsid w:val="004D7002"/>
    <w:rsid w:val="004E20B0"/>
    <w:rsid w:val="004E5E57"/>
    <w:rsid w:val="004F16E7"/>
    <w:rsid w:val="004F1F41"/>
    <w:rsid w:val="004F21E9"/>
    <w:rsid w:val="004F47AB"/>
    <w:rsid w:val="004F653D"/>
    <w:rsid w:val="00501808"/>
    <w:rsid w:val="0050566D"/>
    <w:rsid w:val="00506ACA"/>
    <w:rsid w:val="00510FB3"/>
    <w:rsid w:val="00514595"/>
    <w:rsid w:val="00516786"/>
    <w:rsid w:val="0052456A"/>
    <w:rsid w:val="00524774"/>
    <w:rsid w:val="00525E26"/>
    <w:rsid w:val="005311CC"/>
    <w:rsid w:val="00531662"/>
    <w:rsid w:val="00533A24"/>
    <w:rsid w:val="00533ADB"/>
    <w:rsid w:val="005347A3"/>
    <w:rsid w:val="0053749A"/>
    <w:rsid w:val="005450E0"/>
    <w:rsid w:val="00546863"/>
    <w:rsid w:val="00547EBD"/>
    <w:rsid w:val="005533E4"/>
    <w:rsid w:val="0055462B"/>
    <w:rsid w:val="00555502"/>
    <w:rsid w:val="00566B32"/>
    <w:rsid w:val="00567ED3"/>
    <w:rsid w:val="00573965"/>
    <w:rsid w:val="0057611C"/>
    <w:rsid w:val="0058091D"/>
    <w:rsid w:val="005813AE"/>
    <w:rsid w:val="00587E3E"/>
    <w:rsid w:val="00595B53"/>
    <w:rsid w:val="005A2A0F"/>
    <w:rsid w:val="005A34CC"/>
    <w:rsid w:val="005B0DE2"/>
    <w:rsid w:val="005B4F6D"/>
    <w:rsid w:val="005B6075"/>
    <w:rsid w:val="005C1A3E"/>
    <w:rsid w:val="005C523C"/>
    <w:rsid w:val="005C73BC"/>
    <w:rsid w:val="005C7F37"/>
    <w:rsid w:val="005D134E"/>
    <w:rsid w:val="005D14CA"/>
    <w:rsid w:val="005D306A"/>
    <w:rsid w:val="005D422A"/>
    <w:rsid w:val="005D535A"/>
    <w:rsid w:val="005D5775"/>
    <w:rsid w:val="005D7AB7"/>
    <w:rsid w:val="005E05FC"/>
    <w:rsid w:val="005E0839"/>
    <w:rsid w:val="005E0AA7"/>
    <w:rsid w:val="005F0B00"/>
    <w:rsid w:val="005F18AA"/>
    <w:rsid w:val="005F7D62"/>
    <w:rsid w:val="006012FC"/>
    <w:rsid w:val="006072F1"/>
    <w:rsid w:val="00607638"/>
    <w:rsid w:val="00621120"/>
    <w:rsid w:val="00622ED6"/>
    <w:rsid w:val="00624D52"/>
    <w:rsid w:val="00625642"/>
    <w:rsid w:val="00636BB0"/>
    <w:rsid w:val="00637619"/>
    <w:rsid w:val="006403BE"/>
    <w:rsid w:val="00664CEC"/>
    <w:rsid w:val="00672907"/>
    <w:rsid w:val="0067758E"/>
    <w:rsid w:val="006778BF"/>
    <w:rsid w:val="0068606A"/>
    <w:rsid w:val="0069070D"/>
    <w:rsid w:val="00694D0F"/>
    <w:rsid w:val="006A1D42"/>
    <w:rsid w:val="006A79D2"/>
    <w:rsid w:val="006B33B7"/>
    <w:rsid w:val="006B57D2"/>
    <w:rsid w:val="006B5901"/>
    <w:rsid w:val="006C06BB"/>
    <w:rsid w:val="006C202B"/>
    <w:rsid w:val="006C2B94"/>
    <w:rsid w:val="006D2297"/>
    <w:rsid w:val="006D4C67"/>
    <w:rsid w:val="006D67A0"/>
    <w:rsid w:val="006E154B"/>
    <w:rsid w:val="006E7028"/>
    <w:rsid w:val="006F35FF"/>
    <w:rsid w:val="006F6554"/>
    <w:rsid w:val="006F7814"/>
    <w:rsid w:val="00702DB6"/>
    <w:rsid w:val="007034B7"/>
    <w:rsid w:val="00703F1C"/>
    <w:rsid w:val="00706019"/>
    <w:rsid w:val="00714C4A"/>
    <w:rsid w:val="00716DD6"/>
    <w:rsid w:val="00717D13"/>
    <w:rsid w:val="007220F0"/>
    <w:rsid w:val="00726CC4"/>
    <w:rsid w:val="00726F7E"/>
    <w:rsid w:val="00733B6E"/>
    <w:rsid w:val="0074456E"/>
    <w:rsid w:val="00747E4E"/>
    <w:rsid w:val="00756AD9"/>
    <w:rsid w:val="007578E3"/>
    <w:rsid w:val="00764899"/>
    <w:rsid w:val="007672A2"/>
    <w:rsid w:val="00767397"/>
    <w:rsid w:val="00773C07"/>
    <w:rsid w:val="00774EC5"/>
    <w:rsid w:val="00781D6E"/>
    <w:rsid w:val="00783B8A"/>
    <w:rsid w:val="00783F3A"/>
    <w:rsid w:val="00786C84"/>
    <w:rsid w:val="007876BA"/>
    <w:rsid w:val="00791F38"/>
    <w:rsid w:val="00794AA0"/>
    <w:rsid w:val="00797C3E"/>
    <w:rsid w:val="007A0882"/>
    <w:rsid w:val="007A1B46"/>
    <w:rsid w:val="007A679C"/>
    <w:rsid w:val="007B27AC"/>
    <w:rsid w:val="007C35D7"/>
    <w:rsid w:val="007C5E71"/>
    <w:rsid w:val="007C6FF0"/>
    <w:rsid w:val="007D48FA"/>
    <w:rsid w:val="007E2970"/>
    <w:rsid w:val="007F57EF"/>
    <w:rsid w:val="007F7973"/>
    <w:rsid w:val="00802EA3"/>
    <w:rsid w:val="00804EE7"/>
    <w:rsid w:val="00810203"/>
    <w:rsid w:val="008112C7"/>
    <w:rsid w:val="008116E2"/>
    <w:rsid w:val="00811733"/>
    <w:rsid w:val="00814135"/>
    <w:rsid w:val="008144EE"/>
    <w:rsid w:val="0082332D"/>
    <w:rsid w:val="0082677F"/>
    <w:rsid w:val="0083046C"/>
    <w:rsid w:val="00830EA5"/>
    <w:rsid w:val="0083129E"/>
    <w:rsid w:val="008376B0"/>
    <w:rsid w:val="00844285"/>
    <w:rsid w:val="00844B8A"/>
    <w:rsid w:val="00845A9E"/>
    <w:rsid w:val="00847DBD"/>
    <w:rsid w:val="00850D2A"/>
    <w:rsid w:val="008517A1"/>
    <w:rsid w:val="00852E4F"/>
    <w:rsid w:val="00856BA6"/>
    <w:rsid w:val="00861F51"/>
    <w:rsid w:val="008664AF"/>
    <w:rsid w:val="0087723A"/>
    <w:rsid w:val="00877CAB"/>
    <w:rsid w:val="008825B9"/>
    <w:rsid w:val="0089103D"/>
    <w:rsid w:val="008913B7"/>
    <w:rsid w:val="00892EC8"/>
    <w:rsid w:val="00895FBF"/>
    <w:rsid w:val="00896902"/>
    <w:rsid w:val="008A36B0"/>
    <w:rsid w:val="008A7089"/>
    <w:rsid w:val="008B0D0D"/>
    <w:rsid w:val="008B738B"/>
    <w:rsid w:val="008C37A1"/>
    <w:rsid w:val="008C66E5"/>
    <w:rsid w:val="008D0B23"/>
    <w:rsid w:val="008D5C70"/>
    <w:rsid w:val="008E6E92"/>
    <w:rsid w:val="008F2464"/>
    <w:rsid w:val="008F42B7"/>
    <w:rsid w:val="008F56B7"/>
    <w:rsid w:val="008F6962"/>
    <w:rsid w:val="00906D78"/>
    <w:rsid w:val="009163B8"/>
    <w:rsid w:val="009238C0"/>
    <w:rsid w:val="009413FA"/>
    <w:rsid w:val="009425CD"/>
    <w:rsid w:val="009430DD"/>
    <w:rsid w:val="009432EC"/>
    <w:rsid w:val="00944982"/>
    <w:rsid w:val="009457B9"/>
    <w:rsid w:val="00945959"/>
    <w:rsid w:val="009523A8"/>
    <w:rsid w:val="00953DAF"/>
    <w:rsid w:val="00955580"/>
    <w:rsid w:val="009630EF"/>
    <w:rsid w:val="009664A3"/>
    <w:rsid w:val="00974292"/>
    <w:rsid w:val="0097508A"/>
    <w:rsid w:val="009759B0"/>
    <w:rsid w:val="009762D6"/>
    <w:rsid w:val="009821D4"/>
    <w:rsid w:val="00982290"/>
    <w:rsid w:val="009866B0"/>
    <w:rsid w:val="0099288E"/>
    <w:rsid w:val="009969EE"/>
    <w:rsid w:val="009B1938"/>
    <w:rsid w:val="009C14D2"/>
    <w:rsid w:val="009C158A"/>
    <w:rsid w:val="009C360F"/>
    <w:rsid w:val="009C5F94"/>
    <w:rsid w:val="009D2E5D"/>
    <w:rsid w:val="009D6782"/>
    <w:rsid w:val="009E5655"/>
    <w:rsid w:val="009F6778"/>
    <w:rsid w:val="00A0058F"/>
    <w:rsid w:val="00A0135B"/>
    <w:rsid w:val="00A01D1E"/>
    <w:rsid w:val="00A071A7"/>
    <w:rsid w:val="00A2553C"/>
    <w:rsid w:val="00A25931"/>
    <w:rsid w:val="00A327F2"/>
    <w:rsid w:val="00A418BA"/>
    <w:rsid w:val="00A41ABE"/>
    <w:rsid w:val="00A53C1B"/>
    <w:rsid w:val="00A55965"/>
    <w:rsid w:val="00A563C3"/>
    <w:rsid w:val="00A563E7"/>
    <w:rsid w:val="00A60354"/>
    <w:rsid w:val="00A6188B"/>
    <w:rsid w:val="00A64538"/>
    <w:rsid w:val="00A7097C"/>
    <w:rsid w:val="00A716F0"/>
    <w:rsid w:val="00A748B2"/>
    <w:rsid w:val="00A80705"/>
    <w:rsid w:val="00A814E5"/>
    <w:rsid w:val="00A8262D"/>
    <w:rsid w:val="00A826C3"/>
    <w:rsid w:val="00A82A5C"/>
    <w:rsid w:val="00A94552"/>
    <w:rsid w:val="00AA0EC7"/>
    <w:rsid w:val="00AA2203"/>
    <w:rsid w:val="00AA618C"/>
    <w:rsid w:val="00AB04DA"/>
    <w:rsid w:val="00AB1725"/>
    <w:rsid w:val="00AB18CA"/>
    <w:rsid w:val="00AB287A"/>
    <w:rsid w:val="00AD414C"/>
    <w:rsid w:val="00AD5D0B"/>
    <w:rsid w:val="00AD6907"/>
    <w:rsid w:val="00AD7723"/>
    <w:rsid w:val="00AE1365"/>
    <w:rsid w:val="00AE37FA"/>
    <w:rsid w:val="00AE58EF"/>
    <w:rsid w:val="00AF287F"/>
    <w:rsid w:val="00B00168"/>
    <w:rsid w:val="00B0162A"/>
    <w:rsid w:val="00B12A39"/>
    <w:rsid w:val="00B15BA9"/>
    <w:rsid w:val="00B20FD5"/>
    <w:rsid w:val="00B27FF4"/>
    <w:rsid w:val="00B423FD"/>
    <w:rsid w:val="00B434B6"/>
    <w:rsid w:val="00B4721B"/>
    <w:rsid w:val="00B55415"/>
    <w:rsid w:val="00B55F86"/>
    <w:rsid w:val="00B624A0"/>
    <w:rsid w:val="00B65658"/>
    <w:rsid w:val="00B666FA"/>
    <w:rsid w:val="00B672FC"/>
    <w:rsid w:val="00B6796A"/>
    <w:rsid w:val="00B70C62"/>
    <w:rsid w:val="00B805B0"/>
    <w:rsid w:val="00B82BD0"/>
    <w:rsid w:val="00B85089"/>
    <w:rsid w:val="00B86721"/>
    <w:rsid w:val="00B91873"/>
    <w:rsid w:val="00B91A71"/>
    <w:rsid w:val="00B97F41"/>
    <w:rsid w:val="00BA2E8E"/>
    <w:rsid w:val="00BA3EBB"/>
    <w:rsid w:val="00BA5BDD"/>
    <w:rsid w:val="00BA691B"/>
    <w:rsid w:val="00BB00A7"/>
    <w:rsid w:val="00BB0703"/>
    <w:rsid w:val="00BB093A"/>
    <w:rsid w:val="00BB2EB3"/>
    <w:rsid w:val="00BB76C3"/>
    <w:rsid w:val="00BB76D8"/>
    <w:rsid w:val="00BC0EE3"/>
    <w:rsid w:val="00BC4675"/>
    <w:rsid w:val="00BD049A"/>
    <w:rsid w:val="00BD049F"/>
    <w:rsid w:val="00BD4DC9"/>
    <w:rsid w:val="00BD59AE"/>
    <w:rsid w:val="00BE0175"/>
    <w:rsid w:val="00BE16AE"/>
    <w:rsid w:val="00BE3294"/>
    <w:rsid w:val="00BF00C9"/>
    <w:rsid w:val="00BF1853"/>
    <w:rsid w:val="00BF56AA"/>
    <w:rsid w:val="00BF6664"/>
    <w:rsid w:val="00C02285"/>
    <w:rsid w:val="00C0457A"/>
    <w:rsid w:val="00C063DC"/>
    <w:rsid w:val="00C06BC7"/>
    <w:rsid w:val="00C106C1"/>
    <w:rsid w:val="00C1359F"/>
    <w:rsid w:val="00C239C9"/>
    <w:rsid w:val="00C30313"/>
    <w:rsid w:val="00C312E8"/>
    <w:rsid w:val="00C335EA"/>
    <w:rsid w:val="00C513CE"/>
    <w:rsid w:val="00C53692"/>
    <w:rsid w:val="00C54E06"/>
    <w:rsid w:val="00C60DA9"/>
    <w:rsid w:val="00C64F22"/>
    <w:rsid w:val="00C75C0A"/>
    <w:rsid w:val="00C806D2"/>
    <w:rsid w:val="00C83667"/>
    <w:rsid w:val="00C8408C"/>
    <w:rsid w:val="00C849E2"/>
    <w:rsid w:val="00C97D1A"/>
    <w:rsid w:val="00CA22E9"/>
    <w:rsid w:val="00CA30F7"/>
    <w:rsid w:val="00CA439D"/>
    <w:rsid w:val="00CB1657"/>
    <w:rsid w:val="00CB1F12"/>
    <w:rsid w:val="00CB306E"/>
    <w:rsid w:val="00CB53C6"/>
    <w:rsid w:val="00CB75EC"/>
    <w:rsid w:val="00CC0024"/>
    <w:rsid w:val="00CC2ABC"/>
    <w:rsid w:val="00CD004E"/>
    <w:rsid w:val="00CD1F6E"/>
    <w:rsid w:val="00CD5E62"/>
    <w:rsid w:val="00CE0C48"/>
    <w:rsid w:val="00CE3BF0"/>
    <w:rsid w:val="00CE3FEB"/>
    <w:rsid w:val="00CF2048"/>
    <w:rsid w:val="00CF2555"/>
    <w:rsid w:val="00CF6155"/>
    <w:rsid w:val="00CF6356"/>
    <w:rsid w:val="00CF6D92"/>
    <w:rsid w:val="00D00433"/>
    <w:rsid w:val="00D00F44"/>
    <w:rsid w:val="00D02E40"/>
    <w:rsid w:val="00D03272"/>
    <w:rsid w:val="00D044D6"/>
    <w:rsid w:val="00D047F2"/>
    <w:rsid w:val="00D06EDE"/>
    <w:rsid w:val="00D16028"/>
    <w:rsid w:val="00D178F0"/>
    <w:rsid w:val="00D2377B"/>
    <w:rsid w:val="00D27101"/>
    <w:rsid w:val="00D27501"/>
    <w:rsid w:val="00D32CFE"/>
    <w:rsid w:val="00D34917"/>
    <w:rsid w:val="00D36E76"/>
    <w:rsid w:val="00D4542C"/>
    <w:rsid w:val="00D46E31"/>
    <w:rsid w:val="00D516F0"/>
    <w:rsid w:val="00D53A7E"/>
    <w:rsid w:val="00D5455F"/>
    <w:rsid w:val="00D56DD3"/>
    <w:rsid w:val="00D710EC"/>
    <w:rsid w:val="00D76B28"/>
    <w:rsid w:val="00D81B55"/>
    <w:rsid w:val="00D913BF"/>
    <w:rsid w:val="00D94324"/>
    <w:rsid w:val="00DA0802"/>
    <w:rsid w:val="00DA6732"/>
    <w:rsid w:val="00DA6CBB"/>
    <w:rsid w:val="00DA6DEF"/>
    <w:rsid w:val="00DC456E"/>
    <w:rsid w:val="00DC683E"/>
    <w:rsid w:val="00DD0268"/>
    <w:rsid w:val="00DD7C01"/>
    <w:rsid w:val="00DE0282"/>
    <w:rsid w:val="00DE7DE0"/>
    <w:rsid w:val="00DF2B8A"/>
    <w:rsid w:val="00E0022E"/>
    <w:rsid w:val="00E02D62"/>
    <w:rsid w:val="00E06E21"/>
    <w:rsid w:val="00E16CD3"/>
    <w:rsid w:val="00E24347"/>
    <w:rsid w:val="00E313CC"/>
    <w:rsid w:val="00E31DCA"/>
    <w:rsid w:val="00E33403"/>
    <w:rsid w:val="00E34A94"/>
    <w:rsid w:val="00E359C6"/>
    <w:rsid w:val="00E40571"/>
    <w:rsid w:val="00E40FFE"/>
    <w:rsid w:val="00E419C5"/>
    <w:rsid w:val="00E458F9"/>
    <w:rsid w:val="00E45FA8"/>
    <w:rsid w:val="00E54AE5"/>
    <w:rsid w:val="00E57A9E"/>
    <w:rsid w:val="00E62B12"/>
    <w:rsid w:val="00E73DC9"/>
    <w:rsid w:val="00E92CA0"/>
    <w:rsid w:val="00EA2949"/>
    <w:rsid w:val="00EA5417"/>
    <w:rsid w:val="00EA64CF"/>
    <w:rsid w:val="00EA6720"/>
    <w:rsid w:val="00EA79BE"/>
    <w:rsid w:val="00EB027D"/>
    <w:rsid w:val="00EB70D5"/>
    <w:rsid w:val="00EC2AC5"/>
    <w:rsid w:val="00EC4F28"/>
    <w:rsid w:val="00EC671B"/>
    <w:rsid w:val="00ED049F"/>
    <w:rsid w:val="00ED08EE"/>
    <w:rsid w:val="00ED1581"/>
    <w:rsid w:val="00ED1E0F"/>
    <w:rsid w:val="00ED20A2"/>
    <w:rsid w:val="00ED6D82"/>
    <w:rsid w:val="00EE07B3"/>
    <w:rsid w:val="00EE10A7"/>
    <w:rsid w:val="00EE2D74"/>
    <w:rsid w:val="00EE5C4C"/>
    <w:rsid w:val="00F012ED"/>
    <w:rsid w:val="00F0454B"/>
    <w:rsid w:val="00F04EE7"/>
    <w:rsid w:val="00F05145"/>
    <w:rsid w:val="00F05A5C"/>
    <w:rsid w:val="00F14B7B"/>
    <w:rsid w:val="00F21777"/>
    <w:rsid w:val="00F2385A"/>
    <w:rsid w:val="00F319FE"/>
    <w:rsid w:val="00F32A35"/>
    <w:rsid w:val="00F34EBC"/>
    <w:rsid w:val="00F3654F"/>
    <w:rsid w:val="00F41A0C"/>
    <w:rsid w:val="00F4583C"/>
    <w:rsid w:val="00F45C47"/>
    <w:rsid w:val="00F467BF"/>
    <w:rsid w:val="00F46BC4"/>
    <w:rsid w:val="00F5500D"/>
    <w:rsid w:val="00F55733"/>
    <w:rsid w:val="00F64D67"/>
    <w:rsid w:val="00F76651"/>
    <w:rsid w:val="00F76D88"/>
    <w:rsid w:val="00F777C3"/>
    <w:rsid w:val="00F80896"/>
    <w:rsid w:val="00FA26F1"/>
    <w:rsid w:val="00FA3A12"/>
    <w:rsid w:val="00FA42BA"/>
    <w:rsid w:val="00FB0335"/>
    <w:rsid w:val="00FB2ECA"/>
    <w:rsid w:val="00FB53CD"/>
    <w:rsid w:val="00FC1632"/>
    <w:rsid w:val="00FC5331"/>
    <w:rsid w:val="00FE0373"/>
    <w:rsid w:val="00FE2807"/>
    <w:rsid w:val="00FE5BB4"/>
    <w:rsid w:val="00FE7C37"/>
    <w:rsid w:val="00FF0794"/>
    <w:rsid w:val="00FF30E3"/>
    <w:rsid w:val="00FF443A"/>
    <w:rsid w:val="00FF72E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68F990"/>
  <w15:docId w15:val="{850DD25D-2526-094A-9FC4-1A2410F31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4DC9"/>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67397"/>
    <w:pPr>
      <w:keepNext/>
      <w:keepLines/>
      <w:spacing w:before="240"/>
      <w:outlineLvl w:val="0"/>
    </w:pPr>
    <w:rPr>
      <w:rFonts w:asciiTheme="majorHAnsi" w:eastAsiaTheme="majorEastAsia" w:hAnsiTheme="majorHAnsi" w:cstheme="majorBidi"/>
      <w:color w:val="2F5496" w:themeColor="accent1" w:themeShade="BF"/>
      <w:sz w:val="32"/>
      <w:szCs w:val="32"/>
      <w:lang w:eastAsia="en-US"/>
    </w:rPr>
  </w:style>
  <w:style w:type="paragraph" w:styleId="Balk3">
    <w:name w:val="heading 3"/>
    <w:basedOn w:val="Normal"/>
    <w:next w:val="Normal"/>
    <w:link w:val="Balk3Char"/>
    <w:uiPriority w:val="9"/>
    <w:semiHidden/>
    <w:unhideWhenUsed/>
    <w:qFormat/>
    <w:rsid w:val="0068606A"/>
    <w:pPr>
      <w:keepNext/>
      <w:keepLines/>
      <w:spacing w:before="40"/>
      <w:outlineLvl w:val="2"/>
    </w:pPr>
    <w:rPr>
      <w:rFonts w:asciiTheme="majorHAnsi" w:eastAsiaTheme="majorEastAsia" w:hAnsiTheme="majorHAnsi" w:cstheme="majorBidi"/>
      <w:color w:val="1F3763" w:themeColor="accent1" w:themeShade="7F"/>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714C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C106C1"/>
    <w:pPr>
      <w:suppressAutoHyphens/>
      <w:autoSpaceDN w:val="0"/>
      <w:spacing w:after="0" w:line="240" w:lineRule="auto"/>
      <w:textAlignment w:val="baseline"/>
    </w:pPr>
    <w:rPr>
      <w:rFonts w:ascii="Liberation Serif" w:eastAsia="SimSun" w:hAnsi="Liberation Serif" w:cs="Mangal"/>
      <w:kern w:val="3"/>
      <w:sz w:val="24"/>
      <w:szCs w:val="24"/>
      <w:lang w:val="en-US" w:eastAsia="zh-CN" w:bidi="hi-IN"/>
    </w:rPr>
  </w:style>
  <w:style w:type="character" w:styleId="Kpr">
    <w:name w:val="Hyperlink"/>
    <w:basedOn w:val="VarsaylanParagrafYazTipi"/>
    <w:uiPriority w:val="99"/>
    <w:unhideWhenUsed/>
    <w:rsid w:val="000E19BB"/>
    <w:rPr>
      <w:color w:val="0000FF"/>
      <w:u w:val="single"/>
    </w:rPr>
  </w:style>
  <w:style w:type="character" w:customStyle="1" w:styleId="Balk3Char">
    <w:name w:val="Başlık 3 Char"/>
    <w:basedOn w:val="VarsaylanParagrafYazTipi"/>
    <w:link w:val="Balk3"/>
    <w:uiPriority w:val="9"/>
    <w:semiHidden/>
    <w:qFormat/>
    <w:rsid w:val="0068606A"/>
    <w:rPr>
      <w:rFonts w:asciiTheme="majorHAnsi" w:eastAsiaTheme="majorEastAsia" w:hAnsiTheme="majorHAnsi" w:cstheme="majorBidi"/>
      <w:color w:val="1F3763" w:themeColor="accent1" w:themeShade="7F"/>
      <w:sz w:val="24"/>
      <w:szCs w:val="24"/>
    </w:rPr>
  </w:style>
  <w:style w:type="character" w:customStyle="1" w:styleId="nlmstring-name">
    <w:name w:val="nlm_string-name"/>
    <w:basedOn w:val="VarsaylanParagrafYazTipi"/>
    <w:rsid w:val="00E34A94"/>
  </w:style>
  <w:style w:type="character" w:customStyle="1" w:styleId="nlmgiven-names">
    <w:name w:val="nlm_given-names"/>
    <w:basedOn w:val="VarsaylanParagrafYazTipi"/>
    <w:rsid w:val="00E34A94"/>
  </w:style>
  <w:style w:type="character" w:customStyle="1" w:styleId="nlmarticle-title">
    <w:name w:val="nlm_article-title"/>
    <w:basedOn w:val="VarsaylanParagrafYazTipi"/>
    <w:rsid w:val="00E34A94"/>
  </w:style>
  <w:style w:type="character" w:customStyle="1" w:styleId="nlmyear">
    <w:name w:val="nlm_year"/>
    <w:basedOn w:val="VarsaylanParagrafYazTipi"/>
    <w:rsid w:val="00E34A94"/>
  </w:style>
  <w:style w:type="character" w:customStyle="1" w:styleId="nlmfpage">
    <w:name w:val="nlm_fpage"/>
    <w:basedOn w:val="VarsaylanParagrafYazTipi"/>
    <w:rsid w:val="00E34A94"/>
  </w:style>
  <w:style w:type="character" w:customStyle="1" w:styleId="nlmlpage">
    <w:name w:val="nlm_lpage"/>
    <w:basedOn w:val="VarsaylanParagrafYazTipi"/>
    <w:rsid w:val="00E34A94"/>
  </w:style>
  <w:style w:type="character" w:customStyle="1" w:styleId="nlmpub-id">
    <w:name w:val="nlm_pub-id"/>
    <w:basedOn w:val="VarsaylanParagrafYazTipi"/>
    <w:rsid w:val="00E34A94"/>
  </w:style>
  <w:style w:type="character" w:customStyle="1" w:styleId="journalname">
    <w:name w:val="journalname"/>
    <w:basedOn w:val="VarsaylanParagrafYazTipi"/>
    <w:rsid w:val="00525E26"/>
  </w:style>
  <w:style w:type="character" w:customStyle="1" w:styleId="year">
    <w:name w:val="year"/>
    <w:basedOn w:val="VarsaylanParagrafYazTipi"/>
    <w:rsid w:val="00525E26"/>
  </w:style>
  <w:style w:type="character" w:customStyle="1" w:styleId="volume">
    <w:name w:val="volume"/>
    <w:basedOn w:val="VarsaylanParagrafYazTipi"/>
    <w:rsid w:val="00525E26"/>
  </w:style>
  <w:style w:type="character" w:customStyle="1" w:styleId="issue">
    <w:name w:val="issue"/>
    <w:basedOn w:val="VarsaylanParagrafYazTipi"/>
    <w:rsid w:val="00525E26"/>
  </w:style>
  <w:style w:type="character" w:customStyle="1" w:styleId="page">
    <w:name w:val="page"/>
    <w:basedOn w:val="VarsaylanParagrafYazTipi"/>
    <w:rsid w:val="00525E26"/>
  </w:style>
  <w:style w:type="character" w:customStyle="1" w:styleId="Balk1Char">
    <w:name w:val="Başlık 1 Char"/>
    <w:basedOn w:val="VarsaylanParagrafYazTipi"/>
    <w:link w:val="Balk1"/>
    <w:uiPriority w:val="9"/>
    <w:rsid w:val="00767397"/>
    <w:rPr>
      <w:rFonts w:asciiTheme="majorHAnsi" w:eastAsiaTheme="majorEastAsia" w:hAnsiTheme="majorHAnsi" w:cstheme="majorBidi"/>
      <w:color w:val="2F5496" w:themeColor="accent1" w:themeShade="BF"/>
      <w:sz w:val="32"/>
      <w:szCs w:val="32"/>
    </w:rPr>
  </w:style>
  <w:style w:type="paragraph" w:styleId="BalonMetni">
    <w:name w:val="Balloon Text"/>
    <w:basedOn w:val="Normal"/>
    <w:link w:val="BalonMetniChar"/>
    <w:uiPriority w:val="99"/>
    <w:semiHidden/>
    <w:unhideWhenUsed/>
    <w:rsid w:val="008913B7"/>
    <w:rPr>
      <w:rFonts w:eastAsiaTheme="minorHAnsi"/>
      <w:sz w:val="18"/>
      <w:szCs w:val="18"/>
      <w:lang w:eastAsia="en-US"/>
    </w:rPr>
  </w:style>
  <w:style w:type="character" w:customStyle="1" w:styleId="BalonMetniChar">
    <w:name w:val="Balon Metni Char"/>
    <w:basedOn w:val="VarsaylanParagrafYazTipi"/>
    <w:link w:val="BalonMetni"/>
    <w:uiPriority w:val="99"/>
    <w:semiHidden/>
    <w:rsid w:val="008913B7"/>
    <w:rPr>
      <w:rFonts w:ascii="Times New Roman" w:hAnsi="Times New Roman" w:cs="Times New Roman"/>
      <w:sz w:val="18"/>
      <w:szCs w:val="18"/>
    </w:rPr>
  </w:style>
  <w:style w:type="character" w:customStyle="1" w:styleId="jlqj4b">
    <w:name w:val="jlqj4b"/>
    <w:basedOn w:val="VarsaylanParagrafYazTipi"/>
    <w:rsid w:val="00A55965"/>
  </w:style>
  <w:style w:type="character" w:styleId="zmlenmeyenBahsetme">
    <w:name w:val="Unresolved Mention"/>
    <w:basedOn w:val="VarsaylanParagrafYazTipi"/>
    <w:uiPriority w:val="99"/>
    <w:semiHidden/>
    <w:unhideWhenUsed/>
    <w:rsid w:val="003F0605"/>
    <w:rPr>
      <w:color w:val="605E5C"/>
      <w:shd w:val="clear" w:color="auto" w:fill="E1DFDD"/>
    </w:rPr>
  </w:style>
  <w:style w:type="paragraph" w:styleId="stBilgi">
    <w:name w:val="header"/>
    <w:basedOn w:val="Normal"/>
    <w:link w:val="stBilgiChar"/>
    <w:uiPriority w:val="99"/>
    <w:unhideWhenUsed/>
    <w:rsid w:val="009C360F"/>
    <w:pPr>
      <w:tabs>
        <w:tab w:val="center" w:pos="4536"/>
        <w:tab w:val="right" w:pos="9072"/>
      </w:tabs>
    </w:pPr>
    <w:rPr>
      <w:rFonts w:asciiTheme="minorHAnsi" w:eastAsiaTheme="minorHAnsi" w:hAnsiTheme="minorHAnsi" w:cstheme="minorBidi"/>
      <w:lang w:eastAsia="en-US"/>
    </w:rPr>
  </w:style>
  <w:style w:type="character" w:customStyle="1" w:styleId="stBilgiChar">
    <w:name w:val="Üst Bilgi Char"/>
    <w:basedOn w:val="VarsaylanParagrafYazTipi"/>
    <w:link w:val="stBilgi"/>
    <w:uiPriority w:val="99"/>
    <w:rsid w:val="009C360F"/>
    <w:rPr>
      <w:sz w:val="24"/>
      <w:szCs w:val="24"/>
    </w:rPr>
  </w:style>
  <w:style w:type="paragraph" w:styleId="AltBilgi">
    <w:name w:val="footer"/>
    <w:basedOn w:val="Normal"/>
    <w:link w:val="AltBilgiChar"/>
    <w:uiPriority w:val="99"/>
    <w:unhideWhenUsed/>
    <w:rsid w:val="009C360F"/>
    <w:pPr>
      <w:tabs>
        <w:tab w:val="center" w:pos="4536"/>
        <w:tab w:val="right" w:pos="9072"/>
      </w:tabs>
    </w:pPr>
    <w:rPr>
      <w:rFonts w:asciiTheme="minorHAnsi" w:eastAsiaTheme="minorHAnsi" w:hAnsiTheme="minorHAnsi" w:cstheme="minorBidi"/>
      <w:lang w:eastAsia="en-US"/>
    </w:rPr>
  </w:style>
  <w:style w:type="character" w:customStyle="1" w:styleId="AltBilgiChar">
    <w:name w:val="Alt Bilgi Char"/>
    <w:basedOn w:val="VarsaylanParagrafYazTipi"/>
    <w:link w:val="AltBilgi"/>
    <w:uiPriority w:val="99"/>
    <w:rsid w:val="009C360F"/>
    <w:rPr>
      <w:sz w:val="24"/>
      <w:szCs w:val="24"/>
    </w:rPr>
  </w:style>
  <w:style w:type="paragraph" w:styleId="NormalWeb">
    <w:name w:val="Normal (Web)"/>
    <w:basedOn w:val="Normal"/>
    <w:uiPriority w:val="99"/>
    <w:unhideWhenUsed/>
    <w:rsid w:val="00CC2ABC"/>
    <w:pPr>
      <w:spacing w:before="100" w:beforeAutospacing="1" w:after="100" w:afterAutospacing="1"/>
    </w:pPr>
  </w:style>
  <w:style w:type="character" w:styleId="Gl">
    <w:name w:val="Strong"/>
    <w:basedOn w:val="VarsaylanParagrafYazTipi"/>
    <w:uiPriority w:val="22"/>
    <w:qFormat/>
    <w:rsid w:val="00CC2ABC"/>
    <w:rPr>
      <w:b/>
      <w:bCs/>
    </w:rPr>
  </w:style>
  <w:style w:type="paragraph" w:styleId="ListeParagraf">
    <w:name w:val="List Paragraph"/>
    <w:basedOn w:val="Normal"/>
    <w:uiPriority w:val="34"/>
    <w:qFormat/>
    <w:rsid w:val="00CD004E"/>
    <w:pPr>
      <w:spacing w:after="200" w:line="276" w:lineRule="auto"/>
      <w:ind w:left="720"/>
      <w:contextualSpacing/>
    </w:pPr>
    <w:rPr>
      <w:rFonts w:asciiTheme="minorHAnsi" w:eastAsiaTheme="minorEastAsia" w:hAnsiTheme="minorHAnsi" w:cstheme="minorBidi"/>
      <w:sz w:val="22"/>
      <w:szCs w:val="22"/>
    </w:rPr>
  </w:style>
  <w:style w:type="character" w:customStyle="1" w:styleId="shorttext">
    <w:name w:val="short_text"/>
    <w:uiPriority w:val="99"/>
    <w:qFormat/>
    <w:rsid w:val="00CD004E"/>
  </w:style>
  <w:style w:type="paragraph" w:styleId="DipnotMetni">
    <w:name w:val="footnote text"/>
    <w:basedOn w:val="Normal"/>
    <w:link w:val="DipnotMetniChar"/>
    <w:uiPriority w:val="99"/>
    <w:semiHidden/>
    <w:unhideWhenUsed/>
    <w:rsid w:val="00D27101"/>
    <w:rPr>
      <w:sz w:val="20"/>
      <w:szCs w:val="20"/>
    </w:rPr>
  </w:style>
  <w:style w:type="character" w:customStyle="1" w:styleId="DipnotMetniChar">
    <w:name w:val="Dipnot Metni Char"/>
    <w:basedOn w:val="VarsaylanParagrafYazTipi"/>
    <w:link w:val="DipnotMetni"/>
    <w:uiPriority w:val="99"/>
    <w:semiHidden/>
    <w:rsid w:val="00D27101"/>
    <w:rPr>
      <w:rFonts w:ascii="Times New Roman" w:eastAsia="Times New Roman" w:hAnsi="Times New Roman" w:cs="Times New Roman"/>
      <w:sz w:val="20"/>
      <w:szCs w:val="20"/>
      <w:lang w:eastAsia="tr-TR"/>
    </w:rPr>
  </w:style>
  <w:style w:type="character" w:styleId="DipnotBavurusu">
    <w:name w:val="footnote reference"/>
    <w:basedOn w:val="VarsaylanParagrafYazTipi"/>
    <w:uiPriority w:val="99"/>
    <w:semiHidden/>
    <w:unhideWhenUsed/>
    <w:rsid w:val="00D271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86210">
      <w:bodyDiv w:val="1"/>
      <w:marLeft w:val="0"/>
      <w:marRight w:val="0"/>
      <w:marTop w:val="0"/>
      <w:marBottom w:val="0"/>
      <w:divBdr>
        <w:top w:val="none" w:sz="0" w:space="0" w:color="auto"/>
        <w:left w:val="none" w:sz="0" w:space="0" w:color="auto"/>
        <w:bottom w:val="none" w:sz="0" w:space="0" w:color="auto"/>
        <w:right w:val="none" w:sz="0" w:space="0" w:color="auto"/>
      </w:divBdr>
    </w:div>
    <w:div w:id="440954034">
      <w:bodyDiv w:val="1"/>
      <w:marLeft w:val="0"/>
      <w:marRight w:val="0"/>
      <w:marTop w:val="0"/>
      <w:marBottom w:val="0"/>
      <w:divBdr>
        <w:top w:val="none" w:sz="0" w:space="0" w:color="auto"/>
        <w:left w:val="none" w:sz="0" w:space="0" w:color="auto"/>
        <w:bottom w:val="none" w:sz="0" w:space="0" w:color="auto"/>
        <w:right w:val="none" w:sz="0" w:space="0" w:color="auto"/>
      </w:divBdr>
    </w:div>
    <w:div w:id="607544793">
      <w:bodyDiv w:val="1"/>
      <w:marLeft w:val="0"/>
      <w:marRight w:val="0"/>
      <w:marTop w:val="0"/>
      <w:marBottom w:val="0"/>
      <w:divBdr>
        <w:top w:val="none" w:sz="0" w:space="0" w:color="auto"/>
        <w:left w:val="none" w:sz="0" w:space="0" w:color="auto"/>
        <w:bottom w:val="none" w:sz="0" w:space="0" w:color="auto"/>
        <w:right w:val="none" w:sz="0" w:space="0" w:color="auto"/>
      </w:divBdr>
    </w:div>
    <w:div w:id="617839625">
      <w:bodyDiv w:val="1"/>
      <w:marLeft w:val="0"/>
      <w:marRight w:val="0"/>
      <w:marTop w:val="0"/>
      <w:marBottom w:val="0"/>
      <w:divBdr>
        <w:top w:val="none" w:sz="0" w:space="0" w:color="auto"/>
        <w:left w:val="none" w:sz="0" w:space="0" w:color="auto"/>
        <w:bottom w:val="none" w:sz="0" w:space="0" w:color="auto"/>
        <w:right w:val="none" w:sz="0" w:space="0" w:color="auto"/>
      </w:divBdr>
    </w:div>
    <w:div w:id="659427710">
      <w:bodyDiv w:val="1"/>
      <w:marLeft w:val="0"/>
      <w:marRight w:val="0"/>
      <w:marTop w:val="0"/>
      <w:marBottom w:val="0"/>
      <w:divBdr>
        <w:top w:val="none" w:sz="0" w:space="0" w:color="auto"/>
        <w:left w:val="none" w:sz="0" w:space="0" w:color="auto"/>
        <w:bottom w:val="none" w:sz="0" w:space="0" w:color="auto"/>
        <w:right w:val="none" w:sz="0" w:space="0" w:color="auto"/>
      </w:divBdr>
    </w:div>
    <w:div w:id="691415981">
      <w:bodyDiv w:val="1"/>
      <w:marLeft w:val="0"/>
      <w:marRight w:val="0"/>
      <w:marTop w:val="0"/>
      <w:marBottom w:val="0"/>
      <w:divBdr>
        <w:top w:val="none" w:sz="0" w:space="0" w:color="auto"/>
        <w:left w:val="none" w:sz="0" w:space="0" w:color="auto"/>
        <w:bottom w:val="none" w:sz="0" w:space="0" w:color="auto"/>
        <w:right w:val="none" w:sz="0" w:space="0" w:color="auto"/>
      </w:divBdr>
    </w:div>
    <w:div w:id="832376042">
      <w:bodyDiv w:val="1"/>
      <w:marLeft w:val="0"/>
      <w:marRight w:val="0"/>
      <w:marTop w:val="0"/>
      <w:marBottom w:val="0"/>
      <w:divBdr>
        <w:top w:val="none" w:sz="0" w:space="0" w:color="auto"/>
        <w:left w:val="none" w:sz="0" w:space="0" w:color="auto"/>
        <w:bottom w:val="none" w:sz="0" w:space="0" w:color="auto"/>
        <w:right w:val="none" w:sz="0" w:space="0" w:color="auto"/>
      </w:divBdr>
    </w:div>
    <w:div w:id="879787412">
      <w:bodyDiv w:val="1"/>
      <w:marLeft w:val="0"/>
      <w:marRight w:val="0"/>
      <w:marTop w:val="0"/>
      <w:marBottom w:val="0"/>
      <w:divBdr>
        <w:top w:val="none" w:sz="0" w:space="0" w:color="auto"/>
        <w:left w:val="none" w:sz="0" w:space="0" w:color="auto"/>
        <w:bottom w:val="none" w:sz="0" w:space="0" w:color="auto"/>
        <w:right w:val="none" w:sz="0" w:space="0" w:color="auto"/>
      </w:divBdr>
    </w:div>
    <w:div w:id="1210531533">
      <w:bodyDiv w:val="1"/>
      <w:marLeft w:val="0"/>
      <w:marRight w:val="0"/>
      <w:marTop w:val="0"/>
      <w:marBottom w:val="0"/>
      <w:divBdr>
        <w:top w:val="none" w:sz="0" w:space="0" w:color="auto"/>
        <w:left w:val="none" w:sz="0" w:space="0" w:color="auto"/>
        <w:bottom w:val="none" w:sz="0" w:space="0" w:color="auto"/>
        <w:right w:val="none" w:sz="0" w:space="0" w:color="auto"/>
      </w:divBdr>
    </w:div>
    <w:div w:id="1211645416">
      <w:bodyDiv w:val="1"/>
      <w:marLeft w:val="0"/>
      <w:marRight w:val="0"/>
      <w:marTop w:val="0"/>
      <w:marBottom w:val="0"/>
      <w:divBdr>
        <w:top w:val="none" w:sz="0" w:space="0" w:color="auto"/>
        <w:left w:val="none" w:sz="0" w:space="0" w:color="auto"/>
        <w:bottom w:val="none" w:sz="0" w:space="0" w:color="auto"/>
        <w:right w:val="none" w:sz="0" w:space="0" w:color="auto"/>
      </w:divBdr>
    </w:div>
    <w:div w:id="1234044328">
      <w:bodyDiv w:val="1"/>
      <w:marLeft w:val="0"/>
      <w:marRight w:val="0"/>
      <w:marTop w:val="0"/>
      <w:marBottom w:val="0"/>
      <w:divBdr>
        <w:top w:val="none" w:sz="0" w:space="0" w:color="auto"/>
        <w:left w:val="none" w:sz="0" w:space="0" w:color="auto"/>
        <w:bottom w:val="none" w:sz="0" w:space="0" w:color="auto"/>
        <w:right w:val="none" w:sz="0" w:space="0" w:color="auto"/>
      </w:divBdr>
    </w:div>
    <w:div w:id="1488784285">
      <w:bodyDiv w:val="1"/>
      <w:marLeft w:val="0"/>
      <w:marRight w:val="0"/>
      <w:marTop w:val="0"/>
      <w:marBottom w:val="0"/>
      <w:divBdr>
        <w:top w:val="none" w:sz="0" w:space="0" w:color="auto"/>
        <w:left w:val="none" w:sz="0" w:space="0" w:color="auto"/>
        <w:bottom w:val="none" w:sz="0" w:space="0" w:color="auto"/>
        <w:right w:val="none" w:sz="0" w:space="0" w:color="auto"/>
      </w:divBdr>
    </w:div>
    <w:div w:id="1596942694">
      <w:bodyDiv w:val="1"/>
      <w:marLeft w:val="0"/>
      <w:marRight w:val="0"/>
      <w:marTop w:val="0"/>
      <w:marBottom w:val="0"/>
      <w:divBdr>
        <w:top w:val="none" w:sz="0" w:space="0" w:color="auto"/>
        <w:left w:val="none" w:sz="0" w:space="0" w:color="auto"/>
        <w:bottom w:val="none" w:sz="0" w:space="0" w:color="auto"/>
        <w:right w:val="none" w:sz="0" w:space="0" w:color="auto"/>
      </w:divBdr>
    </w:div>
    <w:div w:id="1642419231">
      <w:bodyDiv w:val="1"/>
      <w:marLeft w:val="0"/>
      <w:marRight w:val="0"/>
      <w:marTop w:val="0"/>
      <w:marBottom w:val="0"/>
      <w:divBdr>
        <w:top w:val="none" w:sz="0" w:space="0" w:color="auto"/>
        <w:left w:val="none" w:sz="0" w:space="0" w:color="auto"/>
        <w:bottom w:val="none" w:sz="0" w:space="0" w:color="auto"/>
        <w:right w:val="none" w:sz="0" w:space="0" w:color="auto"/>
      </w:divBdr>
    </w:div>
    <w:div w:id="1784962772">
      <w:bodyDiv w:val="1"/>
      <w:marLeft w:val="0"/>
      <w:marRight w:val="0"/>
      <w:marTop w:val="0"/>
      <w:marBottom w:val="0"/>
      <w:divBdr>
        <w:top w:val="none" w:sz="0" w:space="0" w:color="auto"/>
        <w:left w:val="none" w:sz="0" w:space="0" w:color="auto"/>
        <w:bottom w:val="none" w:sz="0" w:space="0" w:color="auto"/>
        <w:right w:val="none" w:sz="0" w:space="0" w:color="auto"/>
      </w:divBdr>
    </w:div>
    <w:div w:id="1802843297">
      <w:bodyDiv w:val="1"/>
      <w:marLeft w:val="0"/>
      <w:marRight w:val="0"/>
      <w:marTop w:val="0"/>
      <w:marBottom w:val="0"/>
      <w:divBdr>
        <w:top w:val="none" w:sz="0" w:space="0" w:color="auto"/>
        <w:left w:val="none" w:sz="0" w:space="0" w:color="auto"/>
        <w:bottom w:val="none" w:sz="0" w:space="0" w:color="auto"/>
        <w:right w:val="none" w:sz="0" w:space="0" w:color="auto"/>
      </w:divBdr>
      <w:divsChild>
        <w:div w:id="1558777296">
          <w:marLeft w:val="480"/>
          <w:marRight w:val="0"/>
          <w:marTop w:val="0"/>
          <w:marBottom w:val="0"/>
          <w:divBdr>
            <w:top w:val="none" w:sz="0" w:space="0" w:color="auto"/>
            <w:left w:val="none" w:sz="0" w:space="0" w:color="auto"/>
            <w:bottom w:val="none" w:sz="0" w:space="0" w:color="auto"/>
            <w:right w:val="none" w:sz="0" w:space="0" w:color="auto"/>
          </w:divBdr>
          <w:divsChild>
            <w:div w:id="118752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63715">
      <w:bodyDiv w:val="1"/>
      <w:marLeft w:val="0"/>
      <w:marRight w:val="0"/>
      <w:marTop w:val="0"/>
      <w:marBottom w:val="0"/>
      <w:divBdr>
        <w:top w:val="none" w:sz="0" w:space="0" w:color="auto"/>
        <w:left w:val="none" w:sz="0" w:space="0" w:color="auto"/>
        <w:bottom w:val="none" w:sz="0" w:space="0" w:color="auto"/>
        <w:right w:val="none" w:sz="0" w:space="0" w:color="auto"/>
      </w:divBdr>
    </w:div>
    <w:div w:id="194538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3B2FB-B4EE-B84E-A691-7DF3C8372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23</Pages>
  <Words>24989</Words>
  <Characters>143192</Characters>
  <Application>Microsoft Office Word</Application>
  <DocSecurity>0</DocSecurity>
  <Lines>4619</Lines>
  <Paragraphs>2548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zeynep arslan</dc:creator>
  <cp:lastModifiedBy>Ibrahim Burak Oguzdogan</cp:lastModifiedBy>
  <cp:revision>7</cp:revision>
  <dcterms:created xsi:type="dcterms:W3CDTF">2021-07-23T13:46:00Z</dcterms:created>
  <dcterms:modified xsi:type="dcterms:W3CDTF">2021-08-13T15:58:00Z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http://www.zotero.org/styles/prostate-international</vt:lpwstr>
  </property>
  <property fmtid="{D5CDD505-2E9C-101B-9397-08002B2CF9AE}" pid="4" name="Mendeley Unique User Id_1">
    <vt:lpwstr>28613abb-5267-307b-a12e-99f1d6d37a40</vt:lpwstr>
  </property>
  <property fmtid="{D5CDD505-2E9C-101B-9397-08002B2CF9AE}" pid="5" name="Mendeley Recent Style Id 0_1">
    <vt:lpwstr>http://www.zotero.org/styles/acta-medica</vt:lpwstr>
  </property>
  <property fmtid="{D5CDD505-2E9C-101B-9397-08002B2CF9AE}" pid="6" name="Mendeley Recent Style Name 0_1">
    <vt:lpwstr>Acta Medica</vt:lpwstr>
  </property>
  <property fmtid="{D5CDD505-2E9C-101B-9397-08002B2CF9AE}" pid="7" name="Mendeley Recent Style Id 1_1">
    <vt:lpwstr>http://www.zotero.org/styles/apa</vt:lpwstr>
  </property>
  <property fmtid="{D5CDD505-2E9C-101B-9397-08002B2CF9AE}" pid="8" name="Mendeley Recent Style Name 1_1">
    <vt:lpwstr>American Psychological Association 6th edition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http://www.zotero.org/styles/european-journal-of-radiology</vt:lpwstr>
  </property>
  <property fmtid="{D5CDD505-2E9C-101B-9397-08002B2CF9AE}" pid="16" name="Mendeley Recent Style Name 5_1">
    <vt:lpwstr>European Journal of Radiology</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http://www.zotero.org/styles/prostate-international</vt:lpwstr>
  </property>
  <property fmtid="{D5CDD505-2E9C-101B-9397-08002B2CF9AE}" pid="22" name="Mendeley Recent Style Name 8_1">
    <vt:lpwstr>Prostate International</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ies>
</file>