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3BB" w:rsidRDefault="00D923BB" w:rsidP="00D923B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Figure 1:</w:t>
      </w:r>
      <w:r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Prevalence and characteristics of parent-reported food allergy symptoms over the first 2 years in the KUNO Kids study</w:t>
      </w:r>
    </w:p>
    <w:p w:rsidR="00D24BFD" w:rsidRDefault="002D0C00"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47348B56" wp14:editId="2D6622A8">
            <wp:extent cx="4152900" cy="2981325"/>
            <wp:effectExtent l="0" t="0" r="0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24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00"/>
    <w:rsid w:val="002D0C00"/>
    <w:rsid w:val="00A46C7C"/>
    <w:rsid w:val="00D24BFD"/>
    <w:rsid w:val="00D9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F151-4DBB-4CFF-A542-3083AE3D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3B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Arbeitsblat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6 months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prevalence of FA (n = 907/1101/646)</c:v>
                </c:pt>
                <c:pt idx="1">
                  <c:v>gastrointestinal symptoms (n = 949/1096/644)</c:v>
                </c:pt>
                <c:pt idx="2">
                  <c:v>dermatological symptoms (n = 943/1104/651)</c:v>
                </c:pt>
                <c:pt idx="3">
                  <c:v>respiratoy symptoms (n = 972/1102/652)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0.14199999999999999</c:v>
                </c:pt>
                <c:pt idx="1">
                  <c:v>9.2999999999999999E-2</c:v>
                </c:pt>
                <c:pt idx="2">
                  <c:v>6.6000000000000003E-2</c:v>
                </c:pt>
                <c:pt idx="3">
                  <c:v>4.0000000000000001E-3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A17-4BF6-BF34-97E355BE117F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12 months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prevalence of FA (n = 907/1101/646)</c:v>
                </c:pt>
                <c:pt idx="1">
                  <c:v>gastrointestinal symptoms (n = 949/1096/644)</c:v>
                </c:pt>
                <c:pt idx="2">
                  <c:v>dermatological symptoms (n = 943/1104/651)</c:v>
                </c:pt>
                <c:pt idx="3">
                  <c:v>respiratoy symptoms (n = 972/1102/652)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0.13200000000000001</c:v>
                </c:pt>
                <c:pt idx="1">
                  <c:v>8.2000000000000003E-2</c:v>
                </c:pt>
                <c:pt idx="2">
                  <c:v>8.1000000000000003E-2</c:v>
                </c:pt>
                <c:pt idx="3">
                  <c:v>4.0000000000000001E-3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A17-4BF6-BF34-97E355BE117F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24 months</c:v>
                </c:pt>
              </c:strCache>
            </c:strRef>
          </c:tx>
          <c:spPr>
            <a:solidFill>
              <a:schemeClr val="tx1">
                <a:lumMod val="95000"/>
                <a:lumOff val="5000"/>
              </a:schemeClr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prevalence of FA (n = 907/1101/646)</c:v>
                </c:pt>
                <c:pt idx="1">
                  <c:v>gastrointestinal symptoms (n = 949/1096/644)</c:v>
                </c:pt>
                <c:pt idx="2">
                  <c:v>dermatological symptoms (n = 943/1104/651)</c:v>
                </c:pt>
                <c:pt idx="3">
                  <c:v>respiratoy symptoms (n = 972/1102/652)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0.13900000000000001</c:v>
                </c:pt>
                <c:pt idx="1">
                  <c:v>8.2000000000000003E-2</c:v>
                </c:pt>
                <c:pt idx="2">
                  <c:v>8.7999999999999995E-2</c:v>
                </c:pt>
                <c:pt idx="3">
                  <c:v>3.0000000000000001E-3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A17-4BF6-BF34-97E355BE1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2224472"/>
        <c:axId val="712224864"/>
      </c:barChart>
      <c:catAx>
        <c:axId val="712224472"/>
        <c:scaling>
          <c:orientation val="minMax"/>
        </c:scaling>
        <c:delete val="0"/>
        <c:axPos val="b"/>
        <c:numFmt formatCode="0%" sourceLinked="0"/>
        <c:majorTickMark val="none"/>
        <c:minorTickMark val="none"/>
        <c:tickLblPos val="nextTo"/>
        <c:spPr>
          <a:noFill/>
          <a:ln w="951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e-DE"/>
          </a:p>
        </c:txPr>
        <c:crossAx val="712224864"/>
        <c:crosses val="autoZero"/>
        <c:auto val="1"/>
        <c:lblAlgn val="ctr"/>
        <c:lblOffset val="100"/>
        <c:noMultiLvlLbl val="0"/>
      </c:catAx>
      <c:valAx>
        <c:axId val="712224864"/>
        <c:scaling>
          <c:orientation val="minMax"/>
        </c:scaling>
        <c:delete val="0"/>
        <c:axPos val="l"/>
        <c:majorGridlines>
          <c:spPr>
            <a:ln w="951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e-DE"/>
          </a:p>
        </c:txPr>
        <c:crossAx val="712224472"/>
        <c:crosses val="autoZero"/>
        <c:crossBetween val="between"/>
        <c:majorUnit val="1.0000000000000002E-2"/>
      </c:valAx>
      <c:spPr>
        <a:noFill/>
        <a:ln w="25370">
          <a:noFill/>
        </a:ln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99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1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A5CAA62C.dotm</Template>
  <TotalTime>0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Barmherzige Brüder Regensburg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Harner, Dr. med. Susanne</dc:creator>
  <cp:keywords/>
  <dc:description/>
  <cp:lastModifiedBy>Harner, Dr. med. Susanne</cp:lastModifiedBy>
  <cp:revision>2</cp:revision>
  <dcterms:created xsi:type="dcterms:W3CDTF">2021-05-18T14:06:00Z</dcterms:created>
  <dcterms:modified xsi:type="dcterms:W3CDTF">2021-05-18T14:35:00Z</dcterms:modified>
</cp:coreProperties>
</file>