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0B3" w:rsidRDefault="002F10B3" w:rsidP="002F10B3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Figure 3: </w:t>
      </w:r>
      <w:r>
        <w:rPr>
          <w:rFonts w:ascii="Times New Roman" w:hAnsi="Times New Roman"/>
          <w:sz w:val="24"/>
          <w:szCs w:val="24"/>
        </w:rPr>
        <w:t>Occurrence of parent-reported adverse reactions to food allergens in the first 2 years of life (n = 189) and proportion of core foods causing the adverse reactions reported for specific months</w:t>
      </w:r>
    </w:p>
    <w:p w:rsidR="00D24BFD" w:rsidRDefault="002F10B3" w:rsidP="002F10B3">
      <w:r>
        <w:rPr>
          <w:noProof/>
          <w:lang w:val="de-DE" w:eastAsia="de-DE"/>
        </w:rPr>
        <w:drawing>
          <wp:inline distT="0" distB="0" distL="0" distR="0">
            <wp:extent cx="5514975" cy="3771900"/>
            <wp:effectExtent l="0" t="0" r="9525" b="0"/>
            <wp:docPr id="3" name="Diagram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D24B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345"/>
    <w:rsid w:val="002F10B3"/>
    <w:rsid w:val="00592345"/>
    <w:rsid w:val="00A46C7C"/>
    <w:rsid w:val="00D2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D4089-23A6-4012-9EF5-BDB0131AC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10B3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-Arbeitsblat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0897127442403016E-2"/>
          <c:y val="4.5156117196144777E-2"/>
          <c:w val="0.88330307669874597"/>
          <c:h val="0.72404308836395448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other food allergens</c:v>
                </c:pt>
              </c:strCache>
            </c:strRef>
          </c:tx>
          <c:spPr>
            <a:solidFill>
              <a:srgbClr val="000000"/>
            </a:solidFill>
            <a:ln>
              <a:noFill/>
            </a:ln>
            <a:effectLst/>
          </c:spPr>
          <c:invertIfNegative val="0"/>
          <c:cat>
            <c:numRef>
              <c:f>Tabelle1!$A$2:$A$27</c:f>
              <c:numCache>
                <c:formatCode>General</c:formatCode>
                <c:ptCount val="2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</c:numCache>
            </c:numRef>
          </c:cat>
          <c:val>
            <c:numRef>
              <c:f>Tabelle1!$B$2:$B$27</c:f>
              <c:numCache>
                <c:formatCode>General</c:formatCode>
                <c:ptCount val="26"/>
                <c:pt idx="0">
                  <c:v>0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1</c:v>
                </c:pt>
                <c:pt idx="5">
                  <c:v>1</c:v>
                </c:pt>
                <c:pt idx="6">
                  <c:v>3</c:v>
                </c:pt>
                <c:pt idx="7">
                  <c:v>1</c:v>
                </c:pt>
                <c:pt idx="8">
                  <c:v>0</c:v>
                </c:pt>
                <c:pt idx="9">
                  <c:v>0</c:v>
                </c:pt>
                <c:pt idx="10">
                  <c:v>3</c:v>
                </c:pt>
                <c:pt idx="11">
                  <c:v>1</c:v>
                </c:pt>
                <c:pt idx="12">
                  <c:v>3</c:v>
                </c:pt>
                <c:pt idx="13">
                  <c:v>0</c:v>
                </c:pt>
                <c:pt idx="14">
                  <c:v>1</c:v>
                </c:pt>
                <c:pt idx="15">
                  <c:v>1</c:v>
                </c:pt>
                <c:pt idx="16">
                  <c:v>0</c:v>
                </c:pt>
                <c:pt idx="17">
                  <c:v>0</c:v>
                </c:pt>
                <c:pt idx="18">
                  <c:v>2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1</c:v>
                </c:pt>
                <c:pt idx="24">
                  <c:v>1</c:v>
                </c:pt>
                <c:pt idx="2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0A0-4AB1-AA3C-F75885EFE3F5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other fruits</c:v>
                </c:pt>
              </c:strCache>
            </c:strRef>
          </c:tx>
          <c:spPr>
            <a:solidFill>
              <a:srgbClr val="FF9900"/>
            </a:solidFill>
          </c:spPr>
          <c:invertIfNegative val="0"/>
          <c:cat>
            <c:numRef>
              <c:f>Tabelle1!$A$2:$A$27</c:f>
              <c:numCache>
                <c:formatCode>General</c:formatCode>
                <c:ptCount val="2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</c:numCache>
            </c:numRef>
          </c:cat>
          <c:val>
            <c:numRef>
              <c:f>Tabelle1!$C$2:$C$27</c:f>
              <c:numCache>
                <c:formatCode>General</c:formatCode>
                <c:ptCount val="26"/>
                <c:pt idx="0">
                  <c:v>1</c:v>
                </c:pt>
                <c:pt idx="1">
                  <c:v>2</c:v>
                </c:pt>
                <c:pt idx="2">
                  <c:v>0</c:v>
                </c:pt>
                <c:pt idx="3">
                  <c:v>0</c:v>
                </c:pt>
                <c:pt idx="4">
                  <c:v>11</c:v>
                </c:pt>
                <c:pt idx="5">
                  <c:v>22</c:v>
                </c:pt>
                <c:pt idx="6">
                  <c:v>13</c:v>
                </c:pt>
                <c:pt idx="7">
                  <c:v>4</c:v>
                </c:pt>
                <c:pt idx="8">
                  <c:v>6</c:v>
                </c:pt>
                <c:pt idx="9">
                  <c:v>2</c:v>
                </c:pt>
                <c:pt idx="10">
                  <c:v>5</c:v>
                </c:pt>
                <c:pt idx="11">
                  <c:v>5</c:v>
                </c:pt>
                <c:pt idx="12">
                  <c:v>5</c:v>
                </c:pt>
                <c:pt idx="13">
                  <c:v>3</c:v>
                </c:pt>
                <c:pt idx="14">
                  <c:v>0</c:v>
                </c:pt>
                <c:pt idx="15">
                  <c:v>1</c:v>
                </c:pt>
                <c:pt idx="16">
                  <c:v>1</c:v>
                </c:pt>
                <c:pt idx="17">
                  <c:v>0</c:v>
                </c:pt>
                <c:pt idx="18">
                  <c:v>1</c:v>
                </c:pt>
                <c:pt idx="19">
                  <c:v>0</c:v>
                </c:pt>
                <c:pt idx="20">
                  <c:v>2</c:v>
                </c:pt>
                <c:pt idx="21">
                  <c:v>0</c:v>
                </c:pt>
                <c:pt idx="22">
                  <c:v>0</c:v>
                </c:pt>
                <c:pt idx="23">
                  <c:v>1</c:v>
                </c:pt>
                <c:pt idx="24">
                  <c:v>1</c:v>
                </c:pt>
                <c:pt idx="25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0A0-4AB1-AA3C-F75885EFE3F5}"/>
            </c:ext>
          </c:extLst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milk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Pt>
            <c:idx val="6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1A12-4906-A33A-2E4563C3001E}"/>
              </c:ext>
            </c:extLst>
          </c:dPt>
          <c:cat>
            <c:numRef>
              <c:f>Tabelle1!$A$2:$A$27</c:f>
              <c:numCache>
                <c:formatCode>General</c:formatCode>
                <c:ptCount val="2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</c:numCache>
            </c:numRef>
          </c:cat>
          <c:val>
            <c:numRef>
              <c:f>Tabelle1!$D$2:$D$27</c:f>
              <c:numCache>
                <c:formatCode>General</c:formatCode>
                <c:ptCount val="26"/>
                <c:pt idx="0">
                  <c:v>0</c:v>
                </c:pt>
                <c:pt idx="1">
                  <c:v>8</c:v>
                </c:pt>
                <c:pt idx="2">
                  <c:v>2</c:v>
                </c:pt>
                <c:pt idx="3">
                  <c:v>5</c:v>
                </c:pt>
                <c:pt idx="4">
                  <c:v>2</c:v>
                </c:pt>
                <c:pt idx="5">
                  <c:v>5</c:v>
                </c:pt>
                <c:pt idx="6">
                  <c:v>8</c:v>
                </c:pt>
                <c:pt idx="7">
                  <c:v>2</c:v>
                </c:pt>
                <c:pt idx="8">
                  <c:v>3</c:v>
                </c:pt>
                <c:pt idx="9">
                  <c:v>0</c:v>
                </c:pt>
                <c:pt idx="10">
                  <c:v>4</c:v>
                </c:pt>
                <c:pt idx="11">
                  <c:v>0</c:v>
                </c:pt>
                <c:pt idx="12">
                  <c:v>1</c:v>
                </c:pt>
                <c:pt idx="13">
                  <c:v>1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0A0-4AB1-AA3C-F75885EFE3F5}"/>
            </c:ext>
          </c:extLst>
        </c:ser>
        <c:ser>
          <c:idx val="3"/>
          <c:order val="3"/>
          <c:tx>
            <c:strRef>
              <c:f>Tabelle1!$E$1</c:f>
              <c:strCache>
                <c:ptCount val="1"/>
                <c:pt idx="0">
                  <c:v>citrus fruits</c:v>
                </c:pt>
              </c:strCache>
            </c:strRef>
          </c:tx>
          <c:spPr>
            <a:solidFill>
              <a:srgbClr val="FFFF00"/>
            </a:solidFill>
            <a:ln>
              <a:noFill/>
            </a:ln>
            <a:effectLst/>
          </c:spPr>
          <c:invertIfNegative val="0"/>
          <c:cat>
            <c:numRef>
              <c:f>Tabelle1!$A$2:$A$27</c:f>
              <c:numCache>
                <c:formatCode>General</c:formatCode>
                <c:ptCount val="2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</c:numCache>
            </c:numRef>
          </c:cat>
          <c:val>
            <c:numRef>
              <c:f>Tabelle1!$E$2:$E$27</c:f>
              <c:numCache>
                <c:formatCode>General</c:formatCode>
                <c:ptCount val="26"/>
                <c:pt idx="0">
                  <c:v>1</c:v>
                </c:pt>
                <c:pt idx="1">
                  <c:v>2</c:v>
                </c:pt>
                <c:pt idx="2">
                  <c:v>0</c:v>
                </c:pt>
                <c:pt idx="3">
                  <c:v>1</c:v>
                </c:pt>
                <c:pt idx="4">
                  <c:v>0</c:v>
                </c:pt>
                <c:pt idx="5">
                  <c:v>4</c:v>
                </c:pt>
                <c:pt idx="6">
                  <c:v>3</c:v>
                </c:pt>
                <c:pt idx="7">
                  <c:v>3</c:v>
                </c:pt>
                <c:pt idx="8">
                  <c:v>2</c:v>
                </c:pt>
                <c:pt idx="9">
                  <c:v>0</c:v>
                </c:pt>
                <c:pt idx="10">
                  <c:v>2</c:v>
                </c:pt>
                <c:pt idx="11">
                  <c:v>1</c:v>
                </c:pt>
                <c:pt idx="12">
                  <c:v>6</c:v>
                </c:pt>
                <c:pt idx="13">
                  <c:v>1</c:v>
                </c:pt>
                <c:pt idx="14">
                  <c:v>1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2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1</c:v>
                </c:pt>
                <c:pt idx="2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70A0-4AB1-AA3C-F75885EFE3F5}"/>
            </c:ext>
          </c:extLst>
        </c:ser>
        <c:ser>
          <c:idx val="4"/>
          <c:order val="4"/>
          <c:tx>
            <c:strRef>
              <c:f>Tabelle1!$F$1</c:f>
              <c:strCache>
                <c:ptCount val="1"/>
                <c:pt idx="0">
                  <c:v>wheat</c:v>
                </c:pt>
              </c:strCache>
            </c:strRef>
          </c:tx>
          <c:spPr>
            <a:solidFill>
              <a:srgbClr val="009900"/>
            </a:solidFill>
            <a:ln>
              <a:noFill/>
            </a:ln>
            <a:effectLst/>
          </c:spPr>
          <c:invertIfNegative val="0"/>
          <c:cat>
            <c:numRef>
              <c:f>Tabelle1!$A$2:$A$27</c:f>
              <c:numCache>
                <c:formatCode>General</c:formatCode>
                <c:ptCount val="2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</c:numCache>
            </c:numRef>
          </c:cat>
          <c:val>
            <c:numRef>
              <c:f>Tabelle1!$F$2:$F$27</c:f>
              <c:numCache>
                <c:formatCode>General</c:formatCode>
                <c:ptCount val="26"/>
                <c:pt idx="0">
                  <c:v>0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3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1</c:v>
                </c:pt>
                <c:pt idx="16">
                  <c:v>0</c:v>
                </c:pt>
                <c:pt idx="17">
                  <c:v>0</c:v>
                </c:pt>
                <c:pt idx="18">
                  <c:v>1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70A0-4AB1-AA3C-F75885EFE3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100"/>
        <c:axId val="1019844248"/>
        <c:axId val="1019846600"/>
      </c:barChart>
      <c:catAx>
        <c:axId val="10198442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999" b="0" i="0" u="none" strike="noStrike" baseline="0">
                    <a:solidFill>
                      <a:srgbClr val="333333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de-DE"/>
                  <a:t>months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18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99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de-DE"/>
          </a:p>
        </c:txPr>
        <c:crossAx val="1019846600"/>
        <c:crosses val="autoZero"/>
        <c:auto val="1"/>
        <c:lblAlgn val="ctr"/>
        <c:lblOffset val="100"/>
        <c:noMultiLvlLbl val="0"/>
      </c:catAx>
      <c:valAx>
        <c:axId val="1019846600"/>
        <c:scaling>
          <c:orientation val="minMax"/>
        </c:scaling>
        <c:delete val="0"/>
        <c:axPos val="l"/>
        <c:majorGridlines>
          <c:spPr>
            <a:ln w="9518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>
                  <a:defRPr sz="999" b="0" i="0" u="none" strike="noStrike" baseline="0">
                    <a:solidFill>
                      <a:srgbClr val="333333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de-DE"/>
                  <a:t>number of children</a:t>
                </a:r>
              </a:p>
            </c:rich>
          </c:tx>
          <c:layout>
            <c:manualLayout>
              <c:xMode val="edge"/>
              <c:yMode val="edge"/>
              <c:x val="1.3264331357873552E-3"/>
              <c:y val="0.2702970744844884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99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de-DE"/>
          </a:p>
        </c:txPr>
        <c:crossAx val="1019844248"/>
        <c:crosses val="autoZero"/>
        <c:crossBetween val="between"/>
      </c:valAx>
      <c:spPr>
        <a:noFill/>
        <a:ln w="25382">
          <a:noFill/>
        </a:ln>
      </c:spPr>
    </c:plotArea>
    <c:legend>
      <c:legendPos val="r"/>
      <c:layout>
        <c:manualLayout>
          <c:xMode val="edge"/>
          <c:yMode val="edge"/>
          <c:x val="5.7932537584745369E-2"/>
          <c:y val="0.92705029364801994"/>
          <c:w val="0.90322338823764881"/>
          <c:h val="7.294962495170337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99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de-DE"/>
        </a:p>
      </c:txPr>
    </c:legend>
    <c:plotVisOnly val="1"/>
    <c:dispBlanksAs val="gap"/>
    <c:showDLblsOverMax val="0"/>
  </c:chart>
  <c:spPr>
    <a:solidFill>
      <a:schemeClr val="bg1"/>
    </a:solidFill>
    <a:ln w="9518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A5CAA62C.dotm</Template>
  <TotalTime>0</TotalTime>
  <Pages>1</Pages>
  <Words>32</Words>
  <Characters>173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Barmherzige Brüder Regensburg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Harner, Dr. med. Susanne</dc:creator>
  <cp:keywords/>
  <dc:description/>
  <cp:lastModifiedBy>Harner, Dr. med. Susanne</cp:lastModifiedBy>
  <cp:revision>2</cp:revision>
  <dcterms:created xsi:type="dcterms:W3CDTF">2021-05-18T14:08:00Z</dcterms:created>
  <dcterms:modified xsi:type="dcterms:W3CDTF">2021-05-18T14:36:00Z</dcterms:modified>
</cp:coreProperties>
</file>