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D95" w:rsidRPr="008673F9" w:rsidRDefault="00881D95" w:rsidP="00881D95">
      <w:pPr>
        <w:pStyle w:val="CitaviBibliographyHeading"/>
        <w:jc w:val="both"/>
        <w:rPr>
          <w:rFonts w:ascii="Arial" w:hAnsi="Arial" w:cs="Arial"/>
          <w:sz w:val="24"/>
          <w:szCs w:val="24"/>
        </w:rPr>
      </w:pPr>
      <w:r w:rsidRPr="008673F9">
        <w:rPr>
          <w:rFonts w:ascii="Arial" w:hAnsi="Arial" w:cs="Arial"/>
          <w:sz w:val="24"/>
          <w:szCs w:val="24"/>
        </w:rPr>
        <w:t>References</w:t>
      </w:r>
    </w:p>
    <w:sdt>
      <w:sdtPr>
        <w:rPr>
          <w:rFonts w:ascii="Arial" w:hAnsi="Arial" w:cs="Arial"/>
          <w:b/>
          <w:bCs/>
        </w:rPr>
        <w:tag w:val="CitaviBibliography"/>
        <w:id w:val="-1170252388"/>
        <w:placeholder>
          <w:docPart w:val="CA88209BA4399249A2B2252838034221"/>
        </w:placeholder>
      </w:sdtPr>
      <w:sdtEndPr>
        <w:rPr>
          <w:rFonts w:ascii="Calibri" w:hAnsi="Calibri" w:cs="Times New Roman"/>
          <w:b w:val="0"/>
          <w:bCs w:val="0"/>
        </w:rPr>
      </w:sdtEndPr>
      <w:sdtContent>
        <w:p w:rsidR="00881D95" w:rsidRPr="008673F9" w:rsidRDefault="00881D95" w:rsidP="00881D95">
          <w:pPr>
            <w:autoSpaceDE w:val="0"/>
            <w:autoSpaceDN w:val="0"/>
            <w:adjustRightInd w:val="0"/>
            <w:spacing w:line="480" w:lineRule="auto"/>
            <w:jc w:val="both"/>
            <w:rPr>
              <w:rFonts w:ascii="Arial" w:hAnsi="Arial" w:cs="Arial"/>
            </w:rPr>
          </w:pPr>
          <w:r w:rsidRPr="008673F9">
            <w:rPr>
              <w:rFonts w:ascii="Arial" w:eastAsia="Times New Roman" w:hAnsi="Arial" w:cs="Arial"/>
              <w:b/>
              <w:bCs/>
              <w:kern w:val="32"/>
              <w:sz w:val="32"/>
              <w:szCs w:val="32"/>
              <w:lang w:val="de-DE" w:eastAsia="de-DE"/>
            </w:rPr>
            <w:fldChar w:fldCharType="begin"/>
          </w:r>
          <w:r w:rsidRPr="008673F9">
            <w:rPr>
              <w:rFonts w:ascii="Arial" w:hAnsi="Arial" w:cs="Arial"/>
            </w:rPr>
            <w:instrText>ADDIN CitaviBibliography</w:instrText>
          </w:r>
          <w:r w:rsidRPr="008673F9">
            <w:rPr>
              <w:rFonts w:ascii="Arial" w:eastAsia="Times New Roman" w:hAnsi="Arial" w:cs="Arial"/>
              <w:b/>
              <w:bCs/>
              <w:kern w:val="32"/>
              <w:sz w:val="32"/>
              <w:szCs w:val="32"/>
              <w:lang w:val="de-DE" w:eastAsia="de-DE"/>
            </w:rPr>
            <w:fldChar w:fldCharType="separate"/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t>1.</w:t>
          </w:r>
          <w:r w:rsidRPr="008673F9">
            <w:rPr>
              <w:rFonts w:ascii="Arial" w:hAnsi="Arial" w:cs="Arial"/>
            </w:rPr>
            <w:tab/>
          </w:r>
          <w:bookmarkStart w:id="0" w:name="_CTVL001340da25df62044c59ae4aedaf0793c12"/>
          <w:r w:rsidRPr="008673F9">
            <w:rPr>
              <w:rFonts w:ascii="Arial" w:hAnsi="Arial" w:cs="Arial"/>
            </w:rPr>
            <w:t xml:space="preserve">Pearce N, </w:t>
          </w:r>
          <w:proofErr w:type="spellStart"/>
          <w:r w:rsidRPr="008673F9">
            <w:rPr>
              <w:rFonts w:ascii="Arial" w:hAnsi="Arial" w:cs="Arial"/>
            </w:rPr>
            <w:t>Aït</w:t>
          </w:r>
          <w:proofErr w:type="spellEnd"/>
          <w:r w:rsidRPr="008673F9">
            <w:rPr>
              <w:rFonts w:ascii="Arial" w:hAnsi="Arial" w:cs="Arial"/>
            </w:rPr>
            <w:t xml:space="preserve">-Khaled N, Beasley R, et al. Worldwide trends in the prevalence of asthma symptoms: phase III of the International Study of Asthma and Allergies in Childhood (ISAAC). </w:t>
          </w:r>
          <w:bookmarkEnd w:id="0"/>
          <w:r w:rsidRPr="008673F9">
            <w:rPr>
              <w:rFonts w:ascii="Arial" w:hAnsi="Arial" w:cs="Arial"/>
              <w:i/>
            </w:rPr>
            <w:t>Thorax</w:t>
          </w:r>
          <w:r w:rsidRPr="008673F9">
            <w:rPr>
              <w:rFonts w:ascii="Arial" w:hAnsi="Arial" w:cs="Arial"/>
            </w:rPr>
            <w:t>. 2007;62(9):758-766. doi:10.1136/thx.2006.070169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t>2.</w:t>
          </w:r>
          <w:r w:rsidRPr="008673F9">
            <w:rPr>
              <w:rFonts w:ascii="Arial" w:hAnsi="Arial" w:cs="Arial"/>
            </w:rPr>
            <w:tab/>
          </w:r>
          <w:bookmarkStart w:id="1" w:name="_CTVL001ce8cb3da1cf54bc690c74cb2f14b749a"/>
          <w:r w:rsidRPr="008673F9">
            <w:rPr>
              <w:rFonts w:ascii="Arial" w:hAnsi="Arial" w:cs="Arial"/>
            </w:rPr>
            <w:t xml:space="preserve">Mullins RJ. </w:t>
          </w:r>
          <w:proofErr w:type="spellStart"/>
          <w:r w:rsidRPr="008673F9">
            <w:rPr>
              <w:rFonts w:ascii="Arial" w:hAnsi="Arial" w:cs="Arial"/>
            </w:rPr>
            <w:t>Paediatric</w:t>
          </w:r>
          <w:proofErr w:type="spellEnd"/>
          <w:r w:rsidRPr="008673F9">
            <w:rPr>
              <w:rFonts w:ascii="Arial" w:hAnsi="Arial" w:cs="Arial"/>
            </w:rPr>
            <w:t xml:space="preserve"> food allergy trends in a community-based specialist allergy practice, 1995-2006. </w:t>
          </w:r>
          <w:bookmarkEnd w:id="1"/>
          <w:r w:rsidRPr="008673F9">
            <w:rPr>
              <w:rFonts w:ascii="Arial" w:hAnsi="Arial" w:cs="Arial"/>
              <w:i/>
            </w:rPr>
            <w:t>Med J Aust</w:t>
          </w:r>
          <w:r w:rsidRPr="008673F9">
            <w:rPr>
              <w:rFonts w:ascii="Arial" w:hAnsi="Arial" w:cs="Arial"/>
            </w:rPr>
            <w:t>. 2007;186(12):618-621.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  <w:lang w:val="de-DE"/>
            </w:rPr>
          </w:pPr>
          <w:r w:rsidRPr="008673F9">
            <w:rPr>
              <w:rFonts w:ascii="Arial" w:hAnsi="Arial" w:cs="Arial"/>
            </w:rPr>
            <w:t>3.</w:t>
          </w:r>
          <w:r w:rsidRPr="008673F9">
            <w:rPr>
              <w:rFonts w:ascii="Arial" w:hAnsi="Arial" w:cs="Arial"/>
            </w:rPr>
            <w:tab/>
          </w:r>
          <w:bookmarkStart w:id="2" w:name="_CTVL001947b9cb579cd40d8a26f2f198b78794b"/>
          <w:r w:rsidRPr="008673F9">
            <w:rPr>
              <w:rFonts w:ascii="Arial" w:hAnsi="Arial" w:cs="Arial"/>
            </w:rPr>
            <w:t xml:space="preserve">Gupta R, Sheikh A, Strachan DP, Anderson HR. Time trends in allergic disorders in the UK. </w:t>
          </w:r>
          <w:bookmarkEnd w:id="2"/>
          <w:r w:rsidRPr="008673F9">
            <w:rPr>
              <w:rFonts w:ascii="Arial" w:hAnsi="Arial" w:cs="Arial"/>
              <w:i/>
              <w:lang w:val="de-DE"/>
            </w:rPr>
            <w:t>Thorax</w:t>
          </w:r>
          <w:r w:rsidRPr="008673F9">
            <w:rPr>
              <w:rFonts w:ascii="Arial" w:hAnsi="Arial" w:cs="Arial"/>
              <w:lang w:val="de-DE"/>
            </w:rPr>
            <w:t>. 2007;62(1):91-96. doi:10.1136/thx.2004.038844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  <w:lang w:val="de-DE"/>
            </w:rPr>
          </w:pPr>
          <w:r w:rsidRPr="008673F9">
            <w:rPr>
              <w:rFonts w:ascii="Arial" w:hAnsi="Arial" w:cs="Arial"/>
              <w:lang w:val="de-DE"/>
            </w:rPr>
            <w:t>4.</w:t>
          </w:r>
          <w:r w:rsidRPr="008673F9">
            <w:rPr>
              <w:rFonts w:ascii="Arial" w:hAnsi="Arial" w:cs="Arial"/>
              <w:lang w:val="de-DE"/>
            </w:rPr>
            <w:tab/>
          </w:r>
          <w:bookmarkStart w:id="3" w:name="_CTVL001f289e5218b344c719f933626b6926648"/>
          <w:r w:rsidRPr="008673F9">
            <w:rPr>
              <w:rFonts w:ascii="Arial" w:hAnsi="Arial" w:cs="Arial"/>
              <w:lang w:val="de-DE"/>
            </w:rPr>
            <w:t xml:space="preserve">Schuh C, Fritscher LG, Chapman KR, Fritscher CC. </w:t>
          </w:r>
          <w:r w:rsidRPr="008673F9">
            <w:rPr>
              <w:rFonts w:ascii="Arial" w:hAnsi="Arial" w:cs="Arial"/>
            </w:rPr>
            <w:t xml:space="preserve">The prevalence of asthma and atopy in schoolchildren from Porto Alegre, Brazil, has plateaued. </w:t>
          </w:r>
          <w:bookmarkEnd w:id="3"/>
          <w:proofErr w:type="spellStart"/>
          <w:r w:rsidRPr="008673F9">
            <w:rPr>
              <w:rFonts w:ascii="Arial" w:hAnsi="Arial" w:cs="Arial"/>
              <w:i/>
              <w:lang w:val="de-DE"/>
            </w:rPr>
            <w:t>Respir</w:t>
          </w:r>
          <w:proofErr w:type="spellEnd"/>
          <w:r w:rsidRPr="008673F9">
            <w:rPr>
              <w:rFonts w:ascii="Arial" w:hAnsi="Arial" w:cs="Arial"/>
              <w:i/>
              <w:lang w:val="de-DE"/>
            </w:rPr>
            <w:t xml:space="preserve"> Med</w:t>
          </w:r>
          <w:r w:rsidRPr="008673F9">
            <w:rPr>
              <w:rFonts w:ascii="Arial" w:hAnsi="Arial" w:cs="Arial"/>
              <w:lang w:val="de-DE"/>
            </w:rPr>
            <w:t xml:space="preserve">. 2015;109(3):308-311. </w:t>
          </w:r>
          <w:proofErr w:type="gramStart"/>
          <w:r w:rsidRPr="008673F9">
            <w:rPr>
              <w:rFonts w:ascii="Arial" w:hAnsi="Arial" w:cs="Arial"/>
              <w:lang w:val="de-DE"/>
            </w:rPr>
            <w:t>doi:10.1016/j.rmed</w:t>
          </w:r>
          <w:proofErr w:type="gramEnd"/>
          <w:r w:rsidRPr="008673F9">
            <w:rPr>
              <w:rFonts w:ascii="Arial" w:hAnsi="Arial" w:cs="Arial"/>
              <w:lang w:val="de-DE"/>
            </w:rPr>
            <w:t>.2015.01.014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  <w:lang w:val="de-DE"/>
            </w:rPr>
            <w:t>5.</w:t>
          </w:r>
          <w:r w:rsidRPr="008673F9">
            <w:rPr>
              <w:rFonts w:ascii="Arial" w:hAnsi="Arial" w:cs="Arial"/>
              <w:lang w:val="de-DE"/>
            </w:rPr>
            <w:tab/>
          </w:r>
          <w:bookmarkStart w:id="4" w:name="_CTVL001aec2731ac41b4180beeb65401eb2c8e5"/>
          <w:r w:rsidRPr="008673F9">
            <w:rPr>
              <w:rFonts w:ascii="Arial" w:hAnsi="Arial" w:cs="Arial"/>
              <w:lang w:val="de-DE"/>
            </w:rPr>
            <w:t xml:space="preserve">Braun-Fahrländer C, Gassner M, </w:t>
          </w:r>
          <w:proofErr w:type="spellStart"/>
          <w:r w:rsidRPr="008673F9">
            <w:rPr>
              <w:rFonts w:ascii="Arial" w:hAnsi="Arial" w:cs="Arial"/>
              <w:lang w:val="de-DE"/>
            </w:rPr>
            <w:t>Grize</w:t>
          </w:r>
          <w:proofErr w:type="spellEnd"/>
          <w:r w:rsidRPr="008673F9">
            <w:rPr>
              <w:rFonts w:ascii="Arial" w:hAnsi="Arial" w:cs="Arial"/>
              <w:lang w:val="de-DE"/>
            </w:rPr>
            <w:t xml:space="preserve"> L, et al. </w:t>
          </w:r>
          <w:r w:rsidRPr="008673F9">
            <w:rPr>
              <w:rFonts w:ascii="Arial" w:hAnsi="Arial" w:cs="Arial"/>
            </w:rPr>
            <w:t xml:space="preserve">No further increase in asthma, hay fever and atopic </w:t>
          </w:r>
          <w:proofErr w:type="spellStart"/>
          <w:r w:rsidRPr="008673F9">
            <w:rPr>
              <w:rFonts w:ascii="Arial" w:hAnsi="Arial" w:cs="Arial"/>
            </w:rPr>
            <w:t>sensitisation</w:t>
          </w:r>
          <w:proofErr w:type="spellEnd"/>
          <w:r w:rsidRPr="008673F9">
            <w:rPr>
              <w:rFonts w:ascii="Arial" w:hAnsi="Arial" w:cs="Arial"/>
            </w:rPr>
            <w:t xml:space="preserve"> in adolescents living in Switzerland. </w:t>
          </w:r>
          <w:bookmarkEnd w:id="4"/>
          <w:proofErr w:type="spellStart"/>
          <w:r w:rsidRPr="008673F9">
            <w:rPr>
              <w:rFonts w:ascii="Arial" w:hAnsi="Arial" w:cs="Arial"/>
              <w:i/>
            </w:rPr>
            <w:t>Eur</w:t>
          </w:r>
          <w:proofErr w:type="spellEnd"/>
          <w:r w:rsidRPr="008673F9">
            <w:rPr>
              <w:rFonts w:ascii="Arial" w:hAnsi="Arial" w:cs="Arial"/>
              <w:i/>
            </w:rPr>
            <w:t xml:space="preserve"> Respir J</w:t>
          </w:r>
          <w:r w:rsidRPr="008673F9">
            <w:rPr>
              <w:rFonts w:ascii="Arial" w:hAnsi="Arial" w:cs="Arial"/>
            </w:rPr>
            <w:t>. 2004;23(3):407-413. doi:10.1183/09031936.04.00074004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t>6.</w:t>
          </w:r>
          <w:r w:rsidRPr="008673F9">
            <w:rPr>
              <w:rFonts w:ascii="Arial" w:hAnsi="Arial" w:cs="Arial"/>
            </w:rPr>
            <w:tab/>
          </w:r>
          <w:bookmarkStart w:id="5" w:name="_CTVL0010bd441c17bea4f0c8df91a310ca90ca8"/>
          <w:r w:rsidRPr="008673F9">
            <w:rPr>
              <w:rFonts w:ascii="Arial" w:hAnsi="Arial" w:cs="Arial"/>
            </w:rPr>
            <w:t xml:space="preserve">Prescott SL, </w:t>
          </w:r>
          <w:proofErr w:type="spellStart"/>
          <w:r w:rsidRPr="008673F9">
            <w:rPr>
              <w:rFonts w:ascii="Arial" w:hAnsi="Arial" w:cs="Arial"/>
            </w:rPr>
            <w:t>Pawankar</w:t>
          </w:r>
          <w:proofErr w:type="spellEnd"/>
          <w:r w:rsidRPr="008673F9">
            <w:rPr>
              <w:rFonts w:ascii="Arial" w:hAnsi="Arial" w:cs="Arial"/>
            </w:rPr>
            <w:t xml:space="preserve"> R, Allen KJ, et al. A global survey of changing patterns of food allergy burden in children. </w:t>
          </w:r>
          <w:bookmarkEnd w:id="5"/>
          <w:r w:rsidRPr="008673F9">
            <w:rPr>
              <w:rFonts w:ascii="Arial" w:hAnsi="Arial" w:cs="Arial"/>
              <w:i/>
            </w:rPr>
            <w:t>World Allergy Organ J</w:t>
          </w:r>
          <w:r w:rsidRPr="008673F9">
            <w:rPr>
              <w:rFonts w:ascii="Arial" w:hAnsi="Arial" w:cs="Arial"/>
            </w:rPr>
            <w:t>. 2013;6(1):21. doi:10.1186/1939-4551-6-21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  <w:lang w:val="de-DE"/>
            </w:rPr>
          </w:pPr>
          <w:r w:rsidRPr="008673F9">
            <w:rPr>
              <w:rFonts w:ascii="Arial" w:hAnsi="Arial" w:cs="Arial"/>
            </w:rPr>
            <w:t>7.</w:t>
          </w:r>
          <w:r w:rsidRPr="008673F9">
            <w:rPr>
              <w:rFonts w:ascii="Arial" w:hAnsi="Arial" w:cs="Arial"/>
            </w:rPr>
            <w:tab/>
          </w:r>
          <w:bookmarkStart w:id="6" w:name="_CTVL001b39afb72bcd84823af88d995ff1d30ab"/>
          <w:proofErr w:type="spellStart"/>
          <w:r w:rsidRPr="008673F9">
            <w:rPr>
              <w:rFonts w:ascii="Arial" w:hAnsi="Arial" w:cs="Arial"/>
            </w:rPr>
            <w:t>Motosue</w:t>
          </w:r>
          <w:proofErr w:type="spellEnd"/>
          <w:r w:rsidRPr="008673F9">
            <w:rPr>
              <w:rFonts w:ascii="Arial" w:hAnsi="Arial" w:cs="Arial"/>
            </w:rPr>
            <w:t xml:space="preserve"> MS, </w:t>
          </w:r>
          <w:proofErr w:type="spellStart"/>
          <w:r w:rsidRPr="008673F9">
            <w:rPr>
              <w:rFonts w:ascii="Arial" w:hAnsi="Arial" w:cs="Arial"/>
            </w:rPr>
            <w:t>Bellolio</w:t>
          </w:r>
          <w:proofErr w:type="spellEnd"/>
          <w:r w:rsidRPr="008673F9">
            <w:rPr>
              <w:rFonts w:ascii="Arial" w:hAnsi="Arial" w:cs="Arial"/>
            </w:rPr>
            <w:t xml:space="preserve"> MF, van </w:t>
          </w:r>
          <w:proofErr w:type="spellStart"/>
          <w:r w:rsidRPr="008673F9">
            <w:rPr>
              <w:rFonts w:ascii="Arial" w:hAnsi="Arial" w:cs="Arial"/>
            </w:rPr>
            <w:t>Houten</w:t>
          </w:r>
          <w:proofErr w:type="spellEnd"/>
          <w:r w:rsidRPr="008673F9">
            <w:rPr>
              <w:rFonts w:ascii="Arial" w:hAnsi="Arial" w:cs="Arial"/>
            </w:rPr>
            <w:t xml:space="preserve"> HK, Shah ND, Campbell RL. National trends in emergency department visits and hospitalizations for food-induced anaphylaxis in US children. </w:t>
          </w:r>
          <w:bookmarkEnd w:id="6"/>
          <w:proofErr w:type="spellStart"/>
          <w:r w:rsidRPr="008673F9">
            <w:rPr>
              <w:rFonts w:ascii="Arial" w:hAnsi="Arial" w:cs="Arial"/>
              <w:i/>
              <w:lang w:val="de-DE"/>
            </w:rPr>
            <w:t>Pediatr</w:t>
          </w:r>
          <w:proofErr w:type="spellEnd"/>
          <w:r w:rsidRPr="008673F9">
            <w:rPr>
              <w:rFonts w:ascii="Arial" w:hAnsi="Arial" w:cs="Arial"/>
              <w:i/>
              <w:lang w:val="de-DE"/>
            </w:rPr>
            <w:t xml:space="preserve"> </w:t>
          </w:r>
          <w:proofErr w:type="spellStart"/>
          <w:r w:rsidRPr="008673F9">
            <w:rPr>
              <w:rFonts w:ascii="Arial" w:hAnsi="Arial" w:cs="Arial"/>
              <w:i/>
              <w:lang w:val="de-DE"/>
            </w:rPr>
            <w:t>Allergy</w:t>
          </w:r>
          <w:proofErr w:type="spellEnd"/>
          <w:r w:rsidRPr="008673F9">
            <w:rPr>
              <w:rFonts w:ascii="Arial" w:hAnsi="Arial" w:cs="Arial"/>
              <w:i/>
              <w:lang w:val="de-DE"/>
            </w:rPr>
            <w:t xml:space="preserve"> </w:t>
          </w:r>
          <w:proofErr w:type="spellStart"/>
          <w:r w:rsidRPr="008673F9">
            <w:rPr>
              <w:rFonts w:ascii="Arial" w:hAnsi="Arial" w:cs="Arial"/>
              <w:i/>
              <w:lang w:val="de-DE"/>
            </w:rPr>
            <w:t>Immunol</w:t>
          </w:r>
          <w:proofErr w:type="spellEnd"/>
          <w:r w:rsidRPr="008673F9">
            <w:rPr>
              <w:rFonts w:ascii="Arial" w:hAnsi="Arial" w:cs="Arial"/>
              <w:lang w:val="de-DE"/>
            </w:rPr>
            <w:t>. 2018;29(5):538-544. doi:10.1111/pai.12908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  <w:lang w:val="de-DE"/>
            </w:rPr>
            <w:t>8.</w:t>
          </w:r>
          <w:r w:rsidRPr="008673F9">
            <w:rPr>
              <w:rFonts w:ascii="Arial" w:hAnsi="Arial" w:cs="Arial"/>
              <w:lang w:val="de-DE"/>
            </w:rPr>
            <w:tab/>
          </w:r>
          <w:bookmarkStart w:id="7" w:name="_CTVL0014bbbcffa51574935ad2ee224286f8549"/>
          <w:r w:rsidRPr="008673F9">
            <w:rPr>
              <w:rFonts w:ascii="Arial" w:hAnsi="Arial" w:cs="Arial"/>
              <w:lang w:val="de-DE"/>
            </w:rPr>
            <w:t xml:space="preserve">McBride D, Keil T, </w:t>
          </w:r>
          <w:proofErr w:type="spellStart"/>
          <w:r w:rsidRPr="008673F9">
            <w:rPr>
              <w:rFonts w:ascii="Arial" w:hAnsi="Arial" w:cs="Arial"/>
              <w:lang w:val="de-DE"/>
            </w:rPr>
            <w:t>Grabenhenrich</w:t>
          </w:r>
          <w:proofErr w:type="spellEnd"/>
          <w:r w:rsidRPr="008673F9">
            <w:rPr>
              <w:rFonts w:ascii="Arial" w:hAnsi="Arial" w:cs="Arial"/>
              <w:lang w:val="de-DE"/>
            </w:rPr>
            <w:t xml:space="preserve"> L, et al. </w:t>
          </w:r>
          <w:r w:rsidRPr="008673F9">
            <w:rPr>
              <w:rFonts w:ascii="Arial" w:hAnsi="Arial" w:cs="Arial"/>
            </w:rPr>
            <w:t xml:space="preserve">The </w:t>
          </w:r>
          <w:proofErr w:type="spellStart"/>
          <w:r w:rsidRPr="008673F9">
            <w:rPr>
              <w:rFonts w:ascii="Arial" w:hAnsi="Arial" w:cs="Arial"/>
            </w:rPr>
            <w:t>EuroPrevall</w:t>
          </w:r>
          <w:proofErr w:type="spellEnd"/>
          <w:r w:rsidRPr="008673F9">
            <w:rPr>
              <w:rFonts w:ascii="Arial" w:hAnsi="Arial" w:cs="Arial"/>
            </w:rPr>
            <w:t xml:space="preserve"> birth cohort study on food allergy: baseline characteristics of 12,000 newborns and their families from nine European countries. </w:t>
          </w:r>
          <w:bookmarkEnd w:id="7"/>
          <w:proofErr w:type="spellStart"/>
          <w:r w:rsidRPr="008673F9">
            <w:rPr>
              <w:rFonts w:ascii="Arial" w:hAnsi="Arial" w:cs="Arial"/>
              <w:i/>
            </w:rPr>
            <w:t>Pediatr</w:t>
          </w:r>
          <w:proofErr w:type="spellEnd"/>
          <w:r w:rsidRPr="008673F9">
            <w:rPr>
              <w:rFonts w:ascii="Arial" w:hAnsi="Arial" w:cs="Arial"/>
              <w:i/>
            </w:rPr>
            <w:t xml:space="preserve"> Allergy Immunol</w:t>
          </w:r>
          <w:r w:rsidRPr="008673F9">
            <w:rPr>
              <w:rFonts w:ascii="Arial" w:hAnsi="Arial" w:cs="Arial"/>
            </w:rPr>
            <w:t>. 2012;23(3):230-239. doi:10.1111/j.1399-3038.</w:t>
          </w:r>
          <w:proofErr w:type="gramStart"/>
          <w:r w:rsidRPr="008673F9">
            <w:rPr>
              <w:rFonts w:ascii="Arial" w:hAnsi="Arial" w:cs="Arial"/>
            </w:rPr>
            <w:t>2011.01254.x</w:t>
          </w:r>
          <w:proofErr w:type="gramEnd"/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t>9.</w:t>
          </w:r>
          <w:r w:rsidRPr="008673F9">
            <w:rPr>
              <w:rFonts w:ascii="Arial" w:hAnsi="Arial" w:cs="Arial"/>
            </w:rPr>
            <w:tab/>
          </w:r>
          <w:bookmarkStart w:id="8" w:name="_CTVL0016b5c23cb0e0a49a7b2cc8d1bae631aa3"/>
          <w:r w:rsidRPr="008673F9">
            <w:rPr>
              <w:rFonts w:ascii="Arial" w:hAnsi="Arial" w:cs="Arial"/>
            </w:rPr>
            <w:t xml:space="preserve">Burney P, Summers C, Chinn S, Hooper R, van </w:t>
          </w:r>
          <w:proofErr w:type="spellStart"/>
          <w:r w:rsidRPr="008673F9">
            <w:rPr>
              <w:rFonts w:ascii="Arial" w:hAnsi="Arial" w:cs="Arial"/>
            </w:rPr>
            <w:t>Ree</w:t>
          </w:r>
          <w:proofErr w:type="spellEnd"/>
          <w:r w:rsidRPr="008673F9">
            <w:rPr>
              <w:rFonts w:ascii="Arial" w:hAnsi="Arial" w:cs="Arial"/>
            </w:rPr>
            <w:t xml:space="preserve"> R, </w:t>
          </w:r>
          <w:proofErr w:type="spellStart"/>
          <w:r w:rsidRPr="008673F9">
            <w:rPr>
              <w:rFonts w:ascii="Arial" w:hAnsi="Arial" w:cs="Arial"/>
            </w:rPr>
            <w:t>Lidholm</w:t>
          </w:r>
          <w:proofErr w:type="spellEnd"/>
          <w:r w:rsidRPr="008673F9">
            <w:rPr>
              <w:rFonts w:ascii="Arial" w:hAnsi="Arial" w:cs="Arial"/>
            </w:rPr>
            <w:t xml:space="preserve"> J. Prevalence and distribution of sensitization to foods in the European Community Respiratory Health Survey: a </w:t>
          </w:r>
          <w:proofErr w:type="spellStart"/>
          <w:r w:rsidRPr="008673F9">
            <w:rPr>
              <w:rFonts w:ascii="Arial" w:hAnsi="Arial" w:cs="Arial"/>
            </w:rPr>
            <w:t>EuroPrevall</w:t>
          </w:r>
          <w:proofErr w:type="spellEnd"/>
          <w:r w:rsidRPr="008673F9">
            <w:rPr>
              <w:rFonts w:ascii="Arial" w:hAnsi="Arial" w:cs="Arial"/>
            </w:rPr>
            <w:t xml:space="preserve"> analysis. </w:t>
          </w:r>
          <w:bookmarkEnd w:id="8"/>
          <w:r w:rsidRPr="008673F9">
            <w:rPr>
              <w:rFonts w:ascii="Arial" w:hAnsi="Arial" w:cs="Arial"/>
              <w:i/>
            </w:rPr>
            <w:t>Allergy</w:t>
          </w:r>
          <w:r w:rsidRPr="008673F9">
            <w:rPr>
              <w:rFonts w:ascii="Arial" w:hAnsi="Arial" w:cs="Arial"/>
            </w:rPr>
            <w:t>. 2010;65(9):1182-1188. doi:10.1111/j.1398-9995.</w:t>
          </w:r>
          <w:proofErr w:type="gramStart"/>
          <w:r w:rsidRPr="008673F9">
            <w:rPr>
              <w:rFonts w:ascii="Arial" w:hAnsi="Arial" w:cs="Arial"/>
            </w:rPr>
            <w:t>2010.02346.x</w:t>
          </w:r>
          <w:proofErr w:type="gramEnd"/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t>10.</w:t>
          </w:r>
          <w:r w:rsidRPr="008673F9">
            <w:rPr>
              <w:rFonts w:ascii="Arial" w:hAnsi="Arial" w:cs="Arial"/>
            </w:rPr>
            <w:tab/>
          </w:r>
          <w:bookmarkStart w:id="9" w:name="_CTVL00169a6a571c0a64c1faeab433a58303ff7"/>
          <w:proofErr w:type="spellStart"/>
          <w:r w:rsidRPr="008673F9">
            <w:rPr>
              <w:rFonts w:ascii="Arial" w:hAnsi="Arial" w:cs="Arial"/>
            </w:rPr>
            <w:t>Xepapadaki</w:t>
          </w:r>
          <w:proofErr w:type="spellEnd"/>
          <w:r w:rsidRPr="008673F9">
            <w:rPr>
              <w:rFonts w:ascii="Arial" w:hAnsi="Arial" w:cs="Arial"/>
            </w:rPr>
            <w:t xml:space="preserve"> P, </w:t>
          </w:r>
          <w:proofErr w:type="spellStart"/>
          <w:r w:rsidRPr="008673F9">
            <w:rPr>
              <w:rFonts w:ascii="Arial" w:hAnsi="Arial" w:cs="Arial"/>
            </w:rPr>
            <w:t>Fiocchi</w:t>
          </w:r>
          <w:proofErr w:type="spellEnd"/>
          <w:r w:rsidRPr="008673F9">
            <w:rPr>
              <w:rFonts w:ascii="Arial" w:hAnsi="Arial" w:cs="Arial"/>
            </w:rPr>
            <w:t xml:space="preserve"> A, </w:t>
          </w:r>
          <w:proofErr w:type="spellStart"/>
          <w:r w:rsidRPr="008673F9">
            <w:rPr>
              <w:rFonts w:ascii="Arial" w:hAnsi="Arial" w:cs="Arial"/>
            </w:rPr>
            <w:t>Grabenhenrich</w:t>
          </w:r>
          <w:proofErr w:type="spellEnd"/>
          <w:r w:rsidRPr="008673F9">
            <w:rPr>
              <w:rFonts w:ascii="Arial" w:hAnsi="Arial" w:cs="Arial"/>
            </w:rPr>
            <w:t xml:space="preserve"> L, et al. Incidence and natural history of hen's egg allergy in the first 2 years of life-the </w:t>
          </w:r>
          <w:proofErr w:type="spellStart"/>
          <w:r w:rsidRPr="008673F9">
            <w:rPr>
              <w:rFonts w:ascii="Arial" w:hAnsi="Arial" w:cs="Arial"/>
            </w:rPr>
            <w:t>EuroPrevall</w:t>
          </w:r>
          <w:proofErr w:type="spellEnd"/>
          <w:r w:rsidRPr="008673F9">
            <w:rPr>
              <w:rFonts w:ascii="Arial" w:hAnsi="Arial" w:cs="Arial"/>
            </w:rPr>
            <w:t xml:space="preserve"> birth cohort study. </w:t>
          </w:r>
          <w:bookmarkEnd w:id="9"/>
          <w:r w:rsidRPr="008673F9">
            <w:rPr>
              <w:rFonts w:ascii="Arial" w:hAnsi="Arial" w:cs="Arial"/>
              <w:i/>
            </w:rPr>
            <w:t>Allergy</w:t>
          </w:r>
          <w:r w:rsidRPr="008673F9">
            <w:rPr>
              <w:rFonts w:ascii="Arial" w:hAnsi="Arial" w:cs="Arial"/>
            </w:rPr>
            <w:t>. 2016;71(3):350-357. doi:10.1111/all.12801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t>11.</w:t>
          </w:r>
          <w:r w:rsidRPr="008673F9">
            <w:rPr>
              <w:rFonts w:ascii="Arial" w:hAnsi="Arial" w:cs="Arial"/>
            </w:rPr>
            <w:tab/>
          </w:r>
          <w:bookmarkStart w:id="10" w:name="_CTVL00190b1bd4145f84eb4beaf6fc6304162c8"/>
          <w:proofErr w:type="spellStart"/>
          <w:r w:rsidRPr="008673F9">
            <w:rPr>
              <w:rFonts w:ascii="Arial" w:hAnsi="Arial" w:cs="Arial"/>
            </w:rPr>
            <w:t>Brandstetter</w:t>
          </w:r>
          <w:proofErr w:type="spellEnd"/>
          <w:r w:rsidRPr="008673F9">
            <w:rPr>
              <w:rFonts w:ascii="Arial" w:hAnsi="Arial" w:cs="Arial"/>
            </w:rPr>
            <w:t xml:space="preserve"> S, </w:t>
          </w:r>
          <w:proofErr w:type="spellStart"/>
          <w:r w:rsidRPr="008673F9">
            <w:rPr>
              <w:rFonts w:ascii="Arial" w:hAnsi="Arial" w:cs="Arial"/>
            </w:rPr>
            <w:t>Toncheva</w:t>
          </w:r>
          <w:proofErr w:type="spellEnd"/>
          <w:r w:rsidRPr="008673F9">
            <w:rPr>
              <w:rFonts w:ascii="Arial" w:hAnsi="Arial" w:cs="Arial"/>
            </w:rPr>
            <w:t xml:space="preserve"> AA, </w:t>
          </w:r>
          <w:proofErr w:type="spellStart"/>
          <w:r w:rsidRPr="008673F9">
            <w:rPr>
              <w:rFonts w:ascii="Arial" w:hAnsi="Arial" w:cs="Arial"/>
            </w:rPr>
            <w:t>Niggel</w:t>
          </w:r>
          <w:proofErr w:type="spellEnd"/>
          <w:r w:rsidRPr="008673F9">
            <w:rPr>
              <w:rFonts w:ascii="Arial" w:hAnsi="Arial" w:cs="Arial"/>
            </w:rPr>
            <w:t xml:space="preserve"> J, et al. KUNO-Kids birth cohort study: rationale, design, and cohort description. </w:t>
          </w:r>
          <w:bookmarkEnd w:id="10"/>
          <w:proofErr w:type="spellStart"/>
          <w:r w:rsidRPr="008673F9">
            <w:rPr>
              <w:rFonts w:ascii="Arial" w:hAnsi="Arial" w:cs="Arial"/>
              <w:i/>
            </w:rPr>
            <w:t>Mol</w:t>
          </w:r>
          <w:proofErr w:type="spellEnd"/>
          <w:r w:rsidRPr="008673F9">
            <w:rPr>
              <w:rFonts w:ascii="Arial" w:hAnsi="Arial" w:cs="Arial"/>
              <w:i/>
            </w:rPr>
            <w:t xml:space="preserve"> Cell </w:t>
          </w:r>
          <w:proofErr w:type="spellStart"/>
          <w:r w:rsidRPr="008673F9">
            <w:rPr>
              <w:rFonts w:ascii="Arial" w:hAnsi="Arial" w:cs="Arial"/>
              <w:i/>
            </w:rPr>
            <w:t>Pediatr</w:t>
          </w:r>
          <w:proofErr w:type="spellEnd"/>
          <w:r w:rsidRPr="008673F9">
            <w:rPr>
              <w:rFonts w:ascii="Arial" w:hAnsi="Arial" w:cs="Arial"/>
            </w:rPr>
            <w:t>. 2019;6(1):1. doi:10.1186/s40348-018-0088-z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t>12.</w:t>
          </w:r>
          <w:r w:rsidRPr="008673F9">
            <w:rPr>
              <w:rFonts w:ascii="Arial" w:hAnsi="Arial" w:cs="Arial"/>
            </w:rPr>
            <w:tab/>
          </w:r>
          <w:bookmarkStart w:id="11" w:name="_CTVL00128a0de86268a45b28bc42afdce15a0c3"/>
          <w:r w:rsidRPr="008673F9">
            <w:rPr>
              <w:rFonts w:ascii="Arial" w:hAnsi="Arial" w:cs="Arial"/>
            </w:rPr>
            <w:t xml:space="preserve">Logan C, Zittel T, </w:t>
          </w:r>
          <w:proofErr w:type="spellStart"/>
          <w:r w:rsidRPr="008673F9">
            <w:rPr>
              <w:rFonts w:ascii="Arial" w:hAnsi="Arial" w:cs="Arial"/>
            </w:rPr>
            <w:t>Striebel</w:t>
          </w:r>
          <w:proofErr w:type="spellEnd"/>
          <w:r w:rsidRPr="008673F9">
            <w:rPr>
              <w:rFonts w:ascii="Arial" w:hAnsi="Arial" w:cs="Arial"/>
            </w:rPr>
            <w:t xml:space="preserve"> S, et al. Changing Societal and Lifestyle Factors and Breastfeeding Patterns Over Time. </w:t>
          </w:r>
          <w:bookmarkEnd w:id="11"/>
          <w:r w:rsidRPr="008673F9">
            <w:rPr>
              <w:rFonts w:ascii="Arial" w:hAnsi="Arial" w:cs="Arial"/>
              <w:i/>
            </w:rPr>
            <w:t>Pediatrics</w:t>
          </w:r>
          <w:r w:rsidRPr="008673F9">
            <w:rPr>
              <w:rFonts w:ascii="Arial" w:hAnsi="Arial" w:cs="Arial"/>
            </w:rPr>
            <w:t>. 2016;137(5). doi:10.1542/peds.2015-4473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lastRenderedPageBreak/>
            <w:t>13.</w:t>
          </w:r>
          <w:r w:rsidRPr="008673F9">
            <w:rPr>
              <w:rFonts w:ascii="Arial" w:hAnsi="Arial" w:cs="Arial"/>
            </w:rPr>
            <w:tab/>
          </w:r>
          <w:bookmarkStart w:id="12" w:name="_CTVL001772cb06b9173483cb6e45364a374cfb6"/>
          <w:proofErr w:type="spellStart"/>
          <w:r w:rsidRPr="008673F9">
            <w:rPr>
              <w:rFonts w:ascii="Arial" w:hAnsi="Arial" w:cs="Arial"/>
            </w:rPr>
            <w:t>Braig</w:t>
          </w:r>
          <w:proofErr w:type="spellEnd"/>
          <w:r w:rsidRPr="008673F9">
            <w:rPr>
              <w:rFonts w:ascii="Arial" w:hAnsi="Arial" w:cs="Arial"/>
            </w:rPr>
            <w:t xml:space="preserve"> S, Weiss JM, </w:t>
          </w:r>
          <w:proofErr w:type="spellStart"/>
          <w:r w:rsidRPr="008673F9">
            <w:rPr>
              <w:rFonts w:ascii="Arial" w:hAnsi="Arial" w:cs="Arial"/>
            </w:rPr>
            <w:t>Stalder</w:t>
          </w:r>
          <w:proofErr w:type="spellEnd"/>
          <w:r w:rsidRPr="008673F9">
            <w:rPr>
              <w:rFonts w:ascii="Arial" w:hAnsi="Arial" w:cs="Arial"/>
            </w:rPr>
            <w:t xml:space="preserve"> T, </w:t>
          </w:r>
          <w:proofErr w:type="spellStart"/>
          <w:r w:rsidRPr="008673F9">
            <w:rPr>
              <w:rFonts w:ascii="Arial" w:hAnsi="Arial" w:cs="Arial"/>
            </w:rPr>
            <w:t>Kirschbaum</w:t>
          </w:r>
          <w:proofErr w:type="spellEnd"/>
          <w:r w:rsidRPr="008673F9">
            <w:rPr>
              <w:rFonts w:ascii="Arial" w:hAnsi="Arial" w:cs="Arial"/>
            </w:rPr>
            <w:t xml:space="preserve"> C, </w:t>
          </w:r>
          <w:proofErr w:type="spellStart"/>
          <w:r w:rsidRPr="008673F9">
            <w:rPr>
              <w:rFonts w:ascii="Arial" w:hAnsi="Arial" w:cs="Arial"/>
            </w:rPr>
            <w:t>Rothenbacher</w:t>
          </w:r>
          <w:proofErr w:type="spellEnd"/>
          <w:r w:rsidRPr="008673F9">
            <w:rPr>
              <w:rFonts w:ascii="Arial" w:hAnsi="Arial" w:cs="Arial"/>
            </w:rPr>
            <w:t xml:space="preserve"> D, </w:t>
          </w:r>
          <w:proofErr w:type="spellStart"/>
          <w:r w:rsidRPr="008673F9">
            <w:rPr>
              <w:rFonts w:ascii="Arial" w:hAnsi="Arial" w:cs="Arial"/>
            </w:rPr>
            <w:t>Genuneit</w:t>
          </w:r>
          <w:proofErr w:type="spellEnd"/>
          <w:r w:rsidRPr="008673F9">
            <w:rPr>
              <w:rFonts w:ascii="Arial" w:hAnsi="Arial" w:cs="Arial"/>
            </w:rPr>
            <w:t xml:space="preserve"> J. Maternal prenatal stress and child atopic dermatitis up to age 2 years: The Ulm SPATZ health study. </w:t>
          </w:r>
          <w:bookmarkEnd w:id="12"/>
          <w:proofErr w:type="spellStart"/>
          <w:r w:rsidRPr="008673F9">
            <w:rPr>
              <w:rFonts w:ascii="Arial" w:hAnsi="Arial" w:cs="Arial"/>
              <w:i/>
            </w:rPr>
            <w:t>Pediatr</w:t>
          </w:r>
          <w:proofErr w:type="spellEnd"/>
          <w:r w:rsidRPr="008673F9">
            <w:rPr>
              <w:rFonts w:ascii="Arial" w:hAnsi="Arial" w:cs="Arial"/>
              <w:i/>
            </w:rPr>
            <w:t xml:space="preserve"> Allergy Immunol</w:t>
          </w:r>
          <w:r w:rsidRPr="008673F9">
            <w:rPr>
              <w:rFonts w:ascii="Arial" w:hAnsi="Arial" w:cs="Arial"/>
            </w:rPr>
            <w:t>. 2017;28(2):144-151. doi:10.1111/pai.12680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  <w:lang w:val="de-DE"/>
            </w:rPr>
          </w:pPr>
          <w:r w:rsidRPr="008673F9">
            <w:rPr>
              <w:rFonts w:ascii="Arial" w:hAnsi="Arial" w:cs="Arial"/>
            </w:rPr>
            <w:t>14.</w:t>
          </w:r>
          <w:r w:rsidRPr="008673F9">
            <w:rPr>
              <w:rFonts w:ascii="Arial" w:hAnsi="Arial" w:cs="Arial"/>
            </w:rPr>
            <w:tab/>
          </w:r>
          <w:bookmarkStart w:id="13" w:name="_CTVL0015864f6a8b27d47e6afed4c840dd422df"/>
          <w:r w:rsidRPr="008673F9">
            <w:rPr>
              <w:rFonts w:ascii="Arial" w:hAnsi="Arial" w:cs="Arial"/>
            </w:rPr>
            <w:t xml:space="preserve">Gupta M, </w:t>
          </w:r>
          <w:proofErr w:type="spellStart"/>
          <w:r w:rsidRPr="008673F9">
            <w:rPr>
              <w:rFonts w:ascii="Arial" w:hAnsi="Arial" w:cs="Arial"/>
            </w:rPr>
            <w:t>Sicherer</w:t>
          </w:r>
          <w:proofErr w:type="spellEnd"/>
          <w:r w:rsidRPr="008673F9">
            <w:rPr>
              <w:rFonts w:ascii="Arial" w:hAnsi="Arial" w:cs="Arial"/>
            </w:rPr>
            <w:t xml:space="preserve"> SH. Timing of food introduction and atopy prevention. </w:t>
          </w:r>
          <w:bookmarkEnd w:id="13"/>
          <w:proofErr w:type="spellStart"/>
          <w:r w:rsidRPr="008673F9">
            <w:rPr>
              <w:rFonts w:ascii="Arial" w:hAnsi="Arial" w:cs="Arial"/>
              <w:i/>
              <w:lang w:val="de-DE"/>
            </w:rPr>
            <w:t>Clin</w:t>
          </w:r>
          <w:proofErr w:type="spellEnd"/>
          <w:r w:rsidRPr="008673F9">
            <w:rPr>
              <w:rFonts w:ascii="Arial" w:hAnsi="Arial" w:cs="Arial"/>
              <w:i/>
              <w:lang w:val="de-DE"/>
            </w:rPr>
            <w:t xml:space="preserve"> </w:t>
          </w:r>
          <w:proofErr w:type="spellStart"/>
          <w:r w:rsidRPr="008673F9">
            <w:rPr>
              <w:rFonts w:ascii="Arial" w:hAnsi="Arial" w:cs="Arial"/>
              <w:i/>
              <w:lang w:val="de-DE"/>
            </w:rPr>
            <w:t>Dermatol</w:t>
          </w:r>
          <w:proofErr w:type="spellEnd"/>
          <w:r w:rsidRPr="008673F9">
            <w:rPr>
              <w:rFonts w:ascii="Arial" w:hAnsi="Arial" w:cs="Arial"/>
              <w:lang w:val="de-DE"/>
            </w:rPr>
            <w:t xml:space="preserve">. 2017;35(4):398-405. </w:t>
          </w:r>
          <w:proofErr w:type="gramStart"/>
          <w:r w:rsidRPr="008673F9">
            <w:rPr>
              <w:rFonts w:ascii="Arial" w:hAnsi="Arial" w:cs="Arial"/>
              <w:lang w:val="de-DE"/>
            </w:rPr>
            <w:t>doi:10.1016/j.clindermatol</w:t>
          </w:r>
          <w:proofErr w:type="gramEnd"/>
          <w:r w:rsidRPr="008673F9">
            <w:rPr>
              <w:rFonts w:ascii="Arial" w:hAnsi="Arial" w:cs="Arial"/>
              <w:lang w:val="de-DE"/>
            </w:rPr>
            <w:t>.2017.03.013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  <w:lang w:val="de-DE"/>
            </w:rPr>
            <w:t>15.</w:t>
          </w:r>
          <w:r w:rsidRPr="008673F9">
            <w:rPr>
              <w:rFonts w:ascii="Arial" w:hAnsi="Arial" w:cs="Arial"/>
              <w:lang w:val="de-DE"/>
            </w:rPr>
            <w:tab/>
          </w:r>
          <w:bookmarkStart w:id="14" w:name="_CTVL00121963da63a5c469ca5efd00e1c31c349"/>
          <w:r w:rsidRPr="008673F9">
            <w:rPr>
              <w:rFonts w:ascii="Arial" w:hAnsi="Arial" w:cs="Arial"/>
              <w:lang w:val="de-DE"/>
            </w:rPr>
            <w:t xml:space="preserve">van </w:t>
          </w:r>
          <w:proofErr w:type="spellStart"/>
          <w:r w:rsidRPr="008673F9">
            <w:rPr>
              <w:rFonts w:ascii="Arial" w:hAnsi="Arial" w:cs="Arial"/>
              <w:lang w:val="de-DE"/>
            </w:rPr>
            <w:t>Ginkel</w:t>
          </w:r>
          <w:proofErr w:type="spellEnd"/>
          <w:r w:rsidRPr="008673F9">
            <w:rPr>
              <w:rFonts w:ascii="Arial" w:hAnsi="Arial" w:cs="Arial"/>
              <w:lang w:val="de-DE"/>
            </w:rPr>
            <w:t xml:space="preserve"> CD, van der </w:t>
          </w:r>
          <w:proofErr w:type="spellStart"/>
          <w:r w:rsidRPr="008673F9">
            <w:rPr>
              <w:rFonts w:ascii="Arial" w:hAnsi="Arial" w:cs="Arial"/>
              <w:lang w:val="de-DE"/>
            </w:rPr>
            <w:t>Meulen</w:t>
          </w:r>
          <w:proofErr w:type="spellEnd"/>
          <w:r w:rsidRPr="008673F9">
            <w:rPr>
              <w:rFonts w:ascii="Arial" w:hAnsi="Arial" w:cs="Arial"/>
              <w:lang w:val="de-DE"/>
            </w:rPr>
            <w:t xml:space="preserve"> GN, Bak E, et al. </w:t>
          </w:r>
          <w:r w:rsidRPr="008673F9">
            <w:rPr>
              <w:rFonts w:ascii="Arial" w:hAnsi="Arial" w:cs="Arial"/>
            </w:rPr>
            <w:t xml:space="preserve">Retrospective observational cohort study regarding the effect of breastfeeding on challenge-proven food allergy. </w:t>
          </w:r>
          <w:bookmarkEnd w:id="14"/>
          <w:proofErr w:type="spellStart"/>
          <w:r w:rsidRPr="008673F9">
            <w:rPr>
              <w:rFonts w:ascii="Arial" w:hAnsi="Arial" w:cs="Arial"/>
              <w:i/>
            </w:rPr>
            <w:t>Eur</w:t>
          </w:r>
          <w:proofErr w:type="spellEnd"/>
          <w:r w:rsidRPr="008673F9">
            <w:rPr>
              <w:rFonts w:ascii="Arial" w:hAnsi="Arial" w:cs="Arial"/>
              <w:i/>
            </w:rPr>
            <w:t xml:space="preserve"> J </w:t>
          </w:r>
          <w:proofErr w:type="spellStart"/>
          <w:r w:rsidRPr="008673F9">
            <w:rPr>
              <w:rFonts w:ascii="Arial" w:hAnsi="Arial" w:cs="Arial"/>
              <w:i/>
            </w:rPr>
            <w:t>Clin</w:t>
          </w:r>
          <w:proofErr w:type="spellEnd"/>
          <w:r w:rsidRPr="008673F9">
            <w:rPr>
              <w:rFonts w:ascii="Arial" w:hAnsi="Arial" w:cs="Arial"/>
              <w:i/>
            </w:rPr>
            <w:t xml:space="preserve"> </w:t>
          </w:r>
          <w:proofErr w:type="spellStart"/>
          <w:r w:rsidRPr="008673F9">
            <w:rPr>
              <w:rFonts w:ascii="Arial" w:hAnsi="Arial" w:cs="Arial"/>
              <w:i/>
            </w:rPr>
            <w:t>Nutr</w:t>
          </w:r>
          <w:proofErr w:type="spellEnd"/>
          <w:r w:rsidRPr="008673F9">
            <w:rPr>
              <w:rFonts w:ascii="Arial" w:hAnsi="Arial" w:cs="Arial"/>
            </w:rPr>
            <w:t>. 2018;72(4):557-563. doi:10.1038/s41430-018-0117-y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  <w:lang w:val="de-DE"/>
            </w:rPr>
          </w:pPr>
          <w:r w:rsidRPr="008673F9">
            <w:rPr>
              <w:rFonts w:ascii="Arial" w:hAnsi="Arial" w:cs="Arial"/>
            </w:rPr>
            <w:t>16.</w:t>
          </w:r>
          <w:r w:rsidRPr="008673F9">
            <w:rPr>
              <w:rFonts w:ascii="Arial" w:hAnsi="Arial" w:cs="Arial"/>
            </w:rPr>
            <w:tab/>
          </w:r>
          <w:bookmarkStart w:id="15" w:name="_CTVL001c75e831c06e24bb8af8905ef998572c1"/>
          <w:r w:rsidRPr="008673F9">
            <w:rPr>
              <w:rFonts w:ascii="Arial" w:hAnsi="Arial" w:cs="Arial"/>
            </w:rPr>
            <w:t>Ben-</w:t>
          </w:r>
          <w:proofErr w:type="spellStart"/>
          <w:r w:rsidRPr="008673F9">
            <w:rPr>
              <w:rFonts w:ascii="Arial" w:hAnsi="Arial" w:cs="Arial"/>
            </w:rPr>
            <w:t>Shoshan</w:t>
          </w:r>
          <w:proofErr w:type="spellEnd"/>
          <w:r w:rsidRPr="008673F9">
            <w:rPr>
              <w:rFonts w:ascii="Arial" w:hAnsi="Arial" w:cs="Arial"/>
            </w:rPr>
            <w:t xml:space="preserve"> M, </w:t>
          </w:r>
          <w:proofErr w:type="spellStart"/>
          <w:r w:rsidRPr="008673F9">
            <w:rPr>
              <w:rFonts w:ascii="Arial" w:hAnsi="Arial" w:cs="Arial"/>
            </w:rPr>
            <w:t>Soller</w:t>
          </w:r>
          <w:proofErr w:type="spellEnd"/>
          <w:r w:rsidRPr="008673F9">
            <w:rPr>
              <w:rFonts w:ascii="Arial" w:hAnsi="Arial" w:cs="Arial"/>
            </w:rPr>
            <w:t xml:space="preserve"> L, Harrington DW, et al. Eczema in early childhood, sociodemographic factors and lifestyle habits are associated with food allergy: a nested case-control study. </w:t>
          </w:r>
          <w:bookmarkEnd w:id="15"/>
          <w:proofErr w:type="spellStart"/>
          <w:r w:rsidRPr="008673F9">
            <w:rPr>
              <w:rFonts w:ascii="Arial" w:hAnsi="Arial" w:cs="Arial"/>
              <w:i/>
              <w:lang w:val="de-DE"/>
            </w:rPr>
            <w:t>Int</w:t>
          </w:r>
          <w:proofErr w:type="spellEnd"/>
          <w:r w:rsidRPr="008673F9">
            <w:rPr>
              <w:rFonts w:ascii="Arial" w:hAnsi="Arial" w:cs="Arial"/>
              <w:i/>
              <w:lang w:val="de-DE"/>
            </w:rPr>
            <w:t xml:space="preserve"> </w:t>
          </w:r>
          <w:proofErr w:type="spellStart"/>
          <w:r w:rsidRPr="008673F9">
            <w:rPr>
              <w:rFonts w:ascii="Arial" w:hAnsi="Arial" w:cs="Arial"/>
              <w:i/>
              <w:lang w:val="de-DE"/>
            </w:rPr>
            <w:t>Arch</w:t>
          </w:r>
          <w:proofErr w:type="spellEnd"/>
          <w:r w:rsidRPr="008673F9">
            <w:rPr>
              <w:rFonts w:ascii="Arial" w:hAnsi="Arial" w:cs="Arial"/>
              <w:i/>
              <w:lang w:val="de-DE"/>
            </w:rPr>
            <w:t xml:space="preserve"> </w:t>
          </w:r>
          <w:proofErr w:type="spellStart"/>
          <w:r w:rsidRPr="008673F9">
            <w:rPr>
              <w:rFonts w:ascii="Arial" w:hAnsi="Arial" w:cs="Arial"/>
              <w:i/>
              <w:lang w:val="de-DE"/>
            </w:rPr>
            <w:t>Allergy</w:t>
          </w:r>
          <w:proofErr w:type="spellEnd"/>
          <w:r w:rsidRPr="008673F9">
            <w:rPr>
              <w:rFonts w:ascii="Arial" w:hAnsi="Arial" w:cs="Arial"/>
              <w:i/>
              <w:lang w:val="de-DE"/>
            </w:rPr>
            <w:t xml:space="preserve"> </w:t>
          </w:r>
          <w:proofErr w:type="spellStart"/>
          <w:r w:rsidRPr="008673F9">
            <w:rPr>
              <w:rFonts w:ascii="Arial" w:hAnsi="Arial" w:cs="Arial"/>
              <w:i/>
              <w:lang w:val="de-DE"/>
            </w:rPr>
            <w:t>Immunol</w:t>
          </w:r>
          <w:proofErr w:type="spellEnd"/>
          <w:r w:rsidRPr="008673F9">
            <w:rPr>
              <w:rFonts w:ascii="Arial" w:hAnsi="Arial" w:cs="Arial"/>
              <w:lang w:val="de-DE"/>
            </w:rPr>
            <w:t>. 2015;166(3):199-207. doi:10.1159/000381829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  <w:lang w:val="de-DE"/>
            </w:rPr>
            <w:t>17.</w:t>
          </w:r>
          <w:r w:rsidRPr="008673F9">
            <w:rPr>
              <w:rFonts w:ascii="Arial" w:hAnsi="Arial" w:cs="Arial"/>
              <w:lang w:val="de-DE"/>
            </w:rPr>
            <w:tab/>
          </w:r>
          <w:bookmarkStart w:id="16" w:name="_CTVL00143689f54300a4601ac0361efde561f88"/>
          <w:proofErr w:type="spellStart"/>
          <w:r w:rsidRPr="008673F9">
            <w:rPr>
              <w:rFonts w:ascii="Arial" w:hAnsi="Arial" w:cs="Arial"/>
              <w:lang w:val="de-DE"/>
            </w:rPr>
            <w:t>Schoemaker</w:t>
          </w:r>
          <w:proofErr w:type="spellEnd"/>
          <w:r w:rsidRPr="008673F9">
            <w:rPr>
              <w:rFonts w:ascii="Arial" w:hAnsi="Arial" w:cs="Arial"/>
              <w:lang w:val="de-DE"/>
            </w:rPr>
            <w:t xml:space="preserve"> AA, </w:t>
          </w:r>
          <w:proofErr w:type="spellStart"/>
          <w:r w:rsidRPr="008673F9">
            <w:rPr>
              <w:rFonts w:ascii="Arial" w:hAnsi="Arial" w:cs="Arial"/>
              <w:lang w:val="de-DE"/>
            </w:rPr>
            <w:t>Sprikkelman</w:t>
          </w:r>
          <w:proofErr w:type="spellEnd"/>
          <w:r w:rsidRPr="008673F9">
            <w:rPr>
              <w:rFonts w:ascii="Arial" w:hAnsi="Arial" w:cs="Arial"/>
              <w:lang w:val="de-DE"/>
            </w:rPr>
            <w:t xml:space="preserve"> AB, </w:t>
          </w:r>
          <w:proofErr w:type="spellStart"/>
          <w:r w:rsidRPr="008673F9">
            <w:rPr>
              <w:rFonts w:ascii="Arial" w:hAnsi="Arial" w:cs="Arial"/>
              <w:lang w:val="de-DE"/>
            </w:rPr>
            <w:t>Grimshaw</w:t>
          </w:r>
          <w:proofErr w:type="spellEnd"/>
          <w:r w:rsidRPr="008673F9">
            <w:rPr>
              <w:rFonts w:ascii="Arial" w:hAnsi="Arial" w:cs="Arial"/>
              <w:lang w:val="de-DE"/>
            </w:rPr>
            <w:t xml:space="preserve"> KE, et al. </w:t>
          </w:r>
          <w:r w:rsidRPr="008673F9">
            <w:rPr>
              <w:rFonts w:ascii="Arial" w:hAnsi="Arial" w:cs="Arial"/>
            </w:rPr>
            <w:t>Incidence and natural history of challenge-proven cow's milk allergy in European children--</w:t>
          </w:r>
          <w:proofErr w:type="spellStart"/>
          <w:r w:rsidRPr="008673F9">
            <w:rPr>
              <w:rFonts w:ascii="Arial" w:hAnsi="Arial" w:cs="Arial"/>
            </w:rPr>
            <w:t>EuroPrevall</w:t>
          </w:r>
          <w:proofErr w:type="spellEnd"/>
          <w:r w:rsidRPr="008673F9">
            <w:rPr>
              <w:rFonts w:ascii="Arial" w:hAnsi="Arial" w:cs="Arial"/>
            </w:rPr>
            <w:t xml:space="preserve"> birth cohort. </w:t>
          </w:r>
          <w:bookmarkEnd w:id="16"/>
          <w:r w:rsidRPr="008673F9">
            <w:rPr>
              <w:rFonts w:ascii="Arial" w:hAnsi="Arial" w:cs="Arial"/>
              <w:i/>
            </w:rPr>
            <w:t>Allergy</w:t>
          </w:r>
          <w:r w:rsidRPr="008673F9">
            <w:rPr>
              <w:rFonts w:ascii="Arial" w:hAnsi="Arial" w:cs="Arial"/>
            </w:rPr>
            <w:t>. 2015;70(8):963-972. doi:10.1111/all.12630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t>18.</w:t>
          </w:r>
          <w:r w:rsidRPr="008673F9">
            <w:rPr>
              <w:rFonts w:ascii="Arial" w:hAnsi="Arial" w:cs="Arial"/>
            </w:rPr>
            <w:tab/>
          </w:r>
          <w:bookmarkStart w:id="17" w:name="_CTVL00197372e95719a452a9e1a343448327c55"/>
          <w:r w:rsidRPr="008673F9">
            <w:rPr>
              <w:rFonts w:ascii="Arial" w:hAnsi="Arial" w:cs="Arial"/>
            </w:rPr>
            <w:t xml:space="preserve">Prescott S, Allen KJ. Food allergy: riding the second wave of the allergy epidemic. </w:t>
          </w:r>
          <w:bookmarkEnd w:id="17"/>
          <w:proofErr w:type="spellStart"/>
          <w:r w:rsidRPr="008673F9">
            <w:rPr>
              <w:rFonts w:ascii="Arial" w:hAnsi="Arial" w:cs="Arial"/>
              <w:i/>
            </w:rPr>
            <w:t>Pediatr</w:t>
          </w:r>
          <w:proofErr w:type="spellEnd"/>
          <w:r w:rsidRPr="008673F9">
            <w:rPr>
              <w:rFonts w:ascii="Arial" w:hAnsi="Arial" w:cs="Arial"/>
              <w:i/>
            </w:rPr>
            <w:t xml:space="preserve"> Allergy Immunol</w:t>
          </w:r>
          <w:r w:rsidRPr="008673F9">
            <w:rPr>
              <w:rFonts w:ascii="Arial" w:hAnsi="Arial" w:cs="Arial"/>
            </w:rPr>
            <w:t>. 2011;22(2):155-160. doi:10.1111/j.1399-3038.</w:t>
          </w:r>
          <w:proofErr w:type="gramStart"/>
          <w:r w:rsidRPr="008673F9">
            <w:rPr>
              <w:rFonts w:ascii="Arial" w:hAnsi="Arial" w:cs="Arial"/>
            </w:rPr>
            <w:t>2011.01145.x</w:t>
          </w:r>
          <w:proofErr w:type="gramEnd"/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t>19.</w:t>
          </w:r>
          <w:r w:rsidRPr="008673F9">
            <w:rPr>
              <w:rFonts w:ascii="Arial" w:hAnsi="Arial" w:cs="Arial"/>
            </w:rPr>
            <w:tab/>
          </w:r>
          <w:bookmarkStart w:id="18" w:name="_CTVL00190079182532c4c65927b2c26790fb88c"/>
          <w:r w:rsidRPr="008673F9">
            <w:rPr>
              <w:rFonts w:ascii="Arial" w:hAnsi="Arial" w:cs="Arial"/>
            </w:rPr>
            <w:t xml:space="preserve">Asher MI, </w:t>
          </w:r>
          <w:proofErr w:type="spellStart"/>
          <w:r w:rsidRPr="008673F9">
            <w:rPr>
              <w:rFonts w:ascii="Arial" w:hAnsi="Arial" w:cs="Arial"/>
            </w:rPr>
            <w:t>Montefort</w:t>
          </w:r>
          <w:proofErr w:type="spellEnd"/>
          <w:r w:rsidRPr="008673F9">
            <w:rPr>
              <w:rFonts w:ascii="Arial" w:hAnsi="Arial" w:cs="Arial"/>
            </w:rPr>
            <w:t xml:space="preserve"> S, </w:t>
          </w:r>
          <w:proofErr w:type="spellStart"/>
          <w:r w:rsidRPr="008673F9">
            <w:rPr>
              <w:rFonts w:ascii="Arial" w:hAnsi="Arial" w:cs="Arial"/>
            </w:rPr>
            <w:t>Björkstén</w:t>
          </w:r>
          <w:proofErr w:type="spellEnd"/>
          <w:r w:rsidRPr="008673F9">
            <w:rPr>
              <w:rFonts w:ascii="Arial" w:hAnsi="Arial" w:cs="Arial"/>
            </w:rPr>
            <w:t xml:space="preserve"> B, et al. Worldwide time trends in the prevalence of symptoms of asthma, allergic </w:t>
          </w:r>
          <w:proofErr w:type="spellStart"/>
          <w:r w:rsidRPr="008673F9">
            <w:rPr>
              <w:rFonts w:ascii="Arial" w:hAnsi="Arial" w:cs="Arial"/>
            </w:rPr>
            <w:t>rhinoconjunctivitis</w:t>
          </w:r>
          <w:proofErr w:type="spellEnd"/>
          <w:r w:rsidRPr="008673F9">
            <w:rPr>
              <w:rFonts w:ascii="Arial" w:hAnsi="Arial" w:cs="Arial"/>
            </w:rPr>
            <w:t xml:space="preserve">, and eczema in childhood: ISAAC Phases One and Three repeat </w:t>
          </w:r>
          <w:proofErr w:type="spellStart"/>
          <w:r w:rsidRPr="008673F9">
            <w:rPr>
              <w:rFonts w:ascii="Arial" w:hAnsi="Arial" w:cs="Arial"/>
            </w:rPr>
            <w:t>multicountry</w:t>
          </w:r>
          <w:proofErr w:type="spellEnd"/>
          <w:r w:rsidRPr="008673F9">
            <w:rPr>
              <w:rFonts w:ascii="Arial" w:hAnsi="Arial" w:cs="Arial"/>
            </w:rPr>
            <w:t xml:space="preserve"> cross-sectional surveys. </w:t>
          </w:r>
          <w:bookmarkEnd w:id="18"/>
          <w:r w:rsidRPr="008673F9">
            <w:rPr>
              <w:rFonts w:ascii="Arial" w:hAnsi="Arial" w:cs="Arial"/>
              <w:i/>
            </w:rPr>
            <w:t>Lancet</w:t>
          </w:r>
          <w:r w:rsidRPr="008673F9">
            <w:rPr>
              <w:rFonts w:ascii="Arial" w:hAnsi="Arial" w:cs="Arial"/>
            </w:rPr>
            <w:t>. 2006;368(9537):733-743. doi:10.1016/S0140-6736(06)69283-0</w:t>
          </w:r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t>20.</w:t>
          </w:r>
          <w:r w:rsidRPr="008673F9">
            <w:rPr>
              <w:rFonts w:ascii="Arial" w:hAnsi="Arial" w:cs="Arial"/>
            </w:rPr>
            <w:tab/>
          </w:r>
          <w:bookmarkStart w:id="19" w:name="_CTVL0018cafaa7f572745e1a17637a8150fcb61"/>
          <w:proofErr w:type="spellStart"/>
          <w:r w:rsidRPr="008673F9">
            <w:rPr>
              <w:rFonts w:ascii="Arial" w:hAnsi="Arial" w:cs="Arial"/>
            </w:rPr>
            <w:t>Björkstén</w:t>
          </w:r>
          <w:proofErr w:type="spellEnd"/>
          <w:r w:rsidRPr="008673F9">
            <w:rPr>
              <w:rFonts w:ascii="Arial" w:hAnsi="Arial" w:cs="Arial"/>
            </w:rPr>
            <w:t xml:space="preserve"> B, Clayton T, Ellwood P, Stewart A, Strachan D. Worldwide time trends for symptoms of rhinitis and conjunctivitis: Phase III of the International Study of Asthma and Allergies in Childhood. </w:t>
          </w:r>
          <w:bookmarkEnd w:id="19"/>
          <w:proofErr w:type="spellStart"/>
          <w:r w:rsidRPr="008673F9">
            <w:rPr>
              <w:rFonts w:ascii="Arial" w:hAnsi="Arial" w:cs="Arial"/>
              <w:i/>
            </w:rPr>
            <w:t>Pediatr</w:t>
          </w:r>
          <w:proofErr w:type="spellEnd"/>
          <w:r w:rsidRPr="008673F9">
            <w:rPr>
              <w:rFonts w:ascii="Arial" w:hAnsi="Arial" w:cs="Arial"/>
              <w:i/>
            </w:rPr>
            <w:t xml:space="preserve"> Allergy Immunol</w:t>
          </w:r>
          <w:r w:rsidRPr="008673F9">
            <w:rPr>
              <w:rFonts w:ascii="Arial" w:hAnsi="Arial" w:cs="Arial"/>
            </w:rPr>
            <w:t>. 2008;19(2):110-124. doi:10.1111/j.1399-3038.</w:t>
          </w:r>
          <w:proofErr w:type="gramStart"/>
          <w:r w:rsidRPr="008673F9">
            <w:rPr>
              <w:rFonts w:ascii="Arial" w:hAnsi="Arial" w:cs="Arial"/>
            </w:rPr>
            <w:t>2007.00601.x</w:t>
          </w:r>
          <w:proofErr w:type="gramEnd"/>
        </w:p>
        <w:p w:rsidR="00881D95" w:rsidRPr="008673F9" w:rsidRDefault="00881D95" w:rsidP="00881D95">
          <w:pPr>
            <w:pStyle w:val="CitaviBibliographyEntry"/>
            <w:jc w:val="both"/>
            <w:rPr>
              <w:rFonts w:ascii="Arial" w:hAnsi="Arial" w:cs="Arial"/>
            </w:rPr>
          </w:pPr>
          <w:r w:rsidRPr="008673F9">
            <w:rPr>
              <w:rFonts w:ascii="Arial" w:hAnsi="Arial" w:cs="Arial"/>
            </w:rPr>
            <w:t>21.</w:t>
          </w:r>
          <w:r w:rsidRPr="008673F9">
            <w:rPr>
              <w:rFonts w:ascii="Arial" w:hAnsi="Arial" w:cs="Arial"/>
            </w:rPr>
            <w:tab/>
          </w:r>
          <w:bookmarkStart w:id="20" w:name="_CTVL0010b5f8c5e52c5453aaa62a4e6ac65a8fc"/>
          <w:r w:rsidRPr="008673F9">
            <w:rPr>
              <w:rFonts w:ascii="Arial" w:hAnsi="Arial" w:cs="Arial"/>
            </w:rPr>
            <w:t xml:space="preserve">Venter C, Pereira B, Grundy J, et al. Incidence of parentally reported and clinically diagnosed food hypersensitivity in the first year of life. </w:t>
          </w:r>
          <w:bookmarkEnd w:id="20"/>
          <w:r w:rsidRPr="008673F9">
            <w:rPr>
              <w:rFonts w:ascii="Arial" w:hAnsi="Arial" w:cs="Arial"/>
              <w:i/>
            </w:rPr>
            <w:t xml:space="preserve">J Allergy </w:t>
          </w:r>
          <w:proofErr w:type="spellStart"/>
          <w:r w:rsidRPr="008673F9">
            <w:rPr>
              <w:rFonts w:ascii="Arial" w:hAnsi="Arial" w:cs="Arial"/>
              <w:i/>
            </w:rPr>
            <w:t>Clin</w:t>
          </w:r>
          <w:proofErr w:type="spellEnd"/>
          <w:r w:rsidRPr="008673F9">
            <w:rPr>
              <w:rFonts w:ascii="Arial" w:hAnsi="Arial" w:cs="Arial"/>
              <w:i/>
            </w:rPr>
            <w:t xml:space="preserve"> Immunol</w:t>
          </w:r>
          <w:r w:rsidRPr="008673F9">
            <w:rPr>
              <w:rFonts w:ascii="Arial" w:hAnsi="Arial" w:cs="Arial"/>
            </w:rPr>
            <w:t xml:space="preserve">. 2006;117(5):1118-1124. </w:t>
          </w:r>
          <w:proofErr w:type="gramStart"/>
          <w:r w:rsidRPr="008673F9">
            <w:rPr>
              <w:rFonts w:ascii="Arial" w:hAnsi="Arial" w:cs="Arial"/>
            </w:rPr>
            <w:t>doi:10.1016/j.jaci</w:t>
          </w:r>
          <w:proofErr w:type="gramEnd"/>
          <w:r w:rsidRPr="008673F9">
            <w:rPr>
              <w:rFonts w:ascii="Arial" w:hAnsi="Arial" w:cs="Arial"/>
            </w:rPr>
            <w:t>.2005.12.1352</w:t>
          </w:r>
        </w:p>
        <w:p w:rsidR="00130D51" w:rsidRDefault="00881D95" w:rsidP="00130D51">
          <w:pPr>
            <w:pStyle w:val="CitaviBibliographyEntry"/>
            <w:jc w:val="both"/>
            <w:rPr>
              <w:rFonts w:ascii="Arial" w:hAnsi="Arial" w:cs="Arial"/>
              <w:lang w:val="de-DE"/>
            </w:rPr>
          </w:pPr>
          <w:r w:rsidRPr="008673F9">
            <w:rPr>
              <w:rFonts w:ascii="Arial" w:hAnsi="Arial" w:cs="Arial"/>
            </w:rPr>
            <w:t>22.</w:t>
          </w:r>
          <w:r w:rsidRPr="008673F9">
            <w:rPr>
              <w:rFonts w:ascii="Arial" w:hAnsi="Arial" w:cs="Arial"/>
            </w:rPr>
            <w:tab/>
          </w:r>
          <w:bookmarkStart w:id="21" w:name="_CTVL00171b0e3a6ea7041c09646fe34ac2b8a99"/>
          <w:proofErr w:type="spellStart"/>
          <w:r w:rsidRPr="008673F9">
            <w:rPr>
              <w:rFonts w:ascii="Arial" w:hAnsi="Arial" w:cs="Arial"/>
            </w:rPr>
            <w:t>Nwaru</w:t>
          </w:r>
          <w:proofErr w:type="spellEnd"/>
          <w:r w:rsidRPr="008673F9">
            <w:rPr>
              <w:rFonts w:ascii="Arial" w:hAnsi="Arial" w:cs="Arial"/>
            </w:rPr>
            <w:t xml:space="preserve"> BI, </w:t>
          </w:r>
          <w:proofErr w:type="spellStart"/>
          <w:r w:rsidRPr="008673F9">
            <w:rPr>
              <w:rFonts w:ascii="Arial" w:hAnsi="Arial" w:cs="Arial"/>
            </w:rPr>
            <w:t>Hickstein</w:t>
          </w:r>
          <w:proofErr w:type="spellEnd"/>
          <w:r w:rsidRPr="008673F9">
            <w:rPr>
              <w:rFonts w:ascii="Arial" w:hAnsi="Arial" w:cs="Arial"/>
            </w:rPr>
            <w:t xml:space="preserve"> L, Panesar SS, Roberts G, </w:t>
          </w:r>
          <w:proofErr w:type="spellStart"/>
          <w:r w:rsidRPr="008673F9">
            <w:rPr>
              <w:rFonts w:ascii="Arial" w:hAnsi="Arial" w:cs="Arial"/>
            </w:rPr>
            <w:t>Muraro</w:t>
          </w:r>
          <w:proofErr w:type="spellEnd"/>
          <w:r w:rsidRPr="008673F9">
            <w:rPr>
              <w:rFonts w:ascii="Arial" w:hAnsi="Arial" w:cs="Arial"/>
            </w:rPr>
            <w:t xml:space="preserve"> A, Sheikh A. Prevalence of common food allergies in Europe: a systematic review and meta-analysis. </w:t>
          </w:r>
          <w:bookmarkEnd w:id="21"/>
          <w:proofErr w:type="spellStart"/>
          <w:r w:rsidRPr="008673F9">
            <w:rPr>
              <w:rFonts w:ascii="Arial" w:hAnsi="Arial" w:cs="Arial"/>
              <w:i/>
              <w:lang w:val="de-DE"/>
            </w:rPr>
            <w:t>Allergy</w:t>
          </w:r>
          <w:proofErr w:type="spellEnd"/>
          <w:r w:rsidRPr="008673F9">
            <w:rPr>
              <w:rFonts w:ascii="Arial" w:hAnsi="Arial" w:cs="Arial"/>
              <w:lang w:val="de-DE"/>
            </w:rPr>
            <w:t>. 2014;69(8):992-1007. doi:10.1111/all.12423</w:t>
          </w:r>
          <w:bookmarkStart w:id="22" w:name="_CTVL00116e455955c0c4432ac0e3f000e165920"/>
        </w:p>
        <w:p w:rsidR="00CB0AC5" w:rsidRDefault="00130D51" w:rsidP="00130D51">
          <w:pPr>
            <w:pStyle w:val="CitaviBibliographyEntry"/>
            <w:jc w:val="both"/>
          </w:pPr>
          <w:r>
            <w:rPr>
              <w:rFonts w:ascii="Arial" w:hAnsi="Arial" w:cs="Arial"/>
              <w:lang w:val="de-DE"/>
            </w:rPr>
            <w:t xml:space="preserve">23. </w:t>
          </w:r>
          <w:bookmarkStart w:id="23" w:name="_GoBack"/>
          <w:bookmarkEnd w:id="23"/>
          <w:r w:rsidR="00881D95" w:rsidRPr="00130D51">
            <w:rPr>
              <w:rFonts w:ascii="Arial" w:hAnsi="Arial" w:cs="Arial"/>
              <w:lang w:val="de-DE"/>
            </w:rPr>
            <w:t xml:space="preserve">Flohr C, </w:t>
          </w:r>
          <w:proofErr w:type="spellStart"/>
          <w:r w:rsidR="00881D95" w:rsidRPr="00130D51">
            <w:rPr>
              <w:rFonts w:ascii="Arial" w:hAnsi="Arial" w:cs="Arial"/>
              <w:lang w:val="de-DE"/>
            </w:rPr>
            <w:t>Weinmayr</w:t>
          </w:r>
          <w:proofErr w:type="spellEnd"/>
          <w:r w:rsidR="00881D95" w:rsidRPr="00130D51">
            <w:rPr>
              <w:rFonts w:ascii="Arial" w:hAnsi="Arial" w:cs="Arial"/>
              <w:lang w:val="de-DE"/>
            </w:rPr>
            <w:t xml:space="preserve"> G, Weiland SK, et al. </w:t>
          </w:r>
          <w:r w:rsidR="00881D95" w:rsidRPr="00130D51">
            <w:rPr>
              <w:rFonts w:ascii="Arial" w:hAnsi="Arial" w:cs="Arial"/>
            </w:rPr>
            <w:t>How well do questionnaires perform compared</w:t>
          </w:r>
          <w:r w:rsidRPr="00130D51">
            <w:rPr>
              <w:rFonts w:ascii="Arial" w:hAnsi="Arial" w:cs="Arial"/>
            </w:rPr>
            <w:t xml:space="preserve"> </w:t>
          </w:r>
          <w:r w:rsidR="00881D95" w:rsidRPr="00130D51">
            <w:rPr>
              <w:rFonts w:ascii="Arial" w:hAnsi="Arial" w:cs="Arial"/>
            </w:rPr>
            <w:t xml:space="preserve">with physical examination in detecting flexural eczema? Findings from the International Study of Asthma and Allergies in Childhood (ISAAC) Phase Two. </w:t>
          </w:r>
          <w:bookmarkEnd w:id="22"/>
          <w:r w:rsidR="00881D95" w:rsidRPr="00130D51">
            <w:rPr>
              <w:rFonts w:ascii="Arial" w:hAnsi="Arial" w:cs="Arial"/>
              <w:i/>
            </w:rPr>
            <w:t>Br J Dermatol</w:t>
          </w:r>
          <w:r w:rsidR="00881D95" w:rsidRPr="00130D51">
            <w:rPr>
              <w:rFonts w:ascii="Arial" w:hAnsi="Arial" w:cs="Arial"/>
            </w:rPr>
            <w:t>. 2009;161(4):846-853. doi:10.1111/j.1365-2133.</w:t>
          </w:r>
          <w:proofErr w:type="gramStart"/>
          <w:r w:rsidR="00881D95" w:rsidRPr="00130D51">
            <w:rPr>
              <w:rFonts w:ascii="Arial" w:hAnsi="Arial" w:cs="Arial"/>
            </w:rPr>
            <w:t>2009.09261.x</w:t>
          </w:r>
          <w:proofErr w:type="gramEnd"/>
          <w:r w:rsidR="00881D95" w:rsidRPr="00130D51">
            <w:rPr>
              <w:rFonts w:ascii="Arial" w:hAnsi="Arial" w:cs="Arial"/>
            </w:rPr>
            <w:fldChar w:fldCharType="end"/>
          </w:r>
        </w:p>
      </w:sdtContent>
    </w:sdt>
    <w:sectPr w:rsidR="00CB0AC5" w:rsidSect="00B547E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63405"/>
    <w:multiLevelType w:val="hybridMultilevel"/>
    <w:tmpl w:val="E5D007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D95"/>
    <w:rsid w:val="00130D51"/>
    <w:rsid w:val="00301B77"/>
    <w:rsid w:val="00881D95"/>
    <w:rsid w:val="00B547EB"/>
    <w:rsid w:val="00CA142E"/>
    <w:rsid w:val="00D8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29F11D"/>
  <w15:chartTrackingRefBased/>
  <w15:docId w15:val="{CB5169E0-2471-B94F-BCC2-67F4EC2E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881D9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1D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itaviBibliographyEntry">
    <w:name w:val="Citavi Bibliography Entry"/>
    <w:basedOn w:val="Standard"/>
    <w:link w:val="CitaviBibliographyEntryZchn"/>
    <w:rsid w:val="00881D95"/>
    <w:pPr>
      <w:tabs>
        <w:tab w:val="left" w:pos="340"/>
      </w:tabs>
      <w:ind w:left="340" w:hanging="340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881D95"/>
    <w:rPr>
      <w:rFonts w:ascii="Calibri" w:eastAsia="Calibri" w:hAnsi="Calibri" w:cs="Times New Roman"/>
      <w:sz w:val="22"/>
      <w:szCs w:val="22"/>
      <w:lang w:val="en-US"/>
    </w:rPr>
  </w:style>
  <w:style w:type="paragraph" w:customStyle="1" w:styleId="CitaviBibliographyHeading">
    <w:name w:val="Citavi Bibliography Heading"/>
    <w:basedOn w:val="berschrift1"/>
    <w:link w:val="CitaviBibliographyHeadingZchn"/>
    <w:rsid w:val="00881D95"/>
    <w:pPr>
      <w:keepLines w:val="0"/>
      <w:spacing w:after="60" w:line="240" w:lineRule="auto"/>
    </w:pPr>
    <w:rPr>
      <w:rFonts w:ascii="Cambria" w:eastAsia="Times New Roman" w:hAnsi="Cambria" w:cs="Times New Roman"/>
      <w:b/>
      <w:bCs/>
      <w:color w:val="auto"/>
      <w:kern w:val="32"/>
      <w:lang w:val="de-DE" w:eastAsia="de-DE"/>
    </w:rPr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881D95"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81D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Listenabsatz">
    <w:name w:val="List Paragraph"/>
    <w:basedOn w:val="Standard"/>
    <w:uiPriority w:val="34"/>
    <w:qFormat/>
    <w:rsid w:val="00130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A88209BA4399249A2B22528380342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3EF4D5-8E34-C345-8063-776B78D2C08E}"/>
      </w:docPartPr>
      <w:docPartBody>
        <w:p w:rsidR="00000000" w:rsidRDefault="00ED0D72" w:rsidP="00ED0D72">
          <w:pPr>
            <w:pStyle w:val="CA88209BA4399249A2B2252838034221"/>
          </w:pPr>
          <w:r w:rsidRPr="009454A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D72"/>
    <w:rsid w:val="00D75B3F"/>
    <w:rsid w:val="00ED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D0D72"/>
    <w:rPr>
      <w:color w:val="808080"/>
    </w:rPr>
  </w:style>
  <w:style w:type="paragraph" w:customStyle="1" w:styleId="CA88209BA4399249A2B2252838034221">
    <w:name w:val="CA88209BA4399249A2B2252838034221"/>
    <w:rsid w:val="00ED0D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705</Words>
  <Characters>4445</Characters>
  <Application>Microsoft Office Word</Application>
  <DocSecurity>0</DocSecurity>
  <Lines>37</Lines>
  <Paragraphs>10</Paragraphs>
  <ScaleCrop>false</ScaleCrop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Harner</dc:creator>
  <cp:keywords/>
  <dc:description/>
  <cp:lastModifiedBy>Susanne Harner</cp:lastModifiedBy>
  <cp:revision>2</cp:revision>
  <dcterms:created xsi:type="dcterms:W3CDTF">2021-05-16T15:41:00Z</dcterms:created>
  <dcterms:modified xsi:type="dcterms:W3CDTF">2021-05-16T15:42:00Z</dcterms:modified>
</cp:coreProperties>
</file>