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04A9A" w14:textId="77777777" w:rsidR="00A01487" w:rsidRDefault="00A01487" w:rsidP="00A01487">
      <w:pPr>
        <w:pStyle w:val="Billedtekst"/>
        <w:keepNext/>
      </w:pPr>
      <w:r>
        <w:t>Table 1. Information about heterozygosity for the female and male for scaffolds that map to the A and Z in the golden eagle genome with known chromosomes. Numbers of heterozygous (</w:t>
      </w:r>
      <w:proofErr w:type="spellStart"/>
      <w:r>
        <w:t>hets</w:t>
      </w:r>
      <w:proofErr w:type="spellEnd"/>
      <w:r>
        <w:t xml:space="preserve">.) sites, </w:t>
      </w:r>
      <w:proofErr w:type="gramStart"/>
      <w:r>
        <w:t>scaffolds</w:t>
      </w:r>
      <w:proofErr w:type="gramEnd"/>
      <w:r>
        <w:t xml:space="preserve"> and windows of size 50,000 bases. Total number of scaffolds and 50k windows were 1,141 and </w:t>
      </w:r>
      <w:proofErr w:type="gramStart"/>
      <w:r>
        <w:t>23,585</w:t>
      </w:r>
      <w:proofErr w:type="gramEnd"/>
      <w:r>
        <w:t xml:space="preserve"> respectively. </w:t>
      </w:r>
    </w:p>
    <w:tbl>
      <w:tblPr>
        <w:tblW w:w="9781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5239"/>
        <w:gridCol w:w="1140"/>
        <w:gridCol w:w="1126"/>
        <w:gridCol w:w="1139"/>
        <w:gridCol w:w="1137"/>
      </w:tblGrid>
      <w:tr w:rsidR="00A01487" w14:paraId="1C357334" w14:textId="77777777" w:rsidTr="00BC7523">
        <w:trPr>
          <w:trHeight w:val="285"/>
        </w:trPr>
        <w:tc>
          <w:tcPr>
            <w:tcW w:w="52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EAE3B6" w14:textId="77777777" w:rsidR="00A01487" w:rsidRDefault="00A01487" w:rsidP="00A0148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2EC14B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Female Z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DBA1D9B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Female A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80EA877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Male Z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56198F3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Male A</w:t>
            </w:r>
          </w:p>
        </w:tc>
      </w:tr>
      <w:tr w:rsidR="00A01487" w14:paraId="0ED534E0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914BF6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Proportion of heterozygous sites before filtering 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1BED70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0.00534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70D00E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0.00067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EA9847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0.00050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E0CAEA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0.00065</w:t>
            </w:r>
          </w:p>
        </w:tc>
      </w:tr>
      <w:tr w:rsidR="00A01487" w14:paraId="6BE4A802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5A1BE4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Proportion of heterozygous sites after filtering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ECBB3E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0.00010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D802F4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0.00018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4F624C8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0.00007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EDD3D7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0.00019</w:t>
            </w:r>
          </w:p>
        </w:tc>
      </w:tr>
      <w:tr w:rsidR="00A01487" w14:paraId="50D6235B" w14:textId="77777777" w:rsidTr="00BC7523">
        <w:trPr>
          <w:trHeight w:val="285"/>
        </w:trPr>
        <w:tc>
          <w:tcPr>
            <w:tcW w:w="52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E0E4AD0" w14:textId="77777777" w:rsidR="00A01487" w:rsidRDefault="00A01487" w:rsidP="00A0148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t>Scaffolds with no heterozygous sites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558F197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134 (80%)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0391A81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720 (74%)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9BA88E0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130 (77%)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421D430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712 (73%)</w:t>
            </w:r>
          </w:p>
        </w:tc>
      </w:tr>
      <w:tr w:rsidR="00A01487" w14:paraId="2326A27B" w14:textId="77777777" w:rsidTr="00BC7523">
        <w:trPr>
          <w:trHeight w:val="285"/>
        </w:trPr>
        <w:tc>
          <w:tcPr>
            <w:tcW w:w="52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21745E1" w14:textId="77777777" w:rsidR="00A01487" w:rsidRDefault="00A01487" w:rsidP="00A0148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t>Size of scaffolds with no heterozygous sites (kb)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1E0B131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26,625 (31%)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FA6037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55,018 (5%)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74A1FC1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20,010 (23%)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1B12008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t>65,907 (6%)</w:t>
            </w:r>
          </w:p>
        </w:tc>
      </w:tr>
      <w:tr w:rsidR="00A01487" w14:paraId="1C1541BD" w14:textId="77777777" w:rsidTr="00BC7523">
        <w:trPr>
          <w:trHeight w:val="285"/>
        </w:trPr>
        <w:tc>
          <w:tcPr>
            <w:tcW w:w="52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C341EC7" w14:textId="77777777" w:rsidR="00A01487" w:rsidRDefault="00A01487" w:rsidP="00A0148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Scaffolds with heterozygous sites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68D86D2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34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E79E78D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254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B4EE14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38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91E57A5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262</w:t>
            </w:r>
          </w:p>
        </w:tc>
      </w:tr>
      <w:tr w:rsidR="00A01487" w14:paraId="77E9A142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87BF9B" w14:textId="77777777" w:rsidR="00A01487" w:rsidRDefault="00A01487" w:rsidP="00A01487">
            <w:pPr>
              <w:widowControl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Heterozygous sites per window (50kb) (median)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E963E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66A8F5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6C9014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E01745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</w:t>
            </w:r>
          </w:p>
        </w:tc>
      </w:tr>
      <w:tr w:rsidR="00A01487" w14:paraId="3F93D53D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DC5018" w14:textId="77777777" w:rsidR="00A01487" w:rsidRDefault="00A01487" w:rsidP="00A0148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Standard deviation per window (50kb)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F990F2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43.0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3A60C9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12.3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A00D28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8.1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025A767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12.2</w:t>
            </w:r>
          </w:p>
        </w:tc>
      </w:tr>
      <w:tr w:rsidR="00A01487" w14:paraId="03184999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684F31" w14:textId="77777777" w:rsidR="00A01487" w:rsidRDefault="00A01487" w:rsidP="00A01487">
            <w:pPr>
              <w:widowControl w:val="0"/>
              <w:spacing w:after="0" w:line="240" w:lineRule="auto"/>
            </w:pPr>
            <w:r>
              <w:t>Coefficient of dispersion (CD)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DB2DE59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t>360.6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08C41D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t>16.1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5866D2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t>20.2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6D81C6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t>15.6</w:t>
            </w:r>
          </w:p>
        </w:tc>
      </w:tr>
      <w:tr w:rsidR="00A01487" w14:paraId="7F15B7E8" w14:textId="77777777" w:rsidTr="00BC7523">
        <w:trPr>
          <w:trHeight w:val="285"/>
        </w:trPr>
        <w:tc>
          <w:tcPr>
            <w:tcW w:w="52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CC1CB1" w14:textId="77777777" w:rsidR="00A01487" w:rsidRDefault="00A01487" w:rsidP="00A01487">
            <w:pPr>
              <w:widowControl w:val="0"/>
              <w:spacing w:after="0" w:line="240" w:lineRule="auto"/>
            </w:pPr>
            <w:r>
              <w:rPr>
                <w:rFonts w:eastAsia="Times New Roman" w:cs="Calibri"/>
                <w:color w:val="000000"/>
              </w:rPr>
              <w:t>Windows with no heterozygous site</w:t>
            </w:r>
          </w:p>
        </w:tc>
        <w:tc>
          <w:tcPr>
            <w:tcW w:w="114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758F4B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rPr>
                <w:rFonts w:eastAsia="Times New Roman" w:cs="Calibri"/>
                <w:color w:val="000000"/>
              </w:rPr>
              <w:t>1,398</w:t>
            </w:r>
          </w:p>
        </w:tc>
        <w:tc>
          <w:tcPr>
            <w:tcW w:w="11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06E452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rPr>
                <w:rFonts w:eastAsia="Times New Roman" w:cs="Calibri"/>
                <w:color w:val="000000"/>
              </w:rPr>
              <w:t>10,264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A7200D7" w14:textId="77777777" w:rsidR="00A01487" w:rsidRDefault="00A01487" w:rsidP="00A01487">
            <w:pPr>
              <w:widowControl w:val="0"/>
              <w:spacing w:after="0" w:line="240" w:lineRule="auto"/>
              <w:jc w:val="right"/>
            </w:pPr>
            <w:r>
              <w:rPr>
                <w:rFonts w:eastAsia="Times New Roman" w:cs="Calibri"/>
                <w:color w:val="000000"/>
              </w:rPr>
              <w:t>1,267</w:t>
            </w:r>
          </w:p>
        </w:tc>
        <w:tc>
          <w:tcPr>
            <w:tcW w:w="11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973D42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9,857</w:t>
            </w:r>
          </w:p>
        </w:tc>
      </w:tr>
      <w:tr w:rsidR="00A01487" w14:paraId="49703995" w14:textId="77777777" w:rsidTr="00BC7523">
        <w:trPr>
          <w:trHeight w:val="285"/>
        </w:trPr>
        <w:tc>
          <w:tcPr>
            <w:tcW w:w="52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3D428E" w14:textId="77777777" w:rsidR="00A01487" w:rsidRDefault="00A01487" w:rsidP="00A01487">
            <w:pPr>
              <w:widowControl w:val="0"/>
              <w:spacing w:after="0" w:line="240" w:lineRule="auto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Windows with heterozygous sites</w:t>
            </w:r>
          </w:p>
        </w:tc>
        <w:tc>
          <w:tcPr>
            <w:tcW w:w="114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C2F3B7E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304</w:t>
            </w:r>
          </w:p>
        </w:tc>
        <w:tc>
          <w:tcPr>
            <w:tcW w:w="1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0A3EFE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11,619</w:t>
            </w:r>
          </w:p>
        </w:tc>
        <w:tc>
          <w:tcPr>
            <w:tcW w:w="113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31F779C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435</w:t>
            </w:r>
          </w:p>
        </w:tc>
        <w:tc>
          <w:tcPr>
            <w:tcW w:w="113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93C4D59" w14:textId="77777777" w:rsidR="00A01487" w:rsidRDefault="00A01487" w:rsidP="00A01487">
            <w:pPr>
              <w:widowControl w:val="0"/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12,026</w:t>
            </w:r>
          </w:p>
        </w:tc>
      </w:tr>
    </w:tbl>
    <w:p w14:paraId="715DE956" w14:textId="77777777" w:rsidR="00A01487" w:rsidRDefault="00A01487" w:rsidP="00A01487">
      <w:pPr>
        <w:spacing w:line="240" w:lineRule="auto"/>
        <w:jc w:val="both"/>
      </w:pPr>
    </w:p>
    <w:p w14:paraId="4FC10D0E" w14:textId="77777777" w:rsidR="00D12A3A" w:rsidRDefault="00D12A3A" w:rsidP="00A01487">
      <w:pPr>
        <w:spacing w:line="240" w:lineRule="auto"/>
      </w:pPr>
    </w:p>
    <w:sectPr w:rsidR="00D12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487"/>
    <w:rsid w:val="00A01487"/>
    <w:rsid w:val="00D12A3A"/>
    <w:rsid w:val="00E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43050E"/>
  <w15:chartTrackingRefBased/>
  <w15:docId w15:val="{B00D28BC-8C0A-459E-8900-CF3FA14E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487"/>
    <w:pPr>
      <w:suppressAutoHyphens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illedtekst">
    <w:name w:val="caption"/>
    <w:basedOn w:val="Normal"/>
    <w:next w:val="Normal"/>
    <w:uiPriority w:val="35"/>
    <w:unhideWhenUsed/>
    <w:qFormat/>
    <w:rsid w:val="00A0148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Hansen</dc:creator>
  <cp:keywords/>
  <dc:description/>
  <cp:lastModifiedBy>Charles Hansen</cp:lastModifiedBy>
  <cp:revision>1</cp:revision>
  <dcterms:created xsi:type="dcterms:W3CDTF">2021-05-03T07:54:00Z</dcterms:created>
  <dcterms:modified xsi:type="dcterms:W3CDTF">2021-05-03T07:56:00Z</dcterms:modified>
</cp:coreProperties>
</file>