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CB4" w:rsidRPr="00130A27" w:rsidRDefault="00852CB4" w:rsidP="00852CB4">
      <w:pPr>
        <w:pStyle w:val="paragraph"/>
        <w:shd w:val="clear" w:color="auto" w:fill="FFFFFF"/>
        <w:spacing w:before="0" w:beforeAutospacing="0" w:after="0" w:afterAutospacing="0"/>
        <w:textAlignment w:val="baseline"/>
        <w:rPr>
          <w:rStyle w:val="eop"/>
          <w:sz w:val="32"/>
          <w:szCs w:val="32"/>
        </w:rPr>
      </w:pPr>
      <w:r w:rsidRPr="00130A27">
        <w:rPr>
          <w:rStyle w:val="eop"/>
          <w:sz w:val="32"/>
          <w:szCs w:val="32"/>
        </w:rPr>
        <w:t> </w:t>
      </w:r>
    </w:p>
    <w:p w:rsidR="00852CB4" w:rsidRPr="00CE7312" w:rsidRDefault="00852CB4" w:rsidP="00852CB4">
      <w:pPr>
        <w:pStyle w:val="paragraph"/>
        <w:shd w:val="clear" w:color="auto" w:fill="FFFFFF"/>
        <w:spacing w:before="0" w:beforeAutospacing="0" w:after="0" w:afterAutospacing="0"/>
        <w:textAlignment w:val="baseline"/>
        <w:rPr>
          <w:b/>
          <w:bCs/>
          <w:sz w:val="32"/>
          <w:szCs w:val="32"/>
        </w:rPr>
      </w:pPr>
      <w:r w:rsidRPr="00CE7312">
        <w:rPr>
          <w:rStyle w:val="eop"/>
          <w:b/>
          <w:bCs/>
          <w:sz w:val="32"/>
          <w:szCs w:val="32"/>
        </w:rPr>
        <w:t>Paraparetic Guillian-Barre Syndrome</w:t>
      </w:r>
      <w:r w:rsidR="00C25C37" w:rsidRPr="00CE7312">
        <w:rPr>
          <w:rStyle w:val="eop"/>
          <w:b/>
          <w:bCs/>
          <w:sz w:val="32"/>
          <w:szCs w:val="32"/>
        </w:rPr>
        <w:t>:</w:t>
      </w:r>
      <w:r w:rsidRPr="00CE7312">
        <w:rPr>
          <w:rStyle w:val="eop"/>
          <w:b/>
          <w:bCs/>
          <w:sz w:val="32"/>
          <w:szCs w:val="32"/>
        </w:rPr>
        <w:t xml:space="preserve"> A</w:t>
      </w:r>
      <w:r w:rsidR="008F5A2E">
        <w:rPr>
          <w:rStyle w:val="eop"/>
          <w:b/>
          <w:bCs/>
          <w:sz w:val="32"/>
          <w:szCs w:val="32"/>
        </w:rPr>
        <w:t xml:space="preserve">n uncommon </w:t>
      </w:r>
      <w:r w:rsidRPr="00CE7312">
        <w:rPr>
          <w:rStyle w:val="eop"/>
          <w:b/>
          <w:bCs/>
          <w:sz w:val="32"/>
          <w:szCs w:val="32"/>
        </w:rPr>
        <w:t xml:space="preserve">diagnosis of acute flaccid paralysis of </w:t>
      </w:r>
      <w:r w:rsidR="00276181">
        <w:rPr>
          <w:rStyle w:val="eop"/>
          <w:b/>
          <w:bCs/>
          <w:sz w:val="32"/>
          <w:szCs w:val="32"/>
        </w:rPr>
        <w:t xml:space="preserve">the </w:t>
      </w:r>
      <w:r w:rsidRPr="00CE7312">
        <w:rPr>
          <w:rStyle w:val="eop"/>
          <w:b/>
          <w:bCs/>
          <w:sz w:val="32"/>
          <w:szCs w:val="32"/>
        </w:rPr>
        <w:t xml:space="preserve">lower limbs </w:t>
      </w:r>
    </w:p>
    <w:p w:rsidR="003134C9" w:rsidRDefault="003134C9" w:rsidP="00D01220">
      <w:pPr>
        <w:pStyle w:val="paragraph"/>
        <w:shd w:val="clear" w:color="auto" w:fill="FFFFFF"/>
        <w:spacing w:before="0" w:beforeAutospacing="0" w:after="0" w:afterAutospacing="0"/>
        <w:textAlignment w:val="baseline"/>
        <w:rPr>
          <w:rStyle w:val="normaltextrun"/>
          <w:sz w:val="28"/>
          <w:szCs w:val="28"/>
        </w:rPr>
      </w:pPr>
    </w:p>
    <w:p w:rsidR="00C57470" w:rsidRPr="00C57470" w:rsidRDefault="00C57470" w:rsidP="009F1053">
      <w:pPr>
        <w:pStyle w:val="paragraph"/>
        <w:shd w:val="clear" w:color="auto" w:fill="FFFFFF"/>
        <w:spacing w:before="0" w:beforeAutospacing="0" w:after="0" w:afterAutospacing="0" w:line="360" w:lineRule="auto"/>
        <w:textAlignment w:val="baseline"/>
        <w:rPr>
          <w:sz w:val="28"/>
          <w:szCs w:val="28"/>
        </w:rPr>
      </w:pPr>
      <w:r w:rsidRPr="00C57470">
        <w:rPr>
          <w:rStyle w:val="normaltextrun"/>
          <w:sz w:val="28"/>
          <w:szCs w:val="28"/>
        </w:rPr>
        <w:t>Prajjwol Luitel</w:t>
      </w:r>
      <w:r w:rsidR="00EB37A0" w:rsidRPr="00BB6C83">
        <w:rPr>
          <w:rStyle w:val="normaltextrun"/>
          <w:sz w:val="28"/>
          <w:szCs w:val="28"/>
          <w:vertAlign w:val="superscript"/>
        </w:rPr>
        <w:t>1</w:t>
      </w:r>
      <w:r w:rsidRPr="00C57470">
        <w:rPr>
          <w:rStyle w:val="eop"/>
          <w:sz w:val="28"/>
          <w:szCs w:val="28"/>
        </w:rPr>
        <w:t>, Nischal Neupane</w:t>
      </w:r>
      <w:r w:rsidR="00BB6C83" w:rsidRPr="00BB6C83">
        <w:rPr>
          <w:rStyle w:val="normaltextrun"/>
          <w:sz w:val="28"/>
          <w:szCs w:val="28"/>
          <w:vertAlign w:val="superscript"/>
        </w:rPr>
        <w:t>1</w:t>
      </w:r>
      <w:r w:rsidRPr="00C57470">
        <w:rPr>
          <w:rStyle w:val="eop"/>
          <w:sz w:val="28"/>
          <w:szCs w:val="28"/>
        </w:rPr>
        <w:t>, Niranjan Adhikari</w:t>
      </w:r>
      <w:r w:rsidR="00BB6C83" w:rsidRPr="00BB6C83">
        <w:rPr>
          <w:rStyle w:val="normaltextrun"/>
          <w:sz w:val="28"/>
          <w:szCs w:val="28"/>
          <w:vertAlign w:val="superscript"/>
        </w:rPr>
        <w:t>1</w:t>
      </w:r>
      <w:r w:rsidRPr="00C57470">
        <w:rPr>
          <w:rStyle w:val="eop"/>
          <w:sz w:val="28"/>
          <w:szCs w:val="28"/>
        </w:rPr>
        <w:t>, Sujan Paudel</w:t>
      </w:r>
      <w:r w:rsidR="00BB6C83" w:rsidRPr="00BB6C83">
        <w:rPr>
          <w:rStyle w:val="normaltextrun"/>
          <w:sz w:val="28"/>
          <w:szCs w:val="28"/>
          <w:vertAlign w:val="superscript"/>
        </w:rPr>
        <w:t>1</w:t>
      </w:r>
      <w:r>
        <w:rPr>
          <w:rStyle w:val="eop"/>
          <w:sz w:val="28"/>
          <w:szCs w:val="28"/>
        </w:rPr>
        <w:t xml:space="preserve">, </w:t>
      </w:r>
      <w:r w:rsidR="00682635">
        <w:rPr>
          <w:rStyle w:val="eop"/>
          <w:sz w:val="28"/>
          <w:szCs w:val="28"/>
        </w:rPr>
        <w:t>Bikram Prasad Gajurel</w:t>
      </w:r>
      <w:r w:rsidR="00E14274">
        <w:rPr>
          <w:rStyle w:val="normaltextrun"/>
          <w:sz w:val="28"/>
          <w:szCs w:val="28"/>
          <w:vertAlign w:val="superscript"/>
        </w:rPr>
        <w:t>2</w:t>
      </w:r>
      <w:r w:rsidR="00682635">
        <w:rPr>
          <w:rStyle w:val="eop"/>
          <w:sz w:val="28"/>
          <w:szCs w:val="28"/>
        </w:rPr>
        <w:t>, Ragesh Karn</w:t>
      </w:r>
      <w:r w:rsidR="00E14274">
        <w:rPr>
          <w:rStyle w:val="normaltextrun"/>
          <w:sz w:val="28"/>
          <w:szCs w:val="28"/>
          <w:vertAlign w:val="superscript"/>
        </w:rPr>
        <w:t>2</w:t>
      </w:r>
      <w:r w:rsidR="00682635">
        <w:rPr>
          <w:rStyle w:val="eop"/>
          <w:sz w:val="28"/>
          <w:szCs w:val="28"/>
        </w:rPr>
        <w:t>, Reema Rajbhandari</w:t>
      </w:r>
      <w:r w:rsidR="00E14274">
        <w:rPr>
          <w:rStyle w:val="normaltextrun"/>
          <w:sz w:val="28"/>
          <w:szCs w:val="28"/>
          <w:vertAlign w:val="superscript"/>
        </w:rPr>
        <w:t>2</w:t>
      </w:r>
      <w:r w:rsidR="00682635">
        <w:rPr>
          <w:rStyle w:val="eop"/>
          <w:sz w:val="28"/>
          <w:szCs w:val="28"/>
        </w:rPr>
        <w:t xml:space="preserve">, </w:t>
      </w:r>
      <w:r w:rsidR="00404F80">
        <w:rPr>
          <w:rStyle w:val="eop"/>
          <w:sz w:val="28"/>
          <w:szCs w:val="28"/>
        </w:rPr>
        <w:t>Niraj Gautam</w:t>
      </w:r>
      <w:r w:rsidR="00E14274">
        <w:rPr>
          <w:rStyle w:val="normaltextrun"/>
          <w:sz w:val="28"/>
          <w:szCs w:val="28"/>
          <w:vertAlign w:val="superscript"/>
        </w:rPr>
        <w:t>2</w:t>
      </w:r>
      <w:r w:rsidR="00404F80">
        <w:rPr>
          <w:rStyle w:val="eop"/>
          <w:sz w:val="28"/>
          <w:szCs w:val="28"/>
        </w:rPr>
        <w:t>, Ashish Shrestha</w:t>
      </w:r>
      <w:r w:rsidR="00E14274">
        <w:rPr>
          <w:rStyle w:val="normaltextrun"/>
          <w:sz w:val="28"/>
          <w:szCs w:val="28"/>
          <w:vertAlign w:val="superscript"/>
        </w:rPr>
        <w:t>2</w:t>
      </w:r>
      <w:r w:rsidR="00404F80">
        <w:rPr>
          <w:rStyle w:val="eop"/>
          <w:sz w:val="28"/>
          <w:szCs w:val="28"/>
        </w:rPr>
        <w:t xml:space="preserve">, </w:t>
      </w:r>
      <w:r>
        <w:rPr>
          <w:rStyle w:val="eop"/>
          <w:sz w:val="28"/>
          <w:szCs w:val="28"/>
        </w:rPr>
        <w:t>Rajeev Ojha</w:t>
      </w:r>
      <w:r w:rsidR="00194889">
        <w:rPr>
          <w:rStyle w:val="normaltextrun"/>
          <w:sz w:val="28"/>
          <w:szCs w:val="28"/>
          <w:vertAlign w:val="superscript"/>
        </w:rPr>
        <w:t>2</w:t>
      </w:r>
    </w:p>
    <w:p w:rsidR="00C57470" w:rsidRPr="008F1E75" w:rsidRDefault="008F1E75">
      <w:pPr>
        <w:rPr>
          <w:sz w:val="28"/>
          <w:szCs w:val="28"/>
          <w:lang w:val="en-US"/>
        </w:rPr>
      </w:pPr>
      <w:r w:rsidRPr="008F1E75">
        <w:rPr>
          <w:sz w:val="28"/>
          <w:szCs w:val="28"/>
          <w:vertAlign w:val="superscript"/>
          <w:lang w:val="en-US"/>
        </w:rPr>
        <w:t>1</w:t>
      </w:r>
      <w:r w:rsidRPr="008F1E75">
        <w:rPr>
          <w:sz w:val="28"/>
          <w:szCs w:val="28"/>
          <w:lang w:val="en-US"/>
        </w:rPr>
        <w:t xml:space="preserve"> Maharajgunj Medical Campus, Tribhuvan University Institute of Medicine, Maharajgunj 44600, Kathmandu, Nepal</w:t>
      </w:r>
    </w:p>
    <w:p w:rsidR="008F1E75" w:rsidRPr="008F1E75" w:rsidRDefault="008F1E75" w:rsidP="008F1E75">
      <w:pPr>
        <w:rPr>
          <w:sz w:val="28"/>
          <w:szCs w:val="28"/>
          <w:lang w:val="en-US"/>
        </w:rPr>
      </w:pPr>
      <w:r w:rsidRPr="008F1E75">
        <w:rPr>
          <w:sz w:val="28"/>
          <w:szCs w:val="28"/>
          <w:vertAlign w:val="superscript"/>
          <w:lang w:val="en-US"/>
        </w:rPr>
        <w:t>2</w:t>
      </w:r>
      <w:r w:rsidRPr="008F1E75">
        <w:rPr>
          <w:sz w:val="28"/>
          <w:szCs w:val="28"/>
          <w:lang w:val="en-US"/>
        </w:rPr>
        <w:t xml:space="preserve"> Department of Neurology, Tribhuvan University Institute of Medicine, Maharajgunj 44600, Kathmandu, Nepal</w:t>
      </w:r>
    </w:p>
    <w:p w:rsidR="008F1E75" w:rsidRPr="008F1E75" w:rsidRDefault="008F1E75">
      <w:pPr>
        <w:rPr>
          <w:sz w:val="32"/>
          <w:szCs w:val="32"/>
          <w:lang w:val="en-US"/>
        </w:rPr>
      </w:pPr>
    </w:p>
    <w:p w:rsidR="001E5CF5" w:rsidRDefault="001E5CF5">
      <w:pPr>
        <w:rPr>
          <w:sz w:val="32"/>
          <w:szCs w:val="32"/>
        </w:rPr>
      </w:pPr>
    </w:p>
    <w:p w:rsidR="001E5CF5" w:rsidRDefault="001E5CF5">
      <w:pPr>
        <w:rPr>
          <w:sz w:val="32"/>
          <w:szCs w:val="32"/>
        </w:rPr>
      </w:pPr>
    </w:p>
    <w:p w:rsidR="00C25C37" w:rsidRPr="00E82F91" w:rsidRDefault="00C25C37">
      <w:pPr>
        <w:rPr>
          <w:b/>
          <w:bCs/>
          <w:sz w:val="28"/>
          <w:szCs w:val="28"/>
        </w:rPr>
      </w:pPr>
      <w:r w:rsidRPr="00E82F91">
        <w:rPr>
          <w:b/>
          <w:bCs/>
          <w:sz w:val="28"/>
          <w:szCs w:val="28"/>
        </w:rPr>
        <w:t>Corresponding Author</w:t>
      </w:r>
    </w:p>
    <w:p w:rsidR="00B86F3F" w:rsidRPr="00CE7312" w:rsidRDefault="00C25C37">
      <w:pPr>
        <w:rPr>
          <w:sz w:val="28"/>
          <w:szCs w:val="28"/>
        </w:rPr>
      </w:pPr>
      <w:r w:rsidRPr="00CE7312">
        <w:rPr>
          <w:sz w:val="28"/>
          <w:szCs w:val="28"/>
        </w:rPr>
        <w:t>Dr Rajeev Ojha</w:t>
      </w:r>
      <w:r w:rsidR="00632143" w:rsidRPr="00CE7312">
        <w:rPr>
          <w:sz w:val="28"/>
          <w:szCs w:val="28"/>
        </w:rPr>
        <w:br/>
      </w:r>
      <w:r w:rsidR="008733D6" w:rsidRPr="00CE7312">
        <w:rPr>
          <w:sz w:val="28"/>
          <w:szCs w:val="28"/>
        </w:rPr>
        <w:t xml:space="preserve">Department of </w:t>
      </w:r>
      <w:r w:rsidR="00682635" w:rsidRPr="00CE7312">
        <w:rPr>
          <w:sz w:val="28"/>
          <w:szCs w:val="28"/>
        </w:rPr>
        <w:t>N</w:t>
      </w:r>
      <w:r w:rsidR="008733D6" w:rsidRPr="00CE7312">
        <w:rPr>
          <w:sz w:val="28"/>
          <w:szCs w:val="28"/>
        </w:rPr>
        <w:t xml:space="preserve">eurology, Tribhuvan University Institute of Medicine </w:t>
      </w:r>
      <w:r w:rsidR="00632143" w:rsidRPr="00CE7312">
        <w:rPr>
          <w:sz w:val="28"/>
          <w:szCs w:val="28"/>
        </w:rPr>
        <w:br/>
      </w:r>
      <w:r w:rsidR="00200F47" w:rsidRPr="00CE7312">
        <w:rPr>
          <w:sz w:val="28"/>
          <w:szCs w:val="28"/>
        </w:rPr>
        <w:t xml:space="preserve">Maharajgunj, </w:t>
      </w:r>
      <w:r w:rsidR="00B86F3F" w:rsidRPr="00CE7312">
        <w:rPr>
          <w:sz w:val="28"/>
          <w:szCs w:val="28"/>
        </w:rPr>
        <w:t xml:space="preserve">Kathmandu </w:t>
      </w:r>
      <w:r w:rsidR="00632143" w:rsidRPr="00CE7312">
        <w:rPr>
          <w:sz w:val="28"/>
          <w:szCs w:val="28"/>
        </w:rPr>
        <w:br/>
      </w:r>
      <w:r w:rsidR="00B86F3F" w:rsidRPr="00CE7312">
        <w:rPr>
          <w:sz w:val="28"/>
          <w:szCs w:val="28"/>
        </w:rPr>
        <w:t xml:space="preserve">Nepal </w:t>
      </w:r>
    </w:p>
    <w:p w:rsidR="00852CB4" w:rsidRPr="00B15ECC" w:rsidRDefault="00B15ECC">
      <w:pPr>
        <w:rPr>
          <w:sz w:val="28"/>
          <w:szCs w:val="28"/>
          <w:lang w:val="en-US"/>
        </w:rPr>
      </w:pPr>
      <w:r w:rsidRPr="00B15ECC">
        <w:rPr>
          <w:sz w:val="28"/>
          <w:szCs w:val="28"/>
          <w:lang w:val="en-US"/>
        </w:rPr>
        <w:t xml:space="preserve">Email: </w:t>
      </w:r>
      <w:hyperlink r:id="rId5" w:history="1">
        <w:r w:rsidRPr="00B15ECC">
          <w:rPr>
            <w:rStyle w:val="Hyperlink"/>
            <w:sz w:val="28"/>
            <w:szCs w:val="28"/>
            <w:lang w:val="en-US"/>
          </w:rPr>
          <w:t>rajeevnet@hotmail.com</w:t>
        </w:r>
      </w:hyperlink>
    </w:p>
    <w:p w:rsidR="00B15ECC" w:rsidRDefault="00B15ECC">
      <w:pPr>
        <w:rPr>
          <w:sz w:val="32"/>
          <w:szCs w:val="32"/>
          <w:lang w:val="en-US"/>
        </w:rPr>
      </w:pPr>
    </w:p>
    <w:p w:rsidR="001E5CF5" w:rsidRDefault="005F6190">
      <w:pPr>
        <w:rPr>
          <w:sz w:val="32"/>
          <w:szCs w:val="32"/>
          <w:lang w:val="en-US"/>
        </w:rPr>
      </w:pPr>
      <w:r>
        <w:rPr>
          <w:b/>
          <w:sz w:val="32"/>
          <w:szCs w:val="32"/>
          <w:lang w:val="en-US"/>
        </w:rPr>
        <w:t xml:space="preserve">Key </w:t>
      </w:r>
      <w:r w:rsidR="001908B3" w:rsidRPr="001908B3">
        <w:rPr>
          <w:b/>
          <w:sz w:val="32"/>
          <w:szCs w:val="32"/>
          <w:lang w:val="en-US"/>
        </w:rPr>
        <w:t>Clinical message</w:t>
      </w:r>
      <w:r w:rsidR="001908B3">
        <w:rPr>
          <w:sz w:val="32"/>
          <w:szCs w:val="32"/>
          <w:lang w:val="en-US"/>
        </w:rPr>
        <w:t>:</w:t>
      </w:r>
    </w:p>
    <w:p w:rsidR="001908B3" w:rsidRPr="001908B3" w:rsidRDefault="001908B3">
      <w:pPr>
        <w:rPr>
          <w:sz w:val="28"/>
          <w:szCs w:val="28"/>
          <w:lang w:val="en-US"/>
        </w:rPr>
      </w:pPr>
      <w:r>
        <w:rPr>
          <w:sz w:val="28"/>
          <w:szCs w:val="28"/>
          <w:lang w:val="en-US"/>
        </w:rPr>
        <w:t>Upon encountering acute, flaccid paralysis of lower limbs, besides regular differentials of transverse myelitis, cord compression; paraparetic GBS should be considered since it’s timely diagnosis and management helps prevent complications and prevent unnecessary interventions. In addition we report a case where we managed similar case without use of immunomodulatory agent.</w:t>
      </w:r>
    </w:p>
    <w:p w:rsidR="001E5CF5" w:rsidRPr="00B15ECC" w:rsidRDefault="001E5CF5">
      <w:pPr>
        <w:rPr>
          <w:sz w:val="32"/>
          <w:szCs w:val="32"/>
          <w:lang w:val="en-US"/>
        </w:rPr>
      </w:pPr>
    </w:p>
    <w:p w:rsidR="000340D0" w:rsidRPr="00CE7312" w:rsidRDefault="001C4583">
      <w:pPr>
        <w:rPr>
          <w:sz w:val="28"/>
          <w:szCs w:val="28"/>
        </w:rPr>
      </w:pPr>
      <w:r w:rsidRPr="00CE7312">
        <w:rPr>
          <w:b/>
          <w:bCs/>
          <w:sz w:val="28"/>
          <w:szCs w:val="28"/>
        </w:rPr>
        <w:t>Abstract</w:t>
      </w:r>
      <w:r w:rsidRPr="00CE7312">
        <w:rPr>
          <w:sz w:val="28"/>
          <w:szCs w:val="28"/>
        </w:rPr>
        <w:t>:</w:t>
      </w:r>
    </w:p>
    <w:p w:rsidR="00683056" w:rsidRPr="00CE7312" w:rsidRDefault="005D7197" w:rsidP="00130094">
      <w:pPr>
        <w:spacing w:line="360" w:lineRule="auto"/>
        <w:jc w:val="both"/>
        <w:rPr>
          <w:sz w:val="28"/>
          <w:szCs w:val="28"/>
        </w:rPr>
      </w:pPr>
      <w:r w:rsidRPr="00CE7312">
        <w:rPr>
          <w:sz w:val="28"/>
          <w:szCs w:val="28"/>
        </w:rPr>
        <w:t xml:space="preserve">Paraparetic </w:t>
      </w:r>
      <w:r w:rsidR="00454E5F" w:rsidRPr="00CE7312">
        <w:rPr>
          <w:rStyle w:val="eop"/>
          <w:sz w:val="28"/>
          <w:szCs w:val="28"/>
        </w:rPr>
        <w:t>Guillian-Barre Syndrome</w:t>
      </w:r>
      <w:r w:rsidR="00E82F91">
        <w:rPr>
          <w:rStyle w:val="eop"/>
          <w:sz w:val="28"/>
          <w:szCs w:val="28"/>
        </w:rPr>
        <w:t xml:space="preserve"> (</w:t>
      </w:r>
      <w:r w:rsidRPr="00CE7312">
        <w:rPr>
          <w:sz w:val="28"/>
          <w:szCs w:val="28"/>
        </w:rPr>
        <w:t>GBS</w:t>
      </w:r>
      <w:r w:rsidR="00E82F91">
        <w:rPr>
          <w:sz w:val="28"/>
          <w:szCs w:val="28"/>
        </w:rPr>
        <w:t>)</w:t>
      </w:r>
      <w:r w:rsidRPr="00CE7312">
        <w:rPr>
          <w:sz w:val="28"/>
          <w:szCs w:val="28"/>
        </w:rPr>
        <w:t xml:space="preserve"> is an uncommon variant </w:t>
      </w:r>
      <w:r w:rsidR="005B38A0" w:rsidRPr="00CE7312">
        <w:rPr>
          <w:sz w:val="28"/>
          <w:szCs w:val="28"/>
        </w:rPr>
        <w:t>of</w:t>
      </w:r>
      <w:r w:rsidRPr="00CE7312">
        <w:rPr>
          <w:sz w:val="28"/>
          <w:szCs w:val="28"/>
        </w:rPr>
        <w:t xml:space="preserve"> GBS presenting </w:t>
      </w:r>
      <w:r w:rsidR="001C4583" w:rsidRPr="00CE7312">
        <w:rPr>
          <w:sz w:val="28"/>
          <w:szCs w:val="28"/>
        </w:rPr>
        <w:t>as</w:t>
      </w:r>
      <w:r w:rsidRPr="00CE7312">
        <w:rPr>
          <w:sz w:val="28"/>
          <w:szCs w:val="28"/>
        </w:rPr>
        <w:t xml:space="preserve"> bilateral weakness of </w:t>
      </w:r>
      <w:r w:rsidR="00276181">
        <w:rPr>
          <w:sz w:val="28"/>
          <w:szCs w:val="28"/>
        </w:rPr>
        <w:t xml:space="preserve">the </w:t>
      </w:r>
      <w:r w:rsidRPr="00CE7312">
        <w:rPr>
          <w:sz w:val="28"/>
          <w:szCs w:val="28"/>
        </w:rPr>
        <w:t xml:space="preserve">lower limbs with loss of reflexes </w:t>
      </w:r>
      <w:r w:rsidR="00062137" w:rsidRPr="00CE7312">
        <w:rPr>
          <w:sz w:val="28"/>
          <w:szCs w:val="28"/>
        </w:rPr>
        <w:t xml:space="preserve">without </w:t>
      </w:r>
      <w:r w:rsidRPr="00CE7312">
        <w:rPr>
          <w:sz w:val="28"/>
          <w:szCs w:val="28"/>
        </w:rPr>
        <w:t xml:space="preserve">involvement of </w:t>
      </w:r>
      <w:r w:rsidR="00276181">
        <w:rPr>
          <w:sz w:val="28"/>
          <w:szCs w:val="28"/>
        </w:rPr>
        <w:t xml:space="preserve">the </w:t>
      </w:r>
      <w:r w:rsidRPr="00CE7312">
        <w:rPr>
          <w:sz w:val="28"/>
          <w:szCs w:val="28"/>
        </w:rPr>
        <w:t>upper limbs</w:t>
      </w:r>
      <w:r w:rsidR="0011700C" w:rsidRPr="00CE7312">
        <w:rPr>
          <w:sz w:val="28"/>
          <w:szCs w:val="28"/>
        </w:rPr>
        <w:t xml:space="preserve"> or</w:t>
      </w:r>
      <w:r w:rsidR="00A72522" w:rsidRPr="00CE7312">
        <w:rPr>
          <w:sz w:val="28"/>
          <w:szCs w:val="28"/>
        </w:rPr>
        <w:t xml:space="preserve"> </w:t>
      </w:r>
      <w:r w:rsidR="00DD441C" w:rsidRPr="00CE7312">
        <w:rPr>
          <w:sz w:val="28"/>
          <w:szCs w:val="28"/>
        </w:rPr>
        <w:t>cranial nerves</w:t>
      </w:r>
      <w:r w:rsidRPr="00CE7312">
        <w:rPr>
          <w:sz w:val="28"/>
          <w:szCs w:val="28"/>
        </w:rPr>
        <w:t xml:space="preserve">. </w:t>
      </w:r>
      <w:r w:rsidR="00DD441C" w:rsidRPr="00CE7312">
        <w:rPr>
          <w:sz w:val="28"/>
          <w:szCs w:val="28"/>
        </w:rPr>
        <w:t xml:space="preserve">We describe a case of </w:t>
      </w:r>
      <w:r w:rsidR="00276181">
        <w:rPr>
          <w:sz w:val="28"/>
          <w:szCs w:val="28"/>
        </w:rPr>
        <w:t xml:space="preserve">a </w:t>
      </w:r>
      <w:r w:rsidR="00DD441C" w:rsidRPr="00CE7312">
        <w:rPr>
          <w:sz w:val="28"/>
          <w:szCs w:val="28"/>
        </w:rPr>
        <w:t>teenage</w:t>
      </w:r>
      <w:r w:rsidR="001C4583" w:rsidRPr="00CE7312">
        <w:rPr>
          <w:sz w:val="28"/>
          <w:szCs w:val="28"/>
        </w:rPr>
        <w:t xml:space="preserve"> boy, who</w:t>
      </w:r>
      <w:r w:rsidR="00DD441C" w:rsidRPr="00CE7312">
        <w:rPr>
          <w:sz w:val="28"/>
          <w:szCs w:val="28"/>
        </w:rPr>
        <w:t xml:space="preserve"> developed progressive, symmetric weakness of </w:t>
      </w:r>
      <w:r w:rsidR="00276181">
        <w:rPr>
          <w:sz w:val="28"/>
          <w:szCs w:val="28"/>
        </w:rPr>
        <w:t xml:space="preserve">the </w:t>
      </w:r>
      <w:r w:rsidR="00DD441C" w:rsidRPr="00CE7312">
        <w:rPr>
          <w:sz w:val="28"/>
          <w:szCs w:val="28"/>
        </w:rPr>
        <w:t xml:space="preserve">lower limbs following </w:t>
      </w:r>
      <w:r w:rsidR="00942087" w:rsidRPr="00CE7312">
        <w:rPr>
          <w:sz w:val="28"/>
          <w:szCs w:val="28"/>
        </w:rPr>
        <w:t xml:space="preserve">an </w:t>
      </w:r>
      <w:r w:rsidR="00DD441C" w:rsidRPr="00CE7312">
        <w:rPr>
          <w:sz w:val="28"/>
          <w:szCs w:val="28"/>
        </w:rPr>
        <w:t xml:space="preserve">upper respiratory tract infection. </w:t>
      </w:r>
      <w:r w:rsidR="00683056" w:rsidRPr="00CE7312">
        <w:rPr>
          <w:sz w:val="28"/>
          <w:szCs w:val="28"/>
        </w:rPr>
        <w:t xml:space="preserve">Post-infectious, monophasic, acute, symmetric course of weakness were suggestive of paraparetic GBS which were further confirmed by </w:t>
      </w:r>
      <w:r w:rsidR="00143FBA" w:rsidRPr="00CE7312">
        <w:rPr>
          <w:sz w:val="28"/>
          <w:szCs w:val="28"/>
        </w:rPr>
        <w:t>cerebrospinal fluid</w:t>
      </w:r>
      <w:r w:rsidR="006040E8" w:rsidRPr="00CE7312">
        <w:rPr>
          <w:sz w:val="28"/>
          <w:szCs w:val="28"/>
        </w:rPr>
        <w:t xml:space="preserve"> (</w:t>
      </w:r>
      <w:r w:rsidR="00683056" w:rsidRPr="00CE7312">
        <w:rPr>
          <w:sz w:val="28"/>
          <w:szCs w:val="28"/>
        </w:rPr>
        <w:t>CSF</w:t>
      </w:r>
      <w:r w:rsidR="006040E8" w:rsidRPr="00CE7312">
        <w:rPr>
          <w:sz w:val="28"/>
          <w:szCs w:val="28"/>
        </w:rPr>
        <w:t>)</w:t>
      </w:r>
      <w:r w:rsidR="00683056" w:rsidRPr="00CE7312">
        <w:rPr>
          <w:sz w:val="28"/>
          <w:szCs w:val="28"/>
        </w:rPr>
        <w:t xml:space="preserve"> and </w:t>
      </w:r>
      <w:r w:rsidR="006040E8" w:rsidRPr="00CE7312">
        <w:rPr>
          <w:sz w:val="28"/>
          <w:szCs w:val="28"/>
        </w:rPr>
        <w:t xml:space="preserve">electrophysiological </w:t>
      </w:r>
      <w:r w:rsidR="00EF2716" w:rsidRPr="00CE7312">
        <w:rPr>
          <w:sz w:val="28"/>
          <w:szCs w:val="28"/>
        </w:rPr>
        <w:t xml:space="preserve">findings. </w:t>
      </w:r>
    </w:p>
    <w:p w:rsidR="001E5CF5" w:rsidRDefault="001E5CF5">
      <w:pPr>
        <w:rPr>
          <w:b/>
          <w:bCs/>
          <w:sz w:val="28"/>
          <w:szCs w:val="28"/>
        </w:rPr>
      </w:pPr>
    </w:p>
    <w:p w:rsidR="001E5CF5" w:rsidRDefault="001E5CF5">
      <w:pPr>
        <w:rPr>
          <w:b/>
          <w:bCs/>
          <w:sz w:val="28"/>
          <w:szCs w:val="28"/>
        </w:rPr>
      </w:pPr>
    </w:p>
    <w:p w:rsidR="001E5CF5" w:rsidRDefault="001E5CF5">
      <w:pPr>
        <w:rPr>
          <w:b/>
          <w:bCs/>
          <w:sz w:val="28"/>
          <w:szCs w:val="28"/>
        </w:rPr>
      </w:pPr>
    </w:p>
    <w:p w:rsidR="00044661" w:rsidRDefault="00FF4CDC">
      <w:pPr>
        <w:rPr>
          <w:sz w:val="28"/>
          <w:szCs w:val="28"/>
        </w:rPr>
      </w:pPr>
      <w:r w:rsidRPr="001E5CF5">
        <w:rPr>
          <w:b/>
          <w:bCs/>
          <w:sz w:val="28"/>
          <w:szCs w:val="28"/>
        </w:rPr>
        <w:t>Keywords</w:t>
      </w:r>
    </w:p>
    <w:p w:rsidR="00FF4CDC" w:rsidRPr="00CE7312" w:rsidRDefault="00ED7274">
      <w:pPr>
        <w:rPr>
          <w:sz w:val="28"/>
          <w:szCs w:val="28"/>
        </w:rPr>
      </w:pPr>
      <w:r>
        <w:rPr>
          <w:sz w:val="28"/>
          <w:szCs w:val="28"/>
        </w:rPr>
        <w:t>Paraparetic</w:t>
      </w:r>
      <w:r w:rsidR="00FF4CDC">
        <w:rPr>
          <w:sz w:val="28"/>
          <w:szCs w:val="28"/>
        </w:rPr>
        <w:t xml:space="preserve"> GBS, neuropathy, </w:t>
      </w:r>
      <w:r w:rsidR="00886797">
        <w:rPr>
          <w:sz w:val="28"/>
          <w:szCs w:val="28"/>
        </w:rPr>
        <w:t>flaccid paralysis</w:t>
      </w:r>
    </w:p>
    <w:p w:rsidR="00B15ECC" w:rsidRDefault="00B15ECC">
      <w:pPr>
        <w:spacing w:after="200" w:line="276" w:lineRule="auto"/>
        <w:rPr>
          <w:b/>
          <w:bCs/>
          <w:sz w:val="28"/>
          <w:szCs w:val="28"/>
        </w:rPr>
      </w:pPr>
      <w:r>
        <w:rPr>
          <w:b/>
          <w:bCs/>
          <w:sz w:val="28"/>
          <w:szCs w:val="28"/>
        </w:rPr>
        <w:br w:type="page"/>
      </w:r>
    </w:p>
    <w:p w:rsidR="00044661" w:rsidRDefault="005B49DD">
      <w:pPr>
        <w:rPr>
          <w:b/>
          <w:bCs/>
          <w:sz w:val="28"/>
          <w:szCs w:val="28"/>
        </w:rPr>
      </w:pPr>
      <w:r w:rsidRPr="00CE7312">
        <w:rPr>
          <w:b/>
          <w:bCs/>
          <w:sz w:val="28"/>
          <w:szCs w:val="28"/>
        </w:rPr>
        <w:lastRenderedPageBreak/>
        <w:t>Introduction</w:t>
      </w:r>
    </w:p>
    <w:p w:rsidR="00B15ECC" w:rsidRPr="00CE7312" w:rsidRDefault="00B15ECC">
      <w:pPr>
        <w:rPr>
          <w:b/>
          <w:bCs/>
          <w:sz w:val="28"/>
          <w:szCs w:val="28"/>
        </w:rPr>
      </w:pPr>
    </w:p>
    <w:p w:rsidR="000C728D" w:rsidRPr="00CE7312" w:rsidRDefault="005B49DD" w:rsidP="00B15ECC">
      <w:pPr>
        <w:shd w:val="clear" w:color="auto" w:fill="FFFFFF"/>
        <w:spacing w:line="360" w:lineRule="auto"/>
        <w:jc w:val="both"/>
        <w:rPr>
          <w:sz w:val="28"/>
          <w:szCs w:val="28"/>
        </w:rPr>
      </w:pPr>
      <w:r w:rsidRPr="00CE7312">
        <w:rPr>
          <w:sz w:val="28"/>
          <w:szCs w:val="28"/>
        </w:rPr>
        <w:t xml:space="preserve">Globally, GBS is the most common cause of acute flaccid paralysis in </w:t>
      </w:r>
      <w:r w:rsidR="008F1ABE">
        <w:rPr>
          <w:sz w:val="28"/>
          <w:szCs w:val="28"/>
        </w:rPr>
        <w:t xml:space="preserve">the </w:t>
      </w:r>
      <w:r w:rsidRPr="00CE7312">
        <w:rPr>
          <w:sz w:val="28"/>
          <w:szCs w:val="28"/>
        </w:rPr>
        <w:t>current era of near elimination of poliomyelitis</w:t>
      </w:r>
      <w:r w:rsidR="008F1ABE">
        <w:rPr>
          <w:sz w:val="28"/>
          <w:szCs w:val="28"/>
        </w:rPr>
        <w:t xml:space="preserve">. </w:t>
      </w:r>
      <w:r w:rsidR="007B1D9F">
        <w:rPr>
          <w:sz w:val="28"/>
          <w:szCs w:val="28"/>
        </w:rPr>
        <w:fldChar w:fldCharType="begin" w:fldLock="1"/>
      </w:r>
      <w:r w:rsidR="006D34B7">
        <w:rPr>
          <w:sz w:val="28"/>
          <w:szCs w:val="28"/>
        </w:rPr>
        <w:instrText>ADDIN CSL_CITATION {"citationItems":[{"id":"ITEM-1","itemData":{"DOI":"10.1159/000184748","ISSN":"1423-0208 (Electronic)","PMID":"19088488","abstract":"BACKGROUND: This systematic literature review of the epidemiology of Guillain-Barré  syndrome (GBS) identifies trends in incidence rates by age, study method and cause of disease. It is important to have a reliable estimate of incidence to determine and investigate any changes: no previous systematic reviews of GBS have been found. METHODS: After critical assessment of the reliability of the reported data, incidence rates were extracted from all relevant papers published between 1980 and 2008, identified through searches of Medline, Embase and Science Direct. RESULTS: Sixty-three papers were included in this review; these studies were prospective, retrospective reviews of medical records or retrospective database studies. Ten studies reported on the incidence in children (0-15 years old), and found the annual incidence to be between 0.34 and 1.34/100,000. Most studies investigated populations in Europe and North America and reported similar annual incidence rates, i.e. between 0.84 and 1.91/100,000. A decrease in incidence over the time between the 1980s and 1990s was found. Up to 70% of cases of GBS were caused by antecedent infections. CONCLUSIONS: Our best estimate of the overall incidence of GBS was between 1.1/100,000/year and 1.8/100,000/year. The incidence of GBS increased with age after 50 years from 1.7/100,000/year to 3.3/100,000/year.","author":[{"dropping-particle":"","family":"McGrogan","given":"Anita","non-dropping-particle":"","parse-names":false,"suffix":""},{"dropping-particle":"","family":"Madle","given":"Gemma C","non-dropping-particle":"","parse-names":false,"suffix":""},{"dropping-particle":"","family":"Seaman","given":"Helen E","non-dropping-particle":"","parse-names":false,"suffix":""},{"dropping-particle":"","family":"Vries","given":"Corinne S","non-dropping-particle":"de","parse-names":false,"suffix":""}],"container-title":"Neuroepidemiology","id":"ITEM-1","issue":"2","issued":{"date-parts":[["2009"]]},"language":"eng","page":"150-163","publisher-place":"Switzerland","title":"The epidemiology of Guillain-Barré syndrome worldwide. A systematic literature  review.","type":"article-journal","volume":"32"},"uris":["http://www.mendeley.com/documents/?uuid=319f0f8e-6cad-4dcc-85c6-a58394cce26e"]}],"mendeley":{"formattedCitation":"[1]","plainTextFormattedCitation":"[1]","previouslyFormattedCitation":"[1]"},"properties":{"noteIndex":0},"schema":"https://github.com/citation-style-language/schema/raw/master/csl-citation.json"}</w:instrText>
      </w:r>
      <w:r w:rsidR="007B1D9F">
        <w:rPr>
          <w:sz w:val="28"/>
          <w:szCs w:val="28"/>
        </w:rPr>
        <w:fldChar w:fldCharType="separate"/>
      </w:r>
      <w:r w:rsidR="006D34B7" w:rsidRPr="006D34B7">
        <w:rPr>
          <w:noProof/>
          <w:sz w:val="28"/>
          <w:szCs w:val="28"/>
        </w:rPr>
        <w:t>[1]</w:t>
      </w:r>
      <w:r w:rsidR="007B1D9F">
        <w:rPr>
          <w:sz w:val="28"/>
          <w:szCs w:val="28"/>
        </w:rPr>
        <w:fldChar w:fldCharType="end"/>
      </w:r>
      <w:r w:rsidR="000C728D" w:rsidRPr="00CE7312">
        <w:rPr>
          <w:rStyle w:val="s1"/>
          <w:rFonts w:ascii="Times New Roman" w:hAnsi="Times New Roman"/>
          <w:sz w:val="28"/>
          <w:szCs w:val="28"/>
        </w:rPr>
        <w:t>Typical</w:t>
      </w:r>
      <w:r w:rsidR="00451DFB" w:rsidRPr="002531B6">
        <w:rPr>
          <w:rStyle w:val="s1"/>
          <w:rFonts w:ascii="Times New Roman" w:hAnsi="Times New Roman"/>
          <w:sz w:val="28"/>
          <w:szCs w:val="28"/>
          <w:lang w:val="en-US"/>
        </w:rPr>
        <w:t>ly,</w:t>
      </w:r>
      <w:r w:rsidR="000C728D" w:rsidRPr="00CE7312">
        <w:rPr>
          <w:rStyle w:val="s1"/>
          <w:rFonts w:ascii="Times New Roman" w:hAnsi="Times New Roman"/>
          <w:sz w:val="28"/>
          <w:szCs w:val="28"/>
        </w:rPr>
        <w:t xml:space="preserve"> GBS has an acute ascending bilateral symmetric weakness of varying degrees in limb</w:t>
      </w:r>
      <w:r w:rsidR="00A47183" w:rsidRPr="002531B6">
        <w:rPr>
          <w:rStyle w:val="s1"/>
          <w:rFonts w:ascii="Times New Roman" w:hAnsi="Times New Roman"/>
          <w:sz w:val="28"/>
          <w:szCs w:val="28"/>
          <w:lang w:val="en-US"/>
        </w:rPr>
        <w:t>s</w:t>
      </w:r>
      <w:r w:rsidR="008F1ABE">
        <w:rPr>
          <w:rStyle w:val="s1"/>
          <w:rFonts w:ascii="Times New Roman" w:hAnsi="Times New Roman"/>
          <w:sz w:val="28"/>
          <w:szCs w:val="28"/>
          <w:lang w:val="en-US"/>
        </w:rPr>
        <w:t>,</w:t>
      </w:r>
      <w:r w:rsidR="000C728D" w:rsidRPr="00CE7312">
        <w:rPr>
          <w:rStyle w:val="s1"/>
          <w:rFonts w:ascii="Times New Roman" w:hAnsi="Times New Roman"/>
          <w:sz w:val="28"/>
          <w:szCs w:val="28"/>
        </w:rPr>
        <w:t xml:space="preserve"> but it can have </w:t>
      </w:r>
      <w:r w:rsidR="008F1ABE">
        <w:rPr>
          <w:rStyle w:val="s1"/>
          <w:rFonts w:ascii="Times New Roman" w:hAnsi="Times New Roman"/>
          <w:sz w:val="28"/>
          <w:szCs w:val="28"/>
        </w:rPr>
        <w:t xml:space="preserve">a </w:t>
      </w:r>
      <w:r w:rsidR="000C728D" w:rsidRPr="00CE7312">
        <w:rPr>
          <w:rStyle w:val="s1"/>
          <w:rFonts w:ascii="Times New Roman" w:hAnsi="Times New Roman"/>
          <w:sz w:val="28"/>
          <w:szCs w:val="28"/>
        </w:rPr>
        <w:t xml:space="preserve">heterogeneous presentation ranging from symptoms restricted to certain parts of </w:t>
      </w:r>
      <w:r w:rsidR="008F1ABE">
        <w:rPr>
          <w:rStyle w:val="s1"/>
          <w:rFonts w:ascii="Times New Roman" w:hAnsi="Times New Roman"/>
          <w:sz w:val="28"/>
          <w:szCs w:val="28"/>
        </w:rPr>
        <w:t xml:space="preserve">the </w:t>
      </w:r>
      <w:r w:rsidR="000C728D" w:rsidRPr="00CE7312">
        <w:rPr>
          <w:rStyle w:val="s1"/>
          <w:rFonts w:ascii="Times New Roman" w:hAnsi="Times New Roman"/>
          <w:sz w:val="28"/>
          <w:szCs w:val="28"/>
        </w:rPr>
        <w:t xml:space="preserve">body called </w:t>
      </w:r>
      <w:r w:rsidR="000C728D" w:rsidRPr="00CE7312">
        <w:rPr>
          <w:rStyle w:val="s1"/>
          <w:rFonts w:ascii="Times New Roman" w:hAnsi="Times New Roman" w:hint="eastAsia"/>
          <w:sz w:val="28"/>
          <w:szCs w:val="28"/>
        </w:rPr>
        <w:t>“</w:t>
      </w:r>
      <w:r w:rsidR="000C728D" w:rsidRPr="00CE7312">
        <w:rPr>
          <w:rStyle w:val="s1"/>
          <w:rFonts w:ascii="Times New Roman" w:hAnsi="Times New Roman"/>
          <w:sz w:val="28"/>
          <w:szCs w:val="28"/>
        </w:rPr>
        <w:t>GBS variant</w:t>
      </w:r>
      <w:r w:rsidR="000C728D" w:rsidRPr="00CE7312">
        <w:rPr>
          <w:rStyle w:val="s1"/>
          <w:rFonts w:ascii="Times New Roman" w:hAnsi="Times New Roman" w:hint="eastAsia"/>
          <w:sz w:val="28"/>
          <w:szCs w:val="28"/>
        </w:rPr>
        <w:t>”</w:t>
      </w:r>
      <w:r w:rsidR="000C728D" w:rsidRPr="00CE7312">
        <w:rPr>
          <w:rStyle w:val="s1"/>
          <w:rFonts w:ascii="Times New Roman" w:hAnsi="Times New Roman"/>
          <w:sz w:val="28"/>
          <w:szCs w:val="28"/>
        </w:rPr>
        <w:t xml:space="preserve"> or </w:t>
      </w:r>
      <w:r w:rsidR="000C728D" w:rsidRPr="00CE7312">
        <w:rPr>
          <w:rStyle w:val="s1"/>
          <w:rFonts w:ascii="Times New Roman" w:hAnsi="Times New Roman" w:hint="eastAsia"/>
          <w:sz w:val="28"/>
          <w:szCs w:val="28"/>
        </w:rPr>
        <w:t>“</w:t>
      </w:r>
      <w:r w:rsidR="000C728D" w:rsidRPr="00CE7312">
        <w:rPr>
          <w:rStyle w:val="s1"/>
          <w:rFonts w:ascii="Times New Roman" w:hAnsi="Times New Roman"/>
          <w:sz w:val="28"/>
          <w:szCs w:val="28"/>
        </w:rPr>
        <w:t xml:space="preserve"> topographic variant</w:t>
      </w:r>
      <w:r w:rsidR="000C728D" w:rsidRPr="00CE7312">
        <w:rPr>
          <w:rStyle w:val="s1"/>
          <w:rFonts w:ascii="Times New Roman" w:hAnsi="Times New Roman" w:hint="eastAsia"/>
          <w:sz w:val="28"/>
          <w:szCs w:val="28"/>
        </w:rPr>
        <w:t>”</w:t>
      </w:r>
      <w:r w:rsidR="000C728D" w:rsidRPr="00CE7312">
        <w:rPr>
          <w:rStyle w:val="s1"/>
          <w:rFonts w:ascii="Times New Roman" w:hAnsi="Times New Roman"/>
          <w:sz w:val="28"/>
          <w:szCs w:val="28"/>
        </w:rPr>
        <w:t xml:space="preserve"> to quadriparesis with autonomic and respiratory</w:t>
      </w:r>
      <w:r w:rsidR="006D34B7">
        <w:rPr>
          <w:rStyle w:val="s1"/>
          <w:rFonts w:ascii="Times New Roman" w:hAnsi="Times New Roman"/>
          <w:sz w:val="28"/>
          <w:szCs w:val="28"/>
        </w:rPr>
        <w:t xml:space="preserve"> involvement</w:t>
      </w:r>
      <w:r w:rsidR="00B94E8F">
        <w:rPr>
          <w:rStyle w:val="s1"/>
          <w:rFonts w:ascii="Times New Roman" w:hAnsi="Times New Roman"/>
          <w:sz w:val="28"/>
          <w:szCs w:val="28"/>
        </w:rPr>
        <w:t xml:space="preserve">. </w:t>
      </w:r>
      <w:r w:rsidR="007B1D9F">
        <w:rPr>
          <w:rStyle w:val="s1"/>
          <w:rFonts w:ascii="Times New Roman" w:hAnsi="Times New Roman"/>
          <w:sz w:val="28"/>
          <w:szCs w:val="28"/>
        </w:rPr>
        <w:fldChar w:fldCharType="begin" w:fldLock="1"/>
      </w:r>
      <w:r w:rsidR="006D34B7">
        <w:rPr>
          <w:rStyle w:val="s1"/>
          <w:rFonts w:ascii="Times New Roman" w:hAnsi="Times New Roman"/>
          <w:sz w:val="28"/>
          <w:szCs w:val="28"/>
        </w:rPr>
        <w:instrText>ADDIN CSL_CITATION {"citationItems":[{"id":"ITEM-1","itemData":{"DOI":"10.18295/squmj.2020.20.02.015","abstract":"&amp;lt;p&amp;gt;Guillain-Barré syndrome (GBS) is a heterogeneous disorder with a diverse clinical presentation ranging from weakness of certain body regions to tetraparesis with autonomic dysfunction and respiratory failure. Paraparetic GBS is a variant of GBS which is characterised by weakness limited to the lower limbs only. It is crucial to identify such topographical presentations, as a delay in diagnosis can lead to delayed initiation of specific treatment, which can negatively impact the outcome. We report a 29-year-old female patient who presented to the King Fahd Hospital of the University, Al Khobar, Saudi Arabia, in 2017 with rapid onset asymmetrical weakness of lower extremities associated with bladder dysfunction during the immediate postpartum period. The weakness spared cranial nerves and arms and imaging studies of the spine was unremarkable. Cerebrospinal fluid investigations showed cyto-albuminologic dissociation and nerve conduction studies showed features of demyelination. The patient was diagnosed with a paraparetic variant of GBS and treated with intravenous immunoglobulin. She had almost recovered completely at the two–month follow-up.&amp;lt;/p&amp;gt;&amp;lt;p&amp;gt;&amp;lt;strong&amp;gt;&amp;lt;em&amp;gt;Keywords:&amp;lt;/em&amp;gt;&amp;lt;/strong&amp;gt;&amp;lt;em&amp;gt; &amp;lt;/em&amp;gt;Paraparesis; Guillain-Barré Syndrome; Demyelination; Postpartum Period; Case Report; Saudi Arabia.&amp;lt;/p&amp;gt;","author":[{"dropping-particle":"","family":"Aljaafari","given":"Danah","non-dropping-particle":"","parse-names":false,"suffix":""},{"dropping-particle":"","family":"Ishaque","given":"Noman","non-dropping-particle":"","parse-names":false,"suffix":""}],"container-title":"Sultan Qaboos University Medical Journal [SQUMJ]","id":"ITEM-1","issue":"2 SE  - Case Reports","issued":{"date-parts":[["2020","6","28"]]},"page":"e227–230","title":"Paraparetic Variant of Guillain-Barré Syndrome in First 24 Hours of Postpartum Period: A case report","type":"article-journal","volume":"20"},"uris":["http://www.mendeley.com/documents/?uuid=e6cd7954-fd09-4db3-a4e6-8f61937dcf6e"]}],"mendeley":{"formattedCitation":"[2]","plainTextFormattedCitation":"[2]","previouslyFormattedCitation":"[2]"},"properties":{"noteIndex":0},"schema":"https://github.com/citation-style-language/schema/raw/master/csl-citation.json"}</w:instrText>
      </w:r>
      <w:r w:rsidR="007B1D9F">
        <w:rPr>
          <w:rStyle w:val="s1"/>
          <w:rFonts w:ascii="Times New Roman" w:hAnsi="Times New Roman"/>
          <w:sz w:val="28"/>
          <w:szCs w:val="28"/>
        </w:rPr>
        <w:fldChar w:fldCharType="separate"/>
      </w:r>
      <w:r w:rsidR="006D34B7" w:rsidRPr="006D34B7">
        <w:rPr>
          <w:rStyle w:val="s1"/>
          <w:rFonts w:ascii="Times New Roman" w:hAnsi="Times New Roman"/>
          <w:noProof/>
          <w:sz w:val="28"/>
          <w:szCs w:val="28"/>
        </w:rPr>
        <w:t>[2]</w:t>
      </w:r>
      <w:r w:rsidR="007B1D9F">
        <w:rPr>
          <w:rStyle w:val="s1"/>
          <w:rFonts w:ascii="Times New Roman" w:hAnsi="Times New Roman"/>
          <w:sz w:val="28"/>
          <w:szCs w:val="28"/>
        </w:rPr>
        <w:fldChar w:fldCharType="end"/>
      </w:r>
      <w:r w:rsidR="007B1D9F">
        <w:rPr>
          <w:rStyle w:val="s1"/>
          <w:rFonts w:ascii="Times New Roman" w:hAnsi="Times New Roman"/>
          <w:sz w:val="28"/>
          <w:szCs w:val="28"/>
        </w:rPr>
        <w:fldChar w:fldCharType="begin" w:fldLock="1"/>
      </w:r>
      <w:r w:rsidR="006D34B7">
        <w:rPr>
          <w:rStyle w:val="s1"/>
          <w:rFonts w:ascii="Times New Roman" w:hAnsi="Times New Roman"/>
          <w:sz w:val="28"/>
          <w:szCs w:val="28"/>
        </w:rPr>
        <w:instrText>ADDIN CSL_CITATION {"citationItems":[{"id":"ITEM-1","itemData":{"DOI":"https://doi.org/10.1016/j.ncl.2013.01.005","ISSN":"0733-8619","author":[{"dropping-particle":"","family":"Dimachkie","given":"Mazen M","non-dropping-particle":"","parse-names":false,"suffix":""},{"dropping-particle":"","family":"Barohn","given":"Richard J","non-dropping-particle":"","parse-names":false,"suffix":""}],"container-title":"Neurologic Clinics","id":"ITEM-1","issue":"2","issued":{"date-parts":[["2013"]]},"page":"491-510","title":"Guillain-Barré Syndrome and Variants","type":"article-journal","volume":"31"},"uris":["http://www.mendeley.com/documents/?uuid=28dc014b-f1cc-4a42-a822-2a32e9d81e5c"]}],"mendeley":{"formattedCitation":"[3]","plainTextFormattedCitation":"[3]","previouslyFormattedCitation":"[3]"},"properties":{"noteIndex":0},"schema":"https://github.com/citation-style-language/schema/raw/master/csl-citation.json"}</w:instrText>
      </w:r>
      <w:r w:rsidR="007B1D9F">
        <w:rPr>
          <w:rStyle w:val="s1"/>
          <w:rFonts w:ascii="Times New Roman" w:hAnsi="Times New Roman"/>
          <w:sz w:val="28"/>
          <w:szCs w:val="28"/>
        </w:rPr>
        <w:fldChar w:fldCharType="separate"/>
      </w:r>
      <w:r w:rsidR="006D34B7" w:rsidRPr="006D34B7">
        <w:rPr>
          <w:rStyle w:val="s1"/>
          <w:rFonts w:ascii="Times New Roman" w:hAnsi="Times New Roman"/>
          <w:noProof/>
          <w:sz w:val="28"/>
          <w:szCs w:val="28"/>
        </w:rPr>
        <w:t>[3]</w:t>
      </w:r>
      <w:r w:rsidR="007B1D9F">
        <w:rPr>
          <w:rStyle w:val="s1"/>
          <w:rFonts w:ascii="Times New Roman" w:hAnsi="Times New Roman"/>
          <w:sz w:val="28"/>
          <w:szCs w:val="28"/>
        </w:rPr>
        <w:fldChar w:fldCharType="end"/>
      </w:r>
      <w:r w:rsidR="00B94E8F">
        <w:rPr>
          <w:rStyle w:val="s1"/>
          <w:rFonts w:ascii="Times New Roman" w:hAnsi="Times New Roman"/>
          <w:sz w:val="28"/>
          <w:szCs w:val="28"/>
        </w:rPr>
        <w:t xml:space="preserve"> </w:t>
      </w:r>
      <w:r w:rsidR="000C728D" w:rsidRPr="00CE7312">
        <w:rPr>
          <w:rStyle w:val="s1"/>
          <w:rFonts w:ascii="Times New Roman" w:hAnsi="Times New Roman"/>
          <w:sz w:val="28"/>
          <w:szCs w:val="28"/>
        </w:rPr>
        <w:t xml:space="preserve">Diagnosis is made </w:t>
      </w:r>
      <w:r w:rsidR="0054473C" w:rsidRPr="002531B6">
        <w:rPr>
          <w:rStyle w:val="s1"/>
          <w:rFonts w:ascii="Times New Roman" w:hAnsi="Times New Roman"/>
          <w:sz w:val="28"/>
          <w:szCs w:val="28"/>
          <w:lang w:val="en-US"/>
        </w:rPr>
        <w:t xml:space="preserve">after proper correlation of </w:t>
      </w:r>
      <w:r w:rsidR="000C728D" w:rsidRPr="00CE7312">
        <w:rPr>
          <w:rStyle w:val="s1"/>
          <w:rFonts w:ascii="Times New Roman" w:hAnsi="Times New Roman"/>
          <w:sz w:val="28"/>
          <w:szCs w:val="28"/>
        </w:rPr>
        <w:t>clinical</w:t>
      </w:r>
      <w:r w:rsidR="0054473C" w:rsidRPr="002531B6">
        <w:rPr>
          <w:rStyle w:val="s1"/>
          <w:rFonts w:ascii="Times New Roman" w:hAnsi="Times New Roman"/>
          <w:sz w:val="28"/>
          <w:szCs w:val="28"/>
          <w:lang w:val="en-US"/>
        </w:rPr>
        <w:t xml:space="preserve"> history, </w:t>
      </w:r>
      <w:r w:rsidR="001A64D6" w:rsidRPr="00896D4A">
        <w:rPr>
          <w:rStyle w:val="s1"/>
          <w:rFonts w:ascii="Times New Roman" w:hAnsi="Times New Roman"/>
          <w:sz w:val="28"/>
          <w:szCs w:val="28"/>
          <w:lang w:val="en-US"/>
        </w:rPr>
        <w:t>cerebrosp</w:t>
      </w:r>
      <w:r w:rsidR="001A64D6" w:rsidRPr="00CD60C1">
        <w:rPr>
          <w:rStyle w:val="s1"/>
          <w:rFonts w:ascii="Times New Roman" w:hAnsi="Times New Roman"/>
          <w:sz w:val="28"/>
          <w:szCs w:val="28"/>
          <w:lang w:val="en-US"/>
        </w:rPr>
        <w:t>inal fluid</w:t>
      </w:r>
      <w:r w:rsidR="000C728D" w:rsidRPr="00CE7312">
        <w:rPr>
          <w:rStyle w:val="s1"/>
          <w:rFonts w:ascii="Times New Roman" w:hAnsi="Times New Roman"/>
          <w:sz w:val="28"/>
          <w:szCs w:val="28"/>
        </w:rPr>
        <w:t xml:space="preserve"> analysi</w:t>
      </w:r>
      <w:r w:rsidR="00160725" w:rsidRPr="002531B6">
        <w:rPr>
          <w:rStyle w:val="s1"/>
          <w:rFonts w:ascii="Times New Roman" w:hAnsi="Times New Roman"/>
          <w:sz w:val="28"/>
          <w:szCs w:val="28"/>
          <w:lang w:val="en-US"/>
        </w:rPr>
        <w:t>s,</w:t>
      </w:r>
      <w:r w:rsidR="000C728D" w:rsidRPr="00CE7312">
        <w:rPr>
          <w:rStyle w:val="s1"/>
          <w:rFonts w:ascii="Times New Roman" w:hAnsi="Times New Roman"/>
          <w:sz w:val="28"/>
          <w:szCs w:val="28"/>
        </w:rPr>
        <w:t xml:space="preserve"> electrodiagnostic test</w:t>
      </w:r>
      <w:r w:rsidR="00160725" w:rsidRPr="002531B6">
        <w:rPr>
          <w:rStyle w:val="s1"/>
          <w:rFonts w:ascii="Times New Roman" w:hAnsi="Times New Roman"/>
          <w:sz w:val="28"/>
          <w:szCs w:val="28"/>
          <w:lang w:val="en-US"/>
        </w:rPr>
        <w:t xml:space="preserve"> and </w:t>
      </w:r>
      <w:r w:rsidR="002F37D5" w:rsidRPr="00896D4A">
        <w:rPr>
          <w:rStyle w:val="s1"/>
          <w:rFonts w:ascii="Times New Roman" w:hAnsi="Times New Roman"/>
          <w:sz w:val="28"/>
          <w:szCs w:val="28"/>
          <w:lang w:val="en-US"/>
        </w:rPr>
        <w:t>neuroimaging is needed</w:t>
      </w:r>
      <w:r w:rsidR="00493D05" w:rsidRPr="00CD60C1">
        <w:rPr>
          <w:rStyle w:val="s1"/>
          <w:rFonts w:ascii="Times New Roman" w:hAnsi="Times New Roman"/>
          <w:sz w:val="28"/>
          <w:szCs w:val="28"/>
          <w:lang w:val="en-US"/>
        </w:rPr>
        <w:t xml:space="preserve"> in some cases to rule out differentials</w:t>
      </w:r>
      <w:r w:rsidR="000C728D" w:rsidRPr="00CE7312">
        <w:rPr>
          <w:rStyle w:val="s1"/>
          <w:rFonts w:ascii="Times New Roman" w:hAnsi="Times New Roman"/>
          <w:sz w:val="28"/>
          <w:szCs w:val="28"/>
        </w:rPr>
        <w:t>. Herein</w:t>
      </w:r>
      <w:r w:rsidR="00987B4E" w:rsidRPr="002531B6">
        <w:rPr>
          <w:rStyle w:val="s1"/>
          <w:rFonts w:ascii="Times New Roman" w:hAnsi="Times New Roman"/>
          <w:sz w:val="28"/>
          <w:szCs w:val="28"/>
          <w:lang w:val="en-US"/>
        </w:rPr>
        <w:t>,</w:t>
      </w:r>
      <w:r w:rsidR="000C728D" w:rsidRPr="00CE7312">
        <w:rPr>
          <w:rStyle w:val="s1"/>
          <w:rFonts w:ascii="Times New Roman" w:hAnsi="Times New Roman"/>
          <w:sz w:val="28"/>
          <w:szCs w:val="28"/>
        </w:rPr>
        <w:t xml:space="preserve"> we present a case of paraparetic GBS in </w:t>
      </w:r>
      <w:r w:rsidR="008F1ABE">
        <w:rPr>
          <w:rStyle w:val="s1"/>
          <w:rFonts w:ascii="Times New Roman" w:hAnsi="Times New Roman"/>
          <w:sz w:val="28"/>
          <w:szCs w:val="28"/>
        </w:rPr>
        <w:t xml:space="preserve">a </w:t>
      </w:r>
      <w:r w:rsidR="000C728D" w:rsidRPr="00CE7312">
        <w:rPr>
          <w:rStyle w:val="s1"/>
          <w:rFonts w:ascii="Times New Roman" w:hAnsi="Times New Roman"/>
          <w:sz w:val="28"/>
          <w:szCs w:val="28"/>
        </w:rPr>
        <w:t xml:space="preserve">teenage boy who was managed conservatively and recovered fully in one and </w:t>
      </w:r>
      <w:r w:rsidR="008F1ABE">
        <w:rPr>
          <w:rStyle w:val="s1"/>
          <w:rFonts w:ascii="Times New Roman" w:hAnsi="Times New Roman"/>
          <w:sz w:val="28"/>
          <w:szCs w:val="28"/>
        </w:rPr>
        <w:t xml:space="preserve">a </w:t>
      </w:r>
      <w:r w:rsidR="000C728D" w:rsidRPr="00CE7312">
        <w:rPr>
          <w:rStyle w:val="s1"/>
          <w:rFonts w:ascii="Times New Roman" w:hAnsi="Times New Roman"/>
          <w:sz w:val="28"/>
          <w:szCs w:val="28"/>
        </w:rPr>
        <w:t>half months.</w:t>
      </w:r>
    </w:p>
    <w:p w:rsidR="000C728D" w:rsidRPr="00CE7312" w:rsidRDefault="000C728D" w:rsidP="005E32D5">
      <w:pPr>
        <w:shd w:val="clear" w:color="auto" w:fill="FFFFFF"/>
        <w:spacing w:line="360" w:lineRule="auto"/>
        <w:jc w:val="both"/>
        <w:rPr>
          <w:rStyle w:val="normaltextrun"/>
          <w:sz w:val="28"/>
          <w:szCs w:val="28"/>
        </w:rPr>
      </w:pPr>
    </w:p>
    <w:p w:rsidR="00852CB4" w:rsidRPr="00CE7312" w:rsidRDefault="000C728D" w:rsidP="00CE7312">
      <w:pPr>
        <w:shd w:val="clear" w:color="auto" w:fill="FFFFFF"/>
        <w:spacing w:line="360" w:lineRule="auto"/>
        <w:jc w:val="both"/>
        <w:rPr>
          <w:b/>
          <w:bCs/>
          <w:sz w:val="28"/>
          <w:szCs w:val="28"/>
        </w:rPr>
      </w:pPr>
      <w:r w:rsidRPr="00CE7312">
        <w:rPr>
          <w:rStyle w:val="normaltextrun"/>
          <w:b/>
          <w:bCs/>
          <w:sz w:val="28"/>
          <w:szCs w:val="28"/>
        </w:rPr>
        <w:t>Case</w:t>
      </w:r>
      <w:r w:rsidR="00852CB4" w:rsidRPr="00CE7312">
        <w:rPr>
          <w:rStyle w:val="normaltextrun"/>
          <w:b/>
          <w:bCs/>
          <w:sz w:val="28"/>
          <w:szCs w:val="28"/>
        </w:rPr>
        <w:t xml:space="preserve"> presentation</w:t>
      </w:r>
      <w:r w:rsidR="00852CB4" w:rsidRPr="00CE7312">
        <w:rPr>
          <w:rStyle w:val="eop"/>
          <w:b/>
          <w:bCs/>
          <w:sz w:val="28"/>
          <w:szCs w:val="28"/>
        </w:rPr>
        <w:t> </w:t>
      </w:r>
    </w:p>
    <w:p w:rsidR="00852CB4" w:rsidRPr="00CE7312" w:rsidRDefault="00852CB4" w:rsidP="00852CB4">
      <w:pPr>
        <w:pStyle w:val="paragraph"/>
        <w:shd w:val="clear" w:color="auto" w:fill="FFFFFF"/>
        <w:spacing w:before="0" w:beforeAutospacing="0" w:after="0" w:afterAutospacing="0"/>
        <w:textAlignment w:val="baseline"/>
        <w:rPr>
          <w:sz w:val="28"/>
          <w:szCs w:val="28"/>
        </w:rPr>
      </w:pPr>
      <w:r w:rsidRPr="00CE7312">
        <w:rPr>
          <w:rStyle w:val="eop"/>
          <w:sz w:val="28"/>
          <w:szCs w:val="28"/>
        </w:rPr>
        <w:t> </w:t>
      </w:r>
    </w:p>
    <w:p w:rsidR="00852CB4" w:rsidRPr="00CE7312" w:rsidRDefault="00852CB4" w:rsidP="00527882">
      <w:pPr>
        <w:pStyle w:val="paragraph"/>
        <w:spacing w:before="0" w:beforeAutospacing="0" w:after="0" w:afterAutospacing="0" w:line="360" w:lineRule="auto"/>
        <w:jc w:val="both"/>
        <w:textAlignment w:val="baseline"/>
        <w:rPr>
          <w:sz w:val="28"/>
          <w:szCs w:val="28"/>
        </w:rPr>
      </w:pPr>
      <w:r w:rsidRPr="00CE7312">
        <w:rPr>
          <w:rStyle w:val="normaltextrun"/>
          <w:sz w:val="28"/>
          <w:szCs w:val="28"/>
        </w:rPr>
        <w:t xml:space="preserve">A </w:t>
      </w:r>
      <w:r w:rsidR="00233DCF" w:rsidRPr="00CE7312">
        <w:rPr>
          <w:rStyle w:val="normaltextrun"/>
          <w:sz w:val="28"/>
          <w:szCs w:val="28"/>
        </w:rPr>
        <w:t>19-</w:t>
      </w:r>
      <w:r w:rsidRPr="00CE7312">
        <w:rPr>
          <w:rStyle w:val="normaltextrun"/>
          <w:sz w:val="28"/>
          <w:szCs w:val="28"/>
        </w:rPr>
        <w:t>year</w:t>
      </w:r>
      <w:r w:rsidR="00233DCF" w:rsidRPr="00CE7312">
        <w:rPr>
          <w:rStyle w:val="normaltextrun"/>
          <w:sz w:val="28"/>
          <w:szCs w:val="28"/>
        </w:rPr>
        <w:t>-</w:t>
      </w:r>
      <w:r w:rsidRPr="00CE7312">
        <w:rPr>
          <w:rStyle w:val="normaltextrun"/>
          <w:sz w:val="28"/>
          <w:szCs w:val="28"/>
        </w:rPr>
        <w:t>male</w:t>
      </w:r>
      <w:r w:rsidR="00527882" w:rsidRPr="00CE7312">
        <w:rPr>
          <w:rStyle w:val="normaltextrun"/>
          <w:sz w:val="28"/>
          <w:szCs w:val="28"/>
        </w:rPr>
        <w:t xml:space="preserve"> </w:t>
      </w:r>
      <w:r w:rsidR="008F1ABE">
        <w:rPr>
          <w:rStyle w:val="normaltextrun"/>
          <w:sz w:val="28"/>
          <w:szCs w:val="28"/>
        </w:rPr>
        <w:t>student</w:t>
      </w:r>
      <w:r w:rsidRPr="00CE7312">
        <w:rPr>
          <w:rStyle w:val="normaltextrun"/>
          <w:sz w:val="28"/>
          <w:szCs w:val="28"/>
        </w:rPr>
        <w:t xml:space="preserve"> presented to our centre with chief complain</w:t>
      </w:r>
      <w:r w:rsidR="008F1ABE">
        <w:rPr>
          <w:rStyle w:val="normaltextrun"/>
          <w:sz w:val="28"/>
          <w:szCs w:val="28"/>
        </w:rPr>
        <w:t>s</w:t>
      </w:r>
      <w:r w:rsidRPr="00CE7312">
        <w:rPr>
          <w:rStyle w:val="normaltextrun"/>
          <w:sz w:val="28"/>
          <w:szCs w:val="28"/>
        </w:rPr>
        <w:t xml:space="preserve"> of</w:t>
      </w:r>
      <w:r w:rsidR="00ED7274">
        <w:rPr>
          <w:rStyle w:val="normaltextrun"/>
          <w:sz w:val="28"/>
          <w:szCs w:val="28"/>
        </w:rPr>
        <w:t xml:space="preserve"> </w:t>
      </w:r>
      <w:r w:rsidRPr="00CE7312">
        <w:rPr>
          <w:rStyle w:val="normaltextrun"/>
          <w:sz w:val="28"/>
          <w:szCs w:val="28"/>
        </w:rPr>
        <w:t xml:space="preserve"> progressive weakness of </w:t>
      </w:r>
      <w:r w:rsidR="008F1ABE">
        <w:rPr>
          <w:rStyle w:val="normaltextrun"/>
          <w:sz w:val="28"/>
          <w:szCs w:val="28"/>
        </w:rPr>
        <w:t xml:space="preserve">the </w:t>
      </w:r>
      <w:r w:rsidRPr="00CE7312">
        <w:rPr>
          <w:rStyle w:val="normaltextrun"/>
          <w:sz w:val="28"/>
          <w:szCs w:val="28"/>
        </w:rPr>
        <w:t>lower limbs for 2 days. While waking up in the</w:t>
      </w:r>
      <w:r w:rsidR="00233DCF" w:rsidRPr="00CE7312">
        <w:rPr>
          <w:rStyle w:val="normaltextrun"/>
          <w:sz w:val="28"/>
          <w:szCs w:val="28"/>
        </w:rPr>
        <w:t xml:space="preserve"> </w:t>
      </w:r>
      <w:r w:rsidRPr="00CE7312">
        <w:rPr>
          <w:rStyle w:val="normaltextrun"/>
          <w:sz w:val="28"/>
          <w:szCs w:val="28"/>
        </w:rPr>
        <w:t>morning, </w:t>
      </w:r>
      <w:r w:rsidR="008F1ABE">
        <w:rPr>
          <w:rStyle w:val="normaltextrun"/>
          <w:sz w:val="28"/>
          <w:szCs w:val="28"/>
        </w:rPr>
        <w:t xml:space="preserve">the </w:t>
      </w:r>
      <w:r w:rsidRPr="00CE7312">
        <w:rPr>
          <w:rStyle w:val="normaltextrun"/>
          <w:sz w:val="28"/>
          <w:szCs w:val="28"/>
        </w:rPr>
        <w:t>patient found his legs were feeling heavy</w:t>
      </w:r>
      <w:r w:rsidR="00CD28F8" w:rsidRPr="00CE7312">
        <w:rPr>
          <w:rStyle w:val="normaltextrun"/>
          <w:sz w:val="28"/>
          <w:szCs w:val="28"/>
        </w:rPr>
        <w:t xml:space="preserve"> </w:t>
      </w:r>
      <w:r w:rsidRPr="00CE7312">
        <w:rPr>
          <w:rStyle w:val="normaltextrun"/>
          <w:sz w:val="28"/>
          <w:szCs w:val="28"/>
        </w:rPr>
        <w:t>and</w:t>
      </w:r>
      <w:r w:rsidR="00CD28F8" w:rsidRPr="00CE7312">
        <w:rPr>
          <w:rStyle w:val="normaltextrun"/>
          <w:sz w:val="28"/>
          <w:szCs w:val="28"/>
        </w:rPr>
        <w:t xml:space="preserve"> </w:t>
      </w:r>
      <w:r w:rsidRPr="00CE7312">
        <w:rPr>
          <w:rStyle w:val="normaltextrun"/>
          <w:sz w:val="28"/>
          <w:szCs w:val="28"/>
        </w:rPr>
        <w:t>had difficulty in lifting his leg</w:t>
      </w:r>
      <w:r w:rsidR="008F1ABE">
        <w:rPr>
          <w:rStyle w:val="normaltextrun"/>
          <w:sz w:val="28"/>
          <w:szCs w:val="28"/>
        </w:rPr>
        <w:t>s</w:t>
      </w:r>
      <w:r w:rsidRPr="00CE7312">
        <w:rPr>
          <w:rStyle w:val="normaltextrun"/>
          <w:sz w:val="28"/>
          <w:szCs w:val="28"/>
        </w:rPr>
        <w:t xml:space="preserve">. While going to </w:t>
      </w:r>
      <w:r w:rsidR="008F1ABE">
        <w:rPr>
          <w:rStyle w:val="normaltextrun"/>
          <w:sz w:val="28"/>
          <w:szCs w:val="28"/>
        </w:rPr>
        <w:t xml:space="preserve">the </w:t>
      </w:r>
      <w:r w:rsidRPr="00CE7312">
        <w:rPr>
          <w:rStyle w:val="normaltextrun"/>
          <w:sz w:val="28"/>
          <w:szCs w:val="28"/>
        </w:rPr>
        <w:t xml:space="preserve">washroom, he was unable to grip his slippers properly. In the evening, his weakness further worsened so that he needed </w:t>
      </w:r>
      <w:r w:rsidR="008F1ABE">
        <w:rPr>
          <w:rStyle w:val="normaltextrun"/>
          <w:sz w:val="28"/>
          <w:szCs w:val="28"/>
        </w:rPr>
        <w:t xml:space="preserve">the </w:t>
      </w:r>
      <w:r w:rsidRPr="00CE7312">
        <w:rPr>
          <w:rStyle w:val="normaltextrun"/>
          <w:sz w:val="28"/>
          <w:szCs w:val="28"/>
        </w:rPr>
        <w:t>support of his parents for getting up from chair. There was no facial weakness, dysarthria, dysphagia</w:t>
      </w:r>
      <w:r w:rsidR="008F1ABE">
        <w:rPr>
          <w:rStyle w:val="normaltextrun"/>
          <w:sz w:val="28"/>
          <w:szCs w:val="28"/>
        </w:rPr>
        <w:t>,</w:t>
      </w:r>
      <w:r w:rsidRPr="00CE7312">
        <w:rPr>
          <w:rStyle w:val="normaltextrun"/>
          <w:sz w:val="28"/>
          <w:szCs w:val="28"/>
        </w:rPr>
        <w:t xml:space="preserve"> or </w:t>
      </w:r>
      <w:r w:rsidR="005731D9" w:rsidRPr="00CE7312">
        <w:rPr>
          <w:rStyle w:val="normaltextrun"/>
          <w:sz w:val="28"/>
          <w:szCs w:val="28"/>
        </w:rPr>
        <w:t>diplopia</w:t>
      </w:r>
      <w:r w:rsidRPr="00CE7312">
        <w:rPr>
          <w:rStyle w:val="normaltextrun"/>
          <w:sz w:val="28"/>
          <w:szCs w:val="28"/>
        </w:rPr>
        <w:t xml:space="preserve">. There was further </w:t>
      </w:r>
      <w:r w:rsidR="005875CF" w:rsidRPr="00CE7312">
        <w:rPr>
          <w:rStyle w:val="normaltextrun"/>
          <w:sz w:val="28"/>
          <w:szCs w:val="28"/>
        </w:rPr>
        <w:t xml:space="preserve">worsening </w:t>
      </w:r>
      <w:r w:rsidRPr="00CE7312">
        <w:rPr>
          <w:rStyle w:val="normaltextrun"/>
          <w:sz w:val="28"/>
          <w:szCs w:val="28"/>
        </w:rPr>
        <w:t xml:space="preserve">in weakness of lower limbs the next day, prompting support of parents </w:t>
      </w:r>
      <w:r w:rsidR="005875CF" w:rsidRPr="00CE7312">
        <w:rPr>
          <w:rStyle w:val="normaltextrun"/>
          <w:sz w:val="28"/>
          <w:szCs w:val="28"/>
        </w:rPr>
        <w:t xml:space="preserve">during </w:t>
      </w:r>
      <w:r w:rsidRPr="00CE7312">
        <w:rPr>
          <w:rStyle w:val="normaltextrun"/>
          <w:sz w:val="28"/>
          <w:szCs w:val="28"/>
        </w:rPr>
        <w:t xml:space="preserve">walking. However, </w:t>
      </w:r>
      <w:r w:rsidR="005731D9" w:rsidRPr="00CE7312">
        <w:rPr>
          <w:rStyle w:val="normaltextrun"/>
          <w:sz w:val="28"/>
          <w:szCs w:val="28"/>
        </w:rPr>
        <w:t xml:space="preserve">there was </w:t>
      </w:r>
      <w:r w:rsidRPr="00CE7312">
        <w:rPr>
          <w:rStyle w:val="normaltextrun"/>
          <w:sz w:val="28"/>
          <w:szCs w:val="28"/>
        </w:rPr>
        <w:t>no upper limb weakness</w:t>
      </w:r>
      <w:r w:rsidR="005731D9" w:rsidRPr="00CE7312">
        <w:rPr>
          <w:rStyle w:val="normaltextrun"/>
          <w:sz w:val="28"/>
          <w:szCs w:val="28"/>
        </w:rPr>
        <w:t xml:space="preserve">, </w:t>
      </w:r>
      <w:r w:rsidRPr="00CE7312">
        <w:rPr>
          <w:rStyle w:val="normaltextrun"/>
          <w:sz w:val="28"/>
          <w:szCs w:val="28"/>
        </w:rPr>
        <w:t>sensory symptoms</w:t>
      </w:r>
      <w:r w:rsidR="008F1ABE">
        <w:rPr>
          <w:rStyle w:val="normaltextrun"/>
          <w:sz w:val="28"/>
          <w:szCs w:val="28"/>
        </w:rPr>
        <w:t>,</w:t>
      </w:r>
      <w:r w:rsidRPr="00CE7312">
        <w:rPr>
          <w:rStyle w:val="normaltextrun"/>
          <w:sz w:val="28"/>
          <w:szCs w:val="28"/>
        </w:rPr>
        <w:t xml:space="preserve"> </w:t>
      </w:r>
      <w:r w:rsidR="005731D9" w:rsidRPr="00CE7312">
        <w:rPr>
          <w:rStyle w:val="normaltextrun"/>
          <w:sz w:val="28"/>
          <w:szCs w:val="28"/>
        </w:rPr>
        <w:t>or bowel and bladder involvement</w:t>
      </w:r>
      <w:r w:rsidRPr="00CE7312">
        <w:rPr>
          <w:rStyle w:val="normaltextrun"/>
          <w:sz w:val="28"/>
          <w:szCs w:val="28"/>
        </w:rPr>
        <w:t xml:space="preserve">. Ten days before </w:t>
      </w:r>
      <w:r w:rsidR="008F1ABE">
        <w:rPr>
          <w:rStyle w:val="normaltextrun"/>
          <w:sz w:val="28"/>
          <w:szCs w:val="28"/>
        </w:rPr>
        <w:t xml:space="preserve">the </w:t>
      </w:r>
      <w:r w:rsidRPr="00CE7312">
        <w:rPr>
          <w:rStyle w:val="normaltextrun"/>
          <w:sz w:val="28"/>
          <w:szCs w:val="28"/>
        </w:rPr>
        <w:t>onset of limb weakness, he had rhinorrhoea and mild fever</w:t>
      </w:r>
      <w:r w:rsidR="00BC5A84">
        <w:rPr>
          <w:rStyle w:val="normaltextrun"/>
          <w:sz w:val="28"/>
          <w:szCs w:val="28"/>
        </w:rPr>
        <w:t xml:space="preserve"> that</w:t>
      </w:r>
      <w:r w:rsidRPr="00CE7312">
        <w:rPr>
          <w:rStyle w:val="normaltextrun"/>
          <w:sz w:val="28"/>
          <w:szCs w:val="28"/>
        </w:rPr>
        <w:t xml:space="preserve"> lasted for about 3 days. He didn’t have </w:t>
      </w:r>
      <w:r w:rsidR="005D3F31" w:rsidRPr="00CE7312">
        <w:rPr>
          <w:rStyle w:val="normaltextrun"/>
          <w:sz w:val="28"/>
          <w:szCs w:val="28"/>
        </w:rPr>
        <w:t xml:space="preserve">any </w:t>
      </w:r>
      <w:r w:rsidRPr="00CE7312">
        <w:rPr>
          <w:rStyle w:val="normaltextrun"/>
          <w:sz w:val="28"/>
          <w:szCs w:val="28"/>
        </w:rPr>
        <w:t>history of similar weakness in the past, back pain, weight loss, shortness of breath, recent trauma,</w:t>
      </w:r>
      <w:r w:rsidR="00BC5A84">
        <w:rPr>
          <w:rStyle w:val="normaltextrun"/>
          <w:sz w:val="28"/>
          <w:szCs w:val="28"/>
        </w:rPr>
        <w:t xml:space="preserve"> surgery,</w:t>
      </w:r>
      <w:r w:rsidRPr="00CE7312">
        <w:rPr>
          <w:rStyle w:val="normaltextrun"/>
          <w:sz w:val="28"/>
          <w:szCs w:val="28"/>
        </w:rPr>
        <w:t xml:space="preserve"> insect bite</w:t>
      </w:r>
      <w:r w:rsidR="008F1ABE">
        <w:rPr>
          <w:rStyle w:val="normaltextrun"/>
          <w:sz w:val="28"/>
          <w:szCs w:val="28"/>
        </w:rPr>
        <w:t>,</w:t>
      </w:r>
      <w:r w:rsidRPr="00CE7312">
        <w:rPr>
          <w:rStyle w:val="normaltextrun"/>
          <w:sz w:val="28"/>
          <w:szCs w:val="28"/>
        </w:rPr>
        <w:t xml:space="preserve"> or drug history.</w:t>
      </w:r>
      <w:r w:rsidRPr="00CE7312">
        <w:rPr>
          <w:rStyle w:val="eop"/>
          <w:sz w:val="28"/>
          <w:szCs w:val="28"/>
        </w:rPr>
        <w:t> </w:t>
      </w:r>
    </w:p>
    <w:p w:rsidR="00852CB4" w:rsidRPr="00CE7312" w:rsidRDefault="00852CB4" w:rsidP="00852CB4">
      <w:pPr>
        <w:pStyle w:val="paragraph"/>
        <w:shd w:val="clear" w:color="auto" w:fill="FFFFFF"/>
        <w:spacing w:before="0" w:beforeAutospacing="0" w:after="0" w:afterAutospacing="0"/>
        <w:textAlignment w:val="baseline"/>
        <w:rPr>
          <w:sz w:val="28"/>
          <w:szCs w:val="28"/>
        </w:rPr>
      </w:pPr>
      <w:r w:rsidRPr="00CE7312">
        <w:rPr>
          <w:rStyle w:val="eop"/>
          <w:sz w:val="28"/>
          <w:szCs w:val="28"/>
        </w:rPr>
        <w:t> </w:t>
      </w:r>
    </w:p>
    <w:p w:rsidR="00852CB4" w:rsidRPr="00CE7312" w:rsidRDefault="00852CB4" w:rsidP="00CE7312">
      <w:pPr>
        <w:pStyle w:val="paragraph"/>
        <w:spacing w:before="0" w:beforeAutospacing="0" w:after="0" w:afterAutospacing="0" w:line="360" w:lineRule="auto"/>
        <w:jc w:val="both"/>
        <w:textAlignment w:val="baseline"/>
        <w:rPr>
          <w:sz w:val="28"/>
          <w:szCs w:val="28"/>
        </w:rPr>
      </w:pPr>
      <w:r w:rsidRPr="00CE7312">
        <w:rPr>
          <w:rStyle w:val="normaltextrun"/>
          <w:sz w:val="28"/>
          <w:szCs w:val="28"/>
        </w:rPr>
        <w:lastRenderedPageBreak/>
        <w:t xml:space="preserve">On arrival at </w:t>
      </w:r>
      <w:r w:rsidR="008F1ABE">
        <w:rPr>
          <w:rStyle w:val="normaltextrun"/>
          <w:sz w:val="28"/>
          <w:szCs w:val="28"/>
        </w:rPr>
        <w:t xml:space="preserve">the </w:t>
      </w:r>
      <w:r w:rsidRPr="00CE7312">
        <w:rPr>
          <w:rStyle w:val="normaltextrun"/>
          <w:sz w:val="28"/>
          <w:szCs w:val="28"/>
        </w:rPr>
        <w:t xml:space="preserve">emergency department, </w:t>
      </w:r>
      <w:r w:rsidR="004926A5">
        <w:rPr>
          <w:rStyle w:val="normaltextrun"/>
          <w:sz w:val="28"/>
          <w:szCs w:val="28"/>
        </w:rPr>
        <w:t xml:space="preserve">the </w:t>
      </w:r>
      <w:r w:rsidRPr="00CE7312">
        <w:rPr>
          <w:rStyle w:val="normaltextrun"/>
          <w:sz w:val="28"/>
          <w:szCs w:val="28"/>
        </w:rPr>
        <w:t xml:space="preserve">patient’s Glasgow Coma Scale was 15/15. </w:t>
      </w:r>
      <w:r w:rsidR="001F44D4">
        <w:rPr>
          <w:rStyle w:val="normaltextrun"/>
          <w:sz w:val="28"/>
          <w:szCs w:val="28"/>
        </w:rPr>
        <w:t>Patient</w:t>
      </w:r>
      <w:r w:rsidR="0096711E">
        <w:rPr>
          <w:rStyle w:val="normaltextrun"/>
          <w:sz w:val="28"/>
          <w:szCs w:val="28"/>
        </w:rPr>
        <w:t>’s body weight was 65</w:t>
      </w:r>
      <w:r w:rsidR="008970D3">
        <w:rPr>
          <w:rStyle w:val="normaltextrun"/>
          <w:sz w:val="28"/>
          <w:szCs w:val="28"/>
        </w:rPr>
        <w:t xml:space="preserve"> </w:t>
      </w:r>
      <w:r w:rsidR="0096711E">
        <w:rPr>
          <w:rStyle w:val="normaltextrun"/>
          <w:sz w:val="28"/>
          <w:szCs w:val="28"/>
        </w:rPr>
        <w:t>kg and height 181cm, b</w:t>
      </w:r>
      <w:r w:rsidRPr="00CE7312">
        <w:rPr>
          <w:rStyle w:val="normaltextrun"/>
          <w:sz w:val="28"/>
          <w:szCs w:val="28"/>
        </w:rPr>
        <w:t>lood pressure was 110/80 mm Hg, pulse 88/min, temperature 98-degree Fahrenheit,</w:t>
      </w:r>
      <w:r w:rsidR="0096711E">
        <w:rPr>
          <w:rStyle w:val="normaltextrun"/>
          <w:sz w:val="28"/>
          <w:szCs w:val="28"/>
        </w:rPr>
        <w:t xml:space="preserve"> and</w:t>
      </w:r>
      <w:r w:rsidRPr="00CE7312">
        <w:rPr>
          <w:rStyle w:val="normaltextrun"/>
          <w:sz w:val="28"/>
          <w:szCs w:val="28"/>
        </w:rPr>
        <w:t xml:space="preserve"> respiratory rate 16/min. There was no cyanosis, clubbing, jaundice</w:t>
      </w:r>
      <w:r w:rsidR="004926A5">
        <w:rPr>
          <w:rStyle w:val="normaltextrun"/>
          <w:sz w:val="28"/>
          <w:szCs w:val="28"/>
        </w:rPr>
        <w:t>,</w:t>
      </w:r>
      <w:r w:rsidRPr="00CE7312">
        <w:rPr>
          <w:rStyle w:val="normaltextrun"/>
          <w:sz w:val="28"/>
          <w:szCs w:val="28"/>
        </w:rPr>
        <w:t xml:space="preserve"> or pallor. There was no significant difference in muscle bulk of </w:t>
      </w:r>
      <w:r w:rsidR="004926A5">
        <w:rPr>
          <w:rStyle w:val="normaltextrun"/>
          <w:sz w:val="28"/>
          <w:szCs w:val="28"/>
        </w:rPr>
        <w:t xml:space="preserve">the </w:t>
      </w:r>
      <w:r w:rsidRPr="00CE7312">
        <w:rPr>
          <w:rStyle w:val="normaltextrun"/>
          <w:sz w:val="28"/>
          <w:szCs w:val="28"/>
        </w:rPr>
        <w:t>limbs, tone</w:t>
      </w:r>
      <w:r w:rsidR="00FC18C0">
        <w:rPr>
          <w:rStyle w:val="normaltextrun"/>
          <w:sz w:val="28"/>
          <w:szCs w:val="28"/>
        </w:rPr>
        <w:t xml:space="preserve"> reduced in bilateral ankle and </w:t>
      </w:r>
      <w:r w:rsidR="00E071BB">
        <w:rPr>
          <w:rStyle w:val="normaltextrun"/>
          <w:sz w:val="28"/>
          <w:szCs w:val="28"/>
        </w:rPr>
        <w:t>knee</w:t>
      </w:r>
      <w:r w:rsidR="004926A5">
        <w:rPr>
          <w:rStyle w:val="normaltextrun"/>
          <w:sz w:val="28"/>
          <w:szCs w:val="28"/>
        </w:rPr>
        <w:t>s</w:t>
      </w:r>
      <w:r w:rsidR="00E071BB">
        <w:rPr>
          <w:rStyle w:val="normaltextrun"/>
          <w:sz w:val="28"/>
          <w:szCs w:val="28"/>
        </w:rPr>
        <w:t>, normal in rest</w:t>
      </w:r>
      <w:r w:rsidRPr="00CE7312">
        <w:rPr>
          <w:rStyle w:val="normaltextrun"/>
          <w:sz w:val="28"/>
          <w:szCs w:val="28"/>
        </w:rPr>
        <w:t xml:space="preserve"> joints. Power was 5/5 across all the joints </w:t>
      </w:r>
      <w:r w:rsidR="004926A5">
        <w:rPr>
          <w:rStyle w:val="normaltextrun"/>
          <w:sz w:val="28"/>
          <w:szCs w:val="28"/>
        </w:rPr>
        <w:t>in upper limbs while lower limb</w:t>
      </w:r>
      <w:r w:rsidRPr="00CE7312">
        <w:rPr>
          <w:rStyle w:val="normaltextrun"/>
          <w:sz w:val="28"/>
          <w:szCs w:val="28"/>
        </w:rPr>
        <w:t xml:space="preserve"> examination showed bilateral hip flexion 4/5, hip extension 3/5, knee flexion 4/5, knee extension 4/5</w:t>
      </w:r>
      <w:r w:rsidR="004926A5">
        <w:rPr>
          <w:rStyle w:val="normaltextrun"/>
          <w:sz w:val="28"/>
          <w:szCs w:val="28"/>
        </w:rPr>
        <w:t xml:space="preserve"> and</w:t>
      </w:r>
      <w:r w:rsidR="008970D3">
        <w:rPr>
          <w:rStyle w:val="normaltextrun"/>
          <w:sz w:val="28"/>
          <w:szCs w:val="28"/>
        </w:rPr>
        <w:t xml:space="preserve"> </w:t>
      </w:r>
      <w:r w:rsidR="004926A5">
        <w:rPr>
          <w:rStyle w:val="normaltextrun"/>
          <w:sz w:val="28"/>
          <w:szCs w:val="28"/>
        </w:rPr>
        <w:t xml:space="preserve">ankle dorsi </w:t>
      </w:r>
      <w:r w:rsidRPr="00CE7312">
        <w:rPr>
          <w:rStyle w:val="normaltextrun"/>
          <w:sz w:val="28"/>
          <w:szCs w:val="28"/>
        </w:rPr>
        <w:t>flexion 2/5 and plantar flexion 3/5. Reflex was 2+ in bilateral biceps, triceps and supinators. Left knee and ankle reflex was 1+, right knee and bilateral ankle reflexes were absent. Plantar response was down going on both sides.</w:t>
      </w:r>
      <w:r w:rsidRPr="00CE7312">
        <w:rPr>
          <w:rStyle w:val="eop"/>
          <w:sz w:val="28"/>
          <w:szCs w:val="28"/>
        </w:rPr>
        <w:t> </w:t>
      </w:r>
    </w:p>
    <w:p w:rsidR="00852CB4" w:rsidRPr="00CE7312" w:rsidRDefault="00852CB4" w:rsidP="00852CB4">
      <w:pPr>
        <w:pStyle w:val="paragraph"/>
        <w:spacing w:before="0" w:beforeAutospacing="0" w:after="0" w:afterAutospacing="0"/>
        <w:textAlignment w:val="baseline"/>
        <w:rPr>
          <w:sz w:val="28"/>
          <w:szCs w:val="28"/>
        </w:rPr>
      </w:pPr>
      <w:r w:rsidRPr="00CE7312">
        <w:rPr>
          <w:rStyle w:val="eop"/>
          <w:sz w:val="28"/>
          <w:szCs w:val="28"/>
        </w:rPr>
        <w:t> </w:t>
      </w:r>
    </w:p>
    <w:p w:rsidR="00852CB4" w:rsidRPr="00CE7312" w:rsidRDefault="00852CB4" w:rsidP="00CE7312">
      <w:pPr>
        <w:pStyle w:val="paragraph"/>
        <w:spacing w:before="0" w:beforeAutospacing="0" w:after="0" w:afterAutospacing="0" w:line="360" w:lineRule="auto"/>
        <w:jc w:val="both"/>
        <w:textAlignment w:val="baseline"/>
        <w:rPr>
          <w:sz w:val="28"/>
          <w:szCs w:val="28"/>
        </w:rPr>
      </w:pPr>
      <w:r w:rsidRPr="00CE7312">
        <w:rPr>
          <w:rStyle w:val="normaltextrun"/>
          <w:sz w:val="28"/>
          <w:szCs w:val="28"/>
        </w:rPr>
        <w:t>On laboratory investigations, total leukocyte count was 6400 (Neutrophil</w:t>
      </w:r>
      <w:r w:rsidR="004926A5">
        <w:rPr>
          <w:rStyle w:val="normaltextrun"/>
          <w:sz w:val="28"/>
          <w:szCs w:val="28"/>
        </w:rPr>
        <w:t>s</w:t>
      </w:r>
      <w:r w:rsidRPr="00CE7312">
        <w:rPr>
          <w:rStyle w:val="normaltextrun"/>
          <w:sz w:val="28"/>
          <w:szCs w:val="28"/>
        </w:rPr>
        <w:t xml:space="preserve"> 57 %, Lymphocyte 30%</w:t>
      </w:r>
      <w:r w:rsidR="003D7DAF" w:rsidRPr="00CE7312">
        <w:rPr>
          <w:rStyle w:val="normaltextrun"/>
          <w:sz w:val="28"/>
          <w:szCs w:val="28"/>
        </w:rPr>
        <w:t>, monocytes 8%, Eosinophil 4%, Basophils 1%</w:t>
      </w:r>
      <w:r w:rsidRPr="00CE7312">
        <w:rPr>
          <w:rStyle w:val="normaltextrun"/>
          <w:sz w:val="28"/>
          <w:szCs w:val="28"/>
        </w:rPr>
        <w:t xml:space="preserve">), Haemoglobin 16 gm/dl, Erythrocyte Sedimentation Rate 25 mm/hr, sugar 98 (mg/dl), urea 19 mg/dl, creatinine 0.6 mg/dl, Sodium 137 (mEq/l) and potassium 3.9 mEq/l. </w:t>
      </w:r>
      <w:r w:rsidR="00F31555" w:rsidRPr="00CE7312">
        <w:rPr>
          <w:rStyle w:val="normaltextrun"/>
          <w:sz w:val="28"/>
          <w:szCs w:val="28"/>
        </w:rPr>
        <w:t>Lumbar puncture was done on</w:t>
      </w:r>
      <w:r w:rsidR="004926A5">
        <w:rPr>
          <w:rStyle w:val="normaltextrun"/>
          <w:sz w:val="28"/>
          <w:szCs w:val="28"/>
        </w:rPr>
        <w:t xml:space="preserve"> the</w:t>
      </w:r>
      <w:r w:rsidR="00F31555" w:rsidRPr="00CE7312">
        <w:rPr>
          <w:rStyle w:val="normaltextrun"/>
          <w:sz w:val="28"/>
          <w:szCs w:val="28"/>
        </w:rPr>
        <w:t xml:space="preserve"> 7</w:t>
      </w:r>
      <w:r w:rsidR="00F31555" w:rsidRPr="00CE7312">
        <w:rPr>
          <w:rStyle w:val="normaltextrun"/>
          <w:sz w:val="28"/>
          <w:szCs w:val="28"/>
          <w:vertAlign w:val="superscript"/>
        </w:rPr>
        <w:t>th</w:t>
      </w:r>
      <w:r w:rsidR="00F31555" w:rsidRPr="00CE7312">
        <w:rPr>
          <w:rStyle w:val="normaltextrun"/>
          <w:sz w:val="28"/>
          <w:szCs w:val="28"/>
        </w:rPr>
        <w:t xml:space="preserve"> day and </w:t>
      </w:r>
      <w:r w:rsidRPr="00CE7312">
        <w:rPr>
          <w:rStyle w:val="normaltextrun"/>
          <w:sz w:val="28"/>
          <w:szCs w:val="28"/>
        </w:rPr>
        <w:t>CSF findings revealed</w:t>
      </w:r>
      <w:r w:rsidR="004926A5">
        <w:rPr>
          <w:rStyle w:val="normaltextrun"/>
          <w:sz w:val="28"/>
          <w:szCs w:val="28"/>
        </w:rPr>
        <w:t xml:space="preserve"> a</w:t>
      </w:r>
      <w:r w:rsidRPr="00CE7312">
        <w:rPr>
          <w:rStyle w:val="normaltextrun"/>
          <w:sz w:val="28"/>
          <w:szCs w:val="28"/>
        </w:rPr>
        <w:t xml:space="preserve"> total white blood cell count &lt;5 with 100% lymphocytes, glucose 86 mg/dl, protein 68 mg/dl. Chest X-ray and electrocardiogram findings were normal.</w:t>
      </w:r>
      <w:r w:rsidR="00456305">
        <w:rPr>
          <w:rStyle w:val="normaltextrun"/>
          <w:sz w:val="28"/>
          <w:szCs w:val="28"/>
        </w:rPr>
        <w:t xml:space="preserve"> Laboratory results including </w:t>
      </w:r>
      <w:r w:rsidR="00D33186">
        <w:rPr>
          <w:rStyle w:val="normaltextrun"/>
          <w:sz w:val="28"/>
          <w:szCs w:val="28"/>
        </w:rPr>
        <w:t xml:space="preserve">human immunodeficiency virus, syphilis, hepatitis B and C, serum angiotensin converting enzyme </w:t>
      </w:r>
      <w:r w:rsidR="00FF645B">
        <w:rPr>
          <w:rStyle w:val="normaltextrun"/>
          <w:sz w:val="28"/>
          <w:szCs w:val="28"/>
        </w:rPr>
        <w:t>and thyroid stimulating hormone level were unremarkable.</w:t>
      </w:r>
      <w:r w:rsidRPr="00CE7312">
        <w:rPr>
          <w:rStyle w:val="normaltextrun"/>
          <w:sz w:val="28"/>
          <w:szCs w:val="28"/>
        </w:rPr>
        <w:t xml:space="preserve"> Magnetic Resonance Imaging (MRI) of </w:t>
      </w:r>
      <w:r w:rsidR="000A3060">
        <w:rPr>
          <w:rStyle w:val="normaltextrun"/>
          <w:sz w:val="28"/>
          <w:szCs w:val="28"/>
        </w:rPr>
        <w:t xml:space="preserve">the </w:t>
      </w:r>
      <w:r w:rsidR="004106CD">
        <w:rPr>
          <w:rStyle w:val="normaltextrun"/>
          <w:sz w:val="28"/>
          <w:szCs w:val="28"/>
        </w:rPr>
        <w:t>dorsal and lumbosacral</w:t>
      </w:r>
      <w:r w:rsidRPr="00CE7312">
        <w:rPr>
          <w:rStyle w:val="normaltextrun"/>
          <w:sz w:val="28"/>
          <w:szCs w:val="28"/>
        </w:rPr>
        <w:t xml:space="preserve"> spine showed no significant abnormalities that corroborated to clinical presentation. Nerve Conduction Test (NCT) performed on </w:t>
      </w:r>
      <w:r w:rsidR="000A3060">
        <w:rPr>
          <w:rStyle w:val="normaltextrun"/>
          <w:sz w:val="28"/>
          <w:szCs w:val="28"/>
        </w:rPr>
        <w:t xml:space="preserve">the </w:t>
      </w:r>
      <w:r w:rsidRPr="00CE7312">
        <w:rPr>
          <w:rStyle w:val="normaltextrun"/>
          <w:sz w:val="28"/>
          <w:szCs w:val="28"/>
        </w:rPr>
        <w:t xml:space="preserve">8th day of onset of symptoms showed a pattern of motor axonal neuropathy in </w:t>
      </w:r>
      <w:r w:rsidR="000A3060">
        <w:rPr>
          <w:rStyle w:val="normaltextrun"/>
          <w:sz w:val="28"/>
          <w:szCs w:val="28"/>
        </w:rPr>
        <w:t xml:space="preserve">the </w:t>
      </w:r>
      <w:r w:rsidRPr="00CE7312">
        <w:rPr>
          <w:rStyle w:val="normaltextrun"/>
          <w:sz w:val="28"/>
          <w:szCs w:val="28"/>
        </w:rPr>
        <w:t xml:space="preserve">lower limbs; normal in </w:t>
      </w:r>
      <w:r w:rsidR="000A3060">
        <w:rPr>
          <w:rStyle w:val="normaltextrun"/>
          <w:sz w:val="28"/>
          <w:szCs w:val="28"/>
        </w:rPr>
        <w:t xml:space="preserve">the </w:t>
      </w:r>
      <w:r w:rsidRPr="00CE7312">
        <w:rPr>
          <w:rStyle w:val="normaltextrun"/>
          <w:sz w:val="28"/>
          <w:szCs w:val="28"/>
        </w:rPr>
        <w:t>upper limbs; and preserved sensory amplitudes in both upper and lower limbs.</w:t>
      </w:r>
      <w:r w:rsidRPr="00CE7312">
        <w:rPr>
          <w:rStyle w:val="eop"/>
          <w:sz w:val="28"/>
          <w:szCs w:val="28"/>
        </w:rPr>
        <w:t> </w:t>
      </w:r>
    </w:p>
    <w:p w:rsidR="00852CB4" w:rsidRPr="00CE7312" w:rsidRDefault="00852CB4" w:rsidP="00852CB4">
      <w:pPr>
        <w:pStyle w:val="paragraph"/>
        <w:spacing w:before="0" w:beforeAutospacing="0" w:after="0" w:afterAutospacing="0"/>
        <w:jc w:val="both"/>
        <w:textAlignment w:val="baseline"/>
        <w:rPr>
          <w:sz w:val="28"/>
          <w:szCs w:val="28"/>
        </w:rPr>
      </w:pPr>
      <w:r w:rsidRPr="00CE7312">
        <w:rPr>
          <w:rStyle w:val="eop"/>
          <w:sz w:val="28"/>
          <w:szCs w:val="28"/>
        </w:rPr>
        <w:t> </w:t>
      </w:r>
    </w:p>
    <w:p w:rsidR="00852CB4" w:rsidRPr="00130A27" w:rsidRDefault="00852CB4" w:rsidP="00CE7312">
      <w:pPr>
        <w:pStyle w:val="paragraph"/>
        <w:spacing w:before="0" w:beforeAutospacing="0" w:after="0" w:afterAutospacing="0" w:line="360" w:lineRule="auto"/>
        <w:jc w:val="both"/>
        <w:textAlignment w:val="baseline"/>
        <w:rPr>
          <w:rStyle w:val="eop"/>
          <w:sz w:val="32"/>
          <w:szCs w:val="32"/>
        </w:rPr>
      </w:pPr>
      <w:r w:rsidRPr="00CE7312">
        <w:rPr>
          <w:rStyle w:val="normaltextrun"/>
          <w:sz w:val="28"/>
          <w:szCs w:val="28"/>
        </w:rPr>
        <w:lastRenderedPageBreak/>
        <w:t>Weighing the severity of his weakness</w:t>
      </w:r>
      <w:r w:rsidR="000A3060">
        <w:rPr>
          <w:rStyle w:val="normaltextrun"/>
          <w:sz w:val="28"/>
          <w:szCs w:val="28"/>
        </w:rPr>
        <w:t>,</w:t>
      </w:r>
      <w:r w:rsidRPr="00CE7312">
        <w:rPr>
          <w:rStyle w:val="normaltextrun"/>
          <w:sz w:val="28"/>
          <w:szCs w:val="28"/>
        </w:rPr>
        <w:t xml:space="preserve"> we decided not to start i</w:t>
      </w:r>
      <w:r w:rsidR="000A3060">
        <w:rPr>
          <w:rStyle w:val="normaltextrun"/>
          <w:sz w:val="28"/>
          <w:szCs w:val="28"/>
        </w:rPr>
        <w:t>mmunomodulatory treatment</w:t>
      </w:r>
      <w:r w:rsidRPr="00CE7312">
        <w:rPr>
          <w:rStyle w:val="normaltextrun"/>
          <w:sz w:val="28"/>
          <w:szCs w:val="28"/>
        </w:rPr>
        <w:t xml:space="preserve"> and </w:t>
      </w:r>
      <w:r w:rsidR="000A3060">
        <w:rPr>
          <w:rStyle w:val="normaltextrun"/>
          <w:sz w:val="28"/>
          <w:szCs w:val="28"/>
        </w:rPr>
        <w:t>managed him conservatively with</w:t>
      </w:r>
      <w:r w:rsidRPr="00CE7312">
        <w:rPr>
          <w:rStyle w:val="normaltextrun"/>
          <w:sz w:val="28"/>
          <w:szCs w:val="28"/>
        </w:rPr>
        <w:t xml:space="preserve"> appropriate sessions of physiotherapy. He was discharged after 7 days of admission with mild improvement in motor power: bilateral hip flexion 4+/5,</w:t>
      </w:r>
      <w:r w:rsidR="000A3060">
        <w:rPr>
          <w:rStyle w:val="normaltextrun"/>
          <w:sz w:val="28"/>
          <w:szCs w:val="28"/>
        </w:rPr>
        <w:t xml:space="preserve"> hip extension 4/5, ankle dorsi </w:t>
      </w:r>
      <w:r w:rsidRPr="00CE7312">
        <w:rPr>
          <w:rStyle w:val="normaltextrun"/>
          <w:sz w:val="28"/>
          <w:szCs w:val="28"/>
        </w:rPr>
        <w:t xml:space="preserve">flexion 3/5 and rest </w:t>
      </w:r>
      <w:r w:rsidR="000A3060">
        <w:rPr>
          <w:rStyle w:val="normaltextrun"/>
          <w:sz w:val="28"/>
          <w:szCs w:val="28"/>
        </w:rPr>
        <w:t>were</w:t>
      </w:r>
      <w:r w:rsidRPr="00CE7312">
        <w:rPr>
          <w:rStyle w:val="normaltextrun"/>
          <w:sz w:val="28"/>
          <w:szCs w:val="28"/>
        </w:rPr>
        <w:t xml:space="preserve"> similar as admission. On follow-up at 1.5 month</w:t>
      </w:r>
      <w:r w:rsidR="000A3060">
        <w:rPr>
          <w:rStyle w:val="normaltextrun"/>
          <w:sz w:val="28"/>
          <w:szCs w:val="28"/>
        </w:rPr>
        <w:t xml:space="preserve">s, he had </w:t>
      </w:r>
      <w:r w:rsidRPr="00CE7312">
        <w:rPr>
          <w:rStyle w:val="normaltextrun"/>
          <w:sz w:val="28"/>
          <w:szCs w:val="28"/>
        </w:rPr>
        <w:t xml:space="preserve"> fully recovered power</w:t>
      </w:r>
      <w:r w:rsidRPr="00130A27">
        <w:rPr>
          <w:rStyle w:val="normaltextrun"/>
          <w:sz w:val="32"/>
          <w:szCs w:val="32"/>
        </w:rPr>
        <w:t xml:space="preserve"> </w:t>
      </w:r>
      <w:r w:rsidR="004D1105">
        <w:rPr>
          <w:rStyle w:val="normaltextrun"/>
          <w:sz w:val="32"/>
          <w:szCs w:val="32"/>
        </w:rPr>
        <w:t>in</w:t>
      </w:r>
      <w:r w:rsidR="004D1105" w:rsidRPr="00130A27">
        <w:rPr>
          <w:rStyle w:val="normaltextrun"/>
          <w:sz w:val="32"/>
          <w:szCs w:val="32"/>
        </w:rPr>
        <w:t xml:space="preserve"> </w:t>
      </w:r>
      <w:r w:rsidR="000A3060">
        <w:rPr>
          <w:rStyle w:val="normaltextrun"/>
          <w:sz w:val="32"/>
          <w:szCs w:val="32"/>
        </w:rPr>
        <w:t xml:space="preserve">the </w:t>
      </w:r>
      <w:r w:rsidRPr="00130A27">
        <w:rPr>
          <w:rStyle w:val="normaltextrun"/>
          <w:sz w:val="32"/>
          <w:szCs w:val="32"/>
        </w:rPr>
        <w:t>lower limbs with no residual deficits.</w:t>
      </w:r>
      <w:r w:rsidRPr="00130A27">
        <w:rPr>
          <w:rStyle w:val="eop"/>
          <w:sz w:val="32"/>
          <w:szCs w:val="32"/>
        </w:rPr>
        <w:t> </w:t>
      </w:r>
    </w:p>
    <w:p w:rsidR="00852CB4" w:rsidRPr="00130A27" w:rsidRDefault="00852CB4" w:rsidP="00852CB4">
      <w:pPr>
        <w:pStyle w:val="paragraph"/>
        <w:spacing w:before="0" w:beforeAutospacing="0" w:after="0" w:afterAutospacing="0"/>
        <w:jc w:val="both"/>
        <w:textAlignment w:val="baseline"/>
        <w:rPr>
          <w:sz w:val="32"/>
          <w:szCs w:val="32"/>
        </w:rPr>
      </w:pPr>
    </w:p>
    <w:p w:rsidR="00852CB4" w:rsidRDefault="00852CB4" w:rsidP="00852CB4">
      <w:pPr>
        <w:pStyle w:val="paragraph"/>
        <w:spacing w:before="0" w:beforeAutospacing="0" w:after="0" w:afterAutospacing="0"/>
        <w:jc w:val="both"/>
        <w:textAlignment w:val="baseline"/>
        <w:rPr>
          <w:rStyle w:val="eop"/>
          <w:sz w:val="32"/>
          <w:szCs w:val="32"/>
        </w:rPr>
      </w:pPr>
      <w:r w:rsidRPr="00CE7312">
        <w:rPr>
          <w:rStyle w:val="normaltextrun"/>
          <w:b/>
          <w:sz w:val="32"/>
          <w:szCs w:val="32"/>
        </w:rPr>
        <w:t>Discussion</w:t>
      </w:r>
      <w:r w:rsidRPr="00130A27">
        <w:rPr>
          <w:rStyle w:val="eop"/>
          <w:sz w:val="32"/>
          <w:szCs w:val="32"/>
        </w:rPr>
        <w:t> </w:t>
      </w:r>
    </w:p>
    <w:p w:rsidR="00B15ECC" w:rsidRPr="00130A27" w:rsidRDefault="00B15ECC" w:rsidP="00852CB4">
      <w:pPr>
        <w:pStyle w:val="paragraph"/>
        <w:spacing w:before="0" w:beforeAutospacing="0" w:after="0" w:afterAutospacing="0"/>
        <w:jc w:val="both"/>
        <w:textAlignment w:val="baseline"/>
        <w:rPr>
          <w:sz w:val="32"/>
          <w:szCs w:val="32"/>
        </w:rPr>
      </w:pPr>
    </w:p>
    <w:p w:rsidR="00852CB4" w:rsidRPr="001553F9" w:rsidRDefault="00852CB4" w:rsidP="00CE7312">
      <w:pPr>
        <w:pStyle w:val="paragraph"/>
        <w:spacing w:before="0" w:beforeAutospacing="0" w:after="0" w:afterAutospacing="0" w:line="360" w:lineRule="auto"/>
        <w:jc w:val="both"/>
        <w:textAlignment w:val="baseline"/>
        <w:rPr>
          <w:sz w:val="28"/>
          <w:szCs w:val="28"/>
        </w:rPr>
      </w:pPr>
      <w:r w:rsidRPr="002531B6">
        <w:rPr>
          <w:rStyle w:val="normaltextrun"/>
          <w:sz w:val="28"/>
          <w:szCs w:val="28"/>
        </w:rPr>
        <w:t>Clinical spectrum of GBS encompasses Classical GBS, Miller Fisher variant, the Pharyngeal-Cervical-Brachial (PCB) variant, paraparetic variant, pure motor variant GBS, GBS with acute pharyngeal weakness, bifacial weakness with paraesthesia, acute ptosis, acute my</w:t>
      </w:r>
      <w:r w:rsidR="008970D3">
        <w:rPr>
          <w:rStyle w:val="normaltextrun"/>
          <w:sz w:val="28"/>
          <w:szCs w:val="28"/>
        </w:rPr>
        <w:t>driasis, acute ataxic neuropathy</w:t>
      </w:r>
      <w:r w:rsidRPr="002531B6">
        <w:rPr>
          <w:rStyle w:val="normaltextrun"/>
          <w:sz w:val="28"/>
          <w:szCs w:val="28"/>
        </w:rPr>
        <w:t>,</w:t>
      </w:r>
      <w:r w:rsidR="008970D3">
        <w:rPr>
          <w:rStyle w:val="normaltextrun"/>
          <w:sz w:val="28"/>
          <w:szCs w:val="28"/>
        </w:rPr>
        <w:t xml:space="preserve"> </w:t>
      </w:r>
      <w:r w:rsidRPr="002531B6">
        <w:rPr>
          <w:rStyle w:val="normaltextrun"/>
          <w:sz w:val="28"/>
          <w:szCs w:val="28"/>
        </w:rPr>
        <w:t>acute ataxic hypersomnolence and Bickerstaff brainstem encephalitis. </w:t>
      </w:r>
      <w:r w:rsidR="007B1D9F">
        <w:rPr>
          <w:rStyle w:val="normaltextrun"/>
          <w:sz w:val="28"/>
          <w:szCs w:val="28"/>
        </w:rPr>
        <w:fldChar w:fldCharType="begin" w:fldLock="1"/>
      </w:r>
      <w:r w:rsidR="006D34B7">
        <w:rPr>
          <w:rStyle w:val="normaltextrun"/>
          <w:sz w:val="28"/>
          <w:szCs w:val="28"/>
        </w:rPr>
        <w:instrText>ADDIN CSL_CITATION {"citationItems":[{"id":"ITEM-1","itemData":{"DOI":"10.1159/000184748","ISSN":"1423-0208 (Electronic)","PMID":"19088488","abstract":"BACKGROUND: This systematic literature review of the epidemiology of Guillain-Barré  syndrome (GBS) identifies trends in incidence rates by age, study method and cause of disease. It is important to have a reliable estimate of incidence to determine and investigate any changes: no previous systematic reviews of GBS have been found. METHODS: After critical assessment of the reliability of the reported data, incidence rates were extracted from all relevant papers published between 1980 and 2008, identified through searches of Medline, Embase and Science Direct. RESULTS: Sixty-three papers were included in this review; these studies were prospective, retrospective reviews of medical records or retrospective database studies. Ten studies reported on the incidence in children (0-15 years old), and found the annual incidence to be between 0.34 and 1.34/100,000. Most studies investigated populations in Europe and North America and reported similar annual incidence rates, i.e. between 0.84 and 1.91/100,000. A decrease in incidence over the time between the 1980s and 1990s was found. Up to 70% of cases of GBS were caused by antecedent infections. CONCLUSIONS: Our best estimate of the overall incidence of GBS was between 1.1/100,000/year and 1.8/100,000/year. The incidence of GBS increased with age after 50 years from 1.7/100,000/year to 3.3/100,000/year.","author":[{"dropping-particle":"","family":"McGrogan","given":"Anita","non-dropping-particle":"","parse-names":false,"suffix":""},{"dropping-particle":"","family":"Madle","given":"Gemma C","non-dropping-particle":"","parse-names":false,"suffix":""},{"dropping-particle":"","family":"Seaman","given":"Helen E","non-dropping-particle":"","parse-names":false,"suffix":""},{"dropping-particle":"","family":"Vries","given":"Corinne S","non-dropping-particle":"de","parse-names":false,"suffix":""}],"container-title":"Neuroepidemiology","id":"ITEM-1","issue":"2","issued":{"date-parts":[["2009"]]},"language":"eng","page":"150-163","publisher-place":"Switzerland","title":"The epidemiology of Guillain-Barré syndrome worldwide. A systematic literature  review.","type":"article-journal","volume":"32"},"uris":["http://www.mendeley.com/documents/?uuid=319f0f8e-6cad-4dcc-85c6-a58394cce26e"]}],"mendeley":{"formattedCitation":"[1]","plainTextFormattedCitation":"[1]","previouslyFormattedCitation":"[1]"},"properties":{"noteIndex":0},"schema":"https://github.com/citation-style-language/schema/raw/master/csl-citation.json"}</w:instrText>
      </w:r>
      <w:r w:rsidR="007B1D9F">
        <w:rPr>
          <w:rStyle w:val="normaltextrun"/>
          <w:sz w:val="28"/>
          <w:szCs w:val="28"/>
        </w:rPr>
        <w:fldChar w:fldCharType="separate"/>
      </w:r>
      <w:r w:rsidR="006D34B7" w:rsidRPr="006D34B7">
        <w:rPr>
          <w:rStyle w:val="normaltextrun"/>
          <w:noProof/>
          <w:sz w:val="28"/>
          <w:szCs w:val="28"/>
        </w:rPr>
        <w:t>[1]</w:t>
      </w:r>
      <w:r w:rsidR="007B1D9F">
        <w:rPr>
          <w:rStyle w:val="normaltextrun"/>
          <w:sz w:val="28"/>
          <w:szCs w:val="28"/>
        </w:rPr>
        <w:fldChar w:fldCharType="end"/>
      </w:r>
      <w:r w:rsidR="007B1D9F">
        <w:rPr>
          <w:rStyle w:val="normaltextrun"/>
          <w:sz w:val="28"/>
          <w:szCs w:val="28"/>
        </w:rPr>
        <w:fldChar w:fldCharType="begin" w:fldLock="1"/>
      </w:r>
      <w:r w:rsidR="007331DA">
        <w:rPr>
          <w:rStyle w:val="normaltextrun"/>
          <w:sz w:val="28"/>
          <w:szCs w:val="28"/>
        </w:rPr>
        <w:instrText>ADDIN CSL_CITATION {"citationItems":[{"id":"ITEM-1","itemData":{"author":[{"dropping-particle":"","family":"Progress","given":"Medical","non-dropping-particle":"","parse-names":false,"suffix":""},{"dropping-particle":"","family":"Yuki","given":"Nobuhiro","non-dropping-particle":"","parse-names":false,"suffix":""},{"dropping-particle":"","family":"Hartung","given":"Hans-peter","non-dropping-particle":"","parse-names":false,"suffix":""}],"id":"ITEM-1","issued":{"date-parts":[["2012"]]},"title":"Guillain–Barré Syndrome","type":"article-journal"},"uris":["http://www.mendeley.com/documents/?uuid=ed50991e-bc79-4abb-ae77-8887d00e7f5b"]}],"mendeley":{"formattedCitation":"[4]","plainTextFormattedCitation":"[4]","previouslyFormattedCitation":"[4]"},"properties":{"noteIndex":0},"schema":"https://github.com/citation-style-language/schema/raw/master/csl-citation.json"}</w:instrText>
      </w:r>
      <w:r w:rsidR="007B1D9F">
        <w:rPr>
          <w:rStyle w:val="normaltextrun"/>
          <w:sz w:val="28"/>
          <w:szCs w:val="28"/>
        </w:rPr>
        <w:fldChar w:fldCharType="separate"/>
      </w:r>
      <w:r w:rsidR="006D34B7" w:rsidRPr="006D34B7">
        <w:rPr>
          <w:rStyle w:val="normaltextrun"/>
          <w:noProof/>
          <w:sz w:val="28"/>
          <w:szCs w:val="28"/>
        </w:rPr>
        <w:t>[4]</w:t>
      </w:r>
      <w:r w:rsidR="007B1D9F">
        <w:rPr>
          <w:rStyle w:val="normaltextrun"/>
          <w:sz w:val="28"/>
          <w:szCs w:val="28"/>
        </w:rPr>
        <w:fldChar w:fldCharType="end"/>
      </w:r>
      <w:r w:rsidR="007B1D9F">
        <w:rPr>
          <w:rStyle w:val="normaltextrun"/>
          <w:sz w:val="28"/>
          <w:szCs w:val="28"/>
        </w:rPr>
        <w:fldChar w:fldCharType="begin" w:fldLock="1"/>
      </w:r>
      <w:r w:rsidR="000469A7">
        <w:rPr>
          <w:rStyle w:val="normaltextrun"/>
          <w:sz w:val="28"/>
          <w:szCs w:val="28"/>
        </w:rPr>
        <w:instrText>ADDIN CSL_CITATION {"citationItems":[{"id":"ITEM-1","itemData":{"DOI":"10.1212/WNL.0000000000000481","ISSN":"1526-632X (Electronic)","PMID":"24808021","abstract":"OBJECTIVE: To define the clinical and diagnostic characteristics of paraparetic  Guillain-Barré syndrome (GBS) with weakness restricted to the legs, compared with the classic quadriparetic GBS. METHODS: Prospectively collected data from a cohort of 490 patients with GBS, previously involved in therapeutic or clinical studies, were used to define the demography, clinical presentation, diagnostic investigations, and clinical course in patients with paraparesis during a 6-month follow-up. RESULTS: Forty patients (8%) presented with a paraparesis without weakness of arms and hands. In 29 patients (73%), normal strength of upper extremities persisted during the follow-up period. Patients with paraparesis compared to patients with quadriparesis had a milder form of GBS, with less frequent cranial nerve involvement and less severe leg weakness, despite the fact that the majority of these patients were unable to walk unaided. Median time between onset of weakness and study entry was 6 days (interquartile range 4-11 days) for patients with paraparesis compared with 5 days (interquartile range 3-8 days) for patients with quadriparesis (p = 0.031). Fifty percent of patients with paraparesis presented with arm sensory deficits and 73% had reduced or absent arm reflexes. Nerve conduction studies demonstrated arm nerve involvement in 89% of these patients. At 6 months of follow-up, 98% of patients with paraparesis were able to walk unaided compared with 81% of the patients with quadriparesis (p = 0.008). There was no association between paraparesis and age, sex, or preceding infections. CONCLUSIONS: Paraparesis is an atypical clinical presentation or subform of GBS in which the diagnosis is usually supported by the presence of sensory deficits, reduced reflexes, or abnormal nerve conduction of the arms.","author":[{"dropping-particle":"","family":"Berg","given":"Bianca","non-dropping-particle":"van den","parse-names":false,"suffix":""},{"dropping-particle":"","family":"Fokke","given":"Christiaan","non-dropping-particle":"","parse-names":false,"suffix":""},{"dropping-particle":"","family":"Drenthen","given":"Judith","non-dropping-particle":"","parse-names":false,"suffix":""},{"dropping-particle":"","family":"Doorn","given":"Pieter A","non-dropping-particle":"van","parse-names":false,"suffix":""},{"dropping-particle":"","family":"Jacobs","given":"Bart C","non-dropping-particle":"","parse-names":false,"suffix":""}],"container-title":"Neurology","id":"ITEM-1","issue":"22","issued":{"date-parts":[["2014","6"]]},"language":"eng","page":"1984-1989","publisher-place":"United States","title":"Paraparetic Guillain-Barré syndrome.","type":"article-journal","volume":"82"},"uris":["http://www.mendeley.com/documents/?uuid=1fa01b7b-5ad8-4342-9537-e5e93872cc36"]}],"mendeley":{"formattedCitation":"[5]","plainTextFormattedCitation":"[5]","previouslyFormattedCitation":"[5]"},"properties":{"noteIndex":0},"schema":"https://github.com/citation-style-language/schema/raw/master/csl-citation.json"}</w:instrText>
      </w:r>
      <w:r w:rsidR="007B1D9F">
        <w:rPr>
          <w:rStyle w:val="normaltextrun"/>
          <w:sz w:val="28"/>
          <w:szCs w:val="28"/>
        </w:rPr>
        <w:fldChar w:fldCharType="separate"/>
      </w:r>
      <w:r w:rsidR="000469A7" w:rsidRPr="000469A7">
        <w:rPr>
          <w:rStyle w:val="normaltextrun"/>
          <w:noProof/>
          <w:sz w:val="28"/>
          <w:szCs w:val="28"/>
        </w:rPr>
        <w:t>[5]</w:t>
      </w:r>
      <w:r w:rsidR="007B1D9F">
        <w:rPr>
          <w:rStyle w:val="normaltextrun"/>
          <w:sz w:val="28"/>
          <w:szCs w:val="28"/>
        </w:rPr>
        <w:fldChar w:fldCharType="end"/>
      </w:r>
      <w:r w:rsidRPr="002531B6">
        <w:rPr>
          <w:rStyle w:val="normaltextrun"/>
          <w:i/>
          <w:iCs/>
          <w:sz w:val="28"/>
          <w:szCs w:val="28"/>
        </w:rPr>
        <w:t> </w:t>
      </w:r>
      <w:r w:rsidR="00BF5349">
        <w:rPr>
          <w:rStyle w:val="normaltextrun"/>
          <w:sz w:val="28"/>
          <w:szCs w:val="28"/>
        </w:rPr>
        <w:t>Besides classical GBS, uncommon</w:t>
      </w:r>
      <w:r w:rsidR="00896D4A">
        <w:rPr>
          <w:rStyle w:val="normaltextrun"/>
          <w:sz w:val="28"/>
          <w:szCs w:val="28"/>
        </w:rPr>
        <w:t xml:space="preserve"> variants </w:t>
      </w:r>
      <w:r w:rsidR="00980BAD">
        <w:rPr>
          <w:rStyle w:val="normaltextrun"/>
          <w:sz w:val="28"/>
          <w:szCs w:val="28"/>
        </w:rPr>
        <w:t xml:space="preserve">are usually late diagnosed and likely to land in </w:t>
      </w:r>
      <w:r w:rsidR="000A3060">
        <w:rPr>
          <w:rStyle w:val="normaltextrun"/>
          <w:sz w:val="28"/>
          <w:szCs w:val="28"/>
        </w:rPr>
        <w:t xml:space="preserve">the </w:t>
      </w:r>
      <w:r w:rsidR="00980BAD">
        <w:rPr>
          <w:rStyle w:val="normaltextrun"/>
          <w:sz w:val="28"/>
          <w:szCs w:val="28"/>
        </w:rPr>
        <w:t>emergency or intensive care unit</w:t>
      </w:r>
      <w:r w:rsidR="000A3060">
        <w:rPr>
          <w:rStyle w:val="normaltextrun"/>
          <w:sz w:val="28"/>
          <w:szCs w:val="28"/>
        </w:rPr>
        <w:t>s</w:t>
      </w:r>
      <w:r w:rsidR="00980BAD">
        <w:rPr>
          <w:rStyle w:val="normaltextrun"/>
          <w:sz w:val="28"/>
          <w:szCs w:val="28"/>
        </w:rPr>
        <w:t xml:space="preserve"> with</w:t>
      </w:r>
      <w:r w:rsidRPr="002531B6">
        <w:rPr>
          <w:rStyle w:val="normaltextrun"/>
          <w:sz w:val="28"/>
          <w:szCs w:val="28"/>
        </w:rPr>
        <w:t xml:space="preserve"> full-blown GBS with respiratory failure and autonomic dysfunction </w:t>
      </w:r>
      <w:r w:rsidR="007B1D9F" w:rsidRPr="00CE7312">
        <w:rPr>
          <w:rStyle w:val="normaltextrun"/>
          <w:i/>
          <w:iCs/>
          <w:sz w:val="28"/>
          <w:szCs w:val="28"/>
        </w:rPr>
        <w:fldChar w:fldCharType="begin" w:fldLock="1"/>
      </w:r>
      <w:r w:rsidR="006D34B7">
        <w:rPr>
          <w:rStyle w:val="normaltextrun"/>
          <w:i/>
          <w:iCs/>
          <w:sz w:val="28"/>
          <w:szCs w:val="28"/>
        </w:rPr>
        <w:instrText>ADDIN CSL_CITATION {"citationItems":[{"id":"ITEM-1","itemData":{"author":[{"dropping-particle":"","family":"Progress","given":"Medical","non-dropping-particle":"","parse-names":false,"suffix":""},{"dropping-particle":"","family":"Yuki","given":"Nobuhiro","non-dropping-particle":"","parse-names":false,"suffix":""},{"dropping-particle":"","family":"Hartung","given":"Hans-peter","non-dropping-particle":"","parse-names":false,"suffix":""}],"id":"ITEM-1","issued":{"date-parts":[["2012"]]},"title":"Guillain–Barré Syndrome","type":"article-journal"},"uris":["http://www.mendeley.com/documents/?uuid=ed50991e-bc79-4abb-ae77-8887d00e7f5b"]}],"mendeley":{"formattedCitation":"[4]","manualFormatting":"[1]","plainTextFormattedCitation":"[4]","previouslyFormattedCitation":"[4]"},"properties":{"noteIndex":0},"schema":"https://github.com/citation-style-language/schema/raw/master/csl-citation.json"}</w:instrText>
      </w:r>
      <w:r w:rsidR="007B1D9F" w:rsidRPr="00CE7312">
        <w:rPr>
          <w:rStyle w:val="normaltextrun"/>
          <w:i/>
          <w:iCs/>
          <w:sz w:val="28"/>
          <w:szCs w:val="28"/>
        </w:rPr>
        <w:fldChar w:fldCharType="separate"/>
      </w:r>
      <w:r w:rsidR="002A3947" w:rsidRPr="002531B6">
        <w:rPr>
          <w:rStyle w:val="normaltextrun"/>
          <w:iCs/>
          <w:noProof/>
          <w:sz w:val="28"/>
          <w:szCs w:val="28"/>
        </w:rPr>
        <w:t>[1</w:t>
      </w:r>
      <w:r w:rsidR="00990E3D" w:rsidRPr="002531B6">
        <w:rPr>
          <w:rStyle w:val="normaltextrun"/>
          <w:iCs/>
          <w:noProof/>
          <w:sz w:val="28"/>
          <w:szCs w:val="28"/>
        </w:rPr>
        <w:t>]</w:t>
      </w:r>
      <w:r w:rsidR="007B1D9F" w:rsidRPr="00CE7312">
        <w:rPr>
          <w:rStyle w:val="normaltextrun"/>
          <w:i/>
          <w:iCs/>
          <w:sz w:val="28"/>
          <w:szCs w:val="28"/>
        </w:rPr>
        <w:fldChar w:fldCharType="end"/>
      </w:r>
      <w:r w:rsidRPr="002531B6">
        <w:rPr>
          <w:rStyle w:val="normaltextrun"/>
          <w:i/>
          <w:iCs/>
          <w:sz w:val="28"/>
          <w:szCs w:val="28"/>
        </w:rPr>
        <w:t>.</w:t>
      </w:r>
      <w:r w:rsidRPr="002531B6">
        <w:rPr>
          <w:rStyle w:val="normaltextrun"/>
          <w:sz w:val="28"/>
          <w:szCs w:val="28"/>
        </w:rPr>
        <w:t> </w:t>
      </w:r>
      <w:r w:rsidRPr="002531B6">
        <w:rPr>
          <w:sz w:val="28"/>
          <w:szCs w:val="28"/>
        </w:rPr>
        <w:t xml:space="preserve">The paraparetic variant of GBS is </w:t>
      </w:r>
      <w:r w:rsidR="00F5082C">
        <w:rPr>
          <w:sz w:val="28"/>
          <w:szCs w:val="28"/>
        </w:rPr>
        <w:t>an uncommon variant</w:t>
      </w:r>
      <w:r w:rsidRPr="002531B6">
        <w:rPr>
          <w:sz w:val="28"/>
          <w:szCs w:val="28"/>
        </w:rPr>
        <w:t xml:space="preserve"> with weakness being confined to the legs. </w:t>
      </w:r>
      <w:r w:rsidRPr="007226CF">
        <w:rPr>
          <w:i/>
          <w:sz w:val="28"/>
          <w:szCs w:val="28"/>
        </w:rPr>
        <w:t xml:space="preserve">Ropper et. </w:t>
      </w:r>
      <w:r w:rsidR="001553F9" w:rsidRPr="007226CF">
        <w:rPr>
          <w:i/>
          <w:sz w:val="28"/>
          <w:szCs w:val="28"/>
        </w:rPr>
        <w:t>a</w:t>
      </w:r>
      <w:r w:rsidRPr="007226CF">
        <w:rPr>
          <w:i/>
          <w:sz w:val="28"/>
          <w:szCs w:val="28"/>
        </w:rPr>
        <w:t>l</w:t>
      </w:r>
      <w:r w:rsidRPr="002531B6">
        <w:rPr>
          <w:sz w:val="28"/>
          <w:szCs w:val="28"/>
        </w:rPr>
        <w:t xml:space="preserve"> first described this variant in 1986 as paraparesis with normal power, sensation and reflexes in the arms</w:t>
      </w:r>
      <w:r w:rsidR="001553F9">
        <w:rPr>
          <w:sz w:val="28"/>
          <w:szCs w:val="28"/>
        </w:rPr>
        <w:t>.</w:t>
      </w:r>
      <w:r w:rsidR="007B1D9F">
        <w:rPr>
          <w:sz w:val="28"/>
          <w:szCs w:val="28"/>
        </w:rPr>
        <w:fldChar w:fldCharType="begin" w:fldLock="1"/>
      </w:r>
      <w:r w:rsidR="000469A7">
        <w:rPr>
          <w:sz w:val="28"/>
          <w:szCs w:val="28"/>
        </w:rPr>
        <w:instrText>ADDIN CSL_CITATION {"citationItems":[{"id":"ITEM-1","itemData":{"DOI":"10.1001/archneur.1986.00520110044012","ISSN":"0003-9942 (Print)","PMID":"2946281","abstract":"Limited regional forms of the Guillain-Barré syndrome (GBS) and unusual focal signs  or symptoms that resemble other illnesses are described: pharyngeal-cervical-brachial weakness with ptosis, sparing power, and reflexes in the legs; paraparesis with normal power and reflexes in the arms; early severe ptosis without other signs of oculomotor weakness; and acute severe midline back pain at the onset. The first two variants did not progress to typical generalized GBS, delaying the proper diagnosis. Regional and functional variants suggest that the pathologic, and perhaps immunologic abnormalities of GBS can be localized and selective.","author":[{"dropping-particle":"","family":"Ropper","given":"A H","non-dropping-particle":"","parse-names":false,"suffix":""}],"container-title":"Archives of neurology","id":"ITEM-1","issue":"11","issued":{"date-parts":[["1986","11"]]},"language":"eng","page":"1150-1152","publisher-place":"United States","title":"Unusual clinical variants and signs in Guillain-Barré syndrome.","type":"article-journal","volume":"43"},"uris":["http://www.mendeley.com/documents/?uuid=ad634997-829e-463d-9eef-946570ce414c"]}],"mendeley":{"formattedCitation":"[6]","plainTextFormattedCitation":"[6]","previouslyFormattedCitation":"[6]"},"properties":{"noteIndex":0},"schema":"https://github.com/citation-style-language/schema/raw/master/csl-citation.json"}</w:instrText>
      </w:r>
      <w:r w:rsidR="007B1D9F">
        <w:rPr>
          <w:sz w:val="28"/>
          <w:szCs w:val="28"/>
        </w:rPr>
        <w:fldChar w:fldCharType="separate"/>
      </w:r>
      <w:r w:rsidR="000469A7" w:rsidRPr="000469A7">
        <w:rPr>
          <w:noProof/>
          <w:sz w:val="28"/>
          <w:szCs w:val="28"/>
        </w:rPr>
        <w:t>[6]</w:t>
      </w:r>
      <w:r w:rsidR="007B1D9F">
        <w:rPr>
          <w:sz w:val="28"/>
          <w:szCs w:val="28"/>
        </w:rPr>
        <w:fldChar w:fldCharType="end"/>
      </w:r>
      <w:r w:rsidR="001553F9">
        <w:rPr>
          <w:sz w:val="28"/>
          <w:szCs w:val="28"/>
        </w:rPr>
        <w:t xml:space="preserve"> </w:t>
      </w:r>
      <w:r w:rsidRPr="002531B6">
        <w:rPr>
          <w:rStyle w:val="normaltextrun"/>
          <w:sz w:val="28"/>
          <w:szCs w:val="28"/>
        </w:rPr>
        <w:t>There’s no exact data revealing how common the paraparetic variant is, but different retrospective and prospective studies have revealed them to constitute 1-8% of total GBS </w:t>
      </w:r>
      <w:r w:rsidR="007B1D9F" w:rsidRPr="00CE7312">
        <w:rPr>
          <w:rStyle w:val="normaltextrun"/>
          <w:sz w:val="28"/>
          <w:szCs w:val="28"/>
          <w:vertAlign w:val="superscript"/>
        </w:rPr>
        <w:fldChar w:fldCharType="begin" w:fldLock="1"/>
      </w:r>
      <w:r w:rsidR="006D34B7">
        <w:rPr>
          <w:rStyle w:val="normaltextrun"/>
          <w:sz w:val="28"/>
          <w:szCs w:val="28"/>
          <w:vertAlign w:val="superscript"/>
        </w:rPr>
        <w:instrText>ADDIN CSL_CITATION {"citationItems":[{"id":"ITEM-1","itemData":{"author":[{"dropping-particle":"","family":"Progress","given":"Medical","non-dropping-particle":"","parse-names":false,"suffix":""},{"dropping-particle":"","family":"Yuki","given":"Nobuhiro","non-dropping-particle":"","parse-names":false,"suffix":""},{"dropping-particle":"","family":"Hartung","given":"Hans-peter","non-dropping-particle":"","parse-names":false,"suffix":""}],"id":"ITEM-1","issued":{"date-parts":[["2012"]]},"title":"Guillain–Barré Syndrome","type":"article-journal"},"uris":["http://www.mendeley.com/documents/?uuid=ed50991e-bc79-4abb-ae77-8887d00e7f5b"]}],"mendeley":{"formattedCitation":"[4]","manualFormatting":"[1]","plainTextFormattedCitation":"[4]","previouslyFormattedCitation":"[4]"},"properties":{"noteIndex":0},"schema":"https://github.com/citation-style-language/schema/raw/master/csl-citation.json"}</w:instrText>
      </w:r>
      <w:r w:rsidR="007B1D9F" w:rsidRPr="00CE7312">
        <w:rPr>
          <w:rStyle w:val="normaltextrun"/>
          <w:sz w:val="28"/>
          <w:szCs w:val="28"/>
          <w:vertAlign w:val="superscript"/>
        </w:rPr>
        <w:fldChar w:fldCharType="separate"/>
      </w:r>
      <w:r w:rsidR="002A3947" w:rsidRPr="002531B6">
        <w:rPr>
          <w:rStyle w:val="normaltextrun"/>
          <w:noProof/>
          <w:sz w:val="28"/>
          <w:szCs w:val="28"/>
        </w:rPr>
        <w:t>[1</w:t>
      </w:r>
      <w:r w:rsidR="00990E3D" w:rsidRPr="002531B6">
        <w:rPr>
          <w:rStyle w:val="normaltextrun"/>
          <w:noProof/>
          <w:sz w:val="28"/>
          <w:szCs w:val="28"/>
        </w:rPr>
        <w:t>]</w:t>
      </w:r>
      <w:r w:rsidR="007B1D9F" w:rsidRPr="00CE7312">
        <w:rPr>
          <w:rStyle w:val="normaltextrun"/>
          <w:sz w:val="28"/>
          <w:szCs w:val="28"/>
          <w:vertAlign w:val="superscript"/>
        </w:rPr>
        <w:fldChar w:fldCharType="end"/>
      </w:r>
      <w:r w:rsidR="007B1D9F" w:rsidRPr="00CE7312">
        <w:rPr>
          <w:rStyle w:val="normaltextrun"/>
          <w:i/>
          <w:iCs/>
          <w:sz w:val="28"/>
          <w:szCs w:val="28"/>
          <w:vertAlign w:val="superscript"/>
        </w:rPr>
        <w:fldChar w:fldCharType="begin" w:fldLock="1"/>
      </w:r>
      <w:r w:rsidR="000469A7">
        <w:rPr>
          <w:rStyle w:val="normaltextrun"/>
          <w:i/>
          <w:iCs/>
          <w:sz w:val="28"/>
          <w:szCs w:val="28"/>
          <w:vertAlign w:val="superscript"/>
        </w:rPr>
        <w:instrText>ADDIN CSL_CITATION {"citationItems":[{"id":"ITEM-1","itemData":{"DOI":"10.1001/archneur.1986.00520110044012","ISSN":"0003-9942 (Print)","PMID":"2946281","abstract":"Limited regional forms of the Guillain-Barré syndrome (GBS) and unusual focal signs  or symptoms that resemble other illnesses are described: pharyngeal-cervical-brachial weakness with ptosis, sparing power, and reflexes in the legs; paraparesis with normal power and reflexes in the arms; early severe ptosis without other signs of oculomotor weakness; and acute severe midline back pain at the onset. The first two variants did not progress to typical generalized GBS, delaying the proper diagnosis. Regional and functional variants suggest that the pathologic, and perhaps immunologic abnormalities of GBS can be localized and selective.","author":[{"dropping-particle":"","family":"Ropper","given":"A H","non-dropping-particle":"","parse-names":false,"suffix":""}],"container-title":"Archives of neurology","id":"ITEM-1","issue":"11","issued":{"date-parts":[["1986","11"]]},"language":"eng","page":"1150-1152","publisher-place":"United States","title":"Unusual clinical variants and signs in Guillain-Barré syndrome.","type":"article-journal","volume":"43"},"uris":["http://www.mendeley.com/documents/?uuid=ad634997-829e-463d-9eef-946570ce414c"]}],"mendeley":{"formattedCitation":"[6]","plainTextFormattedCitation":"[6]","previouslyFormattedCitation":"[6]"},"properties":{"noteIndex":0},"schema":"https://github.com/citation-style-language/schema/raw/master/csl-citation.json"}</w:instrText>
      </w:r>
      <w:r w:rsidR="007B1D9F" w:rsidRPr="00CE7312">
        <w:rPr>
          <w:rStyle w:val="normaltextrun"/>
          <w:i/>
          <w:iCs/>
          <w:sz w:val="28"/>
          <w:szCs w:val="28"/>
          <w:vertAlign w:val="superscript"/>
        </w:rPr>
        <w:fldChar w:fldCharType="separate"/>
      </w:r>
      <w:r w:rsidR="000469A7" w:rsidRPr="000469A7">
        <w:rPr>
          <w:rStyle w:val="normaltextrun"/>
          <w:iCs/>
          <w:noProof/>
          <w:sz w:val="28"/>
          <w:szCs w:val="28"/>
        </w:rPr>
        <w:t>[6]</w:t>
      </w:r>
      <w:r w:rsidR="007B1D9F" w:rsidRPr="00CE7312">
        <w:rPr>
          <w:rStyle w:val="normaltextrun"/>
          <w:i/>
          <w:iCs/>
          <w:sz w:val="28"/>
          <w:szCs w:val="28"/>
          <w:vertAlign w:val="superscript"/>
        </w:rPr>
        <w:fldChar w:fldCharType="end"/>
      </w:r>
      <w:r w:rsidR="007B1D9F">
        <w:rPr>
          <w:rStyle w:val="normaltextrun"/>
          <w:i/>
          <w:iCs/>
          <w:sz w:val="28"/>
          <w:szCs w:val="28"/>
          <w:vertAlign w:val="superscript"/>
        </w:rPr>
        <w:fldChar w:fldCharType="begin" w:fldLock="1"/>
      </w:r>
      <w:r w:rsidR="000469A7">
        <w:rPr>
          <w:rStyle w:val="normaltextrun"/>
          <w:i/>
          <w:iCs/>
          <w:sz w:val="28"/>
          <w:szCs w:val="28"/>
          <w:vertAlign w:val="superscript"/>
        </w:rPr>
        <w:instrText>ADDIN CSL_CITATION {"citationItems":[{"id":"ITEM-1","itemData":{"DOI":"10.1016/j.clineuro.2017.05.006","ISSN":"1872-6968 (Electronic)","PMID":"28514704","abstract":"OBJECTIVES: This study aimed to evaluate the clinical and electrophysiological  characteristics of various distinctive classical and localised Guillain-Barré syndrome (GBS) subtypes. PATIENTS AND METHODS: Clinical characteristics and electrophysiological data of sixty-one consecutive patients admitted between 2012 and 2015 were systematically analysed and reclassified according to the new GBS clinical classification. Neurophysiology was evaluated with Hadden et al.'s vs recently proposed Rajabally et al.'s criteria. Functional severity and clinical outcome of various GBS subtypes were ascertained. RESULTS: All patients initially identified as GBS or related disorders can be sub-classified into having classical GBS (41, 67%), classic Miller-Fisher Syndrome (MFS) (6, 10%), Pharyngeal-cervical-brachial (PCB) (3, 5%), paraparetic GBS (4, 7%), bifacial weakness with paresthesia (3, 5%), acute ophthalmoparesis (AO) (1, 2%) and overlap syndrome (3, 5%): one (2%) with GBS/Bickerstaff brainstem encephalitis overlap and 2 (3%) with GBS/MFS overlap. Greater proportion of axonal classical GBS (67% vs 55%, p=0.372) seen with Rajabally et al.'s criteria and a predominantly axonal form of paraparetic variant (75%) independent of electrodiagnostic criteria were more representative of Asian GBS cohort. Classical GBS patients had lowest admission and discharge Medical Research Council Sum Score (MRCSS), greater functional disability and longest length of in-patient stay. Twenty (20/21, 95%) patients who needed mechanical ventilation had classical GBS. Patients required repeated dose of intravenous immunoglobulin (5/6, 3%) or plasma exchange (4/4, 100%) more frequently had axonal form of classical GBS. CONCLUSION: Phenotype recognition based on new GBS clinical classification, supported by electrodiagnostic study permits more precise clinical subtypes determination and outcome prognostication.","author":[{"dropping-particle":"","family":"Hiew","given":"Fu Liong","non-dropping-particle":"","parse-names":false,"suffix":""},{"dropping-particle":"","family":"Ramlan","given":"Rahmansah","non-dropping-particle":"","parse-names":false,"suffix":""},{"dropping-particle":"","family":"Viswanathan","given":"Shanthi","non-dropping-particle":"","parse-names":false,"suffix":""},{"dropping-particle":"","family":"Puvanarajah","given":"Santhi","non-dropping-particle":"","parse-names":false,"suffix":""}],"container-title":"Clinical neurology and neurosurgery","id":"ITEM-1","issued":{"date-parts":[["2017","7"]]},"language":"eng","page":"114-118","publisher-place":"Netherlands","title":"Guillain-Barré Syndrome, variants &amp; forms fruste: Reclassification with new  criteria.","type":"article-journal","volume":"158"},"uris":["http://www.mendeley.com/documents/?uuid=61a233aa-01be-4963-9818-9e1b793d05c9"]}],"mendeley":{"formattedCitation":"[7]","plainTextFormattedCitation":"[7]","previouslyFormattedCitation":"[7]"},"properties":{"noteIndex":0},"schema":"https://github.com/citation-style-language/schema/raw/master/csl-citation.json"}</w:instrText>
      </w:r>
      <w:r w:rsidR="007B1D9F">
        <w:rPr>
          <w:rStyle w:val="normaltextrun"/>
          <w:i/>
          <w:iCs/>
          <w:sz w:val="28"/>
          <w:szCs w:val="28"/>
          <w:vertAlign w:val="superscript"/>
        </w:rPr>
        <w:fldChar w:fldCharType="separate"/>
      </w:r>
      <w:r w:rsidR="000469A7" w:rsidRPr="000469A7">
        <w:rPr>
          <w:rStyle w:val="normaltextrun"/>
          <w:iCs/>
          <w:noProof/>
          <w:sz w:val="28"/>
          <w:szCs w:val="28"/>
        </w:rPr>
        <w:t>[7]</w:t>
      </w:r>
      <w:r w:rsidR="007B1D9F">
        <w:rPr>
          <w:rStyle w:val="normaltextrun"/>
          <w:i/>
          <w:iCs/>
          <w:sz w:val="28"/>
          <w:szCs w:val="28"/>
          <w:vertAlign w:val="superscript"/>
        </w:rPr>
        <w:fldChar w:fldCharType="end"/>
      </w:r>
      <w:r w:rsidR="007B1D9F">
        <w:rPr>
          <w:rStyle w:val="normaltextrun"/>
          <w:i/>
          <w:iCs/>
          <w:sz w:val="28"/>
          <w:szCs w:val="28"/>
          <w:vertAlign w:val="superscript"/>
        </w:rPr>
        <w:fldChar w:fldCharType="begin" w:fldLock="1"/>
      </w:r>
      <w:r w:rsidR="000469A7">
        <w:rPr>
          <w:rStyle w:val="normaltextrun"/>
          <w:i/>
          <w:iCs/>
          <w:sz w:val="28"/>
          <w:szCs w:val="28"/>
          <w:vertAlign w:val="superscript"/>
        </w:rPr>
        <w:instrText>ADDIN CSL_CITATION {"citationItems":[{"id":"ITEM-1","itemData":{"author":[{"dropping-particle":"","family":"Pokalkar","given":"Dhairyawan","non-dropping-particle":"","parse-names":false,"suffix":""},{"dropping-particle":"","family":"Narisetty","given":"Veena","non-dropping-particle":"","parse-names":false,"suffix":""},{"dropping-particle":"","family":"Polusani","given":"Ranjith","non-dropping-particle":"","parse-names":false,"suffix":""},{"dropping-particle":"","family":"Kamera","given":"Sateesh","non-dropping-particle":"","parse-names":false,"suffix":""},{"dropping-particle":"","family":"Poosarla","given":"Sowjanya S L","non-dropping-particle":"","parse-names":false,"suffix":""}],"id":"ITEM-1","issue":"12","issued":{"date-parts":[["2015"]]},"page":"32-38","title":"A study on topographic variants of Guillain-Barré Syndrome in a tertiary care hospital in South India","type":"article-journal","volume":"2"},"uris":["http://www.mendeley.com/documents/?uuid=d05f0cfa-25cc-4809-bde2-a9fba50ae060"]}],"mendeley":{"formattedCitation":"[8]","plainTextFormattedCitation":"[8]","previouslyFormattedCitation":"[8]"},"properties":{"noteIndex":0},"schema":"https://github.com/citation-style-language/schema/raw/master/csl-citation.json"}</w:instrText>
      </w:r>
      <w:r w:rsidR="007B1D9F">
        <w:rPr>
          <w:rStyle w:val="normaltextrun"/>
          <w:i/>
          <w:iCs/>
          <w:sz w:val="28"/>
          <w:szCs w:val="28"/>
          <w:vertAlign w:val="superscript"/>
        </w:rPr>
        <w:fldChar w:fldCharType="separate"/>
      </w:r>
      <w:r w:rsidR="000469A7" w:rsidRPr="000469A7">
        <w:rPr>
          <w:rStyle w:val="normaltextrun"/>
          <w:iCs/>
          <w:noProof/>
          <w:sz w:val="28"/>
          <w:szCs w:val="28"/>
        </w:rPr>
        <w:t>[8]</w:t>
      </w:r>
      <w:r w:rsidR="007B1D9F">
        <w:rPr>
          <w:rStyle w:val="normaltextrun"/>
          <w:i/>
          <w:iCs/>
          <w:sz w:val="28"/>
          <w:szCs w:val="28"/>
          <w:vertAlign w:val="superscript"/>
        </w:rPr>
        <w:fldChar w:fldCharType="end"/>
      </w:r>
      <w:r w:rsidR="0005587E">
        <w:rPr>
          <w:rStyle w:val="normaltextrun"/>
          <w:color w:val="FF0000"/>
          <w:sz w:val="28"/>
          <w:szCs w:val="28"/>
        </w:rPr>
        <w:t xml:space="preserve"> </w:t>
      </w:r>
      <w:r w:rsidRPr="001553F9">
        <w:rPr>
          <w:rStyle w:val="normaltextrun"/>
          <w:sz w:val="28"/>
          <w:szCs w:val="28"/>
        </w:rPr>
        <w:t xml:space="preserve">Looking at </w:t>
      </w:r>
      <w:r w:rsidR="000A3060">
        <w:rPr>
          <w:rStyle w:val="normaltextrun"/>
          <w:sz w:val="28"/>
          <w:szCs w:val="28"/>
        </w:rPr>
        <w:t xml:space="preserve">the </w:t>
      </w:r>
      <w:r w:rsidRPr="001553F9">
        <w:rPr>
          <w:rStyle w:val="normaltextrun"/>
          <w:sz w:val="28"/>
          <w:szCs w:val="28"/>
        </w:rPr>
        <w:t>available data, it is obvious that paraparetic GBS is not a common variant and we hope our case adds insights into the diagnosis and management of this uncommon variant.</w:t>
      </w:r>
      <w:r w:rsidRPr="001553F9">
        <w:rPr>
          <w:rStyle w:val="eop"/>
          <w:sz w:val="28"/>
          <w:szCs w:val="28"/>
        </w:rPr>
        <w:t> </w:t>
      </w:r>
    </w:p>
    <w:p w:rsidR="00852CB4" w:rsidRPr="001553F9" w:rsidRDefault="00852CB4" w:rsidP="00852CB4">
      <w:pPr>
        <w:pStyle w:val="paragraph"/>
        <w:spacing w:before="0" w:beforeAutospacing="0" w:after="0" w:afterAutospacing="0"/>
        <w:textAlignment w:val="baseline"/>
        <w:rPr>
          <w:sz w:val="28"/>
          <w:szCs w:val="28"/>
        </w:rPr>
      </w:pPr>
      <w:r w:rsidRPr="001553F9">
        <w:rPr>
          <w:rStyle w:val="eop"/>
          <w:sz w:val="28"/>
          <w:szCs w:val="28"/>
        </w:rPr>
        <w:t> </w:t>
      </w:r>
    </w:p>
    <w:p w:rsidR="00852CB4" w:rsidRPr="001553F9" w:rsidRDefault="00852CB4" w:rsidP="00CE7312">
      <w:pPr>
        <w:pStyle w:val="Heading1"/>
        <w:shd w:val="clear" w:color="auto" w:fill="FFFFFF"/>
        <w:spacing w:before="0" w:beforeAutospacing="0" w:after="0" w:afterAutospacing="0" w:line="360" w:lineRule="auto"/>
        <w:jc w:val="both"/>
        <w:rPr>
          <w:rStyle w:val="normaltextrun"/>
          <w:b w:val="0"/>
          <w:bCs w:val="0"/>
          <w:kern w:val="0"/>
          <w:sz w:val="28"/>
          <w:szCs w:val="28"/>
        </w:rPr>
      </w:pPr>
      <w:r w:rsidRPr="001553F9">
        <w:rPr>
          <w:rStyle w:val="normaltextrun"/>
          <w:b w:val="0"/>
          <w:sz w:val="28"/>
          <w:szCs w:val="28"/>
        </w:rPr>
        <w:t xml:space="preserve">With </w:t>
      </w:r>
      <w:r w:rsidR="000A3060">
        <w:rPr>
          <w:rStyle w:val="normaltextrun"/>
          <w:b w:val="0"/>
          <w:sz w:val="28"/>
          <w:szCs w:val="28"/>
        </w:rPr>
        <w:t xml:space="preserve">the </w:t>
      </w:r>
      <w:r w:rsidRPr="001553F9">
        <w:rPr>
          <w:rStyle w:val="normaltextrun"/>
          <w:b w:val="0"/>
          <w:sz w:val="28"/>
          <w:szCs w:val="28"/>
        </w:rPr>
        <w:t xml:space="preserve">aforementioned presentation of </w:t>
      </w:r>
      <w:r w:rsidR="000A3060">
        <w:rPr>
          <w:rStyle w:val="normaltextrun"/>
          <w:b w:val="0"/>
          <w:sz w:val="28"/>
          <w:szCs w:val="28"/>
        </w:rPr>
        <w:t xml:space="preserve">the </w:t>
      </w:r>
      <w:r w:rsidRPr="001553F9">
        <w:rPr>
          <w:rStyle w:val="normaltextrun"/>
          <w:b w:val="0"/>
          <w:sz w:val="28"/>
          <w:szCs w:val="28"/>
        </w:rPr>
        <w:t xml:space="preserve">patient to us, </w:t>
      </w:r>
      <w:r w:rsidR="00F462E6">
        <w:rPr>
          <w:rStyle w:val="normaltextrun"/>
          <w:b w:val="0"/>
          <w:sz w:val="28"/>
          <w:szCs w:val="28"/>
        </w:rPr>
        <w:t xml:space="preserve">common </w:t>
      </w:r>
      <w:r w:rsidRPr="001553F9">
        <w:rPr>
          <w:rStyle w:val="normaltextrun"/>
          <w:b w:val="0"/>
          <w:sz w:val="28"/>
          <w:szCs w:val="28"/>
        </w:rPr>
        <w:t>differentials borne in our mind were transverse myelitis</w:t>
      </w:r>
      <w:r w:rsidR="00F462E6">
        <w:rPr>
          <w:rStyle w:val="normaltextrun"/>
          <w:b w:val="0"/>
          <w:sz w:val="28"/>
          <w:szCs w:val="28"/>
        </w:rPr>
        <w:t xml:space="preserve"> and</w:t>
      </w:r>
      <w:r w:rsidRPr="001553F9">
        <w:rPr>
          <w:rStyle w:val="normaltextrun"/>
          <w:b w:val="0"/>
          <w:sz w:val="28"/>
          <w:szCs w:val="28"/>
        </w:rPr>
        <w:t xml:space="preserve"> cauda equine neuritis</w:t>
      </w:r>
      <w:r w:rsidR="00F462E6">
        <w:rPr>
          <w:rStyle w:val="normaltextrun"/>
          <w:b w:val="0"/>
          <w:sz w:val="28"/>
          <w:szCs w:val="28"/>
        </w:rPr>
        <w:t>.</w:t>
      </w:r>
      <w:r w:rsidRPr="001553F9">
        <w:rPr>
          <w:rStyle w:val="normaltextrun"/>
          <w:b w:val="0"/>
          <w:sz w:val="28"/>
          <w:szCs w:val="28"/>
        </w:rPr>
        <w:t xml:space="preserve"> </w:t>
      </w:r>
      <w:r w:rsidR="00F462E6">
        <w:rPr>
          <w:rStyle w:val="normaltextrun"/>
          <w:b w:val="0"/>
          <w:sz w:val="28"/>
          <w:szCs w:val="28"/>
        </w:rPr>
        <w:t xml:space="preserve">They </w:t>
      </w:r>
      <w:r w:rsidR="00F462E6">
        <w:rPr>
          <w:rStyle w:val="normaltextrun"/>
          <w:b w:val="0"/>
          <w:sz w:val="28"/>
          <w:szCs w:val="28"/>
        </w:rPr>
        <w:lastRenderedPageBreak/>
        <w:t xml:space="preserve">were </w:t>
      </w:r>
      <w:r w:rsidRPr="001553F9">
        <w:rPr>
          <w:rStyle w:val="normaltextrun"/>
          <w:b w:val="0"/>
          <w:sz w:val="28"/>
          <w:szCs w:val="28"/>
        </w:rPr>
        <w:t xml:space="preserve">ruled out on </w:t>
      </w:r>
      <w:r w:rsidR="00F462E6">
        <w:rPr>
          <w:rStyle w:val="normaltextrun"/>
          <w:b w:val="0"/>
          <w:sz w:val="28"/>
          <w:szCs w:val="28"/>
        </w:rPr>
        <w:t xml:space="preserve">the </w:t>
      </w:r>
      <w:r w:rsidRPr="001553F9">
        <w:rPr>
          <w:rStyle w:val="normaltextrun"/>
          <w:b w:val="0"/>
          <w:sz w:val="28"/>
          <w:szCs w:val="28"/>
        </w:rPr>
        <w:t xml:space="preserve">basis of absence of </w:t>
      </w:r>
      <w:r w:rsidR="000A3060">
        <w:rPr>
          <w:rStyle w:val="normaltextrun"/>
          <w:b w:val="0"/>
          <w:sz w:val="28"/>
          <w:szCs w:val="28"/>
        </w:rPr>
        <w:t xml:space="preserve">a </w:t>
      </w:r>
      <w:r w:rsidRPr="001553F9">
        <w:rPr>
          <w:rStyle w:val="normaltextrun"/>
          <w:b w:val="0"/>
          <w:sz w:val="28"/>
          <w:szCs w:val="28"/>
        </w:rPr>
        <w:t xml:space="preserve">discrete spinal cord lesion on spinal MRI, absence of </w:t>
      </w:r>
      <w:r w:rsidR="00F5082C" w:rsidRPr="001553F9">
        <w:rPr>
          <w:rStyle w:val="normaltextrun"/>
          <w:b w:val="0"/>
          <w:sz w:val="28"/>
          <w:szCs w:val="28"/>
        </w:rPr>
        <w:t>well-defined</w:t>
      </w:r>
      <w:r w:rsidRPr="001553F9">
        <w:rPr>
          <w:rStyle w:val="normaltextrun"/>
          <w:b w:val="0"/>
          <w:sz w:val="28"/>
          <w:szCs w:val="28"/>
        </w:rPr>
        <w:t xml:space="preserve"> sensory l</w:t>
      </w:r>
      <w:r w:rsidR="00130A27" w:rsidRPr="001553F9">
        <w:rPr>
          <w:rStyle w:val="normaltextrun"/>
          <w:b w:val="0"/>
          <w:sz w:val="28"/>
          <w:szCs w:val="28"/>
        </w:rPr>
        <w:t>evel</w:t>
      </w:r>
      <w:r w:rsidR="000A3060">
        <w:rPr>
          <w:rStyle w:val="normaltextrun"/>
          <w:b w:val="0"/>
          <w:sz w:val="28"/>
          <w:szCs w:val="28"/>
        </w:rPr>
        <w:t>s</w:t>
      </w:r>
      <w:r w:rsidR="00F462E6">
        <w:rPr>
          <w:rStyle w:val="normaltextrun"/>
          <w:b w:val="0"/>
          <w:sz w:val="28"/>
          <w:szCs w:val="28"/>
        </w:rPr>
        <w:t>, or bowel and bladder involvement</w:t>
      </w:r>
      <w:r w:rsidR="00130A27" w:rsidRPr="001553F9">
        <w:rPr>
          <w:rStyle w:val="normaltextrun"/>
          <w:b w:val="0"/>
          <w:sz w:val="28"/>
          <w:szCs w:val="28"/>
        </w:rPr>
        <w:t>. Spinal cord compression</w:t>
      </w:r>
      <w:r w:rsidR="00D016FE">
        <w:rPr>
          <w:rStyle w:val="normaltextrun"/>
          <w:b w:val="0"/>
          <w:sz w:val="28"/>
          <w:szCs w:val="28"/>
        </w:rPr>
        <w:t xml:space="preserve"> </w:t>
      </w:r>
      <w:r w:rsidR="004123E3">
        <w:rPr>
          <w:rStyle w:val="normaltextrun"/>
          <w:b w:val="0"/>
          <w:sz w:val="28"/>
          <w:szCs w:val="28"/>
        </w:rPr>
        <w:t>secondary</w:t>
      </w:r>
      <w:r w:rsidR="00D016FE">
        <w:rPr>
          <w:rStyle w:val="normaltextrun"/>
          <w:b w:val="0"/>
          <w:sz w:val="28"/>
          <w:szCs w:val="28"/>
        </w:rPr>
        <w:t xml:space="preserve"> to</w:t>
      </w:r>
      <w:r w:rsidRPr="001553F9">
        <w:rPr>
          <w:rStyle w:val="normaltextrun"/>
          <w:b w:val="0"/>
          <w:sz w:val="28"/>
          <w:szCs w:val="28"/>
        </w:rPr>
        <w:t xml:space="preserve"> spondylodiscitis, leptomeningeal malignancy, lymphoma, intramedullary primary spinal cord tumor were excluded due to </w:t>
      </w:r>
      <w:r w:rsidR="000A3060">
        <w:rPr>
          <w:rStyle w:val="normaltextrun"/>
          <w:b w:val="0"/>
          <w:sz w:val="28"/>
          <w:szCs w:val="28"/>
        </w:rPr>
        <w:t xml:space="preserve">the </w:t>
      </w:r>
      <w:r w:rsidRPr="001553F9">
        <w:rPr>
          <w:rStyle w:val="normaltextrun"/>
          <w:b w:val="0"/>
          <w:sz w:val="28"/>
          <w:szCs w:val="28"/>
        </w:rPr>
        <w:t>absence of corresponding findings on spinal MRI. Infecti</w:t>
      </w:r>
      <w:r w:rsidR="000A3060">
        <w:rPr>
          <w:rStyle w:val="normaltextrun"/>
          <w:b w:val="0"/>
          <w:sz w:val="28"/>
          <w:szCs w:val="28"/>
        </w:rPr>
        <w:t>on</w:t>
      </w:r>
      <w:r w:rsidR="00596912">
        <w:rPr>
          <w:rStyle w:val="normaltextrun"/>
          <w:b w:val="0"/>
          <w:sz w:val="28"/>
          <w:szCs w:val="28"/>
        </w:rPr>
        <w:t xml:space="preserve"> </w:t>
      </w:r>
      <w:r w:rsidRPr="001553F9">
        <w:rPr>
          <w:rStyle w:val="normaltextrun"/>
          <w:b w:val="0"/>
          <w:sz w:val="28"/>
          <w:szCs w:val="28"/>
        </w:rPr>
        <w:t>(Cytomegalovirus,</w:t>
      </w:r>
      <w:r w:rsidR="000B73B5">
        <w:rPr>
          <w:rStyle w:val="normaltextrun"/>
          <w:b w:val="0"/>
          <w:sz w:val="28"/>
          <w:szCs w:val="28"/>
        </w:rPr>
        <w:t xml:space="preserve"> </w:t>
      </w:r>
      <w:r w:rsidRPr="001553F9">
        <w:rPr>
          <w:rStyle w:val="normaltextrun"/>
          <w:b w:val="0"/>
          <w:sz w:val="28"/>
          <w:szCs w:val="28"/>
        </w:rPr>
        <w:t>HIV), inflammation</w:t>
      </w:r>
      <w:r w:rsidR="000B73B5">
        <w:rPr>
          <w:rStyle w:val="normaltextrun"/>
          <w:b w:val="0"/>
          <w:sz w:val="28"/>
          <w:szCs w:val="28"/>
        </w:rPr>
        <w:t xml:space="preserve"> </w:t>
      </w:r>
      <w:r w:rsidR="000A3060">
        <w:rPr>
          <w:rStyle w:val="normaltextrun"/>
          <w:b w:val="0"/>
          <w:sz w:val="28"/>
          <w:szCs w:val="28"/>
        </w:rPr>
        <w:t>(eg,</w:t>
      </w:r>
      <w:r w:rsidRPr="001553F9">
        <w:rPr>
          <w:rStyle w:val="normaltextrun"/>
          <w:b w:val="0"/>
          <w:sz w:val="28"/>
          <w:szCs w:val="28"/>
        </w:rPr>
        <w:t xml:space="preserve"> Sarcoidosis), endocrine (diabetes mellitus</w:t>
      </w:r>
      <w:r w:rsidR="00B10C0C">
        <w:rPr>
          <w:rStyle w:val="normaltextrun"/>
          <w:b w:val="0"/>
          <w:sz w:val="28"/>
          <w:szCs w:val="28"/>
        </w:rPr>
        <w:t>, hypothy</w:t>
      </w:r>
      <w:r w:rsidR="007570E2">
        <w:rPr>
          <w:rStyle w:val="normaltextrun"/>
          <w:b w:val="0"/>
          <w:sz w:val="28"/>
          <w:szCs w:val="28"/>
        </w:rPr>
        <w:t>roidism</w:t>
      </w:r>
      <w:r w:rsidRPr="001553F9">
        <w:rPr>
          <w:rStyle w:val="normaltextrun"/>
          <w:b w:val="0"/>
          <w:sz w:val="28"/>
          <w:szCs w:val="28"/>
        </w:rPr>
        <w:t xml:space="preserve">) </w:t>
      </w:r>
      <w:r w:rsidR="00596912">
        <w:rPr>
          <w:rStyle w:val="normaltextrun"/>
          <w:b w:val="0"/>
          <w:sz w:val="28"/>
          <w:szCs w:val="28"/>
        </w:rPr>
        <w:t xml:space="preserve">conditions </w:t>
      </w:r>
      <w:r w:rsidRPr="001553F9">
        <w:rPr>
          <w:rStyle w:val="normaltextrun"/>
          <w:b w:val="0"/>
          <w:sz w:val="28"/>
          <w:szCs w:val="28"/>
        </w:rPr>
        <w:t xml:space="preserve">were ruled out on </w:t>
      </w:r>
      <w:r w:rsidR="00596912">
        <w:rPr>
          <w:rStyle w:val="normaltextrun"/>
          <w:b w:val="0"/>
          <w:sz w:val="28"/>
          <w:szCs w:val="28"/>
        </w:rPr>
        <w:t xml:space="preserve">the </w:t>
      </w:r>
      <w:r w:rsidRPr="001553F9">
        <w:rPr>
          <w:rStyle w:val="normaltextrun"/>
          <w:b w:val="0"/>
          <w:sz w:val="28"/>
          <w:szCs w:val="28"/>
        </w:rPr>
        <w:t xml:space="preserve">basis of </w:t>
      </w:r>
      <w:r w:rsidR="007570E2">
        <w:rPr>
          <w:rStyle w:val="normaltextrun"/>
          <w:b w:val="0"/>
          <w:sz w:val="28"/>
          <w:szCs w:val="28"/>
        </w:rPr>
        <w:t>laboratory and CSF findings</w:t>
      </w:r>
      <w:r w:rsidRPr="001553F9">
        <w:rPr>
          <w:rStyle w:val="normaltextrun"/>
          <w:b w:val="0"/>
          <w:sz w:val="28"/>
          <w:szCs w:val="28"/>
        </w:rPr>
        <w:t xml:space="preserve">. </w:t>
      </w:r>
    </w:p>
    <w:p w:rsidR="00852CB4" w:rsidRPr="001553F9" w:rsidRDefault="00852CB4" w:rsidP="00852CB4">
      <w:pPr>
        <w:pStyle w:val="paragraph"/>
        <w:spacing w:before="0" w:beforeAutospacing="0" w:after="0" w:afterAutospacing="0"/>
        <w:jc w:val="both"/>
        <w:textAlignment w:val="baseline"/>
        <w:rPr>
          <w:rStyle w:val="normaltextrun"/>
          <w:sz w:val="28"/>
          <w:szCs w:val="28"/>
        </w:rPr>
      </w:pPr>
    </w:p>
    <w:p w:rsidR="00130A27" w:rsidRPr="001553F9" w:rsidRDefault="000A3060" w:rsidP="00CE7312">
      <w:pPr>
        <w:widowControl w:val="0"/>
        <w:autoSpaceDE w:val="0"/>
        <w:autoSpaceDN w:val="0"/>
        <w:adjustRightInd w:val="0"/>
        <w:spacing w:line="360" w:lineRule="auto"/>
        <w:jc w:val="both"/>
        <w:rPr>
          <w:sz w:val="28"/>
          <w:szCs w:val="28"/>
        </w:rPr>
      </w:pPr>
      <w:r>
        <w:rPr>
          <w:rStyle w:val="normaltextrun"/>
          <w:sz w:val="28"/>
          <w:szCs w:val="28"/>
        </w:rPr>
        <w:t>In o</w:t>
      </w:r>
      <w:r w:rsidR="00852CB4" w:rsidRPr="001553F9">
        <w:rPr>
          <w:rStyle w:val="normaltextrun"/>
          <w:sz w:val="28"/>
          <w:szCs w:val="28"/>
        </w:rPr>
        <w:t>ur case, a paraparetic variant of GBS</w:t>
      </w:r>
      <w:r>
        <w:rPr>
          <w:rStyle w:val="normaltextrun"/>
          <w:sz w:val="28"/>
          <w:szCs w:val="28"/>
        </w:rPr>
        <w:t>,</w:t>
      </w:r>
      <w:r w:rsidR="00852CB4" w:rsidRPr="001553F9">
        <w:rPr>
          <w:rStyle w:val="normaltextrun"/>
          <w:sz w:val="28"/>
          <w:szCs w:val="28"/>
        </w:rPr>
        <w:t xml:space="preserve"> is confirmed by clinical symptoms, characteristics of disease progression and improvement, CSF findings, electrodiagnostic tests and ruling out focal lesion</w:t>
      </w:r>
      <w:r>
        <w:rPr>
          <w:rStyle w:val="normaltextrun"/>
          <w:sz w:val="28"/>
          <w:szCs w:val="28"/>
        </w:rPr>
        <w:t>s</w:t>
      </w:r>
      <w:r w:rsidR="00852CB4" w:rsidRPr="001553F9">
        <w:rPr>
          <w:rStyle w:val="normaltextrun"/>
          <w:sz w:val="28"/>
          <w:szCs w:val="28"/>
        </w:rPr>
        <w:t xml:space="preserve"> by neuroimaging. There was also a history of an antecedent upper respiratory tract viral infection </w:t>
      </w:r>
      <w:r w:rsidR="00C21CC9">
        <w:rPr>
          <w:rStyle w:val="normaltextrun"/>
          <w:sz w:val="28"/>
          <w:szCs w:val="28"/>
        </w:rPr>
        <w:t>which has been reported</w:t>
      </w:r>
      <w:r w:rsidR="00852CB4" w:rsidRPr="001553F9">
        <w:rPr>
          <w:rStyle w:val="normaltextrun"/>
          <w:sz w:val="28"/>
          <w:szCs w:val="28"/>
        </w:rPr>
        <w:t xml:space="preserve"> in </w:t>
      </w:r>
      <w:r w:rsidR="00C21CC9">
        <w:rPr>
          <w:rStyle w:val="normaltextrun"/>
          <w:sz w:val="28"/>
          <w:szCs w:val="28"/>
        </w:rPr>
        <w:t xml:space="preserve">about </w:t>
      </w:r>
      <w:r w:rsidR="00852CB4" w:rsidRPr="001553F9">
        <w:rPr>
          <w:rStyle w:val="normaltextrun"/>
          <w:sz w:val="28"/>
          <w:szCs w:val="28"/>
        </w:rPr>
        <w:t>25% of total paraparetic GBS.</w:t>
      </w:r>
      <w:r w:rsidR="002A3947" w:rsidRPr="001553F9">
        <w:rPr>
          <w:i/>
          <w:iCs/>
          <w:sz w:val="28"/>
          <w:szCs w:val="28"/>
          <w:vertAlign w:val="superscript"/>
        </w:rPr>
        <w:t xml:space="preserve"> </w:t>
      </w:r>
      <w:r w:rsidR="007B1D9F">
        <w:rPr>
          <w:i/>
          <w:iCs/>
          <w:sz w:val="28"/>
          <w:szCs w:val="28"/>
          <w:vertAlign w:val="superscript"/>
        </w:rPr>
        <w:fldChar w:fldCharType="begin" w:fldLock="1"/>
      </w:r>
      <w:r w:rsidR="000469A7">
        <w:rPr>
          <w:i/>
          <w:iCs/>
          <w:sz w:val="28"/>
          <w:szCs w:val="28"/>
          <w:vertAlign w:val="superscript"/>
        </w:rPr>
        <w:instrText>ADDIN CSL_CITATION {"citationItems":[{"id":"ITEM-1","itemData":{"DOI":"10.1016/j.clineuro.2017.05.006","ISSN":"1872-6968 (Electronic)","PMID":"28514704","abstract":"OBJECTIVES: This study aimed to evaluate the clinical and electrophysiological  characteristics of various distinctive classical and localised Guillain-Barré syndrome (GBS) subtypes. PATIENTS AND METHODS: Clinical characteristics and electrophysiological data of sixty-one consecutive patients admitted between 2012 and 2015 were systematically analysed and reclassified according to the new GBS clinical classification. Neurophysiology was evaluated with Hadden et al.'s vs recently proposed Rajabally et al.'s criteria. Functional severity and clinical outcome of various GBS subtypes were ascertained. RESULTS: All patients initially identified as GBS or related disorders can be sub-classified into having classical GBS (41, 67%), classic Miller-Fisher Syndrome (MFS) (6, 10%), Pharyngeal-cervical-brachial (PCB) (3, 5%), paraparetic GBS (4, 7%), bifacial weakness with paresthesia (3, 5%), acute ophthalmoparesis (AO) (1, 2%) and overlap syndrome (3, 5%): one (2%) with GBS/Bickerstaff brainstem encephalitis overlap and 2 (3%) with GBS/MFS overlap. Greater proportion of axonal classical GBS (67% vs 55%, p=0.372) seen with Rajabally et al.'s criteria and a predominantly axonal form of paraparetic variant (75%) independent of electrodiagnostic criteria were more representative of Asian GBS cohort. Classical GBS patients had lowest admission and discharge Medical Research Council Sum Score (MRCSS), greater functional disability and longest length of in-patient stay. Twenty (20/21, 95%) patients who needed mechanical ventilation had classical GBS. Patients required repeated dose of intravenous immunoglobulin (5/6, 3%) or plasma exchange (4/4, 100%) more frequently had axonal form of classical GBS. CONCLUSION: Phenotype recognition based on new GBS clinical classification, supported by electrodiagnostic study permits more precise clinical subtypes determination and outcome prognostication.","author":[{"dropping-particle":"","family":"Hiew","given":"Fu Liong","non-dropping-particle":"","parse-names":false,"suffix":""},{"dropping-particle":"","family":"Ramlan","given":"Rahmansah","non-dropping-particle":"","parse-names":false,"suffix":""},{"dropping-particle":"","family":"Viswanathan","given":"Shanthi","non-dropping-particle":"","parse-names":false,"suffix":""},{"dropping-particle":"","family":"Puvanarajah","given":"Santhi","non-dropping-particle":"","parse-names":false,"suffix":""}],"container-title":"Clinical neurology and neurosurgery","id":"ITEM-1","issued":{"date-parts":[["2017","7"]]},"language":"eng","page":"114-118","publisher-place":"Netherlands","title":"Guillain-Barré Syndrome, variants &amp; forms fruste: Reclassification with new  criteria.","type":"article-journal","volume":"158"},"uris":["http://www.mendeley.com/documents/?uuid=61a233aa-01be-4963-9818-9e1b793d05c9"]}],"mendeley":{"formattedCitation":"[7]","plainTextFormattedCitation":"[7]","previouslyFormattedCitation":"[7]"},"properties":{"noteIndex":0},"schema":"https://github.com/citation-style-language/schema/raw/master/csl-citation.json"}</w:instrText>
      </w:r>
      <w:r w:rsidR="007B1D9F">
        <w:rPr>
          <w:i/>
          <w:iCs/>
          <w:sz w:val="28"/>
          <w:szCs w:val="28"/>
          <w:vertAlign w:val="superscript"/>
        </w:rPr>
        <w:fldChar w:fldCharType="separate"/>
      </w:r>
      <w:r w:rsidR="000469A7" w:rsidRPr="000469A7">
        <w:rPr>
          <w:iCs/>
          <w:noProof/>
          <w:sz w:val="28"/>
          <w:szCs w:val="28"/>
        </w:rPr>
        <w:t>[7]</w:t>
      </w:r>
      <w:r w:rsidR="007B1D9F">
        <w:rPr>
          <w:i/>
          <w:iCs/>
          <w:sz w:val="28"/>
          <w:szCs w:val="28"/>
          <w:vertAlign w:val="superscript"/>
        </w:rPr>
        <w:fldChar w:fldCharType="end"/>
      </w:r>
      <w:r w:rsidR="007226CF">
        <w:rPr>
          <w:i/>
          <w:iCs/>
          <w:sz w:val="28"/>
          <w:szCs w:val="28"/>
          <w:vertAlign w:val="superscript"/>
        </w:rPr>
        <w:t xml:space="preserve"> </w:t>
      </w:r>
      <w:r w:rsidR="00852CB4" w:rsidRPr="001553F9">
        <w:rPr>
          <w:rStyle w:val="normaltextrun"/>
          <w:sz w:val="28"/>
          <w:szCs w:val="28"/>
        </w:rPr>
        <w:t>Throughout the course of</w:t>
      </w:r>
      <w:r>
        <w:rPr>
          <w:rStyle w:val="normaltextrun"/>
          <w:sz w:val="28"/>
          <w:szCs w:val="28"/>
        </w:rPr>
        <w:t xml:space="preserve"> the</w:t>
      </w:r>
      <w:r w:rsidR="00852CB4" w:rsidRPr="001553F9">
        <w:rPr>
          <w:rStyle w:val="normaltextrun"/>
          <w:sz w:val="28"/>
          <w:szCs w:val="28"/>
        </w:rPr>
        <w:t xml:space="preserve"> illness</w:t>
      </w:r>
      <w:r w:rsidR="00685006">
        <w:rPr>
          <w:rStyle w:val="normaltextrun"/>
          <w:sz w:val="28"/>
          <w:szCs w:val="28"/>
        </w:rPr>
        <w:t>,</w:t>
      </w:r>
      <w:r w:rsidR="00852CB4" w:rsidRPr="001553F9">
        <w:rPr>
          <w:rStyle w:val="normaltextrun"/>
          <w:sz w:val="28"/>
          <w:szCs w:val="28"/>
        </w:rPr>
        <w:t xml:space="preserve"> our patient had </w:t>
      </w:r>
      <w:r w:rsidR="000619D3">
        <w:rPr>
          <w:rStyle w:val="normaltextrun"/>
          <w:sz w:val="28"/>
          <w:szCs w:val="28"/>
        </w:rPr>
        <w:t xml:space="preserve">an </w:t>
      </w:r>
      <w:r w:rsidR="00852CB4" w:rsidRPr="001553F9">
        <w:rPr>
          <w:rStyle w:val="normaltextrun"/>
          <w:sz w:val="28"/>
          <w:szCs w:val="28"/>
        </w:rPr>
        <w:t>intact sensory system a</w:t>
      </w:r>
      <w:r w:rsidR="00685006">
        <w:rPr>
          <w:rStyle w:val="normaltextrun"/>
          <w:sz w:val="28"/>
          <w:szCs w:val="28"/>
        </w:rPr>
        <w:t>nd deep tendon</w:t>
      </w:r>
      <w:r w:rsidR="00852CB4" w:rsidRPr="001553F9">
        <w:rPr>
          <w:rStyle w:val="normaltextrun"/>
          <w:sz w:val="28"/>
          <w:szCs w:val="28"/>
        </w:rPr>
        <w:t xml:space="preserve"> reflexes and NCT of </w:t>
      </w:r>
      <w:r w:rsidR="000619D3">
        <w:rPr>
          <w:rStyle w:val="normaltextrun"/>
          <w:sz w:val="28"/>
          <w:szCs w:val="28"/>
        </w:rPr>
        <w:t xml:space="preserve">the </w:t>
      </w:r>
      <w:r w:rsidR="00852CB4" w:rsidRPr="001553F9">
        <w:rPr>
          <w:rStyle w:val="normaltextrun"/>
          <w:sz w:val="28"/>
          <w:szCs w:val="28"/>
        </w:rPr>
        <w:t>upper limbs</w:t>
      </w:r>
      <w:r w:rsidR="00685006">
        <w:rPr>
          <w:rStyle w:val="normaltextrun"/>
          <w:sz w:val="28"/>
          <w:szCs w:val="28"/>
        </w:rPr>
        <w:t>.</w:t>
      </w:r>
      <w:r w:rsidR="00852CB4" w:rsidRPr="001553F9">
        <w:rPr>
          <w:rStyle w:val="normaltextrun"/>
          <w:sz w:val="28"/>
          <w:szCs w:val="28"/>
        </w:rPr>
        <w:t xml:space="preserve"> </w:t>
      </w:r>
      <w:r w:rsidR="00685006">
        <w:rPr>
          <w:rStyle w:val="normaltextrun"/>
          <w:sz w:val="28"/>
          <w:szCs w:val="28"/>
        </w:rPr>
        <w:t>However,</w:t>
      </w:r>
      <w:r w:rsidR="00852CB4" w:rsidRPr="001553F9">
        <w:rPr>
          <w:rStyle w:val="normaltextrun"/>
          <w:sz w:val="28"/>
          <w:szCs w:val="28"/>
        </w:rPr>
        <w:t xml:space="preserve"> </w:t>
      </w:r>
      <w:r w:rsidR="00852CB4" w:rsidRPr="000619D3">
        <w:rPr>
          <w:rStyle w:val="normaltextrun"/>
          <w:i/>
          <w:sz w:val="28"/>
          <w:szCs w:val="28"/>
        </w:rPr>
        <w:t>Berg et</w:t>
      </w:r>
      <w:r w:rsidR="000619D3">
        <w:rPr>
          <w:rStyle w:val="normaltextrun"/>
          <w:i/>
          <w:sz w:val="28"/>
          <w:szCs w:val="28"/>
        </w:rPr>
        <w:t>.</w:t>
      </w:r>
      <w:r w:rsidR="00852CB4" w:rsidRPr="000619D3">
        <w:rPr>
          <w:rStyle w:val="normaltextrun"/>
          <w:i/>
          <w:sz w:val="28"/>
          <w:szCs w:val="28"/>
        </w:rPr>
        <w:t xml:space="preserve"> al</w:t>
      </w:r>
      <w:r w:rsidR="00852CB4" w:rsidRPr="001553F9">
        <w:rPr>
          <w:rStyle w:val="normaltextrun"/>
          <w:sz w:val="28"/>
          <w:szCs w:val="28"/>
        </w:rPr>
        <w:t xml:space="preserve"> </w:t>
      </w:r>
      <w:r w:rsidR="00685006">
        <w:rPr>
          <w:rStyle w:val="normaltextrun"/>
          <w:sz w:val="28"/>
          <w:szCs w:val="28"/>
        </w:rPr>
        <w:t>has</w:t>
      </w:r>
      <w:r w:rsidR="00685006" w:rsidRPr="001553F9">
        <w:rPr>
          <w:rStyle w:val="normaltextrun"/>
          <w:sz w:val="28"/>
          <w:szCs w:val="28"/>
        </w:rPr>
        <w:t xml:space="preserve"> </w:t>
      </w:r>
      <w:r w:rsidR="000619D3">
        <w:rPr>
          <w:rStyle w:val="normaltextrun"/>
          <w:sz w:val="28"/>
          <w:szCs w:val="28"/>
        </w:rPr>
        <w:t>reported sensory abnormalities</w:t>
      </w:r>
      <w:r w:rsidR="00852CB4" w:rsidRPr="001553F9">
        <w:rPr>
          <w:rStyle w:val="normaltextrun"/>
          <w:sz w:val="28"/>
          <w:szCs w:val="28"/>
        </w:rPr>
        <w:t xml:space="preserve"> or loss / absence of reflexes in </w:t>
      </w:r>
      <w:r w:rsidR="000619D3">
        <w:rPr>
          <w:rStyle w:val="normaltextrun"/>
          <w:sz w:val="28"/>
          <w:szCs w:val="28"/>
        </w:rPr>
        <w:t xml:space="preserve">the </w:t>
      </w:r>
      <w:r w:rsidR="00852CB4" w:rsidRPr="001553F9">
        <w:rPr>
          <w:rStyle w:val="normaltextrun"/>
          <w:sz w:val="28"/>
          <w:szCs w:val="28"/>
        </w:rPr>
        <w:t>upper limbs or abnormal NCS in</w:t>
      </w:r>
      <w:r w:rsidR="000619D3">
        <w:rPr>
          <w:rStyle w:val="normaltextrun"/>
          <w:sz w:val="28"/>
          <w:szCs w:val="28"/>
        </w:rPr>
        <w:t xml:space="preserve"> the</w:t>
      </w:r>
      <w:r w:rsidR="00852CB4" w:rsidRPr="001553F9">
        <w:rPr>
          <w:rStyle w:val="normaltextrun"/>
          <w:sz w:val="28"/>
          <w:szCs w:val="28"/>
        </w:rPr>
        <w:t xml:space="preserve"> upper limbs in 98% of 40 paraparetic GBS. </w:t>
      </w:r>
      <w:r w:rsidR="004E39DE">
        <w:rPr>
          <w:rStyle w:val="normaltextrun"/>
          <w:sz w:val="28"/>
          <w:szCs w:val="28"/>
        </w:rPr>
        <w:t>One limi</w:t>
      </w:r>
      <w:r w:rsidR="00FF645B">
        <w:rPr>
          <w:rStyle w:val="normaltextrun"/>
          <w:sz w:val="28"/>
          <w:szCs w:val="28"/>
        </w:rPr>
        <w:t>t</w:t>
      </w:r>
      <w:r w:rsidR="004E39DE">
        <w:rPr>
          <w:rStyle w:val="normaltextrun"/>
          <w:sz w:val="28"/>
          <w:szCs w:val="28"/>
        </w:rPr>
        <w:t xml:space="preserve">ation could be </w:t>
      </w:r>
      <w:r w:rsidR="008E1016">
        <w:rPr>
          <w:rStyle w:val="normaltextrun"/>
          <w:sz w:val="28"/>
          <w:szCs w:val="28"/>
        </w:rPr>
        <w:t xml:space="preserve">that </w:t>
      </w:r>
      <w:r w:rsidR="004E39DE">
        <w:rPr>
          <w:rStyle w:val="normaltextrun"/>
          <w:sz w:val="28"/>
          <w:szCs w:val="28"/>
        </w:rPr>
        <w:t>we were unable to do</w:t>
      </w:r>
      <w:r w:rsidR="00852CB4" w:rsidRPr="001553F9">
        <w:rPr>
          <w:rStyle w:val="normaltextrun"/>
          <w:sz w:val="28"/>
          <w:szCs w:val="28"/>
        </w:rPr>
        <w:t xml:space="preserve"> serial NCTs</w:t>
      </w:r>
      <w:r w:rsidR="004E39DE">
        <w:rPr>
          <w:rStyle w:val="normaltextrun"/>
          <w:sz w:val="28"/>
          <w:szCs w:val="28"/>
        </w:rPr>
        <w:t xml:space="preserve"> in our patient</w:t>
      </w:r>
      <w:r w:rsidR="00852CB4" w:rsidRPr="001553F9">
        <w:rPr>
          <w:rStyle w:val="normaltextrun"/>
          <w:sz w:val="28"/>
          <w:szCs w:val="28"/>
        </w:rPr>
        <w:t>.</w:t>
      </w:r>
      <w:r w:rsidR="007B1D9F">
        <w:rPr>
          <w:rStyle w:val="normaltextrun"/>
          <w:sz w:val="28"/>
          <w:szCs w:val="28"/>
        </w:rPr>
        <w:fldChar w:fldCharType="begin" w:fldLock="1"/>
      </w:r>
      <w:r w:rsidR="000469A7">
        <w:rPr>
          <w:rStyle w:val="normaltextrun"/>
          <w:sz w:val="28"/>
          <w:szCs w:val="28"/>
        </w:rPr>
        <w:instrText>ADDIN CSL_CITATION {"citationItems":[{"id":"ITEM-1","itemData":{"DOI":"10.1212/WNL.0000000000000481","ISSN":"1526-632X (Electronic)","PMID":"24808021","abstract":"OBJECTIVE: To define the clinical and diagnostic characteristics of paraparetic  Guillain-Barré syndrome (GBS) with weakness restricted to the legs, compared with the classic quadriparetic GBS. METHODS: Prospectively collected data from a cohort of 490 patients with GBS, previously involved in therapeutic or clinical studies, were used to define the demography, clinical presentation, diagnostic investigations, and clinical course in patients with paraparesis during a 6-month follow-up. RESULTS: Forty patients (8%) presented with a paraparesis without weakness of arms and hands. In 29 patients (73%), normal strength of upper extremities persisted during the follow-up period. Patients with paraparesis compared to patients with quadriparesis had a milder form of GBS, with less frequent cranial nerve involvement and less severe leg weakness, despite the fact that the majority of these patients were unable to walk unaided. Median time between onset of weakness and study entry was 6 days (interquartile range 4-11 days) for patients with paraparesis compared with 5 days (interquartile range 3-8 days) for patients with quadriparesis (p = 0.031). Fifty percent of patients with paraparesis presented with arm sensory deficits and 73% had reduced or absent arm reflexes. Nerve conduction studies demonstrated arm nerve involvement in 89% of these patients. At 6 months of follow-up, 98% of patients with paraparesis were able to walk unaided compared with 81% of the patients with quadriparesis (p = 0.008). There was no association between paraparesis and age, sex, or preceding infections. CONCLUSIONS: Paraparesis is an atypical clinical presentation or subform of GBS in which the diagnosis is usually supported by the presence of sensory deficits, reduced reflexes, or abnormal nerve conduction of the arms.","author":[{"dropping-particle":"","family":"Berg","given":"Bianca","non-dropping-particle":"van den","parse-names":false,"suffix":""},{"dropping-particle":"","family":"Fokke","given":"Christiaan","non-dropping-particle":"","parse-names":false,"suffix":""},{"dropping-particle":"","family":"Drenthen","given":"Judith","non-dropping-particle":"","parse-names":false,"suffix":""},{"dropping-particle":"","family":"Doorn","given":"Pieter A","non-dropping-particle":"van","parse-names":false,"suffix":""},{"dropping-particle":"","family":"Jacobs","given":"Bart C","non-dropping-particle":"","parse-names":false,"suffix":""}],"container-title":"Neurology","id":"ITEM-1","issue":"22","issued":{"date-parts":[["2014","6"]]},"language":"eng","page":"1984-1989","publisher-place":"United States","title":"Paraparetic Guillain-Barré syndrome.","type":"article-journal","volume":"82"},"uris":["http://www.mendeley.com/documents/?uuid=1fa01b7b-5ad8-4342-9537-e5e93872cc36"]}],"mendeley":{"formattedCitation":"[5]","plainTextFormattedCitation":"[5]","previouslyFormattedCitation":"[5]"},"properties":{"noteIndex":0},"schema":"https://github.com/citation-style-language/schema/raw/master/csl-citation.json"}</w:instrText>
      </w:r>
      <w:r w:rsidR="007B1D9F">
        <w:rPr>
          <w:rStyle w:val="normaltextrun"/>
          <w:sz w:val="28"/>
          <w:szCs w:val="28"/>
        </w:rPr>
        <w:fldChar w:fldCharType="separate"/>
      </w:r>
      <w:r w:rsidR="000469A7" w:rsidRPr="000469A7">
        <w:rPr>
          <w:rStyle w:val="normaltextrun"/>
          <w:noProof/>
          <w:sz w:val="28"/>
          <w:szCs w:val="28"/>
        </w:rPr>
        <w:t>[5]</w:t>
      </w:r>
      <w:r w:rsidR="007B1D9F">
        <w:rPr>
          <w:rStyle w:val="normaltextrun"/>
          <w:sz w:val="28"/>
          <w:szCs w:val="28"/>
        </w:rPr>
        <w:fldChar w:fldCharType="end"/>
      </w:r>
      <w:r w:rsidR="000469A7">
        <w:rPr>
          <w:rStyle w:val="normaltextrun"/>
          <w:sz w:val="28"/>
          <w:szCs w:val="28"/>
        </w:rPr>
        <w:t xml:space="preserve"> </w:t>
      </w:r>
      <w:r w:rsidR="00852CB4" w:rsidRPr="001553F9">
        <w:rPr>
          <w:rStyle w:val="normaltextrun"/>
          <w:sz w:val="28"/>
          <w:szCs w:val="28"/>
        </w:rPr>
        <w:t xml:space="preserve">In </w:t>
      </w:r>
      <w:r w:rsidR="00671E59">
        <w:rPr>
          <w:rStyle w:val="normaltextrun"/>
          <w:sz w:val="28"/>
          <w:szCs w:val="28"/>
        </w:rPr>
        <w:t>a study of</w:t>
      </w:r>
      <w:r w:rsidR="00852CB4" w:rsidRPr="001553F9">
        <w:rPr>
          <w:rStyle w:val="normaltextrun"/>
          <w:sz w:val="28"/>
          <w:szCs w:val="28"/>
        </w:rPr>
        <w:t xml:space="preserve"> </w:t>
      </w:r>
      <w:r w:rsidR="00852CB4" w:rsidRPr="000619D3">
        <w:rPr>
          <w:rStyle w:val="normaltextrun"/>
          <w:i/>
          <w:sz w:val="28"/>
          <w:szCs w:val="28"/>
        </w:rPr>
        <w:t xml:space="preserve">Hiew et. </w:t>
      </w:r>
      <w:r w:rsidR="00671E59" w:rsidRPr="000619D3">
        <w:rPr>
          <w:rStyle w:val="normaltextrun"/>
          <w:i/>
          <w:sz w:val="28"/>
          <w:szCs w:val="28"/>
        </w:rPr>
        <w:t>al</w:t>
      </w:r>
      <w:r w:rsidR="00852CB4" w:rsidRPr="001553F9">
        <w:rPr>
          <w:rStyle w:val="normaltextrun"/>
          <w:sz w:val="28"/>
          <w:szCs w:val="28"/>
        </w:rPr>
        <w:t xml:space="preserve">, </w:t>
      </w:r>
      <w:r w:rsidR="00671E59">
        <w:rPr>
          <w:rStyle w:val="normaltextrun"/>
          <w:sz w:val="28"/>
          <w:szCs w:val="28"/>
        </w:rPr>
        <w:t>about</w:t>
      </w:r>
      <w:r w:rsidR="00671E59" w:rsidRPr="001553F9">
        <w:rPr>
          <w:rStyle w:val="normaltextrun"/>
          <w:sz w:val="28"/>
          <w:szCs w:val="28"/>
        </w:rPr>
        <w:t xml:space="preserve"> </w:t>
      </w:r>
      <w:r w:rsidR="00852CB4" w:rsidRPr="001553F9">
        <w:rPr>
          <w:rStyle w:val="normaltextrun"/>
          <w:sz w:val="28"/>
          <w:szCs w:val="28"/>
        </w:rPr>
        <w:t xml:space="preserve">75% of paraparetic patients had </w:t>
      </w:r>
      <w:r w:rsidR="000619D3">
        <w:rPr>
          <w:rStyle w:val="normaltextrun"/>
          <w:sz w:val="28"/>
          <w:szCs w:val="28"/>
        </w:rPr>
        <w:t xml:space="preserve">an </w:t>
      </w:r>
      <w:r w:rsidR="00852CB4" w:rsidRPr="001553F9">
        <w:rPr>
          <w:rStyle w:val="normaltextrun"/>
          <w:sz w:val="28"/>
          <w:szCs w:val="28"/>
        </w:rPr>
        <w:t xml:space="preserve">axonal pattern </w:t>
      </w:r>
      <w:r w:rsidR="00671E59">
        <w:rPr>
          <w:rStyle w:val="normaltextrun"/>
          <w:sz w:val="28"/>
          <w:szCs w:val="28"/>
        </w:rPr>
        <w:t>in</w:t>
      </w:r>
      <w:r w:rsidR="00671E59" w:rsidRPr="001553F9">
        <w:rPr>
          <w:rStyle w:val="normaltextrun"/>
          <w:sz w:val="28"/>
          <w:szCs w:val="28"/>
        </w:rPr>
        <w:t xml:space="preserve"> </w:t>
      </w:r>
      <w:r w:rsidR="00852CB4" w:rsidRPr="001553F9">
        <w:rPr>
          <w:rStyle w:val="normaltextrun"/>
          <w:sz w:val="28"/>
          <w:szCs w:val="28"/>
        </w:rPr>
        <w:t>NCT</w:t>
      </w:r>
      <w:r w:rsidR="00E75AE5">
        <w:rPr>
          <w:rStyle w:val="normaltextrun"/>
          <w:sz w:val="28"/>
          <w:szCs w:val="28"/>
        </w:rPr>
        <w:t>, similar to</w:t>
      </w:r>
      <w:r w:rsidR="00852CB4" w:rsidRPr="001553F9">
        <w:rPr>
          <w:rStyle w:val="normaltextrun"/>
          <w:sz w:val="28"/>
          <w:szCs w:val="28"/>
        </w:rPr>
        <w:t xml:space="preserve"> our patient.  </w:t>
      </w:r>
      <w:r w:rsidR="007B1D9F" w:rsidRPr="00CE7312">
        <w:rPr>
          <w:rStyle w:val="normaltextrun"/>
          <w:i/>
          <w:iCs/>
          <w:sz w:val="28"/>
          <w:szCs w:val="28"/>
          <w:vertAlign w:val="superscript"/>
        </w:rPr>
        <w:fldChar w:fldCharType="begin" w:fldLock="1"/>
      </w:r>
      <w:r w:rsidR="000469A7">
        <w:rPr>
          <w:rStyle w:val="normaltextrun"/>
          <w:i/>
          <w:iCs/>
          <w:sz w:val="28"/>
          <w:szCs w:val="28"/>
          <w:vertAlign w:val="superscript"/>
        </w:rPr>
        <w:instrText>ADDIN CSL_CITATION {"citationItems":[{"id":"ITEM-1","itemData":{"DOI":"10.1016/j.clineuro.2017.05.006","ISSN":"1872-6968 (Electronic)","PMID":"28514704","abstract":"OBJECTIVES: This study aimed to evaluate the clinical and electrophysiological  characteristics of various distinctive classical and localised Guillain-Barré syndrome (GBS) subtypes. PATIENTS AND METHODS: Clinical characteristics and electrophysiological data of sixty-one consecutive patients admitted between 2012 and 2015 were systematically analysed and reclassified according to the new GBS clinical classification. Neurophysiology was evaluated with Hadden et al.'s vs recently proposed Rajabally et al.'s criteria. Functional severity and clinical outcome of various GBS subtypes were ascertained. RESULTS: All patients initially identified as GBS or related disorders can be sub-classified into having classical GBS (41, 67%), classic Miller-Fisher Syndrome (MFS) (6, 10%), Pharyngeal-cervical-brachial (PCB) (3, 5%), paraparetic GBS (4, 7%), bifacial weakness with paresthesia (3, 5%), acute ophthalmoparesis (AO) (1, 2%) and overlap syndrome (3, 5%): one (2%) with GBS/Bickerstaff brainstem encephalitis overlap and 2 (3%) with GBS/MFS overlap. Greater proportion of axonal classical GBS (67% vs 55%, p=0.372) seen with Rajabally et al.'s criteria and a predominantly axonal form of paraparetic variant (75%) independent of electrodiagnostic criteria were more representative of Asian GBS cohort. Classical GBS patients had lowest admission and discharge Medical Research Council Sum Score (MRCSS), greater functional disability and longest length of in-patient stay. Twenty (20/21, 95%) patients who needed mechanical ventilation had classical GBS. Patients required repeated dose of intravenous immunoglobulin (5/6, 3%) or plasma exchange (4/4, 100%) more frequently had axonal form of classical GBS. CONCLUSION: Phenotype recognition based on new GBS clinical classification, supported by electrodiagnostic study permits more precise clinical subtypes determination and outcome prognostication.","author":[{"dropping-particle":"","family":"Hiew","given":"Fu Liong","non-dropping-particle":"","parse-names":false,"suffix":""},{"dropping-particle":"","family":"Ramlan","given":"Rahmansah","non-dropping-particle":"","parse-names":false,"suffix":""},{"dropping-particle":"","family":"Viswanathan","given":"Shanthi","non-dropping-particle":"","parse-names":false,"suffix":""},{"dropping-particle":"","family":"Puvanarajah","given":"Santhi","non-dropping-particle":"","parse-names":false,"suffix":""}],"container-title":"Clinical neurology and neurosurgery","id":"ITEM-1","issued":{"date-parts":[["2017","7"]]},"language":"eng","page":"114-118","publisher-place":"Netherlands","title":"Guillain-Barré Syndrome, variants &amp; forms fruste: Reclassification with new  criteria.","type":"article-journal","volume":"158"},"uris":["http://www.mendeley.com/documents/?uuid=61a233aa-01be-4963-9818-9e1b793d05c9"]}],"mendeley":{"formattedCitation":"[7]","plainTextFormattedCitation":"[7]","previouslyFormattedCitation":"[7]"},"properties":{"noteIndex":0},"schema":"https://github.com/citation-style-language/schema/raw/master/csl-citation.json"}</w:instrText>
      </w:r>
      <w:r w:rsidR="007B1D9F" w:rsidRPr="00CE7312">
        <w:rPr>
          <w:rStyle w:val="normaltextrun"/>
          <w:i/>
          <w:iCs/>
          <w:sz w:val="28"/>
          <w:szCs w:val="28"/>
          <w:vertAlign w:val="superscript"/>
        </w:rPr>
        <w:fldChar w:fldCharType="separate"/>
      </w:r>
      <w:r w:rsidR="000469A7" w:rsidRPr="000469A7">
        <w:rPr>
          <w:rStyle w:val="normaltextrun"/>
          <w:iCs/>
          <w:noProof/>
          <w:sz w:val="28"/>
          <w:szCs w:val="28"/>
        </w:rPr>
        <w:t>[7]</w:t>
      </w:r>
      <w:r w:rsidR="007B1D9F" w:rsidRPr="00CE7312">
        <w:rPr>
          <w:rStyle w:val="normaltextrun"/>
          <w:i/>
          <w:iCs/>
          <w:sz w:val="28"/>
          <w:szCs w:val="28"/>
          <w:vertAlign w:val="superscript"/>
        </w:rPr>
        <w:fldChar w:fldCharType="end"/>
      </w:r>
      <w:r w:rsidR="00852CB4" w:rsidRPr="001553F9">
        <w:rPr>
          <w:rStyle w:val="normaltextrun"/>
          <w:sz w:val="28"/>
          <w:szCs w:val="28"/>
        </w:rPr>
        <w:t xml:space="preserve"> </w:t>
      </w:r>
      <w:r w:rsidR="00E75AE5">
        <w:rPr>
          <w:rStyle w:val="normaltextrun"/>
          <w:sz w:val="28"/>
          <w:szCs w:val="28"/>
        </w:rPr>
        <w:t xml:space="preserve">About </w:t>
      </w:r>
      <w:r w:rsidR="00C964AB" w:rsidRPr="001553F9">
        <w:rPr>
          <w:rStyle w:val="normaltextrun"/>
          <w:sz w:val="28"/>
          <w:szCs w:val="28"/>
        </w:rPr>
        <w:t xml:space="preserve">88% of total paraparetic GBS required treatment with </w:t>
      </w:r>
      <w:r w:rsidR="00FF645B">
        <w:rPr>
          <w:rStyle w:val="normaltextrun"/>
          <w:sz w:val="28"/>
          <w:szCs w:val="28"/>
        </w:rPr>
        <w:t>intravenous immunoglobulin</w:t>
      </w:r>
      <w:r w:rsidR="00C964AB" w:rsidRPr="001553F9">
        <w:rPr>
          <w:rStyle w:val="normaltextrun"/>
          <w:sz w:val="28"/>
          <w:szCs w:val="28"/>
        </w:rPr>
        <w:t xml:space="preserve"> or plasmaphereis in </w:t>
      </w:r>
      <w:r w:rsidR="00E75AE5">
        <w:rPr>
          <w:rStyle w:val="normaltextrun"/>
          <w:sz w:val="28"/>
          <w:szCs w:val="28"/>
        </w:rPr>
        <w:t xml:space="preserve">the </w:t>
      </w:r>
      <w:r w:rsidR="00C964AB" w:rsidRPr="001553F9">
        <w:rPr>
          <w:rStyle w:val="normaltextrun"/>
          <w:sz w:val="28"/>
          <w:szCs w:val="28"/>
        </w:rPr>
        <w:t xml:space="preserve">study </w:t>
      </w:r>
      <w:r w:rsidR="00E75AE5">
        <w:rPr>
          <w:rStyle w:val="normaltextrun"/>
          <w:sz w:val="28"/>
          <w:szCs w:val="28"/>
        </w:rPr>
        <w:t>by</w:t>
      </w:r>
      <w:r w:rsidR="00E75AE5" w:rsidRPr="001553F9">
        <w:rPr>
          <w:rStyle w:val="normaltextrun"/>
          <w:sz w:val="28"/>
          <w:szCs w:val="28"/>
        </w:rPr>
        <w:t xml:space="preserve"> </w:t>
      </w:r>
      <w:r w:rsidR="00852CB4" w:rsidRPr="000619D3">
        <w:rPr>
          <w:rStyle w:val="normaltextrun"/>
          <w:i/>
          <w:sz w:val="28"/>
          <w:szCs w:val="28"/>
        </w:rPr>
        <w:t xml:space="preserve">Berg et. </w:t>
      </w:r>
      <w:r w:rsidR="00E75AE5" w:rsidRPr="000619D3">
        <w:rPr>
          <w:rStyle w:val="normaltextrun"/>
          <w:i/>
          <w:sz w:val="28"/>
          <w:szCs w:val="28"/>
        </w:rPr>
        <w:t>al</w:t>
      </w:r>
      <w:r w:rsidR="00C964AB" w:rsidRPr="001553F9">
        <w:rPr>
          <w:rStyle w:val="normaltextrun"/>
          <w:sz w:val="28"/>
          <w:szCs w:val="28"/>
        </w:rPr>
        <w:t>, however</w:t>
      </w:r>
      <w:r w:rsidR="000619D3">
        <w:rPr>
          <w:rStyle w:val="normaltextrun"/>
          <w:sz w:val="28"/>
          <w:szCs w:val="28"/>
        </w:rPr>
        <w:t>,</w:t>
      </w:r>
      <w:r w:rsidR="00C964AB" w:rsidRPr="001553F9">
        <w:rPr>
          <w:rStyle w:val="normaltextrun"/>
          <w:sz w:val="28"/>
          <w:szCs w:val="28"/>
        </w:rPr>
        <w:t xml:space="preserve"> our patient was</w:t>
      </w:r>
      <w:r w:rsidR="008E1016">
        <w:rPr>
          <w:rStyle w:val="normaltextrun"/>
          <w:sz w:val="28"/>
          <w:szCs w:val="28"/>
        </w:rPr>
        <w:t xml:space="preserve"> </w:t>
      </w:r>
      <w:r w:rsidR="00C964AB" w:rsidRPr="001553F9">
        <w:rPr>
          <w:rStyle w:val="normaltextrun"/>
          <w:sz w:val="28"/>
          <w:szCs w:val="28"/>
        </w:rPr>
        <w:t xml:space="preserve">not started on any immunomodulatory agent. </w:t>
      </w:r>
      <w:r w:rsidR="002C646E">
        <w:rPr>
          <w:rStyle w:val="normaltextrun"/>
          <w:sz w:val="28"/>
          <w:szCs w:val="28"/>
        </w:rPr>
        <w:t>In their study,</w:t>
      </w:r>
      <w:r w:rsidR="00852CB4" w:rsidRPr="001553F9">
        <w:rPr>
          <w:rStyle w:val="normaltextrun"/>
          <w:sz w:val="28"/>
          <w:szCs w:val="28"/>
        </w:rPr>
        <w:t xml:space="preserve"> patients with paraparesis </w:t>
      </w:r>
      <w:r w:rsidR="00334AF8">
        <w:rPr>
          <w:rStyle w:val="normaltextrun"/>
          <w:sz w:val="28"/>
          <w:szCs w:val="28"/>
        </w:rPr>
        <w:t>were found to</w:t>
      </w:r>
      <w:r w:rsidR="00852CB4" w:rsidRPr="001553F9">
        <w:rPr>
          <w:rStyle w:val="normaltextrun"/>
          <w:sz w:val="28"/>
          <w:szCs w:val="28"/>
        </w:rPr>
        <w:t xml:space="preserve"> have a better outcome than patients with quadriparesis in a follow-up of 6 months.</w:t>
      </w:r>
      <w:r w:rsidR="007B1D9F">
        <w:rPr>
          <w:rStyle w:val="normaltextrun"/>
          <w:sz w:val="28"/>
          <w:szCs w:val="28"/>
        </w:rPr>
        <w:fldChar w:fldCharType="begin" w:fldLock="1"/>
      </w:r>
      <w:r w:rsidR="000469A7">
        <w:rPr>
          <w:rStyle w:val="normaltextrun"/>
          <w:sz w:val="28"/>
          <w:szCs w:val="28"/>
        </w:rPr>
        <w:instrText>ADDIN CSL_CITATION {"citationItems":[{"id":"ITEM-1","itemData":{"DOI":"10.1212/WNL.0000000000000481","ISSN":"1526-632X (Electronic)","PMID":"24808021","abstract":"OBJECTIVE: To define the clinical and diagnostic characteristics of paraparetic  Guillain-Barré syndrome (GBS) with weakness restricted to the legs, compared with the classic quadriparetic GBS. METHODS: Prospectively collected data from a cohort of 490 patients with GBS, previously involved in therapeutic or clinical studies, were used to define the demography, clinical presentation, diagnostic investigations, and clinical course in patients with paraparesis during a 6-month follow-up. RESULTS: Forty patients (8%) presented with a paraparesis without weakness of arms and hands. In 29 patients (73%), normal strength of upper extremities persisted during the follow-up period. Patients with paraparesis compared to patients with quadriparesis had a milder form of GBS, with less frequent cranial nerve involvement and less severe leg weakness, despite the fact that the majority of these patients were unable to walk unaided. Median time between onset of weakness and study entry was 6 days (interquartile range 4-11 days) for patients with paraparesis compared with 5 days (interquartile range 3-8 days) for patients with quadriparesis (p = 0.031). Fifty percent of patients with paraparesis presented with arm sensory deficits and 73% had reduced or absent arm reflexes. Nerve conduction studies demonstrated arm nerve involvement in 89% of these patients. At 6 months of follow-up, 98% of patients with paraparesis were able to walk unaided compared with 81% of the patients with quadriparesis (p = 0.008). There was no association between paraparesis and age, sex, or preceding infections. CONCLUSIONS: Paraparesis is an atypical clinical presentation or subform of GBS in which the diagnosis is usually supported by the presence of sensory deficits, reduced reflexes, or abnormal nerve conduction of the arms.","author":[{"dropping-particle":"","family":"Berg","given":"Bianca","non-dropping-particle":"van den","parse-names":false,"suffix":""},{"dropping-particle":"","family":"Fokke","given":"Christiaan","non-dropping-particle":"","parse-names":false,"suffix":""},{"dropping-particle":"","family":"Drenthen","given":"Judith","non-dropping-particle":"","parse-names":false,"suffix":""},{"dropping-particle":"","family":"Doorn","given":"Pieter A","non-dropping-particle":"van","parse-names":false,"suffix":""},{"dropping-particle":"","family":"Jacobs","given":"Bart C","non-dropping-particle":"","parse-names":false,"suffix":""}],"container-title":"Neurology","id":"ITEM-1","issue":"22","issued":{"date-parts":[["2014","6"]]},"language":"eng","page":"1984-1989","publisher-place":"United States","title":"Paraparetic Guillain-Barré syndrome.","type":"article-journal","volume":"82"},"uris":["http://www.mendeley.com/documents/?uuid=1fa01b7b-5ad8-4342-9537-e5e93872cc36"]}],"mendeley":{"formattedCitation":"[5]","plainTextFormattedCitation":"[5]"},"properties":{"noteIndex":0},"schema":"https://github.com/citation-style-language/schema/raw/master/csl-citation.json"}</w:instrText>
      </w:r>
      <w:r w:rsidR="007B1D9F">
        <w:rPr>
          <w:rStyle w:val="normaltextrun"/>
          <w:sz w:val="28"/>
          <w:szCs w:val="28"/>
        </w:rPr>
        <w:fldChar w:fldCharType="separate"/>
      </w:r>
      <w:r w:rsidR="000469A7" w:rsidRPr="000469A7">
        <w:rPr>
          <w:rStyle w:val="normaltextrun"/>
          <w:noProof/>
          <w:sz w:val="28"/>
          <w:szCs w:val="28"/>
        </w:rPr>
        <w:t>[5]</w:t>
      </w:r>
      <w:r w:rsidR="007B1D9F">
        <w:rPr>
          <w:rStyle w:val="normaltextrun"/>
          <w:sz w:val="28"/>
          <w:szCs w:val="28"/>
        </w:rPr>
        <w:fldChar w:fldCharType="end"/>
      </w:r>
      <w:r w:rsidR="006E2926">
        <w:rPr>
          <w:rStyle w:val="normaltextrun"/>
          <w:color w:val="FF0000"/>
          <w:sz w:val="28"/>
          <w:szCs w:val="28"/>
        </w:rPr>
        <w:t xml:space="preserve"> </w:t>
      </w:r>
      <w:r w:rsidR="00130A27" w:rsidRPr="001553F9">
        <w:rPr>
          <w:rStyle w:val="normaltextrun"/>
          <w:sz w:val="28"/>
          <w:szCs w:val="28"/>
        </w:rPr>
        <w:t>In consensus, our patient also had a full recovery without any deficits after 1.5 months of onset of symptoms without</w:t>
      </w:r>
      <w:r w:rsidR="000619D3">
        <w:rPr>
          <w:rStyle w:val="normaltextrun"/>
          <w:sz w:val="28"/>
          <w:szCs w:val="28"/>
        </w:rPr>
        <w:t xml:space="preserve"> the</w:t>
      </w:r>
      <w:r w:rsidR="00130A27" w:rsidRPr="001553F9">
        <w:rPr>
          <w:rStyle w:val="normaltextrun"/>
          <w:sz w:val="28"/>
          <w:szCs w:val="28"/>
        </w:rPr>
        <w:t xml:space="preserve"> use of any immunomodulatory agents.</w:t>
      </w:r>
      <w:r w:rsidR="00130A27" w:rsidRPr="001553F9">
        <w:rPr>
          <w:rStyle w:val="eop"/>
          <w:sz w:val="28"/>
          <w:szCs w:val="28"/>
        </w:rPr>
        <w:t> </w:t>
      </w:r>
    </w:p>
    <w:p w:rsidR="00130A27" w:rsidRPr="001553F9" w:rsidRDefault="00130A27" w:rsidP="00990E3D">
      <w:pPr>
        <w:widowControl w:val="0"/>
        <w:autoSpaceDE w:val="0"/>
        <w:autoSpaceDN w:val="0"/>
        <w:adjustRightInd w:val="0"/>
        <w:ind w:left="640" w:hanging="640"/>
        <w:rPr>
          <w:rStyle w:val="normaltextrun"/>
          <w:sz w:val="28"/>
          <w:szCs w:val="28"/>
        </w:rPr>
      </w:pPr>
    </w:p>
    <w:p w:rsidR="00130A27" w:rsidRDefault="00EC0D56" w:rsidP="00990E3D">
      <w:pPr>
        <w:widowControl w:val="0"/>
        <w:autoSpaceDE w:val="0"/>
        <w:autoSpaceDN w:val="0"/>
        <w:adjustRightInd w:val="0"/>
        <w:ind w:left="640" w:hanging="640"/>
        <w:rPr>
          <w:rStyle w:val="normaltextrun"/>
          <w:b/>
          <w:bCs/>
          <w:sz w:val="28"/>
          <w:szCs w:val="28"/>
        </w:rPr>
      </w:pPr>
      <w:r w:rsidRPr="00CE7312">
        <w:rPr>
          <w:rStyle w:val="normaltextrun"/>
          <w:b/>
          <w:bCs/>
          <w:sz w:val="28"/>
          <w:szCs w:val="28"/>
        </w:rPr>
        <w:t>Conclusion</w:t>
      </w:r>
    </w:p>
    <w:p w:rsidR="00BE5C04" w:rsidRDefault="00BE5C04" w:rsidP="00990E3D">
      <w:pPr>
        <w:widowControl w:val="0"/>
        <w:autoSpaceDE w:val="0"/>
        <w:autoSpaceDN w:val="0"/>
        <w:adjustRightInd w:val="0"/>
        <w:ind w:left="640" w:hanging="640"/>
        <w:rPr>
          <w:rStyle w:val="normaltextrun"/>
          <w:b/>
          <w:bCs/>
          <w:sz w:val="28"/>
          <w:szCs w:val="28"/>
        </w:rPr>
      </w:pPr>
    </w:p>
    <w:p w:rsidR="00BE5C04" w:rsidRPr="002A6DBA" w:rsidRDefault="00BE5C04" w:rsidP="00154319">
      <w:pPr>
        <w:widowControl w:val="0"/>
        <w:autoSpaceDE w:val="0"/>
        <w:autoSpaceDN w:val="0"/>
        <w:adjustRightInd w:val="0"/>
        <w:spacing w:line="360" w:lineRule="auto"/>
        <w:jc w:val="both"/>
        <w:rPr>
          <w:rStyle w:val="normaltextrun"/>
          <w:sz w:val="28"/>
          <w:szCs w:val="28"/>
        </w:rPr>
      </w:pPr>
      <w:r w:rsidRPr="00CE7312">
        <w:rPr>
          <w:rStyle w:val="normaltextrun"/>
          <w:sz w:val="28"/>
          <w:szCs w:val="28"/>
        </w:rPr>
        <w:lastRenderedPageBreak/>
        <w:t>Paraparetic GBS is a</w:t>
      </w:r>
      <w:r w:rsidR="004D3F2B">
        <w:rPr>
          <w:rStyle w:val="normaltextrun"/>
          <w:sz w:val="28"/>
          <w:szCs w:val="28"/>
        </w:rPr>
        <w:t>n uncommon</w:t>
      </w:r>
      <w:r w:rsidRPr="00CE7312">
        <w:rPr>
          <w:rStyle w:val="normaltextrun"/>
          <w:sz w:val="28"/>
          <w:szCs w:val="28"/>
        </w:rPr>
        <w:t xml:space="preserve"> presentation and</w:t>
      </w:r>
      <w:r w:rsidR="002A6DBA">
        <w:rPr>
          <w:rStyle w:val="normaltextrun"/>
          <w:sz w:val="28"/>
          <w:szCs w:val="28"/>
        </w:rPr>
        <w:t xml:space="preserve"> </w:t>
      </w:r>
      <w:r w:rsidR="009554A2">
        <w:rPr>
          <w:rStyle w:val="normaltextrun"/>
          <w:sz w:val="28"/>
          <w:szCs w:val="28"/>
        </w:rPr>
        <w:t xml:space="preserve">an </w:t>
      </w:r>
      <w:r w:rsidR="002A6DBA">
        <w:rPr>
          <w:rStyle w:val="normaltextrun"/>
          <w:sz w:val="28"/>
          <w:szCs w:val="28"/>
        </w:rPr>
        <w:t>alternat</w:t>
      </w:r>
      <w:r w:rsidR="000619D3">
        <w:rPr>
          <w:rStyle w:val="normaltextrun"/>
          <w:sz w:val="28"/>
          <w:szCs w:val="28"/>
        </w:rPr>
        <w:t>iv</w:t>
      </w:r>
      <w:r w:rsidR="002A6DBA">
        <w:rPr>
          <w:rStyle w:val="normaltextrun"/>
          <w:sz w:val="28"/>
          <w:szCs w:val="28"/>
        </w:rPr>
        <w:t>e diagnosis should a</w:t>
      </w:r>
      <w:r w:rsidR="00894665">
        <w:rPr>
          <w:rStyle w:val="normaltextrun"/>
          <w:sz w:val="28"/>
          <w:szCs w:val="28"/>
        </w:rPr>
        <w:t>lways be kept in mind</w:t>
      </w:r>
      <w:r w:rsidR="009554A2">
        <w:rPr>
          <w:rStyle w:val="normaltextrun"/>
          <w:sz w:val="28"/>
          <w:szCs w:val="28"/>
        </w:rPr>
        <w:t xml:space="preserve"> </w:t>
      </w:r>
      <w:r w:rsidR="000619D3">
        <w:rPr>
          <w:rStyle w:val="normaltextrun"/>
          <w:sz w:val="28"/>
          <w:szCs w:val="28"/>
        </w:rPr>
        <w:t>until</w:t>
      </w:r>
      <w:r w:rsidR="009554A2">
        <w:rPr>
          <w:rStyle w:val="normaltextrun"/>
          <w:sz w:val="28"/>
          <w:szCs w:val="28"/>
        </w:rPr>
        <w:t xml:space="preserve"> </w:t>
      </w:r>
      <w:r w:rsidR="00154319">
        <w:rPr>
          <w:rStyle w:val="normaltextrun"/>
          <w:sz w:val="28"/>
          <w:szCs w:val="28"/>
        </w:rPr>
        <w:t>ruling</w:t>
      </w:r>
      <w:r w:rsidR="00462184">
        <w:rPr>
          <w:rStyle w:val="normaltextrun"/>
          <w:sz w:val="28"/>
          <w:szCs w:val="28"/>
        </w:rPr>
        <w:t xml:space="preserve"> out the differentials</w:t>
      </w:r>
      <w:r w:rsidR="00894665">
        <w:rPr>
          <w:rStyle w:val="normaltextrun"/>
          <w:sz w:val="28"/>
          <w:szCs w:val="28"/>
        </w:rPr>
        <w:t xml:space="preserve">. </w:t>
      </w:r>
      <w:r w:rsidRPr="00CE7312">
        <w:rPr>
          <w:rStyle w:val="normaltextrun"/>
          <w:sz w:val="28"/>
          <w:szCs w:val="28"/>
        </w:rPr>
        <w:t xml:space="preserve"> </w:t>
      </w:r>
      <w:r w:rsidR="00A6289E">
        <w:rPr>
          <w:rStyle w:val="normaltextrun"/>
          <w:sz w:val="28"/>
          <w:szCs w:val="28"/>
        </w:rPr>
        <w:t xml:space="preserve">Early diagnosis </w:t>
      </w:r>
      <w:r w:rsidR="00E46ABB">
        <w:rPr>
          <w:rStyle w:val="normaltextrun"/>
          <w:sz w:val="28"/>
          <w:szCs w:val="28"/>
        </w:rPr>
        <w:t xml:space="preserve">and monitoring </w:t>
      </w:r>
      <w:r w:rsidR="009E510C">
        <w:rPr>
          <w:rStyle w:val="normaltextrun"/>
          <w:sz w:val="28"/>
          <w:szCs w:val="28"/>
        </w:rPr>
        <w:t>are</w:t>
      </w:r>
      <w:r w:rsidR="00A00764">
        <w:rPr>
          <w:rStyle w:val="normaltextrun"/>
          <w:sz w:val="28"/>
          <w:szCs w:val="28"/>
        </w:rPr>
        <w:t xml:space="preserve"> important</w:t>
      </w:r>
      <w:r w:rsidR="0075581C">
        <w:rPr>
          <w:rStyle w:val="normaltextrun"/>
          <w:sz w:val="28"/>
          <w:szCs w:val="28"/>
        </w:rPr>
        <w:t xml:space="preserve">, as some patients might develop respiratory compromise </w:t>
      </w:r>
      <w:r w:rsidR="00EC224E">
        <w:rPr>
          <w:rStyle w:val="normaltextrun"/>
          <w:sz w:val="28"/>
          <w:szCs w:val="28"/>
        </w:rPr>
        <w:t>or severe dysautonomia.</w:t>
      </w:r>
    </w:p>
    <w:p w:rsidR="00130A27" w:rsidRDefault="00130A27" w:rsidP="00990E3D">
      <w:pPr>
        <w:widowControl w:val="0"/>
        <w:autoSpaceDE w:val="0"/>
        <w:autoSpaceDN w:val="0"/>
        <w:adjustRightInd w:val="0"/>
        <w:ind w:left="640" w:hanging="640"/>
        <w:rPr>
          <w:rStyle w:val="normaltextrun"/>
          <w:sz w:val="32"/>
          <w:szCs w:val="32"/>
        </w:rPr>
      </w:pPr>
    </w:p>
    <w:p w:rsidR="00FE341D" w:rsidRDefault="00FE341D">
      <w:pPr>
        <w:spacing w:after="200" w:line="276" w:lineRule="auto"/>
        <w:rPr>
          <w:sz w:val="32"/>
          <w:szCs w:val="32"/>
          <w:lang w:eastAsia="en-GB"/>
        </w:rPr>
      </w:pPr>
      <w:r>
        <w:rPr>
          <w:sz w:val="32"/>
          <w:szCs w:val="32"/>
        </w:rPr>
        <w:br w:type="page"/>
      </w:r>
    </w:p>
    <w:p w:rsidR="00852CB4" w:rsidRPr="00D81BFA" w:rsidRDefault="00914DEA" w:rsidP="00852CB4">
      <w:pPr>
        <w:pStyle w:val="paragraph"/>
        <w:shd w:val="clear" w:color="auto" w:fill="FFFFFF" w:themeFill="background1"/>
        <w:spacing w:before="0" w:beforeAutospacing="0" w:after="0" w:afterAutospacing="0"/>
        <w:textAlignment w:val="baseline"/>
        <w:rPr>
          <w:rStyle w:val="eop"/>
          <w:bCs/>
          <w:sz w:val="28"/>
          <w:szCs w:val="28"/>
        </w:rPr>
      </w:pPr>
      <w:r w:rsidRPr="00D81BFA">
        <w:rPr>
          <w:rStyle w:val="eop"/>
          <w:b/>
          <w:sz w:val="28"/>
          <w:szCs w:val="28"/>
        </w:rPr>
        <w:lastRenderedPageBreak/>
        <w:t>Acknowledgements</w:t>
      </w:r>
    </w:p>
    <w:p w:rsidR="00914DEA" w:rsidRPr="00D81BFA" w:rsidRDefault="00914DEA" w:rsidP="00852CB4">
      <w:pPr>
        <w:pStyle w:val="paragraph"/>
        <w:shd w:val="clear" w:color="auto" w:fill="FFFFFF" w:themeFill="background1"/>
        <w:spacing w:before="0" w:beforeAutospacing="0" w:after="0" w:afterAutospacing="0"/>
        <w:textAlignment w:val="baseline"/>
        <w:rPr>
          <w:rStyle w:val="eop"/>
          <w:bCs/>
          <w:sz w:val="28"/>
          <w:szCs w:val="28"/>
        </w:rPr>
      </w:pPr>
      <w:r w:rsidRPr="00D81BFA">
        <w:rPr>
          <w:rStyle w:val="eop"/>
          <w:bCs/>
          <w:sz w:val="28"/>
          <w:szCs w:val="28"/>
        </w:rPr>
        <w:t>Published with written consent of</w:t>
      </w:r>
      <w:r w:rsidR="000619D3">
        <w:rPr>
          <w:rStyle w:val="eop"/>
          <w:bCs/>
          <w:sz w:val="28"/>
          <w:szCs w:val="28"/>
        </w:rPr>
        <w:t xml:space="preserve"> the</w:t>
      </w:r>
      <w:r w:rsidRPr="00D81BFA">
        <w:rPr>
          <w:rStyle w:val="eop"/>
          <w:bCs/>
          <w:sz w:val="28"/>
          <w:szCs w:val="28"/>
        </w:rPr>
        <w:t xml:space="preserve"> patient’s father.</w:t>
      </w:r>
    </w:p>
    <w:p w:rsidR="00914DEA" w:rsidRPr="00D81BFA" w:rsidRDefault="00914DEA" w:rsidP="00852CB4">
      <w:pPr>
        <w:pStyle w:val="paragraph"/>
        <w:shd w:val="clear" w:color="auto" w:fill="FFFFFF" w:themeFill="background1"/>
        <w:spacing w:before="0" w:beforeAutospacing="0" w:after="0" w:afterAutospacing="0"/>
        <w:textAlignment w:val="baseline"/>
        <w:rPr>
          <w:rStyle w:val="eop"/>
          <w:bCs/>
          <w:sz w:val="28"/>
          <w:szCs w:val="28"/>
        </w:rPr>
      </w:pPr>
    </w:p>
    <w:p w:rsidR="001C4583" w:rsidRPr="00D81BFA" w:rsidRDefault="001C4583" w:rsidP="001C4583">
      <w:pPr>
        <w:pStyle w:val="paragraph"/>
        <w:spacing w:before="0" w:beforeAutospacing="0" w:after="0" w:afterAutospacing="0"/>
        <w:jc w:val="both"/>
        <w:rPr>
          <w:sz w:val="28"/>
          <w:szCs w:val="28"/>
        </w:rPr>
      </w:pPr>
      <w:r w:rsidRPr="00D81BFA">
        <w:rPr>
          <w:b/>
          <w:bCs/>
          <w:sz w:val="28"/>
          <w:szCs w:val="28"/>
        </w:rPr>
        <w:t>Conflicts of interest</w:t>
      </w:r>
      <w:r w:rsidR="00130A27" w:rsidRPr="00D81BFA">
        <w:rPr>
          <w:sz w:val="28"/>
          <w:szCs w:val="28"/>
        </w:rPr>
        <w:t>:</w:t>
      </w:r>
    </w:p>
    <w:p w:rsidR="001C4583" w:rsidRPr="00D81BFA" w:rsidRDefault="00130A27" w:rsidP="00852CB4">
      <w:pPr>
        <w:rPr>
          <w:bCs/>
          <w:sz w:val="28"/>
          <w:szCs w:val="28"/>
        </w:rPr>
      </w:pPr>
      <w:r w:rsidRPr="00D81BFA">
        <w:rPr>
          <w:bCs/>
          <w:sz w:val="28"/>
          <w:szCs w:val="28"/>
        </w:rPr>
        <w:t>T</w:t>
      </w:r>
      <w:r w:rsidR="001C4583" w:rsidRPr="00D81BFA">
        <w:rPr>
          <w:bCs/>
          <w:sz w:val="28"/>
          <w:szCs w:val="28"/>
        </w:rPr>
        <w:t>he authors declare they have no conflicts of interest.</w:t>
      </w:r>
    </w:p>
    <w:p w:rsidR="00D81BFA" w:rsidRPr="00D81BFA" w:rsidRDefault="00D81BFA" w:rsidP="00852CB4">
      <w:pPr>
        <w:rPr>
          <w:bCs/>
          <w:sz w:val="28"/>
          <w:szCs w:val="28"/>
        </w:rPr>
      </w:pPr>
    </w:p>
    <w:p w:rsidR="00914DEA" w:rsidRPr="00E14274" w:rsidRDefault="00914DEA" w:rsidP="00852CB4">
      <w:pPr>
        <w:rPr>
          <w:b/>
          <w:sz w:val="28"/>
          <w:szCs w:val="28"/>
          <w:lang w:val="en-US"/>
        </w:rPr>
      </w:pPr>
      <w:r w:rsidRPr="00E14274">
        <w:rPr>
          <w:b/>
          <w:sz w:val="28"/>
          <w:szCs w:val="28"/>
        </w:rPr>
        <w:t>Authors Contributions</w:t>
      </w:r>
      <w:r w:rsidR="00E14274" w:rsidRPr="00E14274">
        <w:rPr>
          <w:b/>
          <w:sz w:val="28"/>
          <w:szCs w:val="28"/>
          <w:lang w:val="en-US"/>
        </w:rPr>
        <w:t>:</w:t>
      </w:r>
    </w:p>
    <w:p w:rsidR="00914DEA" w:rsidRPr="004B5060" w:rsidRDefault="00FE341D" w:rsidP="007525C6">
      <w:pPr>
        <w:spacing w:line="360" w:lineRule="auto"/>
        <w:jc w:val="both"/>
        <w:rPr>
          <w:color w:val="1C1D1E"/>
          <w:sz w:val="28"/>
          <w:szCs w:val="28"/>
          <w:shd w:val="clear" w:color="auto" w:fill="FFFFFF"/>
        </w:rPr>
      </w:pPr>
      <w:r>
        <w:rPr>
          <w:color w:val="1C1D1E"/>
          <w:sz w:val="28"/>
          <w:szCs w:val="28"/>
          <w:shd w:val="clear" w:color="auto" w:fill="FFFFFF"/>
          <w:lang w:val="en-US"/>
        </w:rPr>
        <w:t>PL:</w:t>
      </w:r>
      <w:r w:rsidR="00837084">
        <w:rPr>
          <w:color w:val="1C1D1E"/>
          <w:sz w:val="28"/>
          <w:szCs w:val="28"/>
          <w:shd w:val="clear" w:color="auto" w:fill="FFFFFF"/>
          <w:lang w:val="en-US"/>
        </w:rPr>
        <w:t xml:space="preserve"> </w:t>
      </w:r>
      <w:r w:rsidR="00837084" w:rsidRPr="00D81BFA">
        <w:rPr>
          <w:color w:val="1C1D1E"/>
          <w:sz w:val="28"/>
          <w:szCs w:val="28"/>
          <w:shd w:val="clear" w:color="auto" w:fill="FFFFFF"/>
        </w:rPr>
        <w:t>involved in writing the manuscript,</w:t>
      </w:r>
      <w:r w:rsidR="00837084" w:rsidRPr="00837084">
        <w:rPr>
          <w:color w:val="1C1D1E"/>
          <w:sz w:val="28"/>
          <w:szCs w:val="28"/>
          <w:shd w:val="clear" w:color="auto" w:fill="FFFFFF"/>
        </w:rPr>
        <w:t xml:space="preserve"> </w:t>
      </w:r>
      <w:r w:rsidR="00837084" w:rsidRPr="00D81BFA">
        <w:rPr>
          <w:color w:val="1C1D1E"/>
          <w:sz w:val="28"/>
          <w:szCs w:val="28"/>
          <w:shd w:val="clear" w:color="auto" w:fill="FFFFFF"/>
        </w:rPr>
        <w:t>collection of case information, manuscript revision</w:t>
      </w:r>
      <w:r w:rsidR="00837084">
        <w:rPr>
          <w:color w:val="1C1D1E"/>
          <w:sz w:val="28"/>
          <w:szCs w:val="28"/>
          <w:shd w:val="clear" w:color="auto" w:fill="FFFFFF"/>
          <w:lang w:val="en-US"/>
        </w:rPr>
        <w:t>,</w:t>
      </w:r>
      <w:r w:rsidR="00837084" w:rsidRPr="00D81BFA">
        <w:rPr>
          <w:color w:val="1C1D1E"/>
          <w:sz w:val="28"/>
          <w:szCs w:val="28"/>
          <w:shd w:val="clear" w:color="auto" w:fill="FFFFFF"/>
        </w:rPr>
        <w:t xml:space="preserve"> </w:t>
      </w:r>
      <w:r w:rsidR="00914DEA" w:rsidRPr="00D81BFA">
        <w:rPr>
          <w:color w:val="1C1D1E"/>
          <w:sz w:val="28"/>
          <w:szCs w:val="28"/>
          <w:shd w:val="clear" w:color="auto" w:fill="FFFFFF"/>
        </w:rPr>
        <w:t>RO: inv</w:t>
      </w:r>
      <w:r w:rsidR="000619D3">
        <w:rPr>
          <w:color w:val="1C1D1E"/>
          <w:sz w:val="28"/>
          <w:szCs w:val="28"/>
          <w:shd w:val="clear" w:color="auto" w:fill="FFFFFF"/>
        </w:rPr>
        <w:t>olved in writing the manuscript</w:t>
      </w:r>
      <w:r w:rsidR="00914DEA" w:rsidRPr="00D81BFA">
        <w:rPr>
          <w:color w:val="1C1D1E"/>
          <w:sz w:val="28"/>
          <w:szCs w:val="28"/>
          <w:shd w:val="clear" w:color="auto" w:fill="FFFFFF"/>
        </w:rPr>
        <w:t xml:space="preserve"> concept, collection of case information, manuscript revision.</w:t>
      </w:r>
      <w:r>
        <w:rPr>
          <w:color w:val="1C1D1E"/>
          <w:sz w:val="28"/>
          <w:szCs w:val="28"/>
          <w:shd w:val="clear" w:color="auto" w:fill="FFFFFF"/>
          <w:lang w:val="en-US"/>
        </w:rPr>
        <w:t xml:space="preserve"> NN,</w:t>
      </w:r>
      <w:r w:rsidR="004B5060">
        <w:rPr>
          <w:color w:val="1C1D1E"/>
          <w:sz w:val="28"/>
          <w:szCs w:val="28"/>
          <w:shd w:val="clear" w:color="auto" w:fill="FFFFFF"/>
          <w:lang w:val="en-US"/>
        </w:rPr>
        <w:t xml:space="preserve"> </w:t>
      </w:r>
      <w:r>
        <w:rPr>
          <w:color w:val="1C1D1E"/>
          <w:sz w:val="28"/>
          <w:szCs w:val="28"/>
          <w:shd w:val="clear" w:color="auto" w:fill="FFFFFF"/>
          <w:lang w:val="en-US"/>
        </w:rPr>
        <w:t>NA,</w:t>
      </w:r>
      <w:r w:rsidR="004B5060">
        <w:rPr>
          <w:color w:val="1C1D1E"/>
          <w:sz w:val="28"/>
          <w:szCs w:val="28"/>
          <w:shd w:val="clear" w:color="auto" w:fill="FFFFFF"/>
          <w:lang w:val="en-US"/>
        </w:rPr>
        <w:t xml:space="preserve"> </w:t>
      </w:r>
      <w:r>
        <w:rPr>
          <w:color w:val="1C1D1E"/>
          <w:sz w:val="28"/>
          <w:szCs w:val="28"/>
          <w:shd w:val="clear" w:color="auto" w:fill="FFFFFF"/>
          <w:lang w:val="en-US"/>
        </w:rPr>
        <w:t>SP</w:t>
      </w:r>
      <w:r w:rsidR="00914DEA" w:rsidRPr="00D81BFA">
        <w:rPr>
          <w:color w:val="1C1D1E"/>
          <w:sz w:val="28"/>
          <w:szCs w:val="28"/>
          <w:shd w:val="clear" w:color="auto" w:fill="FFFFFF"/>
        </w:rPr>
        <w:t xml:space="preserve">: participated in preparing </w:t>
      </w:r>
      <w:r w:rsidR="000619D3">
        <w:rPr>
          <w:color w:val="1C1D1E"/>
          <w:sz w:val="28"/>
          <w:szCs w:val="28"/>
          <w:shd w:val="clear" w:color="auto" w:fill="FFFFFF"/>
        </w:rPr>
        <w:t xml:space="preserve">a </w:t>
      </w:r>
      <w:r w:rsidR="00914DEA" w:rsidRPr="00D81BFA">
        <w:rPr>
          <w:color w:val="1C1D1E"/>
          <w:sz w:val="28"/>
          <w:szCs w:val="28"/>
          <w:shd w:val="clear" w:color="auto" w:fill="FFFFFF"/>
        </w:rPr>
        <w:t>literature review and interpretation of clinical findings. BPG, RK,</w:t>
      </w:r>
      <w:r w:rsidR="004B5060">
        <w:rPr>
          <w:color w:val="1C1D1E"/>
          <w:sz w:val="28"/>
          <w:szCs w:val="28"/>
          <w:shd w:val="clear" w:color="auto" w:fill="FFFFFF"/>
          <w:lang w:val="en-US"/>
        </w:rPr>
        <w:t xml:space="preserve"> </w:t>
      </w:r>
      <w:r w:rsidR="00914DEA" w:rsidRPr="00D81BFA">
        <w:rPr>
          <w:color w:val="1C1D1E"/>
          <w:sz w:val="28"/>
          <w:szCs w:val="28"/>
          <w:shd w:val="clear" w:color="auto" w:fill="FFFFFF"/>
        </w:rPr>
        <w:t>RR</w:t>
      </w:r>
      <w:r w:rsidR="004B5060">
        <w:rPr>
          <w:color w:val="1C1D1E"/>
          <w:sz w:val="28"/>
          <w:szCs w:val="28"/>
          <w:shd w:val="clear" w:color="auto" w:fill="FFFFFF"/>
          <w:lang w:val="en-US"/>
        </w:rPr>
        <w:t>,</w:t>
      </w:r>
      <w:r w:rsidR="00F1137F">
        <w:rPr>
          <w:color w:val="1C1D1E"/>
          <w:sz w:val="28"/>
          <w:szCs w:val="28"/>
          <w:shd w:val="clear" w:color="auto" w:fill="FFFFFF"/>
          <w:lang w:val="en-US"/>
        </w:rPr>
        <w:t xml:space="preserve"> NG, AS</w:t>
      </w:r>
      <w:r w:rsidR="00914DEA" w:rsidRPr="00D81BFA">
        <w:rPr>
          <w:color w:val="1C1D1E"/>
          <w:sz w:val="28"/>
          <w:szCs w:val="28"/>
          <w:shd w:val="clear" w:color="auto" w:fill="FFFFFF"/>
        </w:rPr>
        <w:t>: involved in patient care team and collection of case information. All authors approved the final version.</w:t>
      </w:r>
    </w:p>
    <w:p w:rsidR="00914DEA" w:rsidRPr="00D81BFA" w:rsidRDefault="00914DEA" w:rsidP="00852CB4">
      <w:pPr>
        <w:rPr>
          <w:bCs/>
          <w:sz w:val="28"/>
          <w:szCs w:val="28"/>
        </w:rPr>
      </w:pPr>
    </w:p>
    <w:p w:rsidR="00EC6038" w:rsidRPr="00D81BFA" w:rsidRDefault="00EC6038" w:rsidP="00852CB4">
      <w:pPr>
        <w:rPr>
          <w:b/>
          <w:sz w:val="28"/>
          <w:szCs w:val="28"/>
        </w:rPr>
      </w:pPr>
      <w:r w:rsidRPr="00D81BFA">
        <w:rPr>
          <w:b/>
          <w:sz w:val="28"/>
          <w:szCs w:val="28"/>
        </w:rPr>
        <w:t>Bibliography</w:t>
      </w:r>
    </w:p>
    <w:p w:rsidR="000469A7" w:rsidRPr="000469A7" w:rsidRDefault="007B1D9F" w:rsidP="000469A7">
      <w:pPr>
        <w:widowControl w:val="0"/>
        <w:autoSpaceDE w:val="0"/>
        <w:autoSpaceDN w:val="0"/>
        <w:adjustRightInd w:val="0"/>
        <w:spacing w:line="360" w:lineRule="auto"/>
        <w:ind w:left="640" w:hanging="640"/>
        <w:rPr>
          <w:noProof/>
          <w:sz w:val="28"/>
        </w:rPr>
      </w:pPr>
      <w:r>
        <w:rPr>
          <w:bCs/>
          <w:sz w:val="28"/>
          <w:szCs w:val="28"/>
        </w:rPr>
        <w:fldChar w:fldCharType="begin" w:fldLock="1"/>
      </w:r>
      <w:r w:rsidR="007331DA">
        <w:rPr>
          <w:bCs/>
          <w:sz w:val="28"/>
          <w:szCs w:val="28"/>
        </w:rPr>
        <w:instrText xml:space="preserve">ADDIN Mendeley Bibliography CSL_BIBLIOGRAPHY </w:instrText>
      </w:r>
      <w:r>
        <w:rPr>
          <w:bCs/>
          <w:sz w:val="28"/>
          <w:szCs w:val="28"/>
        </w:rPr>
        <w:fldChar w:fldCharType="separate"/>
      </w:r>
      <w:r w:rsidR="000469A7" w:rsidRPr="000469A7">
        <w:rPr>
          <w:noProof/>
          <w:sz w:val="28"/>
        </w:rPr>
        <w:t>[1]</w:t>
      </w:r>
      <w:r w:rsidR="000469A7" w:rsidRPr="000469A7">
        <w:rPr>
          <w:noProof/>
          <w:sz w:val="28"/>
        </w:rPr>
        <w:tab/>
        <w:t xml:space="preserve">A. McGrogan, G. C. Madle, H. E. Seaman, and C. S. de Vries, “The epidemiology of Guillain-Barré syndrome worldwide. A systematic literature  review.,” </w:t>
      </w:r>
      <w:r w:rsidR="000469A7" w:rsidRPr="000469A7">
        <w:rPr>
          <w:i/>
          <w:iCs/>
          <w:noProof/>
          <w:sz w:val="28"/>
        </w:rPr>
        <w:t>Neuroepidemiology</w:t>
      </w:r>
      <w:r w:rsidR="000469A7" w:rsidRPr="000469A7">
        <w:rPr>
          <w:noProof/>
          <w:sz w:val="28"/>
        </w:rPr>
        <w:t>, vol. 32, no. 2, pp. 150–163, 2009, doi: 10.1159/000184748.</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[2]</w:t>
      </w:r>
      <w:r w:rsidRPr="000469A7">
        <w:rPr>
          <w:noProof/>
          <w:sz w:val="28"/>
        </w:rPr>
        <w:tab/>
        <w:t xml:space="preserve">D. Aljaafari and N. Ishaque, “Paraparetic Variant of Guillain-Barré Syndrome in First 24 Hours of Postpartum Period: A case report,” </w:t>
      </w:r>
      <w:r w:rsidRPr="000469A7">
        <w:rPr>
          <w:i/>
          <w:iCs/>
          <w:noProof/>
          <w:sz w:val="28"/>
        </w:rPr>
        <w:t>Sultan Qaboos Univ. Med. J. [SQUMJ]</w:t>
      </w:r>
      <w:r w:rsidRPr="000469A7">
        <w:rPr>
          <w:noProof/>
          <w:sz w:val="28"/>
        </w:rPr>
        <w:t>, vol. 20, no. 2 SE-Case Reports, pp. e227–230, Jun. 2020, doi: 10.18295/squmj.2020.20.02.015.</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[3]</w:t>
      </w:r>
      <w:r w:rsidRPr="000469A7">
        <w:rPr>
          <w:noProof/>
          <w:sz w:val="28"/>
        </w:rPr>
        <w:tab/>
        <w:t xml:space="preserve">M. M. Dimachkie and R. J. Barohn, “Guillain-Barré Syndrome and Variants,” </w:t>
      </w:r>
      <w:r w:rsidRPr="000469A7">
        <w:rPr>
          <w:i/>
          <w:iCs/>
          <w:noProof/>
          <w:sz w:val="28"/>
        </w:rPr>
        <w:t>Neurol. Clin.</w:t>
      </w:r>
      <w:r w:rsidRPr="000469A7">
        <w:rPr>
          <w:noProof/>
          <w:sz w:val="28"/>
        </w:rPr>
        <w:t>, vol. 31, no. 2, pp. 491–510, 2013, doi: https://doi.org/10.1016/j.ncl.2013.01.005.</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[4]</w:t>
      </w:r>
      <w:r w:rsidRPr="000469A7">
        <w:rPr>
          <w:noProof/>
          <w:sz w:val="28"/>
        </w:rPr>
        <w:tab/>
        <w:t>M. Progress, N. Yuki, and H. Hartung, “Guillain–Barré Syndrome,” 2012.</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[5]</w:t>
      </w:r>
      <w:r w:rsidRPr="000469A7">
        <w:rPr>
          <w:noProof/>
          <w:sz w:val="28"/>
        </w:rPr>
        <w:tab/>
        <w:t xml:space="preserve">B. van den Berg, C. Fokke, J. Drenthen, P. A. van Doorn, and B. C. Jacobs, “Paraparetic Guillain-Barré syndrome.,” </w:t>
      </w:r>
      <w:r w:rsidRPr="000469A7">
        <w:rPr>
          <w:i/>
          <w:iCs/>
          <w:noProof/>
          <w:sz w:val="28"/>
        </w:rPr>
        <w:t>Neurology</w:t>
      </w:r>
      <w:r w:rsidRPr="000469A7">
        <w:rPr>
          <w:noProof/>
          <w:sz w:val="28"/>
        </w:rPr>
        <w:t>, vol. 82, no. 22, pp. 1984–1989, Jun. 2014, doi: 10.1212/WNL.0000000000000481.</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[6]</w:t>
      </w:r>
      <w:r w:rsidRPr="000469A7">
        <w:rPr>
          <w:noProof/>
          <w:sz w:val="28"/>
        </w:rPr>
        <w:tab/>
        <w:t xml:space="preserve">A. H. Ropper, “Unusual clinical variants and signs in Guillain-Barré syndrome.,” </w:t>
      </w:r>
      <w:r w:rsidRPr="000469A7">
        <w:rPr>
          <w:i/>
          <w:iCs/>
          <w:noProof/>
          <w:sz w:val="28"/>
        </w:rPr>
        <w:t>Arch. Neurol.</w:t>
      </w:r>
      <w:r w:rsidRPr="000469A7">
        <w:rPr>
          <w:noProof/>
          <w:sz w:val="28"/>
        </w:rPr>
        <w:t xml:space="preserve">, vol. 43, no. 11, pp. 1150–1152, Nov. 1986, </w:t>
      </w:r>
      <w:r w:rsidRPr="000469A7">
        <w:rPr>
          <w:noProof/>
          <w:sz w:val="28"/>
        </w:rPr>
        <w:lastRenderedPageBreak/>
        <w:t>doi: 10.1001/archneur.1986.00520110044012.</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[7]</w:t>
      </w:r>
      <w:r w:rsidRPr="000469A7">
        <w:rPr>
          <w:noProof/>
          <w:sz w:val="28"/>
        </w:rPr>
        <w:tab/>
        <w:t xml:space="preserve">F. L. Hiew, R. Ramlan, S. Viswanathan, and S. Puvanarajah, “Guillain-Barré Syndrome, variants &amp; forms fruste: Reclassification with new  criteria.,” </w:t>
      </w:r>
      <w:r w:rsidRPr="000469A7">
        <w:rPr>
          <w:i/>
          <w:iCs/>
          <w:noProof/>
          <w:sz w:val="28"/>
        </w:rPr>
        <w:t>Clin. Neurol. Neurosurg.</w:t>
      </w:r>
      <w:r w:rsidRPr="000469A7">
        <w:rPr>
          <w:noProof/>
          <w:sz w:val="28"/>
        </w:rPr>
        <w:t>, vol. 158, pp. 114–118, Jul. 2017, doi: 10.1016/j.clineuro.2017.05.006.</w:t>
      </w:r>
    </w:p>
    <w:p w:rsidR="000469A7" w:rsidRPr="000469A7" w:rsidRDefault="000469A7" w:rsidP="000469A7">
      <w:pPr>
        <w:widowControl w:val="0"/>
        <w:autoSpaceDE w:val="0"/>
        <w:autoSpaceDN w:val="0"/>
        <w:adjustRightInd w:val="0"/>
        <w:spacing w:line="360" w:lineRule="auto"/>
        <w:ind w:left="640" w:hanging="640"/>
        <w:rPr>
          <w:noProof/>
          <w:sz w:val="28"/>
        </w:rPr>
      </w:pPr>
      <w:r w:rsidRPr="000469A7">
        <w:rPr>
          <w:noProof/>
          <w:sz w:val="28"/>
        </w:rPr>
        <w:t>[8]</w:t>
      </w:r>
      <w:r w:rsidRPr="000469A7">
        <w:rPr>
          <w:noProof/>
          <w:sz w:val="28"/>
        </w:rPr>
        <w:tab/>
        <w:t>D. Pokalkar, V. Narisetty, R. Polusani, S. Kamera, and S. S. L. Poosarla, “A study on topographic variants of Guillain-Barré Syndrome in a tertiary care hospital in South India,” vol. 2, no. 12, pp. 32–38, 2015.</w:t>
      </w:r>
    </w:p>
    <w:p w:rsidR="00D81BFA" w:rsidRPr="00D81BFA" w:rsidRDefault="007B1D9F" w:rsidP="000469A7">
      <w:pPr>
        <w:widowControl w:val="0"/>
        <w:autoSpaceDE w:val="0"/>
        <w:autoSpaceDN w:val="0"/>
        <w:adjustRightInd w:val="0"/>
        <w:spacing w:line="360" w:lineRule="auto"/>
        <w:ind w:left="640" w:hanging="640"/>
        <w:rPr>
          <w:bCs/>
          <w:sz w:val="28"/>
          <w:szCs w:val="28"/>
        </w:rPr>
      </w:pPr>
      <w:r>
        <w:rPr>
          <w:bCs/>
          <w:sz w:val="28"/>
          <w:szCs w:val="28"/>
        </w:rPr>
        <w:fldChar w:fldCharType="end"/>
      </w:r>
    </w:p>
    <w:p w:rsidR="007525C6" w:rsidRDefault="007525C6">
      <w:pPr>
        <w:spacing w:after="200" w:line="276" w:lineRule="auto"/>
        <w:rPr>
          <w:rStyle w:val="eop"/>
          <w:b/>
          <w:bCs/>
          <w:sz w:val="28"/>
          <w:szCs w:val="28"/>
          <w:lang w:eastAsia="en-GB"/>
        </w:rPr>
      </w:pPr>
      <w:r>
        <w:rPr>
          <w:rStyle w:val="eop"/>
          <w:b/>
          <w:bCs/>
          <w:sz w:val="28"/>
          <w:szCs w:val="28"/>
        </w:rPr>
        <w:br w:type="page"/>
      </w:r>
    </w:p>
    <w:p w:rsidR="00FF6F31" w:rsidRPr="00063694" w:rsidRDefault="00FF6F31" w:rsidP="003425BC">
      <w:pPr>
        <w:pStyle w:val="paragraph"/>
        <w:shd w:val="clear" w:color="auto" w:fill="FFFFFF" w:themeFill="background1"/>
        <w:spacing w:before="0" w:beforeAutospacing="0" w:after="0" w:afterAutospacing="0"/>
        <w:textAlignment w:val="baseline"/>
        <w:rPr>
          <w:b/>
          <w:bCs/>
          <w:sz w:val="28"/>
          <w:szCs w:val="28"/>
        </w:rPr>
      </w:pPr>
      <w:r w:rsidRPr="00063694">
        <w:rPr>
          <w:rStyle w:val="eop"/>
          <w:b/>
          <w:bCs/>
          <w:sz w:val="28"/>
          <w:szCs w:val="28"/>
        </w:rPr>
        <w:lastRenderedPageBreak/>
        <w:t>Table 1: Nerve conduction study: Motor</w:t>
      </w:r>
    </w:p>
    <w:p w:rsidR="00FF6F31" w:rsidRPr="00D81BFA" w:rsidRDefault="00FF6F31" w:rsidP="003425BC">
      <w:pPr>
        <w:pStyle w:val="paragraph"/>
        <w:shd w:val="clear" w:color="auto" w:fill="FFFFFF"/>
        <w:spacing w:before="0" w:beforeAutospacing="0" w:after="0" w:afterAutospacing="0"/>
        <w:textAlignment w:val="baseline"/>
        <w:rPr>
          <w:sz w:val="28"/>
          <w:szCs w:val="28"/>
        </w:rPr>
      </w:pPr>
      <w:r w:rsidRPr="00D81BFA">
        <w:rPr>
          <w:rStyle w:val="eop"/>
          <w:sz w:val="28"/>
          <w:szCs w:val="28"/>
        </w:rPr>
        <w:t> </w:t>
      </w:r>
    </w:p>
    <w:tbl>
      <w:tblPr>
        <w:tblStyle w:val="PlainTable2"/>
        <w:tblW w:w="9067" w:type="dxa"/>
        <w:tblLayout w:type="fixed"/>
        <w:tblLook w:val="06A0"/>
      </w:tblPr>
      <w:tblGrid>
        <w:gridCol w:w="1134"/>
        <w:gridCol w:w="1129"/>
        <w:gridCol w:w="1134"/>
        <w:gridCol w:w="1134"/>
        <w:gridCol w:w="1701"/>
        <w:gridCol w:w="1560"/>
        <w:gridCol w:w="1275"/>
      </w:tblGrid>
      <w:tr w:rsidR="00FF6F31" w:rsidRPr="00D81BFA" w:rsidTr="007525C6">
        <w:trPr>
          <w:cnfStyle w:val="100000000000"/>
        </w:trPr>
        <w:tc>
          <w:tcPr>
            <w:cnfStyle w:val="001000000000"/>
            <w:tcW w:w="1134" w:type="dxa"/>
          </w:tcPr>
          <w:p w:rsidR="00FF6F31" w:rsidRPr="00D81BFA" w:rsidRDefault="00FF6F31" w:rsidP="003425BC">
            <w:pPr>
              <w:jc w:val="center"/>
              <w:rPr>
                <w:sz w:val="28"/>
                <w:szCs w:val="28"/>
              </w:rPr>
            </w:pPr>
            <w:r w:rsidRPr="00D81BFA">
              <w:rPr>
                <w:sz w:val="28"/>
                <w:szCs w:val="28"/>
              </w:rPr>
              <w:t>Nerve</w:t>
            </w:r>
          </w:p>
        </w:tc>
        <w:tc>
          <w:tcPr>
            <w:tcW w:w="2263" w:type="dxa"/>
            <w:gridSpan w:val="2"/>
          </w:tcPr>
          <w:p w:rsidR="00FF6F31" w:rsidRPr="00D81BFA" w:rsidRDefault="00FF6F31" w:rsidP="003425BC">
            <w:pPr>
              <w:jc w:val="center"/>
              <w:cnfStyle w:val="100000000000"/>
              <w:rPr>
                <w:sz w:val="28"/>
                <w:szCs w:val="28"/>
              </w:rPr>
            </w:pPr>
            <w:r w:rsidRPr="00D81BFA">
              <w:rPr>
                <w:sz w:val="28"/>
                <w:szCs w:val="28"/>
              </w:rPr>
              <w:t>Latency</w:t>
            </w:r>
          </w:p>
          <w:p w:rsidR="00FF6F31" w:rsidRPr="00D81BFA" w:rsidRDefault="00FF6F31" w:rsidP="003425BC">
            <w:pPr>
              <w:jc w:val="center"/>
              <w:cnfStyle w:val="100000000000"/>
              <w:rPr>
                <w:sz w:val="28"/>
                <w:szCs w:val="28"/>
              </w:rPr>
            </w:pPr>
            <w:r w:rsidRPr="00D81BFA">
              <w:rPr>
                <w:sz w:val="28"/>
                <w:szCs w:val="28"/>
              </w:rPr>
              <w:t>(ms)</w:t>
            </w:r>
          </w:p>
        </w:tc>
        <w:tc>
          <w:tcPr>
            <w:tcW w:w="2835" w:type="dxa"/>
            <w:gridSpan w:val="2"/>
          </w:tcPr>
          <w:p w:rsidR="00FF6F31" w:rsidRPr="00D81BFA" w:rsidRDefault="00FF6F31" w:rsidP="003425BC">
            <w:pPr>
              <w:jc w:val="center"/>
              <w:cnfStyle w:val="100000000000"/>
              <w:rPr>
                <w:sz w:val="28"/>
                <w:szCs w:val="28"/>
              </w:rPr>
            </w:pPr>
            <w:r w:rsidRPr="00D81BFA">
              <w:rPr>
                <w:sz w:val="28"/>
                <w:szCs w:val="28"/>
              </w:rPr>
              <w:t>Amplitude</w:t>
            </w:r>
          </w:p>
          <w:p w:rsidR="00FF6F31" w:rsidRPr="00D81BFA" w:rsidRDefault="00FF6F31" w:rsidP="003425BC">
            <w:pPr>
              <w:jc w:val="center"/>
              <w:cnfStyle w:val="100000000000"/>
              <w:rPr>
                <w:sz w:val="28"/>
                <w:szCs w:val="28"/>
              </w:rPr>
            </w:pPr>
            <w:r w:rsidRPr="00D81BFA">
              <w:rPr>
                <w:sz w:val="28"/>
                <w:szCs w:val="28"/>
              </w:rPr>
              <w:t>(mv)</w:t>
            </w:r>
          </w:p>
        </w:tc>
        <w:tc>
          <w:tcPr>
            <w:tcW w:w="1560" w:type="dxa"/>
          </w:tcPr>
          <w:p w:rsidR="00FF6F31" w:rsidRPr="00D81BFA" w:rsidRDefault="00FF6F31" w:rsidP="003425BC">
            <w:pPr>
              <w:jc w:val="center"/>
              <w:cnfStyle w:val="100000000000"/>
              <w:rPr>
                <w:sz w:val="28"/>
                <w:szCs w:val="28"/>
              </w:rPr>
            </w:pPr>
            <w:r w:rsidRPr="00D81BFA">
              <w:rPr>
                <w:sz w:val="28"/>
                <w:szCs w:val="28"/>
              </w:rPr>
              <w:t>NCV</w:t>
            </w:r>
          </w:p>
          <w:p w:rsidR="00FF6F31" w:rsidRPr="00D81BFA" w:rsidRDefault="00FF6F31" w:rsidP="003425BC">
            <w:pPr>
              <w:jc w:val="center"/>
              <w:cnfStyle w:val="100000000000"/>
              <w:rPr>
                <w:sz w:val="28"/>
                <w:szCs w:val="28"/>
              </w:rPr>
            </w:pPr>
            <w:r w:rsidRPr="00D81BFA">
              <w:rPr>
                <w:sz w:val="28"/>
                <w:szCs w:val="28"/>
              </w:rPr>
              <w:t>(m/s)</w:t>
            </w:r>
          </w:p>
        </w:tc>
        <w:tc>
          <w:tcPr>
            <w:tcW w:w="1275" w:type="dxa"/>
          </w:tcPr>
          <w:p w:rsidR="00FF6F31" w:rsidRPr="00D81BFA" w:rsidRDefault="00FF6F31" w:rsidP="003425BC">
            <w:pPr>
              <w:jc w:val="center"/>
              <w:cnfStyle w:val="100000000000"/>
              <w:rPr>
                <w:sz w:val="28"/>
                <w:szCs w:val="28"/>
              </w:rPr>
            </w:pPr>
            <w:r w:rsidRPr="00D81BFA">
              <w:rPr>
                <w:sz w:val="28"/>
                <w:szCs w:val="28"/>
              </w:rPr>
              <w:t>F-Min</w:t>
            </w:r>
          </w:p>
        </w:tc>
      </w:tr>
      <w:tr w:rsidR="00FF6F31" w:rsidRPr="00D81BFA" w:rsidTr="007525C6">
        <w:tc>
          <w:tcPr>
            <w:cnfStyle w:val="001000000000"/>
            <w:tcW w:w="1134" w:type="dxa"/>
          </w:tcPr>
          <w:p w:rsidR="00FF6F31" w:rsidRPr="00D81BFA" w:rsidRDefault="00FF6F31" w:rsidP="003425BC">
            <w:pPr>
              <w:jc w:val="center"/>
              <w:rPr>
                <w:sz w:val="28"/>
                <w:szCs w:val="28"/>
              </w:rPr>
            </w:pPr>
          </w:p>
        </w:tc>
        <w:tc>
          <w:tcPr>
            <w:tcW w:w="1129" w:type="dxa"/>
          </w:tcPr>
          <w:p w:rsidR="00FF6F31" w:rsidRPr="00D81BFA" w:rsidRDefault="00FF6F31" w:rsidP="003425BC">
            <w:pPr>
              <w:jc w:val="center"/>
              <w:cnfStyle w:val="000000000000"/>
              <w:rPr>
                <w:sz w:val="28"/>
                <w:szCs w:val="28"/>
              </w:rPr>
            </w:pPr>
            <w:r w:rsidRPr="00D81BFA">
              <w:rPr>
                <w:sz w:val="28"/>
                <w:szCs w:val="28"/>
              </w:rPr>
              <w:t>D</w:t>
            </w:r>
          </w:p>
        </w:tc>
        <w:tc>
          <w:tcPr>
            <w:tcW w:w="1134" w:type="dxa"/>
          </w:tcPr>
          <w:p w:rsidR="00FF6F31" w:rsidRPr="00D81BFA" w:rsidRDefault="00FF6F31" w:rsidP="003425BC">
            <w:pPr>
              <w:jc w:val="center"/>
              <w:cnfStyle w:val="000000000000"/>
              <w:rPr>
                <w:sz w:val="28"/>
                <w:szCs w:val="28"/>
              </w:rPr>
            </w:pPr>
            <w:r w:rsidRPr="00D81BFA">
              <w:rPr>
                <w:sz w:val="28"/>
                <w:szCs w:val="28"/>
              </w:rPr>
              <w:t>P</w:t>
            </w:r>
          </w:p>
        </w:tc>
        <w:tc>
          <w:tcPr>
            <w:tcW w:w="1134" w:type="dxa"/>
          </w:tcPr>
          <w:p w:rsidR="00FF6F31" w:rsidRPr="00D81BFA" w:rsidRDefault="00FF6F31" w:rsidP="003425BC">
            <w:pPr>
              <w:jc w:val="center"/>
              <w:cnfStyle w:val="000000000000"/>
              <w:rPr>
                <w:sz w:val="28"/>
                <w:szCs w:val="28"/>
              </w:rPr>
            </w:pPr>
            <w:r w:rsidRPr="00D81BFA">
              <w:rPr>
                <w:sz w:val="28"/>
                <w:szCs w:val="28"/>
              </w:rPr>
              <w:t>D</w:t>
            </w:r>
          </w:p>
        </w:tc>
        <w:tc>
          <w:tcPr>
            <w:tcW w:w="1701" w:type="dxa"/>
          </w:tcPr>
          <w:p w:rsidR="00FF6F31" w:rsidRPr="00D81BFA" w:rsidRDefault="00FF6F31" w:rsidP="003425BC">
            <w:pPr>
              <w:jc w:val="center"/>
              <w:cnfStyle w:val="000000000000"/>
              <w:rPr>
                <w:sz w:val="28"/>
                <w:szCs w:val="28"/>
              </w:rPr>
            </w:pPr>
            <w:r w:rsidRPr="00D81BFA">
              <w:rPr>
                <w:sz w:val="28"/>
                <w:szCs w:val="28"/>
              </w:rPr>
              <w:t>P</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Rt. CPN</w:t>
            </w:r>
          </w:p>
        </w:tc>
        <w:tc>
          <w:tcPr>
            <w:tcW w:w="1129" w:type="dxa"/>
          </w:tcPr>
          <w:p w:rsidR="00FF6F31" w:rsidRPr="00D81BFA" w:rsidRDefault="00FF6F31" w:rsidP="003425BC">
            <w:pPr>
              <w:jc w:val="center"/>
              <w:cnfStyle w:val="000000000000"/>
              <w:rPr>
                <w:sz w:val="28"/>
                <w:szCs w:val="28"/>
              </w:rPr>
            </w:pPr>
            <w:r w:rsidRPr="00D81BFA">
              <w:rPr>
                <w:sz w:val="28"/>
                <w:szCs w:val="28"/>
              </w:rPr>
              <w:t>5.37</w:t>
            </w:r>
          </w:p>
        </w:tc>
        <w:tc>
          <w:tcPr>
            <w:tcW w:w="1134" w:type="dxa"/>
          </w:tcPr>
          <w:p w:rsidR="00FF6F31" w:rsidRPr="00D81BFA" w:rsidRDefault="00FF6F31" w:rsidP="003425BC">
            <w:pPr>
              <w:jc w:val="center"/>
              <w:cnfStyle w:val="000000000000"/>
              <w:rPr>
                <w:sz w:val="28"/>
                <w:szCs w:val="28"/>
              </w:rPr>
            </w:pPr>
            <w:r w:rsidRPr="00D81BFA">
              <w:rPr>
                <w:sz w:val="28"/>
                <w:szCs w:val="28"/>
              </w:rPr>
              <w:t>12.19</w:t>
            </w:r>
          </w:p>
        </w:tc>
        <w:tc>
          <w:tcPr>
            <w:tcW w:w="1134" w:type="dxa"/>
          </w:tcPr>
          <w:p w:rsidR="00FF6F31" w:rsidRPr="00D81BFA" w:rsidRDefault="00FF6F31" w:rsidP="003425BC">
            <w:pPr>
              <w:jc w:val="center"/>
              <w:cnfStyle w:val="000000000000"/>
              <w:rPr>
                <w:sz w:val="28"/>
                <w:szCs w:val="28"/>
              </w:rPr>
            </w:pPr>
            <w:r w:rsidRPr="00D81BFA">
              <w:rPr>
                <w:sz w:val="28"/>
                <w:szCs w:val="28"/>
              </w:rPr>
              <w:t>1.58</w:t>
            </w:r>
          </w:p>
        </w:tc>
        <w:tc>
          <w:tcPr>
            <w:tcW w:w="1701" w:type="dxa"/>
          </w:tcPr>
          <w:p w:rsidR="00FF6F31" w:rsidRPr="00D81BFA" w:rsidRDefault="00FF6F31" w:rsidP="003425BC">
            <w:pPr>
              <w:spacing w:after="200" w:line="276" w:lineRule="auto"/>
              <w:jc w:val="center"/>
              <w:cnfStyle w:val="000000000000"/>
              <w:rPr>
                <w:sz w:val="28"/>
                <w:szCs w:val="28"/>
              </w:rPr>
            </w:pPr>
            <w:r w:rsidRPr="00D81BFA">
              <w:rPr>
                <w:sz w:val="28"/>
                <w:szCs w:val="28"/>
              </w:rPr>
              <w:t>1.14</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46.92</w:t>
            </w:r>
          </w:p>
          <w:p w:rsidR="00FF6F31" w:rsidRPr="00D81BFA" w:rsidRDefault="00FF6F31" w:rsidP="003425BC">
            <w:pPr>
              <w:jc w:val="center"/>
              <w:cnfStyle w:val="000000000000"/>
              <w:rPr>
                <w:sz w:val="28"/>
                <w:szCs w:val="28"/>
              </w:rPr>
            </w:pPr>
          </w:p>
        </w:tc>
        <w:tc>
          <w:tcPr>
            <w:tcW w:w="1275" w:type="dxa"/>
          </w:tcPr>
          <w:p w:rsidR="00FF6F31" w:rsidRPr="00567EC1" w:rsidRDefault="00567EC1" w:rsidP="003425BC">
            <w:pPr>
              <w:jc w:val="center"/>
              <w:cnfStyle w:val="000000000000"/>
              <w:rPr>
                <w:sz w:val="28"/>
                <w:szCs w:val="28"/>
                <w:lang w:val="en-US"/>
              </w:rPr>
            </w:pPr>
            <w:r>
              <w:rPr>
                <w:sz w:val="28"/>
                <w:szCs w:val="28"/>
                <w:lang w:val="en-US"/>
              </w:rPr>
              <w:t>51.27</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Lt. CPN</w:t>
            </w:r>
          </w:p>
        </w:tc>
        <w:tc>
          <w:tcPr>
            <w:tcW w:w="1129" w:type="dxa"/>
          </w:tcPr>
          <w:p w:rsidR="00FF6F31" w:rsidRPr="00D81BFA" w:rsidRDefault="00FF6F31" w:rsidP="003425BC">
            <w:pPr>
              <w:jc w:val="center"/>
              <w:cnfStyle w:val="000000000000"/>
              <w:rPr>
                <w:sz w:val="28"/>
                <w:szCs w:val="28"/>
              </w:rPr>
            </w:pPr>
            <w:r w:rsidRPr="00D81BFA">
              <w:rPr>
                <w:sz w:val="28"/>
                <w:szCs w:val="28"/>
              </w:rPr>
              <w:t>4.31</w:t>
            </w:r>
          </w:p>
        </w:tc>
        <w:tc>
          <w:tcPr>
            <w:tcW w:w="1134" w:type="dxa"/>
          </w:tcPr>
          <w:p w:rsidR="00FF6F31" w:rsidRPr="00D81BFA" w:rsidRDefault="00FF6F31" w:rsidP="003425BC">
            <w:pPr>
              <w:jc w:val="center"/>
              <w:cnfStyle w:val="000000000000"/>
              <w:rPr>
                <w:sz w:val="28"/>
                <w:szCs w:val="28"/>
              </w:rPr>
            </w:pPr>
            <w:r w:rsidRPr="00D81BFA">
              <w:rPr>
                <w:sz w:val="28"/>
                <w:szCs w:val="28"/>
              </w:rPr>
              <w:t>11.19</w:t>
            </w:r>
          </w:p>
        </w:tc>
        <w:tc>
          <w:tcPr>
            <w:tcW w:w="1134" w:type="dxa"/>
          </w:tcPr>
          <w:p w:rsidR="00FF6F31" w:rsidRPr="00D81BFA" w:rsidRDefault="00FF6F31" w:rsidP="003425BC">
            <w:pPr>
              <w:jc w:val="center"/>
              <w:cnfStyle w:val="000000000000"/>
              <w:rPr>
                <w:sz w:val="28"/>
                <w:szCs w:val="28"/>
              </w:rPr>
            </w:pPr>
            <w:r w:rsidRPr="00D81BFA">
              <w:rPr>
                <w:sz w:val="28"/>
                <w:szCs w:val="28"/>
              </w:rPr>
              <w:t>1.81</w:t>
            </w:r>
          </w:p>
        </w:tc>
        <w:tc>
          <w:tcPr>
            <w:tcW w:w="1701" w:type="dxa"/>
          </w:tcPr>
          <w:p w:rsidR="00FF6F31" w:rsidRPr="00D81BFA" w:rsidRDefault="00FF6F31" w:rsidP="003425BC">
            <w:pPr>
              <w:jc w:val="center"/>
              <w:cnfStyle w:val="000000000000"/>
              <w:rPr>
                <w:sz w:val="28"/>
                <w:szCs w:val="28"/>
              </w:rPr>
            </w:pPr>
            <w:r w:rsidRPr="00D81BFA">
              <w:rPr>
                <w:sz w:val="28"/>
                <w:szCs w:val="28"/>
              </w:rPr>
              <w:t>0.98</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46.51</w:t>
            </w:r>
          </w:p>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r w:rsidRPr="00D81BFA">
              <w:rPr>
                <w:sz w:val="28"/>
                <w:szCs w:val="28"/>
              </w:rPr>
              <w:t>50.00</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Rt. PTN</w:t>
            </w:r>
          </w:p>
        </w:tc>
        <w:tc>
          <w:tcPr>
            <w:tcW w:w="1129" w:type="dxa"/>
          </w:tcPr>
          <w:p w:rsidR="00FF6F31" w:rsidRPr="00D81BFA" w:rsidRDefault="0062032D" w:rsidP="003425BC">
            <w:pPr>
              <w:jc w:val="center"/>
              <w:cnfStyle w:val="000000000000"/>
              <w:rPr>
                <w:sz w:val="28"/>
                <w:szCs w:val="28"/>
              </w:rPr>
            </w:pPr>
            <w:r>
              <w:rPr>
                <w:sz w:val="28"/>
                <w:szCs w:val="28"/>
                <w:lang w:val="en-US"/>
              </w:rPr>
              <w:t>5</w:t>
            </w:r>
            <w:r w:rsidR="00FF6F31" w:rsidRPr="00D81BFA">
              <w:rPr>
                <w:sz w:val="28"/>
                <w:szCs w:val="28"/>
              </w:rPr>
              <w:t>.69</w:t>
            </w:r>
          </w:p>
        </w:tc>
        <w:tc>
          <w:tcPr>
            <w:tcW w:w="1134" w:type="dxa"/>
          </w:tcPr>
          <w:p w:rsidR="00FF6F31" w:rsidRPr="00D81BFA" w:rsidRDefault="00FF6F31" w:rsidP="003425BC">
            <w:pPr>
              <w:jc w:val="center"/>
              <w:cnfStyle w:val="000000000000"/>
              <w:rPr>
                <w:sz w:val="28"/>
                <w:szCs w:val="28"/>
              </w:rPr>
            </w:pPr>
            <w:r w:rsidRPr="00D81BFA">
              <w:rPr>
                <w:sz w:val="28"/>
                <w:szCs w:val="28"/>
              </w:rPr>
              <w:t>17.31</w:t>
            </w:r>
          </w:p>
        </w:tc>
        <w:tc>
          <w:tcPr>
            <w:tcW w:w="1134" w:type="dxa"/>
          </w:tcPr>
          <w:p w:rsidR="00FF6F31" w:rsidRPr="00D81BFA" w:rsidRDefault="00FF6F31" w:rsidP="003425BC">
            <w:pPr>
              <w:jc w:val="center"/>
              <w:cnfStyle w:val="000000000000"/>
              <w:rPr>
                <w:sz w:val="28"/>
                <w:szCs w:val="28"/>
              </w:rPr>
            </w:pPr>
            <w:r w:rsidRPr="00D81BFA">
              <w:rPr>
                <w:sz w:val="28"/>
                <w:szCs w:val="28"/>
              </w:rPr>
              <w:t>4.48</w:t>
            </w:r>
          </w:p>
        </w:tc>
        <w:tc>
          <w:tcPr>
            <w:tcW w:w="1701" w:type="dxa"/>
          </w:tcPr>
          <w:p w:rsidR="00FF6F31" w:rsidRPr="00D81BFA" w:rsidRDefault="00FF6F31" w:rsidP="003425BC">
            <w:pPr>
              <w:jc w:val="center"/>
              <w:cnfStyle w:val="000000000000"/>
              <w:rPr>
                <w:sz w:val="28"/>
                <w:szCs w:val="28"/>
              </w:rPr>
            </w:pPr>
            <w:r w:rsidRPr="00D81BFA">
              <w:rPr>
                <w:sz w:val="28"/>
                <w:szCs w:val="28"/>
              </w:rPr>
              <w:t>2.51</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48.86</w:t>
            </w:r>
          </w:p>
          <w:p w:rsidR="00FF6F31" w:rsidRPr="00D81BFA" w:rsidRDefault="00FF6F31" w:rsidP="003425BC">
            <w:pPr>
              <w:jc w:val="center"/>
              <w:cnfStyle w:val="000000000000"/>
              <w:rPr>
                <w:sz w:val="28"/>
                <w:szCs w:val="28"/>
              </w:rPr>
            </w:pPr>
          </w:p>
        </w:tc>
        <w:tc>
          <w:tcPr>
            <w:tcW w:w="1275" w:type="dxa"/>
          </w:tcPr>
          <w:p w:rsidR="00FF6F31" w:rsidRPr="00D81BFA" w:rsidRDefault="001F44D4" w:rsidP="003425BC">
            <w:pPr>
              <w:jc w:val="center"/>
              <w:cnfStyle w:val="000000000000"/>
              <w:rPr>
                <w:sz w:val="28"/>
                <w:szCs w:val="28"/>
              </w:rPr>
            </w:pPr>
            <w:r>
              <w:rPr>
                <w:sz w:val="28"/>
                <w:szCs w:val="28"/>
                <w:lang w:val="en-US"/>
              </w:rPr>
              <w:t>4</w:t>
            </w:r>
            <w:r w:rsidR="00FF6F31" w:rsidRPr="00D81BFA">
              <w:rPr>
                <w:sz w:val="28"/>
                <w:szCs w:val="28"/>
              </w:rPr>
              <w:t>6.87</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Lt. PTN</w:t>
            </w:r>
          </w:p>
        </w:tc>
        <w:tc>
          <w:tcPr>
            <w:tcW w:w="1129" w:type="dxa"/>
          </w:tcPr>
          <w:p w:rsidR="00FF6F31" w:rsidRPr="00D81BFA" w:rsidRDefault="00FF6F31" w:rsidP="003425BC">
            <w:pPr>
              <w:jc w:val="center"/>
              <w:cnfStyle w:val="000000000000"/>
              <w:rPr>
                <w:sz w:val="28"/>
                <w:szCs w:val="28"/>
              </w:rPr>
            </w:pPr>
            <w:r w:rsidRPr="00D81BFA">
              <w:rPr>
                <w:sz w:val="28"/>
                <w:szCs w:val="28"/>
              </w:rPr>
              <w:t>5.56</w:t>
            </w:r>
          </w:p>
        </w:tc>
        <w:tc>
          <w:tcPr>
            <w:tcW w:w="1134" w:type="dxa"/>
          </w:tcPr>
          <w:p w:rsidR="00FF6F31" w:rsidRPr="00D81BFA" w:rsidRDefault="00FF6F31" w:rsidP="003425BC">
            <w:pPr>
              <w:jc w:val="center"/>
              <w:cnfStyle w:val="000000000000"/>
              <w:rPr>
                <w:sz w:val="28"/>
                <w:szCs w:val="28"/>
              </w:rPr>
            </w:pPr>
            <w:r w:rsidRPr="00D81BFA">
              <w:rPr>
                <w:sz w:val="28"/>
                <w:szCs w:val="28"/>
              </w:rPr>
              <w:t>16.12</w:t>
            </w:r>
          </w:p>
        </w:tc>
        <w:tc>
          <w:tcPr>
            <w:tcW w:w="1134" w:type="dxa"/>
          </w:tcPr>
          <w:p w:rsidR="00FF6F31" w:rsidRPr="00D81BFA" w:rsidRDefault="00FF6F31" w:rsidP="003425BC">
            <w:pPr>
              <w:jc w:val="center"/>
              <w:cnfStyle w:val="000000000000"/>
              <w:rPr>
                <w:sz w:val="28"/>
                <w:szCs w:val="28"/>
              </w:rPr>
            </w:pPr>
            <w:r w:rsidRPr="00D81BFA">
              <w:rPr>
                <w:sz w:val="28"/>
                <w:szCs w:val="28"/>
              </w:rPr>
              <w:t>1.98</w:t>
            </w:r>
          </w:p>
        </w:tc>
        <w:tc>
          <w:tcPr>
            <w:tcW w:w="1701" w:type="dxa"/>
          </w:tcPr>
          <w:p w:rsidR="00FF6F31" w:rsidRPr="00D81BFA" w:rsidRDefault="00FF6F31" w:rsidP="003425BC">
            <w:pPr>
              <w:jc w:val="center"/>
              <w:cnfStyle w:val="000000000000"/>
              <w:rPr>
                <w:sz w:val="28"/>
                <w:szCs w:val="28"/>
              </w:rPr>
            </w:pPr>
            <w:r w:rsidRPr="00D81BFA">
              <w:rPr>
                <w:sz w:val="28"/>
                <w:szCs w:val="28"/>
              </w:rPr>
              <w:t>1.17</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44.51</w:t>
            </w:r>
          </w:p>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r w:rsidRPr="00D81BFA">
              <w:rPr>
                <w:sz w:val="28"/>
                <w:szCs w:val="28"/>
              </w:rPr>
              <w:t>51.37</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Rt. Median</w:t>
            </w:r>
          </w:p>
        </w:tc>
        <w:tc>
          <w:tcPr>
            <w:tcW w:w="1129" w:type="dxa"/>
          </w:tcPr>
          <w:p w:rsidR="00FF6F31" w:rsidRPr="00D81BFA" w:rsidRDefault="00FF6F31" w:rsidP="003425BC">
            <w:pPr>
              <w:jc w:val="center"/>
              <w:cnfStyle w:val="000000000000"/>
              <w:rPr>
                <w:sz w:val="28"/>
                <w:szCs w:val="28"/>
              </w:rPr>
            </w:pPr>
            <w:r w:rsidRPr="00D81BFA">
              <w:rPr>
                <w:sz w:val="28"/>
                <w:szCs w:val="28"/>
              </w:rPr>
              <w:t>2.75</w:t>
            </w:r>
          </w:p>
        </w:tc>
        <w:tc>
          <w:tcPr>
            <w:tcW w:w="1134" w:type="dxa"/>
          </w:tcPr>
          <w:p w:rsidR="00FF6F31" w:rsidRPr="00D81BFA" w:rsidRDefault="00FF6F31" w:rsidP="003425BC">
            <w:pPr>
              <w:jc w:val="center"/>
              <w:cnfStyle w:val="000000000000"/>
              <w:rPr>
                <w:sz w:val="28"/>
                <w:szCs w:val="28"/>
              </w:rPr>
            </w:pPr>
            <w:r w:rsidRPr="00D81BFA">
              <w:rPr>
                <w:sz w:val="28"/>
                <w:szCs w:val="28"/>
              </w:rPr>
              <w:t>7.31</w:t>
            </w:r>
          </w:p>
        </w:tc>
        <w:tc>
          <w:tcPr>
            <w:tcW w:w="1134" w:type="dxa"/>
          </w:tcPr>
          <w:p w:rsidR="00FF6F31" w:rsidRPr="00D81BFA" w:rsidRDefault="00FF6F31" w:rsidP="003425BC">
            <w:pPr>
              <w:jc w:val="center"/>
              <w:cnfStyle w:val="000000000000"/>
              <w:rPr>
                <w:sz w:val="28"/>
                <w:szCs w:val="28"/>
              </w:rPr>
            </w:pPr>
            <w:r w:rsidRPr="00D81BFA">
              <w:rPr>
                <w:sz w:val="28"/>
                <w:szCs w:val="28"/>
              </w:rPr>
              <w:t>13.37</w:t>
            </w:r>
          </w:p>
        </w:tc>
        <w:tc>
          <w:tcPr>
            <w:tcW w:w="1701" w:type="dxa"/>
          </w:tcPr>
          <w:p w:rsidR="00FF6F31" w:rsidRPr="00D81BFA" w:rsidRDefault="00FF6F31" w:rsidP="003425BC">
            <w:pPr>
              <w:jc w:val="center"/>
              <w:cnfStyle w:val="000000000000"/>
              <w:rPr>
                <w:sz w:val="28"/>
                <w:szCs w:val="28"/>
              </w:rPr>
            </w:pPr>
            <w:r w:rsidRPr="00D81BFA">
              <w:rPr>
                <w:sz w:val="28"/>
                <w:szCs w:val="28"/>
              </w:rPr>
              <w:t>12.08</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59.21</w:t>
            </w:r>
          </w:p>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r w:rsidRPr="00D81BFA">
              <w:rPr>
                <w:sz w:val="28"/>
                <w:szCs w:val="28"/>
              </w:rPr>
              <w:t>27.56</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Rt. Ulnar</w:t>
            </w:r>
          </w:p>
        </w:tc>
        <w:tc>
          <w:tcPr>
            <w:tcW w:w="1129" w:type="dxa"/>
          </w:tcPr>
          <w:p w:rsidR="00FF6F31" w:rsidRPr="00D81BFA" w:rsidRDefault="00FF6F31" w:rsidP="003425BC">
            <w:pPr>
              <w:jc w:val="center"/>
              <w:cnfStyle w:val="000000000000"/>
              <w:rPr>
                <w:sz w:val="28"/>
                <w:szCs w:val="28"/>
              </w:rPr>
            </w:pPr>
            <w:r w:rsidRPr="00D81BFA">
              <w:rPr>
                <w:sz w:val="28"/>
                <w:szCs w:val="28"/>
              </w:rPr>
              <w:t>3.06</w:t>
            </w:r>
          </w:p>
        </w:tc>
        <w:tc>
          <w:tcPr>
            <w:tcW w:w="1134" w:type="dxa"/>
          </w:tcPr>
          <w:p w:rsidR="00FF6F31" w:rsidRPr="00D81BFA" w:rsidRDefault="00FF6F31" w:rsidP="003425BC">
            <w:pPr>
              <w:jc w:val="center"/>
              <w:cnfStyle w:val="000000000000"/>
              <w:rPr>
                <w:sz w:val="28"/>
                <w:szCs w:val="28"/>
              </w:rPr>
            </w:pPr>
            <w:r w:rsidRPr="00D81BFA">
              <w:rPr>
                <w:sz w:val="28"/>
                <w:szCs w:val="28"/>
              </w:rPr>
              <w:t>7.62</w:t>
            </w:r>
          </w:p>
        </w:tc>
        <w:tc>
          <w:tcPr>
            <w:tcW w:w="1134" w:type="dxa"/>
          </w:tcPr>
          <w:p w:rsidR="00FF6F31" w:rsidRPr="00D81BFA" w:rsidRDefault="00FF6F31" w:rsidP="003425BC">
            <w:pPr>
              <w:jc w:val="center"/>
              <w:cnfStyle w:val="000000000000"/>
              <w:rPr>
                <w:sz w:val="28"/>
                <w:szCs w:val="28"/>
              </w:rPr>
            </w:pPr>
            <w:r w:rsidRPr="00D81BFA">
              <w:rPr>
                <w:sz w:val="28"/>
                <w:szCs w:val="28"/>
              </w:rPr>
              <w:t>9.12</w:t>
            </w:r>
          </w:p>
        </w:tc>
        <w:tc>
          <w:tcPr>
            <w:tcW w:w="1701" w:type="dxa"/>
          </w:tcPr>
          <w:p w:rsidR="00FF6F31" w:rsidRPr="00D81BFA" w:rsidRDefault="00FF6F31" w:rsidP="003425BC">
            <w:pPr>
              <w:jc w:val="center"/>
              <w:cnfStyle w:val="000000000000"/>
              <w:rPr>
                <w:sz w:val="28"/>
                <w:szCs w:val="28"/>
              </w:rPr>
            </w:pPr>
            <w:r w:rsidRPr="00D81BFA">
              <w:rPr>
                <w:sz w:val="28"/>
                <w:szCs w:val="28"/>
              </w:rPr>
              <w:t>8.15</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57.02</w:t>
            </w:r>
          </w:p>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r w:rsidRPr="00D81BFA">
              <w:rPr>
                <w:sz w:val="28"/>
                <w:szCs w:val="28"/>
              </w:rPr>
              <w:t>26.75</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Lt.  Median</w:t>
            </w:r>
          </w:p>
        </w:tc>
        <w:tc>
          <w:tcPr>
            <w:tcW w:w="1129" w:type="dxa"/>
          </w:tcPr>
          <w:p w:rsidR="00FF6F31" w:rsidRPr="00D81BFA" w:rsidRDefault="00FF6F31" w:rsidP="003425BC">
            <w:pPr>
              <w:jc w:val="center"/>
              <w:cnfStyle w:val="000000000000"/>
              <w:rPr>
                <w:sz w:val="28"/>
                <w:szCs w:val="28"/>
              </w:rPr>
            </w:pPr>
            <w:r w:rsidRPr="00D81BFA">
              <w:rPr>
                <w:sz w:val="28"/>
                <w:szCs w:val="28"/>
              </w:rPr>
              <w:t>3.81</w:t>
            </w:r>
          </w:p>
        </w:tc>
        <w:tc>
          <w:tcPr>
            <w:tcW w:w="1134" w:type="dxa"/>
          </w:tcPr>
          <w:p w:rsidR="00FF6F31" w:rsidRPr="00D81BFA" w:rsidRDefault="00FF6F31" w:rsidP="003425BC">
            <w:pPr>
              <w:jc w:val="center"/>
              <w:cnfStyle w:val="000000000000"/>
              <w:rPr>
                <w:sz w:val="28"/>
                <w:szCs w:val="28"/>
              </w:rPr>
            </w:pPr>
            <w:r w:rsidRPr="00D81BFA">
              <w:rPr>
                <w:sz w:val="28"/>
                <w:szCs w:val="28"/>
              </w:rPr>
              <w:t>8.50</w:t>
            </w:r>
          </w:p>
        </w:tc>
        <w:tc>
          <w:tcPr>
            <w:tcW w:w="1134" w:type="dxa"/>
          </w:tcPr>
          <w:p w:rsidR="00FF6F31" w:rsidRPr="00D81BFA" w:rsidRDefault="00FF6F31" w:rsidP="003425BC">
            <w:pPr>
              <w:jc w:val="center"/>
              <w:cnfStyle w:val="000000000000"/>
              <w:rPr>
                <w:sz w:val="28"/>
                <w:szCs w:val="28"/>
              </w:rPr>
            </w:pPr>
            <w:r w:rsidRPr="00D81BFA">
              <w:rPr>
                <w:sz w:val="28"/>
                <w:szCs w:val="28"/>
              </w:rPr>
              <w:t>8.49</w:t>
            </w:r>
          </w:p>
        </w:tc>
        <w:tc>
          <w:tcPr>
            <w:tcW w:w="1701" w:type="dxa"/>
          </w:tcPr>
          <w:p w:rsidR="00FF6F31" w:rsidRPr="00D81BFA" w:rsidRDefault="00FF6F31" w:rsidP="003425BC">
            <w:pPr>
              <w:jc w:val="center"/>
              <w:cnfStyle w:val="000000000000"/>
              <w:rPr>
                <w:sz w:val="28"/>
                <w:szCs w:val="28"/>
              </w:rPr>
            </w:pPr>
            <w:r w:rsidRPr="00D81BFA">
              <w:rPr>
                <w:sz w:val="28"/>
                <w:szCs w:val="28"/>
              </w:rPr>
              <w:t>7.86</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55.44</w:t>
            </w:r>
          </w:p>
          <w:p w:rsidR="00FF6F31" w:rsidRPr="00D81BFA" w:rsidRDefault="00FF6F31" w:rsidP="003425BC">
            <w:pPr>
              <w:jc w:val="center"/>
              <w:cnfStyle w:val="000000000000"/>
              <w:rPr>
                <w:sz w:val="28"/>
                <w:szCs w:val="28"/>
              </w:rPr>
            </w:pPr>
          </w:p>
        </w:tc>
        <w:tc>
          <w:tcPr>
            <w:tcW w:w="1275" w:type="dxa"/>
          </w:tcPr>
          <w:p w:rsidR="00FF6F31" w:rsidRPr="00D81BFA" w:rsidRDefault="00FF6F31" w:rsidP="003425BC">
            <w:pPr>
              <w:jc w:val="center"/>
              <w:cnfStyle w:val="000000000000"/>
              <w:rPr>
                <w:sz w:val="28"/>
                <w:szCs w:val="28"/>
              </w:rPr>
            </w:pPr>
            <w:r w:rsidRPr="00D81BFA">
              <w:rPr>
                <w:sz w:val="28"/>
                <w:szCs w:val="28"/>
              </w:rPr>
              <w:t>29.31</w:t>
            </w:r>
          </w:p>
        </w:tc>
      </w:tr>
      <w:tr w:rsidR="00FF6F31" w:rsidRPr="00D81BFA" w:rsidTr="007525C6">
        <w:tc>
          <w:tcPr>
            <w:cnfStyle w:val="001000000000"/>
            <w:tcW w:w="1134" w:type="dxa"/>
          </w:tcPr>
          <w:p w:rsidR="00FF6F31" w:rsidRPr="007525C6" w:rsidRDefault="00FF6F31" w:rsidP="003425BC">
            <w:pPr>
              <w:jc w:val="center"/>
              <w:rPr>
                <w:b w:val="0"/>
                <w:bCs w:val="0"/>
                <w:sz w:val="28"/>
                <w:szCs w:val="28"/>
              </w:rPr>
            </w:pPr>
            <w:r w:rsidRPr="007525C6">
              <w:rPr>
                <w:b w:val="0"/>
                <w:bCs w:val="0"/>
                <w:sz w:val="28"/>
                <w:szCs w:val="28"/>
              </w:rPr>
              <w:t>Lt. Ulnar</w:t>
            </w:r>
          </w:p>
        </w:tc>
        <w:tc>
          <w:tcPr>
            <w:tcW w:w="1129" w:type="dxa"/>
          </w:tcPr>
          <w:p w:rsidR="00FF6F31" w:rsidRPr="00D81BFA" w:rsidRDefault="00567EC1" w:rsidP="003425BC">
            <w:pPr>
              <w:jc w:val="center"/>
              <w:cnfStyle w:val="000000000000"/>
              <w:rPr>
                <w:sz w:val="28"/>
                <w:szCs w:val="28"/>
              </w:rPr>
            </w:pPr>
            <w:r>
              <w:rPr>
                <w:sz w:val="28"/>
                <w:szCs w:val="28"/>
                <w:lang w:val="en-US"/>
              </w:rPr>
              <w:t>3</w:t>
            </w:r>
            <w:r w:rsidR="00FF6F31" w:rsidRPr="00D81BFA">
              <w:rPr>
                <w:sz w:val="28"/>
                <w:szCs w:val="28"/>
              </w:rPr>
              <w:t>.25</w:t>
            </w:r>
          </w:p>
        </w:tc>
        <w:tc>
          <w:tcPr>
            <w:tcW w:w="1134" w:type="dxa"/>
          </w:tcPr>
          <w:p w:rsidR="00FF6F31" w:rsidRPr="00D81BFA" w:rsidRDefault="00FF6F31" w:rsidP="003425BC">
            <w:pPr>
              <w:jc w:val="center"/>
              <w:cnfStyle w:val="000000000000"/>
              <w:rPr>
                <w:sz w:val="28"/>
                <w:szCs w:val="28"/>
              </w:rPr>
            </w:pPr>
            <w:r w:rsidRPr="00D81BFA">
              <w:rPr>
                <w:sz w:val="28"/>
                <w:szCs w:val="28"/>
              </w:rPr>
              <w:t>8.87</w:t>
            </w:r>
          </w:p>
        </w:tc>
        <w:tc>
          <w:tcPr>
            <w:tcW w:w="1134" w:type="dxa"/>
          </w:tcPr>
          <w:p w:rsidR="00FF6F31" w:rsidRPr="00D81BFA" w:rsidRDefault="00FF6F31" w:rsidP="003425BC">
            <w:pPr>
              <w:jc w:val="center"/>
              <w:cnfStyle w:val="000000000000"/>
              <w:rPr>
                <w:sz w:val="28"/>
                <w:szCs w:val="28"/>
              </w:rPr>
            </w:pPr>
            <w:r w:rsidRPr="00D81BFA">
              <w:rPr>
                <w:sz w:val="28"/>
                <w:szCs w:val="28"/>
              </w:rPr>
              <w:t>10.01</w:t>
            </w:r>
          </w:p>
        </w:tc>
        <w:tc>
          <w:tcPr>
            <w:tcW w:w="1701" w:type="dxa"/>
          </w:tcPr>
          <w:p w:rsidR="00FF6F31" w:rsidRPr="00D81BFA" w:rsidRDefault="00FF6F31" w:rsidP="003425BC">
            <w:pPr>
              <w:jc w:val="center"/>
              <w:cnfStyle w:val="000000000000"/>
              <w:rPr>
                <w:sz w:val="28"/>
                <w:szCs w:val="28"/>
              </w:rPr>
            </w:pPr>
            <w:r w:rsidRPr="00D81BFA">
              <w:rPr>
                <w:sz w:val="28"/>
                <w:szCs w:val="28"/>
              </w:rPr>
              <w:t>8.12</w:t>
            </w:r>
          </w:p>
          <w:p w:rsidR="00FF6F31" w:rsidRPr="00D81BFA" w:rsidRDefault="00FF6F31" w:rsidP="003425BC">
            <w:pPr>
              <w:jc w:val="center"/>
              <w:cnfStyle w:val="000000000000"/>
              <w:rPr>
                <w:sz w:val="28"/>
                <w:szCs w:val="28"/>
              </w:rPr>
            </w:pPr>
          </w:p>
        </w:tc>
        <w:tc>
          <w:tcPr>
            <w:tcW w:w="1560" w:type="dxa"/>
          </w:tcPr>
          <w:p w:rsidR="00FF6F31" w:rsidRPr="00D81BFA" w:rsidRDefault="00FF6F31" w:rsidP="003425BC">
            <w:pPr>
              <w:jc w:val="center"/>
              <w:cnfStyle w:val="000000000000"/>
              <w:rPr>
                <w:sz w:val="28"/>
                <w:szCs w:val="28"/>
              </w:rPr>
            </w:pPr>
            <w:r w:rsidRPr="00D81BFA">
              <w:rPr>
                <w:sz w:val="28"/>
                <w:szCs w:val="28"/>
              </w:rPr>
              <w:t>54.11</w:t>
            </w:r>
          </w:p>
        </w:tc>
        <w:tc>
          <w:tcPr>
            <w:tcW w:w="1275" w:type="dxa"/>
          </w:tcPr>
          <w:p w:rsidR="00FF6F31" w:rsidRPr="00D81BFA" w:rsidRDefault="00FF6F31" w:rsidP="003425BC">
            <w:pPr>
              <w:jc w:val="center"/>
              <w:cnfStyle w:val="000000000000"/>
              <w:rPr>
                <w:sz w:val="28"/>
                <w:szCs w:val="28"/>
              </w:rPr>
            </w:pPr>
            <w:r w:rsidRPr="00D81BFA">
              <w:rPr>
                <w:sz w:val="28"/>
                <w:szCs w:val="28"/>
              </w:rPr>
              <w:t>29.81</w:t>
            </w:r>
          </w:p>
        </w:tc>
      </w:tr>
    </w:tbl>
    <w:p w:rsidR="00FF6F31" w:rsidRPr="00D81BFA" w:rsidRDefault="00FF6F31" w:rsidP="003425BC">
      <w:pPr>
        <w:rPr>
          <w:sz w:val="28"/>
          <w:szCs w:val="28"/>
        </w:rPr>
      </w:pPr>
      <w:r w:rsidRPr="00D81BFA">
        <w:rPr>
          <w:sz w:val="28"/>
          <w:szCs w:val="28"/>
        </w:rPr>
        <w:t>D: Distal</w:t>
      </w:r>
      <w:r w:rsidR="007525C6">
        <w:rPr>
          <w:sz w:val="28"/>
          <w:szCs w:val="28"/>
          <w:lang w:val="en-US"/>
        </w:rPr>
        <w:t>;</w:t>
      </w:r>
      <w:r w:rsidRPr="00D81BFA">
        <w:rPr>
          <w:sz w:val="28"/>
          <w:szCs w:val="28"/>
        </w:rPr>
        <w:t xml:space="preserve"> P: Proximal</w:t>
      </w:r>
      <w:r w:rsidR="007525C6">
        <w:rPr>
          <w:sz w:val="28"/>
          <w:szCs w:val="28"/>
          <w:lang w:val="en-US"/>
        </w:rPr>
        <w:t>;</w:t>
      </w:r>
      <w:r w:rsidRPr="00D81BFA">
        <w:rPr>
          <w:sz w:val="28"/>
          <w:szCs w:val="28"/>
        </w:rPr>
        <w:t xml:space="preserve"> Rt.: Right</w:t>
      </w:r>
      <w:r w:rsidR="007525C6">
        <w:rPr>
          <w:sz w:val="28"/>
          <w:szCs w:val="28"/>
          <w:lang w:val="en-US"/>
        </w:rPr>
        <w:t>;</w:t>
      </w:r>
      <w:r w:rsidRPr="00D81BFA">
        <w:rPr>
          <w:sz w:val="28"/>
          <w:szCs w:val="28"/>
        </w:rPr>
        <w:t xml:space="preserve"> Lt.: Left</w:t>
      </w:r>
      <w:r w:rsidR="007525C6">
        <w:rPr>
          <w:sz w:val="28"/>
          <w:szCs w:val="28"/>
          <w:lang w:val="en-US"/>
        </w:rPr>
        <w:t>;</w:t>
      </w:r>
      <w:r w:rsidRPr="00D81BFA">
        <w:rPr>
          <w:sz w:val="28"/>
          <w:szCs w:val="28"/>
        </w:rPr>
        <w:t xml:space="preserve"> NCV: Nerve conduction velocity</w:t>
      </w:r>
    </w:p>
    <w:p w:rsidR="00D81BFA" w:rsidRDefault="00D81BFA" w:rsidP="003425BC">
      <w:pPr>
        <w:rPr>
          <w:bCs/>
          <w:sz w:val="28"/>
          <w:szCs w:val="28"/>
        </w:rPr>
      </w:pPr>
    </w:p>
    <w:p w:rsidR="007525C6" w:rsidRDefault="007525C6">
      <w:pPr>
        <w:spacing w:after="200" w:line="276" w:lineRule="auto"/>
        <w:rPr>
          <w:b/>
          <w:sz w:val="28"/>
          <w:szCs w:val="28"/>
        </w:rPr>
      </w:pPr>
      <w:r>
        <w:rPr>
          <w:b/>
          <w:sz w:val="28"/>
          <w:szCs w:val="28"/>
        </w:rPr>
        <w:br w:type="page"/>
      </w:r>
    </w:p>
    <w:p w:rsidR="00FF6F31" w:rsidRDefault="00FF6F31" w:rsidP="003425BC">
      <w:pPr>
        <w:rPr>
          <w:b/>
          <w:sz w:val="28"/>
          <w:szCs w:val="28"/>
        </w:rPr>
      </w:pPr>
      <w:r w:rsidRPr="00063694">
        <w:rPr>
          <w:b/>
          <w:sz w:val="28"/>
          <w:szCs w:val="28"/>
        </w:rPr>
        <w:lastRenderedPageBreak/>
        <w:t xml:space="preserve">Table 2: Nerve conduction study: Sensory </w:t>
      </w:r>
    </w:p>
    <w:p w:rsidR="007525C6" w:rsidRPr="00063694" w:rsidRDefault="007525C6" w:rsidP="003425BC">
      <w:pPr>
        <w:rPr>
          <w:b/>
          <w:sz w:val="28"/>
          <w:szCs w:val="28"/>
        </w:rPr>
      </w:pPr>
    </w:p>
    <w:tbl>
      <w:tblPr>
        <w:tblStyle w:val="PlainTable2"/>
        <w:tblW w:w="0" w:type="auto"/>
        <w:tblLayout w:type="fixed"/>
        <w:tblLook w:val="06A0"/>
      </w:tblPr>
      <w:tblGrid>
        <w:gridCol w:w="2247"/>
        <w:gridCol w:w="2247"/>
        <w:gridCol w:w="2247"/>
        <w:gridCol w:w="2247"/>
      </w:tblGrid>
      <w:tr w:rsidR="00FF6F31" w:rsidRPr="00D81BFA" w:rsidTr="00063694">
        <w:trPr>
          <w:cnfStyle w:val="100000000000"/>
          <w:trHeight w:val="765"/>
        </w:trPr>
        <w:tc>
          <w:tcPr>
            <w:cnfStyle w:val="001000000000"/>
            <w:tcW w:w="2247" w:type="dxa"/>
          </w:tcPr>
          <w:p w:rsidR="00FF6F31" w:rsidRPr="00D81BFA" w:rsidRDefault="00FF6F31" w:rsidP="003425BC">
            <w:pPr>
              <w:rPr>
                <w:sz w:val="28"/>
                <w:szCs w:val="28"/>
              </w:rPr>
            </w:pPr>
            <w:r w:rsidRPr="00D81BFA">
              <w:rPr>
                <w:sz w:val="28"/>
                <w:szCs w:val="28"/>
              </w:rPr>
              <w:t>Nerve</w:t>
            </w:r>
          </w:p>
        </w:tc>
        <w:tc>
          <w:tcPr>
            <w:tcW w:w="2247" w:type="dxa"/>
          </w:tcPr>
          <w:p w:rsidR="00FF6F31" w:rsidRPr="00D81BFA" w:rsidRDefault="00FF6F31" w:rsidP="003425BC">
            <w:pPr>
              <w:cnfStyle w:val="100000000000"/>
              <w:rPr>
                <w:sz w:val="28"/>
                <w:szCs w:val="28"/>
              </w:rPr>
            </w:pPr>
            <w:r w:rsidRPr="00D81BFA">
              <w:rPr>
                <w:sz w:val="28"/>
                <w:szCs w:val="28"/>
              </w:rPr>
              <w:t>Latency(ms)</w:t>
            </w:r>
          </w:p>
        </w:tc>
        <w:tc>
          <w:tcPr>
            <w:tcW w:w="2247" w:type="dxa"/>
          </w:tcPr>
          <w:p w:rsidR="00FF6F31" w:rsidRPr="00D81BFA" w:rsidRDefault="00FF6F31" w:rsidP="003425BC">
            <w:pPr>
              <w:cnfStyle w:val="100000000000"/>
              <w:rPr>
                <w:sz w:val="28"/>
                <w:szCs w:val="28"/>
              </w:rPr>
            </w:pPr>
            <w:r w:rsidRPr="00D81BFA">
              <w:rPr>
                <w:sz w:val="28"/>
                <w:szCs w:val="28"/>
              </w:rPr>
              <w:t>Amplitude(µv)</w:t>
            </w:r>
          </w:p>
        </w:tc>
        <w:tc>
          <w:tcPr>
            <w:tcW w:w="2247" w:type="dxa"/>
          </w:tcPr>
          <w:p w:rsidR="00FF6F31" w:rsidRPr="00D81BFA" w:rsidRDefault="00FF6F31" w:rsidP="003425BC">
            <w:pPr>
              <w:cnfStyle w:val="100000000000"/>
              <w:rPr>
                <w:sz w:val="28"/>
                <w:szCs w:val="28"/>
              </w:rPr>
            </w:pPr>
            <w:r w:rsidRPr="00D81BFA">
              <w:rPr>
                <w:sz w:val="28"/>
                <w:szCs w:val="28"/>
              </w:rPr>
              <w:t>NCV(m/s)</w:t>
            </w:r>
          </w:p>
        </w:tc>
      </w:tr>
      <w:tr w:rsidR="00FF6F31" w:rsidRPr="00D81BFA" w:rsidTr="00063694">
        <w:trPr>
          <w:trHeight w:val="377"/>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Rt. Sural</w:t>
            </w:r>
          </w:p>
        </w:tc>
        <w:tc>
          <w:tcPr>
            <w:tcW w:w="2247" w:type="dxa"/>
          </w:tcPr>
          <w:p w:rsidR="00FF6F31" w:rsidRPr="00D81BFA" w:rsidRDefault="00FF6F31" w:rsidP="003425BC">
            <w:pPr>
              <w:cnfStyle w:val="000000000000"/>
              <w:rPr>
                <w:sz w:val="28"/>
                <w:szCs w:val="28"/>
              </w:rPr>
            </w:pPr>
            <w:r w:rsidRPr="00D81BFA">
              <w:rPr>
                <w:sz w:val="28"/>
                <w:szCs w:val="28"/>
              </w:rPr>
              <w:t>3.85</w:t>
            </w:r>
          </w:p>
        </w:tc>
        <w:tc>
          <w:tcPr>
            <w:tcW w:w="2247" w:type="dxa"/>
          </w:tcPr>
          <w:p w:rsidR="00FF6F31" w:rsidRPr="00D81BFA" w:rsidRDefault="00FF6F31" w:rsidP="003425BC">
            <w:pPr>
              <w:cnfStyle w:val="000000000000"/>
              <w:rPr>
                <w:sz w:val="28"/>
                <w:szCs w:val="28"/>
              </w:rPr>
            </w:pPr>
            <w:r w:rsidRPr="00D81BFA">
              <w:rPr>
                <w:sz w:val="28"/>
                <w:szCs w:val="28"/>
              </w:rPr>
              <w:t>20.37</w:t>
            </w:r>
          </w:p>
        </w:tc>
        <w:tc>
          <w:tcPr>
            <w:tcW w:w="2247" w:type="dxa"/>
          </w:tcPr>
          <w:p w:rsidR="00FF6F31" w:rsidRPr="00D81BFA" w:rsidRDefault="00FF6F31" w:rsidP="003425BC">
            <w:pPr>
              <w:cnfStyle w:val="000000000000"/>
              <w:rPr>
                <w:sz w:val="28"/>
                <w:szCs w:val="28"/>
              </w:rPr>
            </w:pPr>
            <w:r w:rsidRPr="00D81BFA">
              <w:rPr>
                <w:sz w:val="28"/>
                <w:szCs w:val="28"/>
              </w:rPr>
              <w:t>38.96</w:t>
            </w:r>
          </w:p>
        </w:tc>
      </w:tr>
      <w:tr w:rsidR="00FF6F31" w:rsidRPr="00D81BFA" w:rsidTr="00063694">
        <w:trPr>
          <w:trHeight w:val="387"/>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Lt. Sural</w:t>
            </w:r>
          </w:p>
        </w:tc>
        <w:tc>
          <w:tcPr>
            <w:tcW w:w="2247" w:type="dxa"/>
          </w:tcPr>
          <w:p w:rsidR="00FF6F31" w:rsidRPr="00D81BFA" w:rsidRDefault="00FF6F31" w:rsidP="003425BC">
            <w:pPr>
              <w:cnfStyle w:val="000000000000"/>
              <w:rPr>
                <w:sz w:val="28"/>
                <w:szCs w:val="28"/>
              </w:rPr>
            </w:pPr>
            <w:r w:rsidRPr="00D81BFA">
              <w:rPr>
                <w:sz w:val="28"/>
                <w:szCs w:val="28"/>
              </w:rPr>
              <w:t>3.45</w:t>
            </w:r>
          </w:p>
        </w:tc>
        <w:tc>
          <w:tcPr>
            <w:tcW w:w="2247" w:type="dxa"/>
          </w:tcPr>
          <w:p w:rsidR="00FF6F31" w:rsidRPr="00D81BFA" w:rsidRDefault="00FF6F31" w:rsidP="003425BC">
            <w:pPr>
              <w:cnfStyle w:val="000000000000"/>
              <w:rPr>
                <w:sz w:val="28"/>
                <w:szCs w:val="28"/>
              </w:rPr>
            </w:pPr>
            <w:r w:rsidRPr="00D81BFA">
              <w:rPr>
                <w:sz w:val="28"/>
                <w:szCs w:val="28"/>
              </w:rPr>
              <w:t>17.26</w:t>
            </w:r>
          </w:p>
        </w:tc>
        <w:tc>
          <w:tcPr>
            <w:tcW w:w="2247" w:type="dxa"/>
          </w:tcPr>
          <w:p w:rsidR="00FF6F31" w:rsidRPr="00D81BFA" w:rsidRDefault="00FF6F31" w:rsidP="003425BC">
            <w:pPr>
              <w:cnfStyle w:val="000000000000"/>
              <w:rPr>
                <w:sz w:val="28"/>
                <w:szCs w:val="28"/>
              </w:rPr>
            </w:pPr>
            <w:r w:rsidRPr="00D81BFA">
              <w:rPr>
                <w:sz w:val="28"/>
                <w:szCs w:val="28"/>
              </w:rPr>
              <w:t>43.48</w:t>
            </w:r>
          </w:p>
        </w:tc>
      </w:tr>
      <w:tr w:rsidR="00FF6F31" w:rsidRPr="00D81BFA" w:rsidTr="00063694">
        <w:trPr>
          <w:trHeight w:val="765"/>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Rt. Median</w:t>
            </w:r>
          </w:p>
        </w:tc>
        <w:tc>
          <w:tcPr>
            <w:tcW w:w="2247" w:type="dxa"/>
          </w:tcPr>
          <w:p w:rsidR="00FF6F31" w:rsidRPr="00D81BFA" w:rsidRDefault="00FF6F31" w:rsidP="003425BC">
            <w:pPr>
              <w:cnfStyle w:val="000000000000"/>
              <w:rPr>
                <w:sz w:val="28"/>
                <w:szCs w:val="28"/>
              </w:rPr>
            </w:pPr>
            <w:r w:rsidRPr="00D81BFA">
              <w:rPr>
                <w:sz w:val="28"/>
                <w:szCs w:val="28"/>
              </w:rPr>
              <w:t>2.78</w:t>
            </w:r>
          </w:p>
        </w:tc>
        <w:tc>
          <w:tcPr>
            <w:tcW w:w="2247" w:type="dxa"/>
          </w:tcPr>
          <w:p w:rsidR="00FF6F31" w:rsidRPr="00D81BFA" w:rsidRDefault="00FF6F31" w:rsidP="003425BC">
            <w:pPr>
              <w:cnfStyle w:val="000000000000"/>
              <w:rPr>
                <w:sz w:val="28"/>
                <w:szCs w:val="28"/>
              </w:rPr>
            </w:pPr>
            <w:r w:rsidRPr="00D81BFA">
              <w:rPr>
                <w:sz w:val="28"/>
                <w:szCs w:val="28"/>
              </w:rPr>
              <w:t>38.09</w:t>
            </w:r>
          </w:p>
        </w:tc>
        <w:tc>
          <w:tcPr>
            <w:tcW w:w="2247" w:type="dxa"/>
          </w:tcPr>
          <w:p w:rsidR="00FF6F31" w:rsidRPr="00D81BFA" w:rsidRDefault="00FF6F31" w:rsidP="003425BC">
            <w:pPr>
              <w:cnfStyle w:val="000000000000"/>
              <w:rPr>
                <w:sz w:val="28"/>
                <w:szCs w:val="28"/>
              </w:rPr>
            </w:pPr>
            <w:r w:rsidRPr="00D81BFA">
              <w:rPr>
                <w:sz w:val="28"/>
                <w:szCs w:val="28"/>
              </w:rPr>
              <w:t>61.15</w:t>
            </w:r>
          </w:p>
        </w:tc>
      </w:tr>
      <w:tr w:rsidR="00FF6F31" w:rsidRPr="00D81BFA" w:rsidTr="00063694">
        <w:trPr>
          <w:trHeight w:val="765"/>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Rt. Ulnar</w:t>
            </w:r>
          </w:p>
          <w:p w:rsidR="00FF6F31" w:rsidRPr="007525C6" w:rsidRDefault="00FF6F31" w:rsidP="003425BC">
            <w:pPr>
              <w:rPr>
                <w:b w:val="0"/>
                <w:bCs w:val="0"/>
                <w:sz w:val="28"/>
                <w:szCs w:val="28"/>
              </w:rPr>
            </w:pPr>
          </w:p>
        </w:tc>
        <w:tc>
          <w:tcPr>
            <w:tcW w:w="2247" w:type="dxa"/>
          </w:tcPr>
          <w:p w:rsidR="00FF6F31" w:rsidRPr="00D81BFA" w:rsidRDefault="00FF6F31" w:rsidP="003425BC">
            <w:pPr>
              <w:cnfStyle w:val="000000000000"/>
              <w:rPr>
                <w:sz w:val="28"/>
                <w:szCs w:val="28"/>
              </w:rPr>
            </w:pPr>
            <w:r w:rsidRPr="00D81BFA">
              <w:rPr>
                <w:sz w:val="28"/>
                <w:szCs w:val="28"/>
              </w:rPr>
              <w:t>2.48</w:t>
            </w:r>
          </w:p>
        </w:tc>
        <w:tc>
          <w:tcPr>
            <w:tcW w:w="2247" w:type="dxa"/>
          </w:tcPr>
          <w:p w:rsidR="00FF6F31" w:rsidRPr="00D81BFA" w:rsidRDefault="00FF6F31" w:rsidP="003425BC">
            <w:pPr>
              <w:cnfStyle w:val="000000000000"/>
              <w:rPr>
                <w:sz w:val="28"/>
                <w:szCs w:val="28"/>
              </w:rPr>
            </w:pPr>
            <w:r w:rsidRPr="00D81BFA">
              <w:rPr>
                <w:sz w:val="28"/>
                <w:szCs w:val="28"/>
              </w:rPr>
              <w:t>26.64</w:t>
            </w:r>
          </w:p>
        </w:tc>
        <w:tc>
          <w:tcPr>
            <w:tcW w:w="2247" w:type="dxa"/>
          </w:tcPr>
          <w:p w:rsidR="00FF6F31" w:rsidRPr="00D81BFA" w:rsidRDefault="00FF6F31" w:rsidP="003425BC">
            <w:pPr>
              <w:cnfStyle w:val="000000000000"/>
              <w:rPr>
                <w:sz w:val="28"/>
                <w:szCs w:val="28"/>
              </w:rPr>
            </w:pPr>
            <w:r w:rsidRPr="00D81BFA">
              <w:rPr>
                <w:sz w:val="28"/>
                <w:szCs w:val="28"/>
              </w:rPr>
              <w:t>60.48</w:t>
            </w:r>
          </w:p>
        </w:tc>
      </w:tr>
      <w:tr w:rsidR="00FF6F31" w:rsidRPr="00D81BFA" w:rsidTr="00063694">
        <w:trPr>
          <w:trHeight w:val="765"/>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Lt. Median</w:t>
            </w:r>
          </w:p>
          <w:p w:rsidR="00FF6F31" w:rsidRPr="007525C6" w:rsidRDefault="00FF6F31" w:rsidP="003425BC">
            <w:pPr>
              <w:rPr>
                <w:b w:val="0"/>
                <w:bCs w:val="0"/>
                <w:sz w:val="28"/>
                <w:szCs w:val="28"/>
              </w:rPr>
            </w:pPr>
          </w:p>
        </w:tc>
        <w:tc>
          <w:tcPr>
            <w:tcW w:w="2247" w:type="dxa"/>
          </w:tcPr>
          <w:p w:rsidR="00FF6F31" w:rsidRPr="00D81BFA" w:rsidRDefault="00FF6F31" w:rsidP="003425BC">
            <w:pPr>
              <w:cnfStyle w:val="000000000000"/>
              <w:rPr>
                <w:sz w:val="28"/>
                <w:szCs w:val="28"/>
              </w:rPr>
            </w:pPr>
            <w:r w:rsidRPr="00D81BFA">
              <w:rPr>
                <w:sz w:val="28"/>
                <w:szCs w:val="28"/>
              </w:rPr>
              <w:t>2.85</w:t>
            </w:r>
          </w:p>
        </w:tc>
        <w:tc>
          <w:tcPr>
            <w:tcW w:w="2247" w:type="dxa"/>
          </w:tcPr>
          <w:p w:rsidR="00FF6F31" w:rsidRPr="00D81BFA" w:rsidRDefault="00FF6F31" w:rsidP="003425BC">
            <w:pPr>
              <w:cnfStyle w:val="000000000000"/>
              <w:rPr>
                <w:sz w:val="28"/>
                <w:szCs w:val="28"/>
              </w:rPr>
            </w:pPr>
            <w:r w:rsidRPr="00D81BFA">
              <w:rPr>
                <w:sz w:val="28"/>
                <w:szCs w:val="28"/>
              </w:rPr>
              <w:t>41.87</w:t>
            </w:r>
          </w:p>
        </w:tc>
        <w:tc>
          <w:tcPr>
            <w:tcW w:w="2247" w:type="dxa"/>
          </w:tcPr>
          <w:p w:rsidR="00FF6F31" w:rsidRPr="00D81BFA" w:rsidRDefault="00FF6F31" w:rsidP="003425BC">
            <w:pPr>
              <w:cnfStyle w:val="000000000000"/>
              <w:rPr>
                <w:sz w:val="28"/>
                <w:szCs w:val="28"/>
              </w:rPr>
            </w:pPr>
            <w:r w:rsidRPr="00D81BFA">
              <w:rPr>
                <w:sz w:val="28"/>
                <w:szCs w:val="28"/>
              </w:rPr>
              <w:t>59.65</w:t>
            </w:r>
          </w:p>
        </w:tc>
      </w:tr>
      <w:tr w:rsidR="00FF6F31" w:rsidRPr="00D81BFA" w:rsidTr="00063694">
        <w:trPr>
          <w:trHeight w:val="753"/>
        </w:trPr>
        <w:tc>
          <w:tcPr>
            <w:cnfStyle w:val="001000000000"/>
            <w:tcW w:w="2247" w:type="dxa"/>
          </w:tcPr>
          <w:p w:rsidR="00FF6F31" w:rsidRPr="007525C6" w:rsidRDefault="00FF6F31" w:rsidP="003425BC">
            <w:pPr>
              <w:rPr>
                <w:b w:val="0"/>
                <w:bCs w:val="0"/>
                <w:sz w:val="28"/>
                <w:szCs w:val="28"/>
              </w:rPr>
            </w:pPr>
            <w:r w:rsidRPr="007525C6">
              <w:rPr>
                <w:b w:val="0"/>
                <w:bCs w:val="0"/>
                <w:sz w:val="28"/>
                <w:szCs w:val="28"/>
              </w:rPr>
              <w:t>Lt. Ulnar</w:t>
            </w:r>
          </w:p>
          <w:p w:rsidR="00FF6F31" w:rsidRPr="007525C6" w:rsidRDefault="00FF6F31" w:rsidP="003425BC">
            <w:pPr>
              <w:rPr>
                <w:b w:val="0"/>
                <w:bCs w:val="0"/>
                <w:sz w:val="28"/>
                <w:szCs w:val="28"/>
              </w:rPr>
            </w:pPr>
          </w:p>
        </w:tc>
        <w:tc>
          <w:tcPr>
            <w:tcW w:w="2247" w:type="dxa"/>
          </w:tcPr>
          <w:p w:rsidR="00FF6F31" w:rsidRPr="00D81BFA" w:rsidRDefault="00FF6F31" w:rsidP="003425BC">
            <w:pPr>
              <w:cnfStyle w:val="000000000000"/>
              <w:rPr>
                <w:sz w:val="28"/>
                <w:szCs w:val="28"/>
              </w:rPr>
            </w:pPr>
            <w:r w:rsidRPr="00D81BFA">
              <w:rPr>
                <w:sz w:val="28"/>
                <w:szCs w:val="28"/>
              </w:rPr>
              <w:t>2.62</w:t>
            </w:r>
          </w:p>
        </w:tc>
        <w:tc>
          <w:tcPr>
            <w:tcW w:w="2247" w:type="dxa"/>
          </w:tcPr>
          <w:p w:rsidR="00FF6F31" w:rsidRPr="00D81BFA" w:rsidRDefault="00FF6F31" w:rsidP="003425BC">
            <w:pPr>
              <w:cnfStyle w:val="000000000000"/>
              <w:rPr>
                <w:sz w:val="28"/>
                <w:szCs w:val="28"/>
              </w:rPr>
            </w:pPr>
            <w:r w:rsidRPr="00D81BFA">
              <w:rPr>
                <w:sz w:val="28"/>
                <w:szCs w:val="28"/>
              </w:rPr>
              <w:t>60.02</w:t>
            </w:r>
          </w:p>
        </w:tc>
        <w:tc>
          <w:tcPr>
            <w:tcW w:w="2247" w:type="dxa"/>
          </w:tcPr>
          <w:p w:rsidR="00FF6F31" w:rsidRPr="00D81BFA" w:rsidRDefault="00FF6F31" w:rsidP="003425BC">
            <w:pPr>
              <w:cnfStyle w:val="000000000000"/>
              <w:rPr>
                <w:sz w:val="28"/>
                <w:szCs w:val="28"/>
              </w:rPr>
            </w:pPr>
            <w:r w:rsidRPr="00D81BFA">
              <w:rPr>
                <w:sz w:val="28"/>
                <w:szCs w:val="28"/>
              </w:rPr>
              <w:t>57.25</w:t>
            </w:r>
          </w:p>
        </w:tc>
      </w:tr>
    </w:tbl>
    <w:p w:rsidR="00FF6F31" w:rsidRPr="00D81BFA" w:rsidRDefault="00FF6F31" w:rsidP="003425BC">
      <w:pPr>
        <w:pStyle w:val="paragraph"/>
        <w:shd w:val="clear" w:color="auto" w:fill="FFFFFF" w:themeFill="background1"/>
        <w:spacing w:before="0" w:beforeAutospacing="0" w:after="0" w:afterAutospacing="0"/>
        <w:textAlignment w:val="baseline"/>
        <w:rPr>
          <w:rStyle w:val="eop"/>
          <w:bCs/>
          <w:sz w:val="28"/>
          <w:szCs w:val="28"/>
        </w:rPr>
      </w:pPr>
    </w:p>
    <w:p w:rsidR="00FF6F31" w:rsidRPr="00D81BFA" w:rsidRDefault="007525C6" w:rsidP="003425BC">
      <w:pPr>
        <w:pStyle w:val="paragraph"/>
        <w:shd w:val="clear" w:color="auto" w:fill="FFFFFF" w:themeFill="background1"/>
        <w:spacing w:before="0" w:beforeAutospacing="0" w:after="0" w:afterAutospacing="0"/>
        <w:textAlignment w:val="baseline"/>
        <w:rPr>
          <w:rStyle w:val="eop"/>
          <w:bCs/>
          <w:sz w:val="28"/>
          <w:szCs w:val="28"/>
        </w:rPr>
      </w:pPr>
      <w:r w:rsidRPr="00D81BFA">
        <w:rPr>
          <w:sz w:val="28"/>
          <w:szCs w:val="28"/>
        </w:rPr>
        <w:t>Rt.: Right</w:t>
      </w:r>
      <w:r>
        <w:rPr>
          <w:sz w:val="28"/>
          <w:szCs w:val="28"/>
        </w:rPr>
        <w:t>;</w:t>
      </w:r>
      <w:r w:rsidRPr="00D81BFA">
        <w:rPr>
          <w:sz w:val="28"/>
          <w:szCs w:val="28"/>
        </w:rPr>
        <w:t xml:space="preserve"> Lt.: Left</w:t>
      </w:r>
      <w:r>
        <w:rPr>
          <w:sz w:val="28"/>
          <w:szCs w:val="28"/>
        </w:rPr>
        <w:t>;</w:t>
      </w:r>
      <w:r w:rsidRPr="00D81BFA">
        <w:rPr>
          <w:sz w:val="28"/>
          <w:szCs w:val="28"/>
        </w:rPr>
        <w:t xml:space="preserve"> </w:t>
      </w:r>
      <w:r w:rsidR="00D81BFA" w:rsidRPr="00D81BFA">
        <w:rPr>
          <w:sz w:val="28"/>
          <w:szCs w:val="28"/>
        </w:rPr>
        <w:t>NCV: Nerve conduction velocity</w:t>
      </w:r>
    </w:p>
    <w:p w:rsidR="00EC6038" w:rsidRPr="00D81BFA" w:rsidRDefault="00EC6038" w:rsidP="00852CB4">
      <w:pPr>
        <w:rPr>
          <w:bCs/>
          <w:sz w:val="28"/>
          <w:szCs w:val="28"/>
        </w:rPr>
      </w:pPr>
    </w:p>
    <w:p w:rsidR="005B49DD" w:rsidRPr="00D81BFA" w:rsidRDefault="005B49DD" w:rsidP="00852CB4">
      <w:pPr>
        <w:shd w:val="clear" w:color="auto" w:fill="FFFFFF"/>
        <w:rPr>
          <w:sz w:val="28"/>
          <w:szCs w:val="28"/>
        </w:rPr>
      </w:pPr>
    </w:p>
    <w:sectPr w:rsidR="005B49DD" w:rsidRPr="00D81BFA" w:rsidSect="006F327A">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D031CA8" w15:done="0"/>
  <w15:commentEx w15:paraId="1BEF143C" w15:paraIdParent="7D031C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7B90A" w16cex:dateUtc="2021-04-19T02:23:00Z"/>
  <w16cex:commentExtensible w16cex:durableId="2427B922" w16cex:dateUtc="2021-04-19T0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031CA8" w16cid:durableId="2427B90A"/>
  <w16cid:commentId w16cid:paraId="1BEF143C" w16cid:durableId="2427B922"/>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ppleSystemUIFont">
    <w:altName w:val="Cambria"/>
    <w:charset w:val="00"/>
    <w:family w:val="roman"/>
    <w:pitch w:val="default"/>
    <w:sig w:usb0="00000000" w:usb1="00000000" w:usb2="00000000" w:usb3="00000000" w:csb0="00000000" w:csb1="00000000"/>
  </w:font>
  <w:font w:name=".SFUI-Regular">
    <w:altName w:val="Cambria"/>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jeev ojha">
    <w15:presenceInfo w15:providerId="Windows Live" w15:userId="23cbb21a1f6813b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D7197"/>
    <w:rsid w:val="000108A2"/>
    <w:rsid w:val="00044661"/>
    <w:rsid w:val="000469A7"/>
    <w:rsid w:val="0005587E"/>
    <w:rsid w:val="000619D3"/>
    <w:rsid w:val="00062137"/>
    <w:rsid w:val="00063694"/>
    <w:rsid w:val="000A3060"/>
    <w:rsid w:val="000B73B5"/>
    <w:rsid w:val="000C728D"/>
    <w:rsid w:val="00102F06"/>
    <w:rsid w:val="0011700C"/>
    <w:rsid w:val="00130094"/>
    <w:rsid w:val="00130A27"/>
    <w:rsid w:val="00143FBA"/>
    <w:rsid w:val="00154319"/>
    <w:rsid w:val="001553F9"/>
    <w:rsid w:val="00160725"/>
    <w:rsid w:val="00175DE8"/>
    <w:rsid w:val="001908B3"/>
    <w:rsid w:val="00194889"/>
    <w:rsid w:val="001A02D5"/>
    <w:rsid w:val="001A64D6"/>
    <w:rsid w:val="001C4583"/>
    <w:rsid w:val="001D474A"/>
    <w:rsid w:val="001D78BE"/>
    <w:rsid w:val="001E5CF5"/>
    <w:rsid w:val="001F44D4"/>
    <w:rsid w:val="00200F47"/>
    <w:rsid w:val="00233DCF"/>
    <w:rsid w:val="002531B6"/>
    <w:rsid w:val="00266BDA"/>
    <w:rsid w:val="00276181"/>
    <w:rsid w:val="00281D59"/>
    <w:rsid w:val="002A3947"/>
    <w:rsid w:val="002A6DBA"/>
    <w:rsid w:val="002C646E"/>
    <w:rsid w:val="002F37D5"/>
    <w:rsid w:val="003134C9"/>
    <w:rsid w:val="003137FA"/>
    <w:rsid w:val="00334AF8"/>
    <w:rsid w:val="00344EB7"/>
    <w:rsid w:val="00364144"/>
    <w:rsid w:val="00370C92"/>
    <w:rsid w:val="00394998"/>
    <w:rsid w:val="003D7DAF"/>
    <w:rsid w:val="00404F80"/>
    <w:rsid w:val="004106CD"/>
    <w:rsid w:val="004123E3"/>
    <w:rsid w:val="00451CB0"/>
    <w:rsid w:val="00451DFB"/>
    <w:rsid w:val="00454E5F"/>
    <w:rsid w:val="00456305"/>
    <w:rsid w:val="00462184"/>
    <w:rsid w:val="004829B7"/>
    <w:rsid w:val="004926A5"/>
    <w:rsid w:val="00492CF3"/>
    <w:rsid w:val="00493D05"/>
    <w:rsid w:val="004B5060"/>
    <w:rsid w:val="004D1105"/>
    <w:rsid w:val="004D3F2B"/>
    <w:rsid w:val="004E39DE"/>
    <w:rsid w:val="004E47A8"/>
    <w:rsid w:val="004E7CF1"/>
    <w:rsid w:val="00527882"/>
    <w:rsid w:val="0054473C"/>
    <w:rsid w:val="00544C06"/>
    <w:rsid w:val="00567EC1"/>
    <w:rsid w:val="005731D9"/>
    <w:rsid w:val="005875CF"/>
    <w:rsid w:val="00596912"/>
    <w:rsid w:val="005B38A0"/>
    <w:rsid w:val="005B49DD"/>
    <w:rsid w:val="005D3F31"/>
    <w:rsid w:val="005D7197"/>
    <w:rsid w:val="005E32D5"/>
    <w:rsid w:val="005F0B50"/>
    <w:rsid w:val="005F6190"/>
    <w:rsid w:val="006040E8"/>
    <w:rsid w:val="0062032D"/>
    <w:rsid w:val="00632143"/>
    <w:rsid w:val="00632E2F"/>
    <w:rsid w:val="0065086D"/>
    <w:rsid w:val="00660504"/>
    <w:rsid w:val="00671E59"/>
    <w:rsid w:val="00682635"/>
    <w:rsid w:val="00683056"/>
    <w:rsid w:val="00683811"/>
    <w:rsid w:val="00685006"/>
    <w:rsid w:val="006D34B7"/>
    <w:rsid w:val="006E2926"/>
    <w:rsid w:val="006E3274"/>
    <w:rsid w:val="006F327A"/>
    <w:rsid w:val="0071157D"/>
    <w:rsid w:val="007226CF"/>
    <w:rsid w:val="007331DA"/>
    <w:rsid w:val="00746E27"/>
    <w:rsid w:val="007525C6"/>
    <w:rsid w:val="0075581C"/>
    <w:rsid w:val="007570E2"/>
    <w:rsid w:val="00771AF7"/>
    <w:rsid w:val="00796817"/>
    <w:rsid w:val="007B1D9F"/>
    <w:rsid w:val="007C3B75"/>
    <w:rsid w:val="007E68B0"/>
    <w:rsid w:val="007F2EF3"/>
    <w:rsid w:val="00837084"/>
    <w:rsid w:val="00852CB4"/>
    <w:rsid w:val="008733D6"/>
    <w:rsid w:val="00886797"/>
    <w:rsid w:val="00894665"/>
    <w:rsid w:val="00896D4A"/>
    <w:rsid w:val="008970D3"/>
    <w:rsid w:val="008E1016"/>
    <w:rsid w:val="008F1ABE"/>
    <w:rsid w:val="008F1E75"/>
    <w:rsid w:val="008F5A2E"/>
    <w:rsid w:val="00914DEA"/>
    <w:rsid w:val="00942087"/>
    <w:rsid w:val="009506E1"/>
    <w:rsid w:val="009554A2"/>
    <w:rsid w:val="0096711E"/>
    <w:rsid w:val="00980BAD"/>
    <w:rsid w:val="00987B4E"/>
    <w:rsid w:val="00990E3D"/>
    <w:rsid w:val="009E510C"/>
    <w:rsid w:val="009F1053"/>
    <w:rsid w:val="00A00764"/>
    <w:rsid w:val="00A137E7"/>
    <w:rsid w:val="00A35A63"/>
    <w:rsid w:val="00A47183"/>
    <w:rsid w:val="00A6289E"/>
    <w:rsid w:val="00A72522"/>
    <w:rsid w:val="00A73C9A"/>
    <w:rsid w:val="00AE4BCD"/>
    <w:rsid w:val="00AE7349"/>
    <w:rsid w:val="00B10C0C"/>
    <w:rsid w:val="00B15ECC"/>
    <w:rsid w:val="00B327D8"/>
    <w:rsid w:val="00B74A7E"/>
    <w:rsid w:val="00B86F3F"/>
    <w:rsid w:val="00B94E8F"/>
    <w:rsid w:val="00BB6C83"/>
    <w:rsid w:val="00BC5A84"/>
    <w:rsid w:val="00BE5C04"/>
    <w:rsid w:val="00BF5349"/>
    <w:rsid w:val="00C11D83"/>
    <w:rsid w:val="00C176C4"/>
    <w:rsid w:val="00C21CC9"/>
    <w:rsid w:val="00C23699"/>
    <w:rsid w:val="00C25C37"/>
    <w:rsid w:val="00C57470"/>
    <w:rsid w:val="00C964AB"/>
    <w:rsid w:val="00CD0DB1"/>
    <w:rsid w:val="00CD28F8"/>
    <w:rsid w:val="00CD60C1"/>
    <w:rsid w:val="00CE7312"/>
    <w:rsid w:val="00CF54F1"/>
    <w:rsid w:val="00D016FE"/>
    <w:rsid w:val="00D032AF"/>
    <w:rsid w:val="00D038F7"/>
    <w:rsid w:val="00D20DBA"/>
    <w:rsid w:val="00D23DC6"/>
    <w:rsid w:val="00D27E20"/>
    <w:rsid w:val="00D33186"/>
    <w:rsid w:val="00D7638C"/>
    <w:rsid w:val="00D81BFA"/>
    <w:rsid w:val="00DD441C"/>
    <w:rsid w:val="00DE76B7"/>
    <w:rsid w:val="00E071BB"/>
    <w:rsid w:val="00E14274"/>
    <w:rsid w:val="00E2318A"/>
    <w:rsid w:val="00E35147"/>
    <w:rsid w:val="00E423CB"/>
    <w:rsid w:val="00E46ABB"/>
    <w:rsid w:val="00E75AE5"/>
    <w:rsid w:val="00E80152"/>
    <w:rsid w:val="00E82F91"/>
    <w:rsid w:val="00EB03E6"/>
    <w:rsid w:val="00EB37A0"/>
    <w:rsid w:val="00EC0D56"/>
    <w:rsid w:val="00EC224E"/>
    <w:rsid w:val="00EC6038"/>
    <w:rsid w:val="00ED182B"/>
    <w:rsid w:val="00ED45BF"/>
    <w:rsid w:val="00ED7274"/>
    <w:rsid w:val="00EF2716"/>
    <w:rsid w:val="00F1137F"/>
    <w:rsid w:val="00F14523"/>
    <w:rsid w:val="00F31555"/>
    <w:rsid w:val="00F462E6"/>
    <w:rsid w:val="00F5082C"/>
    <w:rsid w:val="00FA6D26"/>
    <w:rsid w:val="00FC18C0"/>
    <w:rsid w:val="00FE341D"/>
    <w:rsid w:val="00FF4CDC"/>
    <w:rsid w:val="00FF645B"/>
    <w:rsid w:val="00FF6F3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DE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52CB4"/>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9DD"/>
    <w:rPr>
      <w:color w:val="0000FF"/>
      <w:u w:val="single"/>
    </w:rPr>
  </w:style>
  <w:style w:type="character" w:customStyle="1" w:styleId="Heading1Char">
    <w:name w:val="Heading 1 Char"/>
    <w:basedOn w:val="DefaultParagraphFont"/>
    <w:link w:val="Heading1"/>
    <w:uiPriority w:val="9"/>
    <w:rsid w:val="00852CB4"/>
    <w:rPr>
      <w:rFonts w:ascii="Times New Roman" w:eastAsia="Times New Roman" w:hAnsi="Times New Roman" w:cs="Times New Roman"/>
      <w:b/>
      <w:bCs/>
      <w:kern w:val="36"/>
      <w:sz w:val="48"/>
      <w:szCs w:val="48"/>
      <w:lang w:eastAsia="en-GB"/>
    </w:rPr>
  </w:style>
  <w:style w:type="paragraph" w:customStyle="1" w:styleId="paragraph">
    <w:name w:val="paragraph"/>
    <w:basedOn w:val="Normal"/>
    <w:rsid w:val="00852CB4"/>
    <w:pPr>
      <w:spacing w:before="100" w:beforeAutospacing="1" w:after="100" w:afterAutospacing="1"/>
    </w:pPr>
    <w:rPr>
      <w:lang w:eastAsia="en-GB"/>
    </w:rPr>
  </w:style>
  <w:style w:type="character" w:customStyle="1" w:styleId="eop">
    <w:name w:val="eop"/>
    <w:basedOn w:val="DefaultParagraphFont"/>
    <w:rsid w:val="00852CB4"/>
  </w:style>
  <w:style w:type="character" w:customStyle="1" w:styleId="normaltextrun">
    <w:name w:val="normaltextrun"/>
    <w:basedOn w:val="DefaultParagraphFont"/>
    <w:rsid w:val="00852CB4"/>
  </w:style>
  <w:style w:type="table" w:styleId="TableGrid">
    <w:name w:val="Table Grid"/>
    <w:basedOn w:val="TableNormal"/>
    <w:uiPriority w:val="59"/>
    <w:rsid w:val="00852C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1">
    <w:name w:val="p1"/>
    <w:basedOn w:val="Normal"/>
    <w:rsid w:val="000C728D"/>
    <w:rPr>
      <w:rFonts w:ascii=".AppleSystemUIFont" w:eastAsiaTheme="minorEastAsia" w:hAnsi=".AppleSystemUIFont"/>
      <w:sz w:val="27"/>
      <w:szCs w:val="27"/>
    </w:rPr>
  </w:style>
  <w:style w:type="character" w:customStyle="1" w:styleId="s1">
    <w:name w:val="s1"/>
    <w:basedOn w:val="DefaultParagraphFont"/>
    <w:rsid w:val="000C728D"/>
    <w:rPr>
      <w:rFonts w:ascii=".SFUI-Regular" w:hAnsi=".SFUI-Regular" w:hint="default"/>
      <w:b w:val="0"/>
      <w:bCs w:val="0"/>
      <w:i w:val="0"/>
      <w:iCs w:val="0"/>
      <w:sz w:val="27"/>
      <w:szCs w:val="27"/>
    </w:rPr>
  </w:style>
  <w:style w:type="character" w:styleId="CommentReference">
    <w:name w:val="annotation reference"/>
    <w:basedOn w:val="DefaultParagraphFont"/>
    <w:uiPriority w:val="99"/>
    <w:semiHidden/>
    <w:unhideWhenUsed/>
    <w:rsid w:val="005F0B50"/>
    <w:rPr>
      <w:sz w:val="16"/>
      <w:szCs w:val="16"/>
    </w:rPr>
  </w:style>
  <w:style w:type="paragraph" w:styleId="CommentText">
    <w:name w:val="annotation text"/>
    <w:basedOn w:val="Normal"/>
    <w:link w:val="CommentTextChar"/>
    <w:uiPriority w:val="99"/>
    <w:unhideWhenUsed/>
    <w:rsid w:val="005F0B5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5F0B50"/>
    <w:rPr>
      <w:sz w:val="20"/>
      <w:szCs w:val="20"/>
    </w:rPr>
  </w:style>
  <w:style w:type="paragraph" w:styleId="CommentSubject">
    <w:name w:val="annotation subject"/>
    <w:basedOn w:val="CommentText"/>
    <w:next w:val="CommentText"/>
    <w:link w:val="CommentSubjectChar"/>
    <w:uiPriority w:val="99"/>
    <w:semiHidden/>
    <w:unhideWhenUsed/>
    <w:rsid w:val="005F0B50"/>
    <w:rPr>
      <w:b/>
      <w:bCs/>
    </w:rPr>
  </w:style>
  <w:style w:type="character" w:customStyle="1" w:styleId="CommentSubjectChar">
    <w:name w:val="Comment Subject Char"/>
    <w:basedOn w:val="CommentTextChar"/>
    <w:link w:val="CommentSubject"/>
    <w:uiPriority w:val="99"/>
    <w:semiHidden/>
    <w:rsid w:val="005F0B50"/>
    <w:rPr>
      <w:b/>
      <w:bCs/>
      <w:sz w:val="20"/>
      <w:szCs w:val="20"/>
    </w:rPr>
  </w:style>
  <w:style w:type="paragraph" w:styleId="Revision">
    <w:name w:val="Revision"/>
    <w:hidden/>
    <w:uiPriority w:val="99"/>
    <w:semiHidden/>
    <w:rsid w:val="007570E2"/>
    <w:pPr>
      <w:spacing w:after="0" w:line="240" w:lineRule="auto"/>
    </w:pPr>
  </w:style>
  <w:style w:type="table" w:customStyle="1" w:styleId="PlainTable2">
    <w:name w:val="Plain Table 2"/>
    <w:basedOn w:val="TableNormal"/>
    <w:uiPriority w:val="42"/>
    <w:rsid w:val="00063694"/>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06369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DefaultParagraphFont"/>
    <w:uiPriority w:val="99"/>
    <w:semiHidden/>
    <w:unhideWhenUsed/>
    <w:rsid w:val="00B15ECC"/>
    <w:rPr>
      <w:color w:val="605E5C"/>
      <w:shd w:val="clear" w:color="auto" w:fill="E1DFDD"/>
    </w:rPr>
  </w:style>
  <w:style w:type="paragraph" w:styleId="BalloonText">
    <w:name w:val="Balloon Text"/>
    <w:basedOn w:val="Normal"/>
    <w:link w:val="BalloonTextChar"/>
    <w:uiPriority w:val="99"/>
    <w:semiHidden/>
    <w:unhideWhenUsed/>
    <w:rsid w:val="006D34B7"/>
    <w:rPr>
      <w:rFonts w:ascii="Tahoma" w:hAnsi="Tahoma" w:cs="Tahoma"/>
      <w:sz w:val="16"/>
      <w:szCs w:val="16"/>
    </w:rPr>
  </w:style>
  <w:style w:type="character" w:customStyle="1" w:styleId="BalloonTextChar">
    <w:name w:val="Balloon Text Char"/>
    <w:basedOn w:val="DefaultParagraphFont"/>
    <w:link w:val="BalloonText"/>
    <w:uiPriority w:val="99"/>
    <w:semiHidden/>
    <w:rsid w:val="006D34B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4408144">
      <w:bodyDiv w:val="1"/>
      <w:marLeft w:val="0"/>
      <w:marRight w:val="0"/>
      <w:marTop w:val="0"/>
      <w:marBottom w:val="0"/>
      <w:divBdr>
        <w:top w:val="none" w:sz="0" w:space="0" w:color="auto"/>
        <w:left w:val="none" w:sz="0" w:space="0" w:color="auto"/>
        <w:bottom w:val="none" w:sz="0" w:space="0" w:color="auto"/>
        <w:right w:val="none" w:sz="0" w:space="0" w:color="auto"/>
      </w:divBdr>
    </w:div>
    <w:div w:id="1931347034">
      <w:bodyDiv w:val="1"/>
      <w:marLeft w:val="0"/>
      <w:marRight w:val="0"/>
      <w:marTop w:val="0"/>
      <w:marBottom w:val="0"/>
      <w:divBdr>
        <w:top w:val="none" w:sz="0" w:space="0" w:color="auto"/>
        <w:left w:val="none" w:sz="0" w:space="0" w:color="auto"/>
        <w:bottom w:val="none" w:sz="0" w:space="0" w:color="auto"/>
        <w:right w:val="none" w:sz="0" w:space="0" w:color="auto"/>
      </w:divBdr>
    </w:div>
    <w:div w:id="198511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hyperlink" Target="mailto:rajeevnet@hotmail.com" TargetMode="Externa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81170-9520-4A23-9FBE-1FE5697A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7060</Words>
  <Characters>40244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Prazwall Luitel</dc:creator>
  <cp:lastModifiedBy>Prazwall Luitel</cp:lastModifiedBy>
  <cp:revision>3</cp:revision>
  <dcterms:created xsi:type="dcterms:W3CDTF">2021-04-27T03:00:00Z</dcterms:created>
  <dcterms:modified xsi:type="dcterms:W3CDTF">2021-04-27T03:04:00Z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8533883a-4801-3444-aeab-68b504a97182</vt:lpwstr>
  </property>
  <property fmtid="{D5CDD505-2E9C-101B-9397-08002B2CF9AE}" pid="24" name="Mendeley Citation Style_1">
    <vt:lpwstr>http://www.zotero.org/styles/ieee</vt:lpwstr>
  </property>
</Properties>
</file>