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3AE" w:rsidRDefault="003C13AE"/>
    <w:p w:rsidR="003C13AE" w:rsidRDefault="003C13AE"/>
    <w:p w:rsidR="003C13AE" w:rsidRDefault="003C13AE"/>
    <w:p w:rsidR="003C13AE" w:rsidRDefault="003C13AE"/>
    <w:p w:rsidR="003C13AE" w:rsidRDefault="003C13AE"/>
    <w:p w:rsidR="003C13AE" w:rsidRDefault="003C13AE"/>
    <w:p w:rsidR="003C13AE" w:rsidRDefault="003C13AE"/>
    <w:p w:rsidR="003C13AE" w:rsidRDefault="003C13AE">
      <w:r w:rsidRPr="002258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5FE01902" wp14:editId="332C5963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3419475" cy="256032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3AE" w:rsidRDefault="003C13AE"/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  <w:r w:rsidRPr="0022585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69BB5E22" wp14:editId="54171BF0">
            <wp:simplePos x="0" y="0"/>
            <wp:positionH relativeFrom="column">
              <wp:posOffset>0</wp:posOffset>
            </wp:positionH>
            <wp:positionV relativeFrom="paragraph">
              <wp:posOffset>266065</wp:posOffset>
            </wp:positionV>
            <wp:extent cx="2943225" cy="2588895"/>
            <wp:effectExtent l="0" t="0" r="9525" b="190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00" t="15272" b="16564"/>
                    <a:stretch/>
                  </pic:blipFill>
                  <pic:spPr bwMode="auto">
                    <a:xfrm>
                      <a:off x="0" y="0"/>
                      <a:ext cx="2943225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Default="003C13AE" w:rsidP="003C13AE">
      <w:pPr>
        <w:rPr>
          <w:rFonts w:ascii="Tahoma" w:hAnsi="Tahoma" w:cs="Tahoma"/>
          <w:sz w:val="20"/>
          <w:szCs w:val="20"/>
        </w:rPr>
      </w:pPr>
    </w:p>
    <w:p w:rsidR="003C13AE" w:rsidRPr="003C13AE" w:rsidRDefault="003C13AE" w:rsidP="003C13AE">
      <w:pPr>
        <w:rPr>
          <w:rFonts w:ascii="Tahoma" w:hAnsi="Tahoma" w:cs="Tahoma"/>
          <w:sz w:val="28"/>
          <w:szCs w:val="28"/>
        </w:rPr>
      </w:pPr>
      <w:r w:rsidRPr="009D7235">
        <w:rPr>
          <w:rFonts w:ascii="Tahoma" w:hAnsi="Tahoma" w:cs="Tahoma"/>
          <w:sz w:val="20"/>
          <w:szCs w:val="20"/>
        </w:rPr>
        <w:t>Figure 1.a: Clinical view of the productive non-retractile cutaneous fistula in the right cheek.</w:t>
      </w:r>
    </w:p>
    <w:p w:rsidR="003C13AE" w:rsidRPr="009D7235" w:rsidRDefault="003C13AE" w:rsidP="003C13AE">
      <w:pPr>
        <w:rPr>
          <w:rFonts w:ascii="Tahoma" w:hAnsi="Tahoma" w:cs="Tahoma"/>
          <w:sz w:val="20"/>
          <w:szCs w:val="20"/>
        </w:rPr>
      </w:pPr>
      <w:r w:rsidRPr="009D723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</w:t>
      </w:r>
      <w:bookmarkStart w:id="0" w:name="_GoBack"/>
      <w:bookmarkEnd w:id="0"/>
      <w:r w:rsidRPr="009D7235">
        <w:rPr>
          <w:rFonts w:ascii="Tahoma" w:hAnsi="Tahoma" w:cs="Tahoma"/>
          <w:sz w:val="20"/>
          <w:szCs w:val="20"/>
        </w:rPr>
        <w:t>Figure1.b: cutaneous sinus tract with depression aspect, accompanied by a purulent discharge in the cheek region.</w:t>
      </w:r>
    </w:p>
    <w:p w:rsidR="00BC36E0" w:rsidRDefault="003C13AE"/>
    <w:sectPr w:rsidR="00BC36E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AE"/>
    <w:rsid w:val="00115239"/>
    <w:rsid w:val="003C13AE"/>
    <w:rsid w:val="00F9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B80AC"/>
  <w15:chartTrackingRefBased/>
  <w15:docId w15:val="{06BD4A81-7CD1-466C-B0E7-64EDC57F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2021-11-11T13:00:00Z</dcterms:created>
  <dcterms:modified xsi:type="dcterms:W3CDTF">2021-11-11T13:02:00Z</dcterms:modified>
</cp:coreProperties>
</file>