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D0EED" w14:textId="2A55052C" w:rsidR="00A310A6" w:rsidRPr="00F764C9" w:rsidRDefault="00BF35B8" w:rsidP="00285F39">
      <w:pPr>
        <w:spacing w:after="0" w:line="276" w:lineRule="auto"/>
        <w:jc w:val="center"/>
        <w:rPr>
          <w:rFonts w:ascii="Arial" w:hAnsi="Arial" w:cs="Arial"/>
          <w:b/>
          <w:bCs/>
        </w:rPr>
      </w:pPr>
      <w:r w:rsidRPr="00F764C9">
        <w:rPr>
          <w:rFonts w:ascii="Arial" w:hAnsi="Arial" w:cs="Arial"/>
          <w:b/>
          <w:bCs/>
        </w:rPr>
        <w:t>Effect of COVID-19 vaccination on menstrual periods</w:t>
      </w:r>
      <w:r w:rsidR="008D3F33" w:rsidRPr="00F764C9">
        <w:rPr>
          <w:rFonts w:ascii="Arial" w:hAnsi="Arial" w:cs="Arial"/>
          <w:b/>
          <w:bCs/>
        </w:rPr>
        <w:t>:</w:t>
      </w:r>
      <w:r w:rsidRPr="00F764C9">
        <w:rPr>
          <w:rFonts w:ascii="Arial" w:hAnsi="Arial" w:cs="Arial"/>
          <w:b/>
          <w:bCs/>
        </w:rPr>
        <w:t xml:space="preserve"> a retrospective cohort</w:t>
      </w:r>
      <w:r w:rsidR="008D3F33" w:rsidRPr="00F764C9">
        <w:rPr>
          <w:rFonts w:ascii="Arial" w:hAnsi="Arial" w:cs="Arial"/>
          <w:b/>
          <w:bCs/>
        </w:rPr>
        <w:t xml:space="preserve"> study</w:t>
      </w:r>
    </w:p>
    <w:p w14:paraId="222974D8" w14:textId="2B745292" w:rsidR="00BF35B8" w:rsidRPr="00F764C9" w:rsidRDefault="00BF35B8" w:rsidP="00285F39">
      <w:pPr>
        <w:spacing w:after="0" w:line="276" w:lineRule="auto"/>
        <w:jc w:val="center"/>
        <w:rPr>
          <w:rFonts w:ascii="Arial" w:hAnsi="Arial" w:cs="Arial"/>
          <w:b/>
          <w:bCs/>
        </w:rPr>
      </w:pPr>
    </w:p>
    <w:p w14:paraId="2890652F" w14:textId="41AC2CF8" w:rsidR="00BF35B8" w:rsidRPr="00F764C9" w:rsidRDefault="00BF35B8" w:rsidP="00285F39">
      <w:pPr>
        <w:spacing w:after="0" w:line="276" w:lineRule="auto"/>
        <w:jc w:val="center"/>
        <w:rPr>
          <w:rFonts w:ascii="Arial" w:hAnsi="Arial" w:cs="Arial"/>
        </w:rPr>
      </w:pPr>
      <w:r w:rsidRPr="00F764C9">
        <w:rPr>
          <w:rFonts w:ascii="Arial" w:hAnsi="Arial" w:cs="Arial"/>
        </w:rPr>
        <w:t>Victoria Male, PhD</w:t>
      </w:r>
    </w:p>
    <w:p w14:paraId="05460F86" w14:textId="3E68DCC4" w:rsidR="00BF35B8" w:rsidRPr="00F764C9" w:rsidRDefault="00BF35B8" w:rsidP="00285F39">
      <w:pPr>
        <w:spacing w:after="0" w:line="276" w:lineRule="auto"/>
        <w:jc w:val="center"/>
        <w:rPr>
          <w:rFonts w:ascii="Arial" w:hAnsi="Arial" w:cs="Arial"/>
        </w:rPr>
      </w:pPr>
      <w:r w:rsidRPr="00F764C9">
        <w:rPr>
          <w:rFonts w:ascii="Arial" w:hAnsi="Arial" w:cs="Arial"/>
        </w:rPr>
        <w:t xml:space="preserve">Department of Metabolism, Digestion and Reproduction, Imperial College London, </w:t>
      </w:r>
      <w:r w:rsidR="009718DF" w:rsidRPr="00F764C9">
        <w:rPr>
          <w:rFonts w:ascii="Arial" w:hAnsi="Arial" w:cs="Arial"/>
        </w:rPr>
        <w:t xml:space="preserve">Chelsea and Westminster Hospital Campus, 369 Fulham Road, </w:t>
      </w:r>
      <w:r w:rsidRPr="00F764C9">
        <w:rPr>
          <w:rFonts w:ascii="Arial" w:hAnsi="Arial" w:cs="Arial"/>
        </w:rPr>
        <w:t>London</w:t>
      </w:r>
      <w:r w:rsidR="009718DF" w:rsidRPr="00F764C9">
        <w:rPr>
          <w:rFonts w:ascii="Arial" w:hAnsi="Arial" w:cs="Arial"/>
        </w:rPr>
        <w:t xml:space="preserve"> SW10 9NH</w:t>
      </w:r>
      <w:r w:rsidRPr="00F764C9">
        <w:rPr>
          <w:rFonts w:ascii="Arial" w:hAnsi="Arial" w:cs="Arial"/>
        </w:rPr>
        <w:t>, UK</w:t>
      </w:r>
    </w:p>
    <w:p w14:paraId="5A3F88F4" w14:textId="541FD0CA" w:rsidR="00BF35B8" w:rsidRPr="00F764C9" w:rsidRDefault="00ED3A30" w:rsidP="00285F39">
      <w:pPr>
        <w:spacing w:after="0" w:line="276" w:lineRule="auto"/>
        <w:jc w:val="center"/>
        <w:rPr>
          <w:rStyle w:val="Hyperlink"/>
          <w:rFonts w:ascii="Arial" w:hAnsi="Arial" w:cs="Arial"/>
        </w:rPr>
      </w:pPr>
      <w:hyperlink r:id="rId6" w:history="1">
        <w:r w:rsidR="00BF35B8" w:rsidRPr="00F764C9">
          <w:rPr>
            <w:rStyle w:val="Hyperlink"/>
            <w:rFonts w:ascii="Arial" w:hAnsi="Arial" w:cs="Arial"/>
          </w:rPr>
          <w:t>v.male@imperial.ac.uk</w:t>
        </w:r>
      </w:hyperlink>
    </w:p>
    <w:p w14:paraId="6399AD89" w14:textId="45A5DBF3" w:rsidR="009718DF" w:rsidRPr="00F764C9" w:rsidRDefault="009718DF" w:rsidP="00285F39">
      <w:pPr>
        <w:spacing w:after="0" w:line="276" w:lineRule="auto"/>
        <w:jc w:val="center"/>
        <w:rPr>
          <w:rFonts w:ascii="Arial" w:hAnsi="Arial" w:cs="Arial"/>
          <w:color w:val="000000" w:themeColor="text1"/>
        </w:rPr>
      </w:pPr>
      <w:r w:rsidRPr="00F764C9">
        <w:rPr>
          <w:rStyle w:val="Hyperlink"/>
          <w:rFonts w:ascii="Arial" w:hAnsi="Arial" w:cs="Arial"/>
          <w:color w:val="000000" w:themeColor="text1"/>
          <w:u w:val="none"/>
        </w:rPr>
        <w:t>Telephone: +44 (0)203 315 3332</w:t>
      </w:r>
    </w:p>
    <w:p w14:paraId="59D7C528" w14:textId="713FEC8F" w:rsidR="00BF35B8" w:rsidRPr="00F764C9" w:rsidRDefault="00BF35B8" w:rsidP="00E83CB3">
      <w:pPr>
        <w:spacing w:after="0" w:line="276" w:lineRule="auto"/>
        <w:jc w:val="both"/>
        <w:rPr>
          <w:rFonts w:ascii="Arial" w:hAnsi="Arial" w:cs="Arial"/>
        </w:rPr>
      </w:pPr>
    </w:p>
    <w:p w14:paraId="3C632C2D" w14:textId="047657BE" w:rsidR="00BF35B8" w:rsidRPr="00F764C9" w:rsidRDefault="008D3F33" w:rsidP="00E83CB3">
      <w:pPr>
        <w:spacing w:after="0" w:line="276" w:lineRule="auto"/>
        <w:jc w:val="both"/>
        <w:rPr>
          <w:rFonts w:ascii="Arial" w:hAnsi="Arial" w:cs="Arial"/>
        </w:rPr>
      </w:pPr>
      <w:r w:rsidRPr="00F764C9">
        <w:rPr>
          <w:rFonts w:ascii="Arial" w:hAnsi="Arial" w:cs="Arial"/>
          <w:b/>
          <w:bCs/>
        </w:rPr>
        <w:t>Shortened title (</w:t>
      </w:r>
      <w:r w:rsidR="00BC4902" w:rsidRPr="00F764C9">
        <w:rPr>
          <w:rFonts w:ascii="Arial" w:hAnsi="Arial" w:cs="Arial"/>
          <w:b/>
          <w:bCs/>
        </w:rPr>
        <w:t>51</w:t>
      </w:r>
      <w:r w:rsidRPr="00F764C9">
        <w:rPr>
          <w:rFonts w:ascii="Arial" w:hAnsi="Arial" w:cs="Arial"/>
          <w:b/>
          <w:bCs/>
        </w:rPr>
        <w:t xml:space="preserve"> characters): </w:t>
      </w:r>
      <w:r w:rsidRPr="00F764C9">
        <w:rPr>
          <w:rFonts w:ascii="Arial" w:hAnsi="Arial" w:cs="Arial"/>
        </w:rPr>
        <w:t>Effect of COVID vaccination on menstrual periods</w:t>
      </w:r>
    </w:p>
    <w:p w14:paraId="7EEB8BBD" w14:textId="50325C9F" w:rsidR="004869A5" w:rsidRPr="00F764C9" w:rsidRDefault="004869A5" w:rsidP="00E83CB3">
      <w:pPr>
        <w:spacing w:after="0" w:line="276" w:lineRule="auto"/>
        <w:jc w:val="both"/>
        <w:rPr>
          <w:rFonts w:ascii="Arial" w:hAnsi="Arial" w:cs="Arial"/>
        </w:rPr>
      </w:pPr>
    </w:p>
    <w:p w14:paraId="37182C8F" w14:textId="4611A077" w:rsidR="004869A5" w:rsidRPr="00F764C9" w:rsidRDefault="004869A5" w:rsidP="00E83CB3">
      <w:pPr>
        <w:spacing w:after="0" w:line="276" w:lineRule="auto"/>
        <w:jc w:val="both"/>
        <w:rPr>
          <w:rFonts w:ascii="Arial" w:hAnsi="Arial" w:cs="Arial"/>
          <w:b/>
          <w:bCs/>
        </w:rPr>
      </w:pPr>
      <w:r w:rsidRPr="00F764C9">
        <w:rPr>
          <w:rFonts w:ascii="Arial" w:hAnsi="Arial" w:cs="Arial"/>
          <w:b/>
          <w:bCs/>
        </w:rPr>
        <w:t>Word count (not including references</w:t>
      </w:r>
      <w:r w:rsidR="006E47AA">
        <w:rPr>
          <w:rFonts w:ascii="Arial" w:hAnsi="Arial" w:cs="Arial"/>
          <w:b/>
          <w:bCs/>
        </w:rPr>
        <w:t>,</w:t>
      </w:r>
      <w:r w:rsidRPr="00F764C9">
        <w:rPr>
          <w:rFonts w:ascii="Arial" w:hAnsi="Arial" w:cs="Arial"/>
          <w:b/>
          <w:bCs/>
        </w:rPr>
        <w:t xml:space="preserve"> figure legends</w:t>
      </w:r>
      <w:r w:rsidR="006E47AA">
        <w:rPr>
          <w:rFonts w:ascii="Arial" w:hAnsi="Arial" w:cs="Arial"/>
          <w:b/>
          <w:bCs/>
        </w:rPr>
        <w:t xml:space="preserve"> or declarations</w:t>
      </w:r>
      <w:r w:rsidRPr="00F764C9">
        <w:rPr>
          <w:rFonts w:ascii="Arial" w:hAnsi="Arial" w:cs="Arial"/>
          <w:b/>
          <w:bCs/>
        </w:rPr>
        <w:t xml:space="preserve">): </w:t>
      </w:r>
      <w:r w:rsidR="00B20393" w:rsidRPr="00B20393">
        <w:rPr>
          <w:rFonts w:ascii="Arial" w:hAnsi="Arial" w:cs="Arial"/>
        </w:rPr>
        <w:t>3</w:t>
      </w:r>
      <w:r w:rsidR="006E47AA">
        <w:rPr>
          <w:rFonts w:ascii="Arial" w:hAnsi="Arial" w:cs="Arial"/>
        </w:rPr>
        <w:t>323</w:t>
      </w:r>
    </w:p>
    <w:p w14:paraId="73BAD505" w14:textId="773216A9" w:rsidR="008D3F33" w:rsidRPr="00F764C9" w:rsidRDefault="008D3F33" w:rsidP="00E83CB3">
      <w:pPr>
        <w:spacing w:after="0" w:line="276" w:lineRule="auto"/>
        <w:jc w:val="both"/>
        <w:rPr>
          <w:rFonts w:ascii="Arial" w:hAnsi="Arial" w:cs="Arial"/>
        </w:rPr>
      </w:pPr>
    </w:p>
    <w:p w14:paraId="66A68FEB" w14:textId="44F5AD90" w:rsidR="00AA7FAE" w:rsidRPr="00F764C9" w:rsidRDefault="008D3F33" w:rsidP="00E83CB3">
      <w:pPr>
        <w:spacing w:after="0" w:line="276" w:lineRule="auto"/>
        <w:jc w:val="both"/>
        <w:rPr>
          <w:rFonts w:ascii="Arial" w:hAnsi="Arial" w:cs="Arial"/>
          <w:b/>
          <w:bCs/>
        </w:rPr>
      </w:pPr>
      <w:r w:rsidRPr="00F764C9">
        <w:rPr>
          <w:rFonts w:ascii="Arial" w:hAnsi="Arial" w:cs="Arial"/>
          <w:b/>
          <w:bCs/>
        </w:rPr>
        <w:t>Abstract</w:t>
      </w:r>
      <w:r w:rsidR="008F1B6E" w:rsidRPr="00F764C9">
        <w:rPr>
          <w:rFonts w:ascii="Arial" w:hAnsi="Arial" w:cs="Arial"/>
          <w:b/>
          <w:bCs/>
        </w:rPr>
        <w:t xml:space="preserve"> (2</w:t>
      </w:r>
      <w:r w:rsidR="00B208A1">
        <w:rPr>
          <w:rFonts w:ascii="Arial" w:hAnsi="Arial" w:cs="Arial"/>
          <w:b/>
          <w:bCs/>
        </w:rPr>
        <w:t>49</w:t>
      </w:r>
      <w:r w:rsidR="008F1B6E" w:rsidRPr="00F764C9">
        <w:rPr>
          <w:rFonts w:ascii="Arial" w:hAnsi="Arial" w:cs="Arial"/>
          <w:b/>
          <w:bCs/>
        </w:rPr>
        <w:t xml:space="preserve"> words)</w:t>
      </w:r>
    </w:p>
    <w:p w14:paraId="7FA5693B" w14:textId="488347C3" w:rsidR="00273BC2" w:rsidRPr="00F764C9" w:rsidRDefault="00803BBA" w:rsidP="00E83CB3">
      <w:pPr>
        <w:spacing w:after="0" w:line="276" w:lineRule="auto"/>
        <w:jc w:val="both"/>
        <w:rPr>
          <w:rFonts w:ascii="Arial" w:hAnsi="Arial" w:cs="Arial"/>
        </w:rPr>
      </w:pPr>
      <w:r w:rsidRPr="00F764C9">
        <w:rPr>
          <w:rFonts w:ascii="Arial" w:hAnsi="Arial" w:cs="Arial"/>
        </w:rPr>
        <w:t>Objective.</w:t>
      </w:r>
      <w:r w:rsidR="008F1B6E" w:rsidRPr="00F764C9">
        <w:rPr>
          <w:rFonts w:ascii="Arial" w:hAnsi="Arial" w:cs="Arial"/>
        </w:rPr>
        <w:t xml:space="preserve"> Clinicians and regulators are receiving reports of changes to menstrual periods following COVID-19 vaccination. However, it is unclear if the two are </w:t>
      </w:r>
      <w:r w:rsidR="00273BC2" w:rsidRPr="00F764C9">
        <w:rPr>
          <w:rFonts w:ascii="Arial" w:hAnsi="Arial" w:cs="Arial"/>
        </w:rPr>
        <w:t>biologically</w:t>
      </w:r>
      <w:r w:rsidR="008F1B6E" w:rsidRPr="00F764C9">
        <w:rPr>
          <w:rFonts w:ascii="Arial" w:hAnsi="Arial" w:cs="Arial"/>
        </w:rPr>
        <w:t xml:space="preserve"> linked</w:t>
      </w:r>
      <w:r w:rsidR="00273BC2" w:rsidRPr="00F764C9">
        <w:rPr>
          <w:rFonts w:ascii="Arial" w:hAnsi="Arial" w:cs="Arial"/>
        </w:rPr>
        <w:t>. If they</w:t>
      </w:r>
      <w:r w:rsidR="008F1B6E" w:rsidRPr="00F764C9">
        <w:rPr>
          <w:rFonts w:ascii="Arial" w:hAnsi="Arial" w:cs="Arial"/>
        </w:rPr>
        <w:t xml:space="preserve"> </w:t>
      </w:r>
      <w:r w:rsidR="00273BC2" w:rsidRPr="00F764C9">
        <w:rPr>
          <w:rFonts w:ascii="Arial" w:hAnsi="Arial" w:cs="Arial"/>
        </w:rPr>
        <w:t>are, people using hormonal contraception are predicted to be less likely to report a change and spontaneously cycling people vaccinated prior to ovulation more likely. The objective was to test these hypotheses.</w:t>
      </w:r>
    </w:p>
    <w:p w14:paraId="27E0A12D" w14:textId="77777777" w:rsidR="00BC4902" w:rsidRPr="00F764C9" w:rsidRDefault="00BC4902" w:rsidP="00E83CB3">
      <w:pPr>
        <w:spacing w:after="0" w:line="276" w:lineRule="auto"/>
        <w:jc w:val="both"/>
        <w:rPr>
          <w:rFonts w:ascii="Arial" w:hAnsi="Arial" w:cs="Arial"/>
        </w:rPr>
      </w:pPr>
    </w:p>
    <w:p w14:paraId="2DA93A2A" w14:textId="027C21FC" w:rsidR="00803BBA" w:rsidRPr="00F764C9" w:rsidRDefault="00803BBA" w:rsidP="00E83CB3">
      <w:pPr>
        <w:spacing w:after="0" w:line="276" w:lineRule="auto"/>
        <w:jc w:val="both"/>
        <w:rPr>
          <w:rFonts w:ascii="Arial" w:hAnsi="Arial" w:cs="Arial"/>
        </w:rPr>
      </w:pPr>
      <w:r w:rsidRPr="00F764C9">
        <w:rPr>
          <w:rFonts w:ascii="Arial" w:hAnsi="Arial" w:cs="Arial"/>
        </w:rPr>
        <w:t xml:space="preserve">Design. </w:t>
      </w:r>
      <w:r w:rsidR="008F1B6E" w:rsidRPr="00F764C9">
        <w:rPr>
          <w:rFonts w:ascii="Arial" w:hAnsi="Arial" w:cs="Arial"/>
        </w:rPr>
        <w:t>Retrospective cohort study.</w:t>
      </w:r>
    </w:p>
    <w:p w14:paraId="47BD61B1" w14:textId="77777777" w:rsidR="00BC4902" w:rsidRPr="00F764C9" w:rsidRDefault="00BC4902" w:rsidP="00E83CB3">
      <w:pPr>
        <w:spacing w:after="0" w:line="276" w:lineRule="auto"/>
        <w:jc w:val="both"/>
        <w:rPr>
          <w:rFonts w:ascii="Arial" w:hAnsi="Arial" w:cs="Arial"/>
        </w:rPr>
      </w:pPr>
    </w:p>
    <w:p w14:paraId="0112C7C1" w14:textId="4DD621E4" w:rsidR="00803BBA" w:rsidRPr="00F764C9" w:rsidRDefault="00803BBA" w:rsidP="00E83CB3">
      <w:pPr>
        <w:spacing w:after="0" w:line="276" w:lineRule="auto"/>
        <w:jc w:val="both"/>
        <w:rPr>
          <w:rFonts w:ascii="Arial" w:hAnsi="Arial" w:cs="Arial"/>
        </w:rPr>
      </w:pPr>
      <w:r w:rsidRPr="00F764C9">
        <w:rPr>
          <w:rFonts w:ascii="Arial" w:hAnsi="Arial" w:cs="Arial"/>
        </w:rPr>
        <w:t>Setting.</w:t>
      </w:r>
      <w:r w:rsidR="00BF4FD3" w:rsidRPr="00F764C9">
        <w:rPr>
          <w:rFonts w:ascii="Arial" w:hAnsi="Arial" w:cs="Arial"/>
        </w:rPr>
        <w:t xml:space="preserve"> UK.</w:t>
      </w:r>
    </w:p>
    <w:p w14:paraId="50850E39" w14:textId="77777777" w:rsidR="00BC4902" w:rsidRPr="00F764C9" w:rsidRDefault="00BC4902" w:rsidP="00E83CB3">
      <w:pPr>
        <w:spacing w:after="0" w:line="276" w:lineRule="auto"/>
        <w:jc w:val="both"/>
        <w:rPr>
          <w:rFonts w:ascii="Arial" w:hAnsi="Arial" w:cs="Arial"/>
        </w:rPr>
      </w:pPr>
    </w:p>
    <w:p w14:paraId="3ACB99DD" w14:textId="0A1F1F3A" w:rsidR="008D3F33" w:rsidRPr="00F764C9" w:rsidRDefault="00803BBA" w:rsidP="00E83CB3">
      <w:pPr>
        <w:spacing w:after="0" w:line="276" w:lineRule="auto"/>
        <w:jc w:val="both"/>
        <w:rPr>
          <w:rFonts w:ascii="Arial" w:hAnsi="Arial" w:cs="Arial"/>
        </w:rPr>
      </w:pPr>
      <w:r w:rsidRPr="00F764C9">
        <w:rPr>
          <w:rFonts w:ascii="Arial" w:hAnsi="Arial" w:cs="Arial"/>
        </w:rPr>
        <w:t>Population.</w:t>
      </w:r>
      <w:r w:rsidR="00BC4902" w:rsidRPr="00F764C9">
        <w:rPr>
          <w:rFonts w:ascii="Arial" w:hAnsi="Arial" w:cs="Arial"/>
        </w:rPr>
        <w:t xml:space="preserve"> </w:t>
      </w:r>
      <w:r w:rsidR="008F1B6E" w:rsidRPr="00F764C9">
        <w:rPr>
          <w:rFonts w:ascii="Arial" w:hAnsi="Arial" w:cs="Arial"/>
        </w:rPr>
        <w:t xml:space="preserve">1273 people </w:t>
      </w:r>
      <w:r w:rsidR="00273BC2" w:rsidRPr="00F764C9">
        <w:rPr>
          <w:rFonts w:ascii="Arial" w:hAnsi="Arial" w:cs="Arial"/>
        </w:rPr>
        <w:t xml:space="preserve">who </w:t>
      </w:r>
      <w:r w:rsidR="00BC4902" w:rsidRPr="00F764C9">
        <w:rPr>
          <w:rFonts w:ascii="Arial" w:hAnsi="Arial" w:cs="Arial"/>
        </w:rPr>
        <w:t>had received at least one dose of a COVID-19 vaccination, have periods or withdrawal bleeds and keep a record of the dates of the</w:t>
      </w:r>
      <w:r w:rsidR="00882FF7">
        <w:rPr>
          <w:rFonts w:ascii="Arial" w:hAnsi="Arial" w:cs="Arial"/>
        </w:rPr>
        <w:t>se</w:t>
      </w:r>
      <w:r w:rsidR="00273BC2" w:rsidRPr="00F764C9">
        <w:rPr>
          <w:rFonts w:ascii="Arial" w:hAnsi="Arial" w:cs="Arial"/>
        </w:rPr>
        <w:t>.</w:t>
      </w:r>
    </w:p>
    <w:p w14:paraId="5F35CC69" w14:textId="77777777" w:rsidR="00BC4902" w:rsidRPr="00F764C9" w:rsidRDefault="00BC4902" w:rsidP="00E83CB3">
      <w:pPr>
        <w:spacing w:after="0" w:line="276" w:lineRule="auto"/>
        <w:jc w:val="both"/>
        <w:rPr>
          <w:rFonts w:ascii="Arial" w:hAnsi="Arial" w:cs="Arial"/>
        </w:rPr>
      </w:pPr>
    </w:p>
    <w:p w14:paraId="333963D4" w14:textId="0DDD43DF" w:rsidR="00BC4902" w:rsidRPr="00F764C9" w:rsidRDefault="00803BBA" w:rsidP="00E83CB3">
      <w:pPr>
        <w:spacing w:after="0" w:line="276" w:lineRule="auto"/>
        <w:jc w:val="both"/>
        <w:rPr>
          <w:rFonts w:ascii="Arial" w:hAnsi="Arial" w:cs="Arial"/>
        </w:rPr>
      </w:pPr>
      <w:r w:rsidRPr="00F764C9">
        <w:rPr>
          <w:rFonts w:ascii="Arial" w:hAnsi="Arial" w:cs="Arial"/>
        </w:rPr>
        <w:t>Methods.</w:t>
      </w:r>
      <w:r w:rsidR="00BC4902" w:rsidRPr="00F764C9">
        <w:rPr>
          <w:rFonts w:ascii="Arial" w:hAnsi="Arial" w:cs="Arial"/>
        </w:rPr>
        <w:t xml:space="preserve"> Participants reported whether they use any hormonal contraception and, for each dose of the vaccine, on which day of their menstrual cycle they were vaccinated and details of how the timing and flow of their next period compared to </w:t>
      </w:r>
      <w:r w:rsidR="001924D5" w:rsidRPr="00F764C9">
        <w:rPr>
          <w:rFonts w:ascii="Arial" w:hAnsi="Arial" w:cs="Arial"/>
        </w:rPr>
        <w:t>their normal</w:t>
      </w:r>
      <w:r w:rsidR="00BC4902" w:rsidRPr="00F764C9">
        <w:rPr>
          <w:rFonts w:ascii="Arial" w:hAnsi="Arial" w:cs="Arial"/>
        </w:rPr>
        <w:t xml:space="preserve"> experience.</w:t>
      </w:r>
    </w:p>
    <w:p w14:paraId="4FF6AA45" w14:textId="77777777" w:rsidR="00BC4902" w:rsidRPr="00F764C9" w:rsidRDefault="00BC4902" w:rsidP="00E83CB3">
      <w:pPr>
        <w:spacing w:after="0" w:line="276" w:lineRule="auto"/>
        <w:jc w:val="both"/>
        <w:rPr>
          <w:rFonts w:ascii="Arial" w:hAnsi="Arial" w:cs="Arial"/>
        </w:rPr>
      </w:pPr>
    </w:p>
    <w:p w14:paraId="38750934" w14:textId="71C96CC9" w:rsidR="00803BBA" w:rsidRPr="00F764C9" w:rsidRDefault="00803BBA" w:rsidP="00E83CB3">
      <w:pPr>
        <w:spacing w:after="0" w:line="276" w:lineRule="auto"/>
        <w:jc w:val="both"/>
        <w:rPr>
          <w:rFonts w:ascii="Arial" w:hAnsi="Arial" w:cs="Arial"/>
        </w:rPr>
      </w:pPr>
      <w:r w:rsidRPr="00F764C9">
        <w:rPr>
          <w:rFonts w:ascii="Arial" w:hAnsi="Arial" w:cs="Arial"/>
        </w:rPr>
        <w:t>Main outcome measures.</w:t>
      </w:r>
      <w:r w:rsidR="00BC4902" w:rsidRPr="00F764C9">
        <w:rPr>
          <w:rFonts w:ascii="Arial" w:hAnsi="Arial" w:cs="Arial"/>
        </w:rPr>
        <w:t xml:space="preserve"> </w:t>
      </w:r>
      <w:r w:rsidR="001B0720" w:rsidRPr="00F764C9">
        <w:rPr>
          <w:rFonts w:ascii="Arial" w:hAnsi="Arial" w:cs="Arial"/>
        </w:rPr>
        <w:t>Association between 1. the use of hormonal contraception and reported changes to timing or flow of the next menstrual period, and 2. the timing of vaccination within the menstrual cycle and reported changes to timing or flow of the next menstrual period.</w:t>
      </w:r>
    </w:p>
    <w:p w14:paraId="6306980C" w14:textId="77777777" w:rsidR="00BC4902" w:rsidRPr="00F764C9" w:rsidRDefault="00BC4902" w:rsidP="00E83CB3">
      <w:pPr>
        <w:spacing w:after="0" w:line="276" w:lineRule="auto"/>
        <w:jc w:val="both"/>
        <w:rPr>
          <w:rFonts w:ascii="Arial" w:hAnsi="Arial" w:cs="Arial"/>
        </w:rPr>
      </w:pPr>
    </w:p>
    <w:p w14:paraId="17728155" w14:textId="290A56E4" w:rsidR="008F1B6E" w:rsidRPr="00F764C9" w:rsidRDefault="00803BBA" w:rsidP="00E83CB3">
      <w:pPr>
        <w:spacing w:after="0" w:line="276" w:lineRule="auto"/>
        <w:jc w:val="both"/>
        <w:rPr>
          <w:rFonts w:ascii="Arial" w:hAnsi="Arial" w:cs="Arial"/>
        </w:rPr>
      </w:pPr>
      <w:r w:rsidRPr="00F764C9">
        <w:rPr>
          <w:rFonts w:ascii="Arial" w:hAnsi="Arial" w:cs="Arial"/>
        </w:rPr>
        <w:t>Results.</w:t>
      </w:r>
      <w:r w:rsidR="008F1B6E" w:rsidRPr="00F764C9">
        <w:rPr>
          <w:rFonts w:ascii="Arial" w:hAnsi="Arial" w:cs="Arial"/>
        </w:rPr>
        <w:t xml:space="preserve"> The data from this cohort did not support the pre-specified hypotheses that people using hormonal contraception would be less likely to report a change, or that spontaneously cycling people vaccinated prior to ovulation would be more likely to report a change. </w:t>
      </w:r>
    </w:p>
    <w:p w14:paraId="01193B0B" w14:textId="1ED8518E" w:rsidR="00803BBA" w:rsidRPr="00F764C9" w:rsidRDefault="00803BBA" w:rsidP="00E83CB3">
      <w:pPr>
        <w:spacing w:after="0" w:line="276" w:lineRule="auto"/>
        <w:jc w:val="both"/>
        <w:rPr>
          <w:rFonts w:ascii="Arial" w:hAnsi="Arial" w:cs="Arial"/>
        </w:rPr>
      </w:pPr>
    </w:p>
    <w:p w14:paraId="6A0EC6D8" w14:textId="17BEE2BE" w:rsidR="00803BBA" w:rsidRPr="00F764C9" w:rsidRDefault="00803BBA" w:rsidP="00E83CB3">
      <w:pPr>
        <w:spacing w:after="0" w:line="276" w:lineRule="auto"/>
        <w:jc w:val="both"/>
        <w:rPr>
          <w:rFonts w:ascii="Arial" w:hAnsi="Arial" w:cs="Arial"/>
        </w:rPr>
      </w:pPr>
      <w:r w:rsidRPr="00F764C9">
        <w:rPr>
          <w:rFonts w:ascii="Arial" w:hAnsi="Arial" w:cs="Arial"/>
        </w:rPr>
        <w:t>Conclusions.</w:t>
      </w:r>
      <w:r w:rsidR="008F1B6E" w:rsidRPr="00F764C9">
        <w:rPr>
          <w:rFonts w:ascii="Arial" w:hAnsi="Arial" w:cs="Arial"/>
        </w:rPr>
        <w:t xml:space="preserve"> This </w:t>
      </w:r>
      <w:r w:rsidR="001B0720" w:rsidRPr="00F764C9">
        <w:rPr>
          <w:rFonts w:ascii="Arial" w:hAnsi="Arial" w:cs="Arial"/>
        </w:rPr>
        <w:t xml:space="preserve">study </w:t>
      </w:r>
      <w:r w:rsidR="008F1B6E" w:rsidRPr="00F764C9">
        <w:rPr>
          <w:rFonts w:ascii="Arial" w:hAnsi="Arial" w:cs="Arial"/>
        </w:rPr>
        <w:t xml:space="preserve">did not detect strong signals supporting the idea that COVID-19 vaccination is linked to menstrual changes in most people. </w:t>
      </w:r>
    </w:p>
    <w:p w14:paraId="18CF0DD3" w14:textId="77777777" w:rsidR="008F1B6E" w:rsidRPr="00F764C9" w:rsidRDefault="008F1B6E" w:rsidP="00E83CB3">
      <w:pPr>
        <w:spacing w:after="0" w:line="276" w:lineRule="auto"/>
        <w:jc w:val="both"/>
        <w:rPr>
          <w:rFonts w:ascii="Arial" w:hAnsi="Arial" w:cs="Arial"/>
        </w:rPr>
      </w:pPr>
    </w:p>
    <w:p w14:paraId="53FF371E" w14:textId="3F52969F" w:rsidR="00803BBA" w:rsidRPr="00F764C9" w:rsidRDefault="00803BBA" w:rsidP="00E83CB3">
      <w:pPr>
        <w:spacing w:after="0" w:line="276" w:lineRule="auto"/>
        <w:jc w:val="both"/>
        <w:rPr>
          <w:rFonts w:ascii="Arial" w:hAnsi="Arial" w:cs="Arial"/>
        </w:rPr>
      </w:pPr>
      <w:r w:rsidRPr="00F764C9">
        <w:rPr>
          <w:rFonts w:ascii="Arial" w:hAnsi="Arial" w:cs="Arial"/>
        </w:rPr>
        <w:t>Funding.</w:t>
      </w:r>
      <w:r w:rsidR="008F1B6E" w:rsidRPr="00F764C9">
        <w:rPr>
          <w:rFonts w:ascii="Arial" w:hAnsi="Arial" w:cs="Arial"/>
        </w:rPr>
        <w:t xml:space="preserve"> No specific funding.</w:t>
      </w:r>
    </w:p>
    <w:p w14:paraId="300621E5" w14:textId="77777777" w:rsidR="008F1B6E" w:rsidRPr="00F764C9" w:rsidRDefault="008F1B6E" w:rsidP="00E83CB3">
      <w:pPr>
        <w:spacing w:after="0" w:line="276" w:lineRule="auto"/>
        <w:jc w:val="both"/>
        <w:rPr>
          <w:rFonts w:ascii="Arial" w:hAnsi="Arial" w:cs="Arial"/>
        </w:rPr>
      </w:pPr>
    </w:p>
    <w:p w14:paraId="6F1F5E2D" w14:textId="16AC6CAC" w:rsidR="00803BBA" w:rsidRPr="00F764C9" w:rsidRDefault="00803BBA" w:rsidP="00E83CB3">
      <w:pPr>
        <w:spacing w:after="0" w:line="276" w:lineRule="auto"/>
        <w:jc w:val="both"/>
        <w:rPr>
          <w:rFonts w:ascii="Arial" w:hAnsi="Arial" w:cs="Arial"/>
        </w:rPr>
      </w:pPr>
      <w:r w:rsidRPr="00F764C9">
        <w:rPr>
          <w:rFonts w:ascii="Arial" w:hAnsi="Arial" w:cs="Arial"/>
        </w:rPr>
        <w:t>Keywords.</w:t>
      </w:r>
      <w:r w:rsidR="00DB7DEE" w:rsidRPr="00F764C9">
        <w:rPr>
          <w:rFonts w:ascii="Arial" w:hAnsi="Arial" w:cs="Arial"/>
        </w:rPr>
        <w:t xml:space="preserve"> COVID-19, vaccine, menstruation, periods, contraception.</w:t>
      </w:r>
    </w:p>
    <w:p w14:paraId="20CF4CE6" w14:textId="1105BC7B" w:rsidR="008D3F33" w:rsidRPr="00F764C9" w:rsidRDefault="008D3F33" w:rsidP="00E83CB3">
      <w:pPr>
        <w:spacing w:after="0" w:line="276" w:lineRule="auto"/>
        <w:jc w:val="both"/>
        <w:rPr>
          <w:rFonts w:ascii="Arial" w:hAnsi="Arial" w:cs="Arial"/>
          <w:b/>
          <w:bCs/>
        </w:rPr>
      </w:pPr>
    </w:p>
    <w:p w14:paraId="241C62C6" w14:textId="7A11CB12" w:rsidR="008D3F33" w:rsidRPr="00F764C9" w:rsidRDefault="008D3F33" w:rsidP="00E83CB3">
      <w:pPr>
        <w:spacing w:after="0" w:line="276" w:lineRule="auto"/>
        <w:jc w:val="both"/>
        <w:rPr>
          <w:rFonts w:ascii="Arial" w:hAnsi="Arial" w:cs="Arial"/>
          <w:b/>
          <w:bCs/>
        </w:rPr>
      </w:pPr>
      <w:r w:rsidRPr="00F764C9">
        <w:rPr>
          <w:rFonts w:ascii="Arial" w:hAnsi="Arial" w:cs="Arial"/>
          <w:b/>
          <w:bCs/>
        </w:rPr>
        <w:t>Tweetable abstract (</w:t>
      </w:r>
      <w:r w:rsidR="0073736A">
        <w:rPr>
          <w:rFonts w:ascii="Arial" w:hAnsi="Arial" w:cs="Arial"/>
          <w:b/>
          <w:bCs/>
        </w:rPr>
        <w:t>10</w:t>
      </w:r>
      <w:r w:rsidR="0037432E">
        <w:rPr>
          <w:rFonts w:ascii="Arial" w:hAnsi="Arial" w:cs="Arial"/>
          <w:b/>
          <w:bCs/>
        </w:rPr>
        <w:t>9</w:t>
      </w:r>
      <w:r w:rsidRPr="00F764C9">
        <w:rPr>
          <w:rFonts w:ascii="Arial" w:hAnsi="Arial" w:cs="Arial"/>
          <w:b/>
          <w:bCs/>
        </w:rPr>
        <w:t xml:space="preserve"> characters)</w:t>
      </w:r>
    </w:p>
    <w:p w14:paraId="22432AE1" w14:textId="03A40D97" w:rsidR="005D0113" w:rsidRPr="00F764C9" w:rsidRDefault="00803BBA" w:rsidP="00526012">
      <w:pPr>
        <w:spacing w:after="0" w:line="276" w:lineRule="auto"/>
        <w:jc w:val="both"/>
        <w:rPr>
          <w:rFonts w:ascii="Arial" w:hAnsi="Arial" w:cs="Arial"/>
        </w:rPr>
      </w:pPr>
      <w:r w:rsidRPr="0073736A">
        <w:rPr>
          <w:rFonts w:ascii="Arial" w:hAnsi="Arial" w:cs="Arial"/>
        </w:rPr>
        <w:t xml:space="preserve">This retrospective cohort study found no strong signals to </w:t>
      </w:r>
      <w:r w:rsidR="00BC4902" w:rsidRPr="0073736A">
        <w:rPr>
          <w:rFonts w:ascii="Arial" w:hAnsi="Arial" w:cs="Arial"/>
        </w:rPr>
        <w:t xml:space="preserve">suggest </w:t>
      </w:r>
      <w:r w:rsidRPr="0073736A">
        <w:rPr>
          <w:rFonts w:ascii="Arial" w:hAnsi="Arial" w:cs="Arial"/>
        </w:rPr>
        <w:t>COVID-19 vaccination affects menstr</w:t>
      </w:r>
      <w:r w:rsidR="0037432E">
        <w:rPr>
          <w:rFonts w:ascii="Arial" w:hAnsi="Arial" w:cs="Arial"/>
        </w:rPr>
        <w:t>u</w:t>
      </w:r>
      <w:r w:rsidR="0073736A" w:rsidRPr="0073736A">
        <w:rPr>
          <w:rFonts w:ascii="Arial" w:hAnsi="Arial" w:cs="Arial"/>
        </w:rPr>
        <w:t>ation</w:t>
      </w:r>
      <w:r w:rsidRPr="0073736A">
        <w:rPr>
          <w:rFonts w:ascii="Arial" w:hAnsi="Arial" w:cs="Arial"/>
        </w:rPr>
        <w:t>.</w:t>
      </w:r>
      <w:r w:rsidR="005D0113" w:rsidRPr="00F764C9">
        <w:rPr>
          <w:rFonts w:ascii="Arial" w:hAnsi="Arial" w:cs="Arial"/>
        </w:rPr>
        <w:br w:type="page"/>
      </w:r>
    </w:p>
    <w:p w14:paraId="75C8BB38" w14:textId="4F7A4F5B" w:rsidR="000F6554" w:rsidRPr="00F764C9" w:rsidRDefault="000F6554" w:rsidP="00526012">
      <w:pPr>
        <w:spacing w:after="0" w:line="432" w:lineRule="auto"/>
        <w:jc w:val="both"/>
        <w:rPr>
          <w:rFonts w:ascii="Arial" w:hAnsi="Arial" w:cs="Arial"/>
          <w:b/>
          <w:bCs/>
        </w:rPr>
      </w:pPr>
      <w:r w:rsidRPr="00F764C9">
        <w:rPr>
          <w:rFonts w:ascii="Arial" w:hAnsi="Arial" w:cs="Arial"/>
          <w:b/>
          <w:bCs/>
        </w:rPr>
        <w:lastRenderedPageBreak/>
        <w:t>Introduction</w:t>
      </w:r>
    </w:p>
    <w:p w14:paraId="509297FA" w14:textId="14CD3A7B" w:rsidR="000F6554" w:rsidRPr="00F764C9" w:rsidRDefault="007019EA" w:rsidP="00526012">
      <w:pPr>
        <w:spacing w:after="0" w:line="432" w:lineRule="auto"/>
        <w:jc w:val="both"/>
        <w:rPr>
          <w:rFonts w:ascii="Arial" w:hAnsi="Arial" w:cs="Arial"/>
        </w:rPr>
      </w:pPr>
      <w:r w:rsidRPr="00F764C9">
        <w:rPr>
          <w:rFonts w:ascii="Arial" w:hAnsi="Arial" w:cs="Arial"/>
        </w:rPr>
        <w:t xml:space="preserve">Changes to periods and unexpected vaginal bleeding are not currently listed as common side effects of COVID-19 vaccination, but primary care practitioners and those working in reproductive health are increasingly being approached by people who have experienced these events following vaccination. In the UK, the MHRA’s surveillance scheme, Yellow Card, had </w:t>
      </w:r>
      <w:r w:rsidRPr="00195603">
        <w:rPr>
          <w:rFonts w:ascii="Arial" w:hAnsi="Arial" w:cs="Arial"/>
        </w:rPr>
        <w:t xml:space="preserve">received </w:t>
      </w:r>
      <w:r w:rsidR="00195603" w:rsidRPr="00195603">
        <w:rPr>
          <w:rFonts w:ascii="Arial" w:hAnsi="Arial" w:cs="Arial"/>
        </w:rPr>
        <w:t>39,026</w:t>
      </w:r>
      <w:r w:rsidRPr="00195603">
        <w:rPr>
          <w:rFonts w:ascii="Arial" w:hAnsi="Arial" w:cs="Arial"/>
        </w:rPr>
        <w:t xml:space="preserve"> reports of these events by </w:t>
      </w:r>
      <w:r w:rsidR="00195603" w:rsidRPr="00195603">
        <w:rPr>
          <w:rFonts w:ascii="Arial" w:hAnsi="Arial" w:cs="Arial"/>
        </w:rPr>
        <w:t>7 December</w:t>
      </w:r>
      <w:r w:rsidRPr="00195603">
        <w:rPr>
          <w:rFonts w:ascii="Arial" w:hAnsi="Arial" w:cs="Arial"/>
        </w:rPr>
        <w:t xml:space="preserve"> 2021 [</w:t>
      </w:r>
      <w:r w:rsidR="00894866" w:rsidRPr="00195603">
        <w:rPr>
          <w:rFonts w:ascii="Arial" w:hAnsi="Arial" w:cs="Arial"/>
        </w:rPr>
        <w:t>1</w:t>
      </w:r>
      <w:r w:rsidRPr="00195603">
        <w:rPr>
          <w:rFonts w:ascii="Arial" w:hAnsi="Arial" w:cs="Arial"/>
        </w:rPr>
        <w:t>]. It</w:t>
      </w:r>
      <w:r w:rsidRPr="00F764C9">
        <w:rPr>
          <w:rFonts w:ascii="Arial" w:hAnsi="Arial" w:cs="Arial"/>
        </w:rPr>
        <w:t xml:space="preserve"> is important to note that most people who report such a change following vaccination find that their period returns to normal the following cycle [</w:t>
      </w:r>
      <w:r w:rsidR="00894866" w:rsidRPr="00F764C9">
        <w:rPr>
          <w:rFonts w:ascii="Arial" w:hAnsi="Arial" w:cs="Arial"/>
        </w:rPr>
        <w:t>2</w:t>
      </w:r>
      <w:r w:rsidRPr="00F764C9">
        <w:rPr>
          <w:rFonts w:ascii="Arial" w:hAnsi="Arial" w:cs="Arial"/>
        </w:rPr>
        <w:t>] and that there is no evidence that COVID-19 vaccination adversely affects female fertility [</w:t>
      </w:r>
      <w:r w:rsidR="00EE1283" w:rsidRPr="00F764C9">
        <w:rPr>
          <w:rFonts w:ascii="Arial" w:hAnsi="Arial" w:cs="Arial"/>
        </w:rPr>
        <w:t>3-8</w:t>
      </w:r>
      <w:r w:rsidRPr="00F764C9">
        <w:rPr>
          <w:rFonts w:ascii="Arial" w:hAnsi="Arial" w:cs="Arial"/>
        </w:rPr>
        <w:t>]. Nonetheless, people are concerned by these reports. Investigating the potential link between COVID-19 vaccination and menstrual changes is important for maintaining public trust in the vaccination programme and, if a link is found, to allow people to plan for potential changes to their cycles [</w:t>
      </w:r>
      <w:r w:rsidR="00EE1283" w:rsidRPr="00F764C9">
        <w:rPr>
          <w:rFonts w:ascii="Arial" w:hAnsi="Arial" w:cs="Arial"/>
        </w:rPr>
        <w:t>9</w:t>
      </w:r>
      <w:r w:rsidRPr="00F764C9">
        <w:rPr>
          <w:rFonts w:ascii="Arial" w:hAnsi="Arial" w:cs="Arial"/>
        </w:rPr>
        <w:t>].</w:t>
      </w:r>
    </w:p>
    <w:p w14:paraId="28111BC8" w14:textId="336381F4" w:rsidR="007019EA" w:rsidRPr="00F764C9" w:rsidRDefault="007019EA" w:rsidP="00526012">
      <w:pPr>
        <w:spacing w:after="0" w:line="432" w:lineRule="auto"/>
        <w:jc w:val="both"/>
        <w:rPr>
          <w:rFonts w:ascii="Arial" w:hAnsi="Arial" w:cs="Arial"/>
        </w:rPr>
      </w:pPr>
    </w:p>
    <w:p w14:paraId="0B7D2D42" w14:textId="35BA06F9" w:rsidR="007019EA" w:rsidRPr="00F764C9" w:rsidRDefault="007019EA" w:rsidP="00526012">
      <w:pPr>
        <w:spacing w:after="0" w:line="432" w:lineRule="auto"/>
        <w:jc w:val="both"/>
        <w:rPr>
          <w:rFonts w:ascii="Arial" w:hAnsi="Arial" w:cs="Arial"/>
        </w:rPr>
      </w:pPr>
      <w:r w:rsidRPr="00F764C9">
        <w:rPr>
          <w:rFonts w:ascii="Arial" w:hAnsi="Arial" w:cs="Arial"/>
        </w:rPr>
        <w:t>We currently know very little about how vaccination may affect the menstrual cycle, but there is some evidence that HPV vaccination may be associated with heavier or irregular periods [</w:t>
      </w:r>
      <w:r w:rsidR="00912E67" w:rsidRPr="00F764C9">
        <w:rPr>
          <w:rFonts w:ascii="Arial" w:hAnsi="Arial" w:cs="Arial"/>
        </w:rPr>
        <w:t>10</w:t>
      </w:r>
      <w:r w:rsidRPr="00F764C9">
        <w:rPr>
          <w:rFonts w:ascii="Arial" w:hAnsi="Arial" w:cs="Arial"/>
        </w:rPr>
        <w:t>]. There is also evidence that viral infection, including with SARS-CoV2 itself, can alter the menstrual cycle [</w:t>
      </w:r>
      <w:r w:rsidR="00912E67" w:rsidRPr="00F764C9">
        <w:rPr>
          <w:rFonts w:ascii="Arial" w:hAnsi="Arial" w:cs="Arial"/>
        </w:rPr>
        <w:t>11,12</w:t>
      </w:r>
      <w:r w:rsidRPr="00F764C9">
        <w:rPr>
          <w:rFonts w:ascii="Arial" w:hAnsi="Arial" w:cs="Arial"/>
        </w:rPr>
        <w:t xml:space="preserve">]. </w:t>
      </w:r>
      <w:r w:rsidR="00011474">
        <w:rPr>
          <w:rFonts w:ascii="Arial" w:hAnsi="Arial" w:cs="Arial"/>
        </w:rPr>
        <w:t>Taken together, this</w:t>
      </w:r>
      <w:r w:rsidRPr="00F764C9">
        <w:rPr>
          <w:rFonts w:ascii="Arial" w:hAnsi="Arial" w:cs="Arial"/>
        </w:rPr>
        <w:t xml:space="preserve"> may suggest that immune stimulation can affect the menstrual cycle. Biologically plausible mechanisms by which this could occur include effects mediated by immunological influences on the hormones driving the menstrual cycle [</w:t>
      </w:r>
      <w:r w:rsidR="00912E67" w:rsidRPr="00F764C9">
        <w:rPr>
          <w:rFonts w:ascii="Arial" w:hAnsi="Arial" w:cs="Arial"/>
        </w:rPr>
        <w:t>13</w:t>
      </w:r>
      <w:r w:rsidRPr="00F764C9">
        <w:rPr>
          <w:rFonts w:ascii="Arial" w:hAnsi="Arial" w:cs="Arial"/>
        </w:rPr>
        <w:t>] or by immune cells in the lining of the uterus, which are involved in the cyclical build-up and breakdown of this tissue [</w:t>
      </w:r>
      <w:r w:rsidR="00912E67" w:rsidRPr="00F764C9">
        <w:rPr>
          <w:rFonts w:ascii="Arial" w:hAnsi="Arial" w:cs="Arial"/>
        </w:rPr>
        <w:t>14</w:t>
      </w:r>
      <w:r w:rsidRPr="00F764C9">
        <w:rPr>
          <w:rFonts w:ascii="Arial" w:hAnsi="Arial" w:cs="Arial"/>
        </w:rPr>
        <w:t>].</w:t>
      </w:r>
    </w:p>
    <w:p w14:paraId="7BAC73CA" w14:textId="21E306E5" w:rsidR="007E1B72" w:rsidRPr="00F764C9" w:rsidRDefault="007E1B72" w:rsidP="00526012">
      <w:pPr>
        <w:spacing w:after="0" w:line="432" w:lineRule="auto"/>
        <w:jc w:val="both"/>
        <w:rPr>
          <w:rFonts w:ascii="Arial" w:hAnsi="Arial" w:cs="Arial"/>
        </w:rPr>
      </w:pPr>
    </w:p>
    <w:p w14:paraId="1AD51914" w14:textId="1F824ACE" w:rsidR="000F6554" w:rsidRPr="00F764C9" w:rsidRDefault="007E1B72" w:rsidP="00526012">
      <w:pPr>
        <w:spacing w:after="0" w:line="432" w:lineRule="auto"/>
        <w:jc w:val="both"/>
        <w:rPr>
          <w:rFonts w:ascii="Arial" w:hAnsi="Arial" w:cs="Arial"/>
        </w:rPr>
      </w:pPr>
      <w:r w:rsidRPr="00F764C9">
        <w:rPr>
          <w:rFonts w:ascii="Arial" w:hAnsi="Arial" w:cs="Arial"/>
        </w:rPr>
        <w:t xml:space="preserve">The purpose of this study was to assess the association between receipt of a COVID-19 vaccine and changes to the timing and flow of the next menstrual period, in a </w:t>
      </w:r>
      <w:r w:rsidR="00B41C50" w:rsidRPr="00F764C9">
        <w:rPr>
          <w:rFonts w:ascii="Arial" w:hAnsi="Arial" w:cs="Arial"/>
        </w:rPr>
        <w:t xml:space="preserve">retrospectively recruited </w:t>
      </w:r>
      <w:r w:rsidRPr="00F764C9">
        <w:rPr>
          <w:rFonts w:ascii="Arial" w:hAnsi="Arial" w:cs="Arial"/>
        </w:rPr>
        <w:t>cohort of 1273 people</w:t>
      </w:r>
      <w:r w:rsidR="00B41C50" w:rsidRPr="00F764C9">
        <w:rPr>
          <w:rFonts w:ascii="Arial" w:hAnsi="Arial" w:cs="Arial"/>
        </w:rPr>
        <w:t xml:space="preserve">. </w:t>
      </w:r>
      <w:r w:rsidR="00D20E9E" w:rsidRPr="00F764C9">
        <w:rPr>
          <w:rFonts w:ascii="Arial" w:hAnsi="Arial" w:cs="Arial"/>
        </w:rPr>
        <w:t xml:space="preserve">The data from this cohort allows us to test </w:t>
      </w:r>
      <w:r w:rsidR="00B41C50" w:rsidRPr="00F764C9">
        <w:rPr>
          <w:rFonts w:ascii="Arial" w:hAnsi="Arial" w:cs="Arial"/>
        </w:rPr>
        <w:t xml:space="preserve">pre-specified hypotheses about how COVID-19 vaccination and menstrual changes may be biologically connected. </w:t>
      </w:r>
      <w:r w:rsidR="000F6554" w:rsidRPr="00F764C9">
        <w:rPr>
          <w:rFonts w:ascii="Arial" w:hAnsi="Arial" w:cs="Arial"/>
        </w:rPr>
        <w:br w:type="page"/>
      </w:r>
    </w:p>
    <w:p w14:paraId="4F3CBF23" w14:textId="79B0AB25" w:rsidR="000F6554" w:rsidRPr="00F764C9" w:rsidRDefault="000F6554" w:rsidP="00526012">
      <w:pPr>
        <w:spacing w:after="0" w:line="432" w:lineRule="auto"/>
        <w:jc w:val="both"/>
        <w:rPr>
          <w:rFonts w:ascii="Arial" w:hAnsi="Arial" w:cs="Arial"/>
          <w:b/>
          <w:bCs/>
        </w:rPr>
      </w:pPr>
      <w:r w:rsidRPr="00F764C9">
        <w:rPr>
          <w:rFonts w:ascii="Arial" w:hAnsi="Arial" w:cs="Arial"/>
          <w:b/>
          <w:bCs/>
        </w:rPr>
        <w:lastRenderedPageBreak/>
        <w:t>Methods</w:t>
      </w:r>
    </w:p>
    <w:p w14:paraId="09A2A4BA" w14:textId="76C32610" w:rsidR="000F6554" w:rsidRPr="00F764C9" w:rsidRDefault="00C769BE" w:rsidP="00526012">
      <w:pPr>
        <w:spacing w:after="0" w:line="432" w:lineRule="auto"/>
        <w:jc w:val="both"/>
        <w:rPr>
          <w:rFonts w:ascii="Arial" w:hAnsi="Arial" w:cs="Arial"/>
          <w:i/>
          <w:iCs/>
        </w:rPr>
      </w:pPr>
      <w:r w:rsidRPr="00F764C9">
        <w:rPr>
          <w:rFonts w:ascii="Arial" w:hAnsi="Arial" w:cs="Arial"/>
          <w:i/>
          <w:iCs/>
        </w:rPr>
        <w:t>Population</w:t>
      </w:r>
    </w:p>
    <w:p w14:paraId="4245B1B4" w14:textId="44645BCA" w:rsidR="000F6554" w:rsidRPr="00F764C9" w:rsidRDefault="000F6554" w:rsidP="00526012">
      <w:pPr>
        <w:spacing w:after="0" w:line="432" w:lineRule="auto"/>
        <w:jc w:val="both"/>
        <w:rPr>
          <w:rFonts w:ascii="Arial" w:hAnsi="Arial" w:cs="Arial"/>
        </w:rPr>
      </w:pPr>
      <w:r w:rsidRPr="00F764C9">
        <w:rPr>
          <w:rFonts w:ascii="Arial" w:hAnsi="Arial" w:cs="Arial"/>
        </w:rPr>
        <w:t>2241 people who were over 18, had received at least one dose of a COVID-19 vaccination, have periods or withdrawal bleeds and who have a record of the dates of these, and the date or dates on which they received the vaccine were recruited by advertising on social media</w:t>
      </w:r>
      <w:r w:rsidR="007C06B6" w:rsidRPr="00F764C9">
        <w:rPr>
          <w:rFonts w:ascii="Arial" w:hAnsi="Arial" w:cs="Arial"/>
        </w:rPr>
        <w:t xml:space="preserve"> and in newsletters with a </w:t>
      </w:r>
      <w:r w:rsidR="00D07CD7" w:rsidRPr="00F764C9">
        <w:rPr>
          <w:rFonts w:ascii="Arial" w:hAnsi="Arial" w:cs="Arial"/>
        </w:rPr>
        <w:t>largely</w:t>
      </w:r>
      <w:r w:rsidR="00BB3026" w:rsidRPr="00F764C9">
        <w:rPr>
          <w:rFonts w:ascii="Arial" w:hAnsi="Arial" w:cs="Arial"/>
        </w:rPr>
        <w:t xml:space="preserve"> female </w:t>
      </w:r>
      <w:r w:rsidR="007C06B6" w:rsidRPr="00F764C9">
        <w:rPr>
          <w:rFonts w:ascii="Arial" w:hAnsi="Arial" w:cs="Arial"/>
        </w:rPr>
        <w:t>readershi</w:t>
      </w:r>
      <w:r w:rsidR="00BB3026" w:rsidRPr="00F764C9">
        <w:rPr>
          <w:rFonts w:ascii="Arial" w:hAnsi="Arial" w:cs="Arial"/>
        </w:rPr>
        <w:t>p</w:t>
      </w:r>
      <w:r w:rsidR="007E47B1" w:rsidRPr="00F764C9">
        <w:rPr>
          <w:rFonts w:ascii="Arial" w:hAnsi="Arial" w:cs="Arial"/>
        </w:rPr>
        <w:t xml:space="preserve"> in the UK.</w:t>
      </w:r>
      <w:r w:rsidRPr="00F764C9">
        <w:rPr>
          <w:rFonts w:ascii="Arial" w:hAnsi="Arial" w:cs="Arial"/>
        </w:rPr>
        <w:t xml:space="preserve"> </w:t>
      </w:r>
      <w:r w:rsidR="00F11375" w:rsidRPr="00F764C9">
        <w:rPr>
          <w:rFonts w:ascii="Arial" w:hAnsi="Arial" w:cs="Arial"/>
        </w:rPr>
        <w:t>Participants used</w:t>
      </w:r>
      <w:r w:rsidRPr="00F764C9">
        <w:rPr>
          <w:rFonts w:ascii="Arial" w:hAnsi="Arial" w:cs="Arial"/>
        </w:rPr>
        <w:t xml:space="preserve"> a web-based form</w:t>
      </w:r>
      <w:r w:rsidR="001924A9" w:rsidRPr="00F764C9">
        <w:rPr>
          <w:rFonts w:ascii="Arial" w:hAnsi="Arial" w:cs="Arial"/>
        </w:rPr>
        <w:t>, which was open between 27 July and 17 October 2021,</w:t>
      </w:r>
      <w:r w:rsidRPr="00F764C9">
        <w:rPr>
          <w:rFonts w:ascii="Arial" w:hAnsi="Arial" w:cs="Arial"/>
        </w:rPr>
        <w:t xml:space="preserve"> to anonymously report their age, length of their normal menstrual cycle, whether they use any hormonal contraception, whether they are breastfeeding, whether they have ever been diagnosed with a menstrual or gynaecological condition and, for each dose of the vaccine, which brand they </w:t>
      </w:r>
      <w:r w:rsidR="00F11375" w:rsidRPr="00F764C9">
        <w:rPr>
          <w:rFonts w:ascii="Arial" w:hAnsi="Arial" w:cs="Arial"/>
        </w:rPr>
        <w:t>received</w:t>
      </w:r>
      <w:r w:rsidRPr="00F764C9">
        <w:rPr>
          <w:rFonts w:ascii="Arial" w:hAnsi="Arial" w:cs="Arial"/>
        </w:rPr>
        <w:t>, on which day of their cycle they were vaccinated and details of how the timing and flow of their next period compared to what they normally experience.</w:t>
      </w:r>
      <w:r w:rsidR="007E47B1" w:rsidRPr="00F764C9">
        <w:rPr>
          <w:rFonts w:ascii="Arial" w:hAnsi="Arial" w:cs="Arial"/>
        </w:rPr>
        <w:t xml:space="preserve"> </w:t>
      </w:r>
    </w:p>
    <w:p w14:paraId="38254F61" w14:textId="77777777" w:rsidR="000F6554" w:rsidRPr="00F764C9" w:rsidRDefault="000F6554" w:rsidP="00526012">
      <w:pPr>
        <w:spacing w:after="0" w:line="432" w:lineRule="auto"/>
        <w:jc w:val="both"/>
        <w:rPr>
          <w:rFonts w:ascii="Arial" w:hAnsi="Arial" w:cs="Arial"/>
        </w:rPr>
      </w:pPr>
    </w:p>
    <w:p w14:paraId="37FE968F" w14:textId="7A24B8E8" w:rsidR="00BF35B8" w:rsidRPr="00F764C9" w:rsidRDefault="00F11375" w:rsidP="00526012">
      <w:pPr>
        <w:spacing w:after="0" w:line="432" w:lineRule="auto"/>
        <w:jc w:val="both"/>
        <w:rPr>
          <w:rFonts w:ascii="Arial" w:hAnsi="Arial" w:cs="Arial"/>
        </w:rPr>
      </w:pPr>
      <w:r w:rsidRPr="00F764C9">
        <w:rPr>
          <w:rFonts w:ascii="Arial" w:hAnsi="Arial" w:cs="Arial"/>
        </w:rPr>
        <w:t xml:space="preserve">The analysis plan was </w:t>
      </w:r>
      <w:r w:rsidR="000B7F4D" w:rsidRPr="00F764C9">
        <w:rPr>
          <w:rFonts w:ascii="Arial" w:hAnsi="Arial" w:cs="Arial"/>
        </w:rPr>
        <w:t>pre-</w:t>
      </w:r>
      <w:r w:rsidRPr="00F764C9">
        <w:rPr>
          <w:rFonts w:ascii="Arial" w:hAnsi="Arial" w:cs="Arial"/>
        </w:rPr>
        <w:t xml:space="preserve">specified and registered before the data was examined. </w:t>
      </w:r>
      <w:hyperlink r:id="rId7" w:history="1">
        <w:r w:rsidRPr="00F764C9">
          <w:rPr>
            <w:rStyle w:val="Hyperlink"/>
            <w:rFonts w:ascii="Arial" w:hAnsi="Arial" w:cs="Arial"/>
          </w:rPr>
          <w:t>https://osf.io/pa3nd</w:t>
        </w:r>
      </w:hyperlink>
    </w:p>
    <w:p w14:paraId="1FFAE0B7" w14:textId="09FABA8F" w:rsidR="00F11375" w:rsidRPr="00F764C9" w:rsidRDefault="00F11375" w:rsidP="00526012">
      <w:pPr>
        <w:spacing w:after="0" w:line="432" w:lineRule="auto"/>
        <w:jc w:val="both"/>
        <w:rPr>
          <w:rFonts w:ascii="Arial" w:hAnsi="Arial" w:cs="Arial"/>
        </w:rPr>
      </w:pPr>
    </w:p>
    <w:p w14:paraId="72D3B718" w14:textId="502F226B" w:rsidR="00F11375" w:rsidRPr="00F764C9" w:rsidRDefault="00F11375" w:rsidP="00526012">
      <w:pPr>
        <w:spacing w:after="0" w:line="432" w:lineRule="auto"/>
        <w:jc w:val="both"/>
        <w:rPr>
          <w:rFonts w:ascii="Arial" w:hAnsi="Arial" w:cs="Arial"/>
        </w:rPr>
      </w:pPr>
      <w:r w:rsidRPr="00F764C9">
        <w:rPr>
          <w:rFonts w:ascii="Arial" w:hAnsi="Arial" w:cs="Arial"/>
        </w:rPr>
        <w:t xml:space="preserve">The following responses were removed from the data set: 0. Responses made in preview mode (survey tests for ethical approval; n = 7). 1. Responses in which the normal cycle length was not given (n = 33). 2. Responses where the normal cycle length was given as less than or equal to 19 days; the majority of these responses were in the range of 3-7 days, suggesting that respondents may have given the length of their menses, rather than their menstrual cycle (n = 646). 3. Responses where the normal cycle length was given as more than or equal to 40 days (n = 25). 4. Responses where the normal cycle length was given by a range, where the range was &gt;3 days (n = 36). 5. Responses where there was a text indication that cycle length was unpredictable or irregular (n = 38). 6. Responses in which the day of the cycle that the vaccine was given was not specified (n = 140). 7. Respondents who did not have a period after the vaccine, but </w:t>
      </w:r>
      <w:r w:rsidR="009E2A44" w:rsidRPr="00F764C9">
        <w:rPr>
          <w:rFonts w:ascii="Arial" w:hAnsi="Arial" w:cs="Arial"/>
        </w:rPr>
        <w:t>were able to</w:t>
      </w:r>
      <w:r w:rsidRPr="00F764C9">
        <w:rPr>
          <w:rFonts w:ascii="Arial" w:hAnsi="Arial" w:cs="Arial"/>
        </w:rPr>
        <w:t xml:space="preserve"> specif</w:t>
      </w:r>
      <w:r w:rsidR="009E2A44" w:rsidRPr="00F764C9">
        <w:rPr>
          <w:rFonts w:ascii="Arial" w:hAnsi="Arial" w:cs="Arial"/>
        </w:rPr>
        <w:t>y the reason for this</w:t>
      </w:r>
      <w:r w:rsidRPr="00F764C9">
        <w:rPr>
          <w:rFonts w:ascii="Arial" w:hAnsi="Arial" w:cs="Arial"/>
        </w:rPr>
        <w:t xml:space="preserve"> (eg. became pregnant in the same cycle that they were vaccinated, opted to skip a withdrawal bleed if taking a contraceptive pill; n = 28). 8. </w:t>
      </w:r>
      <w:r w:rsidR="00D023AD" w:rsidRPr="00F764C9">
        <w:rPr>
          <w:rFonts w:ascii="Arial" w:hAnsi="Arial" w:cs="Arial"/>
        </w:rPr>
        <w:t>Respondents</w:t>
      </w:r>
      <w:r w:rsidRPr="00F764C9">
        <w:rPr>
          <w:rFonts w:ascii="Arial" w:hAnsi="Arial" w:cs="Arial"/>
        </w:rPr>
        <w:t xml:space="preserve"> who </w:t>
      </w:r>
      <w:r w:rsidR="00AF3A97" w:rsidRPr="00F764C9">
        <w:rPr>
          <w:rFonts w:ascii="Arial" w:hAnsi="Arial" w:cs="Arial"/>
        </w:rPr>
        <w:t xml:space="preserve">indicated that they </w:t>
      </w:r>
      <w:r w:rsidRPr="00F764C9">
        <w:rPr>
          <w:rFonts w:ascii="Arial" w:hAnsi="Arial" w:cs="Arial"/>
        </w:rPr>
        <w:t xml:space="preserve">did not receive the vaccine (n = 2). 9. Respondents who noted that they had made an error, and would resubmit a fresh </w:t>
      </w:r>
      <w:r w:rsidRPr="00F764C9">
        <w:rPr>
          <w:rFonts w:ascii="Arial" w:hAnsi="Arial" w:cs="Arial"/>
        </w:rPr>
        <w:lastRenderedPageBreak/>
        <w:t>version (n = 1). 10. Respondents who noted that they do not normally have periods or withdrawal bleeds, not already removed from the dataset (n = 9).</w:t>
      </w:r>
    </w:p>
    <w:p w14:paraId="747F02B1" w14:textId="479735DD" w:rsidR="00771591" w:rsidRPr="00F764C9" w:rsidRDefault="00771591" w:rsidP="00526012">
      <w:pPr>
        <w:spacing w:after="0" w:line="432" w:lineRule="auto"/>
        <w:jc w:val="both"/>
        <w:rPr>
          <w:rFonts w:ascii="Arial" w:hAnsi="Arial" w:cs="Arial"/>
        </w:rPr>
      </w:pPr>
    </w:p>
    <w:p w14:paraId="0EFA38FA" w14:textId="2B1209DC" w:rsidR="00771591" w:rsidRPr="00F764C9" w:rsidRDefault="00771591" w:rsidP="00526012">
      <w:pPr>
        <w:spacing w:after="0" w:line="432" w:lineRule="auto"/>
        <w:jc w:val="both"/>
        <w:rPr>
          <w:rFonts w:ascii="Arial" w:hAnsi="Arial" w:cs="Arial"/>
        </w:rPr>
      </w:pPr>
      <w:r w:rsidRPr="00F764C9">
        <w:rPr>
          <w:rFonts w:ascii="Arial" w:hAnsi="Arial" w:cs="Arial"/>
        </w:rPr>
        <w:t>After data cleaning, 1273 records remained, of which 813 had data for both the first and second dose of the vaccine.</w:t>
      </w:r>
      <w:r w:rsidR="00980EBB" w:rsidRPr="00F764C9">
        <w:rPr>
          <w:rFonts w:ascii="Arial" w:hAnsi="Arial" w:cs="Arial"/>
        </w:rPr>
        <w:t xml:space="preserve"> The majority of these responses (n = 1121, 88%) were confirmed as coming from IP addresses in the UK. </w:t>
      </w:r>
      <w:r w:rsidRPr="00F764C9">
        <w:rPr>
          <w:rFonts w:ascii="Arial" w:hAnsi="Arial" w:cs="Arial"/>
        </w:rPr>
        <w:t xml:space="preserve"> Details of the respondents are given in Table 1.</w:t>
      </w:r>
      <w:r w:rsidR="00F37917" w:rsidRPr="00F764C9">
        <w:rPr>
          <w:rFonts w:ascii="Arial" w:hAnsi="Arial" w:cs="Arial"/>
        </w:rPr>
        <w:t xml:space="preserve"> </w:t>
      </w:r>
    </w:p>
    <w:p w14:paraId="5FE9D1D1" w14:textId="28231C10" w:rsidR="00771591" w:rsidRPr="00F764C9" w:rsidRDefault="00771591" w:rsidP="00526012">
      <w:pPr>
        <w:spacing w:after="0" w:line="432" w:lineRule="auto"/>
        <w:jc w:val="both"/>
        <w:rPr>
          <w:rFonts w:ascii="Arial" w:hAnsi="Arial" w:cs="Arial"/>
        </w:rPr>
      </w:pPr>
    </w:p>
    <w:p w14:paraId="65F8632F" w14:textId="677D6CF3" w:rsidR="00771591" w:rsidRPr="00F764C9" w:rsidRDefault="00771591" w:rsidP="00526012">
      <w:pPr>
        <w:spacing w:after="0" w:line="432" w:lineRule="auto"/>
        <w:jc w:val="both"/>
        <w:rPr>
          <w:rFonts w:ascii="Arial" w:hAnsi="Arial" w:cs="Arial"/>
          <w:i/>
          <w:iCs/>
        </w:rPr>
      </w:pPr>
      <w:r w:rsidRPr="00F764C9">
        <w:rPr>
          <w:rFonts w:ascii="Arial" w:hAnsi="Arial" w:cs="Arial"/>
          <w:i/>
          <w:iCs/>
        </w:rPr>
        <w:t>Statistical analysis</w:t>
      </w:r>
    </w:p>
    <w:p w14:paraId="51C99339" w14:textId="1F495114" w:rsidR="00771591" w:rsidRPr="00F764C9" w:rsidRDefault="00771591" w:rsidP="00526012">
      <w:pPr>
        <w:spacing w:after="0" w:line="432" w:lineRule="auto"/>
        <w:jc w:val="both"/>
        <w:rPr>
          <w:rFonts w:ascii="Arial" w:hAnsi="Arial" w:cs="Arial"/>
        </w:rPr>
      </w:pPr>
      <w:r w:rsidRPr="00F764C9">
        <w:rPr>
          <w:rFonts w:ascii="Arial" w:hAnsi="Arial" w:cs="Arial"/>
        </w:rPr>
        <w:t xml:space="preserve">Where participants gave a range for their normal cycle length, the median cycle length was used for analysis. For examination of the effect of the day of the cycle on which the vaccine was given, the day of ovulation was estimated by cycle length – 14, based on the observation that the luteal phase of the menstrual cycle is normally constant at around 14 days </w:t>
      </w:r>
      <w:r w:rsidR="00421721" w:rsidRPr="00F764C9">
        <w:rPr>
          <w:rFonts w:ascii="Arial" w:hAnsi="Arial" w:cs="Arial"/>
        </w:rPr>
        <w:t>[</w:t>
      </w:r>
      <w:r w:rsidR="00C149AE" w:rsidRPr="00F764C9">
        <w:rPr>
          <w:rFonts w:ascii="Arial" w:hAnsi="Arial" w:cs="Arial"/>
        </w:rPr>
        <w:t>15</w:t>
      </w:r>
      <w:r w:rsidR="00421721" w:rsidRPr="00F764C9">
        <w:rPr>
          <w:rFonts w:ascii="Arial" w:hAnsi="Arial" w:cs="Arial"/>
        </w:rPr>
        <w:t>]</w:t>
      </w:r>
      <w:r w:rsidRPr="00F764C9">
        <w:rPr>
          <w:rFonts w:ascii="Arial" w:hAnsi="Arial" w:cs="Arial"/>
        </w:rPr>
        <w:t>. The day on which the vaccine was given, relative to the predicted day of ovulation, was therefore calculated by cycle day of vaccination – (cycle length – 14).</w:t>
      </w:r>
    </w:p>
    <w:p w14:paraId="3D41BB8D" w14:textId="1DC4E0C6" w:rsidR="00BF057B" w:rsidRPr="00F764C9" w:rsidRDefault="00BF057B" w:rsidP="00526012">
      <w:pPr>
        <w:spacing w:after="0" w:line="432" w:lineRule="auto"/>
        <w:jc w:val="both"/>
        <w:rPr>
          <w:rFonts w:ascii="Arial" w:hAnsi="Arial" w:cs="Arial"/>
        </w:rPr>
      </w:pPr>
    </w:p>
    <w:p w14:paraId="3A7AE72F" w14:textId="77777777" w:rsidR="00680C3F" w:rsidRPr="00F764C9" w:rsidRDefault="00BF057B" w:rsidP="00526012">
      <w:pPr>
        <w:spacing w:after="0" w:line="432" w:lineRule="auto"/>
        <w:jc w:val="both"/>
        <w:rPr>
          <w:rFonts w:ascii="Arial" w:hAnsi="Arial" w:cs="Arial"/>
        </w:rPr>
      </w:pPr>
      <w:r w:rsidRPr="00F764C9">
        <w:rPr>
          <w:rFonts w:ascii="Arial" w:hAnsi="Arial" w:cs="Arial"/>
        </w:rPr>
        <w:t xml:space="preserve">Independence between </w:t>
      </w:r>
      <w:r w:rsidR="00E74508" w:rsidRPr="00F764C9">
        <w:rPr>
          <w:rFonts w:ascii="Arial" w:hAnsi="Arial" w:cs="Arial"/>
        </w:rPr>
        <w:t>ten</w:t>
      </w:r>
      <w:r w:rsidRPr="00F764C9">
        <w:rPr>
          <w:rFonts w:ascii="Arial" w:hAnsi="Arial" w:cs="Arial"/>
        </w:rPr>
        <w:t xml:space="preserve"> pairs of variables was determined using Chi squared tests</w:t>
      </w:r>
      <w:r w:rsidR="00680C3F" w:rsidRPr="00F764C9">
        <w:rPr>
          <w:rFonts w:ascii="Arial" w:hAnsi="Arial" w:cs="Arial"/>
        </w:rPr>
        <w:t>.</w:t>
      </w:r>
      <w:r w:rsidRPr="00F764C9">
        <w:rPr>
          <w:rFonts w:ascii="Arial" w:hAnsi="Arial" w:cs="Arial"/>
        </w:rPr>
        <w:t xml:space="preserve"> </w:t>
      </w:r>
    </w:p>
    <w:p w14:paraId="622739E4" w14:textId="77777777" w:rsidR="00680C3F" w:rsidRPr="00F764C9" w:rsidRDefault="00680C3F" w:rsidP="00526012">
      <w:pPr>
        <w:spacing w:after="0" w:line="432" w:lineRule="auto"/>
        <w:jc w:val="both"/>
        <w:rPr>
          <w:rFonts w:ascii="Arial" w:hAnsi="Arial" w:cs="Arial"/>
        </w:rPr>
      </w:pPr>
    </w:p>
    <w:p w14:paraId="72A848DD" w14:textId="5D56A5BF" w:rsidR="00677A75" w:rsidRPr="00F764C9" w:rsidRDefault="00BF057B" w:rsidP="00526012">
      <w:pPr>
        <w:spacing w:after="0" w:line="432" w:lineRule="auto"/>
        <w:jc w:val="both"/>
        <w:rPr>
          <w:rFonts w:ascii="Arial" w:hAnsi="Arial" w:cs="Arial"/>
        </w:rPr>
      </w:pPr>
      <w:r w:rsidRPr="00F764C9">
        <w:rPr>
          <w:rFonts w:ascii="Arial" w:hAnsi="Arial" w:cs="Arial"/>
        </w:rPr>
        <w:t>1. Brand of vaccination and timing of next period; 2. Brand of vaccination and flow of next period</w:t>
      </w:r>
      <w:r w:rsidR="00E46192" w:rsidRPr="00F764C9">
        <w:rPr>
          <w:rFonts w:ascii="Arial" w:hAnsi="Arial" w:cs="Arial"/>
        </w:rPr>
        <w:t xml:space="preserve">. For tests 1 and 2, respondents who had either received Janssen or did not specify </w:t>
      </w:r>
      <w:r w:rsidR="007561F2" w:rsidRPr="00F764C9">
        <w:rPr>
          <w:rFonts w:ascii="Arial" w:hAnsi="Arial" w:cs="Arial"/>
        </w:rPr>
        <w:t xml:space="preserve">the brand of vaccine received </w:t>
      </w:r>
      <w:r w:rsidR="007149EE" w:rsidRPr="00F764C9">
        <w:rPr>
          <w:rFonts w:ascii="Arial" w:hAnsi="Arial" w:cs="Arial"/>
        </w:rPr>
        <w:t xml:space="preserve">(n = 13) </w:t>
      </w:r>
      <w:r w:rsidR="00E46192" w:rsidRPr="00F764C9">
        <w:rPr>
          <w:rFonts w:ascii="Arial" w:hAnsi="Arial" w:cs="Arial"/>
        </w:rPr>
        <w:t>were excluded from the analysis.</w:t>
      </w:r>
      <w:r w:rsidRPr="00F764C9">
        <w:rPr>
          <w:rFonts w:ascii="Arial" w:hAnsi="Arial" w:cs="Arial"/>
        </w:rPr>
        <w:t xml:space="preserve"> </w:t>
      </w:r>
    </w:p>
    <w:p w14:paraId="4C04F8F5" w14:textId="77777777" w:rsidR="00677A75" w:rsidRPr="00F764C9" w:rsidRDefault="00677A75" w:rsidP="00526012">
      <w:pPr>
        <w:spacing w:after="0" w:line="432" w:lineRule="auto"/>
        <w:jc w:val="both"/>
        <w:rPr>
          <w:rFonts w:ascii="Arial" w:hAnsi="Arial" w:cs="Arial"/>
        </w:rPr>
      </w:pPr>
    </w:p>
    <w:p w14:paraId="396AE534" w14:textId="02F1F0EF" w:rsidR="00677A75" w:rsidRPr="00F764C9" w:rsidRDefault="00BF057B" w:rsidP="00526012">
      <w:pPr>
        <w:spacing w:after="0" w:line="432" w:lineRule="auto"/>
        <w:jc w:val="both"/>
        <w:rPr>
          <w:rFonts w:ascii="Arial" w:hAnsi="Arial" w:cs="Arial"/>
        </w:rPr>
      </w:pPr>
      <w:r w:rsidRPr="00F764C9">
        <w:rPr>
          <w:rFonts w:ascii="Arial" w:hAnsi="Arial" w:cs="Arial"/>
        </w:rPr>
        <w:t>3. Use of hormonal contracepti</w:t>
      </w:r>
      <w:r w:rsidR="00CF050B" w:rsidRPr="00F764C9">
        <w:rPr>
          <w:rFonts w:ascii="Arial" w:hAnsi="Arial" w:cs="Arial"/>
        </w:rPr>
        <w:t>on</w:t>
      </w:r>
      <w:r w:rsidRPr="00F764C9">
        <w:rPr>
          <w:rFonts w:ascii="Arial" w:hAnsi="Arial" w:cs="Arial"/>
        </w:rPr>
        <w:t xml:space="preserve"> and timing of next period; 4. Use of hormonal contracepti</w:t>
      </w:r>
      <w:r w:rsidR="00CF050B" w:rsidRPr="00F764C9">
        <w:rPr>
          <w:rFonts w:ascii="Arial" w:hAnsi="Arial" w:cs="Arial"/>
        </w:rPr>
        <w:t>on</w:t>
      </w:r>
      <w:r w:rsidRPr="00F764C9">
        <w:rPr>
          <w:rFonts w:ascii="Arial" w:hAnsi="Arial" w:cs="Arial"/>
        </w:rPr>
        <w:t xml:space="preserve"> and flow of next period</w:t>
      </w:r>
      <w:r w:rsidR="00850B53" w:rsidRPr="00F764C9">
        <w:rPr>
          <w:rFonts w:ascii="Arial" w:hAnsi="Arial" w:cs="Arial"/>
        </w:rPr>
        <w:t xml:space="preserve">. For tests 3 and 4, respondents who did not </w:t>
      </w:r>
      <w:r w:rsidR="00B61E75">
        <w:rPr>
          <w:rFonts w:ascii="Arial" w:hAnsi="Arial" w:cs="Arial"/>
        </w:rPr>
        <w:t xml:space="preserve">clearly </w:t>
      </w:r>
      <w:r w:rsidR="00850B53" w:rsidRPr="00F764C9">
        <w:rPr>
          <w:rFonts w:ascii="Arial" w:hAnsi="Arial" w:cs="Arial"/>
        </w:rPr>
        <w:t xml:space="preserve">specify </w:t>
      </w:r>
      <w:r w:rsidR="00585C1F" w:rsidRPr="00F764C9">
        <w:rPr>
          <w:rFonts w:ascii="Arial" w:hAnsi="Arial" w:cs="Arial"/>
        </w:rPr>
        <w:t>the</w:t>
      </w:r>
      <w:r w:rsidR="00850B53" w:rsidRPr="00F764C9">
        <w:rPr>
          <w:rFonts w:ascii="Arial" w:hAnsi="Arial" w:cs="Arial"/>
        </w:rPr>
        <w:t xml:space="preserve"> form of contraception they use</w:t>
      </w:r>
      <w:r w:rsidR="0047335D">
        <w:rPr>
          <w:rFonts w:ascii="Arial" w:hAnsi="Arial" w:cs="Arial"/>
        </w:rPr>
        <w:t xml:space="preserve"> (n = 15)</w:t>
      </w:r>
      <w:r w:rsidR="00850B53" w:rsidRPr="00F764C9">
        <w:rPr>
          <w:rFonts w:ascii="Arial" w:hAnsi="Arial" w:cs="Arial"/>
        </w:rPr>
        <w:t xml:space="preserve"> were excluded from the analysis.</w:t>
      </w:r>
      <w:r w:rsidRPr="00F764C9">
        <w:rPr>
          <w:rFonts w:ascii="Arial" w:hAnsi="Arial" w:cs="Arial"/>
        </w:rPr>
        <w:t xml:space="preserve"> </w:t>
      </w:r>
    </w:p>
    <w:p w14:paraId="5C138335" w14:textId="77777777" w:rsidR="00677A75" w:rsidRPr="00F764C9" w:rsidRDefault="00677A75" w:rsidP="00526012">
      <w:pPr>
        <w:spacing w:after="0" w:line="432" w:lineRule="auto"/>
        <w:jc w:val="both"/>
        <w:rPr>
          <w:rFonts w:ascii="Arial" w:hAnsi="Arial" w:cs="Arial"/>
        </w:rPr>
      </w:pPr>
    </w:p>
    <w:p w14:paraId="7C5DCF9F" w14:textId="24C59279" w:rsidR="00677A75" w:rsidRPr="00F764C9" w:rsidRDefault="00BF057B" w:rsidP="00526012">
      <w:pPr>
        <w:spacing w:after="0" w:line="432" w:lineRule="auto"/>
        <w:jc w:val="both"/>
        <w:rPr>
          <w:rFonts w:ascii="Arial" w:hAnsi="Arial" w:cs="Arial"/>
        </w:rPr>
      </w:pPr>
      <w:r w:rsidRPr="00F764C9">
        <w:rPr>
          <w:rFonts w:ascii="Arial" w:hAnsi="Arial" w:cs="Arial"/>
        </w:rPr>
        <w:t>5. Timing of vaccination and timing of next period; 6. Timing of vaccination and flow of next period</w:t>
      </w:r>
      <w:r w:rsidR="000B7F4D" w:rsidRPr="00F764C9">
        <w:rPr>
          <w:rFonts w:ascii="Arial" w:hAnsi="Arial" w:cs="Arial"/>
        </w:rPr>
        <w:t xml:space="preserve">. </w:t>
      </w:r>
      <w:r w:rsidR="00677A75" w:rsidRPr="00F764C9">
        <w:rPr>
          <w:rFonts w:ascii="Arial" w:hAnsi="Arial" w:cs="Arial"/>
        </w:rPr>
        <w:t xml:space="preserve">For </w:t>
      </w:r>
      <w:r w:rsidR="006A5B61">
        <w:rPr>
          <w:rFonts w:ascii="Arial" w:hAnsi="Arial" w:cs="Arial"/>
        </w:rPr>
        <w:t>tests</w:t>
      </w:r>
      <w:r w:rsidR="00677A75" w:rsidRPr="00F764C9">
        <w:rPr>
          <w:rFonts w:ascii="Arial" w:hAnsi="Arial" w:cs="Arial"/>
        </w:rPr>
        <w:t xml:space="preserve"> 5 and 6, only those who were not on hormonal contraception were included</w:t>
      </w:r>
      <w:r w:rsidR="00260C60">
        <w:rPr>
          <w:rFonts w:ascii="Arial" w:hAnsi="Arial" w:cs="Arial"/>
        </w:rPr>
        <w:t xml:space="preserve"> (n = 1117)</w:t>
      </w:r>
      <w:r w:rsidR="00677A75" w:rsidRPr="00F764C9">
        <w:rPr>
          <w:rFonts w:ascii="Arial" w:hAnsi="Arial" w:cs="Arial"/>
        </w:rPr>
        <w:t xml:space="preserve">. Menstrual cycle days on which fewer than 5 respondents had been vaccinated were excluded (n = 16 respondents vaccinated more than 17 days before the predicted day of ovulation), as were days on which the respondent was already overdue for their period (n </w:t>
      </w:r>
      <w:r w:rsidR="00677A75" w:rsidRPr="00F764C9">
        <w:rPr>
          <w:rFonts w:ascii="Arial" w:hAnsi="Arial" w:cs="Arial"/>
        </w:rPr>
        <w:lastRenderedPageBreak/>
        <w:t>= 70), since these respondents would, by definition, report that their period was later than usual.</w:t>
      </w:r>
      <w:r w:rsidRPr="00F764C9">
        <w:rPr>
          <w:rFonts w:ascii="Arial" w:hAnsi="Arial" w:cs="Arial"/>
        </w:rPr>
        <w:t xml:space="preserve"> </w:t>
      </w:r>
    </w:p>
    <w:p w14:paraId="4850789D" w14:textId="77777777" w:rsidR="00677A75" w:rsidRPr="00F764C9" w:rsidRDefault="00677A75" w:rsidP="00526012">
      <w:pPr>
        <w:spacing w:after="0" w:line="432" w:lineRule="auto"/>
        <w:jc w:val="both"/>
        <w:rPr>
          <w:rFonts w:ascii="Arial" w:hAnsi="Arial" w:cs="Arial"/>
        </w:rPr>
      </w:pPr>
    </w:p>
    <w:p w14:paraId="4037B29E" w14:textId="12A952FF" w:rsidR="00A86F1E" w:rsidRPr="00F764C9" w:rsidRDefault="000B7F4D" w:rsidP="00526012">
      <w:pPr>
        <w:spacing w:after="0" w:line="432" w:lineRule="auto"/>
        <w:jc w:val="both"/>
        <w:rPr>
          <w:rFonts w:ascii="Arial" w:hAnsi="Arial" w:cs="Arial"/>
        </w:rPr>
      </w:pPr>
      <w:r w:rsidRPr="00F764C9">
        <w:rPr>
          <w:rFonts w:ascii="Arial" w:hAnsi="Arial" w:cs="Arial"/>
        </w:rPr>
        <w:t xml:space="preserve">7. Timing of period following dose 1 and Timing of period following dose 2; </w:t>
      </w:r>
      <w:r w:rsidR="00BF057B" w:rsidRPr="00F764C9">
        <w:rPr>
          <w:rFonts w:ascii="Arial" w:hAnsi="Arial" w:cs="Arial"/>
        </w:rPr>
        <w:t xml:space="preserve">8. Flow of period following dose 1 and flow of period following dose 2. </w:t>
      </w:r>
    </w:p>
    <w:p w14:paraId="39A9B86E" w14:textId="77777777" w:rsidR="00A86F1E" w:rsidRPr="00F764C9" w:rsidRDefault="00A86F1E" w:rsidP="00526012">
      <w:pPr>
        <w:spacing w:after="0" w:line="432" w:lineRule="auto"/>
        <w:jc w:val="both"/>
        <w:rPr>
          <w:rFonts w:ascii="Arial" w:hAnsi="Arial" w:cs="Arial"/>
        </w:rPr>
      </w:pPr>
    </w:p>
    <w:p w14:paraId="41C2F2E8" w14:textId="0D0837A3" w:rsidR="0069306F" w:rsidRDefault="0069306F" w:rsidP="00526012">
      <w:pPr>
        <w:spacing w:after="0" w:line="432" w:lineRule="auto"/>
        <w:jc w:val="both"/>
        <w:rPr>
          <w:rFonts w:ascii="Arial" w:hAnsi="Arial" w:cs="Arial"/>
        </w:rPr>
      </w:pPr>
      <w:r>
        <w:rPr>
          <w:rFonts w:ascii="Arial" w:hAnsi="Arial" w:cs="Arial"/>
        </w:rPr>
        <w:t xml:space="preserve">9. Pre-existing diagnosis of </w:t>
      </w:r>
      <w:r w:rsidRPr="00F764C9">
        <w:rPr>
          <w:rFonts w:ascii="Arial" w:hAnsi="Arial" w:cs="Arial"/>
        </w:rPr>
        <w:t>menstrual or gynaecological conditions</w:t>
      </w:r>
      <w:r>
        <w:rPr>
          <w:rFonts w:ascii="Arial" w:hAnsi="Arial" w:cs="Arial"/>
        </w:rPr>
        <w:t xml:space="preserve"> and timing of the period following vaccination; 10. Pre-existing diagnosis of </w:t>
      </w:r>
      <w:r w:rsidRPr="00F764C9">
        <w:rPr>
          <w:rFonts w:ascii="Arial" w:hAnsi="Arial" w:cs="Arial"/>
        </w:rPr>
        <w:t>menstrual or gynaecological conditions</w:t>
      </w:r>
      <w:r>
        <w:rPr>
          <w:rFonts w:ascii="Arial" w:hAnsi="Arial" w:cs="Arial"/>
        </w:rPr>
        <w:t xml:space="preserve"> and flow of the period following vaccination.</w:t>
      </w:r>
    </w:p>
    <w:p w14:paraId="11AD341B" w14:textId="77777777" w:rsidR="000B7F4D" w:rsidRPr="00F764C9" w:rsidRDefault="000B7F4D" w:rsidP="00526012">
      <w:pPr>
        <w:spacing w:after="0" w:line="432" w:lineRule="auto"/>
        <w:jc w:val="both"/>
        <w:rPr>
          <w:rFonts w:ascii="Arial" w:hAnsi="Arial" w:cs="Arial"/>
        </w:rPr>
      </w:pPr>
    </w:p>
    <w:p w14:paraId="750A2A2C" w14:textId="7C7466FE" w:rsidR="000B7F4D" w:rsidRPr="00F764C9" w:rsidRDefault="000B7F4D" w:rsidP="00526012">
      <w:pPr>
        <w:spacing w:after="0" w:line="432" w:lineRule="auto"/>
        <w:jc w:val="both"/>
        <w:rPr>
          <w:rFonts w:ascii="Arial" w:hAnsi="Arial" w:cs="Arial"/>
        </w:rPr>
      </w:pPr>
      <w:r w:rsidRPr="00F764C9">
        <w:rPr>
          <w:rFonts w:ascii="Arial" w:hAnsi="Arial" w:cs="Arial"/>
        </w:rPr>
        <w:t>For tests 1-6</w:t>
      </w:r>
      <w:r w:rsidR="00B10D89" w:rsidRPr="00F764C9">
        <w:rPr>
          <w:rFonts w:ascii="Arial" w:hAnsi="Arial" w:cs="Arial"/>
        </w:rPr>
        <w:t>, 9 and 10</w:t>
      </w:r>
      <w:r w:rsidRPr="00F764C9">
        <w:rPr>
          <w:rFonts w:ascii="Arial" w:hAnsi="Arial" w:cs="Arial"/>
        </w:rPr>
        <w:t>, data from both first and second doses were included. For tests 7 and 8, records in which only first dose data was available</w:t>
      </w:r>
      <w:r w:rsidR="002C6582">
        <w:rPr>
          <w:rFonts w:ascii="Arial" w:hAnsi="Arial" w:cs="Arial"/>
        </w:rPr>
        <w:t xml:space="preserve"> (n = 460)</w:t>
      </w:r>
      <w:r w:rsidRPr="00F764C9">
        <w:rPr>
          <w:rFonts w:ascii="Arial" w:hAnsi="Arial" w:cs="Arial"/>
        </w:rPr>
        <w:t xml:space="preserve"> were excluded.</w:t>
      </w:r>
    </w:p>
    <w:p w14:paraId="0C69180D" w14:textId="36CC6E29" w:rsidR="00467EEA" w:rsidRPr="00F764C9" w:rsidRDefault="00467EEA" w:rsidP="00526012">
      <w:pPr>
        <w:spacing w:after="0" w:line="432" w:lineRule="auto"/>
        <w:jc w:val="both"/>
        <w:rPr>
          <w:rFonts w:ascii="Arial" w:hAnsi="Arial" w:cs="Arial"/>
        </w:rPr>
      </w:pPr>
    </w:p>
    <w:p w14:paraId="5BAAE0A7" w14:textId="34064EB2" w:rsidR="00467EEA" w:rsidRPr="00F764C9" w:rsidRDefault="00467EEA" w:rsidP="00526012">
      <w:pPr>
        <w:spacing w:after="0" w:line="432" w:lineRule="auto"/>
        <w:jc w:val="both"/>
        <w:rPr>
          <w:rFonts w:ascii="Arial" w:hAnsi="Arial" w:cs="Arial"/>
        </w:rPr>
      </w:pPr>
      <w:r w:rsidRPr="00F764C9">
        <w:rPr>
          <w:rFonts w:ascii="Arial" w:hAnsi="Arial" w:cs="Arial"/>
        </w:rPr>
        <w:t xml:space="preserve">A total of 10 </w:t>
      </w:r>
      <w:r w:rsidR="00316F45">
        <w:rPr>
          <w:rFonts w:ascii="Arial" w:hAnsi="Arial" w:cs="Arial"/>
        </w:rPr>
        <w:t>Chi squared</w:t>
      </w:r>
      <w:r w:rsidRPr="00F764C9">
        <w:rPr>
          <w:rFonts w:ascii="Arial" w:hAnsi="Arial" w:cs="Arial"/>
        </w:rPr>
        <w:t xml:space="preserve"> tests were carried out. The Holm-Bonferroni sequential correction was used to correct for multiple hypothesis testing. Tests in which the adjusted p value (p’) is less than or equal to 0.05 are indicated and categories in which the standardised residual is greater than the critical value for residuals (1.96) are indicated by *. These categories have more responses in them than would be expected if the variables under investigation were independent.</w:t>
      </w:r>
    </w:p>
    <w:p w14:paraId="723E9BD2" w14:textId="66ECBA4D" w:rsidR="000D1D6C" w:rsidRPr="00F764C9" w:rsidRDefault="000D1D6C" w:rsidP="00526012">
      <w:pPr>
        <w:spacing w:after="0" w:line="432" w:lineRule="auto"/>
        <w:jc w:val="both"/>
        <w:rPr>
          <w:rFonts w:ascii="Arial" w:hAnsi="Arial" w:cs="Arial"/>
        </w:rPr>
      </w:pPr>
    </w:p>
    <w:p w14:paraId="22B41549" w14:textId="50A83624" w:rsidR="000D1D6C" w:rsidRPr="00F764C9" w:rsidRDefault="000D1D6C" w:rsidP="00526012">
      <w:pPr>
        <w:spacing w:after="0" w:line="432" w:lineRule="auto"/>
        <w:jc w:val="both"/>
        <w:rPr>
          <w:rFonts w:ascii="Arial" w:hAnsi="Arial" w:cs="Arial"/>
        </w:rPr>
      </w:pPr>
      <w:r w:rsidRPr="00F764C9">
        <w:rPr>
          <w:rFonts w:ascii="Arial" w:hAnsi="Arial" w:cs="Arial"/>
        </w:rPr>
        <w:t>Statistical analysis was performed with Prism version 9.0.0.</w:t>
      </w:r>
    </w:p>
    <w:p w14:paraId="6031DDE4" w14:textId="72D95CF6" w:rsidR="00CA51E4" w:rsidRPr="00F764C9" w:rsidRDefault="00CA51E4" w:rsidP="00526012">
      <w:pPr>
        <w:spacing w:after="0" w:line="432" w:lineRule="auto"/>
        <w:jc w:val="both"/>
        <w:rPr>
          <w:rFonts w:ascii="Arial" w:hAnsi="Arial" w:cs="Arial"/>
        </w:rPr>
      </w:pPr>
    </w:p>
    <w:p w14:paraId="17D02F59" w14:textId="09011BEB" w:rsidR="00CA51E4" w:rsidRPr="00F764C9" w:rsidRDefault="00CA51E4" w:rsidP="00526012">
      <w:pPr>
        <w:spacing w:after="0" w:line="432" w:lineRule="auto"/>
        <w:jc w:val="both"/>
        <w:rPr>
          <w:rFonts w:ascii="Arial" w:hAnsi="Arial" w:cs="Arial"/>
          <w:i/>
          <w:iCs/>
        </w:rPr>
      </w:pPr>
      <w:r w:rsidRPr="00F764C9">
        <w:rPr>
          <w:rFonts w:ascii="Arial" w:hAnsi="Arial" w:cs="Arial"/>
          <w:i/>
          <w:iCs/>
        </w:rPr>
        <w:t>Patient and public involvement</w:t>
      </w:r>
    </w:p>
    <w:p w14:paraId="2190A589" w14:textId="04691ADB" w:rsidR="000D1D6C" w:rsidRPr="00F764C9" w:rsidRDefault="00A27AE0" w:rsidP="00526012">
      <w:pPr>
        <w:spacing w:after="0" w:line="432" w:lineRule="auto"/>
        <w:jc w:val="both"/>
        <w:rPr>
          <w:rFonts w:ascii="Arial" w:hAnsi="Arial" w:cs="Arial"/>
        </w:rPr>
      </w:pPr>
      <w:r w:rsidRPr="00F764C9">
        <w:rPr>
          <w:rFonts w:ascii="Arial" w:hAnsi="Arial" w:cs="Arial"/>
        </w:rPr>
        <w:t xml:space="preserve">This study was carried out as a result of a number of unsolicited messages from members of the public, who felt that they had experienced a change to their periods following COVID-19 vaccination, and thought that more research should be done into this. </w:t>
      </w:r>
      <w:r w:rsidR="00CA51E4" w:rsidRPr="00F764C9">
        <w:rPr>
          <w:rFonts w:ascii="Arial" w:hAnsi="Arial" w:cs="Arial"/>
        </w:rPr>
        <w:t xml:space="preserve">Tests 9 and 10 were added as exploratory analyses </w:t>
      </w:r>
      <w:r w:rsidR="00FF2189" w:rsidRPr="00F764C9">
        <w:rPr>
          <w:rFonts w:ascii="Arial" w:hAnsi="Arial" w:cs="Arial"/>
        </w:rPr>
        <w:t>following a series of webinars on COVID-19 vaccination and reproductive health issues, because the potential for people with pre-existing gynaecological diagnoses to experience worse menstrual effects emerged as a common concern in the audience questions.</w:t>
      </w:r>
      <w:r w:rsidR="000D1D6C" w:rsidRPr="00F764C9">
        <w:rPr>
          <w:rFonts w:ascii="Arial" w:hAnsi="Arial" w:cs="Arial"/>
        </w:rPr>
        <w:br w:type="page"/>
      </w:r>
    </w:p>
    <w:p w14:paraId="24923B75" w14:textId="7E4EECBC" w:rsidR="000D1D6C" w:rsidRPr="00F764C9" w:rsidRDefault="000D1D6C" w:rsidP="00526012">
      <w:pPr>
        <w:spacing w:after="0" w:line="432" w:lineRule="auto"/>
        <w:jc w:val="both"/>
        <w:rPr>
          <w:rFonts w:ascii="Arial" w:hAnsi="Arial" w:cs="Arial"/>
          <w:b/>
          <w:bCs/>
        </w:rPr>
      </w:pPr>
      <w:r w:rsidRPr="00F764C9">
        <w:rPr>
          <w:rFonts w:ascii="Arial" w:hAnsi="Arial" w:cs="Arial"/>
          <w:b/>
          <w:bCs/>
        </w:rPr>
        <w:lastRenderedPageBreak/>
        <w:t>Results</w:t>
      </w:r>
    </w:p>
    <w:p w14:paraId="34DCE607" w14:textId="56DAB080" w:rsidR="000D1D6C" w:rsidRPr="00F764C9" w:rsidRDefault="000D1D6C" w:rsidP="00526012">
      <w:pPr>
        <w:spacing w:after="0" w:line="432" w:lineRule="auto"/>
        <w:jc w:val="both"/>
        <w:rPr>
          <w:rFonts w:ascii="Arial" w:hAnsi="Arial" w:cs="Arial"/>
          <w:i/>
          <w:iCs/>
        </w:rPr>
      </w:pPr>
      <w:r w:rsidRPr="00F764C9">
        <w:rPr>
          <w:rFonts w:ascii="Arial" w:hAnsi="Arial" w:cs="Arial"/>
          <w:i/>
          <w:iCs/>
        </w:rPr>
        <w:t>Association between brand of vaccination and changes in timing and flow of next period</w:t>
      </w:r>
    </w:p>
    <w:p w14:paraId="1EB2089A" w14:textId="4DD62F95" w:rsidR="000D1D6C" w:rsidRPr="00F764C9" w:rsidRDefault="000D1D6C" w:rsidP="00526012">
      <w:pPr>
        <w:spacing w:after="0" w:line="432" w:lineRule="auto"/>
        <w:jc w:val="both"/>
        <w:rPr>
          <w:rFonts w:ascii="Arial" w:hAnsi="Arial" w:cs="Arial"/>
        </w:rPr>
      </w:pPr>
      <w:r w:rsidRPr="00F764C9">
        <w:rPr>
          <w:rFonts w:ascii="Arial" w:hAnsi="Arial" w:cs="Arial"/>
        </w:rPr>
        <w:t>Menstrual changes have been reported</w:t>
      </w:r>
      <w:r w:rsidR="003A49C6" w:rsidRPr="00F764C9">
        <w:rPr>
          <w:rFonts w:ascii="Arial" w:hAnsi="Arial" w:cs="Arial"/>
        </w:rPr>
        <w:t xml:space="preserve"> to the Yellow Card surveillance scheme</w:t>
      </w:r>
      <w:r w:rsidRPr="00F764C9">
        <w:rPr>
          <w:rFonts w:ascii="Arial" w:hAnsi="Arial" w:cs="Arial"/>
        </w:rPr>
        <w:t xml:space="preserve"> after receiving all brands of vaccines [</w:t>
      </w:r>
      <w:r w:rsidR="00C149AE" w:rsidRPr="00F764C9">
        <w:rPr>
          <w:rFonts w:ascii="Arial" w:hAnsi="Arial" w:cs="Arial"/>
        </w:rPr>
        <w:t>1</w:t>
      </w:r>
      <w:r w:rsidRPr="00F764C9">
        <w:rPr>
          <w:rFonts w:ascii="Arial" w:hAnsi="Arial" w:cs="Arial"/>
        </w:rPr>
        <w:t xml:space="preserve">], suggesting that no particular brand or strategy (mRNA vs adenovirus-vectored) is clearly associated with menstrual changes. In line with </w:t>
      </w:r>
      <w:r w:rsidR="003A49C6" w:rsidRPr="00F764C9">
        <w:rPr>
          <w:rFonts w:ascii="Arial" w:hAnsi="Arial" w:cs="Arial"/>
        </w:rPr>
        <w:t xml:space="preserve">these </w:t>
      </w:r>
      <w:r w:rsidR="000871BC" w:rsidRPr="00F764C9">
        <w:rPr>
          <w:rFonts w:ascii="Arial" w:hAnsi="Arial" w:cs="Arial"/>
        </w:rPr>
        <w:t>reports</w:t>
      </w:r>
      <w:r w:rsidRPr="00F764C9">
        <w:rPr>
          <w:rFonts w:ascii="Arial" w:hAnsi="Arial" w:cs="Arial"/>
        </w:rPr>
        <w:t>, in this dataset there was no association between brand of vaccine received and self-reported change to timing or flow of the next period</w:t>
      </w:r>
      <w:r w:rsidR="003D503F" w:rsidRPr="00F764C9">
        <w:rPr>
          <w:rFonts w:ascii="Arial" w:hAnsi="Arial" w:cs="Arial"/>
        </w:rPr>
        <w:t xml:space="preserve"> (</w:t>
      </w:r>
      <w:r w:rsidR="00E76C44">
        <w:rPr>
          <w:rFonts w:ascii="Arial" w:hAnsi="Arial" w:cs="Arial"/>
        </w:rPr>
        <w:t>Figure</w:t>
      </w:r>
      <w:r w:rsidR="00931874" w:rsidRPr="00F764C9">
        <w:rPr>
          <w:rFonts w:ascii="Arial" w:hAnsi="Arial" w:cs="Arial"/>
        </w:rPr>
        <w:t xml:space="preserve"> </w:t>
      </w:r>
      <w:r w:rsidR="00E76C44">
        <w:rPr>
          <w:rFonts w:ascii="Arial" w:hAnsi="Arial" w:cs="Arial"/>
        </w:rPr>
        <w:t>S</w:t>
      </w:r>
      <w:r w:rsidR="00931874" w:rsidRPr="00F764C9">
        <w:rPr>
          <w:rFonts w:ascii="Arial" w:hAnsi="Arial" w:cs="Arial"/>
        </w:rPr>
        <w:t>1a,b</w:t>
      </w:r>
      <w:r w:rsidR="003D503F" w:rsidRPr="00F764C9">
        <w:rPr>
          <w:rFonts w:ascii="Arial" w:hAnsi="Arial" w:cs="Arial"/>
        </w:rPr>
        <w:t>).</w:t>
      </w:r>
    </w:p>
    <w:p w14:paraId="40A48752" w14:textId="02E81BD3" w:rsidR="003D503F" w:rsidRPr="00F764C9" w:rsidRDefault="003D503F" w:rsidP="00526012">
      <w:pPr>
        <w:spacing w:after="0" w:line="432" w:lineRule="auto"/>
        <w:jc w:val="both"/>
        <w:rPr>
          <w:rFonts w:ascii="Arial" w:hAnsi="Arial" w:cs="Arial"/>
        </w:rPr>
      </w:pPr>
    </w:p>
    <w:p w14:paraId="1D8028A0" w14:textId="476C35CD" w:rsidR="003D503F" w:rsidRPr="00F764C9" w:rsidRDefault="003D503F" w:rsidP="00526012">
      <w:pPr>
        <w:spacing w:after="0" w:line="432" w:lineRule="auto"/>
        <w:jc w:val="both"/>
        <w:rPr>
          <w:rFonts w:ascii="Arial" w:hAnsi="Arial" w:cs="Arial"/>
          <w:i/>
          <w:iCs/>
        </w:rPr>
      </w:pPr>
      <w:r w:rsidRPr="00F764C9">
        <w:rPr>
          <w:rFonts w:ascii="Arial" w:hAnsi="Arial" w:cs="Arial"/>
          <w:i/>
          <w:iCs/>
        </w:rPr>
        <w:t>Association between hormonal contraception and changes in timing and flow of next period</w:t>
      </w:r>
    </w:p>
    <w:p w14:paraId="1D58C4B4" w14:textId="7C3EC0CC" w:rsidR="003D503F" w:rsidRPr="00F764C9" w:rsidRDefault="00621A84" w:rsidP="00526012">
      <w:pPr>
        <w:spacing w:after="0" w:line="432" w:lineRule="auto"/>
        <w:jc w:val="both"/>
        <w:rPr>
          <w:rFonts w:ascii="Arial" w:hAnsi="Arial" w:cs="Arial"/>
        </w:rPr>
      </w:pPr>
      <w:r w:rsidRPr="00F764C9">
        <w:rPr>
          <w:rFonts w:ascii="Arial" w:hAnsi="Arial" w:cs="Arial"/>
        </w:rPr>
        <w:t>If there is a link between COVID-19 vaccination and changes to periods, and it is mediated by changes to sex hormones as has been suggested [</w:t>
      </w:r>
      <w:r w:rsidR="00C149AE" w:rsidRPr="00F764C9">
        <w:rPr>
          <w:rFonts w:ascii="Arial" w:hAnsi="Arial" w:cs="Arial"/>
        </w:rPr>
        <w:t>13</w:t>
      </w:r>
      <w:r w:rsidRPr="00F764C9">
        <w:rPr>
          <w:rFonts w:ascii="Arial" w:hAnsi="Arial" w:cs="Arial"/>
        </w:rPr>
        <w:t xml:space="preserve">], then people in whom exogenous sex hormones are supplied by hormonal contraception </w:t>
      </w:r>
      <w:r w:rsidR="00077A05" w:rsidRPr="00F764C9">
        <w:rPr>
          <w:rFonts w:ascii="Arial" w:hAnsi="Arial" w:cs="Arial"/>
        </w:rPr>
        <w:t>are</w:t>
      </w:r>
      <w:r w:rsidRPr="00F764C9">
        <w:rPr>
          <w:rFonts w:ascii="Arial" w:hAnsi="Arial" w:cs="Arial"/>
        </w:rPr>
        <w:t xml:space="preserve"> expected to be less likely to experience a menstrual change following vaccination.</w:t>
      </w:r>
    </w:p>
    <w:p w14:paraId="75D09939" w14:textId="1CDCF8E3" w:rsidR="00850B53" w:rsidRPr="00F764C9" w:rsidRDefault="00850B53" w:rsidP="00526012">
      <w:pPr>
        <w:spacing w:after="0" w:line="432" w:lineRule="auto"/>
        <w:jc w:val="both"/>
        <w:rPr>
          <w:rFonts w:ascii="Arial" w:hAnsi="Arial" w:cs="Arial"/>
        </w:rPr>
      </w:pPr>
    </w:p>
    <w:p w14:paraId="6444DDBA" w14:textId="3E65B975" w:rsidR="00947FA4" w:rsidRPr="00F764C9" w:rsidRDefault="00947FA4" w:rsidP="00526012">
      <w:pPr>
        <w:spacing w:after="0" w:line="432" w:lineRule="auto"/>
        <w:jc w:val="both"/>
        <w:rPr>
          <w:rFonts w:ascii="Arial" w:hAnsi="Arial" w:cs="Arial"/>
        </w:rPr>
      </w:pPr>
      <w:r w:rsidRPr="00F764C9">
        <w:rPr>
          <w:rFonts w:ascii="Arial" w:hAnsi="Arial" w:cs="Arial"/>
        </w:rPr>
        <w:t>There was no association between hormonal contraception and timing of the next period (F</w:t>
      </w:r>
      <w:r w:rsidR="00931874" w:rsidRPr="00F764C9">
        <w:rPr>
          <w:rFonts w:ascii="Arial" w:hAnsi="Arial" w:cs="Arial"/>
        </w:rPr>
        <w:t>igure 1</w:t>
      </w:r>
      <w:r w:rsidR="00DE7841" w:rsidRPr="00F764C9">
        <w:rPr>
          <w:rFonts w:ascii="Arial" w:hAnsi="Arial" w:cs="Arial"/>
        </w:rPr>
        <w:t>a</w:t>
      </w:r>
      <w:r w:rsidRPr="00F764C9">
        <w:rPr>
          <w:rFonts w:ascii="Arial" w:hAnsi="Arial" w:cs="Arial"/>
        </w:rPr>
        <w:t>) but, contrary to the pre-specified hypothesis, people on hormonal contraception were more likely to report that the flow of the period following vaccination was different from usual (F</w:t>
      </w:r>
      <w:r w:rsidR="00931874" w:rsidRPr="00F764C9">
        <w:rPr>
          <w:rFonts w:ascii="Arial" w:hAnsi="Arial" w:cs="Arial"/>
        </w:rPr>
        <w:t>igure 1</w:t>
      </w:r>
      <w:r w:rsidR="00DE7841" w:rsidRPr="00F764C9">
        <w:rPr>
          <w:rFonts w:ascii="Arial" w:hAnsi="Arial" w:cs="Arial"/>
        </w:rPr>
        <w:t>b</w:t>
      </w:r>
      <w:r w:rsidRPr="00F764C9">
        <w:rPr>
          <w:rFonts w:ascii="Arial" w:hAnsi="Arial" w:cs="Arial"/>
        </w:rPr>
        <w:t>).</w:t>
      </w:r>
    </w:p>
    <w:p w14:paraId="4A6A7FC7" w14:textId="77777777" w:rsidR="00850B53" w:rsidRPr="00F764C9" w:rsidRDefault="00850B53" w:rsidP="00526012">
      <w:pPr>
        <w:spacing w:after="0" w:line="432" w:lineRule="auto"/>
        <w:jc w:val="both"/>
        <w:rPr>
          <w:rFonts w:ascii="Arial" w:hAnsi="Arial" w:cs="Arial"/>
        </w:rPr>
      </w:pPr>
    </w:p>
    <w:p w14:paraId="72993274" w14:textId="699FA815" w:rsidR="007F0819" w:rsidRPr="00F764C9" w:rsidRDefault="007F0819" w:rsidP="00526012">
      <w:pPr>
        <w:spacing w:after="0" w:line="432" w:lineRule="auto"/>
        <w:jc w:val="both"/>
        <w:rPr>
          <w:rFonts w:ascii="Arial" w:hAnsi="Arial" w:cs="Arial"/>
          <w:i/>
          <w:iCs/>
        </w:rPr>
      </w:pPr>
      <w:r w:rsidRPr="00F764C9">
        <w:rPr>
          <w:rFonts w:ascii="Arial" w:hAnsi="Arial" w:cs="Arial"/>
          <w:i/>
          <w:iCs/>
        </w:rPr>
        <w:t>Association between timing of vaccination and changes in timing and flow of next period</w:t>
      </w:r>
    </w:p>
    <w:p w14:paraId="2FF2800C" w14:textId="5E0F3F7B" w:rsidR="00196858" w:rsidRPr="00F764C9" w:rsidRDefault="00687715" w:rsidP="00526012">
      <w:pPr>
        <w:spacing w:after="0" w:line="432" w:lineRule="auto"/>
        <w:jc w:val="both"/>
        <w:rPr>
          <w:rFonts w:ascii="Arial" w:hAnsi="Arial" w:cs="Arial"/>
        </w:rPr>
      </w:pPr>
      <w:r w:rsidRPr="00F764C9">
        <w:rPr>
          <w:rFonts w:ascii="Arial" w:hAnsi="Arial" w:cs="Arial"/>
        </w:rPr>
        <w:t>The most commonly-reported menstrual change following vaccination is a delay to the next period [1]. Vaccination produces an inflammatory response and inflammation is associated with follicular dynamics during the menstrual cycle [</w:t>
      </w:r>
      <w:r w:rsidR="009A1866">
        <w:rPr>
          <w:rFonts w:ascii="Arial" w:hAnsi="Arial" w:cs="Arial"/>
        </w:rPr>
        <w:t>16,17</w:t>
      </w:r>
      <w:r w:rsidRPr="00F764C9">
        <w:rPr>
          <w:rFonts w:ascii="Arial" w:hAnsi="Arial" w:cs="Arial"/>
        </w:rPr>
        <w:t xml:space="preserve">]. Further, the length of the luteal phase is considered to be relatively stable, with variation </w:t>
      </w:r>
      <w:r w:rsidR="0087028D">
        <w:rPr>
          <w:rFonts w:ascii="Arial" w:hAnsi="Arial" w:cs="Arial"/>
        </w:rPr>
        <w:t xml:space="preserve">in cycle length </w:t>
      </w:r>
      <w:r w:rsidRPr="00F764C9">
        <w:rPr>
          <w:rFonts w:ascii="Arial" w:hAnsi="Arial" w:cs="Arial"/>
        </w:rPr>
        <w:t xml:space="preserve">arising from variation in the follicular phase [15]. Therefore, </w:t>
      </w:r>
      <w:r w:rsidR="007F595B" w:rsidRPr="00F764C9">
        <w:rPr>
          <w:rFonts w:ascii="Arial" w:hAnsi="Arial" w:cs="Arial"/>
        </w:rPr>
        <w:t>vaccination in the follicular phase could delay or prevent ovulation lengthening the cycle</w:t>
      </w:r>
      <w:r w:rsidR="00901051">
        <w:rPr>
          <w:rFonts w:ascii="Arial" w:hAnsi="Arial" w:cs="Arial"/>
        </w:rPr>
        <w:t>.</w:t>
      </w:r>
      <w:r w:rsidR="007F595B" w:rsidRPr="00F764C9">
        <w:rPr>
          <w:rFonts w:ascii="Arial" w:hAnsi="Arial" w:cs="Arial"/>
        </w:rPr>
        <w:t xml:space="preserve"> </w:t>
      </w:r>
      <w:r w:rsidR="00901051">
        <w:rPr>
          <w:rFonts w:ascii="Arial" w:hAnsi="Arial" w:cs="Arial"/>
        </w:rPr>
        <w:t>In this case,</w:t>
      </w:r>
      <w:r w:rsidR="007F595B" w:rsidRPr="00F764C9">
        <w:rPr>
          <w:rFonts w:ascii="Arial" w:hAnsi="Arial" w:cs="Arial"/>
        </w:rPr>
        <w:t xml:space="preserve"> later than usual periods would be predicted to be associated primarily with vaccination in the follicular phase.</w:t>
      </w:r>
    </w:p>
    <w:p w14:paraId="4827DA0C" w14:textId="3BE4E217" w:rsidR="009A3697" w:rsidRPr="00F764C9" w:rsidRDefault="009A3697" w:rsidP="00526012">
      <w:pPr>
        <w:spacing w:after="0" w:line="432" w:lineRule="auto"/>
        <w:jc w:val="both"/>
        <w:rPr>
          <w:rFonts w:ascii="Arial" w:hAnsi="Arial" w:cs="Arial"/>
        </w:rPr>
      </w:pPr>
    </w:p>
    <w:p w14:paraId="56C25D21" w14:textId="13B39BD5" w:rsidR="009A3697" w:rsidRPr="00F764C9" w:rsidRDefault="009A3697" w:rsidP="00526012">
      <w:pPr>
        <w:spacing w:after="0" w:line="432" w:lineRule="auto"/>
        <w:jc w:val="both"/>
        <w:rPr>
          <w:rFonts w:ascii="Arial" w:hAnsi="Arial" w:cs="Arial"/>
        </w:rPr>
      </w:pPr>
      <w:r w:rsidRPr="00F764C9">
        <w:rPr>
          <w:rFonts w:ascii="Arial" w:hAnsi="Arial" w:cs="Arial"/>
        </w:rPr>
        <w:t>There was a significant association between timing of vaccination within the menstrual cycle and the timing of the next period (F</w:t>
      </w:r>
      <w:r w:rsidR="003014B5" w:rsidRPr="00F764C9">
        <w:rPr>
          <w:rFonts w:ascii="Arial" w:hAnsi="Arial" w:cs="Arial"/>
        </w:rPr>
        <w:t>igure 2a</w:t>
      </w:r>
      <w:r w:rsidRPr="00F764C9">
        <w:rPr>
          <w:rFonts w:ascii="Arial" w:hAnsi="Arial" w:cs="Arial"/>
        </w:rPr>
        <w:t xml:space="preserve">). Examination of the standardised residuals revealed that this association was due to respondents vaccinated the day that their period was </w:t>
      </w:r>
      <w:r w:rsidRPr="00F764C9">
        <w:rPr>
          <w:rFonts w:ascii="Arial" w:hAnsi="Arial" w:cs="Arial"/>
        </w:rPr>
        <w:lastRenderedPageBreak/>
        <w:t>due, or the day before their period was due, who were more likely to report that their next period was late. This is perhaps unsurprising, since the timing of vaccination meant that these people were already moving towards having a later than usual period</w:t>
      </w:r>
      <w:r w:rsidR="00485251" w:rsidRPr="00F764C9">
        <w:rPr>
          <w:rFonts w:ascii="Arial" w:hAnsi="Arial" w:cs="Arial"/>
        </w:rPr>
        <w:t>: t</w:t>
      </w:r>
      <w:r w:rsidRPr="00F764C9">
        <w:rPr>
          <w:rFonts w:ascii="Arial" w:hAnsi="Arial" w:cs="Arial"/>
        </w:rPr>
        <w:t>here was no association to support the pre-specified hypothesis. There was no association between timing of vaccination and flow of the next period (F</w:t>
      </w:r>
      <w:r w:rsidR="003014B5" w:rsidRPr="00F764C9">
        <w:rPr>
          <w:rFonts w:ascii="Arial" w:hAnsi="Arial" w:cs="Arial"/>
        </w:rPr>
        <w:t>igure 2b</w:t>
      </w:r>
      <w:r w:rsidRPr="00F764C9">
        <w:rPr>
          <w:rFonts w:ascii="Arial" w:hAnsi="Arial" w:cs="Arial"/>
        </w:rPr>
        <w:t>).</w:t>
      </w:r>
    </w:p>
    <w:p w14:paraId="34281071" w14:textId="000B89AF" w:rsidR="009A3697" w:rsidRPr="00F764C9" w:rsidRDefault="009A3697" w:rsidP="00526012">
      <w:pPr>
        <w:spacing w:after="0" w:line="432" w:lineRule="auto"/>
        <w:jc w:val="both"/>
        <w:rPr>
          <w:rFonts w:ascii="Arial" w:hAnsi="Arial" w:cs="Arial"/>
        </w:rPr>
      </w:pPr>
    </w:p>
    <w:p w14:paraId="55ADAEC1" w14:textId="1C331D83" w:rsidR="009A3697" w:rsidRPr="00F764C9" w:rsidRDefault="009A3697" w:rsidP="00526012">
      <w:pPr>
        <w:spacing w:after="0" w:line="432" w:lineRule="auto"/>
        <w:jc w:val="both"/>
        <w:rPr>
          <w:rFonts w:ascii="Arial" w:hAnsi="Arial" w:cs="Arial"/>
          <w:i/>
          <w:iCs/>
        </w:rPr>
      </w:pPr>
      <w:r w:rsidRPr="00F764C9">
        <w:rPr>
          <w:rFonts w:ascii="Arial" w:hAnsi="Arial" w:cs="Arial"/>
          <w:i/>
          <w:iCs/>
        </w:rPr>
        <w:t>Association between menstrual changes following dose 1 and dose 2</w:t>
      </w:r>
    </w:p>
    <w:p w14:paraId="72FA2196" w14:textId="1A67B39E" w:rsidR="003D503F" w:rsidRPr="00F764C9" w:rsidRDefault="00D5327F" w:rsidP="00526012">
      <w:pPr>
        <w:spacing w:after="0" w:line="432" w:lineRule="auto"/>
        <w:jc w:val="both"/>
        <w:rPr>
          <w:rFonts w:ascii="Arial" w:hAnsi="Arial" w:cs="Arial"/>
        </w:rPr>
      </w:pPr>
      <w:r w:rsidRPr="00F764C9">
        <w:rPr>
          <w:rFonts w:ascii="Arial" w:hAnsi="Arial" w:cs="Arial"/>
        </w:rPr>
        <w:t>For both timing (</w:t>
      </w:r>
      <w:r w:rsidR="00E76C44">
        <w:rPr>
          <w:rFonts w:ascii="Arial" w:hAnsi="Arial" w:cs="Arial"/>
        </w:rPr>
        <w:t>Figure</w:t>
      </w:r>
      <w:r w:rsidR="003014B5" w:rsidRPr="00F764C9">
        <w:rPr>
          <w:rFonts w:ascii="Arial" w:hAnsi="Arial" w:cs="Arial"/>
        </w:rPr>
        <w:t xml:space="preserve"> </w:t>
      </w:r>
      <w:r w:rsidR="00E76C44">
        <w:rPr>
          <w:rFonts w:ascii="Arial" w:hAnsi="Arial" w:cs="Arial"/>
        </w:rPr>
        <w:t>S</w:t>
      </w:r>
      <w:r w:rsidR="009B63CD" w:rsidRPr="00F764C9">
        <w:rPr>
          <w:rFonts w:ascii="Arial" w:hAnsi="Arial" w:cs="Arial"/>
        </w:rPr>
        <w:t>2</w:t>
      </w:r>
      <w:r w:rsidR="003014B5" w:rsidRPr="00F764C9">
        <w:rPr>
          <w:rFonts w:ascii="Arial" w:hAnsi="Arial" w:cs="Arial"/>
        </w:rPr>
        <w:t>a</w:t>
      </w:r>
      <w:r w:rsidRPr="00F764C9">
        <w:rPr>
          <w:rFonts w:ascii="Arial" w:hAnsi="Arial" w:cs="Arial"/>
        </w:rPr>
        <w:t>) and flow (</w:t>
      </w:r>
      <w:r w:rsidR="009B63CD" w:rsidRPr="00F764C9">
        <w:rPr>
          <w:rFonts w:ascii="Arial" w:hAnsi="Arial" w:cs="Arial"/>
        </w:rPr>
        <w:t>Figure</w:t>
      </w:r>
      <w:r w:rsidR="003014B5" w:rsidRPr="00F764C9">
        <w:rPr>
          <w:rFonts w:ascii="Arial" w:hAnsi="Arial" w:cs="Arial"/>
        </w:rPr>
        <w:t xml:space="preserve"> </w:t>
      </w:r>
      <w:r w:rsidR="00E76C44">
        <w:rPr>
          <w:rFonts w:ascii="Arial" w:hAnsi="Arial" w:cs="Arial"/>
        </w:rPr>
        <w:t>S</w:t>
      </w:r>
      <w:r w:rsidR="009B63CD" w:rsidRPr="00F764C9">
        <w:rPr>
          <w:rFonts w:ascii="Arial" w:hAnsi="Arial" w:cs="Arial"/>
        </w:rPr>
        <w:t>2</w:t>
      </w:r>
      <w:r w:rsidR="003014B5" w:rsidRPr="00F764C9">
        <w:rPr>
          <w:rFonts w:ascii="Arial" w:hAnsi="Arial" w:cs="Arial"/>
        </w:rPr>
        <w:t>b</w:t>
      </w:r>
      <w:r w:rsidRPr="00F764C9">
        <w:rPr>
          <w:rFonts w:ascii="Arial" w:hAnsi="Arial" w:cs="Arial"/>
        </w:rPr>
        <w:t xml:space="preserve">), there was a strong association between the reports for dose 1 and dose 2, with people most likely to report the same experience following dose 2 as they had following dose 1. </w:t>
      </w:r>
    </w:p>
    <w:p w14:paraId="6BAB6A35" w14:textId="2A16557D" w:rsidR="00D5327F" w:rsidRPr="00F764C9" w:rsidRDefault="00D5327F" w:rsidP="00526012">
      <w:pPr>
        <w:spacing w:after="0" w:line="432" w:lineRule="auto"/>
        <w:jc w:val="both"/>
        <w:rPr>
          <w:rFonts w:ascii="Arial" w:hAnsi="Arial" w:cs="Arial"/>
        </w:rPr>
      </w:pPr>
    </w:p>
    <w:p w14:paraId="35DA54FB" w14:textId="27343F0A" w:rsidR="00D5327F" w:rsidRPr="00F764C9" w:rsidRDefault="00D5327F" w:rsidP="00526012">
      <w:pPr>
        <w:spacing w:after="0" w:line="432" w:lineRule="auto"/>
        <w:jc w:val="both"/>
        <w:rPr>
          <w:rFonts w:ascii="Arial" w:hAnsi="Arial" w:cs="Arial"/>
          <w:i/>
          <w:iCs/>
        </w:rPr>
      </w:pPr>
      <w:r w:rsidRPr="00F764C9">
        <w:rPr>
          <w:rFonts w:ascii="Arial" w:hAnsi="Arial" w:cs="Arial"/>
          <w:i/>
          <w:iCs/>
        </w:rPr>
        <w:t>Association between pre-existing gynaecological conditions and changes in timing and flow of the period following vaccination</w:t>
      </w:r>
    </w:p>
    <w:p w14:paraId="089E1EFA" w14:textId="46568E49" w:rsidR="00EC53B5" w:rsidRPr="00F764C9" w:rsidRDefault="00EC53B5" w:rsidP="00526012">
      <w:pPr>
        <w:spacing w:after="0" w:line="432" w:lineRule="auto"/>
        <w:jc w:val="both"/>
        <w:rPr>
          <w:rFonts w:ascii="Arial" w:hAnsi="Arial" w:cs="Arial"/>
        </w:rPr>
      </w:pPr>
      <w:r w:rsidRPr="00F764C9">
        <w:rPr>
          <w:rFonts w:ascii="Arial" w:hAnsi="Arial" w:cs="Arial"/>
        </w:rPr>
        <w:t>One concern commonly expressed by people with pre-existing gynaecological or menstrual conditions is that, since they already experience heavy of otherwise difficult periods, any menstrual changes following COVID-19 vaccination might be more pronounced for them. This concern is a major contributor to vaccine hesitancy in this group.</w:t>
      </w:r>
    </w:p>
    <w:p w14:paraId="0CC303E4" w14:textId="77777777" w:rsidR="00EC53B5" w:rsidRPr="00F764C9" w:rsidRDefault="00EC53B5" w:rsidP="00526012">
      <w:pPr>
        <w:spacing w:after="0" w:line="432" w:lineRule="auto"/>
        <w:jc w:val="both"/>
        <w:rPr>
          <w:rFonts w:ascii="Arial" w:hAnsi="Arial" w:cs="Arial"/>
        </w:rPr>
      </w:pPr>
    </w:p>
    <w:p w14:paraId="5F04EB90" w14:textId="028FF79E" w:rsidR="00203E4D" w:rsidRPr="00F764C9" w:rsidRDefault="00EC53B5" w:rsidP="00526012">
      <w:pPr>
        <w:spacing w:after="0" w:line="432" w:lineRule="auto"/>
        <w:jc w:val="both"/>
        <w:rPr>
          <w:rFonts w:ascii="Arial" w:hAnsi="Arial" w:cs="Arial"/>
        </w:rPr>
      </w:pPr>
      <w:r w:rsidRPr="00F764C9">
        <w:rPr>
          <w:rFonts w:ascii="Arial" w:hAnsi="Arial" w:cs="Arial"/>
        </w:rPr>
        <w:t xml:space="preserve">To address this concern, an exploratory analysis was added to determine how having a pre-existing diagnosis of a menstrual or other gynaecological condition might affect the timing or flow of the period following vaccination. </w:t>
      </w:r>
      <w:r w:rsidR="008A4795" w:rsidRPr="00F764C9">
        <w:rPr>
          <w:rFonts w:ascii="Arial" w:hAnsi="Arial" w:cs="Arial"/>
        </w:rPr>
        <w:t>There was no</w:t>
      </w:r>
      <w:r w:rsidRPr="00F764C9">
        <w:rPr>
          <w:rFonts w:ascii="Arial" w:hAnsi="Arial" w:cs="Arial"/>
        </w:rPr>
        <w:t xml:space="preserve"> association between having had a diagnosis of </w:t>
      </w:r>
      <w:r w:rsidR="008A4795" w:rsidRPr="00F764C9">
        <w:rPr>
          <w:rFonts w:ascii="Arial" w:hAnsi="Arial" w:cs="Arial"/>
        </w:rPr>
        <w:t>any gynaecological or menstrual condition</w:t>
      </w:r>
      <w:r w:rsidRPr="00F764C9">
        <w:rPr>
          <w:rFonts w:ascii="Arial" w:hAnsi="Arial" w:cs="Arial"/>
        </w:rPr>
        <w:t xml:space="preserve"> </w:t>
      </w:r>
      <w:r w:rsidR="008A4795" w:rsidRPr="00F764C9">
        <w:rPr>
          <w:rFonts w:ascii="Arial" w:hAnsi="Arial" w:cs="Arial"/>
        </w:rPr>
        <w:t>and the reported flow of the period following vaccination (F</w:t>
      </w:r>
      <w:r w:rsidR="003014B5" w:rsidRPr="00F764C9">
        <w:rPr>
          <w:rFonts w:ascii="Arial" w:hAnsi="Arial" w:cs="Arial"/>
        </w:rPr>
        <w:t xml:space="preserve">igure </w:t>
      </w:r>
      <w:r w:rsidR="009B63CD" w:rsidRPr="00F764C9">
        <w:rPr>
          <w:rFonts w:ascii="Arial" w:hAnsi="Arial" w:cs="Arial"/>
        </w:rPr>
        <w:t>3</w:t>
      </w:r>
      <w:r w:rsidR="003014B5" w:rsidRPr="00F764C9">
        <w:rPr>
          <w:rFonts w:ascii="Arial" w:hAnsi="Arial" w:cs="Arial"/>
        </w:rPr>
        <w:t>b</w:t>
      </w:r>
      <w:r w:rsidR="008A4795" w:rsidRPr="00F764C9">
        <w:rPr>
          <w:rFonts w:ascii="Arial" w:hAnsi="Arial" w:cs="Arial"/>
        </w:rPr>
        <w:t>)</w:t>
      </w:r>
      <w:r w:rsidRPr="00F764C9">
        <w:rPr>
          <w:rFonts w:ascii="Arial" w:hAnsi="Arial" w:cs="Arial"/>
        </w:rPr>
        <w:t xml:space="preserve">. </w:t>
      </w:r>
      <w:r w:rsidR="008A4795" w:rsidRPr="00F764C9">
        <w:rPr>
          <w:rFonts w:ascii="Arial" w:hAnsi="Arial" w:cs="Arial"/>
        </w:rPr>
        <w:t>However, there was a significant association between the timing of the period following vaccination and having a pre-existing diagnosis</w:t>
      </w:r>
      <w:r w:rsidR="003014B5" w:rsidRPr="00F764C9">
        <w:rPr>
          <w:rFonts w:ascii="Arial" w:hAnsi="Arial" w:cs="Arial"/>
        </w:rPr>
        <w:t xml:space="preserve"> (Figure </w:t>
      </w:r>
      <w:r w:rsidR="009B63CD" w:rsidRPr="00F764C9">
        <w:rPr>
          <w:rFonts w:ascii="Arial" w:hAnsi="Arial" w:cs="Arial"/>
        </w:rPr>
        <w:t>3</w:t>
      </w:r>
      <w:r w:rsidR="003014B5" w:rsidRPr="00F764C9">
        <w:rPr>
          <w:rFonts w:ascii="Arial" w:hAnsi="Arial" w:cs="Arial"/>
        </w:rPr>
        <w:t>a)</w:t>
      </w:r>
      <w:r w:rsidR="00CB23A3">
        <w:rPr>
          <w:rFonts w:ascii="Arial" w:hAnsi="Arial" w:cs="Arial"/>
        </w:rPr>
        <w:t xml:space="preserve"> with</w:t>
      </w:r>
      <w:r w:rsidRPr="00F764C9">
        <w:rPr>
          <w:rFonts w:ascii="Arial" w:hAnsi="Arial" w:cs="Arial"/>
        </w:rPr>
        <w:t xml:space="preserve"> those with a diagnosis of endometriosis more likely to report an earlier than usual period, and those with a diagnosis of polycystic ovaries more likely to report a later than usual period.</w:t>
      </w:r>
      <w:r w:rsidR="00203E4D" w:rsidRPr="00F764C9">
        <w:rPr>
          <w:rFonts w:ascii="Arial" w:hAnsi="Arial" w:cs="Arial"/>
        </w:rPr>
        <w:br w:type="page"/>
      </w:r>
    </w:p>
    <w:p w14:paraId="26944833" w14:textId="54A64D2F" w:rsidR="00203E4D" w:rsidRPr="00F764C9" w:rsidRDefault="00203E4D" w:rsidP="00526012">
      <w:pPr>
        <w:spacing w:after="0" w:line="432" w:lineRule="auto"/>
        <w:jc w:val="both"/>
        <w:rPr>
          <w:rFonts w:ascii="Arial" w:hAnsi="Arial" w:cs="Arial"/>
          <w:b/>
          <w:bCs/>
        </w:rPr>
      </w:pPr>
      <w:r w:rsidRPr="00F764C9">
        <w:rPr>
          <w:rFonts w:ascii="Arial" w:hAnsi="Arial" w:cs="Arial"/>
          <w:b/>
          <w:bCs/>
        </w:rPr>
        <w:lastRenderedPageBreak/>
        <w:t>Discussion</w:t>
      </w:r>
    </w:p>
    <w:p w14:paraId="08FB8E02" w14:textId="3D15EA01" w:rsidR="00EF0D09" w:rsidRPr="00F764C9" w:rsidRDefault="00EF0D09" w:rsidP="00526012">
      <w:pPr>
        <w:spacing w:after="0" w:line="432" w:lineRule="auto"/>
        <w:jc w:val="both"/>
        <w:rPr>
          <w:rFonts w:ascii="Arial" w:hAnsi="Arial" w:cs="Arial"/>
          <w:i/>
          <w:iCs/>
        </w:rPr>
      </w:pPr>
      <w:r w:rsidRPr="00F764C9">
        <w:rPr>
          <w:rFonts w:ascii="Arial" w:hAnsi="Arial" w:cs="Arial"/>
          <w:i/>
          <w:iCs/>
        </w:rPr>
        <w:t>Main findings</w:t>
      </w:r>
    </w:p>
    <w:p w14:paraId="0AEBEDF4" w14:textId="62F65DEF" w:rsidR="00203E4D" w:rsidRPr="00F764C9" w:rsidRDefault="005658F5" w:rsidP="00526012">
      <w:pPr>
        <w:spacing w:after="0" w:line="432" w:lineRule="auto"/>
        <w:jc w:val="both"/>
        <w:rPr>
          <w:rFonts w:ascii="Arial" w:hAnsi="Arial" w:cs="Arial"/>
        </w:rPr>
      </w:pPr>
      <w:r w:rsidRPr="00F764C9">
        <w:rPr>
          <w:rFonts w:ascii="Arial" w:hAnsi="Arial" w:cs="Arial"/>
        </w:rPr>
        <w:t>Among</w:t>
      </w:r>
      <w:r w:rsidR="00F81F78" w:rsidRPr="00F764C9">
        <w:rPr>
          <w:rFonts w:ascii="Arial" w:hAnsi="Arial" w:cs="Arial"/>
        </w:rPr>
        <w:t xml:space="preserve"> 1273 people recruited retrospectively who kept a record of their periods and the date of their COVID-19 vaccination</w:t>
      </w:r>
      <w:r w:rsidRPr="00F764C9">
        <w:rPr>
          <w:rFonts w:ascii="Arial" w:hAnsi="Arial" w:cs="Arial"/>
        </w:rPr>
        <w:t>,</w:t>
      </w:r>
      <w:r w:rsidR="00F81F78" w:rsidRPr="00F764C9">
        <w:rPr>
          <w:rFonts w:ascii="Arial" w:hAnsi="Arial" w:cs="Arial"/>
        </w:rPr>
        <w:t xml:space="preserve"> </w:t>
      </w:r>
      <w:r w:rsidR="00BE2D4A" w:rsidRPr="00F764C9">
        <w:rPr>
          <w:rFonts w:ascii="Arial" w:hAnsi="Arial" w:cs="Arial"/>
        </w:rPr>
        <w:t xml:space="preserve">people </w:t>
      </w:r>
      <w:r w:rsidR="005545C5" w:rsidRPr="00F764C9">
        <w:rPr>
          <w:rFonts w:ascii="Arial" w:hAnsi="Arial" w:cs="Arial"/>
        </w:rPr>
        <w:t>using hormonal contraception were more likely to report a change to the flow of the period immediately following COVID-19 vaccination.</w:t>
      </w:r>
      <w:r w:rsidR="00BE2D4A" w:rsidRPr="00F764C9">
        <w:rPr>
          <w:rFonts w:ascii="Arial" w:hAnsi="Arial" w:cs="Arial"/>
        </w:rPr>
        <w:t xml:space="preserve"> </w:t>
      </w:r>
      <w:r w:rsidR="005545C5" w:rsidRPr="00F764C9">
        <w:rPr>
          <w:rFonts w:ascii="Arial" w:hAnsi="Arial" w:cs="Arial"/>
        </w:rPr>
        <w:t>An association was detected between having a dose of COVID-19 vaccine in the last two days of the menstrual cycle and the subsequent period being later than usual</w:t>
      </w:r>
      <w:r w:rsidR="00BE2D4A" w:rsidRPr="00F764C9">
        <w:rPr>
          <w:rFonts w:ascii="Arial" w:hAnsi="Arial" w:cs="Arial"/>
        </w:rPr>
        <w:t xml:space="preserve">, although this </w:t>
      </w:r>
      <w:r w:rsidR="00F81F78" w:rsidRPr="00F764C9">
        <w:rPr>
          <w:rFonts w:ascii="Arial" w:hAnsi="Arial" w:cs="Arial"/>
        </w:rPr>
        <w:t>is likely to be accounted for by the period or withdrawal bleed in these cases already being late at the time of vaccination.</w:t>
      </w:r>
    </w:p>
    <w:p w14:paraId="207E8067" w14:textId="1A17D22F" w:rsidR="00BE2D4A" w:rsidRPr="00F764C9" w:rsidRDefault="00BE2D4A" w:rsidP="00526012">
      <w:pPr>
        <w:spacing w:after="0" w:line="432" w:lineRule="auto"/>
        <w:jc w:val="both"/>
        <w:rPr>
          <w:rFonts w:ascii="Arial" w:hAnsi="Arial" w:cs="Arial"/>
        </w:rPr>
      </w:pPr>
    </w:p>
    <w:p w14:paraId="1EE712AB" w14:textId="400A7BF0" w:rsidR="00BE2D4A" w:rsidRPr="00F764C9" w:rsidRDefault="00BE2D4A" w:rsidP="00526012">
      <w:pPr>
        <w:spacing w:after="0" w:line="432" w:lineRule="auto"/>
        <w:jc w:val="both"/>
        <w:rPr>
          <w:rFonts w:ascii="Arial" w:hAnsi="Arial" w:cs="Arial"/>
        </w:rPr>
      </w:pPr>
      <w:r w:rsidRPr="00F764C9">
        <w:rPr>
          <w:rFonts w:ascii="Arial" w:hAnsi="Arial" w:cs="Arial"/>
        </w:rPr>
        <w:t>These findings did not support the pre-specified hypotheses.</w:t>
      </w:r>
    </w:p>
    <w:p w14:paraId="6D4174EF" w14:textId="69CB0444" w:rsidR="00506A8A" w:rsidRPr="00F764C9" w:rsidRDefault="00506A8A" w:rsidP="00526012">
      <w:pPr>
        <w:spacing w:after="0" w:line="432" w:lineRule="auto"/>
        <w:jc w:val="both"/>
        <w:rPr>
          <w:rFonts w:ascii="Arial" w:hAnsi="Arial" w:cs="Arial"/>
        </w:rPr>
      </w:pPr>
    </w:p>
    <w:p w14:paraId="2C6FA43C" w14:textId="02F3DACD" w:rsidR="00506A8A" w:rsidRPr="00F764C9" w:rsidRDefault="00506A8A" w:rsidP="00526012">
      <w:pPr>
        <w:spacing w:after="0" w:line="432" w:lineRule="auto"/>
        <w:jc w:val="both"/>
        <w:rPr>
          <w:rFonts w:ascii="Arial" w:hAnsi="Arial" w:cs="Arial"/>
        </w:rPr>
      </w:pPr>
      <w:r w:rsidRPr="00F764C9">
        <w:rPr>
          <w:rFonts w:ascii="Arial" w:hAnsi="Arial" w:cs="Arial"/>
        </w:rPr>
        <w:t>In an exploratory analysis, participants who had a pre-existing diagnosis of endometriosis were more likely to report an earlier than usual period immediately post-vaccination, and those with a diagnosis of polycystic ovaries were more likely to report a later than usual period.</w:t>
      </w:r>
    </w:p>
    <w:p w14:paraId="1FA06B98" w14:textId="684C5CB1" w:rsidR="004C4617" w:rsidRPr="00F764C9" w:rsidRDefault="004C4617" w:rsidP="00526012">
      <w:pPr>
        <w:spacing w:after="0" w:line="432" w:lineRule="auto"/>
        <w:jc w:val="both"/>
        <w:rPr>
          <w:rFonts w:ascii="Arial" w:hAnsi="Arial" w:cs="Arial"/>
        </w:rPr>
      </w:pPr>
    </w:p>
    <w:p w14:paraId="548CCE29" w14:textId="5B817406" w:rsidR="004C4617" w:rsidRPr="00F764C9" w:rsidRDefault="00EF0D09" w:rsidP="00526012">
      <w:pPr>
        <w:spacing w:after="0" w:line="432" w:lineRule="auto"/>
        <w:jc w:val="both"/>
        <w:rPr>
          <w:rFonts w:ascii="Arial" w:hAnsi="Arial" w:cs="Arial"/>
          <w:i/>
          <w:iCs/>
        </w:rPr>
      </w:pPr>
      <w:r w:rsidRPr="00F764C9">
        <w:rPr>
          <w:rFonts w:ascii="Arial" w:hAnsi="Arial" w:cs="Arial"/>
          <w:i/>
          <w:iCs/>
        </w:rPr>
        <w:t>Strengths and limitations</w:t>
      </w:r>
    </w:p>
    <w:p w14:paraId="692A0507" w14:textId="4564845F" w:rsidR="00D012CE" w:rsidRPr="00F764C9" w:rsidRDefault="00D012CE" w:rsidP="00526012">
      <w:pPr>
        <w:spacing w:after="0" w:line="432" w:lineRule="auto"/>
        <w:jc w:val="both"/>
        <w:rPr>
          <w:rFonts w:ascii="Arial" w:hAnsi="Arial" w:cs="Arial"/>
        </w:rPr>
      </w:pPr>
      <w:r w:rsidRPr="00F764C9">
        <w:rPr>
          <w:rFonts w:ascii="Arial" w:hAnsi="Arial" w:cs="Arial"/>
        </w:rPr>
        <w:t xml:space="preserve">The major strength of this study is the collection of detailed data about use of hormonal contraception and the timing of vaccination </w:t>
      </w:r>
      <w:r w:rsidR="001335D1">
        <w:rPr>
          <w:rFonts w:ascii="Arial" w:hAnsi="Arial" w:cs="Arial"/>
        </w:rPr>
        <w:t>within the menstrual cycle</w:t>
      </w:r>
      <w:r w:rsidRPr="00F764C9">
        <w:rPr>
          <w:rFonts w:ascii="Arial" w:hAnsi="Arial" w:cs="Arial"/>
        </w:rPr>
        <w:t>. This allows us to examine the possibility that there is a biological link between COVID-19 vaccination and menstrual changes, by testing pre-specified hypotheses. The hypotheses to be tested and data analysis plan were registered in advance of data analysis, increasing the robustness of the findings.</w:t>
      </w:r>
      <w:r w:rsidR="00A656E4">
        <w:rPr>
          <w:rFonts w:ascii="Arial" w:hAnsi="Arial" w:cs="Arial"/>
        </w:rPr>
        <w:t xml:space="preserve"> </w:t>
      </w:r>
    </w:p>
    <w:p w14:paraId="0B9F7212" w14:textId="77777777" w:rsidR="00D012CE" w:rsidRPr="00F764C9" w:rsidRDefault="00D012CE" w:rsidP="00526012">
      <w:pPr>
        <w:spacing w:after="0" w:line="432" w:lineRule="auto"/>
        <w:jc w:val="both"/>
        <w:rPr>
          <w:rFonts w:ascii="Arial" w:hAnsi="Arial" w:cs="Arial"/>
        </w:rPr>
      </w:pPr>
    </w:p>
    <w:p w14:paraId="0514152E" w14:textId="7418EF9F" w:rsidR="002176DF" w:rsidRPr="00F764C9" w:rsidRDefault="00274FD7" w:rsidP="00526012">
      <w:pPr>
        <w:spacing w:after="0" w:line="432" w:lineRule="auto"/>
        <w:jc w:val="both"/>
        <w:rPr>
          <w:rFonts w:ascii="Arial" w:hAnsi="Arial" w:cs="Arial"/>
        </w:rPr>
      </w:pPr>
      <w:r w:rsidRPr="00F764C9">
        <w:rPr>
          <w:rFonts w:ascii="Arial" w:hAnsi="Arial" w:cs="Arial"/>
        </w:rPr>
        <w:t xml:space="preserve">The major limitation of the study is that, </w:t>
      </w:r>
      <w:r w:rsidR="002176DF" w:rsidRPr="00F764C9">
        <w:rPr>
          <w:rFonts w:ascii="Arial" w:hAnsi="Arial" w:cs="Arial"/>
        </w:rPr>
        <w:t xml:space="preserve">because the participants were recruited retrospectively, the data is likely to be enriched for those who noticed a change, who might be more motivated to participate in the study. Therefore, this data </w:t>
      </w:r>
      <w:r w:rsidR="00DE5042">
        <w:rPr>
          <w:rFonts w:ascii="Arial" w:hAnsi="Arial" w:cs="Arial"/>
        </w:rPr>
        <w:t xml:space="preserve">cannot be used </w:t>
      </w:r>
      <w:r w:rsidR="002176DF" w:rsidRPr="00F764C9">
        <w:rPr>
          <w:rFonts w:ascii="Arial" w:hAnsi="Arial" w:cs="Arial"/>
        </w:rPr>
        <w:t xml:space="preserve">to determine the frequency with which people experience menstrual changes following COVID-19 vaccination. Approaches in which participants are recruited prospectively or using menstrual cycle data collected for other reasons, for example, datasets from menstrual cycle tracking apps with linked data about dates of vaccination, are better equipped to answer these </w:t>
      </w:r>
      <w:r w:rsidR="002176DF" w:rsidRPr="00F764C9">
        <w:rPr>
          <w:rFonts w:ascii="Arial" w:hAnsi="Arial" w:cs="Arial"/>
        </w:rPr>
        <w:lastRenderedPageBreak/>
        <w:t xml:space="preserve">questions. Approaches using menstrual cycle tracking apps are likely to be particularly powerful because the large number of cycles logged and the granularity of the data </w:t>
      </w:r>
      <w:r w:rsidR="00DE5042">
        <w:rPr>
          <w:rFonts w:ascii="Arial" w:hAnsi="Arial" w:cs="Arial"/>
        </w:rPr>
        <w:t>powers the studies to</w:t>
      </w:r>
      <w:r w:rsidR="002176DF" w:rsidRPr="00F764C9">
        <w:rPr>
          <w:rFonts w:ascii="Arial" w:hAnsi="Arial" w:cs="Arial"/>
        </w:rPr>
        <w:t xml:space="preserve"> detect small and rare changes to post-vaccination menstrual cycles. Further, where the app uses </w:t>
      </w:r>
      <w:r w:rsidR="00660519" w:rsidRPr="00F764C9">
        <w:rPr>
          <w:rFonts w:ascii="Arial" w:hAnsi="Arial" w:cs="Arial"/>
        </w:rPr>
        <w:t xml:space="preserve">additional </w:t>
      </w:r>
      <w:r w:rsidR="002176DF" w:rsidRPr="00F764C9">
        <w:rPr>
          <w:rFonts w:ascii="Arial" w:hAnsi="Arial" w:cs="Arial"/>
        </w:rPr>
        <w:t>data</w:t>
      </w:r>
      <w:r w:rsidR="00660519" w:rsidRPr="00F764C9">
        <w:rPr>
          <w:rFonts w:ascii="Arial" w:hAnsi="Arial" w:cs="Arial"/>
        </w:rPr>
        <w:t xml:space="preserve"> (for example, basal body temperature, results of LH tests)</w:t>
      </w:r>
      <w:r w:rsidR="002176DF" w:rsidRPr="00F764C9">
        <w:rPr>
          <w:rFonts w:ascii="Arial" w:hAnsi="Arial" w:cs="Arial"/>
        </w:rPr>
        <w:t xml:space="preserve"> to </w:t>
      </w:r>
      <w:r w:rsidR="0087165D" w:rsidRPr="00F764C9">
        <w:rPr>
          <w:rFonts w:ascii="Arial" w:hAnsi="Arial" w:cs="Arial"/>
        </w:rPr>
        <w:t>determine</w:t>
      </w:r>
      <w:r w:rsidR="002176DF" w:rsidRPr="00F764C9">
        <w:rPr>
          <w:rFonts w:ascii="Arial" w:hAnsi="Arial" w:cs="Arial"/>
        </w:rPr>
        <w:t xml:space="preserve"> the day of ovulation, the date of vaccination relative to ovulation can be determined with greater accuracy than the crude estimate used here.</w:t>
      </w:r>
    </w:p>
    <w:p w14:paraId="5992F1EE" w14:textId="755822A5" w:rsidR="000207EC" w:rsidRPr="00F764C9" w:rsidRDefault="000207EC" w:rsidP="00526012">
      <w:pPr>
        <w:spacing w:after="0" w:line="432" w:lineRule="auto"/>
        <w:jc w:val="both"/>
        <w:rPr>
          <w:rFonts w:ascii="Arial" w:hAnsi="Arial" w:cs="Arial"/>
        </w:rPr>
      </w:pPr>
    </w:p>
    <w:p w14:paraId="44AF172E" w14:textId="2989A4FE" w:rsidR="001524C5" w:rsidRPr="00F764C9" w:rsidRDefault="000207EC" w:rsidP="00526012">
      <w:pPr>
        <w:spacing w:after="0" w:line="432" w:lineRule="auto"/>
        <w:jc w:val="both"/>
        <w:rPr>
          <w:rFonts w:ascii="Arial" w:hAnsi="Arial" w:cs="Arial"/>
        </w:rPr>
      </w:pPr>
      <w:r w:rsidRPr="00F764C9">
        <w:rPr>
          <w:rFonts w:ascii="Arial" w:hAnsi="Arial" w:cs="Arial"/>
        </w:rPr>
        <w:t xml:space="preserve">It is also important to note that the majority of the participants in this study were from the UK, so </w:t>
      </w:r>
      <w:r w:rsidR="00472D0C" w:rsidRPr="00F764C9">
        <w:rPr>
          <w:rFonts w:ascii="Arial" w:hAnsi="Arial" w:cs="Arial"/>
        </w:rPr>
        <w:t>these</w:t>
      </w:r>
      <w:r w:rsidRPr="00F764C9">
        <w:rPr>
          <w:rFonts w:ascii="Arial" w:hAnsi="Arial" w:cs="Arial"/>
        </w:rPr>
        <w:t xml:space="preserve"> findings m</w:t>
      </w:r>
      <w:r w:rsidR="00DF6208" w:rsidRPr="00F764C9">
        <w:rPr>
          <w:rFonts w:ascii="Arial" w:hAnsi="Arial" w:cs="Arial"/>
        </w:rPr>
        <w:t>ay</w:t>
      </w:r>
      <w:r w:rsidRPr="00F764C9">
        <w:rPr>
          <w:rFonts w:ascii="Arial" w:hAnsi="Arial" w:cs="Arial"/>
        </w:rPr>
        <w:t xml:space="preserve"> not be applicable to other countries. In particular,</w:t>
      </w:r>
      <w:r w:rsidR="00D7681A" w:rsidRPr="00F764C9">
        <w:rPr>
          <w:rFonts w:ascii="Arial" w:hAnsi="Arial" w:cs="Arial"/>
        </w:rPr>
        <w:t xml:space="preserve"> </w:t>
      </w:r>
      <w:r w:rsidRPr="00F764C9">
        <w:rPr>
          <w:rFonts w:ascii="Arial" w:hAnsi="Arial" w:cs="Arial"/>
        </w:rPr>
        <w:t xml:space="preserve">this dataset cannot tell us about any potential associations between menstrual changes and vaccines that are not approved for use in the UK, such as Sinovac, Sinopharm or Sputnik V. </w:t>
      </w:r>
      <w:r w:rsidR="00062DD9" w:rsidRPr="00F764C9">
        <w:rPr>
          <w:rFonts w:ascii="Arial" w:hAnsi="Arial" w:cs="Arial"/>
        </w:rPr>
        <w:t xml:space="preserve">In the UK, the recommended interdose interval is at least 8 weeks, </w:t>
      </w:r>
      <w:r w:rsidRPr="00F764C9">
        <w:rPr>
          <w:rFonts w:ascii="Arial" w:hAnsi="Arial" w:cs="Arial"/>
        </w:rPr>
        <w:t>whereas most other countries use a 3- or 4-week interval</w:t>
      </w:r>
      <w:r w:rsidR="00F66C58">
        <w:rPr>
          <w:rFonts w:ascii="Arial" w:hAnsi="Arial" w:cs="Arial"/>
        </w:rPr>
        <w:t xml:space="preserve"> [18]</w:t>
      </w:r>
      <w:r w:rsidR="00062DD9" w:rsidRPr="00F764C9">
        <w:rPr>
          <w:rFonts w:ascii="Arial" w:hAnsi="Arial" w:cs="Arial"/>
        </w:rPr>
        <w:t>.</w:t>
      </w:r>
      <w:r w:rsidRPr="00F764C9">
        <w:rPr>
          <w:rFonts w:ascii="Arial" w:hAnsi="Arial" w:cs="Arial"/>
        </w:rPr>
        <w:t xml:space="preserve"> </w:t>
      </w:r>
      <w:r w:rsidR="00062DD9" w:rsidRPr="00F764C9">
        <w:rPr>
          <w:rFonts w:ascii="Arial" w:hAnsi="Arial" w:cs="Arial"/>
        </w:rPr>
        <w:t>T</w:t>
      </w:r>
      <w:r w:rsidRPr="00F764C9">
        <w:rPr>
          <w:rFonts w:ascii="Arial" w:hAnsi="Arial" w:cs="Arial"/>
        </w:rPr>
        <w:t>his could also mean that different effects may be seen in countries vaccinating with these schedules, even when they are using the same vaccines.</w:t>
      </w:r>
      <w:r w:rsidR="001455B5" w:rsidRPr="00F764C9">
        <w:rPr>
          <w:rFonts w:ascii="Arial" w:hAnsi="Arial" w:cs="Arial"/>
        </w:rPr>
        <w:t xml:space="preserve"> </w:t>
      </w:r>
    </w:p>
    <w:p w14:paraId="3249BE95" w14:textId="77777777" w:rsidR="001524C5" w:rsidRPr="00F764C9" w:rsidRDefault="001524C5" w:rsidP="00526012">
      <w:pPr>
        <w:spacing w:after="0" w:line="432" w:lineRule="auto"/>
        <w:jc w:val="both"/>
        <w:rPr>
          <w:rFonts w:ascii="Arial" w:hAnsi="Arial" w:cs="Arial"/>
        </w:rPr>
      </w:pPr>
    </w:p>
    <w:p w14:paraId="68013CB5" w14:textId="77777777" w:rsidR="00506A8A" w:rsidRPr="00F764C9" w:rsidRDefault="001524C5" w:rsidP="00526012">
      <w:pPr>
        <w:spacing w:after="0" w:line="432" w:lineRule="auto"/>
        <w:jc w:val="both"/>
        <w:rPr>
          <w:rFonts w:ascii="Arial" w:hAnsi="Arial" w:cs="Arial"/>
          <w:i/>
          <w:iCs/>
        </w:rPr>
      </w:pPr>
      <w:r w:rsidRPr="00F764C9">
        <w:rPr>
          <w:rFonts w:ascii="Arial" w:hAnsi="Arial" w:cs="Arial"/>
          <w:i/>
          <w:iCs/>
        </w:rPr>
        <w:t>Interpretation</w:t>
      </w:r>
    </w:p>
    <w:p w14:paraId="230DDCE9" w14:textId="1D5CEE4C" w:rsidR="00506A8A" w:rsidRPr="00F764C9" w:rsidRDefault="00427AA0" w:rsidP="00526012">
      <w:pPr>
        <w:spacing w:after="0" w:line="432" w:lineRule="auto"/>
        <w:jc w:val="both"/>
        <w:rPr>
          <w:rFonts w:ascii="Arial" w:hAnsi="Arial" w:cs="Arial"/>
        </w:rPr>
      </w:pPr>
      <w:r w:rsidRPr="00F764C9">
        <w:rPr>
          <w:rFonts w:ascii="Arial" w:hAnsi="Arial" w:cs="Arial"/>
        </w:rPr>
        <w:t>This study was designed to test the idea that there is a biological link between COVID vaccination and changes to menstrual periods or withdrawal bleeds. If any such link was mediated by sex hormones, people on hormonal contraception would be less likely to report a change to their bleeds than those spontaneously cycling but,</w:t>
      </w:r>
      <w:r w:rsidR="00327B54" w:rsidRPr="00F764C9">
        <w:rPr>
          <w:rFonts w:ascii="Arial" w:hAnsi="Arial" w:cs="Arial"/>
        </w:rPr>
        <w:t xml:space="preserve"> u</w:t>
      </w:r>
      <w:r w:rsidR="00506A8A" w:rsidRPr="00F764C9">
        <w:rPr>
          <w:rFonts w:ascii="Arial" w:hAnsi="Arial" w:cs="Arial"/>
        </w:rPr>
        <w:t xml:space="preserve">nexpectedly, people using hormonal contraception were </w:t>
      </w:r>
      <w:r w:rsidR="00B322B9">
        <w:rPr>
          <w:rFonts w:ascii="Arial" w:hAnsi="Arial" w:cs="Arial"/>
        </w:rPr>
        <w:t xml:space="preserve">in fact </w:t>
      </w:r>
      <w:r w:rsidR="00506A8A" w:rsidRPr="00F764C9">
        <w:rPr>
          <w:rFonts w:ascii="Arial" w:hAnsi="Arial" w:cs="Arial"/>
        </w:rPr>
        <w:t>more likely to report a change to the flow of the period immediately following COVID-19 vaccination. This is in line with the results of a large survey of menstrual experiences following COVID vaccination, which also found that people using hormonal contraception were significantly more likely to report a change in flow than people who were spontaneously cycling [1</w:t>
      </w:r>
      <w:r w:rsidR="00F66C58">
        <w:rPr>
          <w:rFonts w:ascii="Arial" w:hAnsi="Arial" w:cs="Arial"/>
        </w:rPr>
        <w:t>9</w:t>
      </w:r>
      <w:r w:rsidR="00506A8A" w:rsidRPr="00F764C9">
        <w:rPr>
          <w:rFonts w:ascii="Arial" w:hAnsi="Arial" w:cs="Arial"/>
        </w:rPr>
        <w:t xml:space="preserve">]. These findings </w:t>
      </w:r>
      <w:r w:rsidR="00327B54" w:rsidRPr="00F764C9">
        <w:rPr>
          <w:rFonts w:ascii="Arial" w:hAnsi="Arial" w:cs="Arial"/>
        </w:rPr>
        <w:t>do not support</w:t>
      </w:r>
      <w:r w:rsidR="00506A8A" w:rsidRPr="00F764C9">
        <w:rPr>
          <w:rFonts w:ascii="Arial" w:hAnsi="Arial" w:cs="Arial"/>
        </w:rPr>
        <w:t xml:space="preserve"> the idea that any change to vaginal bleeding following COVID-19 vaccination is mediated by changes to hormones. However, many people use hormonal contraception at least partially to make their bleeds lighter and more regular [</w:t>
      </w:r>
      <w:r w:rsidR="00F66C58">
        <w:rPr>
          <w:rFonts w:ascii="Arial" w:hAnsi="Arial" w:cs="Arial"/>
        </w:rPr>
        <w:t>20</w:t>
      </w:r>
      <w:r w:rsidR="00506A8A" w:rsidRPr="00F764C9">
        <w:rPr>
          <w:rFonts w:ascii="Arial" w:hAnsi="Arial" w:cs="Arial"/>
        </w:rPr>
        <w:t>,</w:t>
      </w:r>
      <w:r w:rsidR="00F66C58">
        <w:rPr>
          <w:rFonts w:ascii="Arial" w:hAnsi="Arial" w:cs="Arial"/>
        </w:rPr>
        <w:t>21</w:t>
      </w:r>
      <w:r w:rsidR="00506A8A" w:rsidRPr="00F764C9">
        <w:rPr>
          <w:rFonts w:ascii="Arial" w:hAnsi="Arial" w:cs="Arial"/>
        </w:rPr>
        <w:t xml:space="preserve">], so people on hormonal contraception may therefore have found any change that they did experience more noticeable. </w:t>
      </w:r>
    </w:p>
    <w:p w14:paraId="65E0894B" w14:textId="77777777" w:rsidR="00506A8A" w:rsidRPr="00F764C9" w:rsidRDefault="00506A8A" w:rsidP="00526012">
      <w:pPr>
        <w:spacing w:after="0" w:line="432" w:lineRule="auto"/>
        <w:jc w:val="both"/>
        <w:rPr>
          <w:rFonts w:ascii="Arial" w:hAnsi="Arial" w:cs="Arial"/>
        </w:rPr>
      </w:pPr>
    </w:p>
    <w:p w14:paraId="5A616462" w14:textId="278C7C17" w:rsidR="0078588C" w:rsidRPr="00F764C9" w:rsidRDefault="00DB4CD4" w:rsidP="00526012">
      <w:pPr>
        <w:spacing w:after="0" w:line="432" w:lineRule="auto"/>
        <w:jc w:val="both"/>
        <w:rPr>
          <w:rFonts w:ascii="Arial" w:hAnsi="Arial" w:cs="Arial"/>
        </w:rPr>
      </w:pPr>
      <w:r w:rsidRPr="00F764C9">
        <w:rPr>
          <w:rFonts w:ascii="Arial" w:hAnsi="Arial" w:cs="Arial"/>
        </w:rPr>
        <w:lastRenderedPageBreak/>
        <w:t xml:space="preserve">Similarly, this study did not find evidence to support the idea that later than expected periods </w:t>
      </w:r>
      <w:r w:rsidR="000D3370">
        <w:rPr>
          <w:rFonts w:ascii="Arial" w:hAnsi="Arial" w:cs="Arial"/>
        </w:rPr>
        <w:t>were</w:t>
      </w:r>
      <w:r w:rsidRPr="00F764C9">
        <w:rPr>
          <w:rFonts w:ascii="Arial" w:hAnsi="Arial" w:cs="Arial"/>
        </w:rPr>
        <w:t xml:space="preserve"> associated with vaccination in the follicular phase of the menstrual cycle</w:t>
      </w:r>
      <w:r w:rsidR="000D3370">
        <w:rPr>
          <w:rFonts w:ascii="Arial" w:hAnsi="Arial" w:cs="Arial"/>
        </w:rPr>
        <w:t>, as would be expected if these effects were mediated by delayed ovulation or anovulation.</w:t>
      </w:r>
    </w:p>
    <w:p w14:paraId="3DE0C314" w14:textId="77777777" w:rsidR="0078588C" w:rsidRPr="00F764C9" w:rsidRDefault="0078588C" w:rsidP="00526012">
      <w:pPr>
        <w:spacing w:after="0" w:line="432" w:lineRule="auto"/>
        <w:jc w:val="both"/>
        <w:rPr>
          <w:rFonts w:ascii="Arial" w:hAnsi="Arial" w:cs="Arial"/>
        </w:rPr>
      </w:pPr>
    </w:p>
    <w:p w14:paraId="71FFFA5A" w14:textId="58B4CCB1" w:rsidR="00506A8A" w:rsidRPr="00F764C9" w:rsidRDefault="00506A8A" w:rsidP="00526012">
      <w:pPr>
        <w:spacing w:after="0" w:line="432" w:lineRule="auto"/>
        <w:jc w:val="both"/>
        <w:rPr>
          <w:rFonts w:ascii="Arial" w:hAnsi="Arial" w:cs="Arial"/>
        </w:rPr>
      </w:pPr>
      <w:r w:rsidRPr="00F764C9">
        <w:rPr>
          <w:rFonts w:ascii="Arial" w:hAnsi="Arial" w:cs="Arial"/>
        </w:rPr>
        <w:t>The reported timing and flow of the period following first vaccination dose was strongly predictive of the report following second vaccination dose. This could be consistent with interindividual factors affecting the nature of the menstrual response to vaccination, but there are other potential explanations for this observation. In this UK-based cohort, vaccine doses would have been given at around 8 weeks apart [1</w:t>
      </w:r>
      <w:r w:rsidR="00F66C58">
        <w:rPr>
          <w:rFonts w:ascii="Arial" w:hAnsi="Arial" w:cs="Arial"/>
        </w:rPr>
        <w:t>8</w:t>
      </w:r>
      <w:r w:rsidRPr="00F764C9">
        <w:rPr>
          <w:rFonts w:ascii="Arial" w:hAnsi="Arial" w:cs="Arial"/>
        </w:rPr>
        <w:t>], meaning that any change, whether vaccine-related or otherwise, that affected the post-dose 1 period could potentially still be in effect for the post-dose 2 period.</w:t>
      </w:r>
    </w:p>
    <w:p w14:paraId="0434556C" w14:textId="77777777" w:rsidR="00506A8A" w:rsidRPr="00F764C9" w:rsidRDefault="00506A8A" w:rsidP="00526012">
      <w:pPr>
        <w:spacing w:after="0" w:line="432" w:lineRule="auto"/>
        <w:jc w:val="both"/>
        <w:rPr>
          <w:rFonts w:ascii="Arial" w:hAnsi="Arial" w:cs="Arial"/>
        </w:rPr>
      </w:pPr>
    </w:p>
    <w:p w14:paraId="66BDB41F" w14:textId="33B5B86A" w:rsidR="00506A8A" w:rsidRPr="00F764C9" w:rsidRDefault="00506A8A" w:rsidP="00526012">
      <w:pPr>
        <w:spacing w:after="0" w:line="432" w:lineRule="auto"/>
        <w:jc w:val="both"/>
        <w:rPr>
          <w:rFonts w:ascii="Arial" w:hAnsi="Arial" w:cs="Arial"/>
        </w:rPr>
      </w:pPr>
      <w:r w:rsidRPr="00F764C9">
        <w:rPr>
          <w:rFonts w:ascii="Arial" w:hAnsi="Arial" w:cs="Arial"/>
        </w:rPr>
        <w:t xml:space="preserve">Respondents who had a diagnosis of a menstrual or gynaecological condition were not more likely to report a change in flow than those who did not have such a diagnosis, and those with a diagnosis of heavy or abnormal menstrual bleeding or uterine fibroids were not more likely to report a change in timing. However, there was </w:t>
      </w:r>
      <w:r w:rsidR="009779C1">
        <w:rPr>
          <w:rFonts w:ascii="Arial" w:hAnsi="Arial" w:cs="Arial"/>
        </w:rPr>
        <w:t>an</w:t>
      </w:r>
      <w:r w:rsidRPr="00F764C9">
        <w:rPr>
          <w:rFonts w:ascii="Arial" w:hAnsi="Arial" w:cs="Arial"/>
        </w:rPr>
        <w:t xml:space="preserve"> increase in the frequency of people with endometriosis who reported an earlier than usual period, and in the frequency of those with polycystic ovaries who reported a later than usual period. This could suggest that people who are already vulnerable to experiencing menstrual changes might be more likely to experience some changes following vaccination and it will be important to follow this up to determine whether this is a genuine phenomenon. In the interim, these findings should not be used to counsel people who have these diagnoses against vaccination. Indeed, it is important for those who are particularly concerned about changes to their menstrual cycles to be reminded that COVID infection itself may cause this [11,12].</w:t>
      </w:r>
    </w:p>
    <w:p w14:paraId="348A0FDB" w14:textId="77777777" w:rsidR="00B20393" w:rsidRDefault="00B20393" w:rsidP="00526012">
      <w:pPr>
        <w:spacing w:after="0" w:line="432" w:lineRule="auto"/>
        <w:jc w:val="both"/>
        <w:rPr>
          <w:rFonts w:ascii="Arial" w:hAnsi="Arial" w:cs="Arial"/>
        </w:rPr>
      </w:pPr>
    </w:p>
    <w:p w14:paraId="3F6E5578" w14:textId="58C2642E" w:rsidR="00FD4196" w:rsidRPr="00B20393" w:rsidRDefault="00FD4196" w:rsidP="00526012">
      <w:pPr>
        <w:spacing w:after="0" w:line="432" w:lineRule="auto"/>
        <w:jc w:val="both"/>
        <w:rPr>
          <w:rFonts w:ascii="Arial" w:hAnsi="Arial" w:cs="Arial"/>
        </w:rPr>
      </w:pPr>
      <w:r w:rsidRPr="00F764C9">
        <w:rPr>
          <w:rFonts w:ascii="Arial" w:hAnsi="Arial" w:cs="Arial"/>
          <w:b/>
          <w:bCs/>
        </w:rPr>
        <w:t>Conclusions</w:t>
      </w:r>
    </w:p>
    <w:p w14:paraId="6C3F508F" w14:textId="6BC783D4" w:rsidR="00894866" w:rsidRPr="00F764C9" w:rsidRDefault="00FD4196" w:rsidP="00526012">
      <w:pPr>
        <w:spacing w:after="0" w:line="432" w:lineRule="auto"/>
        <w:jc w:val="both"/>
        <w:rPr>
          <w:rFonts w:ascii="Arial" w:hAnsi="Arial" w:cs="Arial"/>
        </w:rPr>
      </w:pPr>
      <w:r w:rsidRPr="00F764C9">
        <w:rPr>
          <w:rFonts w:ascii="Arial" w:hAnsi="Arial" w:cs="Arial"/>
        </w:rPr>
        <w:t xml:space="preserve">This retrospective cohort study of 1273 participants </w:t>
      </w:r>
      <w:r w:rsidR="005C5A30" w:rsidRPr="00F764C9">
        <w:rPr>
          <w:rFonts w:ascii="Arial" w:hAnsi="Arial" w:cs="Arial"/>
        </w:rPr>
        <w:t>did not</w:t>
      </w:r>
      <w:r w:rsidRPr="00F764C9">
        <w:rPr>
          <w:rFonts w:ascii="Arial" w:hAnsi="Arial" w:cs="Arial"/>
        </w:rPr>
        <w:t xml:space="preserve"> detect strong signals to support the idea that COVID-19 vaccination is linked to menstrual changes in most people. However, there was a weaker signal to suggest that people who are already vulnerable to menstrual disruptions may be more likely to experience these shortly after vaccination. Larger, prospectively recruited studies are required to more firmly confirm or refute </w:t>
      </w:r>
      <w:r w:rsidR="00264754" w:rsidRPr="00F764C9">
        <w:rPr>
          <w:rFonts w:ascii="Arial" w:hAnsi="Arial" w:cs="Arial"/>
        </w:rPr>
        <w:t>any</w:t>
      </w:r>
      <w:r w:rsidRPr="00F764C9">
        <w:rPr>
          <w:rFonts w:ascii="Arial" w:hAnsi="Arial" w:cs="Arial"/>
        </w:rPr>
        <w:t xml:space="preserve"> link.</w:t>
      </w:r>
      <w:r w:rsidR="00AA45DF" w:rsidRPr="00F764C9">
        <w:rPr>
          <w:rFonts w:ascii="Arial" w:hAnsi="Arial" w:cs="Arial"/>
        </w:rPr>
        <w:t xml:space="preserve"> In the </w:t>
      </w:r>
      <w:r w:rsidR="00AA45DF" w:rsidRPr="00F764C9">
        <w:rPr>
          <w:rFonts w:ascii="Arial" w:hAnsi="Arial" w:cs="Arial"/>
        </w:rPr>
        <w:lastRenderedPageBreak/>
        <w:t>interim, these findings should not be used to counsel people who have these diagnoses against vaccination.</w:t>
      </w:r>
      <w:r w:rsidR="00894866" w:rsidRPr="00F764C9">
        <w:rPr>
          <w:rFonts w:ascii="Arial" w:hAnsi="Arial" w:cs="Arial"/>
        </w:rPr>
        <w:br w:type="page"/>
      </w:r>
    </w:p>
    <w:p w14:paraId="55DE36CE" w14:textId="70B2339A" w:rsidR="00894866" w:rsidRPr="00F764C9" w:rsidRDefault="00894866" w:rsidP="00526012">
      <w:pPr>
        <w:spacing w:line="432" w:lineRule="auto"/>
        <w:jc w:val="both"/>
        <w:rPr>
          <w:rFonts w:ascii="Arial" w:hAnsi="Arial" w:cs="Arial"/>
          <w:b/>
          <w:bCs/>
        </w:rPr>
      </w:pPr>
      <w:r w:rsidRPr="00F764C9">
        <w:rPr>
          <w:rFonts w:ascii="Arial" w:hAnsi="Arial" w:cs="Arial"/>
          <w:b/>
          <w:bCs/>
        </w:rPr>
        <w:lastRenderedPageBreak/>
        <w:t>Data availability</w:t>
      </w:r>
    </w:p>
    <w:p w14:paraId="61DCE47A" w14:textId="17A0D3F2" w:rsidR="00F55FB9" w:rsidRPr="00F764C9" w:rsidRDefault="00894866" w:rsidP="00526012">
      <w:pPr>
        <w:spacing w:line="432" w:lineRule="auto"/>
        <w:jc w:val="both"/>
        <w:rPr>
          <w:rFonts w:ascii="Arial" w:hAnsi="Arial" w:cs="Arial"/>
        </w:rPr>
      </w:pPr>
      <w:r w:rsidRPr="00F764C9">
        <w:rPr>
          <w:rFonts w:ascii="Arial" w:hAnsi="Arial" w:cs="Arial"/>
        </w:rPr>
        <w:t xml:space="preserve">Cleaned, fully anonymised data, together with our analysis files, are available from the Open Science Framework at </w:t>
      </w:r>
      <w:hyperlink r:id="rId8" w:history="1">
        <w:r w:rsidR="00F55FB9" w:rsidRPr="00F764C9">
          <w:rPr>
            <w:rStyle w:val="Hyperlink"/>
            <w:rFonts w:ascii="Arial" w:hAnsi="Arial" w:cs="Arial"/>
          </w:rPr>
          <w:t>https://osf.io/6jf4u/</w:t>
        </w:r>
      </w:hyperlink>
    </w:p>
    <w:p w14:paraId="767C956B" w14:textId="77777777" w:rsidR="00F55FB9" w:rsidRPr="00F764C9" w:rsidRDefault="00F55FB9" w:rsidP="00526012">
      <w:pPr>
        <w:spacing w:line="432" w:lineRule="auto"/>
        <w:jc w:val="both"/>
        <w:rPr>
          <w:rFonts w:ascii="Arial" w:hAnsi="Arial" w:cs="Arial"/>
        </w:rPr>
      </w:pPr>
    </w:p>
    <w:p w14:paraId="4095BD6F" w14:textId="77777777" w:rsidR="00F55FB9" w:rsidRPr="00F764C9" w:rsidRDefault="00F55FB9" w:rsidP="00526012">
      <w:pPr>
        <w:spacing w:line="432" w:lineRule="auto"/>
        <w:jc w:val="both"/>
        <w:rPr>
          <w:rFonts w:ascii="Arial" w:hAnsi="Arial" w:cs="Arial"/>
          <w:b/>
          <w:bCs/>
        </w:rPr>
      </w:pPr>
      <w:r w:rsidRPr="00F764C9">
        <w:rPr>
          <w:rFonts w:ascii="Arial" w:hAnsi="Arial" w:cs="Arial"/>
          <w:b/>
          <w:bCs/>
        </w:rPr>
        <w:t>Preprint</w:t>
      </w:r>
    </w:p>
    <w:p w14:paraId="600251E3" w14:textId="3D61E18D" w:rsidR="00F55FB9" w:rsidRPr="00F764C9" w:rsidRDefault="00F55FB9" w:rsidP="00526012">
      <w:pPr>
        <w:spacing w:line="432" w:lineRule="auto"/>
        <w:jc w:val="both"/>
        <w:rPr>
          <w:rFonts w:ascii="Arial" w:hAnsi="Arial" w:cs="Arial"/>
        </w:rPr>
      </w:pPr>
      <w:r w:rsidRPr="00F764C9">
        <w:rPr>
          <w:rFonts w:ascii="Arial" w:hAnsi="Arial" w:cs="Arial"/>
        </w:rPr>
        <w:t xml:space="preserve">The data presented in this manuscript have been submitted to MedRXiv as a preprint. This version of the manuscript differs from the preprint in that it has been rewritten to conform to </w:t>
      </w:r>
      <w:r w:rsidR="009701A2" w:rsidRPr="00F764C9">
        <w:rPr>
          <w:rFonts w:ascii="Arial" w:hAnsi="Arial" w:cs="Arial"/>
        </w:rPr>
        <w:t>BJOG</w:t>
      </w:r>
      <w:r w:rsidRPr="00F764C9">
        <w:rPr>
          <w:rFonts w:ascii="Arial" w:hAnsi="Arial" w:cs="Arial"/>
        </w:rPr>
        <w:t xml:space="preserve"> style requirements.</w:t>
      </w:r>
    </w:p>
    <w:p w14:paraId="5D743D67" w14:textId="1FB9674F" w:rsidR="00F55FB9" w:rsidRPr="00F764C9" w:rsidRDefault="00ED3A30" w:rsidP="00526012">
      <w:pPr>
        <w:spacing w:line="432" w:lineRule="auto"/>
        <w:jc w:val="both"/>
        <w:rPr>
          <w:rFonts w:ascii="Arial" w:hAnsi="Arial" w:cs="Arial"/>
        </w:rPr>
      </w:pPr>
      <w:hyperlink r:id="rId9" w:history="1">
        <w:r w:rsidR="00F55FB9" w:rsidRPr="00F764C9">
          <w:rPr>
            <w:rStyle w:val="Hyperlink"/>
            <w:rFonts w:ascii="Arial" w:hAnsi="Arial" w:cs="Arial"/>
          </w:rPr>
          <w:t>https://www.medrxiv.org/content/10.1101/2021.11.15.21266317v1.full.pdf</w:t>
        </w:r>
      </w:hyperlink>
    </w:p>
    <w:p w14:paraId="26BD06C9" w14:textId="0557C3A3" w:rsidR="005D1A35" w:rsidRDefault="005D1A35" w:rsidP="00526012">
      <w:pPr>
        <w:spacing w:line="432" w:lineRule="auto"/>
        <w:jc w:val="both"/>
        <w:rPr>
          <w:rFonts w:ascii="Arial" w:hAnsi="Arial" w:cs="Arial"/>
        </w:rPr>
      </w:pPr>
    </w:p>
    <w:p w14:paraId="12F8E603" w14:textId="7E3C9778" w:rsidR="001E5617" w:rsidRPr="001E5617" w:rsidRDefault="001E5617" w:rsidP="00526012">
      <w:pPr>
        <w:spacing w:line="432" w:lineRule="auto"/>
        <w:jc w:val="both"/>
        <w:rPr>
          <w:rFonts w:ascii="Arial" w:hAnsi="Arial" w:cs="Arial"/>
          <w:b/>
          <w:bCs/>
        </w:rPr>
      </w:pPr>
      <w:r>
        <w:rPr>
          <w:rFonts w:ascii="Arial" w:hAnsi="Arial" w:cs="Arial"/>
          <w:b/>
          <w:bCs/>
        </w:rPr>
        <w:t>Details of ethical approval</w:t>
      </w:r>
    </w:p>
    <w:p w14:paraId="2E934CF4" w14:textId="77777777" w:rsidR="001E5617" w:rsidRPr="00F764C9" w:rsidRDefault="001E5617" w:rsidP="001E5617">
      <w:pPr>
        <w:spacing w:after="0" w:line="432" w:lineRule="auto"/>
        <w:jc w:val="both"/>
        <w:rPr>
          <w:rFonts w:ascii="Arial" w:hAnsi="Arial" w:cs="Arial"/>
        </w:rPr>
      </w:pPr>
      <w:r w:rsidRPr="00F764C9">
        <w:rPr>
          <w:rFonts w:ascii="Arial" w:hAnsi="Arial" w:cs="Arial"/>
        </w:rPr>
        <w:t>This retrospective cohort study was approved by the Research Governance and Integrity Team at Imperial College London, study number 21IC6988.</w:t>
      </w:r>
    </w:p>
    <w:p w14:paraId="0DAA74FA" w14:textId="77777777" w:rsidR="00297FFB" w:rsidRDefault="00297FFB" w:rsidP="00297FFB">
      <w:pPr>
        <w:spacing w:line="432" w:lineRule="auto"/>
        <w:jc w:val="both"/>
        <w:rPr>
          <w:rFonts w:ascii="Arial" w:hAnsi="Arial" w:cs="Arial"/>
          <w:b/>
          <w:bCs/>
        </w:rPr>
      </w:pPr>
    </w:p>
    <w:p w14:paraId="539A6938" w14:textId="6908B23B" w:rsidR="00297FFB" w:rsidRPr="00F764C9" w:rsidRDefault="00297FFB" w:rsidP="00297FFB">
      <w:pPr>
        <w:spacing w:line="432" w:lineRule="auto"/>
        <w:jc w:val="both"/>
        <w:rPr>
          <w:rFonts w:ascii="Arial" w:hAnsi="Arial" w:cs="Arial"/>
          <w:b/>
          <w:bCs/>
        </w:rPr>
      </w:pPr>
      <w:r w:rsidRPr="00F764C9">
        <w:rPr>
          <w:rFonts w:ascii="Arial" w:hAnsi="Arial" w:cs="Arial"/>
          <w:b/>
          <w:bCs/>
        </w:rPr>
        <w:t>Funding</w:t>
      </w:r>
    </w:p>
    <w:p w14:paraId="63FC092D" w14:textId="65C35BB0" w:rsidR="001E5617" w:rsidRPr="00F764C9" w:rsidRDefault="00297FFB" w:rsidP="00297FFB">
      <w:pPr>
        <w:spacing w:after="0" w:line="432" w:lineRule="auto"/>
        <w:jc w:val="both"/>
        <w:rPr>
          <w:rFonts w:ascii="Arial" w:hAnsi="Arial" w:cs="Arial"/>
          <w:i/>
          <w:iCs/>
        </w:rPr>
      </w:pPr>
      <w:r w:rsidRPr="00F764C9">
        <w:rPr>
          <w:rFonts w:ascii="Arial" w:hAnsi="Arial" w:cs="Arial"/>
        </w:rPr>
        <w:t>This study did not receive any specific funding. The investigator's salary was paid by the Wellcome Trust (WT105677; to July 2021) and the preterm birth charity Borne (from August 2021). The funders had no role in the study design or analysis.</w:t>
      </w:r>
    </w:p>
    <w:p w14:paraId="438C9794" w14:textId="77777777" w:rsidR="00297FFB" w:rsidRDefault="00297FFB" w:rsidP="00526012">
      <w:pPr>
        <w:spacing w:line="432" w:lineRule="auto"/>
        <w:jc w:val="both"/>
        <w:rPr>
          <w:rFonts w:ascii="Arial" w:hAnsi="Arial" w:cs="Arial"/>
          <w:b/>
          <w:bCs/>
        </w:rPr>
      </w:pPr>
    </w:p>
    <w:p w14:paraId="2451F7D0" w14:textId="3E75AD78" w:rsidR="00061007" w:rsidRDefault="00061007" w:rsidP="00526012">
      <w:pPr>
        <w:spacing w:line="432" w:lineRule="auto"/>
        <w:jc w:val="both"/>
        <w:rPr>
          <w:rFonts w:ascii="Arial" w:hAnsi="Arial" w:cs="Arial"/>
          <w:b/>
          <w:bCs/>
        </w:rPr>
      </w:pPr>
      <w:r>
        <w:rPr>
          <w:rFonts w:ascii="Arial" w:hAnsi="Arial" w:cs="Arial"/>
          <w:b/>
          <w:bCs/>
        </w:rPr>
        <w:t>Disclosure of interests</w:t>
      </w:r>
    </w:p>
    <w:p w14:paraId="4AC600F6" w14:textId="3EB5007D" w:rsidR="00894866" w:rsidRPr="00F764C9" w:rsidRDefault="00061007" w:rsidP="00526012">
      <w:pPr>
        <w:spacing w:line="432" w:lineRule="auto"/>
        <w:jc w:val="both"/>
        <w:rPr>
          <w:rFonts w:ascii="Arial" w:hAnsi="Arial" w:cs="Arial"/>
        </w:rPr>
      </w:pPr>
      <w:r>
        <w:rPr>
          <w:rFonts w:ascii="Arial" w:hAnsi="Arial" w:cs="Arial"/>
        </w:rPr>
        <w:t>None to declare.</w:t>
      </w:r>
      <w:r w:rsidR="00894866" w:rsidRPr="00F764C9">
        <w:rPr>
          <w:rFonts w:ascii="Arial" w:hAnsi="Arial" w:cs="Arial"/>
        </w:rPr>
        <w:br w:type="page"/>
      </w:r>
    </w:p>
    <w:p w14:paraId="7EE50D87" w14:textId="0479ABF1" w:rsidR="00894866" w:rsidRPr="00F764C9" w:rsidRDefault="00894866" w:rsidP="00E83CB3">
      <w:pPr>
        <w:spacing w:after="0" w:line="276" w:lineRule="auto"/>
        <w:jc w:val="both"/>
        <w:rPr>
          <w:rFonts w:ascii="Arial" w:hAnsi="Arial" w:cs="Arial"/>
          <w:b/>
          <w:bCs/>
        </w:rPr>
      </w:pPr>
      <w:r w:rsidRPr="00F764C9">
        <w:rPr>
          <w:rFonts w:ascii="Arial" w:hAnsi="Arial" w:cs="Arial"/>
          <w:b/>
          <w:bCs/>
        </w:rPr>
        <w:lastRenderedPageBreak/>
        <w:t>References</w:t>
      </w:r>
    </w:p>
    <w:p w14:paraId="0E2D8E07" w14:textId="77777777" w:rsidR="00894866" w:rsidRPr="00F764C9" w:rsidRDefault="00894866" w:rsidP="00E83CB3">
      <w:pPr>
        <w:spacing w:after="0" w:line="276" w:lineRule="auto"/>
        <w:jc w:val="both"/>
        <w:rPr>
          <w:rFonts w:ascii="Arial" w:hAnsi="Arial" w:cs="Arial"/>
        </w:rPr>
      </w:pPr>
    </w:p>
    <w:p w14:paraId="5E168F07" w14:textId="27D7D263" w:rsidR="00894866" w:rsidRPr="00F764C9" w:rsidRDefault="00894866" w:rsidP="00E83CB3">
      <w:pPr>
        <w:spacing w:after="0" w:line="276" w:lineRule="auto"/>
        <w:jc w:val="both"/>
        <w:rPr>
          <w:rFonts w:ascii="Arial" w:hAnsi="Arial" w:cs="Arial"/>
        </w:rPr>
      </w:pPr>
      <w:r w:rsidRPr="00F764C9">
        <w:rPr>
          <w:rFonts w:ascii="Arial" w:hAnsi="Arial" w:cs="Arial"/>
        </w:rPr>
        <w:t xml:space="preserve">1. Medicines and Healthcare Products Regulatory Agency. </w:t>
      </w:r>
      <w:r w:rsidRPr="00F764C9">
        <w:rPr>
          <w:rFonts w:ascii="Arial" w:hAnsi="Arial" w:cs="Arial"/>
          <w:i/>
          <w:iCs/>
        </w:rPr>
        <w:t>Coronavirus vaccine—weekly summary of yellow card reporting. 2021.</w:t>
      </w:r>
      <w:r w:rsidR="005D3BFB" w:rsidRPr="00F764C9">
        <w:rPr>
          <w:rFonts w:ascii="Arial" w:hAnsi="Arial" w:cs="Arial"/>
          <w:i/>
          <w:iCs/>
        </w:rPr>
        <w:t xml:space="preserve"> </w:t>
      </w:r>
      <w:r w:rsidR="005D3BFB" w:rsidRPr="00F764C9">
        <w:rPr>
          <w:rFonts w:ascii="Arial" w:hAnsi="Arial" w:cs="Arial"/>
        </w:rPr>
        <w:t>[Online]</w:t>
      </w:r>
      <w:r w:rsidRPr="00F764C9">
        <w:rPr>
          <w:rFonts w:ascii="Arial" w:hAnsi="Arial" w:cs="Arial"/>
        </w:rPr>
        <w:t xml:space="preserve"> </w:t>
      </w:r>
      <w:r w:rsidR="005D3BFB" w:rsidRPr="00F764C9">
        <w:rPr>
          <w:rFonts w:ascii="Arial" w:hAnsi="Arial" w:cs="Arial"/>
        </w:rPr>
        <w:t xml:space="preserve"> London: MHRA; 2021 [</w:t>
      </w:r>
      <w:hyperlink r:id="rId10" w:history="1">
        <w:r w:rsidR="005D3BFB" w:rsidRPr="00F764C9">
          <w:rPr>
            <w:rStyle w:val="Hyperlink"/>
            <w:rFonts w:ascii="Arial" w:hAnsi="Arial" w:cs="Arial"/>
          </w:rPr>
          <w:t>https://www.gov.uk/government/publications/coronavirus-covid-19-vaccine-adverse-reactions/coronavirus-vaccine-summary-of-yellow-card-reporting</w:t>
        </w:r>
      </w:hyperlink>
      <w:r w:rsidR="005D3BFB" w:rsidRPr="00F764C9">
        <w:rPr>
          <w:rStyle w:val="Hyperlink"/>
          <w:rFonts w:ascii="Arial" w:hAnsi="Arial" w:cs="Arial"/>
        </w:rPr>
        <w:t xml:space="preserve">]. </w:t>
      </w:r>
      <w:r w:rsidR="005D3BFB" w:rsidRPr="00F764C9">
        <w:rPr>
          <w:rStyle w:val="Hyperlink"/>
          <w:rFonts w:ascii="Arial" w:hAnsi="Arial" w:cs="Arial"/>
          <w:color w:val="auto"/>
          <w:u w:val="none"/>
        </w:rPr>
        <w:t>Accessed 7 December 2021.</w:t>
      </w:r>
    </w:p>
    <w:p w14:paraId="5A0834C1" w14:textId="07DCB92B" w:rsidR="00894866" w:rsidRPr="00F764C9" w:rsidRDefault="00894866" w:rsidP="00E83CB3">
      <w:pPr>
        <w:spacing w:after="0" w:line="276" w:lineRule="auto"/>
        <w:jc w:val="both"/>
        <w:rPr>
          <w:rFonts w:ascii="Arial" w:hAnsi="Arial" w:cs="Arial"/>
        </w:rPr>
      </w:pPr>
    </w:p>
    <w:p w14:paraId="39B84D0F" w14:textId="0E46586D" w:rsidR="00894866" w:rsidRPr="00F764C9" w:rsidRDefault="00894866" w:rsidP="00E83CB3">
      <w:pPr>
        <w:spacing w:after="0" w:line="276" w:lineRule="auto"/>
        <w:jc w:val="both"/>
        <w:rPr>
          <w:rFonts w:ascii="Arial" w:hAnsi="Arial" w:cs="Arial"/>
        </w:rPr>
      </w:pPr>
      <w:r w:rsidRPr="00F764C9">
        <w:rPr>
          <w:rFonts w:ascii="Arial" w:hAnsi="Arial" w:cs="Arial"/>
        </w:rPr>
        <w:t xml:space="preserve">2. Medicines and Healthcare Products Regulatory Agency. </w:t>
      </w:r>
      <w:r w:rsidRPr="00F764C9">
        <w:rPr>
          <w:rFonts w:ascii="Arial" w:hAnsi="Arial" w:cs="Arial"/>
          <w:i/>
          <w:iCs/>
        </w:rPr>
        <w:t>COVID-19 vaccines: updates for August 2021.</w:t>
      </w:r>
      <w:r w:rsidRPr="00F764C9">
        <w:rPr>
          <w:rFonts w:ascii="Arial" w:hAnsi="Arial" w:cs="Arial"/>
        </w:rPr>
        <w:t xml:space="preserve"> </w:t>
      </w:r>
      <w:r w:rsidR="00242C8F" w:rsidRPr="00F764C9">
        <w:rPr>
          <w:rFonts w:ascii="Arial" w:hAnsi="Arial" w:cs="Arial"/>
        </w:rPr>
        <w:t>[Online] London: MHRA; 2021 [</w:t>
      </w:r>
      <w:hyperlink r:id="rId11" w:history="1">
        <w:r w:rsidR="00242C8F" w:rsidRPr="00F764C9">
          <w:rPr>
            <w:rStyle w:val="Hyperlink"/>
            <w:rFonts w:ascii="Arial" w:hAnsi="Arial" w:cs="Arial"/>
          </w:rPr>
          <w:t>https://www.gov.uk/drug-safety-update/covid-19-vaccines-updates-for-august-2021</w:t>
        </w:r>
      </w:hyperlink>
      <w:r w:rsidR="00242C8F" w:rsidRPr="00F764C9">
        <w:rPr>
          <w:rStyle w:val="Hyperlink"/>
          <w:rFonts w:ascii="Arial" w:hAnsi="Arial" w:cs="Arial"/>
          <w:color w:val="auto"/>
          <w:u w:val="none"/>
        </w:rPr>
        <w:t>]. Accessed 7 December 2021.</w:t>
      </w:r>
    </w:p>
    <w:p w14:paraId="4B361920" w14:textId="40306037" w:rsidR="00894866" w:rsidRPr="00F764C9" w:rsidRDefault="00894866" w:rsidP="00E83CB3">
      <w:pPr>
        <w:spacing w:after="0" w:line="276" w:lineRule="auto"/>
        <w:jc w:val="both"/>
        <w:rPr>
          <w:rFonts w:ascii="Arial" w:hAnsi="Arial" w:cs="Arial"/>
        </w:rPr>
      </w:pPr>
    </w:p>
    <w:p w14:paraId="706F3BEF" w14:textId="2EAB120C" w:rsidR="00EE1283" w:rsidRPr="00F764C9" w:rsidRDefault="00EE1283" w:rsidP="00E83CB3">
      <w:pPr>
        <w:spacing w:after="0" w:line="276" w:lineRule="auto"/>
        <w:jc w:val="both"/>
        <w:rPr>
          <w:rFonts w:ascii="Arial" w:hAnsi="Arial" w:cs="Arial"/>
        </w:rPr>
      </w:pPr>
      <w:r w:rsidRPr="00F764C9">
        <w:rPr>
          <w:rFonts w:ascii="Arial" w:hAnsi="Arial" w:cs="Arial"/>
        </w:rPr>
        <w:t xml:space="preserve">3. Male V. Are covid-19 vaccines safe in pregnancy? </w:t>
      </w:r>
      <w:r w:rsidRPr="00F764C9">
        <w:rPr>
          <w:rFonts w:ascii="Arial" w:hAnsi="Arial" w:cs="Arial"/>
          <w:i/>
          <w:iCs/>
        </w:rPr>
        <w:t>Nat Rev Immunol</w:t>
      </w:r>
      <w:r w:rsidRPr="00F764C9">
        <w:rPr>
          <w:rFonts w:ascii="Arial" w:hAnsi="Arial" w:cs="Arial"/>
        </w:rPr>
        <w:t xml:space="preserve"> 2021;21:200-1. </w:t>
      </w:r>
    </w:p>
    <w:p w14:paraId="4F9ED4ED" w14:textId="1B5B6ED4" w:rsidR="00EE1283" w:rsidRPr="00F764C9" w:rsidRDefault="00EE1283" w:rsidP="00E83CB3">
      <w:pPr>
        <w:spacing w:after="0" w:line="276" w:lineRule="auto"/>
        <w:jc w:val="both"/>
        <w:rPr>
          <w:rFonts w:ascii="Arial" w:hAnsi="Arial" w:cs="Arial"/>
        </w:rPr>
      </w:pPr>
    </w:p>
    <w:p w14:paraId="1DB76F9E" w14:textId="3480E866" w:rsidR="00EE1283" w:rsidRPr="00F764C9" w:rsidRDefault="00EE1283" w:rsidP="00E83CB3">
      <w:pPr>
        <w:spacing w:after="0" w:line="276" w:lineRule="auto"/>
        <w:jc w:val="both"/>
        <w:rPr>
          <w:rFonts w:ascii="Arial" w:hAnsi="Arial" w:cs="Arial"/>
        </w:rPr>
      </w:pPr>
      <w:r w:rsidRPr="00F764C9">
        <w:rPr>
          <w:rFonts w:ascii="Arial" w:hAnsi="Arial" w:cs="Arial"/>
        </w:rPr>
        <w:t xml:space="preserve">4. Hillson K, Clemens SC, Madhi SA, </w:t>
      </w:r>
      <w:r w:rsidRPr="00F764C9">
        <w:rPr>
          <w:rFonts w:ascii="Arial" w:hAnsi="Arial" w:cs="Arial"/>
          <w:i/>
          <w:iCs/>
        </w:rPr>
        <w:t xml:space="preserve">et al. </w:t>
      </w:r>
      <w:r w:rsidRPr="00F764C9">
        <w:rPr>
          <w:rFonts w:ascii="Arial" w:hAnsi="Arial" w:cs="Arial"/>
        </w:rPr>
        <w:t xml:space="preserve">Fertility rates and birth outcomes after ChAdOx1 nCoV-19 (AZD1222) vaccination. </w:t>
      </w:r>
      <w:r w:rsidRPr="00F764C9">
        <w:rPr>
          <w:rFonts w:ascii="Arial" w:hAnsi="Arial" w:cs="Arial"/>
          <w:i/>
          <w:iCs/>
        </w:rPr>
        <w:t>Lancet.</w:t>
      </w:r>
      <w:r w:rsidRPr="00F764C9">
        <w:rPr>
          <w:rFonts w:ascii="Arial" w:hAnsi="Arial" w:cs="Arial"/>
        </w:rPr>
        <w:t xml:space="preserve"> 2021;398(10312):1683-1684. </w:t>
      </w:r>
    </w:p>
    <w:p w14:paraId="765B3EC0" w14:textId="77777777" w:rsidR="00EE1283" w:rsidRPr="00F764C9" w:rsidRDefault="00EE1283" w:rsidP="00E83CB3">
      <w:pPr>
        <w:spacing w:after="0" w:line="276" w:lineRule="auto"/>
        <w:jc w:val="both"/>
        <w:rPr>
          <w:rFonts w:ascii="Arial" w:hAnsi="Arial" w:cs="Arial"/>
        </w:rPr>
      </w:pPr>
    </w:p>
    <w:p w14:paraId="3750B50C" w14:textId="3577FA75" w:rsidR="00EE1283" w:rsidRPr="00F764C9" w:rsidRDefault="00EE1283" w:rsidP="00E83CB3">
      <w:pPr>
        <w:spacing w:after="0" w:line="276" w:lineRule="auto"/>
        <w:jc w:val="both"/>
        <w:rPr>
          <w:rFonts w:ascii="Arial" w:hAnsi="Arial" w:cs="Arial"/>
        </w:rPr>
      </w:pPr>
      <w:r w:rsidRPr="00F764C9">
        <w:rPr>
          <w:rFonts w:ascii="Arial" w:hAnsi="Arial" w:cs="Arial"/>
        </w:rPr>
        <w:t xml:space="preserve">5. Morris RS. SARS-CoV-2 spike protein seropositivity from vaccination or infection does not cause sterility. </w:t>
      </w:r>
      <w:r w:rsidRPr="00F764C9">
        <w:rPr>
          <w:rFonts w:ascii="Arial" w:hAnsi="Arial" w:cs="Arial"/>
          <w:i/>
          <w:iCs/>
        </w:rPr>
        <w:t>F S Rep</w:t>
      </w:r>
      <w:r w:rsidRPr="00F764C9">
        <w:rPr>
          <w:rFonts w:ascii="Arial" w:hAnsi="Arial" w:cs="Arial"/>
        </w:rPr>
        <w:t xml:space="preserve"> 2021. </w:t>
      </w:r>
      <w:r w:rsidR="00F764C9">
        <w:rPr>
          <w:rFonts w:ascii="Arial" w:hAnsi="Arial" w:cs="Arial"/>
        </w:rPr>
        <w:t>2:253-255</w:t>
      </w:r>
    </w:p>
    <w:p w14:paraId="2E3E53F1" w14:textId="77777777" w:rsidR="00EE1283" w:rsidRPr="00F764C9" w:rsidRDefault="00EE1283" w:rsidP="00E83CB3">
      <w:pPr>
        <w:spacing w:after="0" w:line="276" w:lineRule="auto"/>
        <w:jc w:val="both"/>
        <w:rPr>
          <w:rFonts w:ascii="Arial" w:hAnsi="Arial" w:cs="Arial"/>
        </w:rPr>
      </w:pPr>
    </w:p>
    <w:p w14:paraId="2171937D" w14:textId="774168AE" w:rsidR="00EE1283" w:rsidRPr="00F764C9" w:rsidRDefault="00EE1283" w:rsidP="00E83CB3">
      <w:pPr>
        <w:spacing w:after="0" w:line="276" w:lineRule="auto"/>
        <w:jc w:val="both"/>
        <w:rPr>
          <w:rFonts w:ascii="Arial" w:hAnsi="Arial" w:cs="Arial"/>
        </w:rPr>
      </w:pPr>
      <w:r w:rsidRPr="00F764C9">
        <w:rPr>
          <w:rFonts w:ascii="Arial" w:hAnsi="Arial" w:cs="Arial"/>
        </w:rPr>
        <w:t xml:space="preserve">6. Orvieto R, Noach-Hirsh M, Segev-Zahav A, Haas J, Nahum R, Aizer A. Does mRNA SARS-CoV-2 vaccine influence patients’ performance during IVF-ET cycle? </w:t>
      </w:r>
      <w:r w:rsidRPr="00F764C9">
        <w:rPr>
          <w:rFonts w:ascii="Arial" w:hAnsi="Arial" w:cs="Arial"/>
          <w:i/>
          <w:iCs/>
        </w:rPr>
        <w:t>Reprod Biol Endocrinol</w:t>
      </w:r>
      <w:r w:rsidR="00F764C9" w:rsidRPr="00F764C9">
        <w:rPr>
          <w:rFonts w:ascii="Arial" w:hAnsi="Arial" w:cs="Arial"/>
          <w:i/>
          <w:iCs/>
        </w:rPr>
        <w:t>.</w:t>
      </w:r>
      <w:r w:rsidR="00F764C9" w:rsidRPr="00F764C9">
        <w:rPr>
          <w:rFonts w:ascii="Arial" w:hAnsi="Arial" w:cs="Arial"/>
        </w:rPr>
        <w:t xml:space="preserve"> </w:t>
      </w:r>
      <w:r w:rsidRPr="00F764C9">
        <w:rPr>
          <w:rFonts w:ascii="Arial" w:hAnsi="Arial" w:cs="Arial"/>
        </w:rPr>
        <w:t xml:space="preserve">2021;19:69. </w:t>
      </w:r>
    </w:p>
    <w:p w14:paraId="6A24602D" w14:textId="77777777" w:rsidR="00EE1283" w:rsidRPr="00F764C9" w:rsidRDefault="00EE1283" w:rsidP="00E83CB3">
      <w:pPr>
        <w:spacing w:after="0" w:line="276" w:lineRule="auto"/>
        <w:jc w:val="both"/>
        <w:rPr>
          <w:rFonts w:ascii="Arial" w:hAnsi="Arial" w:cs="Arial"/>
        </w:rPr>
      </w:pPr>
    </w:p>
    <w:p w14:paraId="17968BB4" w14:textId="32E43108" w:rsidR="00EE1283" w:rsidRDefault="00EE1283" w:rsidP="00E83CB3">
      <w:pPr>
        <w:spacing w:after="0" w:line="276" w:lineRule="auto"/>
        <w:jc w:val="both"/>
        <w:rPr>
          <w:rFonts w:ascii="Gill Sans MT" w:hAnsi="Gill Sans MT"/>
          <w:color w:val="333333"/>
          <w:shd w:val="clear" w:color="auto" w:fill="FFFFFF"/>
        </w:rPr>
      </w:pPr>
      <w:r w:rsidRPr="00F764C9">
        <w:rPr>
          <w:rFonts w:ascii="Arial" w:hAnsi="Arial" w:cs="Arial"/>
        </w:rPr>
        <w:t xml:space="preserve">7. Bentov Y, Beharier O, Moav-Zafrir A, </w:t>
      </w:r>
      <w:r w:rsidRPr="00F764C9">
        <w:rPr>
          <w:rFonts w:ascii="Arial" w:hAnsi="Arial" w:cs="Arial"/>
          <w:i/>
          <w:iCs/>
        </w:rPr>
        <w:t>et al.</w:t>
      </w:r>
      <w:r w:rsidRPr="00F764C9">
        <w:rPr>
          <w:rFonts w:ascii="Arial" w:hAnsi="Arial" w:cs="Arial"/>
        </w:rPr>
        <w:t xml:space="preserve"> Ovarian follicular function is not altered by SARS-Cov-2 infection or BNT162b2 mRNA Covid-19 vaccination</w:t>
      </w:r>
      <w:r w:rsidR="00F764C9">
        <w:rPr>
          <w:rFonts w:ascii="Arial" w:hAnsi="Arial" w:cs="Arial"/>
        </w:rPr>
        <w:t xml:space="preserve"> [Internet]</w:t>
      </w:r>
      <w:r w:rsidRPr="00F764C9">
        <w:rPr>
          <w:rFonts w:ascii="Arial" w:hAnsi="Arial" w:cs="Arial"/>
        </w:rPr>
        <w:t>. medRxiv</w:t>
      </w:r>
      <w:r w:rsidRPr="00F764C9">
        <w:rPr>
          <w:rFonts w:ascii="Arial" w:hAnsi="Arial" w:cs="Arial"/>
          <w:i/>
          <w:iCs/>
        </w:rPr>
        <w:t xml:space="preserve"> </w:t>
      </w:r>
      <w:r w:rsidRPr="00F764C9">
        <w:rPr>
          <w:rFonts w:ascii="Arial" w:hAnsi="Arial" w:cs="Arial"/>
        </w:rPr>
        <w:t>[Preprint]</w:t>
      </w:r>
      <w:r w:rsidR="00F764C9">
        <w:rPr>
          <w:rFonts w:ascii="Arial" w:hAnsi="Arial" w:cs="Arial"/>
        </w:rPr>
        <w:t>. 2021 [cited 2021 Nov 11]: Available from</w:t>
      </w:r>
      <w:r w:rsidRPr="00F764C9">
        <w:rPr>
          <w:rFonts w:ascii="Arial" w:hAnsi="Arial" w:cs="Arial"/>
        </w:rPr>
        <w:t xml:space="preserve"> </w:t>
      </w:r>
      <w:hyperlink r:id="rId12" w:history="1">
        <w:r w:rsidR="00F764C9" w:rsidRPr="00BB0E39">
          <w:rPr>
            <w:rStyle w:val="Hyperlink"/>
            <w:rFonts w:ascii="Gill Sans MT" w:hAnsi="Gill Sans MT"/>
            <w:shd w:val="clear" w:color="auto" w:fill="FFFFFF"/>
          </w:rPr>
          <w:t>https://doi.org/10.1101/2021.04.09.21255195</w:t>
        </w:r>
      </w:hyperlink>
    </w:p>
    <w:p w14:paraId="7FD5C1D3" w14:textId="77777777" w:rsidR="00F764C9" w:rsidRPr="00F764C9" w:rsidRDefault="00F764C9" w:rsidP="00E83CB3">
      <w:pPr>
        <w:spacing w:after="0" w:line="276" w:lineRule="auto"/>
        <w:jc w:val="both"/>
        <w:rPr>
          <w:rFonts w:ascii="Arial" w:hAnsi="Arial" w:cs="Arial"/>
        </w:rPr>
      </w:pPr>
    </w:p>
    <w:p w14:paraId="1AE7F0EE" w14:textId="058435F2" w:rsidR="00894866" w:rsidRPr="00F764C9" w:rsidRDefault="00EE1283" w:rsidP="00E83CB3">
      <w:pPr>
        <w:spacing w:after="0" w:line="276" w:lineRule="auto"/>
        <w:jc w:val="both"/>
        <w:rPr>
          <w:rFonts w:ascii="Arial" w:hAnsi="Arial" w:cs="Arial"/>
        </w:rPr>
      </w:pPr>
      <w:r w:rsidRPr="00F764C9">
        <w:rPr>
          <w:rFonts w:ascii="Arial" w:hAnsi="Arial" w:cs="Arial"/>
        </w:rPr>
        <w:t>8. Safrai M, Rottenstreich A, Herzberg S, Imbar T, Reubinoff B, Ben-Meir A. Stopping the misinformation: BNT162b2 COVID-19 vaccine has no negative effect on women’s fertility</w:t>
      </w:r>
      <w:r w:rsidR="00F764C9">
        <w:rPr>
          <w:rFonts w:ascii="Arial" w:hAnsi="Arial" w:cs="Arial"/>
        </w:rPr>
        <w:t xml:space="preserve"> [Internet]</w:t>
      </w:r>
      <w:r w:rsidRPr="00F764C9">
        <w:rPr>
          <w:rFonts w:ascii="Arial" w:hAnsi="Arial" w:cs="Arial"/>
        </w:rPr>
        <w:t xml:space="preserve">. medRxiv </w:t>
      </w:r>
      <w:r w:rsidR="00F764C9">
        <w:rPr>
          <w:rFonts w:ascii="Arial" w:hAnsi="Arial" w:cs="Arial"/>
        </w:rPr>
        <w:t xml:space="preserve">[Preprint]. </w:t>
      </w:r>
      <w:r w:rsidRPr="00F764C9">
        <w:rPr>
          <w:rFonts w:ascii="Arial" w:hAnsi="Arial" w:cs="Arial"/>
        </w:rPr>
        <w:t xml:space="preserve">2021:2021.05.30.21258079 [Preprint.] </w:t>
      </w:r>
      <w:r w:rsidR="00F764C9">
        <w:rPr>
          <w:rFonts w:ascii="Arial" w:hAnsi="Arial" w:cs="Arial"/>
        </w:rPr>
        <w:t>[cited 2021 Nov 11]: Available from</w:t>
      </w:r>
      <w:r w:rsidR="00C61662">
        <w:rPr>
          <w:rFonts w:ascii="Arial" w:hAnsi="Arial" w:cs="Arial"/>
        </w:rPr>
        <w:t xml:space="preserve"> </w:t>
      </w:r>
      <w:r w:rsidR="00C61662">
        <w:rPr>
          <w:rFonts w:ascii="Gill Sans MT" w:hAnsi="Gill Sans MT"/>
          <w:color w:val="333333"/>
          <w:shd w:val="clear" w:color="auto" w:fill="FFFFFF"/>
        </w:rPr>
        <w:t>https://doi.org/10.1101/2021.05.30.21258079</w:t>
      </w:r>
    </w:p>
    <w:p w14:paraId="7F732D99" w14:textId="00A9316F" w:rsidR="00EE1283" w:rsidRPr="00F764C9" w:rsidRDefault="00EE1283" w:rsidP="00E83CB3">
      <w:pPr>
        <w:spacing w:after="0" w:line="276" w:lineRule="auto"/>
        <w:jc w:val="both"/>
        <w:rPr>
          <w:rFonts w:ascii="Arial" w:hAnsi="Arial" w:cs="Arial"/>
        </w:rPr>
      </w:pPr>
    </w:p>
    <w:p w14:paraId="75DA23B2" w14:textId="02D09595" w:rsidR="00EE1283" w:rsidRPr="00F764C9" w:rsidRDefault="00EE1283" w:rsidP="00E83CB3">
      <w:pPr>
        <w:spacing w:after="0" w:line="276" w:lineRule="auto"/>
        <w:jc w:val="both"/>
        <w:rPr>
          <w:rFonts w:ascii="Arial" w:hAnsi="Arial" w:cs="Arial"/>
        </w:rPr>
      </w:pPr>
      <w:r w:rsidRPr="00F764C9">
        <w:rPr>
          <w:rFonts w:ascii="Arial" w:hAnsi="Arial" w:cs="Arial"/>
        </w:rPr>
        <w:t xml:space="preserve">9. Male V. Menstrual changes after covid-19 vaccination. </w:t>
      </w:r>
      <w:r w:rsidRPr="00C61662">
        <w:rPr>
          <w:rFonts w:ascii="Arial" w:hAnsi="Arial" w:cs="Arial"/>
          <w:i/>
          <w:iCs/>
        </w:rPr>
        <w:t>BMJ</w:t>
      </w:r>
      <w:r w:rsidRPr="00F764C9">
        <w:rPr>
          <w:rFonts w:ascii="Arial" w:hAnsi="Arial" w:cs="Arial"/>
        </w:rPr>
        <w:t xml:space="preserve"> 2021;374:n2211</w:t>
      </w:r>
    </w:p>
    <w:p w14:paraId="100EAC92" w14:textId="1DFF1C48" w:rsidR="00EE1283" w:rsidRPr="00F764C9" w:rsidRDefault="00EE1283" w:rsidP="00E83CB3">
      <w:pPr>
        <w:spacing w:after="0" w:line="276" w:lineRule="auto"/>
        <w:jc w:val="both"/>
        <w:rPr>
          <w:rFonts w:ascii="Arial" w:hAnsi="Arial" w:cs="Arial"/>
        </w:rPr>
      </w:pPr>
    </w:p>
    <w:p w14:paraId="3A0BCB6E" w14:textId="64458CE1" w:rsidR="00912E67" w:rsidRPr="00F764C9" w:rsidRDefault="00EE1283" w:rsidP="00E83CB3">
      <w:pPr>
        <w:spacing w:after="0" w:line="276" w:lineRule="auto"/>
        <w:jc w:val="both"/>
        <w:rPr>
          <w:rFonts w:ascii="Arial" w:hAnsi="Arial" w:cs="Arial"/>
        </w:rPr>
      </w:pPr>
      <w:r w:rsidRPr="00F764C9">
        <w:rPr>
          <w:rFonts w:ascii="Arial" w:hAnsi="Arial" w:cs="Arial"/>
        </w:rPr>
        <w:t>10.</w:t>
      </w:r>
      <w:r w:rsidR="00912E67" w:rsidRPr="00F764C9">
        <w:rPr>
          <w:rFonts w:ascii="Arial" w:hAnsi="Arial" w:cs="Arial"/>
        </w:rPr>
        <w:t xml:space="preserve"> Suzuki S, Hosono A. No association between HPV vaccine and reported post-vaccination symptoms in Japanese young women: Results of the Nagoya study. </w:t>
      </w:r>
      <w:r w:rsidR="00912E67" w:rsidRPr="00C61662">
        <w:rPr>
          <w:rFonts w:ascii="Arial" w:hAnsi="Arial" w:cs="Arial"/>
          <w:i/>
          <w:iCs/>
        </w:rPr>
        <w:t>Papillomavirus Res</w:t>
      </w:r>
      <w:r w:rsidR="00C61662">
        <w:rPr>
          <w:rFonts w:ascii="Arial" w:hAnsi="Arial" w:cs="Arial"/>
        </w:rPr>
        <w:t xml:space="preserve"> </w:t>
      </w:r>
      <w:r w:rsidR="00912E67" w:rsidRPr="00F764C9">
        <w:rPr>
          <w:rFonts w:ascii="Arial" w:hAnsi="Arial" w:cs="Arial"/>
        </w:rPr>
        <w:t>2018;</w:t>
      </w:r>
      <w:r w:rsidR="00C61662">
        <w:rPr>
          <w:rFonts w:ascii="Arial" w:hAnsi="Arial" w:cs="Arial"/>
        </w:rPr>
        <w:t xml:space="preserve"> </w:t>
      </w:r>
      <w:r w:rsidR="00912E67" w:rsidRPr="00F764C9">
        <w:rPr>
          <w:rFonts w:ascii="Arial" w:hAnsi="Arial" w:cs="Arial"/>
        </w:rPr>
        <w:t xml:space="preserve">5:96-103. </w:t>
      </w:r>
    </w:p>
    <w:p w14:paraId="71880297" w14:textId="77777777" w:rsidR="00912E67" w:rsidRPr="00F764C9" w:rsidRDefault="00912E67" w:rsidP="00E83CB3">
      <w:pPr>
        <w:spacing w:after="0" w:line="276" w:lineRule="auto"/>
        <w:jc w:val="both"/>
        <w:rPr>
          <w:rFonts w:ascii="Arial" w:hAnsi="Arial" w:cs="Arial"/>
        </w:rPr>
      </w:pPr>
    </w:p>
    <w:p w14:paraId="4A24B779" w14:textId="4A4C8739" w:rsidR="00912E67" w:rsidRPr="00F764C9" w:rsidRDefault="00912E67" w:rsidP="00E83CB3">
      <w:pPr>
        <w:spacing w:after="0" w:line="276" w:lineRule="auto"/>
        <w:jc w:val="both"/>
        <w:rPr>
          <w:rFonts w:ascii="Arial" w:hAnsi="Arial" w:cs="Arial"/>
        </w:rPr>
      </w:pPr>
      <w:r w:rsidRPr="00F764C9">
        <w:rPr>
          <w:rFonts w:ascii="Arial" w:hAnsi="Arial" w:cs="Arial"/>
        </w:rPr>
        <w:t xml:space="preserve">11. Li K, Chen G, Hou H, et al. Analysis of sex hormones and menstruation in COVID-19 women of child-bearing age. </w:t>
      </w:r>
      <w:r w:rsidRPr="00C61662">
        <w:rPr>
          <w:rFonts w:ascii="Arial" w:hAnsi="Arial" w:cs="Arial"/>
          <w:i/>
          <w:iCs/>
        </w:rPr>
        <w:t>Reprod Biomed Online</w:t>
      </w:r>
      <w:r w:rsidRPr="00F764C9">
        <w:rPr>
          <w:rFonts w:ascii="Arial" w:hAnsi="Arial" w:cs="Arial"/>
        </w:rPr>
        <w:t xml:space="preserve"> 2021;42:260-7. </w:t>
      </w:r>
    </w:p>
    <w:p w14:paraId="7D9F8A33" w14:textId="77777777" w:rsidR="00912E67" w:rsidRPr="00F764C9" w:rsidRDefault="00912E67" w:rsidP="00E83CB3">
      <w:pPr>
        <w:spacing w:after="0" w:line="276" w:lineRule="auto"/>
        <w:jc w:val="both"/>
        <w:rPr>
          <w:rFonts w:ascii="Arial" w:hAnsi="Arial" w:cs="Arial"/>
        </w:rPr>
      </w:pPr>
    </w:p>
    <w:p w14:paraId="6C85C049" w14:textId="485678F2" w:rsidR="00912E67" w:rsidRPr="00F764C9" w:rsidRDefault="00912E67" w:rsidP="00E83CB3">
      <w:pPr>
        <w:spacing w:after="0" w:line="276" w:lineRule="auto"/>
        <w:jc w:val="both"/>
        <w:rPr>
          <w:rFonts w:ascii="Arial" w:hAnsi="Arial" w:cs="Arial"/>
        </w:rPr>
      </w:pPr>
      <w:r w:rsidRPr="00F764C9">
        <w:rPr>
          <w:rFonts w:ascii="Arial" w:hAnsi="Arial" w:cs="Arial"/>
        </w:rPr>
        <w:t xml:space="preserve">12. Khan SM, Shilen A, Heslin KM, et al. SARS-CoV-2 infection and subsequent changes in the menstrual cycle among participants in the Arizona CoVHORT study. </w:t>
      </w:r>
      <w:r w:rsidRPr="00C61662">
        <w:rPr>
          <w:rFonts w:ascii="Arial" w:hAnsi="Arial" w:cs="Arial"/>
          <w:i/>
          <w:iCs/>
        </w:rPr>
        <w:t>Am J Obstet Gynecol.</w:t>
      </w:r>
      <w:r w:rsidRPr="00F764C9">
        <w:rPr>
          <w:rFonts w:ascii="Arial" w:hAnsi="Arial" w:cs="Arial"/>
        </w:rPr>
        <w:t xml:space="preserve"> 2021; [Online ahead of print.] doi:10.1016/j.ajog.2021.09.016</w:t>
      </w:r>
    </w:p>
    <w:p w14:paraId="386AAF3D" w14:textId="70697F12" w:rsidR="00912E67" w:rsidRPr="00F764C9" w:rsidRDefault="00912E67" w:rsidP="00E83CB3">
      <w:pPr>
        <w:spacing w:after="0" w:line="276" w:lineRule="auto"/>
        <w:jc w:val="both"/>
        <w:rPr>
          <w:rFonts w:ascii="Arial" w:hAnsi="Arial" w:cs="Arial"/>
        </w:rPr>
      </w:pPr>
    </w:p>
    <w:p w14:paraId="2C5646E5" w14:textId="511B074E" w:rsidR="00912E67" w:rsidRPr="00F764C9" w:rsidRDefault="00912E67" w:rsidP="00E83CB3">
      <w:pPr>
        <w:spacing w:after="0" w:line="276" w:lineRule="auto"/>
        <w:jc w:val="both"/>
        <w:rPr>
          <w:rFonts w:ascii="Arial" w:hAnsi="Arial" w:cs="Arial"/>
        </w:rPr>
      </w:pPr>
      <w:r w:rsidRPr="00F764C9">
        <w:rPr>
          <w:rFonts w:ascii="Arial" w:hAnsi="Arial" w:cs="Arial"/>
        </w:rPr>
        <w:t xml:space="preserve">13. Karagiannis A, Harsoulis F. Gonadal dysfunction in systemic diseases. </w:t>
      </w:r>
      <w:r w:rsidRPr="00C61662">
        <w:rPr>
          <w:rFonts w:ascii="Arial" w:hAnsi="Arial" w:cs="Arial"/>
          <w:i/>
          <w:iCs/>
        </w:rPr>
        <w:t>Eur J Endocrinol</w:t>
      </w:r>
      <w:r w:rsidRPr="00F764C9">
        <w:rPr>
          <w:rFonts w:ascii="Arial" w:hAnsi="Arial" w:cs="Arial"/>
        </w:rPr>
        <w:t xml:space="preserve"> 2005;152:501-13. </w:t>
      </w:r>
    </w:p>
    <w:p w14:paraId="04EA784A" w14:textId="77777777" w:rsidR="00912E67" w:rsidRPr="00F764C9" w:rsidRDefault="00912E67" w:rsidP="00E83CB3">
      <w:pPr>
        <w:spacing w:after="0" w:line="276" w:lineRule="auto"/>
        <w:jc w:val="both"/>
        <w:rPr>
          <w:rFonts w:ascii="Arial" w:hAnsi="Arial" w:cs="Arial"/>
        </w:rPr>
      </w:pPr>
    </w:p>
    <w:p w14:paraId="53503A38" w14:textId="0E4C7696" w:rsidR="00912E67" w:rsidRPr="00F764C9" w:rsidRDefault="00912E67" w:rsidP="00E83CB3">
      <w:pPr>
        <w:spacing w:after="0" w:line="276" w:lineRule="auto"/>
        <w:jc w:val="both"/>
        <w:rPr>
          <w:rFonts w:ascii="Arial" w:hAnsi="Arial" w:cs="Arial"/>
        </w:rPr>
      </w:pPr>
      <w:r w:rsidRPr="00F764C9">
        <w:rPr>
          <w:rFonts w:ascii="Arial" w:hAnsi="Arial" w:cs="Arial"/>
        </w:rPr>
        <w:t xml:space="preserve">14. Monin L, Whettlock EM, Male V. Immune responses in the human female reproductive tract. </w:t>
      </w:r>
      <w:r w:rsidRPr="00C61662">
        <w:rPr>
          <w:rFonts w:ascii="Arial" w:hAnsi="Arial" w:cs="Arial"/>
          <w:i/>
          <w:iCs/>
        </w:rPr>
        <w:t>Immunology</w:t>
      </w:r>
      <w:r w:rsidRPr="00F764C9">
        <w:rPr>
          <w:rFonts w:ascii="Arial" w:hAnsi="Arial" w:cs="Arial"/>
        </w:rPr>
        <w:t xml:space="preserve"> 2020;160:106-15. </w:t>
      </w:r>
    </w:p>
    <w:p w14:paraId="37075422" w14:textId="2F337B49" w:rsidR="00C149AE" w:rsidRPr="00F764C9" w:rsidRDefault="00C149AE" w:rsidP="00E83CB3">
      <w:pPr>
        <w:spacing w:after="0" w:line="276" w:lineRule="auto"/>
        <w:jc w:val="both"/>
        <w:rPr>
          <w:rFonts w:ascii="Arial" w:hAnsi="Arial" w:cs="Arial"/>
        </w:rPr>
      </w:pPr>
    </w:p>
    <w:p w14:paraId="650D7EAD" w14:textId="00607ACB" w:rsidR="00C149AE" w:rsidRPr="00F764C9" w:rsidRDefault="00C149AE" w:rsidP="00E83CB3">
      <w:pPr>
        <w:spacing w:after="0" w:line="276" w:lineRule="auto"/>
        <w:jc w:val="both"/>
        <w:rPr>
          <w:rFonts w:ascii="Arial" w:hAnsi="Arial" w:cs="Arial"/>
        </w:rPr>
      </w:pPr>
      <w:r w:rsidRPr="00F764C9">
        <w:rPr>
          <w:rFonts w:ascii="Arial" w:hAnsi="Arial" w:cs="Arial"/>
        </w:rPr>
        <w:t xml:space="preserve">15. Reed BG, Carr BR. The Normal Menstrual Cycle and the Control of Ovulation. In: </w:t>
      </w:r>
      <w:r w:rsidRPr="00C61662">
        <w:rPr>
          <w:rFonts w:ascii="Arial" w:hAnsi="Arial" w:cs="Arial"/>
          <w:i/>
          <w:iCs/>
        </w:rPr>
        <w:t xml:space="preserve">Feingold KR, Anawalt B, Boyce A, et al., </w:t>
      </w:r>
      <w:r w:rsidRPr="00F764C9">
        <w:rPr>
          <w:rFonts w:ascii="Arial" w:hAnsi="Arial" w:cs="Arial"/>
        </w:rPr>
        <w:t>eds. Endotext. South Dartmouth (MA): MDText.com, Inc.; August 5, 2018.</w:t>
      </w:r>
    </w:p>
    <w:p w14:paraId="105377AB" w14:textId="552499FB" w:rsidR="00793897" w:rsidRPr="00F764C9" w:rsidRDefault="00793897" w:rsidP="00E83CB3">
      <w:pPr>
        <w:spacing w:after="0" w:line="276" w:lineRule="auto"/>
        <w:jc w:val="both"/>
        <w:rPr>
          <w:rFonts w:ascii="Arial" w:hAnsi="Arial" w:cs="Arial"/>
        </w:rPr>
      </w:pPr>
    </w:p>
    <w:p w14:paraId="7834025B" w14:textId="2303D85B" w:rsidR="00466F45" w:rsidRPr="00F764C9" w:rsidRDefault="00F66C58" w:rsidP="00E83CB3">
      <w:pPr>
        <w:spacing w:after="0" w:line="276" w:lineRule="auto"/>
        <w:jc w:val="both"/>
        <w:rPr>
          <w:rFonts w:ascii="Arial" w:hAnsi="Arial" w:cs="Arial"/>
        </w:rPr>
      </w:pPr>
      <w:r>
        <w:rPr>
          <w:rFonts w:ascii="Arial" w:hAnsi="Arial" w:cs="Arial"/>
        </w:rPr>
        <w:t>16</w:t>
      </w:r>
      <w:r w:rsidR="00466F45" w:rsidRPr="00F764C9">
        <w:rPr>
          <w:rFonts w:ascii="Arial" w:hAnsi="Arial" w:cs="Arial"/>
        </w:rPr>
        <w:t xml:space="preserve">. Clancy KB, Baerwald AR, Pierson RA. Systemic inflammation is associated with ovarian follicular dynamics during the human menstrual cycle. </w:t>
      </w:r>
      <w:r w:rsidR="00466F45" w:rsidRPr="00C61662">
        <w:rPr>
          <w:rFonts w:ascii="Arial" w:hAnsi="Arial" w:cs="Arial"/>
          <w:i/>
          <w:iCs/>
        </w:rPr>
        <w:t>PLoS One.</w:t>
      </w:r>
      <w:r w:rsidR="00466F45" w:rsidRPr="00F764C9">
        <w:rPr>
          <w:rFonts w:ascii="Arial" w:hAnsi="Arial" w:cs="Arial"/>
        </w:rPr>
        <w:t xml:space="preserve"> 2013;</w:t>
      </w:r>
      <w:r w:rsidR="00C61662">
        <w:rPr>
          <w:rFonts w:ascii="Arial" w:hAnsi="Arial" w:cs="Arial"/>
        </w:rPr>
        <w:t xml:space="preserve"> </w:t>
      </w:r>
      <w:r w:rsidR="00466F45" w:rsidRPr="00F764C9">
        <w:rPr>
          <w:rFonts w:ascii="Arial" w:hAnsi="Arial" w:cs="Arial"/>
        </w:rPr>
        <w:t xml:space="preserve">8(5):e64807. </w:t>
      </w:r>
    </w:p>
    <w:p w14:paraId="24C77BEC" w14:textId="1F2D8645" w:rsidR="00466F45" w:rsidRPr="00F764C9" w:rsidRDefault="00466F45" w:rsidP="00E83CB3">
      <w:pPr>
        <w:spacing w:after="0" w:line="276" w:lineRule="auto"/>
        <w:jc w:val="both"/>
        <w:rPr>
          <w:rFonts w:ascii="Arial" w:hAnsi="Arial" w:cs="Arial"/>
        </w:rPr>
      </w:pPr>
    </w:p>
    <w:p w14:paraId="3084B878" w14:textId="6E37078C" w:rsidR="00466F45" w:rsidRPr="00F764C9" w:rsidRDefault="00F66C58" w:rsidP="00E83CB3">
      <w:pPr>
        <w:spacing w:after="0" w:line="276" w:lineRule="auto"/>
        <w:jc w:val="both"/>
        <w:rPr>
          <w:rFonts w:ascii="Arial" w:hAnsi="Arial" w:cs="Arial"/>
        </w:rPr>
      </w:pPr>
      <w:r>
        <w:rPr>
          <w:rFonts w:ascii="Arial" w:hAnsi="Arial" w:cs="Arial"/>
        </w:rPr>
        <w:t>17</w:t>
      </w:r>
      <w:r w:rsidR="00466F45" w:rsidRPr="00F764C9">
        <w:rPr>
          <w:rFonts w:ascii="Arial" w:hAnsi="Arial" w:cs="Arial"/>
        </w:rPr>
        <w:t xml:space="preserve">. Chaireti R, Lindahl TL, Byström B, Bremme K, Larsson A. Inflammatory and endothelial markers during the menstrual cycle. </w:t>
      </w:r>
      <w:r w:rsidR="00466F45" w:rsidRPr="00C61662">
        <w:rPr>
          <w:rFonts w:ascii="Arial" w:hAnsi="Arial" w:cs="Arial"/>
          <w:i/>
          <w:iCs/>
        </w:rPr>
        <w:t>Scand J Clin Lab Invest.</w:t>
      </w:r>
      <w:r w:rsidR="00466F45" w:rsidRPr="00F764C9">
        <w:rPr>
          <w:rFonts w:ascii="Arial" w:hAnsi="Arial" w:cs="Arial"/>
        </w:rPr>
        <w:t xml:space="preserve"> 2016;</w:t>
      </w:r>
      <w:r w:rsidR="00C61662">
        <w:rPr>
          <w:rFonts w:ascii="Arial" w:hAnsi="Arial" w:cs="Arial"/>
        </w:rPr>
        <w:t xml:space="preserve"> </w:t>
      </w:r>
      <w:r w:rsidR="00466F45" w:rsidRPr="00F764C9">
        <w:rPr>
          <w:rFonts w:ascii="Arial" w:hAnsi="Arial" w:cs="Arial"/>
        </w:rPr>
        <w:t xml:space="preserve">76(3):190-194. </w:t>
      </w:r>
    </w:p>
    <w:p w14:paraId="4A7A19A0" w14:textId="77777777" w:rsidR="00466F45" w:rsidRPr="00F764C9" w:rsidRDefault="00466F45" w:rsidP="00E83CB3">
      <w:pPr>
        <w:spacing w:after="0" w:line="276" w:lineRule="auto"/>
        <w:jc w:val="both"/>
        <w:rPr>
          <w:rFonts w:ascii="Arial" w:hAnsi="Arial" w:cs="Arial"/>
        </w:rPr>
      </w:pPr>
    </w:p>
    <w:p w14:paraId="0D0344A5" w14:textId="4AEBB530" w:rsidR="00F66C58" w:rsidRDefault="00F66C58" w:rsidP="00F66C58">
      <w:pPr>
        <w:spacing w:after="0" w:line="276" w:lineRule="auto"/>
        <w:jc w:val="both"/>
        <w:rPr>
          <w:rStyle w:val="Hyperlink"/>
          <w:rFonts w:ascii="Arial" w:hAnsi="Arial" w:cs="Arial"/>
          <w:color w:val="auto"/>
          <w:u w:val="none"/>
        </w:rPr>
      </w:pPr>
      <w:r w:rsidRPr="00F764C9">
        <w:rPr>
          <w:rFonts w:ascii="Arial" w:hAnsi="Arial" w:cs="Arial"/>
        </w:rPr>
        <w:t>1</w:t>
      </w:r>
      <w:r>
        <w:rPr>
          <w:rFonts w:ascii="Arial" w:hAnsi="Arial" w:cs="Arial"/>
        </w:rPr>
        <w:t>8</w:t>
      </w:r>
      <w:r w:rsidRPr="00F764C9">
        <w:rPr>
          <w:rFonts w:ascii="Arial" w:hAnsi="Arial" w:cs="Arial"/>
        </w:rPr>
        <w:t xml:space="preserve">. UK Health Security Agency. </w:t>
      </w:r>
      <w:r w:rsidRPr="00C61662">
        <w:rPr>
          <w:rFonts w:ascii="Arial" w:hAnsi="Arial" w:cs="Arial"/>
          <w:i/>
          <w:iCs/>
        </w:rPr>
        <w:t>COVID-19: the green book, chapter 14a.</w:t>
      </w:r>
      <w:r w:rsidRPr="00F764C9">
        <w:rPr>
          <w:rFonts w:ascii="Arial" w:hAnsi="Arial" w:cs="Arial"/>
        </w:rPr>
        <w:t xml:space="preserve"> </w:t>
      </w:r>
      <w:r>
        <w:rPr>
          <w:rFonts w:ascii="Arial" w:hAnsi="Arial" w:cs="Arial"/>
        </w:rPr>
        <w:t>[Online]. London: UKHSA [</w:t>
      </w:r>
      <w:hyperlink r:id="rId13" w:history="1">
        <w:r w:rsidRPr="00BB0E39">
          <w:rPr>
            <w:rStyle w:val="Hyperlink"/>
            <w:rFonts w:ascii="Arial" w:hAnsi="Arial" w:cs="Arial"/>
          </w:rPr>
          <w:t>https://assets.publishing.service.gov.uk/government/uploads/system/uploads/attachment_data/file/1029750/Greenbook_chapter_14a_29Oct21.pdf</w:t>
        </w:r>
      </w:hyperlink>
      <w:r w:rsidRPr="00C61662">
        <w:rPr>
          <w:rStyle w:val="Hyperlink"/>
          <w:rFonts w:ascii="Arial" w:hAnsi="Arial" w:cs="Arial"/>
          <w:color w:val="auto"/>
          <w:u w:val="none"/>
        </w:rPr>
        <w:t>] Accessed 11 November 2021.</w:t>
      </w:r>
    </w:p>
    <w:p w14:paraId="4F92E095" w14:textId="77777777" w:rsidR="00F66C58" w:rsidRDefault="00F66C58" w:rsidP="00F66C58">
      <w:pPr>
        <w:spacing w:after="0" w:line="276" w:lineRule="auto"/>
        <w:jc w:val="both"/>
        <w:rPr>
          <w:rStyle w:val="Hyperlink"/>
          <w:rFonts w:ascii="Arial" w:hAnsi="Arial" w:cs="Arial"/>
          <w:color w:val="auto"/>
          <w:u w:val="none"/>
        </w:rPr>
      </w:pPr>
    </w:p>
    <w:p w14:paraId="641E2897" w14:textId="6C51A541" w:rsidR="00793897" w:rsidRPr="00F764C9" w:rsidRDefault="00793897" w:rsidP="00E83CB3">
      <w:pPr>
        <w:spacing w:after="0" w:line="276" w:lineRule="auto"/>
        <w:jc w:val="both"/>
        <w:rPr>
          <w:rFonts w:ascii="Arial" w:hAnsi="Arial" w:cs="Arial"/>
        </w:rPr>
      </w:pPr>
      <w:r w:rsidRPr="00F764C9">
        <w:rPr>
          <w:rFonts w:ascii="Arial" w:hAnsi="Arial" w:cs="Arial"/>
        </w:rPr>
        <w:t>1</w:t>
      </w:r>
      <w:r w:rsidR="00F66C58">
        <w:rPr>
          <w:rFonts w:ascii="Arial" w:hAnsi="Arial" w:cs="Arial"/>
        </w:rPr>
        <w:t>9</w:t>
      </w:r>
      <w:r w:rsidRPr="00F764C9">
        <w:rPr>
          <w:rFonts w:ascii="Arial" w:hAnsi="Arial" w:cs="Arial"/>
        </w:rPr>
        <w:t>. Lee KMN, Junkins EJ, Fatima UA, Cox ML, Clancy KBH. Characterizing menstrual bleeding changes occurring after SARS-CoV-2 vaccination</w:t>
      </w:r>
      <w:r w:rsidR="00C61662">
        <w:rPr>
          <w:rFonts w:ascii="Arial" w:hAnsi="Arial" w:cs="Arial"/>
        </w:rPr>
        <w:t xml:space="preserve"> [Internet]</w:t>
      </w:r>
      <w:r w:rsidRPr="00F764C9">
        <w:rPr>
          <w:rFonts w:ascii="Arial" w:hAnsi="Arial" w:cs="Arial"/>
        </w:rPr>
        <w:t xml:space="preserve">. MedRXiv </w:t>
      </w:r>
      <w:r w:rsidR="00C61662" w:rsidRPr="00F764C9">
        <w:rPr>
          <w:rFonts w:ascii="Arial" w:hAnsi="Arial" w:cs="Arial"/>
        </w:rPr>
        <w:t>[Preprint]</w:t>
      </w:r>
      <w:r w:rsidR="00C61662">
        <w:rPr>
          <w:rFonts w:ascii="Arial" w:hAnsi="Arial" w:cs="Arial"/>
        </w:rPr>
        <w:t>.</w:t>
      </w:r>
      <w:r w:rsidR="00C61662" w:rsidRPr="00F764C9">
        <w:rPr>
          <w:rFonts w:ascii="Arial" w:hAnsi="Arial" w:cs="Arial"/>
        </w:rPr>
        <w:t xml:space="preserve"> </w:t>
      </w:r>
      <w:r w:rsidRPr="00F764C9">
        <w:rPr>
          <w:rFonts w:ascii="Arial" w:hAnsi="Arial" w:cs="Arial"/>
        </w:rPr>
        <w:t>2021</w:t>
      </w:r>
      <w:r w:rsidR="00C61662">
        <w:rPr>
          <w:rFonts w:ascii="Arial" w:hAnsi="Arial" w:cs="Arial"/>
        </w:rPr>
        <w:t xml:space="preserve">. [Cited 7 December 2021]. Available from </w:t>
      </w:r>
      <w:r w:rsidR="00C61662">
        <w:rPr>
          <w:rFonts w:ascii="Gill Sans MT" w:hAnsi="Gill Sans MT"/>
          <w:color w:val="333333"/>
          <w:shd w:val="clear" w:color="auto" w:fill="FFFFFF"/>
        </w:rPr>
        <w:t>https://doi.org/10.1101/2021.10.11.21264863</w:t>
      </w:r>
    </w:p>
    <w:p w14:paraId="280FD8AA" w14:textId="30CFF382" w:rsidR="00912E67" w:rsidRPr="00F764C9" w:rsidRDefault="00912E67" w:rsidP="00E83CB3">
      <w:pPr>
        <w:spacing w:after="0" w:line="276" w:lineRule="auto"/>
        <w:jc w:val="both"/>
        <w:rPr>
          <w:rFonts w:ascii="Arial" w:hAnsi="Arial" w:cs="Arial"/>
        </w:rPr>
      </w:pPr>
    </w:p>
    <w:p w14:paraId="38946ABF" w14:textId="183326DD" w:rsidR="004976BB" w:rsidRPr="00F764C9" w:rsidRDefault="00F66C58" w:rsidP="00E83CB3">
      <w:pPr>
        <w:spacing w:after="0" w:line="276" w:lineRule="auto"/>
        <w:jc w:val="both"/>
        <w:rPr>
          <w:rFonts w:ascii="Arial" w:hAnsi="Arial" w:cs="Arial"/>
        </w:rPr>
      </w:pPr>
      <w:r>
        <w:rPr>
          <w:rFonts w:ascii="Arial" w:hAnsi="Arial" w:cs="Arial"/>
        </w:rPr>
        <w:t>20</w:t>
      </w:r>
      <w:r w:rsidR="004976BB" w:rsidRPr="00F764C9">
        <w:rPr>
          <w:rFonts w:ascii="Arial" w:hAnsi="Arial" w:cs="Arial"/>
        </w:rPr>
        <w:t>. Kiley J, Hammond C. Combined oral contraceptives: a comprehensive review</w:t>
      </w:r>
      <w:r w:rsidR="004976BB" w:rsidRPr="00C61662">
        <w:rPr>
          <w:rFonts w:ascii="Arial" w:hAnsi="Arial" w:cs="Arial"/>
          <w:i/>
          <w:iCs/>
        </w:rPr>
        <w:t>. Clin Obstet Gynecol.</w:t>
      </w:r>
      <w:r w:rsidR="00C61662">
        <w:rPr>
          <w:rFonts w:ascii="Arial" w:hAnsi="Arial" w:cs="Arial"/>
        </w:rPr>
        <w:t xml:space="preserve"> </w:t>
      </w:r>
      <w:r w:rsidR="004976BB" w:rsidRPr="00F764C9">
        <w:rPr>
          <w:rFonts w:ascii="Arial" w:hAnsi="Arial" w:cs="Arial"/>
        </w:rPr>
        <w:t xml:space="preserve">2007;50(4):868-877. </w:t>
      </w:r>
    </w:p>
    <w:p w14:paraId="5FB83FEA" w14:textId="77777777" w:rsidR="00F66C58" w:rsidRPr="00C61662" w:rsidRDefault="00F66C58" w:rsidP="00F66C58">
      <w:pPr>
        <w:spacing w:after="0" w:line="276" w:lineRule="auto"/>
        <w:jc w:val="both"/>
        <w:rPr>
          <w:rFonts w:ascii="Arial" w:hAnsi="Arial" w:cs="Arial"/>
        </w:rPr>
      </w:pPr>
    </w:p>
    <w:p w14:paraId="5EECB552" w14:textId="7E838FAD" w:rsidR="00CD3B66" w:rsidRPr="00F764C9" w:rsidRDefault="00F66C58" w:rsidP="00F66C58">
      <w:pPr>
        <w:spacing w:after="0" w:line="276" w:lineRule="auto"/>
        <w:jc w:val="both"/>
        <w:rPr>
          <w:rFonts w:ascii="Arial" w:hAnsi="Arial" w:cs="Arial"/>
        </w:rPr>
      </w:pPr>
      <w:r>
        <w:rPr>
          <w:rFonts w:ascii="Arial" w:hAnsi="Arial" w:cs="Arial"/>
        </w:rPr>
        <w:t>21</w:t>
      </w:r>
      <w:r w:rsidR="004976BB" w:rsidRPr="00F764C9">
        <w:rPr>
          <w:rFonts w:ascii="Arial" w:hAnsi="Arial" w:cs="Arial"/>
        </w:rPr>
        <w:t xml:space="preserve">. Lethaby A, Wise MR, Weterings MA, Bofill Rodriguez M, Brown J. Combined hormonal contraceptives for heavy menstrual bleeding. </w:t>
      </w:r>
      <w:r w:rsidR="004976BB" w:rsidRPr="00C61662">
        <w:rPr>
          <w:rFonts w:ascii="Arial" w:hAnsi="Arial" w:cs="Arial"/>
          <w:i/>
          <w:iCs/>
        </w:rPr>
        <w:t>Cochrane Database Syst Rev.</w:t>
      </w:r>
      <w:r w:rsidR="004976BB" w:rsidRPr="00F764C9">
        <w:rPr>
          <w:rFonts w:ascii="Arial" w:hAnsi="Arial" w:cs="Arial"/>
        </w:rPr>
        <w:t xml:space="preserve"> 2019;</w:t>
      </w:r>
      <w:r w:rsidR="00C61662">
        <w:rPr>
          <w:rFonts w:ascii="Arial" w:hAnsi="Arial" w:cs="Arial"/>
        </w:rPr>
        <w:t xml:space="preserve"> </w:t>
      </w:r>
      <w:r w:rsidR="004976BB" w:rsidRPr="00F764C9">
        <w:rPr>
          <w:rFonts w:ascii="Arial" w:hAnsi="Arial" w:cs="Arial"/>
        </w:rPr>
        <w:t xml:space="preserve">2:CD000154. </w:t>
      </w:r>
      <w:r w:rsidR="00CD3B66" w:rsidRPr="00F764C9">
        <w:rPr>
          <w:rFonts w:ascii="Arial" w:hAnsi="Arial" w:cs="Arial"/>
        </w:rPr>
        <w:br w:type="page"/>
      </w:r>
    </w:p>
    <w:tbl>
      <w:tblPr>
        <w:tblStyle w:val="GridTable2-Accent5"/>
        <w:tblW w:w="0" w:type="auto"/>
        <w:tblLook w:val="04A0" w:firstRow="1" w:lastRow="0" w:firstColumn="1" w:lastColumn="0" w:noHBand="0" w:noVBand="1"/>
      </w:tblPr>
      <w:tblGrid>
        <w:gridCol w:w="3397"/>
        <w:gridCol w:w="1418"/>
      </w:tblGrid>
      <w:tr w:rsidR="00CD3B66" w:rsidRPr="00F764C9" w14:paraId="4C653CBA" w14:textId="77777777" w:rsidTr="006335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shd w:val="clear" w:color="auto" w:fill="B4C6E7" w:themeFill="accent1" w:themeFillTint="66"/>
          </w:tcPr>
          <w:p w14:paraId="6069F62C" w14:textId="77777777" w:rsidR="00CD3B66" w:rsidRPr="00F764C9" w:rsidRDefault="00CD3B66" w:rsidP="00E83CB3">
            <w:pPr>
              <w:jc w:val="both"/>
              <w:rPr>
                <w:rFonts w:ascii="Arial" w:hAnsi="Arial" w:cs="Arial"/>
              </w:rPr>
            </w:pPr>
            <w:r w:rsidRPr="00F764C9">
              <w:rPr>
                <w:rFonts w:ascii="Arial" w:hAnsi="Arial" w:cs="Arial"/>
              </w:rPr>
              <w:lastRenderedPageBreak/>
              <w:t>Demographic characteristics</w:t>
            </w:r>
          </w:p>
        </w:tc>
        <w:tc>
          <w:tcPr>
            <w:tcW w:w="1418" w:type="dxa"/>
            <w:shd w:val="clear" w:color="auto" w:fill="B4C6E7" w:themeFill="accent1" w:themeFillTint="66"/>
          </w:tcPr>
          <w:p w14:paraId="5C15D3A5" w14:textId="77777777" w:rsidR="00CD3B66" w:rsidRPr="00F764C9" w:rsidRDefault="00CD3B66" w:rsidP="00E83CB3">
            <w:pPr>
              <w:jc w:val="both"/>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CD3B66" w:rsidRPr="00F764C9" w14:paraId="12ABC6C8"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62D798F7" w14:textId="77777777" w:rsidR="00CD3B66" w:rsidRPr="00F764C9" w:rsidRDefault="00CD3B66" w:rsidP="00E83CB3">
            <w:pPr>
              <w:jc w:val="both"/>
              <w:rPr>
                <w:rFonts w:ascii="Arial" w:hAnsi="Arial" w:cs="Arial"/>
                <w:b w:val="0"/>
                <w:bCs w:val="0"/>
              </w:rPr>
            </w:pPr>
            <w:r w:rsidRPr="00F764C9">
              <w:rPr>
                <w:rFonts w:ascii="Arial" w:hAnsi="Arial" w:cs="Arial"/>
                <w:b w:val="0"/>
                <w:bCs w:val="0"/>
              </w:rPr>
              <w:t>Age in years (Median, IQR)</w:t>
            </w:r>
          </w:p>
        </w:tc>
        <w:tc>
          <w:tcPr>
            <w:tcW w:w="1418" w:type="dxa"/>
          </w:tcPr>
          <w:p w14:paraId="04141D11"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33 (29 – 39)</w:t>
            </w:r>
          </w:p>
        </w:tc>
      </w:tr>
      <w:tr w:rsidR="00CD3B66" w:rsidRPr="00F764C9" w14:paraId="4B7BC9CB"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62F5A392" w14:textId="77777777" w:rsidR="00CD3B66" w:rsidRPr="00F764C9" w:rsidRDefault="00CD3B66" w:rsidP="00E83CB3">
            <w:pPr>
              <w:jc w:val="both"/>
              <w:rPr>
                <w:rFonts w:ascii="Arial" w:hAnsi="Arial" w:cs="Arial"/>
                <w:b w:val="0"/>
                <w:bCs w:val="0"/>
              </w:rPr>
            </w:pPr>
            <w:r w:rsidRPr="00F764C9">
              <w:rPr>
                <w:rFonts w:ascii="Arial" w:hAnsi="Arial" w:cs="Arial"/>
                <w:b w:val="0"/>
                <w:bCs w:val="0"/>
              </w:rPr>
              <w:t>Cycle length in days (Median, IQR)</w:t>
            </w:r>
          </w:p>
        </w:tc>
        <w:tc>
          <w:tcPr>
            <w:tcW w:w="1418" w:type="dxa"/>
          </w:tcPr>
          <w:p w14:paraId="04910BBB"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28 (27 – 30)</w:t>
            </w:r>
          </w:p>
        </w:tc>
      </w:tr>
      <w:tr w:rsidR="00CD3B66" w:rsidRPr="00F764C9" w14:paraId="5F5D8CB1"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shd w:val="clear" w:color="auto" w:fill="B4C6E7" w:themeFill="accent1" w:themeFillTint="66"/>
          </w:tcPr>
          <w:p w14:paraId="66F947D0" w14:textId="77777777" w:rsidR="00CD3B66" w:rsidRPr="00F764C9" w:rsidRDefault="00CD3B66" w:rsidP="00E83CB3">
            <w:pPr>
              <w:jc w:val="both"/>
              <w:rPr>
                <w:rFonts w:ascii="Arial" w:hAnsi="Arial" w:cs="Arial"/>
                <w:i/>
                <w:iCs/>
              </w:rPr>
            </w:pPr>
            <w:r w:rsidRPr="00F764C9">
              <w:rPr>
                <w:rFonts w:ascii="Arial" w:hAnsi="Arial" w:cs="Arial"/>
                <w:i/>
                <w:iCs/>
              </w:rPr>
              <w:t>Hormonal contraception</w:t>
            </w:r>
          </w:p>
        </w:tc>
        <w:tc>
          <w:tcPr>
            <w:tcW w:w="1418" w:type="dxa"/>
            <w:shd w:val="clear" w:color="auto" w:fill="B4C6E7" w:themeFill="accent1" w:themeFillTint="66"/>
          </w:tcPr>
          <w:p w14:paraId="0444D2F4"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D3B66" w:rsidRPr="00F764C9" w14:paraId="16187E56"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22EB4908" w14:textId="77777777" w:rsidR="00CD3B66" w:rsidRPr="00F764C9" w:rsidRDefault="00CD3B66" w:rsidP="00E83CB3">
            <w:pPr>
              <w:jc w:val="both"/>
              <w:rPr>
                <w:rFonts w:ascii="Arial" w:hAnsi="Arial" w:cs="Arial"/>
                <w:b w:val="0"/>
                <w:bCs w:val="0"/>
              </w:rPr>
            </w:pPr>
            <w:r w:rsidRPr="00F764C9">
              <w:rPr>
                <w:rFonts w:ascii="Arial" w:hAnsi="Arial" w:cs="Arial"/>
                <w:b w:val="0"/>
                <w:bCs w:val="0"/>
              </w:rPr>
              <w:t xml:space="preserve">No hormonal contraception </w:t>
            </w:r>
          </w:p>
        </w:tc>
        <w:tc>
          <w:tcPr>
            <w:tcW w:w="1418" w:type="dxa"/>
          </w:tcPr>
          <w:p w14:paraId="375D6C82"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1117 (87.6%)</w:t>
            </w:r>
          </w:p>
        </w:tc>
      </w:tr>
      <w:tr w:rsidR="00CD3B66" w:rsidRPr="00F764C9" w14:paraId="1A7A063E"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44B36B2E" w14:textId="77777777" w:rsidR="00CD3B66" w:rsidRPr="00F764C9" w:rsidRDefault="00CD3B66" w:rsidP="00E83CB3">
            <w:pPr>
              <w:jc w:val="both"/>
              <w:rPr>
                <w:rFonts w:ascii="Arial" w:hAnsi="Arial" w:cs="Arial"/>
                <w:b w:val="0"/>
                <w:bCs w:val="0"/>
              </w:rPr>
            </w:pPr>
            <w:r w:rsidRPr="00F764C9">
              <w:rPr>
                <w:rFonts w:ascii="Arial" w:hAnsi="Arial" w:cs="Arial"/>
                <w:b w:val="0"/>
                <w:bCs w:val="0"/>
              </w:rPr>
              <w:t>Combined pill</w:t>
            </w:r>
          </w:p>
        </w:tc>
        <w:tc>
          <w:tcPr>
            <w:tcW w:w="1418" w:type="dxa"/>
          </w:tcPr>
          <w:p w14:paraId="3223978F"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53 (4.2%)</w:t>
            </w:r>
          </w:p>
        </w:tc>
      </w:tr>
      <w:tr w:rsidR="00CD3B66" w:rsidRPr="00F764C9" w14:paraId="01A85C4C"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564E4254" w14:textId="77777777" w:rsidR="00CD3B66" w:rsidRPr="00F764C9" w:rsidRDefault="00CD3B66" w:rsidP="00E83CB3">
            <w:pPr>
              <w:jc w:val="both"/>
              <w:rPr>
                <w:rFonts w:ascii="Arial" w:hAnsi="Arial" w:cs="Arial"/>
                <w:b w:val="0"/>
                <w:bCs w:val="0"/>
              </w:rPr>
            </w:pPr>
            <w:r w:rsidRPr="00F764C9">
              <w:rPr>
                <w:rFonts w:ascii="Arial" w:hAnsi="Arial" w:cs="Arial"/>
                <w:b w:val="0"/>
                <w:bCs w:val="0"/>
              </w:rPr>
              <w:t>Progesterone only pill</w:t>
            </w:r>
          </w:p>
        </w:tc>
        <w:tc>
          <w:tcPr>
            <w:tcW w:w="1418" w:type="dxa"/>
          </w:tcPr>
          <w:p w14:paraId="13536723"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17 (1.3%)</w:t>
            </w:r>
          </w:p>
        </w:tc>
      </w:tr>
      <w:tr w:rsidR="00CD3B66" w:rsidRPr="00F764C9" w14:paraId="5B149EA0"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32E97407" w14:textId="77777777" w:rsidR="00CD3B66" w:rsidRPr="00F764C9" w:rsidRDefault="00CD3B66" w:rsidP="00E83CB3">
            <w:pPr>
              <w:jc w:val="both"/>
              <w:rPr>
                <w:rFonts w:ascii="Arial" w:hAnsi="Arial" w:cs="Arial"/>
                <w:b w:val="0"/>
                <w:bCs w:val="0"/>
              </w:rPr>
            </w:pPr>
            <w:r w:rsidRPr="00F764C9">
              <w:rPr>
                <w:rFonts w:ascii="Arial" w:hAnsi="Arial" w:cs="Arial"/>
                <w:b w:val="0"/>
                <w:bCs w:val="0"/>
              </w:rPr>
              <w:t>Contraceptive implant</w:t>
            </w:r>
          </w:p>
        </w:tc>
        <w:tc>
          <w:tcPr>
            <w:tcW w:w="1418" w:type="dxa"/>
          </w:tcPr>
          <w:p w14:paraId="4114EEA9"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2 (0.2%)</w:t>
            </w:r>
          </w:p>
        </w:tc>
      </w:tr>
      <w:tr w:rsidR="00CD3B66" w:rsidRPr="00F764C9" w14:paraId="1D61BE3A"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608A8A79" w14:textId="67CDE596" w:rsidR="00CD3B66" w:rsidRPr="00F764C9" w:rsidRDefault="00CD3B66" w:rsidP="00E83CB3">
            <w:pPr>
              <w:jc w:val="both"/>
              <w:rPr>
                <w:rFonts w:ascii="Arial" w:hAnsi="Arial" w:cs="Arial"/>
                <w:b w:val="0"/>
                <w:bCs w:val="0"/>
              </w:rPr>
            </w:pPr>
            <w:r w:rsidRPr="00F764C9">
              <w:rPr>
                <w:rFonts w:ascii="Arial" w:hAnsi="Arial" w:cs="Arial"/>
                <w:b w:val="0"/>
                <w:bCs w:val="0"/>
              </w:rPr>
              <w:t>Contraceptive injection</w:t>
            </w:r>
          </w:p>
        </w:tc>
        <w:tc>
          <w:tcPr>
            <w:tcW w:w="1418" w:type="dxa"/>
          </w:tcPr>
          <w:p w14:paraId="3DEF38C5" w14:textId="53A2E449"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2 (0.2)</w:t>
            </w:r>
          </w:p>
        </w:tc>
      </w:tr>
      <w:tr w:rsidR="00CD3B66" w:rsidRPr="00F764C9" w14:paraId="5596D25B"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41163E63" w14:textId="77777777" w:rsidR="00CD3B66" w:rsidRPr="00F764C9" w:rsidRDefault="00CD3B66" w:rsidP="00E83CB3">
            <w:pPr>
              <w:jc w:val="both"/>
              <w:rPr>
                <w:rFonts w:ascii="Arial" w:hAnsi="Arial" w:cs="Arial"/>
                <w:b w:val="0"/>
                <w:bCs w:val="0"/>
              </w:rPr>
            </w:pPr>
            <w:r w:rsidRPr="00F764C9">
              <w:rPr>
                <w:rFonts w:ascii="Arial" w:hAnsi="Arial" w:cs="Arial"/>
                <w:b w:val="0"/>
                <w:bCs w:val="0"/>
              </w:rPr>
              <w:t>Contraceptive patch</w:t>
            </w:r>
          </w:p>
        </w:tc>
        <w:tc>
          <w:tcPr>
            <w:tcW w:w="1418" w:type="dxa"/>
          </w:tcPr>
          <w:p w14:paraId="0D6422C7"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3 (0.2%)</w:t>
            </w:r>
          </w:p>
        </w:tc>
      </w:tr>
      <w:tr w:rsidR="00CD3B66" w:rsidRPr="00F764C9" w14:paraId="3DF46E27"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1610D164" w14:textId="77777777" w:rsidR="00CD3B66" w:rsidRPr="00F764C9" w:rsidRDefault="00CD3B66" w:rsidP="00E83CB3">
            <w:pPr>
              <w:jc w:val="both"/>
              <w:rPr>
                <w:rFonts w:ascii="Arial" w:hAnsi="Arial" w:cs="Arial"/>
                <w:b w:val="0"/>
                <w:bCs w:val="0"/>
              </w:rPr>
            </w:pPr>
            <w:r w:rsidRPr="00F764C9">
              <w:rPr>
                <w:rFonts w:ascii="Arial" w:hAnsi="Arial" w:cs="Arial"/>
                <w:b w:val="0"/>
                <w:bCs w:val="0"/>
              </w:rPr>
              <w:t>Intrauterine system</w:t>
            </w:r>
          </w:p>
        </w:tc>
        <w:tc>
          <w:tcPr>
            <w:tcW w:w="1418" w:type="dxa"/>
          </w:tcPr>
          <w:p w14:paraId="1E3DA520"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47 (3.7%)</w:t>
            </w:r>
          </w:p>
        </w:tc>
      </w:tr>
      <w:tr w:rsidR="00CD3B66" w:rsidRPr="00F764C9" w14:paraId="4B3596D6"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6532AA7A" w14:textId="77777777" w:rsidR="00CD3B66" w:rsidRPr="00F764C9" w:rsidRDefault="00CD3B66" w:rsidP="00E83CB3">
            <w:pPr>
              <w:jc w:val="both"/>
              <w:rPr>
                <w:rFonts w:ascii="Arial" w:hAnsi="Arial" w:cs="Arial"/>
                <w:b w:val="0"/>
                <w:bCs w:val="0"/>
              </w:rPr>
            </w:pPr>
            <w:r w:rsidRPr="00F764C9">
              <w:rPr>
                <w:rFonts w:ascii="Arial" w:hAnsi="Arial" w:cs="Arial"/>
                <w:b w:val="0"/>
                <w:bCs w:val="0"/>
              </w:rPr>
              <w:t>Vaginal ring</w:t>
            </w:r>
          </w:p>
        </w:tc>
        <w:tc>
          <w:tcPr>
            <w:tcW w:w="1418" w:type="dxa"/>
          </w:tcPr>
          <w:p w14:paraId="63C30221"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2 (0.2%)</w:t>
            </w:r>
          </w:p>
        </w:tc>
      </w:tr>
      <w:tr w:rsidR="00CD3B66" w:rsidRPr="00F764C9" w14:paraId="492D96C5"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61E86A54" w14:textId="77777777" w:rsidR="00CD3B66" w:rsidRPr="00F764C9" w:rsidRDefault="00CD3B66" w:rsidP="00E83CB3">
            <w:pPr>
              <w:jc w:val="both"/>
              <w:rPr>
                <w:rFonts w:ascii="Arial" w:hAnsi="Arial" w:cs="Arial"/>
                <w:b w:val="0"/>
                <w:bCs w:val="0"/>
              </w:rPr>
            </w:pPr>
            <w:r w:rsidRPr="00F764C9">
              <w:rPr>
                <w:rFonts w:ascii="Arial" w:hAnsi="Arial" w:cs="Arial"/>
                <w:b w:val="0"/>
                <w:bCs w:val="0"/>
              </w:rPr>
              <w:t>Other</w:t>
            </w:r>
          </w:p>
        </w:tc>
        <w:tc>
          <w:tcPr>
            <w:tcW w:w="1418" w:type="dxa"/>
          </w:tcPr>
          <w:p w14:paraId="2C440982"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10 (0.8%)</w:t>
            </w:r>
          </w:p>
        </w:tc>
      </w:tr>
      <w:tr w:rsidR="00CD3B66" w:rsidRPr="00F764C9" w14:paraId="1B53BD17"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74FDD589" w14:textId="77777777" w:rsidR="00CD3B66" w:rsidRPr="00F764C9" w:rsidRDefault="00CD3B66" w:rsidP="00E83CB3">
            <w:pPr>
              <w:jc w:val="both"/>
              <w:rPr>
                <w:rFonts w:ascii="Arial" w:hAnsi="Arial" w:cs="Arial"/>
                <w:b w:val="0"/>
                <w:bCs w:val="0"/>
              </w:rPr>
            </w:pPr>
            <w:r w:rsidRPr="00F764C9">
              <w:rPr>
                <w:rFonts w:ascii="Arial" w:hAnsi="Arial" w:cs="Arial"/>
                <w:b w:val="0"/>
                <w:bCs w:val="0"/>
              </w:rPr>
              <w:t>Not specified</w:t>
            </w:r>
          </w:p>
        </w:tc>
        <w:tc>
          <w:tcPr>
            <w:tcW w:w="1418" w:type="dxa"/>
          </w:tcPr>
          <w:p w14:paraId="48F5DE08" w14:textId="123BF1AE" w:rsidR="00CD3B66" w:rsidRPr="00F764C9" w:rsidRDefault="00C508A7"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5</w:t>
            </w:r>
            <w:r w:rsidR="00CD3B66" w:rsidRPr="00F764C9">
              <w:rPr>
                <w:rFonts w:ascii="Arial" w:hAnsi="Arial" w:cs="Arial"/>
              </w:rPr>
              <w:t xml:space="preserve"> (</w:t>
            </w:r>
            <w:r w:rsidRPr="00F764C9">
              <w:rPr>
                <w:rFonts w:ascii="Arial" w:hAnsi="Arial" w:cs="Arial"/>
              </w:rPr>
              <w:t>0.4</w:t>
            </w:r>
            <w:r w:rsidR="00CD3B66" w:rsidRPr="00F764C9">
              <w:rPr>
                <w:rFonts w:ascii="Arial" w:hAnsi="Arial" w:cs="Arial"/>
              </w:rPr>
              <w:t>%)</w:t>
            </w:r>
          </w:p>
        </w:tc>
      </w:tr>
      <w:tr w:rsidR="00CD3B66" w:rsidRPr="00F764C9" w14:paraId="1EF8FCC1" w14:textId="77777777" w:rsidTr="006335DF">
        <w:tc>
          <w:tcPr>
            <w:cnfStyle w:val="001000000000" w:firstRow="0" w:lastRow="0" w:firstColumn="1" w:lastColumn="0" w:oddVBand="0" w:evenVBand="0" w:oddHBand="0" w:evenHBand="0" w:firstRowFirstColumn="0" w:firstRowLastColumn="0" w:lastRowFirstColumn="0" w:lastRowLastColumn="0"/>
            <w:tcW w:w="4815" w:type="dxa"/>
            <w:gridSpan w:val="2"/>
            <w:shd w:val="clear" w:color="auto" w:fill="8EAADB" w:themeFill="accent1" w:themeFillTint="99"/>
          </w:tcPr>
          <w:p w14:paraId="7689C935" w14:textId="77777777" w:rsidR="00CD3B66" w:rsidRPr="00F764C9" w:rsidRDefault="00CD3B66" w:rsidP="00E83CB3">
            <w:pPr>
              <w:jc w:val="both"/>
              <w:rPr>
                <w:rFonts w:ascii="Arial" w:hAnsi="Arial" w:cs="Arial"/>
              </w:rPr>
            </w:pPr>
            <w:r w:rsidRPr="00F764C9">
              <w:rPr>
                <w:rFonts w:ascii="Arial" w:hAnsi="Arial" w:cs="Arial"/>
                <w:i/>
                <w:iCs/>
              </w:rPr>
              <w:t>Menstrual and gynaecological diagnosis</w:t>
            </w:r>
          </w:p>
        </w:tc>
      </w:tr>
      <w:tr w:rsidR="00CD3B66" w:rsidRPr="00F764C9" w14:paraId="13552ED0"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51052D63" w14:textId="77777777" w:rsidR="00CD3B66" w:rsidRPr="00F764C9" w:rsidRDefault="00CD3B66" w:rsidP="00E83CB3">
            <w:pPr>
              <w:jc w:val="both"/>
              <w:rPr>
                <w:rFonts w:ascii="Arial" w:hAnsi="Arial" w:cs="Arial"/>
                <w:b w:val="0"/>
                <w:bCs w:val="0"/>
              </w:rPr>
            </w:pPr>
            <w:r w:rsidRPr="00F764C9">
              <w:rPr>
                <w:rFonts w:ascii="Arial" w:hAnsi="Arial" w:cs="Arial"/>
                <w:b w:val="0"/>
                <w:bCs w:val="0"/>
              </w:rPr>
              <w:t>Abnormal menstrual bleeding</w:t>
            </w:r>
          </w:p>
        </w:tc>
        <w:tc>
          <w:tcPr>
            <w:tcW w:w="1418" w:type="dxa"/>
          </w:tcPr>
          <w:p w14:paraId="4EAB0E6C"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22 (1.7%)</w:t>
            </w:r>
          </w:p>
        </w:tc>
      </w:tr>
      <w:tr w:rsidR="00CD3B66" w:rsidRPr="00F764C9" w14:paraId="6C60798D"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45F1926A" w14:textId="77777777" w:rsidR="00CD3B66" w:rsidRPr="00F764C9" w:rsidRDefault="00CD3B66" w:rsidP="00E83CB3">
            <w:pPr>
              <w:jc w:val="both"/>
              <w:rPr>
                <w:rFonts w:ascii="Arial" w:hAnsi="Arial" w:cs="Arial"/>
                <w:b w:val="0"/>
                <w:bCs w:val="0"/>
              </w:rPr>
            </w:pPr>
            <w:r w:rsidRPr="00F764C9">
              <w:rPr>
                <w:rFonts w:ascii="Arial" w:hAnsi="Arial" w:cs="Arial"/>
                <w:b w:val="0"/>
                <w:bCs w:val="0"/>
              </w:rPr>
              <w:t>Heavy menstrual bleeding</w:t>
            </w:r>
          </w:p>
        </w:tc>
        <w:tc>
          <w:tcPr>
            <w:tcW w:w="1418" w:type="dxa"/>
          </w:tcPr>
          <w:p w14:paraId="5F8AD6D4"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150 (11.8%)</w:t>
            </w:r>
          </w:p>
        </w:tc>
      </w:tr>
      <w:tr w:rsidR="00CD3B66" w:rsidRPr="00F764C9" w14:paraId="784A0168"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4C23FDB3" w14:textId="77777777" w:rsidR="00CD3B66" w:rsidRPr="00F764C9" w:rsidRDefault="00CD3B66" w:rsidP="00E83CB3">
            <w:pPr>
              <w:jc w:val="both"/>
              <w:rPr>
                <w:rFonts w:ascii="Arial" w:hAnsi="Arial" w:cs="Arial"/>
                <w:b w:val="0"/>
                <w:bCs w:val="0"/>
              </w:rPr>
            </w:pPr>
            <w:r w:rsidRPr="00F764C9">
              <w:rPr>
                <w:rFonts w:ascii="Arial" w:hAnsi="Arial" w:cs="Arial"/>
                <w:b w:val="0"/>
                <w:bCs w:val="0"/>
              </w:rPr>
              <w:t>Endometriosis</w:t>
            </w:r>
          </w:p>
        </w:tc>
        <w:tc>
          <w:tcPr>
            <w:tcW w:w="1418" w:type="dxa"/>
          </w:tcPr>
          <w:p w14:paraId="1BC89006"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60 (4.7%)</w:t>
            </w:r>
          </w:p>
        </w:tc>
      </w:tr>
      <w:tr w:rsidR="00CD3B66" w:rsidRPr="00F764C9" w14:paraId="79243C07"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4A24DAB5" w14:textId="77777777" w:rsidR="00CD3B66" w:rsidRPr="00F764C9" w:rsidRDefault="00CD3B66" w:rsidP="00E83CB3">
            <w:pPr>
              <w:jc w:val="both"/>
              <w:rPr>
                <w:rFonts w:ascii="Arial" w:hAnsi="Arial" w:cs="Arial"/>
                <w:b w:val="0"/>
                <w:bCs w:val="0"/>
              </w:rPr>
            </w:pPr>
            <w:r w:rsidRPr="00F764C9">
              <w:rPr>
                <w:rFonts w:ascii="Arial" w:hAnsi="Arial" w:cs="Arial"/>
                <w:b w:val="0"/>
                <w:bCs w:val="0"/>
              </w:rPr>
              <w:t>Polycystic ovaries</w:t>
            </w:r>
          </w:p>
        </w:tc>
        <w:tc>
          <w:tcPr>
            <w:tcW w:w="1418" w:type="dxa"/>
          </w:tcPr>
          <w:p w14:paraId="02E72933"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87 (6.8%)</w:t>
            </w:r>
          </w:p>
        </w:tc>
      </w:tr>
      <w:tr w:rsidR="00CD3B66" w:rsidRPr="00F764C9" w14:paraId="2FF09A5B"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7E1FC2B7" w14:textId="77777777" w:rsidR="00CD3B66" w:rsidRPr="00F764C9" w:rsidRDefault="00CD3B66" w:rsidP="00E83CB3">
            <w:pPr>
              <w:jc w:val="both"/>
              <w:rPr>
                <w:rFonts w:ascii="Arial" w:hAnsi="Arial" w:cs="Arial"/>
                <w:b w:val="0"/>
                <w:bCs w:val="0"/>
              </w:rPr>
            </w:pPr>
            <w:r w:rsidRPr="00F764C9">
              <w:rPr>
                <w:rFonts w:ascii="Arial" w:hAnsi="Arial" w:cs="Arial"/>
                <w:b w:val="0"/>
                <w:bCs w:val="0"/>
              </w:rPr>
              <w:t>Uterine fibroids</w:t>
            </w:r>
          </w:p>
        </w:tc>
        <w:tc>
          <w:tcPr>
            <w:tcW w:w="1418" w:type="dxa"/>
          </w:tcPr>
          <w:p w14:paraId="237DE616"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21 (2.4%)</w:t>
            </w:r>
          </w:p>
        </w:tc>
      </w:tr>
      <w:tr w:rsidR="00CD3B66" w:rsidRPr="00F764C9" w14:paraId="2593A1D2" w14:textId="77777777" w:rsidTr="006335DF">
        <w:tc>
          <w:tcPr>
            <w:cnfStyle w:val="001000000000" w:firstRow="0" w:lastRow="0" w:firstColumn="1" w:lastColumn="0" w:oddVBand="0" w:evenVBand="0" w:oddHBand="0" w:evenHBand="0" w:firstRowFirstColumn="0" w:firstRowLastColumn="0" w:lastRowFirstColumn="0" w:lastRowLastColumn="0"/>
            <w:tcW w:w="3397" w:type="dxa"/>
            <w:shd w:val="clear" w:color="auto" w:fill="B4C6E7" w:themeFill="accent1" w:themeFillTint="66"/>
          </w:tcPr>
          <w:p w14:paraId="3C5E7006" w14:textId="77777777" w:rsidR="00CD3B66" w:rsidRPr="00F764C9" w:rsidRDefault="00CD3B66" w:rsidP="00E83CB3">
            <w:pPr>
              <w:jc w:val="both"/>
              <w:rPr>
                <w:rFonts w:ascii="Arial" w:hAnsi="Arial" w:cs="Arial"/>
                <w:i/>
                <w:iCs/>
              </w:rPr>
            </w:pPr>
            <w:r w:rsidRPr="00F764C9">
              <w:rPr>
                <w:rFonts w:ascii="Arial" w:hAnsi="Arial" w:cs="Arial"/>
                <w:i/>
                <w:iCs/>
              </w:rPr>
              <w:t>Breastfeeding</w:t>
            </w:r>
          </w:p>
        </w:tc>
        <w:tc>
          <w:tcPr>
            <w:tcW w:w="1418" w:type="dxa"/>
            <w:shd w:val="clear" w:color="auto" w:fill="B4C6E7" w:themeFill="accent1" w:themeFillTint="66"/>
          </w:tcPr>
          <w:p w14:paraId="0DFC5D4A"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D3B66" w:rsidRPr="00F764C9" w14:paraId="1E8B7389"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2BB3C923" w14:textId="77777777" w:rsidR="00CD3B66" w:rsidRPr="00F764C9" w:rsidRDefault="00CD3B66" w:rsidP="00E83CB3">
            <w:pPr>
              <w:jc w:val="both"/>
              <w:rPr>
                <w:rFonts w:ascii="Arial" w:hAnsi="Arial" w:cs="Arial"/>
                <w:b w:val="0"/>
                <w:bCs w:val="0"/>
              </w:rPr>
            </w:pPr>
            <w:r w:rsidRPr="00F764C9">
              <w:rPr>
                <w:rFonts w:ascii="Arial" w:hAnsi="Arial" w:cs="Arial"/>
                <w:b w:val="0"/>
                <w:bCs w:val="0"/>
              </w:rPr>
              <w:t>No</w:t>
            </w:r>
          </w:p>
        </w:tc>
        <w:tc>
          <w:tcPr>
            <w:tcW w:w="1418" w:type="dxa"/>
          </w:tcPr>
          <w:p w14:paraId="2B380102"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1179 (92.5%)</w:t>
            </w:r>
          </w:p>
        </w:tc>
      </w:tr>
      <w:tr w:rsidR="00CD3B66" w:rsidRPr="00F764C9" w14:paraId="68680A0A"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66DBFF05" w14:textId="77777777" w:rsidR="00CD3B66" w:rsidRPr="00F764C9" w:rsidRDefault="00CD3B66" w:rsidP="00E83CB3">
            <w:pPr>
              <w:jc w:val="both"/>
              <w:rPr>
                <w:rFonts w:ascii="Arial" w:hAnsi="Arial" w:cs="Arial"/>
                <w:b w:val="0"/>
                <w:bCs w:val="0"/>
              </w:rPr>
            </w:pPr>
            <w:r w:rsidRPr="00F764C9">
              <w:rPr>
                <w:rFonts w:ascii="Arial" w:hAnsi="Arial" w:cs="Arial"/>
                <w:b w:val="0"/>
                <w:bCs w:val="0"/>
              </w:rPr>
              <w:t>Yes</w:t>
            </w:r>
          </w:p>
        </w:tc>
        <w:tc>
          <w:tcPr>
            <w:tcW w:w="1418" w:type="dxa"/>
          </w:tcPr>
          <w:p w14:paraId="20D3621F"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89 (7.1%)</w:t>
            </w:r>
          </w:p>
        </w:tc>
      </w:tr>
      <w:tr w:rsidR="00CD3B66" w:rsidRPr="00F764C9" w14:paraId="0555105B"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7A56061C" w14:textId="77777777" w:rsidR="00CD3B66" w:rsidRPr="00F764C9" w:rsidRDefault="00CD3B66" w:rsidP="00E83CB3">
            <w:pPr>
              <w:jc w:val="both"/>
              <w:rPr>
                <w:rFonts w:ascii="Arial" w:hAnsi="Arial" w:cs="Arial"/>
                <w:b w:val="0"/>
                <w:bCs w:val="0"/>
              </w:rPr>
            </w:pPr>
            <w:r w:rsidRPr="00F764C9">
              <w:rPr>
                <w:rFonts w:ascii="Arial" w:hAnsi="Arial" w:cs="Arial"/>
                <w:b w:val="0"/>
                <w:bCs w:val="0"/>
              </w:rPr>
              <w:t>Not specified</w:t>
            </w:r>
          </w:p>
        </w:tc>
        <w:tc>
          <w:tcPr>
            <w:tcW w:w="1418" w:type="dxa"/>
          </w:tcPr>
          <w:p w14:paraId="51355044"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5 (0.4%)</w:t>
            </w:r>
          </w:p>
        </w:tc>
      </w:tr>
      <w:tr w:rsidR="00CD3B66" w:rsidRPr="00F764C9" w14:paraId="1199BCBE" w14:textId="77777777" w:rsidTr="006335DF">
        <w:tc>
          <w:tcPr>
            <w:cnfStyle w:val="001000000000" w:firstRow="0" w:lastRow="0" w:firstColumn="1" w:lastColumn="0" w:oddVBand="0" w:evenVBand="0" w:oddHBand="0" w:evenHBand="0" w:firstRowFirstColumn="0" w:firstRowLastColumn="0" w:lastRowFirstColumn="0" w:lastRowLastColumn="0"/>
            <w:tcW w:w="3397" w:type="dxa"/>
            <w:shd w:val="clear" w:color="auto" w:fill="B4C6E7" w:themeFill="accent1" w:themeFillTint="66"/>
          </w:tcPr>
          <w:p w14:paraId="2B6129C2" w14:textId="77777777" w:rsidR="00CD3B66" w:rsidRPr="00F764C9" w:rsidRDefault="00CD3B66" w:rsidP="00E83CB3">
            <w:pPr>
              <w:jc w:val="both"/>
              <w:rPr>
                <w:rFonts w:ascii="Arial" w:hAnsi="Arial" w:cs="Arial"/>
                <w:i/>
                <w:iCs/>
              </w:rPr>
            </w:pPr>
            <w:r w:rsidRPr="00F764C9">
              <w:rPr>
                <w:rFonts w:ascii="Arial" w:hAnsi="Arial" w:cs="Arial"/>
                <w:i/>
                <w:iCs/>
              </w:rPr>
              <w:t>Previous pregnancies</w:t>
            </w:r>
          </w:p>
        </w:tc>
        <w:tc>
          <w:tcPr>
            <w:tcW w:w="1418" w:type="dxa"/>
            <w:shd w:val="clear" w:color="auto" w:fill="B4C6E7" w:themeFill="accent1" w:themeFillTint="66"/>
          </w:tcPr>
          <w:p w14:paraId="498BC1E1"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D3B66" w:rsidRPr="00F764C9" w14:paraId="01E47AD1"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51EA7CFE" w14:textId="77777777" w:rsidR="00CD3B66" w:rsidRPr="00F764C9" w:rsidRDefault="00CD3B66" w:rsidP="00E83CB3">
            <w:pPr>
              <w:jc w:val="both"/>
              <w:rPr>
                <w:rFonts w:ascii="Arial" w:hAnsi="Arial" w:cs="Arial"/>
                <w:b w:val="0"/>
                <w:bCs w:val="0"/>
              </w:rPr>
            </w:pPr>
            <w:r w:rsidRPr="00F764C9">
              <w:rPr>
                <w:rFonts w:ascii="Arial" w:hAnsi="Arial" w:cs="Arial"/>
                <w:b w:val="0"/>
                <w:bCs w:val="0"/>
              </w:rPr>
              <w:t>0</w:t>
            </w:r>
          </w:p>
        </w:tc>
        <w:tc>
          <w:tcPr>
            <w:tcW w:w="1418" w:type="dxa"/>
          </w:tcPr>
          <w:p w14:paraId="2BCA106A"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572 (45%)</w:t>
            </w:r>
          </w:p>
        </w:tc>
      </w:tr>
      <w:tr w:rsidR="00CD3B66" w:rsidRPr="00F764C9" w14:paraId="42E348E5"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35486244" w14:textId="77777777" w:rsidR="00CD3B66" w:rsidRPr="00F764C9" w:rsidRDefault="00CD3B66" w:rsidP="00E83CB3">
            <w:pPr>
              <w:jc w:val="both"/>
              <w:rPr>
                <w:rFonts w:ascii="Arial" w:hAnsi="Arial" w:cs="Arial"/>
                <w:b w:val="0"/>
                <w:bCs w:val="0"/>
              </w:rPr>
            </w:pPr>
            <w:r w:rsidRPr="00F764C9">
              <w:rPr>
                <w:rFonts w:ascii="Arial" w:hAnsi="Arial" w:cs="Arial"/>
                <w:b w:val="0"/>
                <w:bCs w:val="0"/>
              </w:rPr>
              <w:t>1</w:t>
            </w:r>
          </w:p>
        </w:tc>
        <w:tc>
          <w:tcPr>
            <w:tcW w:w="1418" w:type="dxa"/>
          </w:tcPr>
          <w:p w14:paraId="34EEA957"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219 (17.2%)</w:t>
            </w:r>
          </w:p>
        </w:tc>
      </w:tr>
      <w:tr w:rsidR="00CD3B66" w:rsidRPr="00F764C9" w14:paraId="56F6970B"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24704E50" w14:textId="77777777" w:rsidR="00CD3B66" w:rsidRPr="00F764C9" w:rsidRDefault="00CD3B66" w:rsidP="00E83CB3">
            <w:pPr>
              <w:jc w:val="both"/>
              <w:rPr>
                <w:rFonts w:ascii="Arial" w:hAnsi="Arial" w:cs="Arial"/>
                <w:b w:val="0"/>
                <w:bCs w:val="0"/>
              </w:rPr>
            </w:pPr>
            <w:r w:rsidRPr="00F764C9">
              <w:rPr>
                <w:rFonts w:ascii="Arial" w:hAnsi="Arial" w:cs="Arial"/>
                <w:b w:val="0"/>
                <w:bCs w:val="0"/>
              </w:rPr>
              <w:t>2</w:t>
            </w:r>
          </w:p>
        </w:tc>
        <w:tc>
          <w:tcPr>
            <w:tcW w:w="1418" w:type="dxa"/>
          </w:tcPr>
          <w:p w14:paraId="037913BB"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220 (17.3)</w:t>
            </w:r>
          </w:p>
        </w:tc>
      </w:tr>
      <w:tr w:rsidR="00CD3B66" w:rsidRPr="00F764C9" w14:paraId="3C983C4E"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4D0D5DFB" w14:textId="77777777" w:rsidR="00CD3B66" w:rsidRPr="00F764C9" w:rsidRDefault="00CD3B66" w:rsidP="00E83CB3">
            <w:pPr>
              <w:jc w:val="both"/>
              <w:rPr>
                <w:rFonts w:ascii="Arial" w:hAnsi="Arial" w:cs="Arial"/>
                <w:b w:val="0"/>
                <w:bCs w:val="0"/>
              </w:rPr>
            </w:pPr>
            <w:r w:rsidRPr="00F764C9">
              <w:rPr>
                <w:rFonts w:ascii="Arial" w:hAnsi="Arial" w:cs="Arial"/>
                <w:b w:val="0"/>
                <w:bCs w:val="0"/>
              </w:rPr>
              <w:t>3 or more</w:t>
            </w:r>
          </w:p>
        </w:tc>
        <w:tc>
          <w:tcPr>
            <w:tcW w:w="1418" w:type="dxa"/>
          </w:tcPr>
          <w:p w14:paraId="14DB4FFC"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252 (19.8)</w:t>
            </w:r>
          </w:p>
        </w:tc>
      </w:tr>
      <w:tr w:rsidR="00CD3B66" w:rsidRPr="00F764C9" w14:paraId="75A92F30"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374E5A4C" w14:textId="77777777" w:rsidR="00CD3B66" w:rsidRPr="00F764C9" w:rsidRDefault="00CD3B66" w:rsidP="00E83CB3">
            <w:pPr>
              <w:jc w:val="both"/>
              <w:rPr>
                <w:rFonts w:ascii="Arial" w:hAnsi="Arial" w:cs="Arial"/>
                <w:b w:val="0"/>
                <w:bCs w:val="0"/>
              </w:rPr>
            </w:pPr>
            <w:r w:rsidRPr="00F764C9">
              <w:rPr>
                <w:rFonts w:ascii="Arial" w:hAnsi="Arial" w:cs="Arial"/>
                <w:b w:val="0"/>
                <w:bCs w:val="0"/>
              </w:rPr>
              <w:t>Not specified</w:t>
            </w:r>
          </w:p>
        </w:tc>
        <w:tc>
          <w:tcPr>
            <w:tcW w:w="1418" w:type="dxa"/>
          </w:tcPr>
          <w:p w14:paraId="53EAE6E8"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10 (0.8%)</w:t>
            </w:r>
          </w:p>
        </w:tc>
      </w:tr>
      <w:tr w:rsidR="00CD3B66" w:rsidRPr="00F764C9" w14:paraId="25BC0877" w14:textId="77777777" w:rsidTr="006335DF">
        <w:tc>
          <w:tcPr>
            <w:cnfStyle w:val="001000000000" w:firstRow="0" w:lastRow="0" w:firstColumn="1" w:lastColumn="0" w:oddVBand="0" w:evenVBand="0" w:oddHBand="0" w:evenHBand="0" w:firstRowFirstColumn="0" w:firstRowLastColumn="0" w:lastRowFirstColumn="0" w:lastRowLastColumn="0"/>
            <w:tcW w:w="3397" w:type="dxa"/>
            <w:shd w:val="clear" w:color="auto" w:fill="B4C6E7" w:themeFill="accent1" w:themeFillTint="66"/>
          </w:tcPr>
          <w:p w14:paraId="76844DA1" w14:textId="77777777" w:rsidR="00CD3B66" w:rsidRPr="00F764C9" w:rsidRDefault="00CD3B66" w:rsidP="00E83CB3">
            <w:pPr>
              <w:jc w:val="both"/>
              <w:rPr>
                <w:rFonts w:ascii="Arial" w:hAnsi="Arial" w:cs="Arial"/>
                <w:i/>
                <w:iCs/>
              </w:rPr>
            </w:pPr>
            <w:r w:rsidRPr="00F764C9">
              <w:rPr>
                <w:rFonts w:ascii="Arial" w:hAnsi="Arial" w:cs="Arial"/>
                <w:i/>
                <w:iCs/>
              </w:rPr>
              <w:t>Vaccine</w:t>
            </w:r>
          </w:p>
        </w:tc>
        <w:tc>
          <w:tcPr>
            <w:tcW w:w="1418" w:type="dxa"/>
            <w:shd w:val="clear" w:color="auto" w:fill="B4C6E7" w:themeFill="accent1" w:themeFillTint="66"/>
          </w:tcPr>
          <w:p w14:paraId="4CA309CE"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D3B66" w:rsidRPr="00F764C9" w14:paraId="7D8C752D"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399D94E6" w14:textId="77777777" w:rsidR="00CD3B66" w:rsidRPr="00F764C9" w:rsidRDefault="00CD3B66" w:rsidP="00E83CB3">
            <w:pPr>
              <w:jc w:val="both"/>
              <w:rPr>
                <w:rFonts w:ascii="Arial" w:hAnsi="Arial" w:cs="Arial"/>
                <w:b w:val="0"/>
                <w:bCs w:val="0"/>
              </w:rPr>
            </w:pPr>
            <w:r w:rsidRPr="00F764C9">
              <w:rPr>
                <w:rFonts w:ascii="Arial" w:hAnsi="Arial" w:cs="Arial"/>
                <w:b w:val="0"/>
                <w:bCs w:val="0"/>
              </w:rPr>
              <w:t>AstraZeneca</w:t>
            </w:r>
          </w:p>
        </w:tc>
        <w:tc>
          <w:tcPr>
            <w:tcW w:w="1418" w:type="dxa"/>
          </w:tcPr>
          <w:p w14:paraId="6D6602F5"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346 (27.1%)</w:t>
            </w:r>
          </w:p>
        </w:tc>
      </w:tr>
      <w:tr w:rsidR="00CD3B66" w:rsidRPr="00F764C9" w14:paraId="7BDB5440"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10782913" w14:textId="77777777" w:rsidR="00CD3B66" w:rsidRPr="00F764C9" w:rsidRDefault="00CD3B66" w:rsidP="00E83CB3">
            <w:pPr>
              <w:jc w:val="both"/>
              <w:rPr>
                <w:rFonts w:ascii="Arial" w:hAnsi="Arial" w:cs="Arial"/>
                <w:b w:val="0"/>
                <w:bCs w:val="0"/>
              </w:rPr>
            </w:pPr>
            <w:r w:rsidRPr="00F764C9">
              <w:rPr>
                <w:rFonts w:ascii="Arial" w:hAnsi="Arial" w:cs="Arial"/>
                <w:b w:val="0"/>
                <w:bCs w:val="0"/>
              </w:rPr>
              <w:t>Janssen</w:t>
            </w:r>
          </w:p>
        </w:tc>
        <w:tc>
          <w:tcPr>
            <w:tcW w:w="1418" w:type="dxa"/>
          </w:tcPr>
          <w:p w14:paraId="6CCC7CC4"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8 (0.6%)</w:t>
            </w:r>
          </w:p>
        </w:tc>
      </w:tr>
      <w:tr w:rsidR="00CD3B66" w:rsidRPr="00F764C9" w14:paraId="758A79A0"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283C0E91" w14:textId="77777777" w:rsidR="00CD3B66" w:rsidRPr="00F764C9" w:rsidRDefault="00CD3B66" w:rsidP="00E83CB3">
            <w:pPr>
              <w:jc w:val="both"/>
              <w:rPr>
                <w:rFonts w:ascii="Arial" w:hAnsi="Arial" w:cs="Arial"/>
                <w:b w:val="0"/>
                <w:bCs w:val="0"/>
              </w:rPr>
            </w:pPr>
            <w:r w:rsidRPr="00F764C9">
              <w:rPr>
                <w:rFonts w:ascii="Arial" w:hAnsi="Arial" w:cs="Arial"/>
                <w:b w:val="0"/>
                <w:bCs w:val="0"/>
              </w:rPr>
              <w:t>Moderna</w:t>
            </w:r>
          </w:p>
        </w:tc>
        <w:tc>
          <w:tcPr>
            <w:tcW w:w="1418" w:type="dxa"/>
          </w:tcPr>
          <w:p w14:paraId="23079922"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136 (10.7%)</w:t>
            </w:r>
          </w:p>
        </w:tc>
      </w:tr>
      <w:tr w:rsidR="00CD3B66" w:rsidRPr="00F764C9" w14:paraId="3FF152BA" w14:textId="77777777" w:rsidTr="006335DF">
        <w:tc>
          <w:tcPr>
            <w:cnfStyle w:val="001000000000" w:firstRow="0" w:lastRow="0" w:firstColumn="1" w:lastColumn="0" w:oddVBand="0" w:evenVBand="0" w:oddHBand="0" w:evenHBand="0" w:firstRowFirstColumn="0" w:firstRowLastColumn="0" w:lastRowFirstColumn="0" w:lastRowLastColumn="0"/>
            <w:tcW w:w="3397" w:type="dxa"/>
          </w:tcPr>
          <w:p w14:paraId="5C68EBE1" w14:textId="77777777" w:rsidR="00CD3B66" w:rsidRPr="00F764C9" w:rsidRDefault="00CD3B66" w:rsidP="00E83CB3">
            <w:pPr>
              <w:jc w:val="both"/>
              <w:rPr>
                <w:rFonts w:ascii="Arial" w:hAnsi="Arial" w:cs="Arial"/>
                <w:b w:val="0"/>
                <w:bCs w:val="0"/>
              </w:rPr>
            </w:pPr>
            <w:r w:rsidRPr="00F764C9">
              <w:rPr>
                <w:rFonts w:ascii="Arial" w:hAnsi="Arial" w:cs="Arial"/>
                <w:b w:val="0"/>
                <w:bCs w:val="0"/>
              </w:rPr>
              <w:t>Pfizer</w:t>
            </w:r>
          </w:p>
        </w:tc>
        <w:tc>
          <w:tcPr>
            <w:tcW w:w="1418" w:type="dxa"/>
          </w:tcPr>
          <w:p w14:paraId="402E0136" w14:textId="77777777" w:rsidR="00CD3B66" w:rsidRPr="00F764C9" w:rsidRDefault="00CD3B66" w:rsidP="00E83CB3">
            <w:pPr>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F764C9">
              <w:rPr>
                <w:rFonts w:ascii="Arial" w:hAnsi="Arial" w:cs="Arial"/>
              </w:rPr>
              <w:t>778 (61%)</w:t>
            </w:r>
          </w:p>
        </w:tc>
      </w:tr>
      <w:tr w:rsidR="00CD3B66" w:rsidRPr="00F764C9" w14:paraId="7D9C0771" w14:textId="77777777" w:rsidTr="0063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27FF88CE" w14:textId="77777777" w:rsidR="00CD3B66" w:rsidRPr="00F764C9" w:rsidRDefault="00CD3B66" w:rsidP="00E83CB3">
            <w:pPr>
              <w:jc w:val="both"/>
              <w:rPr>
                <w:rFonts w:ascii="Arial" w:hAnsi="Arial" w:cs="Arial"/>
                <w:b w:val="0"/>
                <w:bCs w:val="0"/>
              </w:rPr>
            </w:pPr>
            <w:r w:rsidRPr="00F764C9">
              <w:rPr>
                <w:rFonts w:ascii="Arial" w:hAnsi="Arial" w:cs="Arial"/>
                <w:b w:val="0"/>
                <w:bCs w:val="0"/>
              </w:rPr>
              <w:t>Not specified</w:t>
            </w:r>
          </w:p>
        </w:tc>
        <w:tc>
          <w:tcPr>
            <w:tcW w:w="1418" w:type="dxa"/>
          </w:tcPr>
          <w:p w14:paraId="11301B82" w14:textId="77777777" w:rsidR="00CD3B66" w:rsidRPr="00F764C9" w:rsidRDefault="00CD3B66" w:rsidP="00E83CB3">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F764C9">
              <w:rPr>
                <w:rFonts w:ascii="Arial" w:hAnsi="Arial" w:cs="Arial"/>
              </w:rPr>
              <w:t>5 (0.4%)</w:t>
            </w:r>
          </w:p>
        </w:tc>
      </w:tr>
    </w:tbl>
    <w:p w14:paraId="1580F715" w14:textId="12483022" w:rsidR="00CD3B66" w:rsidRPr="00F764C9" w:rsidRDefault="00CD3B66" w:rsidP="00E83CB3">
      <w:pPr>
        <w:spacing w:after="0" w:line="276" w:lineRule="auto"/>
        <w:jc w:val="both"/>
        <w:rPr>
          <w:rFonts w:ascii="Arial" w:hAnsi="Arial" w:cs="Arial"/>
          <w:b/>
          <w:bCs/>
        </w:rPr>
      </w:pPr>
    </w:p>
    <w:p w14:paraId="766B4B2F" w14:textId="6E626A5B" w:rsidR="00964BC2" w:rsidRPr="00F764C9" w:rsidRDefault="00964BC2" w:rsidP="00E83CB3">
      <w:pPr>
        <w:spacing w:after="0" w:line="276" w:lineRule="auto"/>
        <w:jc w:val="both"/>
        <w:rPr>
          <w:rFonts w:ascii="Arial" w:hAnsi="Arial" w:cs="Arial"/>
        </w:rPr>
      </w:pPr>
      <w:r w:rsidRPr="00F764C9">
        <w:rPr>
          <w:rFonts w:ascii="Arial" w:hAnsi="Arial" w:cs="Arial"/>
          <w:b/>
          <w:bCs/>
        </w:rPr>
        <w:t xml:space="preserve">Table 1. </w:t>
      </w:r>
      <w:r w:rsidRPr="00F764C9">
        <w:rPr>
          <w:rFonts w:ascii="Arial" w:hAnsi="Arial" w:cs="Arial"/>
        </w:rPr>
        <w:t>Participant characteristics</w:t>
      </w:r>
    </w:p>
    <w:p w14:paraId="50972902" w14:textId="520D069F" w:rsidR="00964BC2" w:rsidRPr="00F764C9" w:rsidRDefault="00964BC2" w:rsidP="00E83CB3">
      <w:pPr>
        <w:spacing w:after="0" w:line="276" w:lineRule="auto"/>
        <w:jc w:val="both"/>
        <w:rPr>
          <w:rFonts w:ascii="Arial" w:hAnsi="Arial" w:cs="Arial"/>
        </w:rPr>
      </w:pPr>
    </w:p>
    <w:p w14:paraId="58C3D3E2" w14:textId="6BA461EF" w:rsidR="00964BC2" w:rsidRPr="00F764C9" w:rsidRDefault="00964BC2" w:rsidP="00E83CB3">
      <w:pPr>
        <w:jc w:val="both"/>
        <w:rPr>
          <w:rFonts w:ascii="Arial" w:hAnsi="Arial" w:cs="Arial"/>
        </w:rPr>
      </w:pPr>
      <w:r w:rsidRPr="00F764C9">
        <w:rPr>
          <w:rFonts w:ascii="Arial" w:hAnsi="Arial" w:cs="Arial"/>
        </w:rPr>
        <w:br w:type="page"/>
      </w:r>
    </w:p>
    <w:p w14:paraId="2BADF362" w14:textId="79A5AB97" w:rsidR="00A0186C" w:rsidRPr="00F764C9" w:rsidRDefault="00A0186C" w:rsidP="00E83CB3">
      <w:pPr>
        <w:spacing w:after="0" w:line="276" w:lineRule="auto"/>
        <w:jc w:val="both"/>
        <w:rPr>
          <w:rFonts w:ascii="Arial" w:hAnsi="Arial" w:cs="Arial"/>
          <w:b/>
          <w:bCs/>
        </w:rPr>
      </w:pPr>
      <w:r w:rsidRPr="00F764C9">
        <w:rPr>
          <w:rFonts w:ascii="Arial" w:hAnsi="Arial" w:cs="Arial"/>
          <w:b/>
          <w:bCs/>
        </w:rPr>
        <w:lastRenderedPageBreak/>
        <w:t>Figure legends</w:t>
      </w:r>
    </w:p>
    <w:p w14:paraId="02FF000C" w14:textId="4FD0FD51" w:rsidR="0099070E" w:rsidRPr="00F764C9" w:rsidRDefault="0099070E" w:rsidP="00E83CB3">
      <w:pPr>
        <w:spacing w:after="0" w:line="276" w:lineRule="auto"/>
        <w:jc w:val="both"/>
        <w:rPr>
          <w:rFonts w:ascii="Arial" w:hAnsi="Arial" w:cs="Arial"/>
        </w:rPr>
      </w:pPr>
    </w:p>
    <w:p w14:paraId="1F92DE79" w14:textId="71174D6B" w:rsidR="0099070E" w:rsidRPr="00F764C9" w:rsidRDefault="0099070E" w:rsidP="00E83CB3">
      <w:pPr>
        <w:spacing w:after="0" w:line="276" w:lineRule="auto"/>
        <w:jc w:val="both"/>
        <w:rPr>
          <w:rFonts w:ascii="Arial" w:hAnsi="Arial" w:cs="Arial"/>
        </w:rPr>
      </w:pPr>
      <w:r w:rsidRPr="00F764C9">
        <w:rPr>
          <w:rFonts w:ascii="Arial" w:hAnsi="Arial" w:cs="Arial"/>
          <w:b/>
          <w:bCs/>
        </w:rPr>
        <w:t xml:space="preserve">Figure 1. </w:t>
      </w:r>
      <w:r w:rsidRPr="00F764C9">
        <w:rPr>
          <w:rFonts w:ascii="Arial" w:hAnsi="Arial" w:cs="Arial"/>
        </w:rPr>
        <w:t xml:space="preserve">A. The proportional area charts depict the proportion of respondents who reported a change to the timing of the period following vaccination broken down by whether the respondent was spontaneously cycling or taking hormonal contraception. B. The proportional area charts depict the proportion of respondents who reported a change to the flow of the period following vaccination broken down by whether the respondent was spontaneously cycling or taking hormonal contraception. </w:t>
      </w:r>
    </w:p>
    <w:p w14:paraId="76BB80B7" w14:textId="1245ECD6" w:rsidR="00D74BF9" w:rsidRPr="00F764C9" w:rsidRDefault="00D74BF9" w:rsidP="00E83CB3">
      <w:pPr>
        <w:spacing w:after="0" w:line="276" w:lineRule="auto"/>
        <w:jc w:val="both"/>
        <w:rPr>
          <w:rFonts w:ascii="Arial" w:hAnsi="Arial" w:cs="Arial"/>
        </w:rPr>
      </w:pPr>
    </w:p>
    <w:p w14:paraId="7F2BD0CB" w14:textId="39D80949" w:rsidR="00BC3ED9" w:rsidRPr="00F764C9" w:rsidRDefault="00BC3ED9" w:rsidP="00E83CB3">
      <w:pPr>
        <w:jc w:val="both"/>
        <w:rPr>
          <w:rFonts w:ascii="Arial" w:hAnsi="Arial" w:cs="Arial"/>
        </w:rPr>
      </w:pPr>
      <w:r w:rsidRPr="00F764C9">
        <w:rPr>
          <w:rFonts w:ascii="Arial" w:hAnsi="Arial" w:cs="Arial"/>
          <w:b/>
          <w:bCs/>
        </w:rPr>
        <w:t xml:space="preserve">Figure </w:t>
      </w:r>
      <w:r w:rsidR="0099070E" w:rsidRPr="00F764C9">
        <w:rPr>
          <w:rFonts w:ascii="Arial" w:hAnsi="Arial" w:cs="Arial"/>
          <w:b/>
          <w:bCs/>
        </w:rPr>
        <w:t>2</w:t>
      </w:r>
      <w:r w:rsidRPr="00F764C9">
        <w:rPr>
          <w:rFonts w:ascii="Arial" w:hAnsi="Arial" w:cs="Arial"/>
          <w:b/>
          <w:bCs/>
        </w:rPr>
        <w:t xml:space="preserve">. </w:t>
      </w:r>
      <w:r w:rsidRPr="00F764C9">
        <w:rPr>
          <w:rFonts w:ascii="Arial" w:hAnsi="Arial" w:cs="Arial"/>
        </w:rPr>
        <w:t xml:space="preserve">A. The proportional area charts depict the proportion of respondents who reported a change to the timing of the period following vaccination, broken down by the day in the cycle on which they received the vaccine. The predicted day of ovulation is defined as “0” with days before ovulation indicated by negative values, and days after ovulation indicated by positive values. B. The proportional area charts depict the proportion of respondents who reported a change to the flow of the period following vaccination, broken down by the day in the cycle on which they received the vaccine. </w:t>
      </w:r>
    </w:p>
    <w:p w14:paraId="5653732B" w14:textId="5A760CC4" w:rsidR="008D4D1D" w:rsidRPr="00F764C9" w:rsidRDefault="008D4D1D" w:rsidP="00E83CB3">
      <w:pPr>
        <w:spacing w:after="0" w:line="276" w:lineRule="auto"/>
        <w:jc w:val="both"/>
        <w:rPr>
          <w:rFonts w:ascii="Arial" w:hAnsi="Arial" w:cs="Arial"/>
        </w:rPr>
      </w:pPr>
    </w:p>
    <w:p w14:paraId="40A042BC" w14:textId="4A02EA3A" w:rsidR="008D4D1D" w:rsidRPr="00F764C9" w:rsidRDefault="0099070E" w:rsidP="00E83CB3">
      <w:pPr>
        <w:jc w:val="both"/>
        <w:rPr>
          <w:rFonts w:ascii="Arial" w:hAnsi="Arial" w:cs="Arial"/>
          <w:b/>
          <w:bCs/>
        </w:rPr>
      </w:pPr>
      <w:r w:rsidRPr="00F764C9">
        <w:rPr>
          <w:rFonts w:ascii="Arial" w:hAnsi="Arial" w:cs="Arial"/>
          <w:b/>
          <w:bCs/>
        </w:rPr>
        <w:t xml:space="preserve">Figure 3. </w:t>
      </w:r>
      <w:r w:rsidR="008D4D1D" w:rsidRPr="00F764C9">
        <w:rPr>
          <w:rFonts w:ascii="Arial" w:hAnsi="Arial" w:cs="Arial"/>
        </w:rPr>
        <w:t xml:space="preserve">A. The proportional area charts depict the proportion of respondents who reported a change to the timing of the period following vaccination, broken down by whether the respondent reported having a pre-existing diagnosis of any menstrual or gynaecological condition. B. The proportional area charts depict the proportion of respondents who reported a change to the flow of the period following vaccination, broken down by whether the respondent reported having a pre-existing diagnosis of any menstrual or gynaecological condition. </w:t>
      </w:r>
    </w:p>
    <w:sectPr w:rsidR="008D4D1D" w:rsidRPr="00F764C9" w:rsidSect="00076665">
      <w:footerReference w:type="default" r:id="rId1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77600" w14:textId="77777777" w:rsidR="00ED3A30" w:rsidRDefault="00ED3A30" w:rsidP="00CD3B66">
      <w:pPr>
        <w:spacing w:after="0" w:line="240" w:lineRule="auto"/>
      </w:pPr>
      <w:r>
        <w:separator/>
      </w:r>
    </w:p>
  </w:endnote>
  <w:endnote w:type="continuationSeparator" w:id="0">
    <w:p w14:paraId="12FB3C4D" w14:textId="77777777" w:rsidR="00ED3A30" w:rsidRDefault="00ED3A30" w:rsidP="00CD3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1296779"/>
      <w:docPartObj>
        <w:docPartGallery w:val="Page Numbers (Bottom of Page)"/>
        <w:docPartUnique/>
      </w:docPartObj>
    </w:sdtPr>
    <w:sdtEndPr>
      <w:rPr>
        <w:noProof/>
      </w:rPr>
    </w:sdtEndPr>
    <w:sdtContent>
      <w:p w14:paraId="3F554E1D" w14:textId="63CF82A0" w:rsidR="00CD3B66" w:rsidRDefault="00CD3B6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63F4D4C" w14:textId="77777777" w:rsidR="00CD3B66" w:rsidRDefault="00CD3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93AD7" w14:textId="77777777" w:rsidR="00ED3A30" w:rsidRDefault="00ED3A30" w:rsidP="00CD3B66">
      <w:pPr>
        <w:spacing w:after="0" w:line="240" w:lineRule="auto"/>
      </w:pPr>
      <w:r>
        <w:separator/>
      </w:r>
    </w:p>
  </w:footnote>
  <w:footnote w:type="continuationSeparator" w:id="0">
    <w:p w14:paraId="4FA84C46" w14:textId="77777777" w:rsidR="00ED3A30" w:rsidRDefault="00ED3A30" w:rsidP="00CD3B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D79"/>
    <w:rsid w:val="00000DDA"/>
    <w:rsid w:val="00011474"/>
    <w:rsid w:val="00016505"/>
    <w:rsid w:val="000207EC"/>
    <w:rsid w:val="00030B82"/>
    <w:rsid w:val="00060604"/>
    <w:rsid w:val="00061007"/>
    <w:rsid w:val="00062DD9"/>
    <w:rsid w:val="00063C46"/>
    <w:rsid w:val="00065852"/>
    <w:rsid w:val="000744F8"/>
    <w:rsid w:val="00075A77"/>
    <w:rsid w:val="00076665"/>
    <w:rsid w:val="00077A05"/>
    <w:rsid w:val="000871BC"/>
    <w:rsid w:val="000B7F4D"/>
    <w:rsid w:val="000C03BD"/>
    <w:rsid w:val="000D1D6C"/>
    <w:rsid w:val="000D3370"/>
    <w:rsid w:val="000E58E2"/>
    <w:rsid w:val="000E7079"/>
    <w:rsid w:val="000F6554"/>
    <w:rsid w:val="00102383"/>
    <w:rsid w:val="001040AC"/>
    <w:rsid w:val="00115DDB"/>
    <w:rsid w:val="0011630A"/>
    <w:rsid w:val="00121659"/>
    <w:rsid w:val="001335D1"/>
    <w:rsid w:val="001455B5"/>
    <w:rsid w:val="00150B06"/>
    <w:rsid w:val="001524C5"/>
    <w:rsid w:val="00184D75"/>
    <w:rsid w:val="001924A9"/>
    <w:rsid w:val="001924D5"/>
    <w:rsid w:val="00195603"/>
    <w:rsid w:val="0019635E"/>
    <w:rsid w:val="00196858"/>
    <w:rsid w:val="001973BF"/>
    <w:rsid w:val="001A1987"/>
    <w:rsid w:val="001A4124"/>
    <w:rsid w:val="001B0720"/>
    <w:rsid w:val="001B3333"/>
    <w:rsid w:val="001C5D35"/>
    <w:rsid w:val="001C5F3D"/>
    <w:rsid w:val="001C673E"/>
    <w:rsid w:val="001D56D2"/>
    <w:rsid w:val="001E5617"/>
    <w:rsid w:val="00203E4D"/>
    <w:rsid w:val="00204B60"/>
    <w:rsid w:val="0021048D"/>
    <w:rsid w:val="002176DF"/>
    <w:rsid w:val="00223BC5"/>
    <w:rsid w:val="00223F84"/>
    <w:rsid w:val="00225498"/>
    <w:rsid w:val="0024096D"/>
    <w:rsid w:val="00242C8F"/>
    <w:rsid w:val="002470C5"/>
    <w:rsid w:val="00260C60"/>
    <w:rsid w:val="00264754"/>
    <w:rsid w:val="002721F5"/>
    <w:rsid w:val="00273BC2"/>
    <w:rsid w:val="00274FD7"/>
    <w:rsid w:val="00285F39"/>
    <w:rsid w:val="0029505F"/>
    <w:rsid w:val="00297FFB"/>
    <w:rsid w:val="002C6252"/>
    <w:rsid w:val="002C6582"/>
    <w:rsid w:val="002D2A81"/>
    <w:rsid w:val="002D6397"/>
    <w:rsid w:val="002F23F3"/>
    <w:rsid w:val="002F5F2E"/>
    <w:rsid w:val="003014B5"/>
    <w:rsid w:val="00305D30"/>
    <w:rsid w:val="00316F45"/>
    <w:rsid w:val="00323651"/>
    <w:rsid w:val="00327B54"/>
    <w:rsid w:val="00347756"/>
    <w:rsid w:val="00353228"/>
    <w:rsid w:val="00361F37"/>
    <w:rsid w:val="0037432E"/>
    <w:rsid w:val="003801C3"/>
    <w:rsid w:val="003939E7"/>
    <w:rsid w:val="003A49C6"/>
    <w:rsid w:val="003B4519"/>
    <w:rsid w:val="003C3845"/>
    <w:rsid w:val="003D503F"/>
    <w:rsid w:val="003E55F7"/>
    <w:rsid w:val="003F3044"/>
    <w:rsid w:val="003F77DC"/>
    <w:rsid w:val="0041436C"/>
    <w:rsid w:val="00421721"/>
    <w:rsid w:val="00427AA0"/>
    <w:rsid w:val="004456B3"/>
    <w:rsid w:val="004623C2"/>
    <w:rsid w:val="00466F45"/>
    <w:rsid w:val="00467EEA"/>
    <w:rsid w:val="00472D0C"/>
    <w:rsid w:val="0047335D"/>
    <w:rsid w:val="00477DA8"/>
    <w:rsid w:val="00485251"/>
    <w:rsid w:val="004869A5"/>
    <w:rsid w:val="00493238"/>
    <w:rsid w:val="004976BB"/>
    <w:rsid w:val="004B14F0"/>
    <w:rsid w:val="004C4617"/>
    <w:rsid w:val="004F759E"/>
    <w:rsid w:val="00505270"/>
    <w:rsid w:val="005063E5"/>
    <w:rsid w:val="00506A8A"/>
    <w:rsid w:val="00526012"/>
    <w:rsid w:val="005545C5"/>
    <w:rsid w:val="005658F5"/>
    <w:rsid w:val="00582D46"/>
    <w:rsid w:val="00585C1F"/>
    <w:rsid w:val="005A317A"/>
    <w:rsid w:val="005C5A30"/>
    <w:rsid w:val="005C67D1"/>
    <w:rsid w:val="005D0113"/>
    <w:rsid w:val="005D1A35"/>
    <w:rsid w:val="005D3BFB"/>
    <w:rsid w:val="005F029A"/>
    <w:rsid w:val="00621A84"/>
    <w:rsid w:val="00624F21"/>
    <w:rsid w:val="00634364"/>
    <w:rsid w:val="00660519"/>
    <w:rsid w:val="00677A75"/>
    <w:rsid w:val="00680C3F"/>
    <w:rsid w:val="00683D8B"/>
    <w:rsid w:val="00687715"/>
    <w:rsid w:val="00690A23"/>
    <w:rsid w:val="0069306F"/>
    <w:rsid w:val="006A3C8F"/>
    <w:rsid w:val="006A5B61"/>
    <w:rsid w:val="006B03ED"/>
    <w:rsid w:val="006C2654"/>
    <w:rsid w:val="006D6490"/>
    <w:rsid w:val="006D684E"/>
    <w:rsid w:val="006E3BC4"/>
    <w:rsid w:val="006E47AA"/>
    <w:rsid w:val="007019EA"/>
    <w:rsid w:val="00712507"/>
    <w:rsid w:val="00712FE6"/>
    <w:rsid w:val="007149EE"/>
    <w:rsid w:val="007173A8"/>
    <w:rsid w:val="00720B7A"/>
    <w:rsid w:val="0073736A"/>
    <w:rsid w:val="00747381"/>
    <w:rsid w:val="007561F2"/>
    <w:rsid w:val="0075676C"/>
    <w:rsid w:val="00764DE9"/>
    <w:rsid w:val="00770EDE"/>
    <w:rsid w:val="00771591"/>
    <w:rsid w:val="0078588C"/>
    <w:rsid w:val="00793897"/>
    <w:rsid w:val="007948B6"/>
    <w:rsid w:val="007C06B6"/>
    <w:rsid w:val="007D411B"/>
    <w:rsid w:val="007E1B72"/>
    <w:rsid w:val="007E2C82"/>
    <w:rsid w:val="007E47B1"/>
    <w:rsid w:val="007F0819"/>
    <w:rsid w:val="007F595B"/>
    <w:rsid w:val="00803BBA"/>
    <w:rsid w:val="0081651A"/>
    <w:rsid w:val="00835B9F"/>
    <w:rsid w:val="008436BF"/>
    <w:rsid w:val="00850B53"/>
    <w:rsid w:val="0087028D"/>
    <w:rsid w:val="0087165D"/>
    <w:rsid w:val="00882FF7"/>
    <w:rsid w:val="00885B12"/>
    <w:rsid w:val="00894058"/>
    <w:rsid w:val="00894866"/>
    <w:rsid w:val="00897AB2"/>
    <w:rsid w:val="008A4795"/>
    <w:rsid w:val="008B5F17"/>
    <w:rsid w:val="008D1C8A"/>
    <w:rsid w:val="008D3F33"/>
    <w:rsid w:val="008D4D1D"/>
    <w:rsid w:val="008F1B6E"/>
    <w:rsid w:val="00901051"/>
    <w:rsid w:val="00912E67"/>
    <w:rsid w:val="00922D79"/>
    <w:rsid w:val="00931874"/>
    <w:rsid w:val="009461FC"/>
    <w:rsid w:val="00947FA4"/>
    <w:rsid w:val="00964BC2"/>
    <w:rsid w:val="009701A2"/>
    <w:rsid w:val="009718DF"/>
    <w:rsid w:val="009779C1"/>
    <w:rsid w:val="00980EBB"/>
    <w:rsid w:val="0099070E"/>
    <w:rsid w:val="009928FE"/>
    <w:rsid w:val="009A1866"/>
    <w:rsid w:val="009A3697"/>
    <w:rsid w:val="009B1547"/>
    <w:rsid w:val="009B2707"/>
    <w:rsid w:val="009B63CD"/>
    <w:rsid w:val="009B6ED3"/>
    <w:rsid w:val="009D45CA"/>
    <w:rsid w:val="009D6BDD"/>
    <w:rsid w:val="009E1222"/>
    <w:rsid w:val="009E2A44"/>
    <w:rsid w:val="00A00DE8"/>
    <w:rsid w:val="00A0186C"/>
    <w:rsid w:val="00A03F99"/>
    <w:rsid w:val="00A10FCE"/>
    <w:rsid w:val="00A11D01"/>
    <w:rsid w:val="00A27AE0"/>
    <w:rsid w:val="00A310A6"/>
    <w:rsid w:val="00A41DA6"/>
    <w:rsid w:val="00A54B74"/>
    <w:rsid w:val="00A656E4"/>
    <w:rsid w:val="00A71337"/>
    <w:rsid w:val="00A85846"/>
    <w:rsid w:val="00A86F1E"/>
    <w:rsid w:val="00A97064"/>
    <w:rsid w:val="00AA45DF"/>
    <w:rsid w:val="00AA7FAE"/>
    <w:rsid w:val="00AB2EA5"/>
    <w:rsid w:val="00AB5DBB"/>
    <w:rsid w:val="00AD575B"/>
    <w:rsid w:val="00AF3A97"/>
    <w:rsid w:val="00B00866"/>
    <w:rsid w:val="00B10D89"/>
    <w:rsid w:val="00B20393"/>
    <w:rsid w:val="00B208A1"/>
    <w:rsid w:val="00B322B9"/>
    <w:rsid w:val="00B35B3F"/>
    <w:rsid w:val="00B41C50"/>
    <w:rsid w:val="00B5681C"/>
    <w:rsid w:val="00B61E75"/>
    <w:rsid w:val="00B63F0C"/>
    <w:rsid w:val="00B64326"/>
    <w:rsid w:val="00B774E8"/>
    <w:rsid w:val="00B81C33"/>
    <w:rsid w:val="00BA1900"/>
    <w:rsid w:val="00BB0175"/>
    <w:rsid w:val="00BB3026"/>
    <w:rsid w:val="00BC3ED9"/>
    <w:rsid w:val="00BC4902"/>
    <w:rsid w:val="00BE2D4A"/>
    <w:rsid w:val="00BF057B"/>
    <w:rsid w:val="00BF35B8"/>
    <w:rsid w:val="00BF4FD3"/>
    <w:rsid w:val="00C032DE"/>
    <w:rsid w:val="00C120FD"/>
    <w:rsid w:val="00C149AE"/>
    <w:rsid w:val="00C508A7"/>
    <w:rsid w:val="00C61662"/>
    <w:rsid w:val="00C769BE"/>
    <w:rsid w:val="00C80D7E"/>
    <w:rsid w:val="00CA51E4"/>
    <w:rsid w:val="00CB23A3"/>
    <w:rsid w:val="00CC011F"/>
    <w:rsid w:val="00CC3361"/>
    <w:rsid w:val="00CD3B66"/>
    <w:rsid w:val="00CF050B"/>
    <w:rsid w:val="00D012CE"/>
    <w:rsid w:val="00D0136F"/>
    <w:rsid w:val="00D023AD"/>
    <w:rsid w:val="00D07CD7"/>
    <w:rsid w:val="00D13B60"/>
    <w:rsid w:val="00D20E9E"/>
    <w:rsid w:val="00D5327F"/>
    <w:rsid w:val="00D54E96"/>
    <w:rsid w:val="00D74BF9"/>
    <w:rsid w:val="00D7681A"/>
    <w:rsid w:val="00DA5E97"/>
    <w:rsid w:val="00DB1870"/>
    <w:rsid w:val="00DB4CD4"/>
    <w:rsid w:val="00DB7DEE"/>
    <w:rsid w:val="00DE5042"/>
    <w:rsid w:val="00DE7841"/>
    <w:rsid w:val="00DF6208"/>
    <w:rsid w:val="00E23650"/>
    <w:rsid w:val="00E32283"/>
    <w:rsid w:val="00E43280"/>
    <w:rsid w:val="00E46192"/>
    <w:rsid w:val="00E74508"/>
    <w:rsid w:val="00E76C44"/>
    <w:rsid w:val="00E83CB3"/>
    <w:rsid w:val="00EA780E"/>
    <w:rsid w:val="00EA7DE8"/>
    <w:rsid w:val="00EB1EC5"/>
    <w:rsid w:val="00EC53B5"/>
    <w:rsid w:val="00EC7EEE"/>
    <w:rsid w:val="00ED3A30"/>
    <w:rsid w:val="00EE1283"/>
    <w:rsid w:val="00EF0D09"/>
    <w:rsid w:val="00EF4EC9"/>
    <w:rsid w:val="00EF7D18"/>
    <w:rsid w:val="00F11375"/>
    <w:rsid w:val="00F172D5"/>
    <w:rsid w:val="00F37917"/>
    <w:rsid w:val="00F4443C"/>
    <w:rsid w:val="00F50848"/>
    <w:rsid w:val="00F55FB9"/>
    <w:rsid w:val="00F66C58"/>
    <w:rsid w:val="00F764C9"/>
    <w:rsid w:val="00F81F78"/>
    <w:rsid w:val="00F86E53"/>
    <w:rsid w:val="00FB6CBB"/>
    <w:rsid w:val="00FC160D"/>
    <w:rsid w:val="00FD4196"/>
    <w:rsid w:val="00FF2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FDFF9"/>
  <w15:chartTrackingRefBased/>
  <w15:docId w15:val="{5F96ADF9-011F-4039-81ED-C2F1424D9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35B8"/>
    <w:rPr>
      <w:color w:val="0563C1" w:themeColor="hyperlink"/>
      <w:u w:val="single"/>
    </w:rPr>
  </w:style>
  <w:style w:type="character" w:styleId="UnresolvedMention">
    <w:name w:val="Unresolved Mention"/>
    <w:basedOn w:val="DefaultParagraphFont"/>
    <w:uiPriority w:val="99"/>
    <w:semiHidden/>
    <w:unhideWhenUsed/>
    <w:rsid w:val="00BF35B8"/>
    <w:rPr>
      <w:color w:val="605E5C"/>
      <w:shd w:val="clear" w:color="auto" w:fill="E1DFDD"/>
    </w:rPr>
  </w:style>
  <w:style w:type="paragraph" w:styleId="Header">
    <w:name w:val="header"/>
    <w:basedOn w:val="Normal"/>
    <w:link w:val="HeaderChar"/>
    <w:uiPriority w:val="99"/>
    <w:unhideWhenUsed/>
    <w:rsid w:val="00CD3B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3B66"/>
  </w:style>
  <w:style w:type="paragraph" w:styleId="Footer">
    <w:name w:val="footer"/>
    <w:basedOn w:val="Normal"/>
    <w:link w:val="FooterChar"/>
    <w:uiPriority w:val="99"/>
    <w:unhideWhenUsed/>
    <w:rsid w:val="00CD3B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3B66"/>
  </w:style>
  <w:style w:type="table" w:styleId="GridTable2-Accent5">
    <w:name w:val="Grid Table 2 Accent 5"/>
    <w:basedOn w:val="TableNormal"/>
    <w:uiPriority w:val="47"/>
    <w:rsid w:val="00CD3B6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neNumber">
    <w:name w:val="line number"/>
    <w:basedOn w:val="DefaultParagraphFont"/>
    <w:uiPriority w:val="99"/>
    <w:semiHidden/>
    <w:unhideWhenUsed/>
    <w:rsid w:val="00076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f.io/6jf4u/" TargetMode="External"/><Relationship Id="rId13" Type="http://schemas.openxmlformats.org/officeDocument/2006/relationships/hyperlink" Target="https://assets.publishing.service.gov.uk/government/uploads/system/uploads/attachment_data/file/1029750/Greenbook_chapter_14a_29Oct21.pdf" TargetMode="External"/><Relationship Id="rId3" Type="http://schemas.openxmlformats.org/officeDocument/2006/relationships/webSettings" Target="webSettings.xml"/><Relationship Id="rId7" Type="http://schemas.openxmlformats.org/officeDocument/2006/relationships/hyperlink" Target="https://osf.io/pa3nd" TargetMode="External"/><Relationship Id="rId12" Type="http://schemas.openxmlformats.org/officeDocument/2006/relationships/hyperlink" Target="https://doi.org/10.1101/2021.04.09.21255195"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v.male@imperial.ac.uk" TargetMode="External"/><Relationship Id="rId11" Type="http://schemas.openxmlformats.org/officeDocument/2006/relationships/hyperlink" Target="https://www.gov.uk/drug-safety-update/covid-19-vaccines-updates-for-august-2021"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gov.uk/government/publications/coronavirus-covid-19-vaccine-adverse-reactions/coronavirus-vaccine-summary-of-yellow-card-reporting" TargetMode="External"/><Relationship Id="rId4" Type="http://schemas.openxmlformats.org/officeDocument/2006/relationships/footnotes" Target="footnotes.xml"/><Relationship Id="rId9" Type="http://schemas.openxmlformats.org/officeDocument/2006/relationships/hyperlink" Target="https://www.medrxiv.org/content/10.1101/2021.11.15.21266317v1.full.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2302</TotalTime>
  <Pages>16</Pages>
  <Words>4425</Words>
  <Characters>25223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 Victoria H</dc:creator>
  <cp:keywords/>
  <dc:description/>
  <cp:lastModifiedBy>Male, Victoria H</cp:lastModifiedBy>
  <cp:revision>301</cp:revision>
  <dcterms:created xsi:type="dcterms:W3CDTF">2021-11-19T14:55:00Z</dcterms:created>
  <dcterms:modified xsi:type="dcterms:W3CDTF">2021-12-10T08:32:00Z</dcterms:modified>
</cp:coreProperties>
</file>