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Hydrocephalus: The Crux of the Matter for parents is being ignorant of enlarging head in a child</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Ahtesham Khizar</w:t>
      </w:r>
      <w:r w:rsidDel="00000000" w:rsidR="00000000" w:rsidRPr="00000000">
        <w:rPr>
          <w:vertAlign w:val="superscript"/>
          <w:rtl w:val="0"/>
        </w:rPr>
        <w:t xml:space="preserve">1</w:t>
      </w:r>
      <w:r w:rsidDel="00000000" w:rsidR="00000000" w:rsidRPr="00000000">
        <w:rPr>
          <w:rtl w:val="0"/>
        </w:rPr>
        <w:t xml:space="preserve">, Soha Zahid</w:t>
      </w:r>
      <w:r w:rsidDel="00000000" w:rsidR="00000000" w:rsidRPr="00000000">
        <w:rPr>
          <w:vertAlign w:val="superscript"/>
          <w:rtl w:val="0"/>
        </w:rPr>
        <w:t xml:space="preserve">2</w:t>
      </w:r>
      <w:r w:rsidDel="00000000" w:rsidR="00000000" w:rsidRPr="00000000">
        <w:rPr>
          <w:rtl w:val="0"/>
        </w:rPr>
        <w:t xml:space="preserve">, Pradhumna Kumar Yadav</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vertAlign w:val="superscript"/>
          <w:rtl w:val="0"/>
        </w:rPr>
        <w:t xml:space="preserve">1</w:t>
      </w:r>
      <w:r w:rsidDel="00000000" w:rsidR="00000000" w:rsidRPr="00000000">
        <w:rPr>
          <w:rtl w:val="0"/>
        </w:rPr>
        <w:t xml:space="preserve">Pakistan Institute of Medical Sciences, Islamabad, Pakistan </w:t>
      </w:r>
    </w:p>
    <w:p w:rsidR="00000000" w:rsidDel="00000000" w:rsidP="00000000" w:rsidRDefault="00000000" w:rsidRPr="00000000" w14:paraId="00000006">
      <w:pPr>
        <w:jc w:val="center"/>
        <w:rPr/>
      </w:pPr>
      <w:r w:rsidDel="00000000" w:rsidR="00000000" w:rsidRPr="00000000">
        <w:rPr>
          <w:vertAlign w:val="superscript"/>
          <w:rtl w:val="0"/>
        </w:rPr>
        <w:t xml:space="preserve">2</w:t>
      </w:r>
      <w:r w:rsidDel="00000000" w:rsidR="00000000" w:rsidRPr="00000000">
        <w:rPr>
          <w:rtl w:val="0"/>
        </w:rPr>
        <w:t xml:space="preserve">Jinnah Medical and Dental College, Karachi, Pakistan </w:t>
      </w:r>
    </w:p>
    <w:p w:rsidR="00000000" w:rsidDel="00000000" w:rsidP="00000000" w:rsidRDefault="00000000" w:rsidRPr="00000000" w14:paraId="00000007">
      <w:pPr>
        <w:jc w:val="center"/>
        <w:rPr/>
      </w:pPr>
      <w:r w:rsidDel="00000000" w:rsidR="00000000" w:rsidRPr="00000000">
        <w:rPr>
          <w:vertAlign w:val="superscript"/>
          <w:rtl w:val="0"/>
        </w:rPr>
        <w:t xml:space="preserve">3</w:t>
      </w:r>
      <w:r w:rsidDel="00000000" w:rsidR="00000000" w:rsidRPr="00000000">
        <w:rPr>
          <w:rtl w:val="0"/>
        </w:rPr>
        <w:t xml:space="preserve">Janaki Health Care and Teaching Hospital, Janakpur, Nepal</w:t>
      </w:r>
    </w:p>
    <w:p w:rsidR="00000000" w:rsidDel="00000000" w:rsidP="00000000" w:rsidRDefault="00000000" w:rsidRPr="00000000" w14:paraId="00000008">
      <w:pPr>
        <w:jc w:val="left"/>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spacing w:line="276" w:lineRule="auto"/>
        <w:jc w:val="both"/>
        <w:rPr>
          <w:b w:val="1"/>
        </w:rPr>
      </w:pPr>
      <w:r w:rsidDel="00000000" w:rsidR="00000000" w:rsidRPr="00000000">
        <w:rPr>
          <w:b w:val="1"/>
          <w:rtl w:val="0"/>
        </w:rPr>
        <w:t xml:space="preserve">Authors:</w:t>
      </w:r>
    </w:p>
    <w:p w:rsidR="00000000" w:rsidDel="00000000" w:rsidP="00000000" w:rsidRDefault="00000000" w:rsidRPr="00000000" w14:paraId="0000000B">
      <w:pPr>
        <w:spacing w:line="276" w:lineRule="auto"/>
        <w:jc w:val="both"/>
        <w:rPr/>
      </w:pPr>
      <w:r w:rsidDel="00000000" w:rsidR="00000000" w:rsidRPr="00000000">
        <w:rPr>
          <w:rtl w:val="0"/>
        </w:rPr>
      </w:r>
    </w:p>
    <w:p w:rsidR="00000000" w:rsidDel="00000000" w:rsidP="00000000" w:rsidRDefault="00000000" w:rsidRPr="00000000" w14:paraId="0000000C">
      <w:pPr>
        <w:spacing w:line="276" w:lineRule="auto"/>
        <w:jc w:val="both"/>
        <w:rPr/>
      </w:pPr>
      <w:r w:rsidDel="00000000" w:rsidR="00000000" w:rsidRPr="00000000">
        <w:rPr>
          <w:rtl w:val="0"/>
        </w:rPr>
        <w:t xml:space="preserve">Ahtesham Khizar </w:t>
      </w:r>
    </w:p>
    <w:p w:rsidR="00000000" w:rsidDel="00000000" w:rsidP="00000000" w:rsidRDefault="00000000" w:rsidRPr="00000000" w14:paraId="0000000D">
      <w:pPr>
        <w:spacing w:line="276" w:lineRule="auto"/>
        <w:jc w:val="both"/>
        <w:rPr/>
      </w:pPr>
      <w:r w:rsidDel="00000000" w:rsidR="00000000" w:rsidRPr="00000000">
        <w:rPr>
          <w:rtl w:val="0"/>
        </w:rPr>
        <w:t xml:space="preserve">Email: </w:t>
      </w:r>
      <w:hyperlink r:id="rId6">
        <w:r w:rsidDel="00000000" w:rsidR="00000000" w:rsidRPr="00000000">
          <w:rPr>
            <w:color w:val="1155cc"/>
            <w:u w:val="single"/>
            <w:rtl w:val="0"/>
          </w:rPr>
          <w:t xml:space="preserve">arwain.6n2@gmail.com</w:t>
        </w:r>
      </w:hyperlink>
      <w:r w:rsidDel="00000000" w:rsidR="00000000" w:rsidRPr="00000000">
        <w:rPr>
          <w:rtl w:val="0"/>
        </w:rPr>
        <w:t xml:space="preserve"> </w:t>
      </w:r>
    </w:p>
    <w:p w:rsidR="00000000" w:rsidDel="00000000" w:rsidP="00000000" w:rsidRDefault="00000000" w:rsidRPr="00000000" w14:paraId="0000000E">
      <w:pPr>
        <w:spacing w:line="276" w:lineRule="auto"/>
        <w:jc w:val="both"/>
        <w:rPr/>
      </w:pPr>
      <w:r w:rsidDel="00000000" w:rsidR="00000000" w:rsidRPr="00000000">
        <w:rPr>
          <w:rtl w:val="0"/>
        </w:rPr>
        <w:t xml:space="preserve">Orcid: </w:t>
      </w:r>
      <w:hyperlink r:id="rId7">
        <w:r w:rsidDel="00000000" w:rsidR="00000000" w:rsidRPr="00000000">
          <w:rPr>
            <w:color w:val="1155cc"/>
            <w:u w:val="single"/>
            <w:rtl w:val="0"/>
          </w:rPr>
          <w:t xml:space="preserve">https://orcid.org/0000-0003-2333-038X</w:t>
        </w:r>
      </w:hyperlink>
      <w:r w:rsidDel="00000000" w:rsidR="00000000" w:rsidRPr="00000000">
        <w:rPr>
          <w:rtl w:val="0"/>
        </w:rPr>
      </w:r>
    </w:p>
    <w:p w:rsidR="00000000" w:rsidDel="00000000" w:rsidP="00000000" w:rsidRDefault="00000000" w:rsidRPr="00000000" w14:paraId="0000000F">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10">
      <w:pPr>
        <w:spacing w:line="276" w:lineRule="auto"/>
        <w:jc w:val="both"/>
        <w:rPr/>
      </w:pPr>
      <w:r w:rsidDel="00000000" w:rsidR="00000000" w:rsidRPr="00000000">
        <w:rPr>
          <w:rtl w:val="0"/>
        </w:rPr>
        <w:t xml:space="preserve">Pakistan Institute of Medical Sciences, Islamabad, Pakistan </w:t>
      </w:r>
    </w:p>
    <w:p w:rsidR="00000000" w:rsidDel="00000000" w:rsidP="00000000" w:rsidRDefault="00000000" w:rsidRPr="00000000" w14:paraId="00000011">
      <w:pPr>
        <w:spacing w:line="276" w:lineRule="auto"/>
        <w:jc w:val="both"/>
        <w:rPr/>
      </w:pPr>
      <w:r w:rsidDel="00000000" w:rsidR="00000000" w:rsidRPr="00000000">
        <w:rPr>
          <w:rtl w:val="0"/>
        </w:rPr>
      </w:r>
    </w:p>
    <w:p w:rsidR="00000000" w:rsidDel="00000000" w:rsidP="00000000" w:rsidRDefault="00000000" w:rsidRPr="00000000" w14:paraId="00000012">
      <w:pPr>
        <w:spacing w:line="276" w:lineRule="auto"/>
        <w:jc w:val="both"/>
        <w:rPr/>
      </w:pPr>
      <w:r w:rsidDel="00000000" w:rsidR="00000000" w:rsidRPr="00000000">
        <w:rPr>
          <w:rtl w:val="0"/>
        </w:rPr>
        <w:t xml:space="preserve">Soha Zahid </w:t>
      </w:r>
    </w:p>
    <w:p w:rsidR="00000000" w:rsidDel="00000000" w:rsidP="00000000" w:rsidRDefault="00000000" w:rsidRPr="00000000" w14:paraId="00000013">
      <w:pPr>
        <w:spacing w:line="276" w:lineRule="auto"/>
        <w:jc w:val="both"/>
        <w:rPr/>
      </w:pPr>
      <w:r w:rsidDel="00000000" w:rsidR="00000000" w:rsidRPr="00000000">
        <w:rPr>
          <w:rtl w:val="0"/>
        </w:rPr>
        <w:t xml:space="preserve">Email: </w:t>
      </w:r>
      <w:hyperlink r:id="rId8">
        <w:r w:rsidDel="00000000" w:rsidR="00000000" w:rsidRPr="00000000">
          <w:rPr>
            <w:color w:val="1155cc"/>
            <w:u w:val="single"/>
            <w:rtl w:val="0"/>
          </w:rPr>
          <w:t xml:space="preserve">soha.xahid@gmail.com</w:t>
        </w:r>
      </w:hyperlink>
      <w:r w:rsidDel="00000000" w:rsidR="00000000" w:rsidRPr="00000000">
        <w:rPr>
          <w:rtl w:val="0"/>
        </w:rPr>
        <w:t xml:space="preserve"> </w:t>
      </w:r>
    </w:p>
    <w:p w:rsidR="00000000" w:rsidDel="00000000" w:rsidP="00000000" w:rsidRDefault="00000000" w:rsidRPr="00000000" w14:paraId="00000014">
      <w:pPr>
        <w:spacing w:line="276" w:lineRule="auto"/>
        <w:jc w:val="both"/>
        <w:rPr/>
      </w:pPr>
      <w:r w:rsidDel="00000000" w:rsidR="00000000" w:rsidRPr="00000000">
        <w:rPr>
          <w:rtl w:val="0"/>
        </w:rPr>
        <w:t xml:space="preserve">Orcid: </w:t>
      </w:r>
      <w:hyperlink r:id="rId9">
        <w:r w:rsidDel="00000000" w:rsidR="00000000" w:rsidRPr="00000000">
          <w:rPr>
            <w:color w:val="1155cc"/>
            <w:u w:val="single"/>
            <w:rtl w:val="0"/>
          </w:rPr>
          <w:t xml:space="preserve">https://orcid.org/0000-0002-8195-4265</w:t>
        </w:r>
      </w:hyperlink>
      <w:r w:rsidDel="00000000" w:rsidR="00000000" w:rsidRPr="00000000">
        <w:rPr>
          <w:rtl w:val="0"/>
        </w:rPr>
      </w:r>
    </w:p>
    <w:p w:rsidR="00000000" w:rsidDel="00000000" w:rsidP="00000000" w:rsidRDefault="00000000" w:rsidRPr="00000000" w14:paraId="00000015">
      <w:pPr>
        <w:spacing w:line="276" w:lineRule="auto"/>
        <w:jc w:val="both"/>
        <w:rPr/>
      </w:pPr>
      <w:r w:rsidDel="00000000" w:rsidR="00000000" w:rsidRPr="00000000">
        <w:rPr>
          <w:rtl w:val="0"/>
        </w:rPr>
        <w:t xml:space="preserve">Jinnah Medical and Dental College, Karachi, Pakistan </w:t>
      </w:r>
    </w:p>
    <w:p w:rsidR="00000000" w:rsidDel="00000000" w:rsidP="00000000" w:rsidRDefault="00000000" w:rsidRPr="00000000" w14:paraId="00000016">
      <w:pPr>
        <w:spacing w:line="276" w:lineRule="auto"/>
        <w:jc w:val="both"/>
        <w:rPr/>
      </w:pPr>
      <w:r w:rsidDel="00000000" w:rsidR="00000000" w:rsidRPr="00000000">
        <w:rPr>
          <w:rtl w:val="0"/>
        </w:rPr>
      </w:r>
    </w:p>
    <w:p w:rsidR="00000000" w:rsidDel="00000000" w:rsidP="00000000" w:rsidRDefault="00000000" w:rsidRPr="00000000" w14:paraId="00000017">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18">
      <w:pPr>
        <w:spacing w:line="276" w:lineRule="auto"/>
        <w:jc w:val="both"/>
        <w:rPr/>
      </w:pPr>
      <w:r w:rsidDel="00000000" w:rsidR="00000000" w:rsidRPr="00000000">
        <w:rPr>
          <w:rtl w:val="0"/>
        </w:rPr>
        <w:t xml:space="preserve">Email: </w:t>
      </w:r>
      <w:hyperlink r:id="rId10">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19">
      <w:pPr>
        <w:spacing w:line="276" w:lineRule="auto"/>
        <w:jc w:val="both"/>
        <w:rPr/>
      </w:pPr>
      <w:r w:rsidDel="00000000" w:rsidR="00000000" w:rsidRPr="00000000">
        <w:rPr>
          <w:rtl w:val="0"/>
        </w:rPr>
        <w:t xml:space="preserve">Orcid: </w:t>
      </w:r>
      <w:hyperlink r:id="rId11">
        <w:r w:rsidDel="00000000" w:rsidR="00000000" w:rsidRPr="00000000">
          <w:rPr>
            <w:color w:val="1155cc"/>
            <w:u w:val="single"/>
            <w:rtl w:val="0"/>
          </w:rPr>
          <w:t xml:space="preserve">https://orcid.org/0000-0002-8798-3542</w:t>
        </w:r>
      </w:hyperlink>
      <w:r w:rsidDel="00000000" w:rsidR="00000000" w:rsidRPr="00000000">
        <w:rPr>
          <w:rtl w:val="0"/>
        </w:rPr>
      </w:r>
    </w:p>
    <w:p w:rsidR="00000000" w:rsidDel="00000000" w:rsidP="00000000" w:rsidRDefault="00000000" w:rsidRPr="00000000" w14:paraId="0000001A">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1B">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1C">
      <w:pPr>
        <w:spacing w:line="276" w:lineRule="auto"/>
        <w:jc w:val="both"/>
        <w:rPr/>
      </w:pPr>
      <w:r w:rsidDel="00000000" w:rsidR="00000000" w:rsidRPr="00000000">
        <w:rPr>
          <w:rtl w:val="0"/>
        </w:rPr>
      </w:r>
    </w:p>
    <w:p w:rsidR="00000000" w:rsidDel="00000000" w:rsidP="00000000" w:rsidRDefault="00000000" w:rsidRPr="00000000" w14:paraId="0000001D">
      <w:pPr>
        <w:spacing w:line="276" w:lineRule="auto"/>
        <w:jc w:val="both"/>
        <w:rPr>
          <w:b w:val="1"/>
        </w:rPr>
      </w:pPr>
      <w:r w:rsidDel="00000000" w:rsidR="00000000" w:rsidRPr="00000000">
        <w:rPr>
          <w:b w:val="1"/>
          <w:rtl w:val="0"/>
        </w:rPr>
        <w:t xml:space="preserve">Corresponding Author:</w:t>
      </w:r>
    </w:p>
    <w:p w:rsidR="00000000" w:rsidDel="00000000" w:rsidP="00000000" w:rsidRDefault="00000000" w:rsidRPr="00000000" w14:paraId="0000001E">
      <w:pPr>
        <w:spacing w:line="276" w:lineRule="auto"/>
        <w:jc w:val="both"/>
        <w:rPr/>
      </w:pP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20">
      <w:pPr>
        <w:spacing w:line="276" w:lineRule="auto"/>
        <w:jc w:val="both"/>
        <w:rPr/>
      </w:pPr>
      <w:r w:rsidDel="00000000" w:rsidR="00000000" w:rsidRPr="00000000">
        <w:rPr>
          <w:rtl w:val="0"/>
        </w:rPr>
        <w:t xml:space="preserve">Email: </w:t>
      </w:r>
      <w:hyperlink r:id="rId12">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21">
      <w:pPr>
        <w:spacing w:line="276" w:lineRule="auto"/>
        <w:jc w:val="both"/>
        <w:rPr/>
      </w:pPr>
      <w:r w:rsidDel="00000000" w:rsidR="00000000" w:rsidRPr="00000000">
        <w:rPr>
          <w:rtl w:val="0"/>
        </w:rPr>
        <w:t xml:space="preserve">Orcid: </w:t>
      </w:r>
      <w:hyperlink r:id="rId13">
        <w:r w:rsidDel="00000000" w:rsidR="00000000" w:rsidRPr="00000000">
          <w:rPr>
            <w:color w:val="1155cc"/>
            <w:u w:val="single"/>
            <w:rtl w:val="0"/>
          </w:rPr>
          <w:t xml:space="preserve">https://orcid.org/0000-0002-8798-3542</w:t>
        </w:r>
      </w:hyperlink>
      <w:r w:rsidDel="00000000" w:rsidR="00000000" w:rsidRPr="00000000">
        <w:rPr>
          <w:rtl w:val="0"/>
        </w:rPr>
        <w:t xml:space="preserve"> </w:t>
      </w:r>
    </w:p>
    <w:p w:rsidR="00000000" w:rsidDel="00000000" w:rsidP="00000000" w:rsidRDefault="00000000" w:rsidRPr="00000000" w14:paraId="00000022">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23">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24">
      <w:pPr>
        <w:spacing w:line="276" w:lineRule="auto"/>
        <w:jc w:val="both"/>
        <w:rPr/>
      </w:pPr>
      <w:r w:rsidDel="00000000" w:rsidR="00000000" w:rsidRPr="00000000">
        <w:rPr>
          <w:rtl w:val="0"/>
        </w:rPr>
      </w:r>
    </w:p>
    <w:p w:rsidR="00000000" w:rsidDel="00000000" w:rsidP="00000000" w:rsidRDefault="00000000" w:rsidRPr="00000000" w14:paraId="00000025">
      <w:pPr>
        <w:spacing w:line="276" w:lineRule="auto"/>
        <w:jc w:val="both"/>
        <w:rPr/>
      </w:pPr>
      <w:r w:rsidDel="00000000" w:rsidR="00000000" w:rsidRPr="00000000">
        <w:rPr>
          <w:rtl w:val="0"/>
        </w:rPr>
      </w:r>
    </w:p>
    <w:p w:rsidR="00000000" w:rsidDel="00000000" w:rsidP="00000000" w:rsidRDefault="00000000" w:rsidRPr="00000000" w14:paraId="00000026">
      <w:pPr>
        <w:spacing w:line="276" w:lineRule="auto"/>
        <w:jc w:val="both"/>
        <w:rPr/>
      </w:pPr>
      <w:r w:rsidDel="00000000" w:rsidR="00000000" w:rsidRPr="00000000">
        <w:rPr>
          <w:b w:val="1"/>
          <w:rtl w:val="0"/>
        </w:rPr>
        <w:t xml:space="preserve">Abstract:</w:t>
      </w:r>
      <w:r w:rsidDel="00000000" w:rsidR="00000000" w:rsidRPr="00000000">
        <w:rPr>
          <w:rtl w:val="0"/>
        </w:rPr>
        <w:t xml:space="preserve"> A 1-year-old girl presented with an overly enlarged head for 5 months. Ignorance of parents regarding treatment for this enlarged head is concerning. Early treatment can avoid a lot of complications. Hydrocephalus secondary to aqueductal stenosis was diagnosed after a thorough history, examination, and investigations. Endoscopic Third Ventriculostomy was performed.</w:t>
      </w:r>
    </w:p>
    <w:p w:rsidR="00000000" w:rsidDel="00000000" w:rsidP="00000000" w:rsidRDefault="00000000" w:rsidRPr="00000000" w14:paraId="00000027">
      <w:pPr>
        <w:spacing w:line="276" w:lineRule="auto"/>
        <w:jc w:val="both"/>
        <w:rPr/>
      </w:pPr>
      <w:r w:rsidDel="00000000" w:rsidR="00000000" w:rsidRPr="00000000">
        <w:rPr>
          <w:rtl w:val="0"/>
        </w:rPr>
      </w:r>
    </w:p>
    <w:p w:rsidR="00000000" w:rsidDel="00000000" w:rsidP="00000000" w:rsidRDefault="00000000" w:rsidRPr="00000000" w14:paraId="00000028">
      <w:pPr>
        <w:spacing w:line="276" w:lineRule="auto"/>
        <w:jc w:val="both"/>
        <w:rPr/>
      </w:pPr>
      <w:r w:rsidDel="00000000" w:rsidR="00000000" w:rsidRPr="00000000">
        <w:rPr>
          <w:b w:val="1"/>
          <w:rtl w:val="0"/>
        </w:rPr>
        <w:t xml:space="preserve">Keywords:</w:t>
      </w:r>
      <w:r w:rsidDel="00000000" w:rsidR="00000000" w:rsidRPr="00000000">
        <w:rPr>
          <w:rtl w:val="0"/>
        </w:rPr>
        <w:t xml:space="preserve"> Hydrocephalus, Enlarged head, Ignorance </w:t>
      </w:r>
    </w:p>
    <w:p w:rsidR="00000000" w:rsidDel="00000000" w:rsidP="00000000" w:rsidRDefault="00000000" w:rsidRPr="00000000" w14:paraId="00000029">
      <w:pPr>
        <w:spacing w:line="276" w:lineRule="auto"/>
        <w:jc w:val="both"/>
        <w:rPr/>
      </w:pPr>
      <w:r w:rsidDel="00000000" w:rsidR="00000000" w:rsidRPr="00000000">
        <w:rPr>
          <w:rtl w:val="0"/>
        </w:rPr>
      </w:r>
    </w:p>
    <w:p w:rsidR="00000000" w:rsidDel="00000000" w:rsidP="00000000" w:rsidRDefault="00000000" w:rsidRPr="00000000" w14:paraId="0000002A">
      <w:pPr>
        <w:spacing w:line="276" w:lineRule="auto"/>
        <w:jc w:val="both"/>
        <w:rPr>
          <w:vertAlign w:val="superscript"/>
        </w:rPr>
      </w:pPr>
      <w:r w:rsidDel="00000000" w:rsidR="00000000" w:rsidRPr="00000000">
        <w:rPr>
          <w:rtl w:val="0"/>
        </w:rPr>
        <w:t xml:space="preserve">Hydrocephalus is a common but complicated disorder caused by a physical or functional restriction of CSF flow, which results in ventricular dilation and a larger head. Hydrocephalus affects 1.1 out of every 1000 infants, according to recent estimates.</w:t>
      </w:r>
      <w:r w:rsidDel="00000000" w:rsidR="00000000" w:rsidRPr="00000000">
        <w:rPr>
          <w:vertAlign w:val="superscript"/>
          <w:rtl w:val="0"/>
        </w:rPr>
        <w:t xml:space="preserve">1 </w:t>
      </w:r>
      <w:r w:rsidDel="00000000" w:rsidR="00000000" w:rsidRPr="00000000">
        <w:rPr>
          <w:rtl w:val="0"/>
        </w:rPr>
        <w:t xml:space="preserve">Infants often have progressive macrocephaly, while children over the age of two usually have signs and symptoms of intracranial hypertension. There are numerous causes of hydrocephalus. Congenital hydrocephalus has been linked to genes that control brain growth and development, most notably involving aqueduct stenosis. Pathological processes that impair ventricular outflow, subarachnoid space function, or cerebral venous compliance can cause hydrocephalus. Shunts and endoscopic approaches are two treatment options that should be tailored to the child.</w:t>
      </w:r>
      <w:r w:rsidDel="00000000" w:rsidR="00000000" w:rsidRPr="00000000">
        <w:rPr>
          <w:vertAlign w:val="superscript"/>
          <w:rtl w:val="0"/>
        </w:rPr>
        <w:t xml:space="preserve">2</w:t>
      </w:r>
    </w:p>
    <w:p w:rsidR="00000000" w:rsidDel="00000000" w:rsidP="00000000" w:rsidRDefault="00000000" w:rsidRPr="00000000" w14:paraId="0000002B">
      <w:pPr>
        <w:spacing w:line="276" w:lineRule="auto"/>
        <w:jc w:val="both"/>
        <w:rPr/>
      </w:pPr>
      <w:r w:rsidDel="00000000" w:rsidR="00000000" w:rsidRPr="00000000">
        <w:rPr>
          <w:rtl w:val="0"/>
        </w:rPr>
      </w:r>
    </w:p>
    <w:p w:rsidR="00000000" w:rsidDel="00000000" w:rsidP="00000000" w:rsidRDefault="00000000" w:rsidRPr="00000000" w14:paraId="0000002C">
      <w:pPr>
        <w:spacing w:line="276" w:lineRule="auto"/>
        <w:jc w:val="both"/>
        <w:rPr/>
      </w:pPr>
      <w:r w:rsidDel="00000000" w:rsidR="00000000" w:rsidRPr="00000000">
        <w:rPr>
          <w:rtl w:val="0"/>
        </w:rPr>
        <w:t xml:space="preserve">We had a 1-year-old girl who presented to us with an overly enlarged head for 5 months. (Figure.1 A&amp;B) Ignorance of parents regarding treatment for this enlarged head is concerning. Early treatment can avoid a lot of complications in such cases. After detailed history, examination and investigations a diagnosis of Hydrocephalus secondary to aqueductal stenosis was made. The child underwent Endoscopic Third Ventriculostomy. (Figure. 2)</w:t>
      </w:r>
    </w:p>
    <w:p w:rsidR="00000000" w:rsidDel="00000000" w:rsidP="00000000" w:rsidRDefault="00000000" w:rsidRPr="00000000" w14:paraId="0000002D">
      <w:pPr>
        <w:spacing w:line="276" w:lineRule="auto"/>
        <w:jc w:val="both"/>
        <w:rPr>
          <w:b w:val="1"/>
        </w:rPr>
      </w:pPr>
      <w:r w:rsidDel="00000000" w:rsidR="00000000" w:rsidRPr="00000000">
        <w:rPr>
          <w:rtl w:val="0"/>
        </w:rPr>
      </w:r>
    </w:p>
    <w:p w:rsidR="00000000" w:rsidDel="00000000" w:rsidP="00000000" w:rsidRDefault="00000000" w:rsidRPr="00000000" w14:paraId="0000002E">
      <w:pPr>
        <w:spacing w:line="276" w:lineRule="auto"/>
        <w:jc w:val="both"/>
        <w:rPr/>
      </w:pPr>
      <w:r w:rsidDel="00000000" w:rsidR="00000000" w:rsidRPr="00000000">
        <w:rPr>
          <w:b w:val="1"/>
          <w:rtl w:val="0"/>
        </w:rPr>
        <w:t xml:space="preserve">Acknowledgements:</w:t>
      </w:r>
      <w:r w:rsidDel="00000000" w:rsidR="00000000" w:rsidRPr="00000000">
        <w:rPr>
          <w:rtl w:val="0"/>
        </w:rPr>
        <w:t xml:space="preserve"> Not applicable. </w:t>
      </w:r>
    </w:p>
    <w:p w:rsidR="00000000" w:rsidDel="00000000" w:rsidP="00000000" w:rsidRDefault="00000000" w:rsidRPr="00000000" w14:paraId="0000002F">
      <w:pPr>
        <w:spacing w:line="276" w:lineRule="auto"/>
        <w:jc w:val="both"/>
        <w:rPr/>
      </w:pPr>
      <w:r w:rsidDel="00000000" w:rsidR="00000000" w:rsidRPr="00000000">
        <w:rPr>
          <w:b w:val="1"/>
          <w:rtl w:val="0"/>
        </w:rPr>
        <w:t xml:space="preserve">Author contributions:</w:t>
      </w:r>
      <w:r w:rsidDel="00000000" w:rsidR="00000000" w:rsidRPr="00000000">
        <w:rPr>
          <w:rtl w:val="0"/>
        </w:rPr>
        <w:t xml:space="preserve"> AK was involved in the management of the patient. AK and SZ wrote the manuscript. PKY analyzed the data. All the authors read and approved the final manuscript. </w:t>
      </w:r>
    </w:p>
    <w:p w:rsidR="00000000" w:rsidDel="00000000" w:rsidP="00000000" w:rsidRDefault="00000000" w:rsidRPr="00000000" w14:paraId="00000030">
      <w:pPr>
        <w:spacing w:line="276" w:lineRule="auto"/>
        <w:jc w:val="both"/>
        <w:rPr/>
      </w:pPr>
      <w:r w:rsidDel="00000000" w:rsidR="00000000" w:rsidRPr="00000000">
        <w:rPr>
          <w:b w:val="1"/>
          <w:rtl w:val="0"/>
        </w:rPr>
        <w:t xml:space="preserve">Conflict of interest:</w:t>
      </w:r>
      <w:r w:rsidDel="00000000" w:rsidR="00000000" w:rsidRPr="00000000">
        <w:rPr>
          <w:rtl w:val="0"/>
        </w:rPr>
        <w:t xml:space="preserve"> Authors declare no conflict of interest. </w:t>
      </w:r>
    </w:p>
    <w:p w:rsidR="00000000" w:rsidDel="00000000" w:rsidP="00000000" w:rsidRDefault="00000000" w:rsidRPr="00000000" w14:paraId="00000031">
      <w:pPr>
        <w:spacing w:line="276" w:lineRule="auto"/>
        <w:jc w:val="both"/>
        <w:rPr/>
      </w:pPr>
      <w:r w:rsidDel="00000000" w:rsidR="00000000" w:rsidRPr="00000000">
        <w:rPr>
          <w:b w:val="1"/>
          <w:rtl w:val="0"/>
        </w:rPr>
        <w:t xml:space="preserve">Ethical approval:</w:t>
      </w:r>
      <w:r w:rsidDel="00000000" w:rsidR="00000000" w:rsidRPr="00000000">
        <w:rPr>
          <w:rtl w:val="0"/>
        </w:rPr>
        <w:t xml:space="preserve"> Not applicable. </w:t>
      </w:r>
    </w:p>
    <w:p w:rsidR="00000000" w:rsidDel="00000000" w:rsidP="00000000" w:rsidRDefault="00000000" w:rsidRPr="00000000" w14:paraId="00000032">
      <w:pPr>
        <w:spacing w:line="276" w:lineRule="auto"/>
        <w:jc w:val="both"/>
        <w:rPr/>
      </w:pPr>
      <w:r w:rsidDel="00000000" w:rsidR="00000000" w:rsidRPr="00000000">
        <w:rPr>
          <w:b w:val="1"/>
          <w:rtl w:val="0"/>
        </w:rPr>
        <w:t xml:space="preserve">Consent:</w:t>
      </w:r>
      <w:r w:rsidDel="00000000" w:rsidR="00000000" w:rsidRPr="00000000">
        <w:rPr>
          <w:rtl w:val="0"/>
        </w:rPr>
        <w:t xml:space="preserve"> Not applicable. </w:t>
      </w:r>
    </w:p>
    <w:p w:rsidR="00000000" w:rsidDel="00000000" w:rsidP="00000000" w:rsidRDefault="00000000" w:rsidRPr="00000000" w14:paraId="00000033">
      <w:pPr>
        <w:spacing w:line="276" w:lineRule="auto"/>
        <w:jc w:val="both"/>
        <w:rPr/>
      </w:pPr>
      <w:r w:rsidDel="00000000" w:rsidR="00000000" w:rsidRPr="00000000">
        <w:rPr>
          <w:b w:val="1"/>
          <w:rtl w:val="0"/>
        </w:rPr>
        <w:t xml:space="preserve">Data availability statement:</w:t>
      </w:r>
      <w:r w:rsidDel="00000000" w:rsidR="00000000" w:rsidRPr="00000000">
        <w:rPr>
          <w:rtl w:val="0"/>
        </w:rPr>
        <w:t xml:space="preserve"> All the data is available within the article.</w:t>
      </w:r>
    </w:p>
    <w:p w:rsidR="00000000" w:rsidDel="00000000" w:rsidP="00000000" w:rsidRDefault="00000000" w:rsidRPr="00000000" w14:paraId="00000034">
      <w:pPr>
        <w:spacing w:line="276" w:lineRule="auto"/>
        <w:jc w:val="both"/>
        <w:rPr/>
      </w:pPr>
      <w:r w:rsidDel="00000000" w:rsidR="00000000" w:rsidRPr="00000000">
        <w:rPr>
          <w:rtl w:val="0"/>
        </w:rPr>
      </w:r>
    </w:p>
    <w:p w:rsidR="00000000" w:rsidDel="00000000" w:rsidP="00000000" w:rsidRDefault="00000000" w:rsidRPr="00000000" w14:paraId="00000035">
      <w:pPr>
        <w:spacing w:line="276" w:lineRule="auto"/>
        <w:jc w:val="both"/>
        <w:rPr/>
      </w:pPr>
      <w:r w:rsidDel="00000000" w:rsidR="00000000" w:rsidRPr="00000000">
        <w:rPr>
          <w:rtl w:val="0"/>
        </w:rPr>
      </w:r>
    </w:p>
    <w:p w:rsidR="00000000" w:rsidDel="00000000" w:rsidP="00000000" w:rsidRDefault="00000000" w:rsidRPr="00000000" w14:paraId="00000036">
      <w:pPr>
        <w:spacing w:line="276" w:lineRule="auto"/>
        <w:jc w:val="both"/>
        <w:rPr>
          <w:b w:val="1"/>
        </w:rPr>
      </w:pPr>
      <w:r w:rsidDel="00000000" w:rsidR="00000000" w:rsidRPr="00000000">
        <w:rPr>
          <w:b w:val="1"/>
          <w:rtl w:val="0"/>
        </w:rPr>
        <w:t xml:space="preserve">References:</w:t>
      </w:r>
    </w:p>
    <w:p w:rsidR="00000000" w:rsidDel="00000000" w:rsidP="00000000" w:rsidRDefault="00000000" w:rsidRPr="00000000" w14:paraId="00000037">
      <w:pPr>
        <w:spacing w:line="276" w:lineRule="auto"/>
        <w:jc w:val="both"/>
        <w:rPr/>
      </w:pPr>
      <w:r w:rsidDel="00000000" w:rsidR="00000000" w:rsidRPr="00000000">
        <w:rPr>
          <w:rtl w:val="0"/>
        </w:rPr>
      </w:r>
    </w:p>
    <w:p w:rsidR="00000000" w:rsidDel="00000000" w:rsidP="00000000" w:rsidRDefault="00000000" w:rsidRPr="00000000" w14:paraId="00000038">
      <w:pPr>
        <w:numPr>
          <w:ilvl w:val="0"/>
          <w:numId w:val="1"/>
        </w:numPr>
        <w:spacing w:line="276" w:lineRule="auto"/>
        <w:ind w:left="720" w:hanging="360"/>
        <w:jc w:val="both"/>
        <w:rPr>
          <w:u w:val="none"/>
        </w:rPr>
      </w:pPr>
      <w:r w:rsidDel="00000000" w:rsidR="00000000" w:rsidRPr="00000000">
        <w:rPr>
          <w:rtl w:val="0"/>
        </w:rPr>
        <w:t xml:space="preserve">Tully HM, Dobyns WB. Infantile hydrocephalus: a review of epidemiology, classification and causes. Eur J Med Genet. 2014;57(8):359-368. doi:10.1016/j.ejmg.2014.06.002</w:t>
      </w:r>
    </w:p>
    <w:p w:rsidR="00000000" w:rsidDel="00000000" w:rsidP="00000000" w:rsidRDefault="00000000" w:rsidRPr="00000000" w14:paraId="00000039">
      <w:pPr>
        <w:numPr>
          <w:ilvl w:val="0"/>
          <w:numId w:val="1"/>
        </w:numPr>
        <w:spacing w:line="276" w:lineRule="auto"/>
        <w:ind w:left="720" w:hanging="360"/>
        <w:jc w:val="both"/>
        <w:rPr>
          <w:u w:val="none"/>
        </w:rPr>
      </w:pPr>
      <w:r w:rsidDel="00000000" w:rsidR="00000000" w:rsidRPr="00000000">
        <w:rPr>
          <w:rtl w:val="0"/>
        </w:rPr>
        <w:t xml:space="preserve">Kahle KT, Kulkarni AV, Limbrick DD Jr, Warf BC. Hydrocephalus in children. Lancet. 2016;387(10020):788-799. doi:10.1016/S0140-6736(15)60694-8</w:t>
      </w:r>
    </w:p>
    <w:p w:rsidR="00000000" w:rsidDel="00000000" w:rsidP="00000000" w:rsidRDefault="00000000" w:rsidRPr="00000000" w14:paraId="0000003A">
      <w:pPr>
        <w:spacing w:line="276"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3B">
      <w:pPr>
        <w:spacing w:line="276" w:lineRule="auto"/>
        <w:jc w:val="both"/>
        <w:rPr/>
      </w:pPr>
      <w:r w:rsidDel="00000000" w:rsidR="00000000" w:rsidRPr="00000000">
        <w:rPr>
          <w:rtl w:val="0"/>
        </w:rPr>
      </w:r>
    </w:p>
    <w:p w:rsidR="00000000" w:rsidDel="00000000" w:rsidP="00000000" w:rsidRDefault="00000000" w:rsidRPr="00000000" w14:paraId="0000003C">
      <w:pPr>
        <w:jc w:val="center"/>
        <w:rPr/>
      </w:pPr>
      <w:r w:rsidDel="00000000" w:rsidR="00000000" w:rsidRPr="00000000">
        <w:rPr/>
        <w:drawing>
          <wp:inline distB="114300" distT="114300" distL="114300" distR="114300">
            <wp:extent cx="5656661" cy="3181350"/>
            <wp:effectExtent b="0" l="0" r="0" t="0"/>
            <wp:docPr id="1"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5656661" cy="318135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jc w:val="center"/>
        <w:rPr>
          <w:b w:val="1"/>
        </w:rPr>
      </w:pPr>
      <w:r w:rsidDel="00000000" w:rsidR="00000000" w:rsidRPr="00000000">
        <w:rPr>
          <w:b w:val="1"/>
          <w:rtl w:val="0"/>
        </w:rPr>
        <w:t xml:space="preserve">Figure. 1 A&amp;B: A 1-year-old girl with macrocephaly. The images illustrate the enlarged head secondary to Hydrocephalus. </w:t>
      </w:r>
    </w:p>
    <w:p w:rsidR="00000000" w:rsidDel="00000000" w:rsidP="00000000" w:rsidRDefault="00000000" w:rsidRPr="00000000" w14:paraId="0000003E">
      <w:pPr>
        <w:jc w:val="center"/>
        <w:rPr/>
      </w:pPr>
      <w:r w:rsidDel="00000000" w:rsidR="00000000" w:rsidRPr="00000000">
        <w:rPr>
          <w:rtl w:val="0"/>
        </w:rPr>
      </w:r>
    </w:p>
    <w:p w:rsidR="00000000" w:rsidDel="00000000" w:rsidP="00000000" w:rsidRDefault="00000000" w:rsidRPr="00000000" w14:paraId="0000003F">
      <w:pPr>
        <w:jc w:val="center"/>
        <w:rPr/>
      </w:pPr>
      <w:r w:rsidDel="00000000" w:rsidR="00000000" w:rsidRPr="00000000">
        <w:rPr/>
        <w:drawing>
          <wp:inline distB="114300" distT="114300" distL="114300" distR="114300">
            <wp:extent cx="3695700" cy="3694891"/>
            <wp:effectExtent b="0" l="0" r="0" t="0"/>
            <wp:docPr id="2"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3695700" cy="3694891"/>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jc w:val="center"/>
        <w:rPr>
          <w:b w:val="1"/>
        </w:rPr>
      </w:pPr>
      <w:r w:rsidDel="00000000" w:rsidR="00000000" w:rsidRPr="00000000">
        <w:rPr>
          <w:b w:val="1"/>
          <w:rtl w:val="0"/>
        </w:rPr>
        <w:t xml:space="preserve">Figure. 2: Preoperative image during endoscopic third ventriculostomy. Arrow represents a basilar artery visible through the stoma. Asterisk indicates mamillary body.</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orcid.org/0000-0002-8798-3542" TargetMode="External"/><Relationship Id="rId10" Type="http://schemas.openxmlformats.org/officeDocument/2006/relationships/hyperlink" Target="mailto:pradhumnayadav@gmail.com" TargetMode="External"/><Relationship Id="rId13" Type="http://schemas.openxmlformats.org/officeDocument/2006/relationships/hyperlink" Target="https://orcid.org/0000-0002-8798-3542" TargetMode="External"/><Relationship Id="rId12" Type="http://schemas.openxmlformats.org/officeDocument/2006/relationships/hyperlink" Target="mailto:pradhumnayadav@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rcid.org/0000-0002-8195-4265" TargetMode="External"/><Relationship Id="rId15" Type="http://schemas.openxmlformats.org/officeDocument/2006/relationships/image" Target="media/image1.jpg"/><Relationship Id="rId14" Type="http://schemas.openxmlformats.org/officeDocument/2006/relationships/image" Target="media/image2.jpg"/><Relationship Id="rId5" Type="http://schemas.openxmlformats.org/officeDocument/2006/relationships/styles" Target="styles.xml"/><Relationship Id="rId6" Type="http://schemas.openxmlformats.org/officeDocument/2006/relationships/hyperlink" Target="mailto:arwain.6n2@gmail.com" TargetMode="External"/><Relationship Id="rId7" Type="http://schemas.openxmlformats.org/officeDocument/2006/relationships/hyperlink" Target="https://orcid.org/0000-0003-2333-038X" TargetMode="External"/><Relationship Id="rId8" Type="http://schemas.openxmlformats.org/officeDocument/2006/relationships/hyperlink" Target="mailto:soha.xahi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