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4"/>
          <w:szCs w:val="24"/>
        </w:rPr>
      </w:pPr>
      <w:r w:rsidDel="00000000" w:rsidR="00000000" w:rsidRPr="00000000">
        <w:rPr>
          <w:b w:val="1"/>
          <w:sz w:val="24"/>
          <w:szCs w:val="24"/>
          <w:rtl w:val="0"/>
        </w:rPr>
        <w:t xml:space="preserve">Immediate improvement in GCS following needle aspiration of bilateral traumatic subdural effusion in a child in emergency room </w:t>
      </w:r>
    </w:p>
    <w:p w:rsidR="00000000" w:rsidDel="00000000" w:rsidP="00000000" w:rsidRDefault="00000000" w:rsidRPr="00000000" w14:paraId="00000002">
      <w:pPr>
        <w:jc w:val="center"/>
        <w:rPr>
          <w:b w:val="1"/>
          <w:sz w:val="24"/>
          <w:szCs w:val="24"/>
        </w:rPr>
      </w:pPr>
      <w:r w:rsidDel="00000000" w:rsidR="00000000" w:rsidRPr="00000000">
        <w:rPr>
          <w:rtl w:val="0"/>
        </w:rPr>
      </w:r>
    </w:p>
    <w:p w:rsidR="00000000" w:rsidDel="00000000" w:rsidP="00000000" w:rsidRDefault="00000000" w:rsidRPr="00000000" w14:paraId="00000003">
      <w:pPr>
        <w:jc w:val="center"/>
        <w:rPr/>
      </w:pPr>
      <w:r w:rsidDel="00000000" w:rsidR="00000000" w:rsidRPr="00000000">
        <w:rPr>
          <w:rtl w:val="0"/>
        </w:rPr>
        <w:t xml:space="preserve">Ahtesham Khizar</w:t>
      </w:r>
      <w:r w:rsidDel="00000000" w:rsidR="00000000" w:rsidRPr="00000000">
        <w:rPr>
          <w:vertAlign w:val="superscript"/>
          <w:rtl w:val="0"/>
        </w:rPr>
        <w:t xml:space="preserve">1</w:t>
      </w:r>
      <w:r w:rsidDel="00000000" w:rsidR="00000000" w:rsidRPr="00000000">
        <w:rPr>
          <w:rtl w:val="0"/>
        </w:rPr>
        <w:t xml:space="preserve">, Pradhumna Kumar Yadav</w:t>
      </w:r>
      <w:r w:rsidDel="00000000" w:rsidR="00000000" w:rsidRPr="00000000">
        <w:rPr>
          <w:vertAlign w:val="superscript"/>
          <w:rtl w:val="0"/>
        </w:rPr>
        <w:t xml:space="preserve">2</w:t>
      </w:r>
      <w:r w:rsidDel="00000000" w:rsidR="00000000" w:rsidRPr="00000000">
        <w:rPr>
          <w:rtl w:val="0"/>
        </w:rPr>
        <w:t xml:space="preserve"> </w: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jc w:val="center"/>
        <w:rPr/>
      </w:pPr>
      <w:r w:rsidDel="00000000" w:rsidR="00000000" w:rsidRPr="00000000">
        <w:rPr>
          <w:vertAlign w:val="superscript"/>
          <w:rtl w:val="0"/>
        </w:rPr>
        <w:t xml:space="preserve">1</w:t>
      </w:r>
      <w:r w:rsidDel="00000000" w:rsidR="00000000" w:rsidRPr="00000000">
        <w:rPr>
          <w:rtl w:val="0"/>
        </w:rPr>
        <w:t xml:space="preserve">Pakistan Institute of Medical Sciences, Islamabad, Pakistan</w:t>
      </w:r>
    </w:p>
    <w:p w:rsidR="00000000" w:rsidDel="00000000" w:rsidP="00000000" w:rsidRDefault="00000000" w:rsidRPr="00000000" w14:paraId="00000006">
      <w:pPr>
        <w:jc w:val="center"/>
        <w:rPr/>
      </w:pPr>
      <w:r w:rsidDel="00000000" w:rsidR="00000000" w:rsidRPr="00000000">
        <w:rPr>
          <w:vertAlign w:val="superscript"/>
          <w:rtl w:val="0"/>
        </w:rPr>
        <w:t xml:space="preserve">2</w:t>
      </w:r>
      <w:r w:rsidDel="00000000" w:rsidR="00000000" w:rsidRPr="00000000">
        <w:rPr>
          <w:rtl w:val="0"/>
        </w:rPr>
        <w:t xml:space="preserve">Janaki Health Care and Teaching Hospital, Janakpur, Nepal</w:t>
      </w:r>
    </w:p>
    <w:p w:rsidR="00000000" w:rsidDel="00000000" w:rsidP="00000000" w:rsidRDefault="00000000" w:rsidRPr="00000000" w14:paraId="00000007">
      <w:pPr>
        <w:jc w:val="center"/>
        <w:rPr/>
      </w:pPr>
      <w:r w:rsidDel="00000000" w:rsidR="00000000" w:rsidRPr="00000000">
        <w:rPr>
          <w:rtl w:val="0"/>
        </w:rPr>
      </w:r>
    </w:p>
    <w:p w:rsidR="00000000" w:rsidDel="00000000" w:rsidP="00000000" w:rsidRDefault="00000000" w:rsidRPr="00000000" w14:paraId="00000008">
      <w:pPr>
        <w:jc w:val="both"/>
        <w:rPr/>
      </w:pPr>
      <w:r w:rsidDel="00000000" w:rsidR="00000000" w:rsidRPr="00000000">
        <w:rPr>
          <w:rtl w:val="0"/>
        </w:rPr>
      </w:r>
    </w:p>
    <w:p w:rsidR="00000000" w:rsidDel="00000000" w:rsidP="00000000" w:rsidRDefault="00000000" w:rsidRPr="00000000" w14:paraId="00000009">
      <w:pPr>
        <w:spacing w:line="276" w:lineRule="auto"/>
        <w:jc w:val="both"/>
        <w:rPr>
          <w:b w:val="1"/>
        </w:rPr>
      </w:pPr>
      <w:r w:rsidDel="00000000" w:rsidR="00000000" w:rsidRPr="00000000">
        <w:rPr>
          <w:b w:val="1"/>
          <w:rtl w:val="0"/>
        </w:rPr>
        <w:t xml:space="preserve">Authors:</w:t>
      </w:r>
    </w:p>
    <w:p w:rsidR="00000000" w:rsidDel="00000000" w:rsidP="00000000" w:rsidRDefault="00000000" w:rsidRPr="00000000" w14:paraId="0000000A">
      <w:pPr>
        <w:spacing w:line="276" w:lineRule="auto"/>
        <w:jc w:val="both"/>
        <w:rPr/>
      </w:pPr>
      <w:r w:rsidDel="00000000" w:rsidR="00000000" w:rsidRPr="00000000">
        <w:rPr>
          <w:rtl w:val="0"/>
        </w:rPr>
      </w:r>
    </w:p>
    <w:p w:rsidR="00000000" w:rsidDel="00000000" w:rsidP="00000000" w:rsidRDefault="00000000" w:rsidRPr="00000000" w14:paraId="0000000B">
      <w:pPr>
        <w:spacing w:line="276" w:lineRule="auto"/>
        <w:jc w:val="both"/>
        <w:rPr/>
      </w:pPr>
      <w:r w:rsidDel="00000000" w:rsidR="00000000" w:rsidRPr="00000000">
        <w:rPr>
          <w:rtl w:val="0"/>
        </w:rPr>
        <w:t xml:space="preserve">Ahtesham Khizar </w:t>
      </w:r>
    </w:p>
    <w:p w:rsidR="00000000" w:rsidDel="00000000" w:rsidP="00000000" w:rsidRDefault="00000000" w:rsidRPr="00000000" w14:paraId="0000000C">
      <w:pPr>
        <w:spacing w:line="276" w:lineRule="auto"/>
        <w:jc w:val="both"/>
        <w:rPr/>
      </w:pPr>
      <w:r w:rsidDel="00000000" w:rsidR="00000000" w:rsidRPr="00000000">
        <w:rPr>
          <w:rtl w:val="0"/>
        </w:rPr>
        <w:t xml:space="preserve">Email: </w:t>
      </w:r>
      <w:hyperlink r:id="rId6">
        <w:r w:rsidDel="00000000" w:rsidR="00000000" w:rsidRPr="00000000">
          <w:rPr>
            <w:color w:val="1155cc"/>
            <w:u w:val="single"/>
            <w:rtl w:val="0"/>
          </w:rPr>
          <w:t xml:space="preserve">arwain.6n2@gmail.com</w:t>
        </w:r>
      </w:hyperlink>
      <w:r w:rsidDel="00000000" w:rsidR="00000000" w:rsidRPr="00000000">
        <w:rPr>
          <w:rtl w:val="0"/>
        </w:rPr>
        <w:t xml:space="preserve"> </w:t>
      </w:r>
    </w:p>
    <w:p w:rsidR="00000000" w:rsidDel="00000000" w:rsidP="00000000" w:rsidRDefault="00000000" w:rsidRPr="00000000" w14:paraId="0000000D">
      <w:pPr>
        <w:spacing w:line="276" w:lineRule="auto"/>
        <w:jc w:val="both"/>
        <w:rPr/>
      </w:pPr>
      <w:r w:rsidDel="00000000" w:rsidR="00000000" w:rsidRPr="00000000">
        <w:rPr>
          <w:rtl w:val="0"/>
        </w:rPr>
        <w:t xml:space="preserve">Orcid: </w:t>
      </w:r>
      <w:hyperlink r:id="rId7">
        <w:r w:rsidDel="00000000" w:rsidR="00000000" w:rsidRPr="00000000">
          <w:rPr>
            <w:color w:val="1155cc"/>
            <w:u w:val="single"/>
            <w:rtl w:val="0"/>
          </w:rPr>
          <w:t xml:space="preserve">https://orcid.org/0000-0003-2333-038X</w:t>
        </w:r>
      </w:hyperlink>
      <w:r w:rsidDel="00000000" w:rsidR="00000000" w:rsidRPr="00000000">
        <w:rPr>
          <w:rtl w:val="0"/>
        </w:rPr>
      </w:r>
    </w:p>
    <w:p w:rsidR="00000000" w:rsidDel="00000000" w:rsidP="00000000" w:rsidRDefault="00000000" w:rsidRPr="00000000" w14:paraId="0000000E">
      <w:pPr>
        <w:spacing w:line="276" w:lineRule="auto"/>
        <w:jc w:val="both"/>
        <w:rPr/>
      </w:pPr>
      <w:r w:rsidDel="00000000" w:rsidR="00000000" w:rsidRPr="00000000">
        <w:rPr>
          <w:rtl w:val="0"/>
        </w:rPr>
        <w:t xml:space="preserve">Department of Neurosurgery </w:t>
      </w:r>
    </w:p>
    <w:p w:rsidR="00000000" w:rsidDel="00000000" w:rsidP="00000000" w:rsidRDefault="00000000" w:rsidRPr="00000000" w14:paraId="0000000F">
      <w:pPr>
        <w:spacing w:line="276" w:lineRule="auto"/>
        <w:jc w:val="both"/>
        <w:rPr/>
      </w:pPr>
      <w:r w:rsidDel="00000000" w:rsidR="00000000" w:rsidRPr="00000000">
        <w:rPr>
          <w:rtl w:val="0"/>
        </w:rPr>
        <w:t xml:space="preserve">Pakistan Institute of Medical Sciences, Islamabad, Pakistan </w:t>
      </w:r>
    </w:p>
    <w:p w:rsidR="00000000" w:rsidDel="00000000" w:rsidP="00000000" w:rsidRDefault="00000000" w:rsidRPr="00000000" w14:paraId="00000010">
      <w:pPr>
        <w:spacing w:line="276" w:lineRule="auto"/>
        <w:jc w:val="both"/>
        <w:rPr/>
      </w:pPr>
      <w:r w:rsidDel="00000000" w:rsidR="00000000" w:rsidRPr="00000000">
        <w:rPr>
          <w:rtl w:val="0"/>
        </w:rPr>
      </w:r>
    </w:p>
    <w:p w:rsidR="00000000" w:rsidDel="00000000" w:rsidP="00000000" w:rsidRDefault="00000000" w:rsidRPr="00000000" w14:paraId="00000011">
      <w:pPr>
        <w:spacing w:line="276" w:lineRule="auto"/>
        <w:jc w:val="both"/>
        <w:rPr/>
      </w:pPr>
      <w:r w:rsidDel="00000000" w:rsidR="00000000" w:rsidRPr="00000000">
        <w:rPr>
          <w:rtl w:val="0"/>
        </w:rPr>
        <w:t xml:space="preserve">Pradhumna Kumar Yadav </w:t>
      </w:r>
    </w:p>
    <w:p w:rsidR="00000000" w:rsidDel="00000000" w:rsidP="00000000" w:rsidRDefault="00000000" w:rsidRPr="00000000" w14:paraId="00000012">
      <w:pPr>
        <w:spacing w:line="276" w:lineRule="auto"/>
        <w:jc w:val="both"/>
        <w:rPr/>
      </w:pPr>
      <w:r w:rsidDel="00000000" w:rsidR="00000000" w:rsidRPr="00000000">
        <w:rPr>
          <w:rtl w:val="0"/>
        </w:rPr>
        <w:t xml:space="preserve">Email: </w:t>
      </w:r>
      <w:hyperlink r:id="rId8">
        <w:r w:rsidDel="00000000" w:rsidR="00000000" w:rsidRPr="00000000">
          <w:rPr>
            <w:color w:val="1155cc"/>
            <w:u w:val="single"/>
            <w:rtl w:val="0"/>
          </w:rPr>
          <w:t xml:space="preserve">pradhumnayadav@gmail.com</w:t>
        </w:r>
      </w:hyperlink>
      <w:r w:rsidDel="00000000" w:rsidR="00000000" w:rsidRPr="00000000">
        <w:rPr>
          <w:rtl w:val="0"/>
        </w:rPr>
        <w:t xml:space="preserve"> </w:t>
      </w:r>
    </w:p>
    <w:p w:rsidR="00000000" w:rsidDel="00000000" w:rsidP="00000000" w:rsidRDefault="00000000" w:rsidRPr="00000000" w14:paraId="00000013">
      <w:pPr>
        <w:spacing w:line="276" w:lineRule="auto"/>
        <w:jc w:val="both"/>
        <w:rPr/>
      </w:pPr>
      <w:r w:rsidDel="00000000" w:rsidR="00000000" w:rsidRPr="00000000">
        <w:rPr>
          <w:rtl w:val="0"/>
        </w:rPr>
        <w:t xml:space="preserve">Orcid: </w:t>
      </w:r>
      <w:hyperlink r:id="rId9">
        <w:r w:rsidDel="00000000" w:rsidR="00000000" w:rsidRPr="00000000">
          <w:rPr>
            <w:color w:val="1155cc"/>
            <w:u w:val="single"/>
            <w:rtl w:val="0"/>
          </w:rPr>
          <w:t xml:space="preserve">https://orcid.org/0000-0002-8798-3542</w:t>
        </w:r>
      </w:hyperlink>
      <w:r w:rsidDel="00000000" w:rsidR="00000000" w:rsidRPr="00000000">
        <w:rPr>
          <w:rtl w:val="0"/>
        </w:rPr>
      </w:r>
    </w:p>
    <w:p w:rsidR="00000000" w:rsidDel="00000000" w:rsidP="00000000" w:rsidRDefault="00000000" w:rsidRPr="00000000" w14:paraId="00000014">
      <w:pPr>
        <w:spacing w:line="276" w:lineRule="auto"/>
        <w:jc w:val="both"/>
        <w:rPr/>
      </w:pPr>
      <w:r w:rsidDel="00000000" w:rsidR="00000000" w:rsidRPr="00000000">
        <w:rPr>
          <w:rtl w:val="0"/>
        </w:rPr>
        <w:t xml:space="preserve">Department of Neurosurgery </w:t>
      </w:r>
    </w:p>
    <w:p w:rsidR="00000000" w:rsidDel="00000000" w:rsidP="00000000" w:rsidRDefault="00000000" w:rsidRPr="00000000" w14:paraId="00000015">
      <w:pPr>
        <w:spacing w:line="276" w:lineRule="auto"/>
        <w:jc w:val="both"/>
        <w:rPr/>
      </w:pPr>
      <w:r w:rsidDel="00000000" w:rsidR="00000000" w:rsidRPr="00000000">
        <w:rPr>
          <w:rtl w:val="0"/>
        </w:rPr>
        <w:t xml:space="preserve">Janaki Health Care and Teaching Hospital, Janakpur, Nepal</w:t>
      </w:r>
    </w:p>
    <w:p w:rsidR="00000000" w:rsidDel="00000000" w:rsidP="00000000" w:rsidRDefault="00000000" w:rsidRPr="00000000" w14:paraId="00000016">
      <w:pPr>
        <w:spacing w:line="276" w:lineRule="auto"/>
        <w:jc w:val="both"/>
        <w:rPr/>
      </w:pPr>
      <w:r w:rsidDel="00000000" w:rsidR="00000000" w:rsidRPr="00000000">
        <w:rPr>
          <w:rtl w:val="0"/>
        </w:rPr>
      </w:r>
    </w:p>
    <w:p w:rsidR="00000000" w:rsidDel="00000000" w:rsidP="00000000" w:rsidRDefault="00000000" w:rsidRPr="00000000" w14:paraId="00000017">
      <w:pPr>
        <w:spacing w:line="276" w:lineRule="auto"/>
        <w:jc w:val="both"/>
        <w:rPr>
          <w:b w:val="1"/>
        </w:rPr>
      </w:pPr>
      <w:r w:rsidDel="00000000" w:rsidR="00000000" w:rsidRPr="00000000">
        <w:rPr>
          <w:b w:val="1"/>
          <w:rtl w:val="0"/>
        </w:rPr>
        <w:t xml:space="preserve">Corresponding Author:</w:t>
      </w:r>
    </w:p>
    <w:p w:rsidR="00000000" w:rsidDel="00000000" w:rsidP="00000000" w:rsidRDefault="00000000" w:rsidRPr="00000000" w14:paraId="00000018">
      <w:pPr>
        <w:spacing w:line="276" w:lineRule="auto"/>
        <w:jc w:val="both"/>
        <w:rPr/>
      </w:pPr>
      <w:r w:rsidDel="00000000" w:rsidR="00000000" w:rsidRPr="00000000">
        <w:rPr>
          <w:rtl w:val="0"/>
        </w:rPr>
      </w:r>
    </w:p>
    <w:p w:rsidR="00000000" w:rsidDel="00000000" w:rsidP="00000000" w:rsidRDefault="00000000" w:rsidRPr="00000000" w14:paraId="00000019">
      <w:pPr>
        <w:spacing w:line="276" w:lineRule="auto"/>
        <w:jc w:val="both"/>
        <w:rPr/>
      </w:pPr>
      <w:r w:rsidDel="00000000" w:rsidR="00000000" w:rsidRPr="00000000">
        <w:rPr>
          <w:rtl w:val="0"/>
        </w:rPr>
        <w:t xml:space="preserve">Pradhumna Kumar Yadav </w:t>
      </w:r>
    </w:p>
    <w:p w:rsidR="00000000" w:rsidDel="00000000" w:rsidP="00000000" w:rsidRDefault="00000000" w:rsidRPr="00000000" w14:paraId="0000001A">
      <w:pPr>
        <w:spacing w:line="276" w:lineRule="auto"/>
        <w:jc w:val="both"/>
        <w:rPr/>
      </w:pPr>
      <w:r w:rsidDel="00000000" w:rsidR="00000000" w:rsidRPr="00000000">
        <w:rPr>
          <w:rtl w:val="0"/>
        </w:rPr>
        <w:t xml:space="preserve">Email: </w:t>
      </w:r>
      <w:hyperlink r:id="rId10">
        <w:r w:rsidDel="00000000" w:rsidR="00000000" w:rsidRPr="00000000">
          <w:rPr>
            <w:color w:val="1155cc"/>
            <w:u w:val="single"/>
            <w:rtl w:val="0"/>
          </w:rPr>
          <w:t xml:space="preserve">pradhumnayadav@gmail.com</w:t>
        </w:r>
      </w:hyperlink>
      <w:r w:rsidDel="00000000" w:rsidR="00000000" w:rsidRPr="00000000">
        <w:rPr>
          <w:rtl w:val="0"/>
        </w:rPr>
        <w:t xml:space="preserve"> </w:t>
      </w:r>
    </w:p>
    <w:p w:rsidR="00000000" w:rsidDel="00000000" w:rsidP="00000000" w:rsidRDefault="00000000" w:rsidRPr="00000000" w14:paraId="0000001B">
      <w:pPr>
        <w:spacing w:line="276" w:lineRule="auto"/>
        <w:jc w:val="both"/>
        <w:rPr/>
      </w:pPr>
      <w:r w:rsidDel="00000000" w:rsidR="00000000" w:rsidRPr="00000000">
        <w:rPr>
          <w:rtl w:val="0"/>
        </w:rPr>
        <w:t xml:space="preserve">Orcid: </w:t>
      </w:r>
      <w:hyperlink r:id="rId11">
        <w:r w:rsidDel="00000000" w:rsidR="00000000" w:rsidRPr="00000000">
          <w:rPr>
            <w:color w:val="1155cc"/>
            <w:u w:val="single"/>
            <w:rtl w:val="0"/>
          </w:rPr>
          <w:t xml:space="preserve">https://orcid.org/0000-0002-8798-3542</w:t>
        </w:r>
      </w:hyperlink>
      <w:r w:rsidDel="00000000" w:rsidR="00000000" w:rsidRPr="00000000">
        <w:rPr>
          <w:rtl w:val="0"/>
        </w:rPr>
        <w:t xml:space="preserve"> </w:t>
      </w:r>
    </w:p>
    <w:p w:rsidR="00000000" w:rsidDel="00000000" w:rsidP="00000000" w:rsidRDefault="00000000" w:rsidRPr="00000000" w14:paraId="0000001C">
      <w:pPr>
        <w:spacing w:line="276" w:lineRule="auto"/>
        <w:jc w:val="both"/>
        <w:rPr/>
      </w:pPr>
      <w:r w:rsidDel="00000000" w:rsidR="00000000" w:rsidRPr="00000000">
        <w:rPr>
          <w:rtl w:val="0"/>
        </w:rPr>
        <w:t xml:space="preserve">Department of Neurosurgery </w:t>
      </w:r>
    </w:p>
    <w:p w:rsidR="00000000" w:rsidDel="00000000" w:rsidP="00000000" w:rsidRDefault="00000000" w:rsidRPr="00000000" w14:paraId="0000001D">
      <w:pPr>
        <w:spacing w:line="276" w:lineRule="auto"/>
        <w:jc w:val="both"/>
        <w:rPr/>
      </w:pPr>
      <w:r w:rsidDel="00000000" w:rsidR="00000000" w:rsidRPr="00000000">
        <w:rPr>
          <w:rtl w:val="0"/>
        </w:rPr>
        <w:t xml:space="preserve">Janaki Health Care and Teaching Hospital, Janakpur, Nepal</w:t>
      </w:r>
    </w:p>
    <w:p w:rsidR="00000000" w:rsidDel="00000000" w:rsidP="00000000" w:rsidRDefault="00000000" w:rsidRPr="00000000" w14:paraId="0000001E">
      <w:pPr>
        <w:jc w:val="both"/>
        <w:rPr/>
      </w:pPr>
      <w:r w:rsidDel="00000000" w:rsidR="00000000" w:rsidRPr="00000000">
        <w:rPr>
          <w:rtl w:val="0"/>
        </w:rPr>
      </w:r>
    </w:p>
    <w:p w:rsidR="00000000" w:rsidDel="00000000" w:rsidP="00000000" w:rsidRDefault="00000000" w:rsidRPr="00000000" w14:paraId="0000001F">
      <w:pPr>
        <w:jc w:val="both"/>
        <w:rPr/>
      </w:pPr>
      <w:r w:rsidDel="00000000" w:rsidR="00000000" w:rsidRPr="00000000">
        <w:rPr>
          <w:rtl w:val="0"/>
        </w:rPr>
      </w:r>
    </w:p>
    <w:p w:rsidR="00000000" w:rsidDel="00000000" w:rsidP="00000000" w:rsidRDefault="00000000" w:rsidRPr="00000000" w14:paraId="00000020">
      <w:pPr>
        <w:jc w:val="both"/>
        <w:rPr/>
      </w:pPr>
      <w:r w:rsidDel="00000000" w:rsidR="00000000" w:rsidRPr="00000000">
        <w:rPr>
          <w:b w:val="1"/>
          <w:rtl w:val="0"/>
        </w:rPr>
        <w:t xml:space="preserve">Abstract:</w:t>
      </w:r>
      <w:r w:rsidDel="00000000" w:rsidR="00000000" w:rsidRPr="00000000">
        <w:rPr>
          <w:rtl w:val="0"/>
        </w:rPr>
        <w:t xml:space="preserve"> A child had been vomiting, convulsing, and having an abnormal sensorium for 3 days. He fell from his mother's lap 20 days back. On CT scan brain, he had traumatic subdural effusion. In the emergency room, he underwent subdural effusion needle aspiration, which resulted in an immediate improvement in GCS.</w:t>
      </w:r>
    </w:p>
    <w:p w:rsidR="00000000" w:rsidDel="00000000" w:rsidP="00000000" w:rsidRDefault="00000000" w:rsidRPr="00000000" w14:paraId="00000021">
      <w:pPr>
        <w:jc w:val="both"/>
        <w:rPr/>
      </w:pPr>
      <w:r w:rsidDel="00000000" w:rsidR="00000000" w:rsidRPr="00000000">
        <w:rPr>
          <w:rtl w:val="0"/>
        </w:rPr>
      </w:r>
    </w:p>
    <w:p w:rsidR="00000000" w:rsidDel="00000000" w:rsidP="00000000" w:rsidRDefault="00000000" w:rsidRPr="00000000" w14:paraId="00000022">
      <w:pPr>
        <w:jc w:val="both"/>
        <w:rPr/>
      </w:pPr>
      <w:r w:rsidDel="00000000" w:rsidR="00000000" w:rsidRPr="00000000">
        <w:rPr>
          <w:b w:val="1"/>
          <w:rtl w:val="0"/>
        </w:rPr>
        <w:t xml:space="preserve">Keywords:</w:t>
      </w:r>
      <w:r w:rsidDel="00000000" w:rsidR="00000000" w:rsidRPr="00000000">
        <w:rPr>
          <w:rtl w:val="0"/>
        </w:rPr>
        <w:t xml:space="preserve"> Trauma, Subdural effusion, Needle aspiration, GCS</w:t>
      </w:r>
    </w:p>
    <w:p w:rsidR="00000000" w:rsidDel="00000000" w:rsidP="00000000" w:rsidRDefault="00000000" w:rsidRPr="00000000" w14:paraId="00000023">
      <w:pPr>
        <w:jc w:val="both"/>
        <w:rPr/>
      </w:pPr>
      <w:r w:rsidDel="00000000" w:rsidR="00000000" w:rsidRPr="00000000">
        <w:rPr>
          <w:rtl w:val="0"/>
        </w:rPr>
      </w:r>
    </w:p>
    <w:p w:rsidR="00000000" w:rsidDel="00000000" w:rsidP="00000000" w:rsidRDefault="00000000" w:rsidRPr="00000000" w14:paraId="00000024">
      <w:pPr>
        <w:jc w:val="both"/>
        <w:rPr/>
      </w:pPr>
      <w:r w:rsidDel="00000000" w:rsidR="00000000" w:rsidRPr="00000000">
        <w:rPr>
          <w:rtl w:val="0"/>
        </w:rPr>
      </w:r>
    </w:p>
    <w:p w:rsidR="00000000" w:rsidDel="00000000" w:rsidP="00000000" w:rsidRDefault="00000000" w:rsidRPr="00000000" w14:paraId="00000025">
      <w:pPr>
        <w:jc w:val="both"/>
        <w:rPr>
          <w:vertAlign w:val="superscript"/>
        </w:rPr>
      </w:pPr>
      <w:r w:rsidDel="00000000" w:rsidR="00000000" w:rsidRPr="00000000">
        <w:rPr>
          <w:rtl w:val="0"/>
        </w:rPr>
        <w:t xml:space="preserve">The collection of CSF fluid, xanthochromic or slightly blood-tinged fluid between the dura and the arachnoid membrane is known as Traumatic Subdural Effusion (TSE). Mayo was the first to report it in 1894. TSE is a common occurrence but little is known about its pathogenesis, clinical relevance, management, or outcome after a small head injury. A minor trauma can cause the dura arachnoid interface to separate, which is the first step in the formation of a subdural effusion. Incidence varies from 0.81-13% regardless of the degree and site of brain injury.</w:t>
      </w:r>
      <w:r w:rsidDel="00000000" w:rsidR="00000000" w:rsidRPr="00000000">
        <w:rPr>
          <w:vertAlign w:val="superscript"/>
          <w:rtl w:val="0"/>
        </w:rPr>
        <w:t xml:space="preserve">1</w:t>
      </w:r>
    </w:p>
    <w:p w:rsidR="00000000" w:rsidDel="00000000" w:rsidP="00000000" w:rsidRDefault="00000000" w:rsidRPr="00000000" w14:paraId="00000026">
      <w:pPr>
        <w:jc w:val="both"/>
        <w:rPr/>
      </w:pPr>
      <w:r w:rsidDel="00000000" w:rsidR="00000000" w:rsidRPr="00000000">
        <w:rPr>
          <w:rtl w:val="0"/>
        </w:rPr>
      </w:r>
    </w:p>
    <w:p w:rsidR="00000000" w:rsidDel="00000000" w:rsidP="00000000" w:rsidRDefault="00000000" w:rsidRPr="00000000" w14:paraId="00000027">
      <w:pPr>
        <w:jc w:val="both"/>
        <w:rPr/>
      </w:pPr>
      <w:r w:rsidDel="00000000" w:rsidR="00000000" w:rsidRPr="00000000">
        <w:rPr>
          <w:rtl w:val="0"/>
        </w:rPr>
        <w:t xml:space="preserve">For three days, a four-month-old child had been vomiting, having convulsions, and had an abnormal sensorium. He had previously fallen from his mother's lap 20 days prior. He had GCS 11 with bilateral reactive pupils on examination. On a non-contrast computed tomography (CT) scan of his brain, he had a traumatic subdural effusion on both sides. (Figure.1) In the emergency room, he had subdural effusion needle aspiration (100 ml from each side), which resulted in an immediate improvement in GCS. (Figure. 2 A&amp;B)</w:t>
      </w:r>
    </w:p>
    <w:p w:rsidR="00000000" w:rsidDel="00000000" w:rsidP="00000000" w:rsidRDefault="00000000" w:rsidRPr="00000000" w14:paraId="00000028">
      <w:pPr>
        <w:jc w:val="both"/>
        <w:rPr/>
      </w:pPr>
      <w:r w:rsidDel="00000000" w:rsidR="00000000" w:rsidRPr="00000000">
        <w:rPr>
          <w:rtl w:val="0"/>
        </w:rPr>
      </w:r>
    </w:p>
    <w:p w:rsidR="00000000" w:rsidDel="00000000" w:rsidP="00000000" w:rsidRDefault="00000000" w:rsidRPr="00000000" w14:paraId="00000029">
      <w:pPr>
        <w:jc w:val="both"/>
        <w:rPr>
          <w:vertAlign w:val="superscript"/>
        </w:rPr>
      </w:pPr>
      <w:r w:rsidDel="00000000" w:rsidR="00000000" w:rsidRPr="00000000">
        <w:rPr>
          <w:rtl w:val="0"/>
        </w:rPr>
        <w:t xml:space="preserve">TSE needs to be differentiated from other causes of subdural effusions in children, mainly external hydrocephalus, chronic subdural hematoma, effusions secondary to meningitis, intracranial hemorrhage and cortical atrophy.</w:t>
      </w:r>
      <w:r w:rsidDel="00000000" w:rsidR="00000000" w:rsidRPr="00000000">
        <w:rPr>
          <w:vertAlign w:val="superscript"/>
          <w:rtl w:val="0"/>
        </w:rPr>
        <w:t xml:space="preserve">1 </w:t>
      </w:r>
      <w:r w:rsidDel="00000000" w:rsidR="00000000" w:rsidRPr="00000000">
        <w:rPr>
          <w:rtl w:val="0"/>
        </w:rPr>
        <w:t xml:space="preserve">Antiepileptic medications and acetazolamide therapy can be used to treat the majority of children with TSE. Clinical symptoms improve, seizures become less frequent, and effusions fade away over time. In cases where there is a considerable mass effect, surgical decompression, such as drainage or shunting, is recommended.</w:t>
      </w:r>
      <w:r w:rsidDel="00000000" w:rsidR="00000000" w:rsidRPr="00000000">
        <w:rPr>
          <w:vertAlign w:val="superscript"/>
          <w:rtl w:val="0"/>
        </w:rPr>
        <w:t xml:space="preserve">2</w:t>
      </w:r>
    </w:p>
    <w:p w:rsidR="00000000" w:rsidDel="00000000" w:rsidP="00000000" w:rsidRDefault="00000000" w:rsidRPr="00000000" w14:paraId="0000002A">
      <w:pPr>
        <w:jc w:val="both"/>
        <w:rPr/>
      </w:pPr>
      <w:r w:rsidDel="00000000" w:rsidR="00000000" w:rsidRPr="00000000">
        <w:rPr>
          <w:rtl w:val="0"/>
        </w:rPr>
      </w:r>
    </w:p>
    <w:p w:rsidR="00000000" w:rsidDel="00000000" w:rsidP="00000000" w:rsidRDefault="00000000" w:rsidRPr="00000000" w14:paraId="0000002B">
      <w:pPr>
        <w:jc w:val="both"/>
        <w:rPr/>
      </w:pPr>
      <w:r w:rsidDel="00000000" w:rsidR="00000000" w:rsidRPr="00000000">
        <w:rPr>
          <w:rtl w:val="0"/>
        </w:rPr>
      </w:r>
    </w:p>
    <w:p w:rsidR="00000000" w:rsidDel="00000000" w:rsidP="00000000" w:rsidRDefault="00000000" w:rsidRPr="00000000" w14:paraId="0000002C">
      <w:pPr>
        <w:jc w:val="both"/>
        <w:rPr/>
      </w:pPr>
      <w:r w:rsidDel="00000000" w:rsidR="00000000" w:rsidRPr="00000000">
        <w:rPr>
          <w:b w:val="1"/>
          <w:rtl w:val="0"/>
        </w:rPr>
        <w:t xml:space="preserve">Acknowledgements:</w:t>
      </w:r>
      <w:r w:rsidDel="00000000" w:rsidR="00000000" w:rsidRPr="00000000">
        <w:rPr>
          <w:rtl w:val="0"/>
        </w:rPr>
        <w:t xml:space="preserve"> Not applicable. </w:t>
      </w:r>
    </w:p>
    <w:p w:rsidR="00000000" w:rsidDel="00000000" w:rsidP="00000000" w:rsidRDefault="00000000" w:rsidRPr="00000000" w14:paraId="0000002D">
      <w:pPr>
        <w:spacing w:line="276" w:lineRule="auto"/>
        <w:jc w:val="both"/>
        <w:rPr/>
      </w:pPr>
      <w:r w:rsidDel="00000000" w:rsidR="00000000" w:rsidRPr="00000000">
        <w:rPr>
          <w:b w:val="1"/>
          <w:rtl w:val="0"/>
        </w:rPr>
        <w:t xml:space="preserve">Author contributions:</w:t>
      </w:r>
      <w:r w:rsidDel="00000000" w:rsidR="00000000" w:rsidRPr="00000000">
        <w:rPr>
          <w:rtl w:val="0"/>
        </w:rPr>
        <w:t xml:space="preserve"> AK was involved in the management of the patient. AK wrote the manuscript while PKY analyzed the data. Both the authors read and approved the final manuscript.</w:t>
      </w:r>
    </w:p>
    <w:p w:rsidR="00000000" w:rsidDel="00000000" w:rsidP="00000000" w:rsidRDefault="00000000" w:rsidRPr="00000000" w14:paraId="0000002E">
      <w:pPr>
        <w:spacing w:line="276" w:lineRule="auto"/>
        <w:jc w:val="both"/>
        <w:rPr/>
      </w:pPr>
      <w:r w:rsidDel="00000000" w:rsidR="00000000" w:rsidRPr="00000000">
        <w:rPr>
          <w:b w:val="1"/>
          <w:rtl w:val="0"/>
        </w:rPr>
        <w:t xml:space="preserve">Conflict of interest:</w:t>
      </w:r>
      <w:r w:rsidDel="00000000" w:rsidR="00000000" w:rsidRPr="00000000">
        <w:rPr>
          <w:rtl w:val="0"/>
        </w:rPr>
        <w:t xml:space="preserve"> Authors declare no conflict of interest. </w:t>
      </w:r>
    </w:p>
    <w:p w:rsidR="00000000" w:rsidDel="00000000" w:rsidP="00000000" w:rsidRDefault="00000000" w:rsidRPr="00000000" w14:paraId="0000002F">
      <w:pPr>
        <w:spacing w:line="276" w:lineRule="auto"/>
        <w:jc w:val="both"/>
        <w:rPr/>
      </w:pPr>
      <w:r w:rsidDel="00000000" w:rsidR="00000000" w:rsidRPr="00000000">
        <w:rPr>
          <w:b w:val="1"/>
          <w:rtl w:val="0"/>
        </w:rPr>
        <w:t xml:space="preserve">Ethical approval:</w:t>
      </w:r>
      <w:r w:rsidDel="00000000" w:rsidR="00000000" w:rsidRPr="00000000">
        <w:rPr>
          <w:rtl w:val="0"/>
        </w:rPr>
        <w:t xml:space="preserve"> Not applicable. </w:t>
      </w:r>
    </w:p>
    <w:p w:rsidR="00000000" w:rsidDel="00000000" w:rsidP="00000000" w:rsidRDefault="00000000" w:rsidRPr="00000000" w14:paraId="00000030">
      <w:pPr>
        <w:spacing w:line="276" w:lineRule="auto"/>
        <w:jc w:val="both"/>
        <w:rPr/>
      </w:pPr>
      <w:r w:rsidDel="00000000" w:rsidR="00000000" w:rsidRPr="00000000">
        <w:rPr>
          <w:b w:val="1"/>
          <w:rtl w:val="0"/>
        </w:rPr>
        <w:t xml:space="preserve">Consent:</w:t>
      </w:r>
      <w:r w:rsidDel="00000000" w:rsidR="00000000" w:rsidRPr="00000000">
        <w:rPr>
          <w:rtl w:val="0"/>
        </w:rPr>
        <w:t xml:space="preserve"> Written informed consent was obtained from the father of the child for publication of images. </w:t>
      </w:r>
    </w:p>
    <w:p w:rsidR="00000000" w:rsidDel="00000000" w:rsidP="00000000" w:rsidRDefault="00000000" w:rsidRPr="00000000" w14:paraId="00000031">
      <w:pPr>
        <w:spacing w:line="276" w:lineRule="auto"/>
        <w:jc w:val="both"/>
        <w:rPr/>
      </w:pPr>
      <w:r w:rsidDel="00000000" w:rsidR="00000000" w:rsidRPr="00000000">
        <w:rPr>
          <w:b w:val="1"/>
          <w:rtl w:val="0"/>
        </w:rPr>
        <w:t xml:space="preserve">Data availability statement:</w:t>
      </w:r>
      <w:r w:rsidDel="00000000" w:rsidR="00000000" w:rsidRPr="00000000">
        <w:rPr>
          <w:rtl w:val="0"/>
        </w:rPr>
        <w:t xml:space="preserve"> All the data is available within the article.</w:t>
      </w:r>
    </w:p>
    <w:p w:rsidR="00000000" w:rsidDel="00000000" w:rsidP="00000000" w:rsidRDefault="00000000" w:rsidRPr="00000000" w14:paraId="00000032">
      <w:pPr>
        <w:jc w:val="both"/>
        <w:rPr/>
      </w:pPr>
      <w:r w:rsidDel="00000000" w:rsidR="00000000" w:rsidRPr="00000000">
        <w:rPr>
          <w:rtl w:val="0"/>
        </w:rPr>
      </w:r>
    </w:p>
    <w:p w:rsidR="00000000" w:rsidDel="00000000" w:rsidP="00000000" w:rsidRDefault="00000000" w:rsidRPr="00000000" w14:paraId="00000033">
      <w:pPr>
        <w:jc w:val="both"/>
        <w:rPr/>
      </w:pPr>
      <w:r w:rsidDel="00000000" w:rsidR="00000000" w:rsidRPr="00000000">
        <w:rPr>
          <w:rtl w:val="0"/>
        </w:rPr>
      </w:r>
    </w:p>
    <w:p w:rsidR="00000000" w:rsidDel="00000000" w:rsidP="00000000" w:rsidRDefault="00000000" w:rsidRPr="00000000" w14:paraId="00000034">
      <w:pPr>
        <w:jc w:val="both"/>
        <w:rPr>
          <w:b w:val="1"/>
        </w:rPr>
      </w:pPr>
      <w:r w:rsidDel="00000000" w:rsidR="00000000" w:rsidRPr="00000000">
        <w:rPr>
          <w:b w:val="1"/>
          <w:rtl w:val="0"/>
        </w:rPr>
        <w:t xml:space="preserve">References:</w:t>
      </w:r>
    </w:p>
    <w:p w:rsidR="00000000" w:rsidDel="00000000" w:rsidP="00000000" w:rsidRDefault="00000000" w:rsidRPr="00000000" w14:paraId="00000035">
      <w:pPr>
        <w:jc w:val="both"/>
        <w:rPr/>
      </w:pPr>
      <w:r w:rsidDel="00000000" w:rsidR="00000000" w:rsidRPr="00000000">
        <w:rPr>
          <w:rtl w:val="0"/>
        </w:rPr>
      </w:r>
    </w:p>
    <w:p w:rsidR="00000000" w:rsidDel="00000000" w:rsidP="00000000" w:rsidRDefault="00000000" w:rsidRPr="00000000" w14:paraId="00000036">
      <w:pPr>
        <w:numPr>
          <w:ilvl w:val="0"/>
          <w:numId w:val="1"/>
        </w:numPr>
        <w:ind w:left="720" w:hanging="360"/>
        <w:jc w:val="both"/>
        <w:rPr>
          <w:u w:val="none"/>
        </w:rPr>
      </w:pPr>
      <w:r w:rsidDel="00000000" w:rsidR="00000000" w:rsidRPr="00000000">
        <w:rPr>
          <w:rtl w:val="0"/>
        </w:rPr>
        <w:t xml:space="preserve">Kumar R, Singhal N, Mahapatra AK. Traumatic subdural effusions in children following minor head injury. Childs Nerv Syst. 2008;24(12):1391-1396. doi:10.1007/s00381-008-0645-1</w:t>
      </w:r>
    </w:p>
    <w:p w:rsidR="00000000" w:rsidDel="00000000" w:rsidP="00000000" w:rsidRDefault="00000000" w:rsidRPr="00000000" w14:paraId="00000037">
      <w:pPr>
        <w:numPr>
          <w:ilvl w:val="0"/>
          <w:numId w:val="1"/>
        </w:numPr>
        <w:ind w:left="720" w:hanging="360"/>
        <w:jc w:val="both"/>
        <w:rPr>
          <w:u w:val="none"/>
        </w:rPr>
      </w:pPr>
      <w:r w:rsidDel="00000000" w:rsidR="00000000" w:rsidRPr="00000000">
        <w:rPr>
          <w:rtl w:val="0"/>
        </w:rPr>
        <w:t xml:space="preserve">Tsuang FY, Huang AP, Tsai YH, et al. Treatment of patients with traumatic subdural effusion and concomitant hydrocephalus. J Neurosurg. 2012;116(3):558-565. doi:10.3171/2011.10.JNS11711</w:t>
      </w:r>
    </w:p>
    <w:p w:rsidR="00000000" w:rsidDel="00000000" w:rsidP="00000000" w:rsidRDefault="00000000" w:rsidRPr="00000000" w14:paraId="00000038">
      <w:pPr>
        <w:jc w:val="both"/>
        <w:rPr/>
      </w:pPr>
      <w:r w:rsidDel="00000000" w:rsidR="00000000" w:rsidRPr="00000000">
        <w:rPr>
          <w:rtl w:val="0"/>
        </w:rPr>
      </w:r>
    </w:p>
    <w:p w:rsidR="00000000" w:rsidDel="00000000" w:rsidP="00000000" w:rsidRDefault="00000000" w:rsidRPr="00000000" w14:paraId="00000039">
      <w:pPr>
        <w:jc w:val="center"/>
        <w:rPr/>
      </w:pPr>
      <w:r w:rsidDel="00000000" w:rsidR="00000000" w:rsidRPr="00000000">
        <w:br w:type="page"/>
      </w:r>
      <w:r w:rsidDel="00000000" w:rsidR="00000000" w:rsidRPr="00000000">
        <w:rPr>
          <w:rtl w:val="0"/>
        </w:rPr>
      </w:r>
    </w:p>
    <w:p w:rsidR="00000000" w:rsidDel="00000000" w:rsidP="00000000" w:rsidRDefault="00000000" w:rsidRPr="00000000" w14:paraId="0000003A">
      <w:pPr>
        <w:jc w:val="center"/>
        <w:rPr/>
      </w:pPr>
      <w:r w:rsidDel="00000000" w:rsidR="00000000" w:rsidRPr="00000000">
        <w:rPr/>
        <w:drawing>
          <wp:inline distB="114300" distT="114300" distL="114300" distR="114300">
            <wp:extent cx="3219450" cy="3409863"/>
            <wp:effectExtent b="0" l="0" r="0" t="0"/>
            <wp:docPr id="1" name="image1.jpg"/>
            <a:graphic>
              <a:graphicData uri="http://schemas.openxmlformats.org/drawingml/2006/picture">
                <pic:pic>
                  <pic:nvPicPr>
                    <pic:cNvPr id="0" name="image1.jpg"/>
                    <pic:cNvPicPr preferRelativeResize="0"/>
                  </pic:nvPicPr>
                  <pic:blipFill>
                    <a:blip r:embed="rId12"/>
                    <a:srcRect b="0" l="0" r="0" t="0"/>
                    <a:stretch>
                      <a:fillRect/>
                    </a:stretch>
                  </pic:blipFill>
                  <pic:spPr>
                    <a:xfrm>
                      <a:off x="0" y="0"/>
                      <a:ext cx="3219450" cy="3409863"/>
                    </a:xfrm>
                    <a:prstGeom prst="rect"/>
                    <a:ln/>
                  </pic:spPr>
                </pic:pic>
              </a:graphicData>
            </a:graphic>
          </wp:inline>
        </w:drawing>
      </w:r>
      <w:r w:rsidDel="00000000" w:rsidR="00000000" w:rsidRPr="00000000">
        <w:rPr>
          <w:rtl w:val="0"/>
        </w:rPr>
      </w:r>
    </w:p>
    <w:p w:rsidR="00000000" w:rsidDel="00000000" w:rsidP="00000000" w:rsidRDefault="00000000" w:rsidRPr="00000000" w14:paraId="0000003B">
      <w:pPr>
        <w:jc w:val="center"/>
        <w:rPr>
          <w:b w:val="1"/>
        </w:rPr>
      </w:pPr>
      <w:r w:rsidDel="00000000" w:rsidR="00000000" w:rsidRPr="00000000">
        <w:rPr>
          <w:b w:val="1"/>
          <w:rtl w:val="0"/>
        </w:rPr>
        <w:t xml:space="preserve">Figure. 1: Non-contrast axial computed tomography (CT) brain showing bilateral traumatic subdural effusion. </w:t>
      </w:r>
    </w:p>
    <w:p w:rsidR="00000000" w:rsidDel="00000000" w:rsidP="00000000" w:rsidRDefault="00000000" w:rsidRPr="00000000" w14:paraId="0000003C">
      <w:pPr>
        <w:jc w:val="center"/>
        <w:rPr>
          <w:b w:val="1"/>
        </w:rPr>
      </w:pPr>
      <w:r w:rsidDel="00000000" w:rsidR="00000000" w:rsidRPr="00000000">
        <w:rPr>
          <w:rtl w:val="0"/>
        </w:rPr>
      </w:r>
    </w:p>
    <w:p w:rsidR="00000000" w:rsidDel="00000000" w:rsidP="00000000" w:rsidRDefault="00000000" w:rsidRPr="00000000" w14:paraId="0000003D">
      <w:pPr>
        <w:jc w:val="center"/>
        <w:rPr/>
      </w:pPr>
      <w:r w:rsidDel="00000000" w:rsidR="00000000" w:rsidRPr="00000000">
        <w:rPr/>
        <w:drawing>
          <wp:inline distB="114300" distT="114300" distL="114300" distR="114300">
            <wp:extent cx="5013117" cy="3028950"/>
            <wp:effectExtent b="0" l="0" r="0" t="0"/>
            <wp:docPr id="2" name="image2.jpg"/>
            <a:graphic>
              <a:graphicData uri="http://schemas.openxmlformats.org/drawingml/2006/picture">
                <pic:pic>
                  <pic:nvPicPr>
                    <pic:cNvPr id="0" name="image2.jpg"/>
                    <pic:cNvPicPr preferRelativeResize="0"/>
                  </pic:nvPicPr>
                  <pic:blipFill>
                    <a:blip r:embed="rId13"/>
                    <a:srcRect b="0" l="0" r="0" t="0"/>
                    <a:stretch>
                      <a:fillRect/>
                    </a:stretch>
                  </pic:blipFill>
                  <pic:spPr>
                    <a:xfrm>
                      <a:off x="0" y="0"/>
                      <a:ext cx="5013117" cy="3028950"/>
                    </a:xfrm>
                    <a:prstGeom prst="rect"/>
                    <a:ln/>
                  </pic:spPr>
                </pic:pic>
              </a:graphicData>
            </a:graphic>
          </wp:inline>
        </w:drawing>
      </w:r>
      <w:r w:rsidDel="00000000" w:rsidR="00000000" w:rsidRPr="00000000">
        <w:rPr>
          <w:rtl w:val="0"/>
        </w:rPr>
      </w:r>
    </w:p>
    <w:p w:rsidR="00000000" w:rsidDel="00000000" w:rsidP="00000000" w:rsidRDefault="00000000" w:rsidRPr="00000000" w14:paraId="0000003E">
      <w:pPr>
        <w:jc w:val="center"/>
        <w:rPr>
          <w:b w:val="1"/>
        </w:rPr>
      </w:pPr>
      <w:r w:rsidDel="00000000" w:rsidR="00000000" w:rsidRPr="00000000">
        <w:rPr>
          <w:b w:val="1"/>
          <w:rtl w:val="0"/>
        </w:rPr>
        <w:t xml:space="preserve">Figure. 2; A: showing 20 syringes of 10ml size each with aspirated traumatic effusion. B: post aspiration appearance of head.</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orcid.org/0000-0002-8798-3542" TargetMode="External"/><Relationship Id="rId10" Type="http://schemas.openxmlformats.org/officeDocument/2006/relationships/hyperlink" Target="mailto:pradhumnayadav@gmail.com" TargetMode="External"/><Relationship Id="rId13" Type="http://schemas.openxmlformats.org/officeDocument/2006/relationships/image" Target="media/image2.jpg"/><Relationship Id="rId12" Type="http://schemas.openxmlformats.org/officeDocument/2006/relationships/image" Target="media/image1.jp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orcid.org/0000-0002-8798-3542" TargetMode="External"/><Relationship Id="rId5" Type="http://schemas.openxmlformats.org/officeDocument/2006/relationships/styles" Target="styles.xml"/><Relationship Id="rId6" Type="http://schemas.openxmlformats.org/officeDocument/2006/relationships/hyperlink" Target="mailto:arwain.6n2@gmail.com" TargetMode="External"/><Relationship Id="rId7" Type="http://schemas.openxmlformats.org/officeDocument/2006/relationships/hyperlink" Target="https://orcid.org/0000-0003-2333-038X" TargetMode="External"/><Relationship Id="rId8" Type="http://schemas.openxmlformats.org/officeDocument/2006/relationships/hyperlink" Target="mailto:pradhumnayadav@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