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D832C" w14:textId="33C985E2" w:rsidR="00AD2A40" w:rsidRPr="006C479C" w:rsidRDefault="00AD2A40" w:rsidP="00AD2A40">
      <w:pPr>
        <w:snapToGrid w:val="0"/>
        <w:spacing w:line="360" w:lineRule="auto"/>
        <w:rPr>
          <w:rFonts w:ascii="Times New Roman" w:hAnsi="Times New Roman"/>
          <w:sz w:val="20"/>
          <w:szCs w:val="20"/>
        </w:rPr>
      </w:pPr>
      <w:r w:rsidRPr="006C479C">
        <w:rPr>
          <w:rFonts w:ascii="Times New Roman" w:hAnsi="Times New Roman"/>
          <w:b/>
          <w:bCs/>
          <w:sz w:val="20"/>
          <w:szCs w:val="20"/>
        </w:rPr>
        <w:t>T</w:t>
      </w:r>
      <w:r w:rsidR="003B1D33">
        <w:rPr>
          <w:rFonts w:ascii="Times New Roman" w:hAnsi="Times New Roman"/>
          <w:b/>
          <w:bCs/>
          <w:sz w:val="20"/>
          <w:szCs w:val="20"/>
        </w:rPr>
        <w:t>ABLE 1</w:t>
      </w:r>
      <w:r w:rsidRPr="006C479C">
        <w:rPr>
          <w:rFonts w:ascii="Times New Roman" w:hAnsi="Times New Roman"/>
          <w:sz w:val="20"/>
          <w:szCs w:val="20"/>
        </w:rPr>
        <w:t xml:space="preserve"> Comparisons of characteristics of patients grouped by EVI1 transcript levels at diagnosis.</w:t>
      </w:r>
    </w:p>
    <w:tbl>
      <w:tblPr>
        <w:tblW w:w="9214" w:type="dxa"/>
        <w:jc w:val="center"/>
        <w:tblLook w:val="04A0" w:firstRow="1" w:lastRow="0" w:firstColumn="1" w:lastColumn="0" w:noHBand="0" w:noVBand="1"/>
      </w:tblPr>
      <w:tblGrid>
        <w:gridCol w:w="2729"/>
        <w:gridCol w:w="1866"/>
        <w:gridCol w:w="1867"/>
        <w:gridCol w:w="1723"/>
        <w:gridCol w:w="1029"/>
      </w:tblGrid>
      <w:tr w:rsidR="00AD2A40" w:rsidRPr="006C479C" w14:paraId="21988E77" w14:textId="77777777" w:rsidTr="00995670">
        <w:trPr>
          <w:trHeight w:val="287"/>
          <w:jc w:val="center"/>
        </w:trPr>
        <w:tc>
          <w:tcPr>
            <w:tcW w:w="272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E1DE1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Variables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D13FB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All</w:t>
            </w:r>
          </w:p>
        </w:tc>
        <w:tc>
          <w:tcPr>
            <w:tcW w:w="3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647CD1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EVI1 transcript levels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548D9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i/>
                <w:iCs/>
                <w:kern w:val="0"/>
                <w:sz w:val="20"/>
                <w:szCs w:val="20"/>
              </w:rPr>
              <w:t>P</w:t>
            </w: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value</w:t>
            </w:r>
          </w:p>
        </w:tc>
      </w:tr>
      <w:tr w:rsidR="00AD2A40" w:rsidRPr="006C479C" w14:paraId="5A80B933" w14:textId="77777777" w:rsidTr="00995670">
        <w:trPr>
          <w:trHeight w:val="287"/>
          <w:jc w:val="center"/>
        </w:trPr>
        <w:tc>
          <w:tcPr>
            <w:tcW w:w="272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49E38B4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86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4F24A8C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E22D220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EVI1 &lt;0.10%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8E3D370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EVI1 ≥0.10%</w:t>
            </w:r>
          </w:p>
        </w:tc>
        <w:tc>
          <w:tcPr>
            <w:tcW w:w="102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7336A46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i/>
                <w:iCs/>
                <w:kern w:val="0"/>
                <w:sz w:val="20"/>
                <w:szCs w:val="20"/>
              </w:rPr>
            </w:pPr>
          </w:p>
        </w:tc>
      </w:tr>
      <w:tr w:rsidR="00AD2A40" w:rsidRPr="006C479C" w14:paraId="49180DE0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DB518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90BD9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176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84B2B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8611A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144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1E9ED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-</w:t>
            </w:r>
          </w:p>
        </w:tc>
      </w:tr>
      <w:tr w:rsidR="00AD2A40" w:rsidRPr="006C479C" w14:paraId="127A36A5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9300E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Age (y, median; range)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54F38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4 (0-16)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CF1C9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5.5 (0-15)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468B7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4 (0-16)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1ECE6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0.67 </w:t>
            </w:r>
          </w:p>
        </w:tc>
      </w:tr>
      <w:tr w:rsidR="00AD2A40" w:rsidRPr="006C479C" w14:paraId="6D045DFE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F1634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Male /Female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3C6EC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94/82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3134A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16/16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7E9A2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78/66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AA6F8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0.67 </w:t>
            </w:r>
          </w:p>
        </w:tc>
      </w:tr>
      <w:tr w:rsidR="00AD2A40" w:rsidRPr="006C479C" w14:paraId="47A9E8D2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6DAAC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White blood cell (WBC) count (×10</w:t>
            </w:r>
            <w:r w:rsidRPr="006C479C">
              <w:rPr>
                <w:rFonts w:ascii="Times New Roman" w:hAnsi="Times New Roman"/>
                <w:kern w:val="0"/>
                <w:sz w:val="20"/>
                <w:szCs w:val="20"/>
                <w:vertAlign w:val="superscript"/>
              </w:rPr>
              <w:t>9</w:t>
            </w: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/L; median; range)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FECFF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6.7 (0.8-831.9)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3DDC9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9.6 (1.1-831.9)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0381F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6.3 (0.8-196)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5B768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0.19 </w:t>
            </w:r>
          </w:p>
        </w:tc>
      </w:tr>
      <w:tr w:rsidR="00AD2A40" w:rsidRPr="006C479C" w14:paraId="48B53525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5AA89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Hemoglobin (g/L; median; range)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C3956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85.0 (18.2-135.2)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083D8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78.5 (37-117.2)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EA2A6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86.0 (18.2-135.2)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2A875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0.13 </w:t>
            </w:r>
          </w:p>
        </w:tc>
      </w:tr>
      <w:tr w:rsidR="00AD2A40" w:rsidRPr="006C479C" w14:paraId="33694D61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49F76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Platelet count (×10</w:t>
            </w:r>
            <w:r w:rsidRPr="006C479C">
              <w:rPr>
                <w:rFonts w:ascii="Times New Roman" w:hAnsi="Times New Roman"/>
                <w:kern w:val="0"/>
                <w:sz w:val="20"/>
                <w:szCs w:val="20"/>
                <w:vertAlign w:val="superscript"/>
              </w:rPr>
              <w:t>9</w:t>
            </w: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/L; median; range)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6559A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64.5 (4-1432)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E9F6F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34 (7-184)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7186D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78 (4-1432)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0E2CB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&lt;0.001</w:t>
            </w:r>
          </w:p>
        </w:tc>
      </w:tr>
      <w:tr w:rsidR="00AD2A40" w:rsidRPr="006C479C" w14:paraId="2B02D85D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A4E97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Bone marrow blasts (%, median; range)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5D438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83 (21-98)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B2842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86 (28-96)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4437F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82 (21-98)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E189C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0.023 </w:t>
            </w:r>
          </w:p>
        </w:tc>
      </w:tr>
      <w:tr w:rsidR="00AD2A40" w:rsidRPr="006C479C" w14:paraId="0A1B4132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34167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Immunophenotyping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0C92F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2F5D4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D9345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77BF5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0.13 </w:t>
            </w:r>
          </w:p>
        </w:tc>
      </w:tr>
      <w:tr w:rsidR="00AD2A40" w:rsidRPr="006C479C" w14:paraId="1B961B0E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0D0D0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 Common-B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7977F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135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BDE78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27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27AD5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108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F2409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D2A40" w:rsidRPr="006C479C" w14:paraId="05295F50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89AE3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 Pre-B </w:t>
            </w:r>
          </w:p>
        </w:tc>
        <w:tc>
          <w:tcPr>
            <w:tcW w:w="186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AD626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31</w:t>
            </w: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647EC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1F396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102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AACF0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D2A40" w:rsidRPr="006C479C" w14:paraId="23DB639E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A37A9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 Pro-B </w:t>
            </w:r>
          </w:p>
        </w:tc>
        <w:tc>
          <w:tcPr>
            <w:tcW w:w="186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61FB2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AA637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74873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32DA9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D2A40" w:rsidRPr="006C479C" w14:paraId="770D1CBE" w14:textId="77777777" w:rsidTr="00995670">
        <w:trPr>
          <w:trHeight w:val="287"/>
          <w:jc w:val="center"/>
        </w:trPr>
        <w:tc>
          <w:tcPr>
            <w:tcW w:w="272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897938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Karyotype</w:t>
            </w:r>
          </w:p>
        </w:tc>
        <w:tc>
          <w:tcPr>
            <w:tcW w:w="186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FC247F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10FD19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CA5D35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6668BC7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0.41*</w:t>
            </w:r>
          </w:p>
        </w:tc>
      </w:tr>
      <w:tr w:rsidR="00AD2A40" w:rsidRPr="006C479C" w14:paraId="3D836FA6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4A1DA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bookmarkStart w:id="0" w:name="_Hlk39351710"/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 High-hyperdiploidy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219B7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46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13C14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A8064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C4DD9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D2A40" w:rsidRPr="006C479C" w14:paraId="2A2D6CC8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F09D8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 Non-high-hyperdiploidy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99BCE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AFCE4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45C24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98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FBC73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D2A40" w:rsidRPr="006C479C" w14:paraId="6BBBC7B0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308CD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 Unknown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579A4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841E5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4ECAD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84D56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</w:tr>
      <w:bookmarkEnd w:id="0"/>
      <w:tr w:rsidR="00AD2A40" w:rsidRPr="006C479C" w14:paraId="66EE193C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8A4C6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MLL rearrangement/</w:t>
            </w:r>
            <w:proofErr w:type="gramStart"/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t(</w:t>
            </w:r>
            <w:proofErr w:type="gramEnd"/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4;11)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600E6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D172C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EE5DA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4AC98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0.042 </w:t>
            </w:r>
          </w:p>
        </w:tc>
      </w:tr>
      <w:tr w:rsidR="00AD2A40" w:rsidRPr="006C479C" w14:paraId="269F30BA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B00B7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 Negative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75839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171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08A8D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02933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142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96B89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D2A40" w:rsidRPr="006C479C" w14:paraId="49BBF6BC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D0DC3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 Positive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5C28A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4F3A9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477D5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5ED43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D2A40" w:rsidRPr="006C479C" w14:paraId="74D19474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56A81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E2A-PBX1/</w:t>
            </w:r>
            <w:proofErr w:type="gramStart"/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t(</w:t>
            </w:r>
            <w:proofErr w:type="gramEnd"/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1;19)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3B965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C2C0F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32985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CA6A4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0.45 </w:t>
            </w:r>
          </w:p>
        </w:tc>
      </w:tr>
      <w:tr w:rsidR="00AD2A40" w:rsidRPr="006C479C" w14:paraId="2A47A41E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90CCB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 Negative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C9BE4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173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552FE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31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DB9F4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142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3C41F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D2A40" w:rsidRPr="006C479C" w14:paraId="2AA766C4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FD7FC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 Positive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DA427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F628D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4BB20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B96DC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D2A40" w:rsidRPr="006C479C" w14:paraId="4C8ED7ED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E35F5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TEL-AML1/</w:t>
            </w:r>
            <w:proofErr w:type="gramStart"/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t(</w:t>
            </w:r>
            <w:proofErr w:type="gramEnd"/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12;21)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8E027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C2498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48853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EBF54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0.047 </w:t>
            </w:r>
          </w:p>
        </w:tc>
      </w:tr>
      <w:tr w:rsidR="00AD2A40" w:rsidRPr="006C479C" w14:paraId="57B8658E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E73D8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 Negative</w:t>
            </w:r>
          </w:p>
        </w:tc>
        <w:tc>
          <w:tcPr>
            <w:tcW w:w="186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EE9A8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158</w:t>
            </w: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690BF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BCA80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126</w:t>
            </w:r>
          </w:p>
        </w:tc>
        <w:tc>
          <w:tcPr>
            <w:tcW w:w="102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4658C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D2A40" w:rsidRPr="006C479C" w14:paraId="01B28478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CCD2E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 Positive</w:t>
            </w:r>
          </w:p>
        </w:tc>
        <w:tc>
          <w:tcPr>
            <w:tcW w:w="186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83A52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2491C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B9189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102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B10DC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D2A40" w:rsidRPr="006C479C" w14:paraId="5FD4F625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8909A14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Adverse cytogenetic risk feature</w:t>
            </w:r>
            <w:r w:rsidRPr="006C479C">
              <w:rPr>
                <w:rFonts w:ascii="Times New Roman" w:hAnsi="Times New Roman"/>
                <w:kern w:val="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186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E73CABC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B355421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7E95AEB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E51B68C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0.14*</w:t>
            </w:r>
          </w:p>
        </w:tc>
      </w:tr>
      <w:tr w:rsidR="00AD2A40" w:rsidRPr="006C479C" w14:paraId="6589B2D4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7F3C8C1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 Yes</w:t>
            </w:r>
          </w:p>
        </w:tc>
        <w:tc>
          <w:tcPr>
            <w:tcW w:w="186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E694964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8313A6D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39B2ACF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02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2C61E6A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D2A40" w:rsidRPr="006C479C" w14:paraId="778AA51E" w14:textId="77777777" w:rsidTr="00995670">
        <w:trPr>
          <w:trHeight w:val="287"/>
          <w:jc w:val="center"/>
        </w:trPr>
        <w:tc>
          <w:tcPr>
            <w:tcW w:w="272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E9E658D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 No</w:t>
            </w:r>
          </w:p>
        </w:tc>
        <w:tc>
          <w:tcPr>
            <w:tcW w:w="186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DAAB9B3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153</w:t>
            </w: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9A2DC06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25</w:t>
            </w: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7DF9D68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128</w:t>
            </w:r>
          </w:p>
        </w:tc>
        <w:tc>
          <w:tcPr>
            <w:tcW w:w="102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8A686B6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D2A40" w:rsidRPr="006C479C" w14:paraId="5B74F85C" w14:textId="77777777" w:rsidTr="00995670">
        <w:trPr>
          <w:trHeight w:val="287"/>
          <w:jc w:val="center"/>
        </w:trPr>
        <w:tc>
          <w:tcPr>
            <w:tcW w:w="2729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CED6829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  Unknown</w:t>
            </w:r>
          </w:p>
        </w:tc>
        <w:tc>
          <w:tcPr>
            <w:tcW w:w="1866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AC1B4E6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1867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445CABF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723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47FF082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029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B3A6D04" w14:textId="77777777" w:rsidR="00AD2A40" w:rsidRPr="006C479C" w:rsidRDefault="00AD2A40" w:rsidP="00AD2A40">
            <w:pPr>
              <w:widowControl/>
              <w:snapToGrid w:val="0"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C479C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3168CD52" w14:textId="77777777" w:rsidR="00AD2A40" w:rsidRPr="006C479C" w:rsidRDefault="00AD2A40" w:rsidP="00AD2A40">
      <w:pPr>
        <w:snapToGrid w:val="0"/>
        <w:spacing w:line="360" w:lineRule="auto"/>
        <w:rPr>
          <w:rFonts w:ascii="Times New Roman" w:hAnsi="Times New Roman"/>
          <w:bCs/>
          <w:sz w:val="20"/>
          <w:szCs w:val="20"/>
        </w:rPr>
      </w:pPr>
      <w:r w:rsidRPr="006C479C">
        <w:rPr>
          <w:rFonts w:ascii="Times New Roman" w:hAnsi="Times New Roman"/>
          <w:bCs/>
          <w:sz w:val="20"/>
          <w:szCs w:val="20"/>
        </w:rPr>
        <w:t>*: only patients with available data were used for comparison.</w:t>
      </w:r>
    </w:p>
    <w:p w14:paraId="1C998BD9" w14:textId="77777777" w:rsidR="00AD2A40" w:rsidRPr="006C479C" w:rsidRDefault="00AD2A40" w:rsidP="00AD2A40">
      <w:pPr>
        <w:snapToGrid w:val="0"/>
        <w:spacing w:line="360" w:lineRule="auto"/>
        <w:rPr>
          <w:rFonts w:ascii="Times New Roman" w:hAnsi="Times New Roman"/>
          <w:bCs/>
          <w:sz w:val="20"/>
          <w:szCs w:val="20"/>
        </w:rPr>
      </w:pPr>
      <w:r w:rsidRPr="006C479C">
        <w:rPr>
          <w:rFonts w:ascii="Times New Roman" w:hAnsi="Times New Roman"/>
          <w:bCs/>
          <w:sz w:val="20"/>
          <w:szCs w:val="20"/>
          <w:vertAlign w:val="superscript"/>
        </w:rPr>
        <w:t>#</w:t>
      </w:r>
      <w:r w:rsidRPr="006C479C">
        <w:rPr>
          <w:rFonts w:ascii="Times New Roman" w:hAnsi="Times New Roman"/>
          <w:bCs/>
          <w:sz w:val="20"/>
          <w:szCs w:val="20"/>
        </w:rPr>
        <w:t xml:space="preserve">: Adverse </w:t>
      </w:r>
      <w:r w:rsidRPr="006C479C">
        <w:rPr>
          <w:rFonts w:ascii="Times New Roman" w:hAnsi="Times New Roman"/>
          <w:kern w:val="0"/>
          <w:sz w:val="20"/>
          <w:szCs w:val="20"/>
        </w:rPr>
        <w:t>cytogenetic</w:t>
      </w:r>
      <w:r w:rsidRPr="006C479C">
        <w:rPr>
          <w:rFonts w:ascii="Times New Roman" w:hAnsi="Times New Roman"/>
          <w:bCs/>
          <w:sz w:val="20"/>
          <w:szCs w:val="20"/>
        </w:rPr>
        <w:t xml:space="preserve"> risk features include MLL rearrangement</w:t>
      </w:r>
      <w:bookmarkStart w:id="1" w:name="_Hlk39353575"/>
      <w:r w:rsidRPr="006C479C">
        <w:rPr>
          <w:rFonts w:ascii="Times New Roman" w:hAnsi="Times New Roman"/>
          <w:bCs/>
          <w:sz w:val="20"/>
          <w:szCs w:val="20"/>
        </w:rPr>
        <w:t>/</w:t>
      </w:r>
      <w:proofErr w:type="gramStart"/>
      <w:r w:rsidRPr="006C479C">
        <w:rPr>
          <w:rFonts w:ascii="Times New Roman" w:hAnsi="Times New Roman"/>
          <w:bCs/>
          <w:sz w:val="20"/>
          <w:szCs w:val="20"/>
        </w:rPr>
        <w:t>t(</w:t>
      </w:r>
      <w:proofErr w:type="gramEnd"/>
      <w:r w:rsidRPr="006C479C">
        <w:rPr>
          <w:rFonts w:ascii="Times New Roman" w:hAnsi="Times New Roman"/>
          <w:bCs/>
          <w:sz w:val="20"/>
          <w:szCs w:val="20"/>
        </w:rPr>
        <w:t>4;11)</w:t>
      </w:r>
      <w:bookmarkEnd w:id="1"/>
      <w:r w:rsidRPr="006C479C">
        <w:rPr>
          <w:rFonts w:ascii="Times New Roman" w:hAnsi="Times New Roman"/>
          <w:bCs/>
          <w:sz w:val="20"/>
          <w:szCs w:val="20"/>
        </w:rPr>
        <w:t>, E2A-PBX1 fusion/t(1;19), or hypo</w:t>
      </w:r>
      <w:r w:rsidRPr="006C479C">
        <w:rPr>
          <w:rFonts w:ascii="Times New Roman" w:hAnsi="Times New Roman"/>
          <w:kern w:val="0"/>
          <w:sz w:val="20"/>
          <w:szCs w:val="20"/>
        </w:rPr>
        <w:t xml:space="preserve">diploidy </w:t>
      </w:r>
    </w:p>
    <w:sectPr w:rsidR="00AD2A40" w:rsidRPr="006C47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92895" w14:textId="77777777" w:rsidR="002E68EC" w:rsidRDefault="002E68EC" w:rsidP="00AD2A40">
      <w:r>
        <w:separator/>
      </w:r>
    </w:p>
  </w:endnote>
  <w:endnote w:type="continuationSeparator" w:id="0">
    <w:p w14:paraId="5B64D8DE" w14:textId="77777777" w:rsidR="002E68EC" w:rsidRDefault="002E68EC" w:rsidP="00AD2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1DEE9" w14:textId="77777777" w:rsidR="002E68EC" w:rsidRDefault="002E68EC" w:rsidP="00AD2A40">
      <w:r>
        <w:separator/>
      </w:r>
    </w:p>
  </w:footnote>
  <w:footnote w:type="continuationSeparator" w:id="0">
    <w:p w14:paraId="285A369E" w14:textId="77777777" w:rsidR="002E68EC" w:rsidRDefault="002E68EC" w:rsidP="00AD2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8DB"/>
    <w:rsid w:val="001878DB"/>
    <w:rsid w:val="002E68EC"/>
    <w:rsid w:val="003B1D33"/>
    <w:rsid w:val="00435973"/>
    <w:rsid w:val="006C479C"/>
    <w:rsid w:val="00AD2A40"/>
    <w:rsid w:val="00CB5E3D"/>
    <w:rsid w:val="00CC534E"/>
    <w:rsid w:val="00F5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3AD9A"/>
  <w15:chartTrackingRefBased/>
  <w15:docId w15:val="{4CC98E8E-6376-4E15-ADFC-283E65A6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A40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2A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2A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2A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2A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Lu</dc:creator>
  <cp:keywords/>
  <dc:description/>
  <cp:lastModifiedBy>Yang Lu</cp:lastModifiedBy>
  <cp:revision>3</cp:revision>
  <dcterms:created xsi:type="dcterms:W3CDTF">2020-12-25T16:02:00Z</dcterms:created>
  <dcterms:modified xsi:type="dcterms:W3CDTF">2020-12-25T16:02:00Z</dcterms:modified>
</cp:coreProperties>
</file>