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1D212" w14:textId="76578746" w:rsidR="005B5FA3" w:rsidRPr="00A35D9D" w:rsidRDefault="005B5FA3" w:rsidP="005B5FA3">
      <w:pPr>
        <w:spacing w:line="360" w:lineRule="auto"/>
        <w:rPr>
          <w:rFonts w:asciiTheme="minorHAnsi" w:eastAsia="Calibri" w:hAnsiTheme="minorHAnsi" w:cstheme="minorHAnsi"/>
          <w:lang w:eastAsia="en-US"/>
        </w:rPr>
      </w:pPr>
    </w:p>
    <w:tbl>
      <w:tblPr>
        <w:tblpPr w:leftFromText="180" w:rightFromText="180" w:vertAnchor="page" w:horzAnchor="margin" w:tblpXSpec="center" w:tblpY="1380"/>
        <w:tblW w:w="10270" w:type="dxa"/>
        <w:tblLook w:val="04A0" w:firstRow="1" w:lastRow="0" w:firstColumn="1" w:lastColumn="0" w:noHBand="0" w:noVBand="1"/>
      </w:tblPr>
      <w:tblGrid>
        <w:gridCol w:w="4132"/>
        <w:gridCol w:w="1397"/>
        <w:gridCol w:w="992"/>
        <w:gridCol w:w="1417"/>
        <w:gridCol w:w="1031"/>
        <w:gridCol w:w="77"/>
        <w:gridCol w:w="1224"/>
      </w:tblGrid>
      <w:tr w:rsidR="005B5FA3" w:rsidRPr="00746E74" w14:paraId="6BB44654" w14:textId="77777777" w:rsidTr="0080559E">
        <w:trPr>
          <w:trHeight w:val="244"/>
        </w:trPr>
        <w:tc>
          <w:tcPr>
            <w:tcW w:w="413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64B856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Characteristic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006CC5" w14:textId="77777777" w:rsidR="005B5FA3" w:rsidRPr="00A35D9D" w:rsidRDefault="005B5FA3" w:rsidP="0080559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Total</w:t>
            </w:r>
          </w:p>
          <w:p w14:paraId="32599DE1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n (% or IQR)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0AA093" w14:textId="77777777" w:rsidR="005B5FA3" w:rsidRPr="00A35D9D" w:rsidRDefault="005B5FA3" w:rsidP="0080559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No Fistula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BEE718" w14:textId="77777777" w:rsidR="005B5FA3" w:rsidRPr="00A35D9D" w:rsidRDefault="005B5FA3" w:rsidP="0080559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Fistula</w:t>
            </w:r>
          </w:p>
        </w:tc>
      </w:tr>
      <w:tr w:rsidR="005B5FA3" w:rsidRPr="00746E74" w14:paraId="28C34C37" w14:textId="77777777" w:rsidTr="0080559E">
        <w:trPr>
          <w:trHeight w:val="244"/>
        </w:trPr>
        <w:tc>
          <w:tcPr>
            <w:tcW w:w="413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7DFAF0B5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EF15B0C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C3EA89D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n=126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AD74CEC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% or (IQR)</w:t>
            </w:r>
          </w:p>
        </w:tc>
        <w:tc>
          <w:tcPr>
            <w:tcW w:w="1031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0AEFB49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n=37</w:t>
            </w:r>
          </w:p>
        </w:tc>
        <w:tc>
          <w:tcPr>
            <w:tcW w:w="13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43EAFB9B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% or (IQR)</w:t>
            </w:r>
          </w:p>
        </w:tc>
      </w:tr>
      <w:tr w:rsidR="005B5FA3" w:rsidRPr="00746E74" w14:paraId="1A62756D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AAD3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Age, median (IQR)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607A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63 (57-71)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23E0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672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(54-70)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86BD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69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B38A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(64-74)</w:t>
            </w:r>
          </w:p>
        </w:tc>
      </w:tr>
      <w:tr w:rsidR="005B5FA3" w:rsidRPr="00746E74" w14:paraId="1969F3D2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8FBB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Male gender,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D2C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104 (63.8)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3781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FD58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78.6%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FC9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32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5014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86.5%</w:t>
            </w:r>
          </w:p>
        </w:tc>
      </w:tr>
      <w:tr w:rsidR="005B5FA3" w:rsidRPr="00746E74" w14:paraId="6CD1399F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8FFD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Fistula,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A871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37 (22.7)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3DAE1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4DC881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11F69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2F11F9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5B5FA3" w:rsidRPr="00746E74" w14:paraId="15E31CAB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837F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Length of stay in days, median (IQR)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66FE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21 (16-33)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FF87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D566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(15-24)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B7E6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A02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(20-52)</w:t>
            </w:r>
          </w:p>
        </w:tc>
      </w:tr>
      <w:tr w:rsidR="005B5FA3" w:rsidRPr="00746E74" w14:paraId="2344D337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9939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Primary surgery,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F606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132 (81.0)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279D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6703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77.3%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A1AD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3D8B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22.0%</w:t>
            </w:r>
          </w:p>
        </w:tc>
      </w:tr>
      <w:tr w:rsidR="005B5FA3" w:rsidRPr="00746E74" w14:paraId="50F78AE4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B707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Salvage surgery,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5D68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31 (19.0)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6521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70B0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74.2%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F7A4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1109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25.8%</w:t>
            </w:r>
          </w:p>
        </w:tc>
      </w:tr>
      <w:tr w:rsidR="005B5FA3" w:rsidRPr="00746E74" w14:paraId="4103E741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3A26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Laryngectomy (any),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9E2B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115 (70.6)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B3B5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09A9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74.8%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93D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48FC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25.2%</w:t>
            </w:r>
          </w:p>
        </w:tc>
      </w:tr>
      <w:tr w:rsidR="005B5FA3" w:rsidRPr="00746E74" w14:paraId="6D563CD8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7E2E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Laryngopharyngectomy,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9530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48 (29.4)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0A2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8C50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83.3%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875E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04BA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16.7%</w:t>
            </w:r>
          </w:p>
        </w:tc>
      </w:tr>
      <w:tr w:rsidR="005B5FA3" w:rsidRPr="00746E74" w14:paraId="5CBB1495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0C2D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Free flap reconstruction,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EECA" w14:textId="77777777" w:rsidR="005B5FA3" w:rsidRPr="00A35D9D" w:rsidRDefault="005B5FA3" w:rsidP="0080559E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47</w:t>
            </w:r>
            <w:r w:rsidRPr="00A35D9D">
              <w:rPr>
                <w:rFonts w:asciiTheme="minorHAnsi" w:hAnsiTheme="minorHAnsi" w:cstheme="minorHAnsi"/>
                <w:color w:val="000000"/>
              </w:rPr>
              <w:t xml:space="preserve"> (</w:t>
            </w:r>
            <w:r>
              <w:rPr>
                <w:rFonts w:asciiTheme="minorHAnsi" w:hAnsiTheme="minorHAnsi" w:cstheme="minorHAnsi"/>
                <w:color w:val="000000"/>
              </w:rPr>
              <w:t>28.8</w:t>
            </w:r>
            <w:r w:rsidRPr="00A35D9D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B06C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  <w:r w:rsidRPr="00A35D9D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EE96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83.0</w:t>
            </w:r>
            <w:r w:rsidRPr="00A35D9D">
              <w:rPr>
                <w:rFonts w:asciiTheme="minorHAnsi" w:hAnsiTheme="minorHAnsi" w:cstheme="minorHAnsi"/>
                <w:color w:val="000000"/>
              </w:rPr>
              <w:t>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B1AE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3B1A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17.0</w:t>
            </w:r>
            <w:r w:rsidRPr="00A35D9D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5B5FA3" w:rsidRPr="00746E74" w14:paraId="7C12CFC4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848E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Pedicled flap reconstruction, n (%)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E8B2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12 (7.36)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B57B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E7BC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83.3%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C5AE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6866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16.7%</w:t>
            </w:r>
          </w:p>
        </w:tc>
      </w:tr>
      <w:tr w:rsidR="005B5FA3" w:rsidRPr="00746E74" w14:paraId="1E616AE8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93AD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Radiographic swallow assessment, n (%)</w:t>
            </w:r>
          </w:p>
        </w:tc>
        <w:tc>
          <w:tcPr>
            <w:tcW w:w="13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4F42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147 (90.2)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450B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8AF3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76.2%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7BC4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1932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23.8%</w:t>
            </w:r>
          </w:p>
        </w:tc>
      </w:tr>
      <w:tr w:rsidR="005B5FA3" w:rsidRPr="00746E74" w14:paraId="5C5A83B7" w14:textId="77777777" w:rsidTr="0080559E">
        <w:trPr>
          <w:trHeight w:val="288"/>
        </w:trPr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14A9" w14:textId="77777777" w:rsidR="005B5FA3" w:rsidRPr="00A35D9D" w:rsidRDefault="005B5FA3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WSCS Post op day, median (IQR)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4AB8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10 (9-11)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75EF2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252F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(9-10.5)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9498C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7905" w14:textId="77777777" w:rsidR="005B5FA3" w:rsidRPr="00A35D9D" w:rsidRDefault="005B5FA3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(9-14.5)</w:t>
            </w:r>
          </w:p>
        </w:tc>
      </w:tr>
    </w:tbl>
    <w:p w14:paraId="177BE796" w14:textId="77777777" w:rsidR="005B5FA3" w:rsidRPr="00A35D9D" w:rsidRDefault="005B5FA3" w:rsidP="005B5FA3">
      <w:pPr>
        <w:pStyle w:val="NoSpacing"/>
        <w:spacing w:line="360" w:lineRule="auto"/>
        <w:rPr>
          <w:rFonts w:asciiTheme="minorHAnsi" w:hAnsiTheme="minorHAnsi" w:cstheme="minorHAnsi"/>
          <w:lang w:val="en-AU"/>
        </w:rPr>
      </w:pPr>
      <w:r w:rsidRPr="00A35D9D">
        <w:rPr>
          <w:rFonts w:asciiTheme="minorHAnsi" w:hAnsiTheme="minorHAnsi" w:cstheme="minorHAnsi"/>
          <w:lang w:val="en-AU"/>
        </w:rPr>
        <w:t>IQR: inter-quartile range; WSCS: water soluble contrast swallow.</w:t>
      </w:r>
    </w:p>
    <w:p w14:paraId="077032BF" w14:textId="77777777" w:rsidR="005B5FA3" w:rsidRPr="00A35D9D" w:rsidRDefault="005B5FA3" w:rsidP="005B5FA3">
      <w:pPr>
        <w:spacing w:line="360" w:lineRule="auto"/>
        <w:rPr>
          <w:rFonts w:asciiTheme="minorHAnsi" w:hAnsiTheme="minorHAnsi" w:cstheme="minorHAnsi"/>
          <w:i/>
          <w:lang w:val="en-AU"/>
        </w:rPr>
      </w:pPr>
      <w:r w:rsidRPr="00A35D9D">
        <w:rPr>
          <w:rFonts w:asciiTheme="minorHAnsi" w:hAnsiTheme="minorHAnsi" w:cstheme="minorHAnsi"/>
          <w:b/>
          <w:lang w:val="en-AU"/>
        </w:rPr>
        <w:t xml:space="preserve">Table 1. </w:t>
      </w:r>
      <w:r w:rsidRPr="00A35D9D">
        <w:rPr>
          <w:rFonts w:asciiTheme="minorHAnsi" w:hAnsiTheme="minorHAnsi" w:cstheme="minorHAnsi"/>
          <w:bCs/>
          <w:lang w:val="en-AU"/>
        </w:rPr>
        <w:t>Study patient characteristics, with subset analysis between those who developed a pharyngocutaneous fistula and those who healed without a fistula.</w:t>
      </w:r>
      <w:r w:rsidRPr="00A35D9D">
        <w:rPr>
          <w:rFonts w:asciiTheme="minorHAnsi" w:hAnsiTheme="minorHAnsi" w:cstheme="minorHAnsi"/>
          <w:b/>
          <w:lang w:val="en-AU"/>
        </w:rPr>
        <w:t xml:space="preserve"> </w:t>
      </w:r>
    </w:p>
    <w:p w14:paraId="4BA6A83D" w14:textId="77777777" w:rsidR="00D3429C" w:rsidRDefault="00D3429C"/>
    <w:sectPr w:rsidR="00D3429C" w:rsidSect="005618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FA3"/>
    <w:rsid w:val="005618F0"/>
    <w:rsid w:val="005B5FA3"/>
    <w:rsid w:val="006D1879"/>
    <w:rsid w:val="00D3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722D3F"/>
  <w15:chartTrackingRefBased/>
  <w15:docId w15:val="{2A932E52-EA64-D54E-9093-283E82E8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FA3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5FA3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James</dc:creator>
  <cp:keywords/>
  <dc:description/>
  <cp:lastModifiedBy>Tobias James</cp:lastModifiedBy>
  <cp:revision>1</cp:revision>
  <dcterms:created xsi:type="dcterms:W3CDTF">2022-03-22T17:34:00Z</dcterms:created>
  <dcterms:modified xsi:type="dcterms:W3CDTF">2022-03-22T17:35:00Z</dcterms:modified>
</cp:coreProperties>
</file>