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9267D" w14:textId="533F446C" w:rsidR="00C02A8B" w:rsidRDefault="00C02A8B" w:rsidP="00E17164">
      <w:pPr>
        <w:pStyle w:val="Heading1"/>
      </w:pPr>
      <w:r>
        <w:t xml:space="preserve">Incidental </w:t>
      </w:r>
      <w:r w:rsidR="00D27D8C">
        <w:t>c</w:t>
      </w:r>
      <w:r>
        <w:t>arotid sinus hypersensitivity in a patient presenting with syncope</w:t>
      </w:r>
      <w:r w:rsidR="00D27D8C">
        <w:t>: A case report</w:t>
      </w:r>
    </w:p>
    <w:p w14:paraId="3D30B97A" w14:textId="6F089835" w:rsidR="00792B35" w:rsidRDefault="00792B35" w:rsidP="00792B35">
      <w:pPr>
        <w:pStyle w:val="Heading1"/>
      </w:pPr>
      <w:r>
        <w:t>Abstract</w:t>
      </w:r>
    </w:p>
    <w:p w14:paraId="4F6E20F8" w14:textId="71EDD020" w:rsidR="008D0B3F" w:rsidRDefault="008D0B3F" w:rsidP="00E17164">
      <w:pPr>
        <w:pStyle w:val="Heading1"/>
        <w:rPr>
          <w:rFonts w:eastAsiaTheme="minorHAnsi" w:cstheme="minorBidi"/>
          <w:b w:val="0"/>
          <w:szCs w:val="22"/>
        </w:rPr>
      </w:pPr>
      <w:r w:rsidRPr="008D0B3F">
        <w:rPr>
          <w:rFonts w:eastAsiaTheme="minorHAnsi" w:cstheme="minorBidi"/>
          <w:b w:val="0"/>
          <w:szCs w:val="22"/>
        </w:rPr>
        <w:t>Carotid sinus hypersensitivity is one of the unexplained causes of syncope in old age.  A 56-year-old male, known case of coronary artery disease (CAD) and diabetes mellitus (DM), presenting with syncope, was diagnosed as carotid sinus hypersensitivity incidentally.  Hence, the rare disorder like carotid sinus hypersensitivity should also be considered.</w:t>
      </w:r>
    </w:p>
    <w:p w14:paraId="5E0EA515" w14:textId="41B171F8" w:rsidR="00E17164" w:rsidRDefault="00E17164" w:rsidP="00E17164">
      <w:pPr>
        <w:pStyle w:val="Heading1"/>
      </w:pPr>
      <w:r>
        <w:t>Keywords</w:t>
      </w:r>
    </w:p>
    <w:p w14:paraId="3B8D43FD" w14:textId="0CB93750" w:rsidR="00E17164" w:rsidRPr="00E17164" w:rsidRDefault="00E17164" w:rsidP="00E17164">
      <w:r>
        <w:t>Carotid sinus hypersensitivity (CSH); Carotid sinus syndrome (CSS); Carotid sinus massage (CSM); Orthostatic hypotension (OH); Vasovagal syncope (VVS)</w:t>
      </w:r>
      <w:r w:rsidR="00E97744">
        <w:t>; Electrocardiogram (ECG)</w:t>
      </w:r>
    </w:p>
    <w:p w14:paraId="7FF51D24" w14:textId="24A0DDFB" w:rsidR="00E17164" w:rsidRPr="00E17164" w:rsidRDefault="001A4F4A" w:rsidP="00E17164">
      <w:pPr>
        <w:pStyle w:val="Heading1"/>
      </w:pPr>
      <w:r>
        <w:t>Introduction</w:t>
      </w:r>
    </w:p>
    <w:p w14:paraId="0AD3AE24" w14:textId="000A8E9B" w:rsidR="005A5936" w:rsidRDefault="00710DB6" w:rsidP="001A4F4A">
      <w:r>
        <w:t>The etiology behind syncope is diverse</w:t>
      </w:r>
      <w:r w:rsidR="00830569">
        <w:t xml:space="preserve">. The carotid sinus hypersensitivity (CSH) is one of the causes for </w:t>
      </w:r>
      <w:r w:rsidR="00D93902">
        <w:t>unexplained</w:t>
      </w:r>
      <w:r w:rsidR="00830569">
        <w:t xml:space="preserve"> syncope in elderly patients. CSH along with the reproduction of syncopal event by carotid sinus massage has been referred </w:t>
      </w:r>
      <w:r w:rsidR="000428C2">
        <w:t xml:space="preserve">to </w:t>
      </w:r>
      <w:r w:rsidR="00830569">
        <w:t xml:space="preserve">as carotid sinus syndrome (CSS). </w:t>
      </w:r>
      <w:r w:rsidR="00D93902">
        <w:t xml:space="preserve">CSH is considered as a treatable cause </w:t>
      </w:r>
      <w:r w:rsidR="000428C2">
        <w:t>of</w:t>
      </w:r>
      <w:r w:rsidR="00D93902">
        <w:t xml:space="preserve"> undiagnosed syncope </w:t>
      </w:r>
      <w:r w:rsidR="00D93902">
        <w:fldChar w:fldCharType="begin" w:fldLock="1"/>
      </w:r>
      <w:r w:rsidR="000A09A9">
        <w:instrText>ADDIN CSL_CITATION {"citationItems":[{"id":"ITEM-1","itemData":{"DOI":"10.1016/0002-9343(84)90122-0","ISSN":"00029343","PMID":"6475995","abstract":"Carotid sinus hypersensitivity is a potentially treatable cause of recurrent neurologic symptoms. Diagnosis depends upon recognizing the variable presentation of symptomatic carotid sinus hypersensitivity, and noting an exaggerated cardiovascular response to carotid sinus massage associated with neurologic symptoms. Once the diagnosis of symptomatic carotid sinus hypersensitivity has been established, it is important to delineate the type of hypersensltivity present, because identification of the vasodepressor response has important therapeutic implications. © 1984.","author":[{"dropping-particle":"","family":"Coplan","given":"Neil L.","non-dropping-particle":"","parse-names":false,"suffix":""},{"dropping-particle":"","family":"Schweitzer","given":"Paul","non-dropping-particle":"","parse-names":false,"suffix":""}],"container-title":"The American Journal of Medicine","id":"ITEM-1","issue":"3","issued":{"date-parts":[["1984"]]},"page":"561-565","title":"Carotid sinus hypersensitivity. Case report and review of the literature","type":"article-journal","volume":"77"},"uris":["http://www.mendeley.com/documents/?uuid=04d043f8-cc91-4fe6-a88d-886cb91f5bc6"]}],"mendeley":{"formattedCitation":"(1)","plainTextFormattedCitation":"(1)","previouslyFormattedCitation":"(1)"},"properties":{"noteIndex":0},"schema":"https://github.com/citation-style-language/schema/raw/master/csl-citation.json"}</w:instrText>
      </w:r>
      <w:r w:rsidR="00D93902">
        <w:fldChar w:fldCharType="separate"/>
      </w:r>
      <w:r w:rsidR="00D93902" w:rsidRPr="00D93902">
        <w:rPr>
          <w:noProof/>
        </w:rPr>
        <w:t>(1)</w:t>
      </w:r>
      <w:r w:rsidR="00D93902">
        <w:fldChar w:fldCharType="end"/>
      </w:r>
      <w:r w:rsidR="00D93902">
        <w:t xml:space="preserve">. </w:t>
      </w:r>
      <w:r w:rsidR="000A09A9">
        <w:t xml:space="preserve">Since </w:t>
      </w:r>
      <w:r w:rsidR="000A09A9" w:rsidRPr="000A09A9">
        <w:t>Weiss and Bake</w:t>
      </w:r>
      <w:r w:rsidR="000A09A9">
        <w:t xml:space="preserve">r described CSH in 1933, several studies have been conducted regarding its clinical relevance and management options </w:t>
      </w:r>
      <w:r w:rsidR="000A09A9">
        <w:fldChar w:fldCharType="begin" w:fldLock="1"/>
      </w:r>
      <w:r w:rsidR="000A09A9">
        <w:instrText>ADDIN CSL_CITATION {"citationItems":[{"id":"ITEM-1","itemData":{"DOI":"10.1016/0002-8703(88)90149-4","ISSN":"10976744","PMID":"3177198","abstract":"To assess the incidence and clinical characteristics of carotid sinus hypersensitivity and the relationship to electrophysiologic findings, 76 patients with unexplained syncope underwent carotid sinus massage during electrophysiologic studies for syncope evaluation. Twenty-one patients (28%) were found to have carotid sinus hypersensitivity. Of these 21 patients, 11 (52%) had coronary artery disease, two (10%) had hypertensive heart disease, and eight (38%) had no organic heart disease. During electrophysiologic studies, abnormal sinus node function was found in three patients (14%), abnormal atrioventricular (AV) node function was noted in four (19%), and combined abnormal sinus node and AV node functions were seen in three (14%). Eleven patients (53%) had a normal electrophysiologic study. During carotid sinus massage, sinus arrest alone was observed in 12 patients (57%), and combined sinus arrest and AV nodal block was seen in nine (43%). Thirteen patients were treated with a permanent pacemaker, in whom either carotid sinus massage reproduced the symptom or concomitant sinus node or AV node abnormality, or organic heart disease was present. With a mean follow-up of 42 ± 19 months, none of these 13 patients had recurrent syncope. However, one of eight patients (13%) who did not receive a pacemaker had recurrence of syncope. Subsequently, this patient has done well after implantation of a pacemaker. These observations suggest that there is a significant incidence of carotid sinus hypersensitivity in patients with unexplained syncope. Permanent pacing appears to be beneficial in selected patients based on clinical and electrophysiologic findings. © 1988.","author":[{"dropping-particle":"","family":"Huang","given":"Shoei K.Stephen","non-dropping-particle":"","parse-names":false,"suffix":""},{"dropping-particle":"","family":"Ezri","given":"Marilyn D.","non-dropping-particle":"","parse-names":false,"suffix":""},{"dropping-particle":"","family":"Hauser","given":"Robert G.","non-dropping-particle":"","parse-names":false,"suffix":""},{"dropping-particle":"","family":"Denes","given":"Pablo","non-dropping-particle":"","parse-names":false,"suffix":""}],"container-title":"American Heart Journal","id":"ITEM-1","issue":"4","issued":{"date-parts":[["1988"]]},"page":"989-996","title":"Carotid sinus hypersensitivity in patients with unexplained syncope: Clinical, electrophysiologic, and long-term follow-up observations","type":"article-journal","volume":"116"},"uris":["http://www.mendeley.com/documents/?uuid=9daf9526-b516-46b1-b999-a98946aa8a1b"]}],"mendeley":{"formattedCitation":"(2)","plainTextFormattedCitation":"(2)","previouslyFormattedCitation":"(2)"},"properties":{"noteIndex":0},"schema":"https://github.com/citation-style-language/schema/raw/master/csl-citation.json"}</w:instrText>
      </w:r>
      <w:r w:rsidR="000A09A9">
        <w:fldChar w:fldCharType="separate"/>
      </w:r>
      <w:r w:rsidR="000A09A9" w:rsidRPr="000A09A9">
        <w:rPr>
          <w:noProof/>
        </w:rPr>
        <w:t>(2)</w:t>
      </w:r>
      <w:r w:rsidR="000A09A9">
        <w:fldChar w:fldCharType="end"/>
      </w:r>
      <w:r w:rsidR="000A09A9">
        <w:t xml:space="preserve">. The three varieties of CSH have been described in literature as cardioinhibitory, vasodepressor or mixed type </w:t>
      </w:r>
      <w:r w:rsidR="000A09A9">
        <w:fldChar w:fldCharType="begin" w:fldLock="1"/>
      </w:r>
      <w:r w:rsidR="005A5936">
        <w:instrText>ADDIN CSL_CITATION {"citationItems":[{"id":"ITEM-1","itemData":{"DOI":"10.1016/0002-9149(78)90934-7","ISSN":"00029149","PMID":"356576","abstract":"Hyperactivity of the carotid sinus reflex is common in older men. However, an unequivocal diagnosis of carotid sinus syncope is difficult to establish because the symptoms are nonspecific, and both hyperactivity of the carotid sinus reflex and syncope are common. Twenty-one men were evaluated for episodes of lightheadedness or syncope, or both, associated with a hypersensitive carotid sinus reflex. Seventeen patients had the cardioinhibitory type, two the vasodepressor type and two both the cardioinhibitory and vasodepressor types. Patients with the cardioinhibitory type benefited from the insertion of a permanent pacemaker if they had multiple episodes of syncope. A history of syncope associated with some event capable of stimulating the carotid sinus was also helpful in selecting patients for pacemaker treatment. The combination of the cardioinhibitory and vasodepressor types may be missed unless carotid sinus stimulation is repeated after the administration of atropine. The results of electrophysiologic studies in 17 patients with the cardioinhibitory type suggest that intrinsic sinus nodal dysfunction is not the major cause for asystole after carotid sinus stimulation. © 1978.","author":[{"dropping-particle":"","family":"Walter","given":"Paul F.","non-dropping-particle":"","parse-names":false,"suffix":""},{"dropping-particle":"","family":"Crawley","given":"I. Sylvia","non-dropping-particle":"","parse-names":false,"suffix":""},{"dropping-particle":"","family":"Dorney","given":"Edward R.","non-dropping-particle":"","parse-names":false,"suffix":""}],"container-title":"The American Journal of Cardiology","id":"ITEM-1","issue":"3","issued":{"date-parts":[["1978"]]},"page":"396-403","title":"Carotid sinus hypersensitivity and syncope","type":"article-journal","volume":"42"},"uris":["http://www.mendeley.com/documents/?uuid=4e1fff2a-c753-427e-9929-0e39a76fa3a9"]}],"mendeley":{"formattedCitation":"(3)","plainTextFormattedCitation":"(3)","previouslyFormattedCitation":"(3)"},"properties":{"noteIndex":0},"schema":"https://github.com/citation-style-language/schema/raw/master/csl-citation.json"}</w:instrText>
      </w:r>
      <w:r w:rsidR="000A09A9">
        <w:fldChar w:fldCharType="separate"/>
      </w:r>
      <w:r w:rsidR="000A09A9" w:rsidRPr="000A09A9">
        <w:rPr>
          <w:noProof/>
        </w:rPr>
        <w:t>(3)</w:t>
      </w:r>
      <w:r w:rsidR="000A09A9">
        <w:fldChar w:fldCharType="end"/>
      </w:r>
      <w:r w:rsidR="000A09A9">
        <w:t xml:space="preserve">. </w:t>
      </w:r>
    </w:p>
    <w:p w14:paraId="00F10A65" w14:textId="4C821FA7" w:rsidR="001A4F4A" w:rsidRDefault="005A5936" w:rsidP="001A4F4A">
      <w:r>
        <w:t xml:space="preserve">The prolonged stimulation of carotid sinus has been seen to produce hypotension or syncope. </w:t>
      </w:r>
      <w:r w:rsidR="009A5F70">
        <w:t xml:space="preserve">The prevalence of CSH according to some studies has been shown in the range of 0-62% </w:t>
      </w:r>
      <w:r w:rsidR="009A5F70">
        <w:fldChar w:fldCharType="begin" w:fldLock="1"/>
      </w:r>
      <w:r w:rsidR="00475B72">
        <w:instrText>ADDIN CSL_CITATION {"citationItems":[{"id":"ITEM-1","itemData":{"DOI":"10.1001/archinte.166.5.515","ISSN":"0003-9926","abstract":"BACKGROUND Carotid sinus hypersensitivity is the most commonly reported cause of falls and syncope in older persons. Recent guidelines recommend 5 to 10 seconds of carotid sinus massage in supine and upright positions with beat-to-beat monitoring. The aim of this study was to determine the prevalence of carotid sinus hypersensitivity in (1) an unselected community sample of older people and (2) a subsample with no history of syncope, dizziness, or falls using recently standardized diagnostic criteria. METHODS One thousand individuals older than 65 years were randomly sampled from a single general practice register; 272 participants underwent supine and upright carotid sinus massage with continuous heart rate and phasic blood pressure monitoring. Carotid sinus hypersensitivity was defined as asystole of 3 seconds or greater and/or a drop in systolic blood pressure of 50 mm Hg or greater. RESULTS Carotid sinus hypersensitivity was present in 107 individuals (39%); 24% had asystole of 3 seconds or greater during carotid sinus massage; and 16% had symptoms (including syncope) with carotid sinus hypersensitivity. Age (odds ratio, 1.05; 95% confidence interval, 1.00-1.09) and male sex (odds ratio, 1.71; 95% confidence intervals, 1.04-2.82) were the only predictors of carotid sinus hypersensitivity. In 80 previously asymptomatic individuals, carotid sinus hypersensitivity was present in 28 (35%) and accompanied by symptoms in 10. The 95th percentile for carotid sinus massage response was 7.3 seconds' asystole and a 77-mm Hg drop in systolic blood pressure. CONCLUSIONS Carotid sinus hypersensitivity is common in older persons, even those with no history of syncope, dizziness, or falls. The finding of a hypersensitive response should not necessarily preclude further investigation for other causes of syncope.","author":[{"dropping-particle":"","family":"Kerr","given":"Simon R. J.","non-dropping-particle":"","parse-names":false,"suffix":""},{"dropping-particle":"","family":"Pearce","given":"Mark S.","non-dropping-particle":"","parse-names":false,"suffix":""},{"dropping-particle":"","family":"Brayne","given":"Carol","non-dropping-particle":"","parse-names":false,"suffix":""},{"dropping-particle":"","family":"Davis","given":"Richard J.","non-dropping-particle":"","parse-names":false,"suffix":""},{"dropping-particle":"","family":"Kenny","given":"Rose Anne","non-dropping-particle":"","parse-names":false,"suffix":""}],"container-title":"Archives of Internal Medicine","id":"ITEM-1","issue":"5","issued":{"date-parts":[["2006"]]},"page":"515","title":"Carotid Sinus Hypersensitivity in Asymptomatic Older Persons","type":"article-journal","volume":"166"},"uris":["http://www.mendeley.com/documents/?uuid=6a9f34d4-e57a-4270-82e9-dc78a656a946"]}],"mendeley":{"formattedCitation":"(4)","plainTextFormattedCitation":"(4)","previouslyFormattedCitation":"(4)"},"properties":{"noteIndex":0},"schema":"https://github.com/citation-style-language/schema/raw/master/csl-citation.json"}</w:instrText>
      </w:r>
      <w:r w:rsidR="009A5F70">
        <w:fldChar w:fldCharType="separate"/>
      </w:r>
      <w:r w:rsidR="009A5F70" w:rsidRPr="009A5F70">
        <w:rPr>
          <w:noProof/>
        </w:rPr>
        <w:t>(4)</w:t>
      </w:r>
      <w:r w:rsidR="009A5F70">
        <w:fldChar w:fldCharType="end"/>
      </w:r>
      <w:r w:rsidR="009A5F70">
        <w:t xml:space="preserve">. </w:t>
      </w:r>
      <w:r w:rsidR="000428C2">
        <w:t>The prevalence of CSH is found to increase with age.</w:t>
      </w:r>
      <w:r w:rsidR="00475B72">
        <w:t xml:space="preserve"> </w:t>
      </w:r>
      <w:r w:rsidR="00475B72">
        <w:fldChar w:fldCharType="begin" w:fldLock="1"/>
      </w:r>
      <w:r w:rsidR="00475B72">
        <w:instrText>ADDIN CSL_CITATION {"citationItems":[{"id":"ITEM-1","itemData":{"abstract":"Hematology is the discipline of medical science that studies the blood and blood-forming tissues, and is currently considered an integral part of clinical laboratory diagnostics in avian medicine. Hematology assays seldom provide an etiological diagnosis, but they remain, nevertheless, indispensable diagnostic tools to evaluate health and disease in individuals, to monitor the progress of diseases, to evaluate the response to therapy and to offer a prognosis.","author":[{"dropping-particle":"","family":"Samour","given":"Jaime","non-dropping-particle":"","parse-names":false,"suffix":""}],"container-title":"Clinical Avian Medicine","id":"ITEM-1","issue":"4","issued":{"date-parts":[["2009"]]},"page":"458-464","title":"Diagnostic Value of","type":"article-journal","volume":"66"},"uris":["http://www.mendeley.com/documents/?uuid=8aa9f716-feb4-44de-84be-e34bd18f3a54"]}],"mendeley":{"formattedCitation":"(5)","plainTextFormattedCitation":"(5)","previouslyFormattedCitation":"(5)"},"properties":{"noteIndex":0},"schema":"https://github.com/citation-style-language/schema/raw/master/csl-citation.json"}</w:instrText>
      </w:r>
      <w:r w:rsidR="00475B72">
        <w:fldChar w:fldCharType="separate"/>
      </w:r>
      <w:r w:rsidR="00475B72" w:rsidRPr="00475B72">
        <w:rPr>
          <w:noProof/>
        </w:rPr>
        <w:t>(5)</w:t>
      </w:r>
      <w:r w:rsidR="00475B72">
        <w:fldChar w:fldCharType="end"/>
      </w:r>
      <w:r w:rsidR="00475B72">
        <w:t xml:space="preserve">. It </w:t>
      </w:r>
      <w:r w:rsidR="000428C2">
        <w:t xml:space="preserve">accounts </w:t>
      </w:r>
      <w:r w:rsidR="00475B72">
        <w:t xml:space="preserve">for </w:t>
      </w:r>
      <w:r w:rsidR="000428C2">
        <w:t xml:space="preserve">about </w:t>
      </w:r>
      <w:r w:rsidR="00475B72">
        <w:t>one-third of symptoms in</w:t>
      </w:r>
      <w:r w:rsidR="00A22386">
        <w:t xml:space="preserve"> older</w:t>
      </w:r>
      <w:r w:rsidR="00475B72">
        <w:t xml:space="preserve"> patients presenting with syncope </w:t>
      </w:r>
      <w:r w:rsidR="00475B72">
        <w:fldChar w:fldCharType="begin" w:fldLock="1"/>
      </w:r>
      <w:r w:rsidR="003D3629">
        <w:instrText>ADDIN CSL_CITATION {"citationItems":[{"id":"ITEM-1","itemData":{"DOI":"10.1001/archinte.166.5.515","ISSN":"0003-9926","abstract":"BACKGROUND Carotid sinus hypersensitivity is the most commonly reported cause of falls and syncope in older persons. Recent guidelines recommend 5 to 10 seconds of carotid sinus massage in supine and upright positions with beat-to-beat monitoring. The aim of this study was to determine the prevalence of carotid sinus hypersensitivity in (1) an unselected community sample of older people and (2) a subsample with no history of syncope, dizziness, or falls using recently standardized diagnostic criteria. METHODS One thousand individuals older than 65 years were randomly sampled from a single general practice register; 272 participants underwent supine and upright carotid sinus massage with continuous heart rate and phasic blood pressure monitoring. Carotid sinus hypersensitivity was defined as asystole of 3 seconds or greater and/or a drop in systolic blood pressure of 50 mm Hg or greater. RESULTS Carotid sinus hypersensitivity was present in 107 individuals (39%); 24% had asystole of 3 seconds or greater during carotid sinus massage; and 16% had symptoms (including syncope) with carotid sinus hypersensitivity. Age (odds ratio, 1.05; 95% confidence interval, 1.00-1.09) and male sex (odds ratio, 1.71; 95% confidence intervals, 1.04-2.82) were the only predictors of carotid sinus hypersensitivity. In 80 previously asymptomatic individuals, carotid sinus hypersensitivity was present in 28 (35%) and accompanied by symptoms in 10. The 95th percentile for carotid sinus massage response was 7.3 seconds' asystole and a 77-mm Hg drop in systolic blood pressure. CONCLUSIONS Carotid sinus hypersensitivity is common in older persons, even those with no history of syncope, dizziness, or falls. The finding of a hypersensitive response should not necessarily preclude further investigation for other causes of syncope.","author":[{"dropping-particle":"","family":"Kerr","given":"Simon R. J.","non-dropping-particle":"","parse-names":false,"suffix":""},{"dropping-particle":"","family":"Pearce","given":"Mark S.","non-dropping-particle":"","parse-names":false,"suffix":""},{"dropping-particle":"","family":"Brayne","given":"Carol","non-dropping-particle":"","parse-names":false,"suffix":""},{"dropping-particle":"","family":"Davis","given":"Richard J.","non-dropping-particle":"","parse-names":false,"suffix":""},{"dropping-particle":"","family":"Kenny","given":"Rose Anne","non-dropping-particle":"","parse-names":false,"suffix":""}],"container-title":"Archives of Internal Medicine","id":"ITEM-1","issue":"5","issued":{"date-parts":[["2006"]]},"page":"515","title":"Carotid Sinus Hypersensitivity in Asymptomatic Older Persons","type":"article-journal","volume":"166"},"uris":["http://www.mendeley.com/documents/?uuid=6a9f34d4-e57a-4270-82e9-dc78a656a946"]}],"mendeley":{"formattedCitation":"(4)","plainTextFormattedCitation":"(4)","previouslyFormattedCitation":"(4)"},"properties":{"noteIndex":0},"schema":"https://github.com/citation-style-language/schema/raw/master/csl-citation.json"}</w:instrText>
      </w:r>
      <w:r w:rsidR="00475B72">
        <w:fldChar w:fldCharType="separate"/>
      </w:r>
      <w:r w:rsidR="00475B72" w:rsidRPr="00475B72">
        <w:rPr>
          <w:noProof/>
        </w:rPr>
        <w:t>(4)</w:t>
      </w:r>
      <w:r w:rsidR="00475B72">
        <w:fldChar w:fldCharType="end"/>
      </w:r>
      <w:r w:rsidR="00475B72">
        <w:t>.</w:t>
      </w:r>
    </w:p>
    <w:p w14:paraId="7DACD64E" w14:textId="3183D210" w:rsidR="005B51D6" w:rsidRDefault="00C4741B" w:rsidP="001A4F4A">
      <w:r>
        <w:t>Here, we report</w:t>
      </w:r>
      <w:r w:rsidR="005B51D6">
        <w:t xml:space="preserve"> a case of a 56-year-old male presenting with loss of consciousness, having two underlying co-morbidities – CAD and diabetes mellitus. This created a diagnostic dilemma among the treating physicians regarding the cause of the syncopal event. </w:t>
      </w:r>
    </w:p>
    <w:p w14:paraId="63132D92" w14:textId="55C59FD7" w:rsidR="009E2642" w:rsidRDefault="0081708E" w:rsidP="0081708E">
      <w:pPr>
        <w:pStyle w:val="Heading1"/>
      </w:pPr>
      <w:r>
        <w:t>Case presentation</w:t>
      </w:r>
    </w:p>
    <w:p w14:paraId="0EB78CE9" w14:textId="720E34B0" w:rsidR="0081708E" w:rsidRDefault="006A538C" w:rsidP="0081708E">
      <w:r>
        <w:t>A 56</w:t>
      </w:r>
      <w:r w:rsidR="006D71D7">
        <w:t>-</w:t>
      </w:r>
      <w:r>
        <w:t>year</w:t>
      </w:r>
      <w:r w:rsidR="006D71D7">
        <w:t>-</w:t>
      </w:r>
      <w:r>
        <w:t xml:space="preserve">old Hindu male, known case of coronary artery disease (CAD) and type 2 diabetes mellitus (DM), presented to our emergency department with </w:t>
      </w:r>
      <w:r w:rsidR="000428C2">
        <w:t xml:space="preserve">a </w:t>
      </w:r>
      <w:r>
        <w:t>complaint of loss of consciousness (LOC). It was sudden in onset</w:t>
      </w:r>
      <w:r w:rsidR="000428C2">
        <w:t>,</w:t>
      </w:r>
      <w:r>
        <w:t xml:space="preserve"> lasting for </w:t>
      </w:r>
      <w:r w:rsidR="003858E7">
        <w:t xml:space="preserve">a </w:t>
      </w:r>
      <w:r>
        <w:t>few minutes</w:t>
      </w:r>
      <w:r w:rsidR="000428C2">
        <w:t>,</w:t>
      </w:r>
      <w:r>
        <w:t xml:space="preserve"> and </w:t>
      </w:r>
      <w:r w:rsidR="000428C2">
        <w:t xml:space="preserve">was </w:t>
      </w:r>
      <w:r>
        <w:t>preceded by sweating. There was</w:t>
      </w:r>
      <w:r w:rsidR="000428C2">
        <w:t xml:space="preserve"> a</w:t>
      </w:r>
      <w:r>
        <w:t xml:space="preserve"> history of two episodes of LOC. </w:t>
      </w:r>
      <w:r w:rsidR="00FE2E80">
        <w:t>It was not associated with any position or activity. There was no history of chest pain, palpitation, headache,</w:t>
      </w:r>
      <w:r w:rsidR="00DE2535">
        <w:t xml:space="preserve"> weakness,</w:t>
      </w:r>
      <w:r w:rsidR="00FE2E80">
        <w:t xml:space="preserve"> abnormal body movements, fever, trauma,</w:t>
      </w:r>
      <w:r w:rsidR="004B39A1">
        <w:t xml:space="preserve"> </w:t>
      </w:r>
      <w:r w:rsidR="00FE2E80">
        <w:t xml:space="preserve">frothing </w:t>
      </w:r>
      <w:r w:rsidR="000428C2">
        <w:t>at</w:t>
      </w:r>
      <w:r w:rsidR="00FE2E80">
        <w:t xml:space="preserve"> mouth</w:t>
      </w:r>
      <w:r w:rsidR="000428C2">
        <w:t>, up</w:t>
      </w:r>
      <w:r w:rsidR="004B39A1">
        <w:t xml:space="preserve"> </w:t>
      </w:r>
      <w:r w:rsidR="000428C2">
        <w:t>rolling of eyes, tongue bite</w:t>
      </w:r>
      <w:r w:rsidR="00FE2E80">
        <w:t xml:space="preserve"> and tinnitus. He was non-smoker and non-alcoholic. </w:t>
      </w:r>
    </w:p>
    <w:p w14:paraId="76E3EA21" w14:textId="17EB6AA4" w:rsidR="00FE2E80" w:rsidRDefault="00FE2E80" w:rsidP="0081708E">
      <w:r>
        <w:t xml:space="preserve">On </w:t>
      </w:r>
      <w:r w:rsidR="003858E7">
        <w:t xml:space="preserve">clinical </w:t>
      </w:r>
      <w:r>
        <w:t xml:space="preserve">examination, he was </w:t>
      </w:r>
      <w:r w:rsidR="00124AB3">
        <w:t>hemodynamically stable</w:t>
      </w:r>
      <w:r w:rsidR="003858E7">
        <w:t>,</w:t>
      </w:r>
      <w:r w:rsidR="00124AB3">
        <w:t xml:space="preserve"> with normal blood pressure on supine (126/90 mmHg)</w:t>
      </w:r>
      <w:r w:rsidR="003858E7">
        <w:t>,</w:t>
      </w:r>
      <w:r w:rsidR="00124AB3">
        <w:t xml:space="preserve"> and standing position (110/88 mmHg). There was no significant postural drop in blood pressure, ultimately ruling out postural hypotension. The general and systemic examination</w:t>
      </w:r>
      <w:r w:rsidR="000428C2">
        <w:t>s</w:t>
      </w:r>
      <w:r w:rsidR="004B39A1">
        <w:t xml:space="preserve"> </w:t>
      </w:r>
      <w:r w:rsidR="000428C2">
        <w:t>were unremarkable</w:t>
      </w:r>
      <w:r w:rsidR="00124AB3">
        <w:t xml:space="preserve">. He was admitted </w:t>
      </w:r>
      <w:r w:rsidR="000428C2">
        <w:t xml:space="preserve">in medical ward </w:t>
      </w:r>
      <w:r w:rsidR="004B39A1">
        <w:t>for further</w:t>
      </w:r>
      <w:r w:rsidR="003858E7">
        <w:t xml:space="preserve"> evaluation.</w:t>
      </w:r>
    </w:p>
    <w:p w14:paraId="5A5293E2" w14:textId="27DF7EC4" w:rsidR="00124AB3" w:rsidRDefault="00124AB3" w:rsidP="0081708E">
      <w:r>
        <w:t>The baseline laboratory investigations are shown in</w:t>
      </w:r>
      <w:r w:rsidR="003858E7">
        <w:t xml:space="preserve"> table 1.</w:t>
      </w:r>
    </w:p>
    <w:p w14:paraId="440EEB90" w14:textId="77777777" w:rsidR="003858E7" w:rsidRDefault="003858E7" w:rsidP="0081708E"/>
    <w:p w14:paraId="0B6FBC4C" w14:textId="6A0FAAAF" w:rsidR="003858E7" w:rsidRPr="002066B1" w:rsidRDefault="002066B1" w:rsidP="002066B1">
      <w:pPr>
        <w:pStyle w:val="Caption"/>
        <w:rPr>
          <w:i w:val="0"/>
          <w:iCs w:val="0"/>
          <w:color w:val="auto"/>
          <w:sz w:val="24"/>
          <w:szCs w:val="24"/>
        </w:rPr>
      </w:pPr>
      <w:r w:rsidRPr="002066B1">
        <w:rPr>
          <w:i w:val="0"/>
          <w:iCs w:val="0"/>
          <w:color w:val="auto"/>
          <w:sz w:val="24"/>
          <w:szCs w:val="24"/>
        </w:rPr>
        <w:lastRenderedPageBreak/>
        <w:t xml:space="preserve">Table </w:t>
      </w:r>
      <w:r w:rsidRPr="002066B1">
        <w:rPr>
          <w:i w:val="0"/>
          <w:iCs w:val="0"/>
          <w:color w:val="auto"/>
          <w:sz w:val="24"/>
          <w:szCs w:val="24"/>
        </w:rPr>
        <w:fldChar w:fldCharType="begin"/>
      </w:r>
      <w:r w:rsidRPr="002066B1">
        <w:rPr>
          <w:i w:val="0"/>
          <w:iCs w:val="0"/>
          <w:color w:val="auto"/>
          <w:sz w:val="24"/>
          <w:szCs w:val="24"/>
        </w:rPr>
        <w:instrText xml:space="preserve"> SEQ Table \* ARABIC </w:instrText>
      </w:r>
      <w:r w:rsidRPr="002066B1">
        <w:rPr>
          <w:i w:val="0"/>
          <w:iCs w:val="0"/>
          <w:color w:val="auto"/>
          <w:sz w:val="24"/>
          <w:szCs w:val="24"/>
        </w:rPr>
        <w:fldChar w:fldCharType="separate"/>
      </w:r>
      <w:r>
        <w:rPr>
          <w:i w:val="0"/>
          <w:iCs w:val="0"/>
          <w:noProof/>
          <w:color w:val="auto"/>
          <w:sz w:val="24"/>
          <w:szCs w:val="24"/>
        </w:rPr>
        <w:t>1</w:t>
      </w:r>
      <w:r w:rsidRPr="002066B1">
        <w:rPr>
          <w:i w:val="0"/>
          <w:iCs w:val="0"/>
          <w:color w:val="auto"/>
          <w:sz w:val="24"/>
          <w:szCs w:val="24"/>
        </w:rPr>
        <w:fldChar w:fldCharType="end"/>
      </w:r>
      <w:r w:rsidRPr="002066B1">
        <w:rPr>
          <w:i w:val="0"/>
          <w:iCs w:val="0"/>
          <w:color w:val="auto"/>
          <w:sz w:val="24"/>
          <w:szCs w:val="24"/>
        </w:rPr>
        <w:t>: Baseline laboratory investigations</w:t>
      </w:r>
    </w:p>
    <w:tbl>
      <w:tblPr>
        <w:tblStyle w:val="TableGrid1"/>
        <w:tblW w:w="0" w:type="auto"/>
        <w:tblLook w:val="04A0" w:firstRow="1" w:lastRow="0" w:firstColumn="1" w:lastColumn="0" w:noHBand="0" w:noVBand="1"/>
      </w:tblPr>
      <w:tblGrid>
        <w:gridCol w:w="3854"/>
        <w:gridCol w:w="1091"/>
        <w:gridCol w:w="1350"/>
        <w:gridCol w:w="2463"/>
      </w:tblGrid>
      <w:tr w:rsidR="00971EB6" w:rsidRPr="0036794F" w14:paraId="3B389B6D" w14:textId="77777777" w:rsidTr="008A46B0">
        <w:trPr>
          <w:trHeight w:val="432"/>
        </w:trPr>
        <w:tc>
          <w:tcPr>
            <w:tcW w:w="3854" w:type="dxa"/>
          </w:tcPr>
          <w:p w14:paraId="7553183C" w14:textId="77777777" w:rsidR="00971EB6" w:rsidRPr="0036794F" w:rsidRDefault="00971EB6" w:rsidP="009C2DF8">
            <w:pPr>
              <w:spacing w:line="480" w:lineRule="auto"/>
              <w:rPr>
                <w:rFonts w:eastAsia="Calibri" w:cs="Times New Roman"/>
                <w:b/>
                <w:bCs/>
                <w:szCs w:val="24"/>
              </w:rPr>
            </w:pPr>
            <w:r w:rsidRPr="0036794F">
              <w:rPr>
                <w:rFonts w:eastAsia="Calibri" w:cs="Times New Roman"/>
                <w:b/>
                <w:bCs/>
                <w:szCs w:val="24"/>
              </w:rPr>
              <w:t>Laboratory tests</w:t>
            </w:r>
          </w:p>
        </w:tc>
        <w:tc>
          <w:tcPr>
            <w:tcW w:w="1091" w:type="dxa"/>
          </w:tcPr>
          <w:p w14:paraId="0FD5B6AD" w14:textId="77777777" w:rsidR="00971EB6" w:rsidRPr="0036794F" w:rsidRDefault="00971EB6" w:rsidP="009C2DF8">
            <w:pPr>
              <w:spacing w:line="480" w:lineRule="auto"/>
              <w:rPr>
                <w:rFonts w:eastAsia="Calibri" w:cs="Times New Roman"/>
                <w:b/>
                <w:bCs/>
                <w:szCs w:val="24"/>
              </w:rPr>
            </w:pPr>
            <w:r w:rsidRPr="0036794F">
              <w:rPr>
                <w:rFonts w:eastAsia="Calibri" w:cs="Times New Roman"/>
                <w:b/>
                <w:bCs/>
                <w:szCs w:val="24"/>
              </w:rPr>
              <w:t>Result</w:t>
            </w:r>
          </w:p>
        </w:tc>
        <w:tc>
          <w:tcPr>
            <w:tcW w:w="1350" w:type="dxa"/>
          </w:tcPr>
          <w:p w14:paraId="14CDCE83" w14:textId="77777777" w:rsidR="00971EB6" w:rsidRPr="0036794F" w:rsidRDefault="00971EB6" w:rsidP="009C2DF8">
            <w:pPr>
              <w:spacing w:line="480" w:lineRule="auto"/>
              <w:rPr>
                <w:rFonts w:eastAsia="Calibri" w:cs="Times New Roman"/>
                <w:b/>
                <w:bCs/>
                <w:szCs w:val="24"/>
              </w:rPr>
            </w:pPr>
            <w:r w:rsidRPr="0036794F">
              <w:rPr>
                <w:rFonts w:eastAsia="Calibri" w:cs="Times New Roman"/>
                <w:b/>
                <w:bCs/>
                <w:szCs w:val="24"/>
              </w:rPr>
              <w:t>Unit</w:t>
            </w:r>
          </w:p>
        </w:tc>
        <w:tc>
          <w:tcPr>
            <w:tcW w:w="2463" w:type="dxa"/>
          </w:tcPr>
          <w:p w14:paraId="36782BE4" w14:textId="77777777" w:rsidR="00971EB6" w:rsidRPr="0036794F" w:rsidRDefault="00971EB6" w:rsidP="009C2DF8">
            <w:pPr>
              <w:spacing w:line="480" w:lineRule="auto"/>
              <w:rPr>
                <w:rFonts w:eastAsia="Calibri" w:cs="Times New Roman"/>
                <w:b/>
                <w:bCs/>
                <w:szCs w:val="24"/>
              </w:rPr>
            </w:pPr>
            <w:r w:rsidRPr="0036794F">
              <w:rPr>
                <w:rFonts w:eastAsia="Calibri" w:cs="Times New Roman"/>
                <w:b/>
                <w:bCs/>
                <w:szCs w:val="24"/>
              </w:rPr>
              <w:t>Reference range</w:t>
            </w:r>
          </w:p>
        </w:tc>
      </w:tr>
      <w:tr w:rsidR="00971EB6" w:rsidRPr="0036794F" w14:paraId="56464E9B" w14:textId="77777777" w:rsidTr="008A46B0">
        <w:trPr>
          <w:trHeight w:val="432"/>
        </w:trPr>
        <w:tc>
          <w:tcPr>
            <w:tcW w:w="3854" w:type="dxa"/>
          </w:tcPr>
          <w:p w14:paraId="05AF7706"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Total Leukocytes Count</w:t>
            </w:r>
          </w:p>
        </w:tc>
        <w:tc>
          <w:tcPr>
            <w:tcW w:w="1091" w:type="dxa"/>
          </w:tcPr>
          <w:p w14:paraId="3775CD2A" w14:textId="4EF2C4DB" w:rsidR="00971EB6" w:rsidRPr="0036794F" w:rsidRDefault="00971EB6" w:rsidP="009C2DF8">
            <w:pPr>
              <w:spacing w:line="480" w:lineRule="auto"/>
              <w:rPr>
                <w:rFonts w:eastAsia="Calibri" w:cs="Times New Roman"/>
                <w:szCs w:val="24"/>
              </w:rPr>
            </w:pPr>
            <w:r>
              <w:rPr>
                <w:rFonts w:eastAsia="Calibri" w:cs="Times New Roman"/>
                <w:szCs w:val="24"/>
              </w:rPr>
              <w:t>4.6</w:t>
            </w:r>
          </w:p>
        </w:tc>
        <w:tc>
          <w:tcPr>
            <w:tcW w:w="1350" w:type="dxa"/>
          </w:tcPr>
          <w:p w14:paraId="3D4C8FA3"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10</w:t>
            </w:r>
            <w:r w:rsidRPr="0036794F">
              <w:rPr>
                <w:rFonts w:eastAsia="Calibri" w:cs="Times New Roman"/>
                <w:szCs w:val="24"/>
                <w:vertAlign w:val="superscript"/>
              </w:rPr>
              <w:t>˄</w:t>
            </w:r>
            <w:r w:rsidRPr="0036794F">
              <w:rPr>
                <w:rFonts w:eastAsia="Calibri" w:cs="Times New Roman"/>
                <w:szCs w:val="24"/>
              </w:rPr>
              <w:t>3/µL</w:t>
            </w:r>
          </w:p>
        </w:tc>
        <w:tc>
          <w:tcPr>
            <w:tcW w:w="2463" w:type="dxa"/>
          </w:tcPr>
          <w:p w14:paraId="3D2F2FB7"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4-11</w:t>
            </w:r>
          </w:p>
        </w:tc>
      </w:tr>
      <w:tr w:rsidR="00971EB6" w:rsidRPr="0036794F" w14:paraId="7CB17E4B" w14:textId="77777777" w:rsidTr="008A46B0">
        <w:trPr>
          <w:trHeight w:val="432"/>
        </w:trPr>
        <w:tc>
          <w:tcPr>
            <w:tcW w:w="3854" w:type="dxa"/>
          </w:tcPr>
          <w:p w14:paraId="624262F4"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Neutrophil</w:t>
            </w:r>
          </w:p>
        </w:tc>
        <w:tc>
          <w:tcPr>
            <w:tcW w:w="1091" w:type="dxa"/>
          </w:tcPr>
          <w:p w14:paraId="27DB11E5" w14:textId="0141E31B" w:rsidR="00971EB6" w:rsidRPr="0036794F" w:rsidRDefault="00971EB6" w:rsidP="009C2DF8">
            <w:pPr>
              <w:spacing w:line="480" w:lineRule="auto"/>
              <w:rPr>
                <w:rFonts w:eastAsia="Calibri" w:cs="Times New Roman"/>
                <w:szCs w:val="24"/>
              </w:rPr>
            </w:pPr>
            <w:r>
              <w:rPr>
                <w:rFonts w:eastAsia="Calibri" w:cs="Times New Roman"/>
                <w:szCs w:val="24"/>
              </w:rPr>
              <w:t>70</w:t>
            </w:r>
          </w:p>
        </w:tc>
        <w:tc>
          <w:tcPr>
            <w:tcW w:w="1350" w:type="dxa"/>
          </w:tcPr>
          <w:p w14:paraId="1A4A3D35"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w:t>
            </w:r>
          </w:p>
        </w:tc>
        <w:tc>
          <w:tcPr>
            <w:tcW w:w="2463" w:type="dxa"/>
          </w:tcPr>
          <w:p w14:paraId="2D1AEAE1"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40-80</w:t>
            </w:r>
          </w:p>
        </w:tc>
      </w:tr>
      <w:tr w:rsidR="00971EB6" w:rsidRPr="0036794F" w14:paraId="4DE0B79C" w14:textId="77777777" w:rsidTr="008A46B0">
        <w:trPr>
          <w:trHeight w:val="432"/>
        </w:trPr>
        <w:tc>
          <w:tcPr>
            <w:tcW w:w="3854" w:type="dxa"/>
          </w:tcPr>
          <w:p w14:paraId="40470B2B"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Lymphocyte</w:t>
            </w:r>
          </w:p>
        </w:tc>
        <w:tc>
          <w:tcPr>
            <w:tcW w:w="1091" w:type="dxa"/>
          </w:tcPr>
          <w:p w14:paraId="00843748" w14:textId="6C86B77F" w:rsidR="00971EB6" w:rsidRPr="0036794F" w:rsidRDefault="00971EB6" w:rsidP="009C2DF8">
            <w:pPr>
              <w:spacing w:line="480" w:lineRule="auto"/>
              <w:rPr>
                <w:rFonts w:eastAsia="Calibri" w:cs="Times New Roman"/>
                <w:szCs w:val="24"/>
              </w:rPr>
            </w:pPr>
            <w:r>
              <w:rPr>
                <w:rFonts w:eastAsia="Calibri" w:cs="Times New Roman"/>
                <w:szCs w:val="24"/>
              </w:rPr>
              <w:t>20</w:t>
            </w:r>
          </w:p>
        </w:tc>
        <w:tc>
          <w:tcPr>
            <w:tcW w:w="1350" w:type="dxa"/>
          </w:tcPr>
          <w:p w14:paraId="6B4983A5"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w:t>
            </w:r>
          </w:p>
        </w:tc>
        <w:tc>
          <w:tcPr>
            <w:tcW w:w="2463" w:type="dxa"/>
          </w:tcPr>
          <w:p w14:paraId="7E4C3D83"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20-40</w:t>
            </w:r>
          </w:p>
        </w:tc>
      </w:tr>
      <w:tr w:rsidR="00971EB6" w:rsidRPr="0036794F" w14:paraId="0CBF9622" w14:textId="77777777" w:rsidTr="008A46B0">
        <w:trPr>
          <w:trHeight w:val="432"/>
        </w:trPr>
        <w:tc>
          <w:tcPr>
            <w:tcW w:w="3854" w:type="dxa"/>
          </w:tcPr>
          <w:p w14:paraId="40F0C09A"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Hemoglobin</w:t>
            </w:r>
          </w:p>
        </w:tc>
        <w:tc>
          <w:tcPr>
            <w:tcW w:w="1091" w:type="dxa"/>
          </w:tcPr>
          <w:p w14:paraId="6F19A11E" w14:textId="0556FA61" w:rsidR="00971EB6" w:rsidRPr="0036794F" w:rsidRDefault="00971EB6" w:rsidP="009C2DF8">
            <w:pPr>
              <w:spacing w:line="480" w:lineRule="auto"/>
              <w:rPr>
                <w:rFonts w:eastAsia="Calibri" w:cs="Times New Roman"/>
                <w:szCs w:val="24"/>
              </w:rPr>
            </w:pPr>
            <w:r w:rsidRPr="0036794F">
              <w:rPr>
                <w:rFonts w:eastAsia="Calibri" w:cs="Times New Roman"/>
                <w:szCs w:val="24"/>
              </w:rPr>
              <w:t>1</w:t>
            </w:r>
            <w:r>
              <w:rPr>
                <w:rFonts w:eastAsia="Calibri" w:cs="Times New Roman"/>
                <w:szCs w:val="24"/>
              </w:rPr>
              <w:t>3.7</w:t>
            </w:r>
          </w:p>
        </w:tc>
        <w:tc>
          <w:tcPr>
            <w:tcW w:w="1350" w:type="dxa"/>
          </w:tcPr>
          <w:p w14:paraId="4546FF8C"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g/dl</w:t>
            </w:r>
          </w:p>
        </w:tc>
        <w:tc>
          <w:tcPr>
            <w:tcW w:w="2463" w:type="dxa"/>
          </w:tcPr>
          <w:p w14:paraId="4FC67D3E"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13-17</w:t>
            </w:r>
          </w:p>
        </w:tc>
      </w:tr>
      <w:tr w:rsidR="00971EB6" w:rsidRPr="0036794F" w14:paraId="1F779407" w14:textId="77777777" w:rsidTr="008A46B0">
        <w:trPr>
          <w:trHeight w:val="432"/>
        </w:trPr>
        <w:tc>
          <w:tcPr>
            <w:tcW w:w="3854" w:type="dxa"/>
          </w:tcPr>
          <w:p w14:paraId="2CEF4B54"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Platelet Count</w:t>
            </w:r>
          </w:p>
        </w:tc>
        <w:tc>
          <w:tcPr>
            <w:tcW w:w="1091" w:type="dxa"/>
          </w:tcPr>
          <w:p w14:paraId="73299919" w14:textId="1D5BFB5B" w:rsidR="00971EB6" w:rsidRPr="0036794F" w:rsidRDefault="00971EB6" w:rsidP="009C2DF8">
            <w:pPr>
              <w:spacing w:line="480" w:lineRule="auto"/>
              <w:rPr>
                <w:rFonts w:eastAsia="Calibri" w:cs="Times New Roman"/>
                <w:szCs w:val="24"/>
              </w:rPr>
            </w:pPr>
            <w:r>
              <w:rPr>
                <w:rFonts w:eastAsia="Calibri" w:cs="Times New Roman"/>
                <w:szCs w:val="24"/>
              </w:rPr>
              <w:t>137</w:t>
            </w:r>
          </w:p>
        </w:tc>
        <w:tc>
          <w:tcPr>
            <w:tcW w:w="1350" w:type="dxa"/>
          </w:tcPr>
          <w:p w14:paraId="1DE34E25"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10</w:t>
            </w:r>
            <w:r w:rsidRPr="0036794F">
              <w:rPr>
                <w:rFonts w:eastAsia="Calibri" w:cs="Times New Roman"/>
                <w:szCs w:val="24"/>
                <w:vertAlign w:val="superscript"/>
              </w:rPr>
              <w:t>˄</w:t>
            </w:r>
            <w:r w:rsidRPr="0036794F">
              <w:rPr>
                <w:rFonts w:eastAsia="Calibri" w:cs="Times New Roman"/>
                <w:szCs w:val="24"/>
              </w:rPr>
              <w:t>3/µL</w:t>
            </w:r>
          </w:p>
        </w:tc>
        <w:tc>
          <w:tcPr>
            <w:tcW w:w="2463" w:type="dxa"/>
          </w:tcPr>
          <w:p w14:paraId="343990DF"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150-450</w:t>
            </w:r>
          </w:p>
        </w:tc>
      </w:tr>
      <w:tr w:rsidR="00971EB6" w:rsidRPr="0036794F" w14:paraId="3A27FADB" w14:textId="77777777" w:rsidTr="008A46B0">
        <w:trPr>
          <w:trHeight w:val="432"/>
        </w:trPr>
        <w:tc>
          <w:tcPr>
            <w:tcW w:w="3854" w:type="dxa"/>
          </w:tcPr>
          <w:p w14:paraId="4976A24A"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Urea</w:t>
            </w:r>
          </w:p>
        </w:tc>
        <w:tc>
          <w:tcPr>
            <w:tcW w:w="1091" w:type="dxa"/>
          </w:tcPr>
          <w:p w14:paraId="673CD13D" w14:textId="35D1E990" w:rsidR="00971EB6" w:rsidRPr="0036794F" w:rsidRDefault="00971EB6" w:rsidP="009C2DF8">
            <w:pPr>
              <w:spacing w:line="480" w:lineRule="auto"/>
              <w:rPr>
                <w:rFonts w:eastAsia="Calibri" w:cs="Times New Roman"/>
                <w:szCs w:val="24"/>
              </w:rPr>
            </w:pPr>
            <w:r>
              <w:rPr>
                <w:rFonts w:eastAsia="Calibri" w:cs="Times New Roman"/>
                <w:szCs w:val="24"/>
              </w:rPr>
              <w:t>19</w:t>
            </w:r>
          </w:p>
        </w:tc>
        <w:tc>
          <w:tcPr>
            <w:tcW w:w="1350" w:type="dxa"/>
          </w:tcPr>
          <w:p w14:paraId="233401A1"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mg/dl</w:t>
            </w:r>
          </w:p>
        </w:tc>
        <w:tc>
          <w:tcPr>
            <w:tcW w:w="2463" w:type="dxa"/>
          </w:tcPr>
          <w:p w14:paraId="1D2F499E"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17-43</w:t>
            </w:r>
          </w:p>
        </w:tc>
      </w:tr>
      <w:tr w:rsidR="00971EB6" w:rsidRPr="0036794F" w14:paraId="4F35732F" w14:textId="77777777" w:rsidTr="008A46B0">
        <w:trPr>
          <w:trHeight w:val="432"/>
        </w:trPr>
        <w:tc>
          <w:tcPr>
            <w:tcW w:w="3854" w:type="dxa"/>
          </w:tcPr>
          <w:p w14:paraId="2ACF6FD6"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Creatinine</w:t>
            </w:r>
          </w:p>
        </w:tc>
        <w:tc>
          <w:tcPr>
            <w:tcW w:w="1091" w:type="dxa"/>
          </w:tcPr>
          <w:p w14:paraId="73023B22" w14:textId="60A1096B" w:rsidR="00971EB6" w:rsidRPr="0036794F" w:rsidRDefault="00971EB6" w:rsidP="009C2DF8">
            <w:pPr>
              <w:spacing w:line="480" w:lineRule="auto"/>
              <w:rPr>
                <w:rFonts w:eastAsia="Calibri" w:cs="Times New Roman"/>
                <w:szCs w:val="24"/>
              </w:rPr>
            </w:pPr>
            <w:r>
              <w:rPr>
                <w:rFonts w:eastAsia="Calibri" w:cs="Times New Roman"/>
                <w:szCs w:val="24"/>
              </w:rPr>
              <w:t>1.0</w:t>
            </w:r>
          </w:p>
        </w:tc>
        <w:tc>
          <w:tcPr>
            <w:tcW w:w="1350" w:type="dxa"/>
          </w:tcPr>
          <w:p w14:paraId="37A371C0"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mg/dl</w:t>
            </w:r>
          </w:p>
        </w:tc>
        <w:tc>
          <w:tcPr>
            <w:tcW w:w="2463" w:type="dxa"/>
          </w:tcPr>
          <w:p w14:paraId="144FA9E5"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0.7-1.3</w:t>
            </w:r>
          </w:p>
        </w:tc>
      </w:tr>
      <w:tr w:rsidR="00971EB6" w:rsidRPr="0036794F" w14:paraId="135D8D6F" w14:textId="77777777" w:rsidTr="008A46B0">
        <w:trPr>
          <w:trHeight w:val="432"/>
        </w:trPr>
        <w:tc>
          <w:tcPr>
            <w:tcW w:w="3854" w:type="dxa"/>
          </w:tcPr>
          <w:p w14:paraId="5090A65E"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Sodium</w:t>
            </w:r>
          </w:p>
        </w:tc>
        <w:tc>
          <w:tcPr>
            <w:tcW w:w="1091" w:type="dxa"/>
          </w:tcPr>
          <w:p w14:paraId="584B4B40" w14:textId="4BAA0C21" w:rsidR="00971EB6" w:rsidRPr="0036794F" w:rsidRDefault="00971EB6" w:rsidP="009C2DF8">
            <w:pPr>
              <w:spacing w:line="480" w:lineRule="auto"/>
              <w:rPr>
                <w:rFonts w:eastAsia="Calibri" w:cs="Times New Roman"/>
                <w:szCs w:val="24"/>
              </w:rPr>
            </w:pPr>
            <w:r w:rsidRPr="0036794F">
              <w:rPr>
                <w:rFonts w:eastAsia="Calibri" w:cs="Times New Roman"/>
                <w:szCs w:val="24"/>
              </w:rPr>
              <w:t>1</w:t>
            </w:r>
            <w:r>
              <w:rPr>
                <w:rFonts w:eastAsia="Calibri" w:cs="Times New Roman"/>
                <w:szCs w:val="24"/>
              </w:rPr>
              <w:t>42</w:t>
            </w:r>
          </w:p>
        </w:tc>
        <w:tc>
          <w:tcPr>
            <w:tcW w:w="1350" w:type="dxa"/>
          </w:tcPr>
          <w:p w14:paraId="5B92ADB1"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mEq/L</w:t>
            </w:r>
          </w:p>
        </w:tc>
        <w:tc>
          <w:tcPr>
            <w:tcW w:w="2463" w:type="dxa"/>
          </w:tcPr>
          <w:p w14:paraId="251E382B"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135-145</w:t>
            </w:r>
          </w:p>
        </w:tc>
      </w:tr>
      <w:tr w:rsidR="00971EB6" w:rsidRPr="0036794F" w14:paraId="79DA1AC0" w14:textId="77777777" w:rsidTr="008A46B0">
        <w:trPr>
          <w:trHeight w:val="432"/>
        </w:trPr>
        <w:tc>
          <w:tcPr>
            <w:tcW w:w="3854" w:type="dxa"/>
          </w:tcPr>
          <w:p w14:paraId="07079D91"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Potassium</w:t>
            </w:r>
          </w:p>
        </w:tc>
        <w:tc>
          <w:tcPr>
            <w:tcW w:w="1091" w:type="dxa"/>
          </w:tcPr>
          <w:p w14:paraId="4A3466AB" w14:textId="6925CBBF" w:rsidR="00971EB6" w:rsidRPr="0036794F" w:rsidRDefault="00971EB6" w:rsidP="009C2DF8">
            <w:pPr>
              <w:spacing w:line="480" w:lineRule="auto"/>
              <w:rPr>
                <w:rFonts w:eastAsia="Calibri" w:cs="Times New Roman"/>
                <w:szCs w:val="24"/>
              </w:rPr>
            </w:pPr>
            <w:r>
              <w:rPr>
                <w:rFonts w:eastAsia="Calibri" w:cs="Times New Roman"/>
                <w:szCs w:val="24"/>
              </w:rPr>
              <w:t>4.0</w:t>
            </w:r>
          </w:p>
        </w:tc>
        <w:tc>
          <w:tcPr>
            <w:tcW w:w="1350" w:type="dxa"/>
          </w:tcPr>
          <w:p w14:paraId="5753814A"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mEq/L</w:t>
            </w:r>
          </w:p>
        </w:tc>
        <w:tc>
          <w:tcPr>
            <w:tcW w:w="2463" w:type="dxa"/>
          </w:tcPr>
          <w:p w14:paraId="3993E58D"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3.5-5.5</w:t>
            </w:r>
          </w:p>
        </w:tc>
      </w:tr>
      <w:tr w:rsidR="00971EB6" w:rsidRPr="0036794F" w14:paraId="169870A3" w14:textId="77777777" w:rsidTr="008A46B0">
        <w:trPr>
          <w:trHeight w:val="432"/>
        </w:trPr>
        <w:tc>
          <w:tcPr>
            <w:tcW w:w="3854" w:type="dxa"/>
          </w:tcPr>
          <w:p w14:paraId="3F41315C"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Bilirubin Total</w:t>
            </w:r>
          </w:p>
        </w:tc>
        <w:tc>
          <w:tcPr>
            <w:tcW w:w="1091" w:type="dxa"/>
          </w:tcPr>
          <w:p w14:paraId="430F68C5" w14:textId="77777777" w:rsidR="00971EB6" w:rsidRPr="0036794F" w:rsidRDefault="00971EB6" w:rsidP="009C2DF8">
            <w:pPr>
              <w:spacing w:line="480" w:lineRule="auto"/>
              <w:rPr>
                <w:rFonts w:eastAsia="Calibri" w:cs="Times New Roman"/>
                <w:szCs w:val="24"/>
              </w:rPr>
            </w:pPr>
            <w:r>
              <w:rPr>
                <w:rFonts w:eastAsia="Calibri" w:cs="Times New Roman"/>
                <w:szCs w:val="24"/>
              </w:rPr>
              <w:t>0.8</w:t>
            </w:r>
          </w:p>
        </w:tc>
        <w:tc>
          <w:tcPr>
            <w:tcW w:w="1350" w:type="dxa"/>
          </w:tcPr>
          <w:p w14:paraId="413318F2"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mg/dl</w:t>
            </w:r>
          </w:p>
        </w:tc>
        <w:tc>
          <w:tcPr>
            <w:tcW w:w="2463" w:type="dxa"/>
          </w:tcPr>
          <w:p w14:paraId="6050CB69"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0.1-1.2</w:t>
            </w:r>
          </w:p>
        </w:tc>
      </w:tr>
      <w:tr w:rsidR="00971EB6" w:rsidRPr="0036794F" w14:paraId="1E06F690" w14:textId="77777777" w:rsidTr="008A46B0">
        <w:trPr>
          <w:trHeight w:val="432"/>
        </w:trPr>
        <w:tc>
          <w:tcPr>
            <w:tcW w:w="3854" w:type="dxa"/>
          </w:tcPr>
          <w:p w14:paraId="7125C97F"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Bilirubin Direct</w:t>
            </w:r>
          </w:p>
        </w:tc>
        <w:tc>
          <w:tcPr>
            <w:tcW w:w="1091" w:type="dxa"/>
          </w:tcPr>
          <w:p w14:paraId="51AFF463"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0.</w:t>
            </w:r>
            <w:r>
              <w:rPr>
                <w:rFonts w:eastAsia="Calibri" w:cs="Times New Roman"/>
                <w:szCs w:val="24"/>
              </w:rPr>
              <w:t>3</w:t>
            </w:r>
          </w:p>
        </w:tc>
        <w:tc>
          <w:tcPr>
            <w:tcW w:w="1350" w:type="dxa"/>
          </w:tcPr>
          <w:p w14:paraId="663F5F7E"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mg/dl</w:t>
            </w:r>
          </w:p>
        </w:tc>
        <w:tc>
          <w:tcPr>
            <w:tcW w:w="2463" w:type="dxa"/>
          </w:tcPr>
          <w:p w14:paraId="283F4356"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0.0-0.2</w:t>
            </w:r>
          </w:p>
        </w:tc>
      </w:tr>
      <w:tr w:rsidR="00971EB6" w:rsidRPr="0036794F" w14:paraId="6A8BFF4E" w14:textId="77777777" w:rsidTr="008A46B0">
        <w:trPr>
          <w:trHeight w:val="432"/>
        </w:trPr>
        <w:tc>
          <w:tcPr>
            <w:tcW w:w="3854" w:type="dxa"/>
          </w:tcPr>
          <w:p w14:paraId="0C2DAE42"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Alkaline Phosphatase (ALP)</w:t>
            </w:r>
          </w:p>
        </w:tc>
        <w:tc>
          <w:tcPr>
            <w:tcW w:w="1091" w:type="dxa"/>
          </w:tcPr>
          <w:p w14:paraId="4F82D971" w14:textId="77777777" w:rsidR="00971EB6" w:rsidRPr="0036794F" w:rsidRDefault="00971EB6" w:rsidP="009C2DF8">
            <w:pPr>
              <w:spacing w:line="480" w:lineRule="auto"/>
              <w:rPr>
                <w:rFonts w:eastAsia="Calibri" w:cs="Times New Roman"/>
                <w:szCs w:val="24"/>
              </w:rPr>
            </w:pPr>
            <w:r>
              <w:rPr>
                <w:rFonts w:eastAsia="Calibri" w:cs="Times New Roman"/>
                <w:szCs w:val="24"/>
              </w:rPr>
              <w:t>48</w:t>
            </w:r>
          </w:p>
        </w:tc>
        <w:tc>
          <w:tcPr>
            <w:tcW w:w="1350" w:type="dxa"/>
          </w:tcPr>
          <w:p w14:paraId="69DC981E"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U/L</w:t>
            </w:r>
          </w:p>
        </w:tc>
        <w:tc>
          <w:tcPr>
            <w:tcW w:w="2463" w:type="dxa"/>
          </w:tcPr>
          <w:p w14:paraId="4EC4AF75"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53-128</w:t>
            </w:r>
          </w:p>
        </w:tc>
      </w:tr>
      <w:tr w:rsidR="00971EB6" w:rsidRPr="0036794F" w14:paraId="000B7A09" w14:textId="77777777" w:rsidTr="008A46B0">
        <w:trPr>
          <w:trHeight w:val="432"/>
        </w:trPr>
        <w:tc>
          <w:tcPr>
            <w:tcW w:w="3854" w:type="dxa"/>
          </w:tcPr>
          <w:p w14:paraId="17CE5171"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Alanine Transferase (ALT)</w:t>
            </w:r>
          </w:p>
        </w:tc>
        <w:tc>
          <w:tcPr>
            <w:tcW w:w="1091" w:type="dxa"/>
          </w:tcPr>
          <w:p w14:paraId="61172A6D" w14:textId="77777777" w:rsidR="00971EB6" w:rsidRPr="0036794F" w:rsidRDefault="00971EB6" w:rsidP="009C2DF8">
            <w:pPr>
              <w:spacing w:line="480" w:lineRule="auto"/>
              <w:rPr>
                <w:rFonts w:eastAsia="Calibri" w:cs="Times New Roman"/>
                <w:szCs w:val="24"/>
              </w:rPr>
            </w:pPr>
            <w:r>
              <w:rPr>
                <w:rFonts w:eastAsia="Calibri" w:cs="Times New Roman"/>
                <w:szCs w:val="24"/>
              </w:rPr>
              <w:t>34</w:t>
            </w:r>
          </w:p>
        </w:tc>
        <w:tc>
          <w:tcPr>
            <w:tcW w:w="1350" w:type="dxa"/>
          </w:tcPr>
          <w:p w14:paraId="50C37149"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U/L</w:t>
            </w:r>
          </w:p>
        </w:tc>
        <w:tc>
          <w:tcPr>
            <w:tcW w:w="2463" w:type="dxa"/>
          </w:tcPr>
          <w:p w14:paraId="74DDE79D"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0-35</w:t>
            </w:r>
          </w:p>
        </w:tc>
      </w:tr>
      <w:tr w:rsidR="00971EB6" w:rsidRPr="0036794F" w14:paraId="488AD137" w14:textId="77777777" w:rsidTr="008A46B0">
        <w:trPr>
          <w:trHeight w:val="432"/>
        </w:trPr>
        <w:tc>
          <w:tcPr>
            <w:tcW w:w="3854" w:type="dxa"/>
          </w:tcPr>
          <w:p w14:paraId="53555275"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Aspartate Transferase (AST)</w:t>
            </w:r>
          </w:p>
        </w:tc>
        <w:tc>
          <w:tcPr>
            <w:tcW w:w="1091" w:type="dxa"/>
          </w:tcPr>
          <w:p w14:paraId="0B492C46" w14:textId="77777777" w:rsidR="00971EB6" w:rsidRPr="0036794F" w:rsidRDefault="00971EB6" w:rsidP="009C2DF8">
            <w:pPr>
              <w:spacing w:line="480" w:lineRule="auto"/>
              <w:rPr>
                <w:rFonts w:eastAsia="Calibri" w:cs="Times New Roman"/>
                <w:szCs w:val="24"/>
              </w:rPr>
            </w:pPr>
            <w:r>
              <w:rPr>
                <w:rFonts w:eastAsia="Calibri" w:cs="Times New Roman"/>
                <w:szCs w:val="24"/>
              </w:rPr>
              <w:t>32.7</w:t>
            </w:r>
          </w:p>
        </w:tc>
        <w:tc>
          <w:tcPr>
            <w:tcW w:w="1350" w:type="dxa"/>
          </w:tcPr>
          <w:p w14:paraId="11342B69"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U/L</w:t>
            </w:r>
          </w:p>
        </w:tc>
        <w:tc>
          <w:tcPr>
            <w:tcW w:w="2463" w:type="dxa"/>
          </w:tcPr>
          <w:p w14:paraId="1972148B"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0-35</w:t>
            </w:r>
          </w:p>
        </w:tc>
      </w:tr>
      <w:tr w:rsidR="00971EB6" w:rsidRPr="0036794F" w14:paraId="1BDFB1B8" w14:textId="77777777" w:rsidTr="008A46B0">
        <w:trPr>
          <w:trHeight w:val="432"/>
        </w:trPr>
        <w:tc>
          <w:tcPr>
            <w:tcW w:w="3854" w:type="dxa"/>
          </w:tcPr>
          <w:p w14:paraId="10891814" w14:textId="77777777" w:rsidR="00971EB6" w:rsidRPr="0036794F" w:rsidRDefault="00971EB6" w:rsidP="009C2DF8">
            <w:pPr>
              <w:spacing w:line="480" w:lineRule="auto"/>
              <w:rPr>
                <w:rFonts w:eastAsia="Calibri" w:cs="Times New Roman"/>
                <w:szCs w:val="24"/>
              </w:rPr>
            </w:pPr>
            <w:r w:rsidRPr="0036794F">
              <w:rPr>
                <w:rFonts w:eastAsia="Calibri" w:cs="Times New Roman"/>
                <w:szCs w:val="24"/>
              </w:rPr>
              <w:t>Random Blood Glucose</w:t>
            </w:r>
          </w:p>
        </w:tc>
        <w:tc>
          <w:tcPr>
            <w:tcW w:w="1091" w:type="dxa"/>
          </w:tcPr>
          <w:p w14:paraId="766D7CB9" w14:textId="345C2C8F" w:rsidR="00971EB6" w:rsidRPr="0036794F" w:rsidRDefault="00971EB6" w:rsidP="009C2DF8">
            <w:pPr>
              <w:spacing w:line="480" w:lineRule="auto"/>
              <w:rPr>
                <w:rFonts w:eastAsia="Calibri" w:cs="Times New Roman"/>
                <w:szCs w:val="24"/>
              </w:rPr>
            </w:pPr>
            <w:r>
              <w:rPr>
                <w:rFonts w:eastAsia="Calibri" w:cs="Times New Roman"/>
                <w:szCs w:val="24"/>
              </w:rPr>
              <w:t>99</w:t>
            </w:r>
          </w:p>
        </w:tc>
        <w:tc>
          <w:tcPr>
            <w:tcW w:w="1350" w:type="dxa"/>
          </w:tcPr>
          <w:p w14:paraId="6156ADA8" w14:textId="77777777" w:rsidR="00971EB6" w:rsidRPr="0036794F" w:rsidRDefault="00971EB6" w:rsidP="009C2DF8">
            <w:pPr>
              <w:spacing w:line="480" w:lineRule="auto"/>
              <w:rPr>
                <w:rFonts w:eastAsia="Calibri" w:cs="Times New Roman"/>
                <w:szCs w:val="24"/>
              </w:rPr>
            </w:pPr>
            <w:r>
              <w:rPr>
                <w:rFonts w:eastAsia="Calibri" w:cs="Times New Roman"/>
                <w:szCs w:val="24"/>
              </w:rPr>
              <w:t>mg/dl</w:t>
            </w:r>
          </w:p>
        </w:tc>
        <w:tc>
          <w:tcPr>
            <w:tcW w:w="2463" w:type="dxa"/>
          </w:tcPr>
          <w:p w14:paraId="5550E7F6" w14:textId="77777777" w:rsidR="00971EB6" w:rsidRPr="0036794F" w:rsidRDefault="00971EB6" w:rsidP="009C2DF8">
            <w:pPr>
              <w:spacing w:line="480" w:lineRule="auto"/>
              <w:rPr>
                <w:rFonts w:eastAsia="Calibri" w:cs="Times New Roman"/>
                <w:szCs w:val="24"/>
              </w:rPr>
            </w:pPr>
            <w:r>
              <w:rPr>
                <w:rFonts w:eastAsia="Calibri" w:cs="Times New Roman"/>
                <w:szCs w:val="24"/>
              </w:rPr>
              <w:t>70-140</w:t>
            </w:r>
          </w:p>
        </w:tc>
      </w:tr>
      <w:tr w:rsidR="00971EB6" w:rsidRPr="0036794F" w14:paraId="263A25DB" w14:textId="77777777" w:rsidTr="008A46B0">
        <w:trPr>
          <w:trHeight w:val="432"/>
        </w:trPr>
        <w:tc>
          <w:tcPr>
            <w:tcW w:w="3854" w:type="dxa"/>
          </w:tcPr>
          <w:p w14:paraId="6FB1A227" w14:textId="77777777" w:rsidR="00971EB6" w:rsidRPr="0036794F" w:rsidRDefault="00971EB6" w:rsidP="009C2DF8">
            <w:pPr>
              <w:spacing w:line="480" w:lineRule="auto"/>
              <w:rPr>
                <w:rFonts w:eastAsia="Calibri" w:cs="Times New Roman"/>
                <w:szCs w:val="24"/>
              </w:rPr>
            </w:pPr>
            <w:r>
              <w:rPr>
                <w:rFonts w:eastAsia="Calibri" w:cs="Times New Roman"/>
                <w:szCs w:val="24"/>
              </w:rPr>
              <w:t>Prothrombin time (PT)</w:t>
            </w:r>
          </w:p>
        </w:tc>
        <w:tc>
          <w:tcPr>
            <w:tcW w:w="1091" w:type="dxa"/>
          </w:tcPr>
          <w:p w14:paraId="0CA6A8DC" w14:textId="1218DAD1" w:rsidR="00971EB6" w:rsidRDefault="00971EB6" w:rsidP="009C2DF8">
            <w:pPr>
              <w:spacing w:line="480" w:lineRule="auto"/>
              <w:rPr>
                <w:rFonts w:eastAsia="Calibri" w:cs="Times New Roman"/>
                <w:szCs w:val="24"/>
              </w:rPr>
            </w:pPr>
            <w:r>
              <w:rPr>
                <w:rFonts w:eastAsia="Calibri" w:cs="Times New Roman"/>
                <w:szCs w:val="24"/>
              </w:rPr>
              <w:t>17.3</w:t>
            </w:r>
          </w:p>
        </w:tc>
        <w:tc>
          <w:tcPr>
            <w:tcW w:w="1350" w:type="dxa"/>
          </w:tcPr>
          <w:p w14:paraId="70A8A89B" w14:textId="77777777" w:rsidR="00971EB6" w:rsidRPr="0036794F" w:rsidRDefault="00971EB6" w:rsidP="009C2DF8">
            <w:pPr>
              <w:spacing w:line="480" w:lineRule="auto"/>
              <w:rPr>
                <w:rFonts w:eastAsia="Calibri" w:cs="Times New Roman"/>
                <w:szCs w:val="24"/>
              </w:rPr>
            </w:pPr>
            <w:r>
              <w:rPr>
                <w:rFonts w:eastAsia="Calibri" w:cs="Times New Roman"/>
                <w:szCs w:val="24"/>
              </w:rPr>
              <w:t>seconds</w:t>
            </w:r>
          </w:p>
        </w:tc>
        <w:tc>
          <w:tcPr>
            <w:tcW w:w="2463" w:type="dxa"/>
          </w:tcPr>
          <w:p w14:paraId="1159345A" w14:textId="77777777" w:rsidR="00971EB6" w:rsidRPr="0036794F" w:rsidRDefault="00971EB6" w:rsidP="009C2DF8">
            <w:pPr>
              <w:spacing w:line="480" w:lineRule="auto"/>
              <w:rPr>
                <w:rFonts w:eastAsia="Calibri" w:cs="Times New Roman"/>
                <w:szCs w:val="24"/>
              </w:rPr>
            </w:pPr>
            <w:r>
              <w:rPr>
                <w:rFonts w:eastAsia="Calibri" w:cs="Times New Roman"/>
                <w:szCs w:val="24"/>
              </w:rPr>
              <w:t>11-13.5</w:t>
            </w:r>
          </w:p>
        </w:tc>
      </w:tr>
      <w:tr w:rsidR="00971EB6" w:rsidRPr="0036794F" w14:paraId="081E9FAA" w14:textId="77777777" w:rsidTr="008A46B0">
        <w:trPr>
          <w:trHeight w:val="432"/>
        </w:trPr>
        <w:tc>
          <w:tcPr>
            <w:tcW w:w="3854" w:type="dxa"/>
          </w:tcPr>
          <w:p w14:paraId="1FCB0F23" w14:textId="77777777" w:rsidR="00971EB6" w:rsidRDefault="00971EB6" w:rsidP="009C2DF8">
            <w:pPr>
              <w:spacing w:line="480" w:lineRule="auto"/>
              <w:rPr>
                <w:rFonts w:eastAsia="Calibri" w:cs="Times New Roman"/>
                <w:szCs w:val="24"/>
              </w:rPr>
            </w:pPr>
            <w:r>
              <w:rPr>
                <w:rFonts w:eastAsia="Calibri" w:cs="Times New Roman"/>
                <w:szCs w:val="24"/>
              </w:rPr>
              <w:t>CPK NAC</w:t>
            </w:r>
          </w:p>
        </w:tc>
        <w:tc>
          <w:tcPr>
            <w:tcW w:w="1091" w:type="dxa"/>
          </w:tcPr>
          <w:p w14:paraId="4C107D9E" w14:textId="15B25408" w:rsidR="00971EB6" w:rsidRDefault="00971EB6" w:rsidP="009C2DF8">
            <w:pPr>
              <w:spacing w:line="480" w:lineRule="auto"/>
              <w:rPr>
                <w:rFonts w:eastAsia="Calibri" w:cs="Times New Roman"/>
                <w:szCs w:val="24"/>
              </w:rPr>
            </w:pPr>
            <w:r>
              <w:rPr>
                <w:rFonts w:eastAsia="Calibri" w:cs="Times New Roman"/>
                <w:szCs w:val="24"/>
              </w:rPr>
              <w:t>144</w:t>
            </w:r>
          </w:p>
        </w:tc>
        <w:tc>
          <w:tcPr>
            <w:tcW w:w="1350" w:type="dxa"/>
          </w:tcPr>
          <w:p w14:paraId="2FAFF050" w14:textId="77777777" w:rsidR="00971EB6" w:rsidRPr="0036794F" w:rsidRDefault="00971EB6" w:rsidP="009C2DF8">
            <w:pPr>
              <w:spacing w:line="480" w:lineRule="auto"/>
              <w:rPr>
                <w:rFonts w:eastAsia="Calibri" w:cs="Times New Roman"/>
                <w:szCs w:val="24"/>
              </w:rPr>
            </w:pPr>
            <w:r>
              <w:rPr>
                <w:rFonts w:eastAsia="Calibri" w:cs="Times New Roman"/>
                <w:szCs w:val="24"/>
              </w:rPr>
              <w:t>U/L</w:t>
            </w:r>
          </w:p>
        </w:tc>
        <w:tc>
          <w:tcPr>
            <w:tcW w:w="2463" w:type="dxa"/>
          </w:tcPr>
          <w:p w14:paraId="0BA305B5" w14:textId="77777777" w:rsidR="00971EB6" w:rsidRPr="0036794F" w:rsidRDefault="00971EB6" w:rsidP="009C2DF8">
            <w:pPr>
              <w:spacing w:line="480" w:lineRule="auto"/>
              <w:rPr>
                <w:rFonts w:eastAsia="Calibri" w:cs="Times New Roman"/>
                <w:szCs w:val="24"/>
              </w:rPr>
            </w:pPr>
            <w:r>
              <w:rPr>
                <w:rFonts w:eastAsia="Calibri" w:cs="Times New Roman"/>
                <w:szCs w:val="24"/>
              </w:rPr>
              <w:t>20-200</w:t>
            </w:r>
          </w:p>
        </w:tc>
      </w:tr>
      <w:tr w:rsidR="00971EB6" w:rsidRPr="0036794F" w14:paraId="3D116255" w14:textId="77777777" w:rsidTr="008A46B0">
        <w:trPr>
          <w:trHeight w:val="432"/>
        </w:trPr>
        <w:tc>
          <w:tcPr>
            <w:tcW w:w="3854" w:type="dxa"/>
          </w:tcPr>
          <w:p w14:paraId="19DFE4FF" w14:textId="77777777" w:rsidR="00971EB6" w:rsidRDefault="00971EB6" w:rsidP="009C2DF8">
            <w:pPr>
              <w:spacing w:line="480" w:lineRule="auto"/>
              <w:rPr>
                <w:rFonts w:eastAsia="Calibri" w:cs="Times New Roman"/>
                <w:szCs w:val="24"/>
              </w:rPr>
            </w:pPr>
            <w:r>
              <w:rPr>
                <w:rFonts w:eastAsia="Calibri" w:cs="Times New Roman"/>
                <w:szCs w:val="24"/>
              </w:rPr>
              <w:lastRenderedPageBreak/>
              <w:t>CPK MB</w:t>
            </w:r>
          </w:p>
        </w:tc>
        <w:tc>
          <w:tcPr>
            <w:tcW w:w="1091" w:type="dxa"/>
          </w:tcPr>
          <w:p w14:paraId="3D60D2DE" w14:textId="42A4E707" w:rsidR="00971EB6" w:rsidRDefault="00971EB6" w:rsidP="009C2DF8">
            <w:pPr>
              <w:spacing w:line="480" w:lineRule="auto"/>
              <w:rPr>
                <w:rFonts w:eastAsia="Calibri" w:cs="Times New Roman"/>
                <w:szCs w:val="24"/>
              </w:rPr>
            </w:pPr>
            <w:r>
              <w:rPr>
                <w:rFonts w:eastAsia="Calibri" w:cs="Times New Roman"/>
                <w:szCs w:val="24"/>
              </w:rPr>
              <w:t>28</w:t>
            </w:r>
          </w:p>
        </w:tc>
        <w:tc>
          <w:tcPr>
            <w:tcW w:w="1350" w:type="dxa"/>
          </w:tcPr>
          <w:p w14:paraId="46866C62" w14:textId="77777777" w:rsidR="00971EB6" w:rsidRPr="0036794F" w:rsidRDefault="00971EB6" w:rsidP="009C2DF8">
            <w:pPr>
              <w:spacing w:line="480" w:lineRule="auto"/>
              <w:rPr>
                <w:rFonts w:eastAsia="Calibri" w:cs="Times New Roman"/>
                <w:szCs w:val="24"/>
              </w:rPr>
            </w:pPr>
            <w:r>
              <w:rPr>
                <w:rFonts w:eastAsia="Calibri" w:cs="Times New Roman"/>
                <w:szCs w:val="24"/>
              </w:rPr>
              <w:t>U/L</w:t>
            </w:r>
          </w:p>
        </w:tc>
        <w:tc>
          <w:tcPr>
            <w:tcW w:w="2463" w:type="dxa"/>
          </w:tcPr>
          <w:p w14:paraId="2DF8CE5C" w14:textId="77777777" w:rsidR="00971EB6" w:rsidRPr="0036794F" w:rsidRDefault="00971EB6" w:rsidP="009C2DF8">
            <w:pPr>
              <w:spacing w:line="480" w:lineRule="auto"/>
              <w:rPr>
                <w:rFonts w:eastAsia="Calibri" w:cs="Times New Roman"/>
                <w:szCs w:val="24"/>
              </w:rPr>
            </w:pPr>
            <w:r>
              <w:rPr>
                <w:rFonts w:eastAsia="Calibri" w:cs="Times New Roman"/>
                <w:szCs w:val="24"/>
              </w:rPr>
              <w:t>&lt; 35</w:t>
            </w:r>
          </w:p>
        </w:tc>
      </w:tr>
      <w:tr w:rsidR="00971EB6" w:rsidRPr="0036794F" w14:paraId="1FE472AA" w14:textId="77777777" w:rsidTr="008A46B0">
        <w:trPr>
          <w:trHeight w:val="432"/>
        </w:trPr>
        <w:tc>
          <w:tcPr>
            <w:tcW w:w="3854" w:type="dxa"/>
          </w:tcPr>
          <w:p w14:paraId="5EF63895" w14:textId="77777777" w:rsidR="00971EB6" w:rsidRDefault="00971EB6" w:rsidP="009C2DF8">
            <w:pPr>
              <w:spacing w:line="480" w:lineRule="auto"/>
              <w:rPr>
                <w:rFonts w:eastAsia="Calibri" w:cs="Times New Roman"/>
                <w:szCs w:val="24"/>
              </w:rPr>
            </w:pPr>
            <w:r>
              <w:rPr>
                <w:rFonts w:eastAsia="Calibri" w:cs="Times New Roman"/>
                <w:szCs w:val="24"/>
              </w:rPr>
              <w:t>Troponin I</w:t>
            </w:r>
          </w:p>
        </w:tc>
        <w:tc>
          <w:tcPr>
            <w:tcW w:w="1091" w:type="dxa"/>
          </w:tcPr>
          <w:p w14:paraId="26E5A6F0" w14:textId="77777777" w:rsidR="00971EB6" w:rsidRDefault="00971EB6" w:rsidP="009C2DF8">
            <w:pPr>
              <w:spacing w:line="480" w:lineRule="auto"/>
              <w:rPr>
                <w:rFonts w:eastAsia="Calibri" w:cs="Times New Roman"/>
                <w:szCs w:val="24"/>
              </w:rPr>
            </w:pPr>
            <w:r>
              <w:rPr>
                <w:rFonts w:eastAsia="Calibri" w:cs="Times New Roman"/>
                <w:szCs w:val="24"/>
              </w:rPr>
              <w:t>Negative</w:t>
            </w:r>
          </w:p>
        </w:tc>
        <w:tc>
          <w:tcPr>
            <w:tcW w:w="1350" w:type="dxa"/>
          </w:tcPr>
          <w:p w14:paraId="534213DD" w14:textId="77777777" w:rsidR="00971EB6" w:rsidRPr="0036794F" w:rsidRDefault="00971EB6" w:rsidP="009C2DF8">
            <w:pPr>
              <w:spacing w:line="480" w:lineRule="auto"/>
              <w:rPr>
                <w:rFonts w:eastAsia="Calibri" w:cs="Times New Roman"/>
                <w:szCs w:val="24"/>
              </w:rPr>
            </w:pPr>
          </w:p>
        </w:tc>
        <w:tc>
          <w:tcPr>
            <w:tcW w:w="2463" w:type="dxa"/>
          </w:tcPr>
          <w:p w14:paraId="2900D47C" w14:textId="77777777" w:rsidR="00971EB6" w:rsidRPr="0036794F" w:rsidRDefault="00971EB6" w:rsidP="009C2DF8">
            <w:pPr>
              <w:spacing w:line="480" w:lineRule="auto"/>
              <w:rPr>
                <w:rFonts w:eastAsia="Calibri" w:cs="Times New Roman"/>
                <w:szCs w:val="24"/>
              </w:rPr>
            </w:pPr>
          </w:p>
        </w:tc>
      </w:tr>
      <w:tr w:rsidR="00971EB6" w:rsidRPr="0036794F" w14:paraId="557E921B" w14:textId="77777777" w:rsidTr="008A46B0">
        <w:trPr>
          <w:trHeight w:val="432"/>
        </w:trPr>
        <w:tc>
          <w:tcPr>
            <w:tcW w:w="3854" w:type="dxa"/>
          </w:tcPr>
          <w:p w14:paraId="0C004AA2" w14:textId="10CC24EA" w:rsidR="00971EB6" w:rsidRDefault="00971EB6" w:rsidP="009C2DF8">
            <w:pPr>
              <w:spacing w:line="480" w:lineRule="auto"/>
              <w:rPr>
                <w:rFonts w:eastAsia="Calibri" w:cs="Times New Roman"/>
                <w:szCs w:val="24"/>
              </w:rPr>
            </w:pPr>
            <w:r>
              <w:rPr>
                <w:rFonts w:eastAsia="Calibri" w:cs="Times New Roman"/>
                <w:szCs w:val="24"/>
              </w:rPr>
              <w:t>FT3</w:t>
            </w:r>
          </w:p>
        </w:tc>
        <w:tc>
          <w:tcPr>
            <w:tcW w:w="1091" w:type="dxa"/>
          </w:tcPr>
          <w:p w14:paraId="023BE8D8" w14:textId="08682600" w:rsidR="00971EB6" w:rsidRDefault="008A46B0" w:rsidP="009C2DF8">
            <w:pPr>
              <w:spacing w:line="480" w:lineRule="auto"/>
              <w:rPr>
                <w:rFonts w:eastAsia="Calibri" w:cs="Times New Roman"/>
                <w:szCs w:val="24"/>
              </w:rPr>
            </w:pPr>
            <w:r>
              <w:rPr>
                <w:rFonts w:eastAsia="Calibri" w:cs="Times New Roman"/>
                <w:szCs w:val="24"/>
              </w:rPr>
              <w:t>3.14</w:t>
            </w:r>
          </w:p>
        </w:tc>
        <w:tc>
          <w:tcPr>
            <w:tcW w:w="1350" w:type="dxa"/>
          </w:tcPr>
          <w:p w14:paraId="4F605E97" w14:textId="6E252DB3" w:rsidR="00971EB6" w:rsidRPr="0036794F" w:rsidRDefault="00971EB6" w:rsidP="009C2DF8">
            <w:pPr>
              <w:spacing w:line="480" w:lineRule="auto"/>
              <w:rPr>
                <w:rFonts w:eastAsia="Calibri" w:cs="Times New Roman"/>
                <w:szCs w:val="24"/>
              </w:rPr>
            </w:pPr>
            <w:r>
              <w:rPr>
                <w:rFonts w:eastAsia="Calibri" w:cs="Times New Roman"/>
                <w:szCs w:val="24"/>
              </w:rPr>
              <w:t>pg/ml</w:t>
            </w:r>
          </w:p>
        </w:tc>
        <w:tc>
          <w:tcPr>
            <w:tcW w:w="2463" w:type="dxa"/>
          </w:tcPr>
          <w:p w14:paraId="3F19A292" w14:textId="1D0715E0" w:rsidR="00971EB6" w:rsidRPr="0036794F" w:rsidRDefault="00971EB6" w:rsidP="009C2DF8">
            <w:pPr>
              <w:spacing w:line="480" w:lineRule="auto"/>
              <w:rPr>
                <w:rFonts w:eastAsia="Calibri" w:cs="Times New Roman"/>
                <w:szCs w:val="24"/>
              </w:rPr>
            </w:pPr>
            <w:r>
              <w:rPr>
                <w:rFonts w:eastAsia="Calibri" w:cs="Times New Roman"/>
                <w:szCs w:val="24"/>
              </w:rPr>
              <w:t>2.3-4.2</w:t>
            </w:r>
          </w:p>
        </w:tc>
      </w:tr>
      <w:tr w:rsidR="00971EB6" w:rsidRPr="0036794F" w14:paraId="0E23294B" w14:textId="77777777" w:rsidTr="008A46B0">
        <w:trPr>
          <w:trHeight w:val="432"/>
        </w:trPr>
        <w:tc>
          <w:tcPr>
            <w:tcW w:w="3854" w:type="dxa"/>
          </w:tcPr>
          <w:p w14:paraId="2F187B93" w14:textId="0AA625E5" w:rsidR="00971EB6" w:rsidRDefault="008A46B0" w:rsidP="009C2DF8">
            <w:pPr>
              <w:spacing w:line="480" w:lineRule="auto"/>
              <w:rPr>
                <w:rFonts w:eastAsia="Calibri" w:cs="Times New Roman"/>
                <w:szCs w:val="24"/>
              </w:rPr>
            </w:pPr>
            <w:r>
              <w:rPr>
                <w:rFonts w:eastAsia="Calibri" w:cs="Times New Roman"/>
                <w:szCs w:val="24"/>
              </w:rPr>
              <w:t>FT4</w:t>
            </w:r>
          </w:p>
        </w:tc>
        <w:tc>
          <w:tcPr>
            <w:tcW w:w="1091" w:type="dxa"/>
          </w:tcPr>
          <w:p w14:paraId="5949774A" w14:textId="4029B838" w:rsidR="00971EB6" w:rsidRDefault="008A46B0" w:rsidP="009C2DF8">
            <w:pPr>
              <w:spacing w:line="480" w:lineRule="auto"/>
              <w:rPr>
                <w:rFonts w:eastAsia="Calibri" w:cs="Times New Roman"/>
                <w:szCs w:val="24"/>
              </w:rPr>
            </w:pPr>
            <w:r>
              <w:rPr>
                <w:rFonts w:eastAsia="Calibri" w:cs="Times New Roman"/>
                <w:szCs w:val="24"/>
              </w:rPr>
              <w:t>0.99</w:t>
            </w:r>
          </w:p>
        </w:tc>
        <w:tc>
          <w:tcPr>
            <w:tcW w:w="1350" w:type="dxa"/>
          </w:tcPr>
          <w:p w14:paraId="72723742" w14:textId="6ECDF097" w:rsidR="00971EB6" w:rsidRPr="0036794F" w:rsidRDefault="00971EB6" w:rsidP="009C2DF8">
            <w:pPr>
              <w:spacing w:line="480" w:lineRule="auto"/>
              <w:rPr>
                <w:rFonts w:eastAsia="Calibri" w:cs="Times New Roman"/>
                <w:szCs w:val="24"/>
              </w:rPr>
            </w:pPr>
            <w:r>
              <w:rPr>
                <w:rFonts w:eastAsia="Calibri" w:cs="Times New Roman"/>
                <w:szCs w:val="24"/>
              </w:rPr>
              <w:t>ng/dl</w:t>
            </w:r>
          </w:p>
        </w:tc>
        <w:tc>
          <w:tcPr>
            <w:tcW w:w="2463" w:type="dxa"/>
          </w:tcPr>
          <w:p w14:paraId="22BED5F7" w14:textId="38B9841C" w:rsidR="00971EB6" w:rsidRPr="0036794F" w:rsidRDefault="00971EB6" w:rsidP="009C2DF8">
            <w:pPr>
              <w:spacing w:line="480" w:lineRule="auto"/>
              <w:rPr>
                <w:rFonts w:eastAsia="Calibri" w:cs="Times New Roman"/>
                <w:szCs w:val="24"/>
              </w:rPr>
            </w:pPr>
            <w:r>
              <w:rPr>
                <w:rFonts w:eastAsia="Calibri" w:cs="Times New Roman"/>
                <w:szCs w:val="24"/>
              </w:rPr>
              <w:t>0.89-1.76</w:t>
            </w:r>
          </w:p>
        </w:tc>
      </w:tr>
      <w:tr w:rsidR="00971EB6" w:rsidRPr="0036794F" w14:paraId="5444EB93" w14:textId="77777777" w:rsidTr="008A46B0">
        <w:trPr>
          <w:trHeight w:val="432"/>
        </w:trPr>
        <w:tc>
          <w:tcPr>
            <w:tcW w:w="3854" w:type="dxa"/>
          </w:tcPr>
          <w:p w14:paraId="7F1059D0" w14:textId="744B069B" w:rsidR="00971EB6" w:rsidRDefault="008A46B0" w:rsidP="009C2DF8">
            <w:pPr>
              <w:spacing w:line="480" w:lineRule="auto"/>
              <w:rPr>
                <w:rFonts w:eastAsia="Calibri" w:cs="Times New Roman"/>
                <w:szCs w:val="24"/>
              </w:rPr>
            </w:pPr>
            <w:r>
              <w:rPr>
                <w:rFonts w:eastAsia="Calibri" w:cs="Times New Roman"/>
                <w:szCs w:val="24"/>
              </w:rPr>
              <w:t>Thyroid Secreting Hormone (TSH)</w:t>
            </w:r>
          </w:p>
        </w:tc>
        <w:tc>
          <w:tcPr>
            <w:tcW w:w="1091" w:type="dxa"/>
          </w:tcPr>
          <w:p w14:paraId="31527F58" w14:textId="6FD84890" w:rsidR="00971EB6" w:rsidRDefault="008A46B0" w:rsidP="009C2DF8">
            <w:pPr>
              <w:spacing w:line="480" w:lineRule="auto"/>
              <w:rPr>
                <w:rFonts w:eastAsia="Calibri" w:cs="Times New Roman"/>
                <w:szCs w:val="24"/>
              </w:rPr>
            </w:pPr>
            <w:r>
              <w:rPr>
                <w:rFonts w:eastAsia="Calibri" w:cs="Times New Roman"/>
                <w:szCs w:val="24"/>
              </w:rPr>
              <w:t>5.10</w:t>
            </w:r>
          </w:p>
        </w:tc>
        <w:tc>
          <w:tcPr>
            <w:tcW w:w="1350" w:type="dxa"/>
          </w:tcPr>
          <w:p w14:paraId="44EC1355" w14:textId="10E2DBB7" w:rsidR="00971EB6" w:rsidRPr="0036794F" w:rsidRDefault="008A46B0" w:rsidP="009C2DF8">
            <w:pPr>
              <w:spacing w:line="480" w:lineRule="auto"/>
              <w:rPr>
                <w:rFonts w:eastAsia="Calibri" w:cs="Times New Roman"/>
                <w:szCs w:val="24"/>
              </w:rPr>
            </w:pPr>
            <w:r>
              <w:rPr>
                <w:rFonts w:eastAsia="Calibri" w:cs="Times New Roman"/>
                <w:szCs w:val="24"/>
              </w:rPr>
              <w:t>µIU/ml</w:t>
            </w:r>
          </w:p>
        </w:tc>
        <w:tc>
          <w:tcPr>
            <w:tcW w:w="2463" w:type="dxa"/>
          </w:tcPr>
          <w:p w14:paraId="2FAE7ED8" w14:textId="4105BE07" w:rsidR="00971EB6" w:rsidRPr="0036794F" w:rsidRDefault="008A46B0" w:rsidP="009C2DF8">
            <w:pPr>
              <w:spacing w:line="480" w:lineRule="auto"/>
              <w:rPr>
                <w:rFonts w:eastAsia="Calibri" w:cs="Times New Roman"/>
                <w:szCs w:val="24"/>
              </w:rPr>
            </w:pPr>
            <w:r>
              <w:rPr>
                <w:rFonts w:eastAsia="Calibri" w:cs="Times New Roman"/>
                <w:szCs w:val="24"/>
              </w:rPr>
              <w:t>0.35-5.50</w:t>
            </w:r>
          </w:p>
        </w:tc>
      </w:tr>
      <w:tr w:rsidR="00971EB6" w:rsidRPr="0036794F" w14:paraId="59AA5070" w14:textId="77777777" w:rsidTr="008A46B0">
        <w:trPr>
          <w:trHeight w:val="144"/>
        </w:trPr>
        <w:tc>
          <w:tcPr>
            <w:tcW w:w="3854" w:type="dxa"/>
          </w:tcPr>
          <w:p w14:paraId="31E065CF" w14:textId="05129DF2" w:rsidR="00971EB6" w:rsidRDefault="008A46B0" w:rsidP="009C2DF8">
            <w:pPr>
              <w:spacing w:line="480" w:lineRule="auto"/>
              <w:rPr>
                <w:rFonts w:eastAsia="Calibri" w:cs="Times New Roman"/>
                <w:szCs w:val="24"/>
              </w:rPr>
            </w:pPr>
            <w:r>
              <w:rPr>
                <w:rFonts w:eastAsia="Calibri" w:cs="Times New Roman"/>
                <w:szCs w:val="24"/>
              </w:rPr>
              <w:t>Total Cholesterol</w:t>
            </w:r>
          </w:p>
        </w:tc>
        <w:tc>
          <w:tcPr>
            <w:tcW w:w="1091" w:type="dxa"/>
          </w:tcPr>
          <w:p w14:paraId="08AE8BD9" w14:textId="3B0C9099" w:rsidR="00971EB6" w:rsidRDefault="00812242" w:rsidP="009C2DF8">
            <w:pPr>
              <w:spacing w:line="480" w:lineRule="auto"/>
              <w:rPr>
                <w:rFonts w:eastAsia="Calibri" w:cs="Times New Roman"/>
                <w:szCs w:val="24"/>
              </w:rPr>
            </w:pPr>
            <w:r>
              <w:rPr>
                <w:rFonts w:eastAsia="Calibri" w:cs="Times New Roman"/>
                <w:szCs w:val="24"/>
              </w:rPr>
              <w:t>201.4</w:t>
            </w:r>
          </w:p>
        </w:tc>
        <w:tc>
          <w:tcPr>
            <w:tcW w:w="1350" w:type="dxa"/>
          </w:tcPr>
          <w:p w14:paraId="2B37A88C" w14:textId="53942C49" w:rsidR="00971EB6" w:rsidRPr="0036794F" w:rsidRDefault="008A46B0" w:rsidP="009C2DF8">
            <w:pPr>
              <w:spacing w:line="480" w:lineRule="auto"/>
              <w:rPr>
                <w:rFonts w:eastAsia="Calibri" w:cs="Times New Roman"/>
                <w:szCs w:val="24"/>
              </w:rPr>
            </w:pPr>
            <w:r>
              <w:rPr>
                <w:rFonts w:eastAsia="Calibri" w:cs="Times New Roman"/>
                <w:szCs w:val="24"/>
              </w:rPr>
              <w:t>mg/dl</w:t>
            </w:r>
          </w:p>
        </w:tc>
        <w:tc>
          <w:tcPr>
            <w:tcW w:w="2463" w:type="dxa"/>
          </w:tcPr>
          <w:p w14:paraId="1149DCDA" w14:textId="46B806B1" w:rsidR="00971EB6" w:rsidRPr="0036794F" w:rsidRDefault="008A46B0" w:rsidP="009C2DF8">
            <w:pPr>
              <w:spacing w:line="480" w:lineRule="auto"/>
              <w:rPr>
                <w:rFonts w:eastAsia="Calibri" w:cs="Times New Roman"/>
                <w:szCs w:val="24"/>
              </w:rPr>
            </w:pPr>
            <w:r>
              <w:rPr>
                <w:rFonts w:eastAsia="Calibri" w:cs="Times New Roman"/>
                <w:szCs w:val="24"/>
              </w:rPr>
              <w:t>0-200</w:t>
            </w:r>
          </w:p>
        </w:tc>
      </w:tr>
      <w:tr w:rsidR="00971EB6" w:rsidRPr="0036794F" w14:paraId="45EA0103" w14:textId="77777777" w:rsidTr="008A46B0">
        <w:trPr>
          <w:trHeight w:val="144"/>
        </w:trPr>
        <w:tc>
          <w:tcPr>
            <w:tcW w:w="3854" w:type="dxa"/>
          </w:tcPr>
          <w:p w14:paraId="7692986C" w14:textId="16A3904E" w:rsidR="00971EB6" w:rsidRDefault="008A46B0" w:rsidP="009C2DF8">
            <w:pPr>
              <w:spacing w:line="480" w:lineRule="auto"/>
              <w:rPr>
                <w:rFonts w:eastAsia="Calibri" w:cs="Times New Roman"/>
                <w:szCs w:val="24"/>
              </w:rPr>
            </w:pPr>
            <w:r>
              <w:rPr>
                <w:rFonts w:eastAsia="Calibri" w:cs="Times New Roman"/>
                <w:szCs w:val="24"/>
              </w:rPr>
              <w:t>High Density Lipoprotein (HDL)</w:t>
            </w:r>
          </w:p>
        </w:tc>
        <w:tc>
          <w:tcPr>
            <w:tcW w:w="1091" w:type="dxa"/>
          </w:tcPr>
          <w:p w14:paraId="70EE55D3" w14:textId="222AA38D" w:rsidR="00971EB6" w:rsidRDefault="00812242" w:rsidP="009C2DF8">
            <w:pPr>
              <w:spacing w:line="480" w:lineRule="auto"/>
              <w:rPr>
                <w:rFonts w:eastAsia="Calibri" w:cs="Times New Roman"/>
                <w:szCs w:val="24"/>
              </w:rPr>
            </w:pPr>
            <w:r>
              <w:rPr>
                <w:rFonts w:eastAsia="Calibri" w:cs="Times New Roman"/>
                <w:szCs w:val="24"/>
              </w:rPr>
              <w:t>32.3</w:t>
            </w:r>
          </w:p>
        </w:tc>
        <w:tc>
          <w:tcPr>
            <w:tcW w:w="1350" w:type="dxa"/>
          </w:tcPr>
          <w:p w14:paraId="025F83C1" w14:textId="236A1219" w:rsidR="00971EB6" w:rsidRPr="0036794F" w:rsidRDefault="008A46B0" w:rsidP="009C2DF8">
            <w:pPr>
              <w:spacing w:line="480" w:lineRule="auto"/>
              <w:rPr>
                <w:rFonts w:eastAsia="Calibri" w:cs="Times New Roman"/>
                <w:szCs w:val="24"/>
              </w:rPr>
            </w:pPr>
            <w:r>
              <w:rPr>
                <w:rFonts w:eastAsia="Calibri" w:cs="Times New Roman"/>
                <w:szCs w:val="24"/>
              </w:rPr>
              <w:t>mg/dl</w:t>
            </w:r>
          </w:p>
        </w:tc>
        <w:tc>
          <w:tcPr>
            <w:tcW w:w="1728" w:type="dxa"/>
          </w:tcPr>
          <w:p w14:paraId="254E3F95" w14:textId="65417462" w:rsidR="00971EB6" w:rsidRPr="0036794F" w:rsidRDefault="008A46B0" w:rsidP="009C2DF8">
            <w:pPr>
              <w:spacing w:line="480" w:lineRule="auto"/>
              <w:rPr>
                <w:rFonts w:eastAsia="Calibri" w:cs="Times New Roman"/>
                <w:szCs w:val="24"/>
              </w:rPr>
            </w:pPr>
            <w:r>
              <w:rPr>
                <w:rFonts w:eastAsia="Calibri" w:cs="Times New Roman"/>
                <w:szCs w:val="24"/>
              </w:rPr>
              <w:t>40-60</w:t>
            </w:r>
          </w:p>
        </w:tc>
      </w:tr>
      <w:tr w:rsidR="00971EB6" w:rsidRPr="0036794F" w14:paraId="1EC80313" w14:textId="77777777" w:rsidTr="008A46B0">
        <w:trPr>
          <w:trHeight w:val="432"/>
        </w:trPr>
        <w:tc>
          <w:tcPr>
            <w:tcW w:w="3854" w:type="dxa"/>
          </w:tcPr>
          <w:p w14:paraId="74F02B17" w14:textId="64391979" w:rsidR="00971EB6" w:rsidRDefault="008A46B0" w:rsidP="009C2DF8">
            <w:pPr>
              <w:spacing w:line="480" w:lineRule="auto"/>
              <w:rPr>
                <w:rFonts w:eastAsia="Calibri" w:cs="Times New Roman"/>
                <w:szCs w:val="24"/>
              </w:rPr>
            </w:pPr>
            <w:r>
              <w:rPr>
                <w:rFonts w:eastAsia="Calibri" w:cs="Times New Roman"/>
                <w:szCs w:val="24"/>
              </w:rPr>
              <w:t>Low Density Lipoprotein (LDL)</w:t>
            </w:r>
          </w:p>
        </w:tc>
        <w:tc>
          <w:tcPr>
            <w:tcW w:w="1091" w:type="dxa"/>
          </w:tcPr>
          <w:p w14:paraId="3CB216A7" w14:textId="68D72E5A" w:rsidR="00971EB6" w:rsidRDefault="00812242" w:rsidP="009C2DF8">
            <w:pPr>
              <w:spacing w:line="480" w:lineRule="auto"/>
              <w:rPr>
                <w:rFonts w:eastAsia="Calibri" w:cs="Times New Roman"/>
                <w:szCs w:val="24"/>
              </w:rPr>
            </w:pPr>
            <w:r>
              <w:rPr>
                <w:rFonts w:eastAsia="Calibri" w:cs="Times New Roman"/>
                <w:szCs w:val="24"/>
              </w:rPr>
              <w:t>139.0</w:t>
            </w:r>
          </w:p>
        </w:tc>
        <w:tc>
          <w:tcPr>
            <w:tcW w:w="1350" w:type="dxa"/>
          </w:tcPr>
          <w:p w14:paraId="171BE3E8" w14:textId="778B7FFA" w:rsidR="00971EB6" w:rsidRPr="0036794F" w:rsidRDefault="008A46B0" w:rsidP="009C2DF8">
            <w:pPr>
              <w:spacing w:line="480" w:lineRule="auto"/>
              <w:rPr>
                <w:rFonts w:eastAsia="Calibri" w:cs="Times New Roman"/>
                <w:szCs w:val="24"/>
              </w:rPr>
            </w:pPr>
            <w:r>
              <w:rPr>
                <w:rFonts w:eastAsia="Calibri" w:cs="Times New Roman"/>
                <w:szCs w:val="24"/>
              </w:rPr>
              <w:t>mg/dl</w:t>
            </w:r>
          </w:p>
        </w:tc>
        <w:tc>
          <w:tcPr>
            <w:tcW w:w="2016" w:type="dxa"/>
          </w:tcPr>
          <w:p w14:paraId="2402E997" w14:textId="54DB2F3F" w:rsidR="00971EB6" w:rsidRPr="0036794F" w:rsidRDefault="008A46B0" w:rsidP="009C2DF8">
            <w:pPr>
              <w:spacing w:line="480" w:lineRule="auto"/>
              <w:rPr>
                <w:rFonts w:eastAsia="Calibri" w:cs="Times New Roman"/>
                <w:szCs w:val="24"/>
              </w:rPr>
            </w:pPr>
            <w:r>
              <w:rPr>
                <w:rFonts w:eastAsia="Calibri" w:cs="Times New Roman"/>
                <w:szCs w:val="24"/>
              </w:rPr>
              <w:t>0-100</w:t>
            </w:r>
          </w:p>
        </w:tc>
      </w:tr>
      <w:tr w:rsidR="008A46B0" w:rsidRPr="0036794F" w14:paraId="43D90AA4" w14:textId="77777777" w:rsidTr="008A46B0">
        <w:trPr>
          <w:trHeight w:val="432"/>
        </w:trPr>
        <w:tc>
          <w:tcPr>
            <w:tcW w:w="3854" w:type="dxa"/>
          </w:tcPr>
          <w:p w14:paraId="657BAA9F" w14:textId="73C77FD4" w:rsidR="008A46B0" w:rsidRDefault="008A46B0" w:rsidP="009C2DF8">
            <w:pPr>
              <w:spacing w:line="480" w:lineRule="auto"/>
              <w:rPr>
                <w:rFonts w:eastAsia="Calibri" w:cs="Times New Roman"/>
                <w:szCs w:val="24"/>
              </w:rPr>
            </w:pPr>
            <w:r>
              <w:rPr>
                <w:rFonts w:eastAsia="Calibri" w:cs="Times New Roman"/>
                <w:szCs w:val="24"/>
              </w:rPr>
              <w:t>Tri-glyceride (TG)</w:t>
            </w:r>
          </w:p>
        </w:tc>
        <w:tc>
          <w:tcPr>
            <w:tcW w:w="1091" w:type="dxa"/>
          </w:tcPr>
          <w:p w14:paraId="544D75E5" w14:textId="0865107C" w:rsidR="008A46B0" w:rsidRDefault="00812242" w:rsidP="009C2DF8">
            <w:pPr>
              <w:spacing w:line="480" w:lineRule="auto"/>
              <w:rPr>
                <w:rFonts w:eastAsia="Calibri" w:cs="Times New Roman"/>
                <w:szCs w:val="24"/>
              </w:rPr>
            </w:pPr>
            <w:r>
              <w:rPr>
                <w:rFonts w:eastAsia="Calibri" w:cs="Times New Roman"/>
                <w:szCs w:val="24"/>
              </w:rPr>
              <w:t>129.3</w:t>
            </w:r>
          </w:p>
        </w:tc>
        <w:tc>
          <w:tcPr>
            <w:tcW w:w="1350" w:type="dxa"/>
          </w:tcPr>
          <w:p w14:paraId="3AB0ADC1" w14:textId="3DB992AE" w:rsidR="008A46B0" w:rsidRPr="0036794F" w:rsidRDefault="008A46B0" w:rsidP="009C2DF8">
            <w:pPr>
              <w:spacing w:line="480" w:lineRule="auto"/>
              <w:rPr>
                <w:rFonts w:eastAsia="Calibri" w:cs="Times New Roman"/>
                <w:szCs w:val="24"/>
              </w:rPr>
            </w:pPr>
            <w:r>
              <w:rPr>
                <w:rFonts w:eastAsia="Calibri" w:cs="Times New Roman"/>
                <w:szCs w:val="24"/>
              </w:rPr>
              <w:t>mg/dl</w:t>
            </w:r>
          </w:p>
        </w:tc>
        <w:tc>
          <w:tcPr>
            <w:tcW w:w="2016" w:type="dxa"/>
          </w:tcPr>
          <w:p w14:paraId="27069D9B" w14:textId="2EB51423" w:rsidR="008A46B0" w:rsidRPr="0036794F" w:rsidRDefault="008A46B0" w:rsidP="009C2DF8">
            <w:pPr>
              <w:spacing w:line="480" w:lineRule="auto"/>
              <w:rPr>
                <w:rFonts w:eastAsia="Calibri" w:cs="Times New Roman"/>
                <w:szCs w:val="24"/>
              </w:rPr>
            </w:pPr>
            <w:r>
              <w:rPr>
                <w:rFonts w:eastAsia="Calibri" w:cs="Times New Roman"/>
                <w:szCs w:val="24"/>
              </w:rPr>
              <w:t>0-180</w:t>
            </w:r>
          </w:p>
        </w:tc>
      </w:tr>
      <w:tr w:rsidR="008A46B0" w:rsidRPr="0036794F" w14:paraId="746DCD51" w14:textId="77777777" w:rsidTr="008A46B0">
        <w:trPr>
          <w:trHeight w:val="432"/>
        </w:trPr>
        <w:tc>
          <w:tcPr>
            <w:tcW w:w="3854" w:type="dxa"/>
          </w:tcPr>
          <w:p w14:paraId="697A781B" w14:textId="78120D94" w:rsidR="008A46B0" w:rsidRDefault="008A46B0" w:rsidP="009C2DF8">
            <w:pPr>
              <w:spacing w:line="480" w:lineRule="auto"/>
              <w:rPr>
                <w:rFonts w:eastAsia="Calibri" w:cs="Times New Roman"/>
                <w:szCs w:val="24"/>
              </w:rPr>
            </w:pPr>
            <w:r>
              <w:rPr>
                <w:rFonts w:eastAsia="Calibri" w:cs="Times New Roman"/>
                <w:szCs w:val="24"/>
              </w:rPr>
              <w:t>Serum magnesium</w:t>
            </w:r>
          </w:p>
        </w:tc>
        <w:tc>
          <w:tcPr>
            <w:tcW w:w="1091" w:type="dxa"/>
          </w:tcPr>
          <w:p w14:paraId="1A5EA031" w14:textId="1A97B643" w:rsidR="008A46B0" w:rsidRDefault="00812242" w:rsidP="009C2DF8">
            <w:pPr>
              <w:spacing w:line="480" w:lineRule="auto"/>
              <w:rPr>
                <w:rFonts w:eastAsia="Calibri" w:cs="Times New Roman"/>
                <w:szCs w:val="24"/>
              </w:rPr>
            </w:pPr>
            <w:r>
              <w:rPr>
                <w:rFonts w:eastAsia="Calibri" w:cs="Times New Roman"/>
                <w:szCs w:val="24"/>
              </w:rPr>
              <w:t>2.98</w:t>
            </w:r>
          </w:p>
        </w:tc>
        <w:tc>
          <w:tcPr>
            <w:tcW w:w="1350" w:type="dxa"/>
          </w:tcPr>
          <w:p w14:paraId="3B343F5C" w14:textId="283613A7" w:rsidR="008A46B0" w:rsidRPr="0036794F" w:rsidRDefault="00812242" w:rsidP="009C2DF8">
            <w:pPr>
              <w:spacing w:line="480" w:lineRule="auto"/>
              <w:rPr>
                <w:rFonts w:eastAsia="Calibri" w:cs="Times New Roman"/>
                <w:szCs w:val="24"/>
              </w:rPr>
            </w:pPr>
            <w:r>
              <w:rPr>
                <w:rFonts w:eastAsia="Calibri" w:cs="Times New Roman"/>
                <w:szCs w:val="24"/>
              </w:rPr>
              <w:t>mg/dl</w:t>
            </w:r>
          </w:p>
        </w:tc>
        <w:tc>
          <w:tcPr>
            <w:tcW w:w="2016" w:type="dxa"/>
          </w:tcPr>
          <w:p w14:paraId="5E6F71CE" w14:textId="1A58C64D" w:rsidR="008A46B0" w:rsidRPr="0036794F" w:rsidRDefault="00812242" w:rsidP="009C2DF8">
            <w:pPr>
              <w:spacing w:line="480" w:lineRule="auto"/>
              <w:rPr>
                <w:rFonts w:eastAsia="Calibri" w:cs="Times New Roman"/>
                <w:szCs w:val="24"/>
              </w:rPr>
            </w:pPr>
            <w:r>
              <w:rPr>
                <w:rFonts w:eastAsia="Calibri" w:cs="Times New Roman"/>
                <w:szCs w:val="24"/>
              </w:rPr>
              <w:t>1.8-2.6</w:t>
            </w:r>
          </w:p>
        </w:tc>
      </w:tr>
      <w:tr w:rsidR="008A46B0" w:rsidRPr="0036794F" w14:paraId="6FEFE70E" w14:textId="77777777" w:rsidTr="008A46B0">
        <w:trPr>
          <w:trHeight w:val="288"/>
        </w:trPr>
        <w:tc>
          <w:tcPr>
            <w:tcW w:w="3854" w:type="dxa"/>
          </w:tcPr>
          <w:p w14:paraId="036C77DA" w14:textId="3E9A5261" w:rsidR="008A46B0" w:rsidRDefault="008A46B0" w:rsidP="009C2DF8">
            <w:pPr>
              <w:spacing w:line="480" w:lineRule="auto"/>
              <w:rPr>
                <w:rFonts w:eastAsia="Calibri" w:cs="Times New Roman"/>
                <w:szCs w:val="24"/>
              </w:rPr>
            </w:pPr>
            <w:r>
              <w:rPr>
                <w:rFonts w:eastAsia="Calibri" w:cs="Times New Roman"/>
                <w:szCs w:val="24"/>
              </w:rPr>
              <w:t>Serum Phosphorus</w:t>
            </w:r>
          </w:p>
        </w:tc>
        <w:tc>
          <w:tcPr>
            <w:tcW w:w="1091" w:type="dxa"/>
          </w:tcPr>
          <w:p w14:paraId="733E9DDD" w14:textId="66448DF2" w:rsidR="008A46B0" w:rsidRDefault="00812242" w:rsidP="009C2DF8">
            <w:pPr>
              <w:spacing w:line="480" w:lineRule="auto"/>
              <w:rPr>
                <w:rFonts w:eastAsia="Calibri" w:cs="Times New Roman"/>
                <w:szCs w:val="24"/>
              </w:rPr>
            </w:pPr>
            <w:r>
              <w:rPr>
                <w:rFonts w:eastAsia="Calibri" w:cs="Times New Roman"/>
                <w:szCs w:val="24"/>
              </w:rPr>
              <w:t>2.81</w:t>
            </w:r>
          </w:p>
        </w:tc>
        <w:tc>
          <w:tcPr>
            <w:tcW w:w="1350" w:type="dxa"/>
          </w:tcPr>
          <w:p w14:paraId="443B25EA" w14:textId="3D9CC6C2" w:rsidR="008A46B0" w:rsidRPr="0036794F" w:rsidRDefault="00812242" w:rsidP="009C2DF8">
            <w:pPr>
              <w:spacing w:line="480" w:lineRule="auto"/>
              <w:rPr>
                <w:rFonts w:eastAsia="Calibri" w:cs="Times New Roman"/>
                <w:szCs w:val="24"/>
              </w:rPr>
            </w:pPr>
            <w:r>
              <w:rPr>
                <w:rFonts w:eastAsia="Calibri" w:cs="Times New Roman"/>
                <w:szCs w:val="24"/>
              </w:rPr>
              <w:t>mg/dl</w:t>
            </w:r>
          </w:p>
        </w:tc>
        <w:tc>
          <w:tcPr>
            <w:tcW w:w="2016" w:type="dxa"/>
          </w:tcPr>
          <w:p w14:paraId="2C2A5AF3" w14:textId="71BEA58A" w:rsidR="008A46B0" w:rsidRPr="0036794F" w:rsidRDefault="00812242" w:rsidP="009C2DF8">
            <w:pPr>
              <w:spacing w:line="480" w:lineRule="auto"/>
              <w:rPr>
                <w:rFonts w:eastAsia="Calibri" w:cs="Times New Roman"/>
                <w:szCs w:val="24"/>
              </w:rPr>
            </w:pPr>
            <w:r>
              <w:rPr>
                <w:rFonts w:eastAsia="Calibri" w:cs="Times New Roman"/>
                <w:szCs w:val="24"/>
              </w:rPr>
              <w:t>2.4-4.4</w:t>
            </w:r>
          </w:p>
        </w:tc>
      </w:tr>
      <w:tr w:rsidR="008A46B0" w:rsidRPr="0036794F" w14:paraId="35E9BD53" w14:textId="77777777" w:rsidTr="008A46B0">
        <w:trPr>
          <w:trHeight w:val="432"/>
        </w:trPr>
        <w:tc>
          <w:tcPr>
            <w:tcW w:w="3854" w:type="dxa"/>
          </w:tcPr>
          <w:p w14:paraId="76DF4368" w14:textId="5A04F5D0" w:rsidR="008A46B0" w:rsidRDefault="008A46B0" w:rsidP="009C2DF8">
            <w:pPr>
              <w:spacing w:line="480" w:lineRule="auto"/>
              <w:rPr>
                <w:rFonts w:eastAsia="Calibri" w:cs="Times New Roman"/>
                <w:szCs w:val="24"/>
              </w:rPr>
            </w:pPr>
            <w:r>
              <w:rPr>
                <w:rFonts w:eastAsia="Calibri" w:cs="Times New Roman"/>
                <w:szCs w:val="24"/>
              </w:rPr>
              <w:t>Serum Calcium</w:t>
            </w:r>
          </w:p>
        </w:tc>
        <w:tc>
          <w:tcPr>
            <w:tcW w:w="1091" w:type="dxa"/>
          </w:tcPr>
          <w:p w14:paraId="6E29DDD8" w14:textId="6FB890F1" w:rsidR="008A46B0" w:rsidRDefault="00812242" w:rsidP="009C2DF8">
            <w:pPr>
              <w:spacing w:line="480" w:lineRule="auto"/>
              <w:rPr>
                <w:rFonts w:eastAsia="Calibri" w:cs="Times New Roman"/>
                <w:szCs w:val="24"/>
              </w:rPr>
            </w:pPr>
            <w:r>
              <w:rPr>
                <w:rFonts w:eastAsia="Calibri" w:cs="Times New Roman"/>
                <w:szCs w:val="24"/>
              </w:rPr>
              <w:t>9.21</w:t>
            </w:r>
          </w:p>
        </w:tc>
        <w:tc>
          <w:tcPr>
            <w:tcW w:w="1350" w:type="dxa"/>
          </w:tcPr>
          <w:p w14:paraId="5730AB6B" w14:textId="4281D931" w:rsidR="008A46B0" w:rsidRPr="0036794F" w:rsidRDefault="00812242" w:rsidP="009C2DF8">
            <w:pPr>
              <w:spacing w:line="480" w:lineRule="auto"/>
              <w:rPr>
                <w:rFonts w:eastAsia="Calibri" w:cs="Times New Roman"/>
                <w:szCs w:val="24"/>
              </w:rPr>
            </w:pPr>
            <w:r>
              <w:rPr>
                <w:rFonts w:eastAsia="Calibri" w:cs="Times New Roman"/>
                <w:szCs w:val="24"/>
              </w:rPr>
              <w:t>mg/dl</w:t>
            </w:r>
          </w:p>
        </w:tc>
        <w:tc>
          <w:tcPr>
            <w:tcW w:w="2016" w:type="dxa"/>
          </w:tcPr>
          <w:p w14:paraId="012CFCC5" w14:textId="0F24E2D6" w:rsidR="008A46B0" w:rsidRPr="0036794F" w:rsidRDefault="00812242" w:rsidP="009C2DF8">
            <w:pPr>
              <w:spacing w:line="480" w:lineRule="auto"/>
              <w:rPr>
                <w:rFonts w:eastAsia="Calibri" w:cs="Times New Roman"/>
                <w:szCs w:val="24"/>
              </w:rPr>
            </w:pPr>
            <w:r>
              <w:rPr>
                <w:rFonts w:eastAsia="Calibri" w:cs="Times New Roman"/>
                <w:szCs w:val="24"/>
              </w:rPr>
              <w:t>8.6-11.8</w:t>
            </w:r>
          </w:p>
        </w:tc>
      </w:tr>
    </w:tbl>
    <w:p w14:paraId="2EEA697C" w14:textId="26084411" w:rsidR="00812242" w:rsidRDefault="00812242" w:rsidP="00812242">
      <w:pPr>
        <w:pStyle w:val="Caption"/>
      </w:pPr>
    </w:p>
    <w:p w14:paraId="4AD37A4F" w14:textId="3FFEBA1E" w:rsidR="00DE2535" w:rsidRDefault="00E85FCF" w:rsidP="00DE2535">
      <w:r>
        <w:t>On etiological workup for syncope, magnetic resonance imaging (MRI) of head showed</w:t>
      </w:r>
      <w:r w:rsidR="003858E7">
        <w:t xml:space="preserve"> a</w:t>
      </w:r>
      <w:r>
        <w:t xml:space="preserve"> small locus of blood degradation product in </w:t>
      </w:r>
      <w:r w:rsidR="003858E7">
        <w:t xml:space="preserve">the </w:t>
      </w:r>
      <w:r>
        <w:t xml:space="preserve">right frontal lobe. The electroencephalogram (EEG) showed normal background </w:t>
      </w:r>
      <w:r w:rsidR="00435851">
        <w:t>activity and</w:t>
      </w:r>
      <w:r>
        <w:t xml:space="preserve"> was reactive to eye opening and closing. The carotid doppler showed normal scan. And</w:t>
      </w:r>
      <w:r w:rsidR="003858E7">
        <w:t>,</w:t>
      </w:r>
      <w:r>
        <w:t xml:space="preserve"> 2D echocardiography show</w:t>
      </w:r>
      <w:r w:rsidR="00435851">
        <w:t xml:space="preserve">ed </w:t>
      </w:r>
      <w:r w:rsidR="003858E7">
        <w:t xml:space="preserve">a </w:t>
      </w:r>
      <w:r w:rsidR="00435851">
        <w:t>reduced ejection fraction of 40% with no any outflow tract obstruction.</w:t>
      </w:r>
    </w:p>
    <w:p w14:paraId="1CA70CCF" w14:textId="18A4D2A6" w:rsidR="00435851" w:rsidRDefault="00435851" w:rsidP="00DE2535">
      <w:r>
        <w:t xml:space="preserve">While the etiology for the syncope was in dilemma, an incidental carotid sinus massage resulted in sinus pause for more than three seconds in </w:t>
      </w:r>
      <w:r w:rsidR="004B39A1">
        <w:t xml:space="preserve">continuous </w:t>
      </w:r>
      <w:r>
        <w:t>electro</w:t>
      </w:r>
      <w:r w:rsidR="00C8262F">
        <w:t>cardiogram</w:t>
      </w:r>
      <w:r>
        <w:t xml:space="preserve"> (ECG)</w:t>
      </w:r>
      <w:r w:rsidR="004B39A1">
        <w:t xml:space="preserve"> monitoring.</w:t>
      </w:r>
      <w:r w:rsidR="0010481C">
        <w:t xml:space="preserve"> Carotid sinus massage</w:t>
      </w:r>
      <w:r w:rsidR="003D3629">
        <w:t xml:space="preserve"> (CSM)</w:t>
      </w:r>
      <w:r w:rsidR="0010481C">
        <w:t xml:space="preserve"> was performed sequentially over both left and right side</w:t>
      </w:r>
      <w:r w:rsidR="003858E7">
        <w:t>s</w:t>
      </w:r>
      <w:r w:rsidR="0010481C">
        <w:t xml:space="preserve">. It was performed both on supine and upright position for </w:t>
      </w:r>
      <w:r w:rsidR="003858E7">
        <w:t>five</w:t>
      </w:r>
      <w:r w:rsidR="0010481C">
        <w:t xml:space="preserve"> seconds.</w:t>
      </w:r>
      <w:r w:rsidR="00156029">
        <w:t xml:space="preserve"> The demonstration for sinus pause</w:t>
      </w:r>
      <w:r w:rsidR="00CD15F5">
        <w:t xml:space="preserve"> during CSM</w:t>
      </w:r>
      <w:r w:rsidR="00156029">
        <w:t xml:space="preserve"> in ECG are shown i</w:t>
      </w:r>
      <w:r w:rsidR="004B39A1">
        <w:t>n Figure 1</w:t>
      </w:r>
      <w:r w:rsidR="00CD15F5">
        <w:t xml:space="preserve"> and</w:t>
      </w:r>
      <w:r w:rsidR="00156029">
        <w:t xml:space="preserve"> Video 1.</w:t>
      </w:r>
      <w:r w:rsidR="0010481C">
        <w:t xml:space="preserve"> </w:t>
      </w:r>
      <w:r w:rsidR="00CD15F5">
        <w:t>And reversion to the normal rhythm after CSM is shown in Video 2.</w:t>
      </w:r>
      <w:r>
        <w:t xml:space="preserve"> </w:t>
      </w:r>
      <w:r w:rsidR="00CF7674">
        <w:t>The differential diagnoses such as vasovagal syncope</w:t>
      </w:r>
      <w:r w:rsidR="0010481C">
        <w:t xml:space="preserve"> and orthostatic hypotension</w:t>
      </w:r>
      <w:r w:rsidR="00CF7674">
        <w:t xml:space="preserve"> w</w:t>
      </w:r>
      <w:r w:rsidR="0010481C">
        <w:t>ere</w:t>
      </w:r>
      <w:r w:rsidR="00CF7674">
        <w:t xml:space="preserve"> ruled out as the sy</w:t>
      </w:r>
      <w:r w:rsidR="001648A5">
        <w:t>ncope</w:t>
      </w:r>
      <w:r w:rsidR="00CF7674">
        <w:t xml:space="preserve"> was not associated with specific position or emotional</w:t>
      </w:r>
      <w:r w:rsidR="00710DB6">
        <w:t xml:space="preserve"> and stressful</w:t>
      </w:r>
      <w:r w:rsidR="00CF7674">
        <w:t xml:space="preserve"> events. </w:t>
      </w:r>
      <w:r w:rsidR="003858E7">
        <w:t>He</w:t>
      </w:r>
      <w:r>
        <w:t xml:space="preserve"> was then diagnosed as </w:t>
      </w:r>
      <w:r w:rsidR="0087113B">
        <w:t xml:space="preserve">carotid sinus hypersensitivity (CSS). </w:t>
      </w:r>
      <w:r w:rsidR="003858E7">
        <w:t>He</w:t>
      </w:r>
      <w:r w:rsidR="0087113B">
        <w:t xml:space="preserve"> was kept under medications as shown in </w:t>
      </w:r>
      <w:r w:rsidR="003858E7">
        <w:t>table 2.</w:t>
      </w:r>
    </w:p>
    <w:p w14:paraId="145D6A2E" w14:textId="587E932B" w:rsidR="003858E7" w:rsidRPr="002066B1" w:rsidRDefault="002066B1" w:rsidP="002066B1">
      <w:pPr>
        <w:pStyle w:val="Caption"/>
        <w:rPr>
          <w:i w:val="0"/>
          <w:iCs w:val="0"/>
          <w:color w:val="auto"/>
          <w:sz w:val="24"/>
          <w:szCs w:val="24"/>
        </w:rPr>
      </w:pPr>
      <w:r w:rsidRPr="002066B1">
        <w:rPr>
          <w:i w:val="0"/>
          <w:iCs w:val="0"/>
          <w:color w:val="auto"/>
          <w:sz w:val="24"/>
          <w:szCs w:val="24"/>
        </w:rPr>
        <w:lastRenderedPageBreak/>
        <w:t xml:space="preserve">Table </w:t>
      </w:r>
      <w:r w:rsidRPr="002066B1">
        <w:rPr>
          <w:i w:val="0"/>
          <w:iCs w:val="0"/>
          <w:color w:val="auto"/>
          <w:sz w:val="24"/>
          <w:szCs w:val="24"/>
        </w:rPr>
        <w:fldChar w:fldCharType="begin"/>
      </w:r>
      <w:r w:rsidRPr="002066B1">
        <w:rPr>
          <w:i w:val="0"/>
          <w:iCs w:val="0"/>
          <w:color w:val="auto"/>
          <w:sz w:val="24"/>
          <w:szCs w:val="24"/>
        </w:rPr>
        <w:instrText xml:space="preserve"> SEQ Table \* ARABIC </w:instrText>
      </w:r>
      <w:r w:rsidRPr="002066B1">
        <w:rPr>
          <w:i w:val="0"/>
          <w:iCs w:val="0"/>
          <w:color w:val="auto"/>
          <w:sz w:val="24"/>
          <w:szCs w:val="24"/>
        </w:rPr>
        <w:fldChar w:fldCharType="separate"/>
      </w:r>
      <w:r w:rsidRPr="002066B1">
        <w:rPr>
          <w:i w:val="0"/>
          <w:iCs w:val="0"/>
          <w:noProof/>
          <w:color w:val="auto"/>
          <w:sz w:val="24"/>
          <w:szCs w:val="24"/>
        </w:rPr>
        <w:t>2</w:t>
      </w:r>
      <w:r w:rsidRPr="002066B1">
        <w:rPr>
          <w:i w:val="0"/>
          <w:iCs w:val="0"/>
          <w:color w:val="auto"/>
          <w:sz w:val="24"/>
          <w:szCs w:val="24"/>
        </w:rPr>
        <w:fldChar w:fldCharType="end"/>
      </w:r>
      <w:r w:rsidRPr="002066B1">
        <w:rPr>
          <w:i w:val="0"/>
          <w:iCs w:val="0"/>
          <w:color w:val="auto"/>
          <w:sz w:val="24"/>
          <w:szCs w:val="24"/>
        </w:rPr>
        <w:t>: Medications</w:t>
      </w:r>
    </w:p>
    <w:tbl>
      <w:tblPr>
        <w:tblStyle w:val="TableGrid"/>
        <w:tblW w:w="0" w:type="auto"/>
        <w:tblLook w:val="04A0" w:firstRow="1" w:lastRow="0" w:firstColumn="1" w:lastColumn="0" w:noHBand="0" w:noVBand="1"/>
      </w:tblPr>
      <w:tblGrid>
        <w:gridCol w:w="2337"/>
        <w:gridCol w:w="2608"/>
        <w:gridCol w:w="2067"/>
        <w:gridCol w:w="2338"/>
      </w:tblGrid>
      <w:tr w:rsidR="0087113B" w:rsidRPr="003858E7" w14:paraId="2833434C" w14:textId="77777777" w:rsidTr="0093663A">
        <w:tc>
          <w:tcPr>
            <w:tcW w:w="2337" w:type="dxa"/>
          </w:tcPr>
          <w:p w14:paraId="19AEC8A3" w14:textId="04912357" w:rsidR="0087113B" w:rsidRPr="004B39A1" w:rsidRDefault="0087113B" w:rsidP="0087113B">
            <w:pPr>
              <w:jc w:val="center"/>
              <w:rPr>
                <w:b/>
              </w:rPr>
            </w:pPr>
            <w:r w:rsidRPr="004B39A1">
              <w:rPr>
                <w:b/>
              </w:rPr>
              <w:t>Route</w:t>
            </w:r>
          </w:p>
        </w:tc>
        <w:tc>
          <w:tcPr>
            <w:tcW w:w="2608" w:type="dxa"/>
          </w:tcPr>
          <w:p w14:paraId="6153C458" w14:textId="3214CA28" w:rsidR="0087113B" w:rsidRPr="004B39A1" w:rsidRDefault="0087113B" w:rsidP="0087113B">
            <w:pPr>
              <w:jc w:val="center"/>
              <w:rPr>
                <w:b/>
              </w:rPr>
            </w:pPr>
            <w:r w:rsidRPr="004B39A1">
              <w:rPr>
                <w:b/>
              </w:rPr>
              <w:t>Drugs</w:t>
            </w:r>
          </w:p>
        </w:tc>
        <w:tc>
          <w:tcPr>
            <w:tcW w:w="2067" w:type="dxa"/>
          </w:tcPr>
          <w:p w14:paraId="65A04779" w14:textId="20E985BB" w:rsidR="0087113B" w:rsidRPr="004B39A1" w:rsidRDefault="0087113B" w:rsidP="0087113B">
            <w:pPr>
              <w:jc w:val="center"/>
              <w:rPr>
                <w:b/>
              </w:rPr>
            </w:pPr>
            <w:r w:rsidRPr="004B39A1">
              <w:rPr>
                <w:b/>
              </w:rPr>
              <w:t>Dose</w:t>
            </w:r>
          </w:p>
        </w:tc>
        <w:tc>
          <w:tcPr>
            <w:tcW w:w="2338" w:type="dxa"/>
          </w:tcPr>
          <w:p w14:paraId="50E2CF30" w14:textId="6E67D554" w:rsidR="0087113B" w:rsidRPr="004B39A1" w:rsidRDefault="0087113B" w:rsidP="0087113B">
            <w:pPr>
              <w:jc w:val="center"/>
              <w:rPr>
                <w:b/>
              </w:rPr>
            </w:pPr>
            <w:r w:rsidRPr="004B39A1">
              <w:rPr>
                <w:b/>
              </w:rPr>
              <w:t>Dosage</w:t>
            </w:r>
          </w:p>
        </w:tc>
      </w:tr>
      <w:tr w:rsidR="0087113B" w14:paraId="3366F60B" w14:textId="77777777" w:rsidTr="0093663A">
        <w:tc>
          <w:tcPr>
            <w:tcW w:w="2337" w:type="dxa"/>
          </w:tcPr>
          <w:p w14:paraId="4B492537" w14:textId="227AAC68" w:rsidR="0087113B" w:rsidRDefault="0087113B" w:rsidP="0093663A">
            <w:pPr>
              <w:jc w:val="left"/>
            </w:pPr>
            <w:r>
              <w:t>Tablet</w:t>
            </w:r>
          </w:p>
        </w:tc>
        <w:tc>
          <w:tcPr>
            <w:tcW w:w="2608" w:type="dxa"/>
          </w:tcPr>
          <w:p w14:paraId="50257C61" w14:textId="2FD882F1" w:rsidR="0087113B" w:rsidRDefault="0093663A" w:rsidP="0093663A">
            <w:pPr>
              <w:jc w:val="left"/>
            </w:pPr>
            <w:r>
              <w:t>Aspirin</w:t>
            </w:r>
          </w:p>
        </w:tc>
        <w:tc>
          <w:tcPr>
            <w:tcW w:w="2067" w:type="dxa"/>
          </w:tcPr>
          <w:p w14:paraId="4921876E" w14:textId="1EDA3995" w:rsidR="0087113B" w:rsidRDefault="0093663A" w:rsidP="0093663A">
            <w:pPr>
              <w:jc w:val="left"/>
            </w:pPr>
            <w:r>
              <w:t>75 mg</w:t>
            </w:r>
          </w:p>
        </w:tc>
        <w:tc>
          <w:tcPr>
            <w:tcW w:w="2338" w:type="dxa"/>
          </w:tcPr>
          <w:p w14:paraId="265559E9" w14:textId="77C2BB73" w:rsidR="0087113B" w:rsidRDefault="0093663A" w:rsidP="0093663A">
            <w:pPr>
              <w:jc w:val="left"/>
            </w:pPr>
            <w:r>
              <w:t>Once a day (OD)</w:t>
            </w:r>
          </w:p>
        </w:tc>
      </w:tr>
      <w:tr w:rsidR="0087113B" w14:paraId="22C6F5DA" w14:textId="77777777" w:rsidTr="0093663A">
        <w:tc>
          <w:tcPr>
            <w:tcW w:w="2337" w:type="dxa"/>
          </w:tcPr>
          <w:p w14:paraId="5725DE0C" w14:textId="5E5ED5EC" w:rsidR="0087113B" w:rsidRDefault="0093663A" w:rsidP="0093663A">
            <w:pPr>
              <w:jc w:val="left"/>
            </w:pPr>
            <w:r>
              <w:t>Tablet</w:t>
            </w:r>
          </w:p>
        </w:tc>
        <w:tc>
          <w:tcPr>
            <w:tcW w:w="2608" w:type="dxa"/>
          </w:tcPr>
          <w:p w14:paraId="62C4483A" w14:textId="07F94EA5" w:rsidR="0087113B" w:rsidRDefault="0093663A" w:rsidP="0093663A">
            <w:pPr>
              <w:jc w:val="left"/>
            </w:pPr>
            <w:r>
              <w:t>Clopidogrel</w:t>
            </w:r>
          </w:p>
        </w:tc>
        <w:tc>
          <w:tcPr>
            <w:tcW w:w="2067" w:type="dxa"/>
          </w:tcPr>
          <w:p w14:paraId="1F13B90E" w14:textId="09293F73" w:rsidR="0087113B" w:rsidRDefault="0093663A" w:rsidP="0093663A">
            <w:pPr>
              <w:jc w:val="left"/>
            </w:pPr>
            <w:r>
              <w:t>75 mg</w:t>
            </w:r>
          </w:p>
        </w:tc>
        <w:tc>
          <w:tcPr>
            <w:tcW w:w="2338" w:type="dxa"/>
          </w:tcPr>
          <w:p w14:paraId="52AF1BB6" w14:textId="0E73D57A" w:rsidR="0087113B" w:rsidRDefault="0093663A" w:rsidP="0093663A">
            <w:pPr>
              <w:jc w:val="left"/>
            </w:pPr>
            <w:r>
              <w:t>Once a day (OD)</w:t>
            </w:r>
          </w:p>
        </w:tc>
      </w:tr>
      <w:tr w:rsidR="0087113B" w14:paraId="16EE0F16" w14:textId="77777777" w:rsidTr="0093663A">
        <w:tc>
          <w:tcPr>
            <w:tcW w:w="2337" w:type="dxa"/>
          </w:tcPr>
          <w:p w14:paraId="5F5AA8C4" w14:textId="6E7FAFE4" w:rsidR="0087113B" w:rsidRDefault="0093663A" w:rsidP="0093663A">
            <w:pPr>
              <w:jc w:val="left"/>
            </w:pPr>
            <w:r>
              <w:t xml:space="preserve">Tablet </w:t>
            </w:r>
          </w:p>
        </w:tc>
        <w:tc>
          <w:tcPr>
            <w:tcW w:w="2608" w:type="dxa"/>
          </w:tcPr>
          <w:p w14:paraId="34093D72" w14:textId="09452D78" w:rsidR="0087113B" w:rsidRDefault="0093663A" w:rsidP="0093663A">
            <w:pPr>
              <w:jc w:val="left"/>
            </w:pPr>
            <w:r>
              <w:t>Atorvastatin</w:t>
            </w:r>
          </w:p>
        </w:tc>
        <w:tc>
          <w:tcPr>
            <w:tcW w:w="2067" w:type="dxa"/>
          </w:tcPr>
          <w:p w14:paraId="61871AE0" w14:textId="1B69C63A" w:rsidR="0087113B" w:rsidRDefault="0093663A" w:rsidP="0093663A">
            <w:pPr>
              <w:jc w:val="left"/>
            </w:pPr>
            <w:r>
              <w:t>20 mg</w:t>
            </w:r>
          </w:p>
        </w:tc>
        <w:tc>
          <w:tcPr>
            <w:tcW w:w="2338" w:type="dxa"/>
          </w:tcPr>
          <w:p w14:paraId="171EE2C3" w14:textId="21684E02" w:rsidR="0087113B" w:rsidRDefault="0093663A" w:rsidP="0093663A">
            <w:pPr>
              <w:jc w:val="left"/>
            </w:pPr>
            <w:r>
              <w:t>Hora Somnae (HS)</w:t>
            </w:r>
          </w:p>
        </w:tc>
      </w:tr>
      <w:tr w:rsidR="0087113B" w14:paraId="74C84940" w14:textId="77777777" w:rsidTr="0093663A">
        <w:tc>
          <w:tcPr>
            <w:tcW w:w="2337" w:type="dxa"/>
          </w:tcPr>
          <w:p w14:paraId="15E7B378" w14:textId="4B826115" w:rsidR="0087113B" w:rsidRDefault="0093663A" w:rsidP="0093663A">
            <w:pPr>
              <w:jc w:val="left"/>
            </w:pPr>
            <w:r>
              <w:t>Tablet</w:t>
            </w:r>
          </w:p>
        </w:tc>
        <w:tc>
          <w:tcPr>
            <w:tcW w:w="2608" w:type="dxa"/>
          </w:tcPr>
          <w:p w14:paraId="74DCC1AE" w14:textId="22683125" w:rsidR="0087113B" w:rsidRDefault="0093663A" w:rsidP="0093663A">
            <w:pPr>
              <w:jc w:val="left"/>
            </w:pPr>
            <w:r>
              <w:t>Metoprolol</w:t>
            </w:r>
          </w:p>
        </w:tc>
        <w:tc>
          <w:tcPr>
            <w:tcW w:w="2067" w:type="dxa"/>
          </w:tcPr>
          <w:p w14:paraId="53FF2E2A" w14:textId="1CBB35F7" w:rsidR="0087113B" w:rsidRDefault="0093663A" w:rsidP="0093663A">
            <w:pPr>
              <w:jc w:val="left"/>
            </w:pPr>
            <w:r>
              <w:t>37.5 mg</w:t>
            </w:r>
          </w:p>
        </w:tc>
        <w:tc>
          <w:tcPr>
            <w:tcW w:w="2338" w:type="dxa"/>
          </w:tcPr>
          <w:p w14:paraId="7F9AE821" w14:textId="55120CBC" w:rsidR="0087113B" w:rsidRDefault="0093663A" w:rsidP="0093663A">
            <w:pPr>
              <w:jc w:val="left"/>
            </w:pPr>
            <w:r>
              <w:t>Once a day (OD)</w:t>
            </w:r>
          </w:p>
        </w:tc>
      </w:tr>
      <w:tr w:rsidR="0087113B" w14:paraId="595361EB" w14:textId="77777777" w:rsidTr="0093663A">
        <w:tc>
          <w:tcPr>
            <w:tcW w:w="2337" w:type="dxa"/>
          </w:tcPr>
          <w:p w14:paraId="7225CC3E" w14:textId="7FFDFFBE" w:rsidR="0087113B" w:rsidRDefault="0093663A" w:rsidP="0093663A">
            <w:pPr>
              <w:jc w:val="left"/>
            </w:pPr>
            <w:r>
              <w:t>Tablet</w:t>
            </w:r>
          </w:p>
        </w:tc>
        <w:tc>
          <w:tcPr>
            <w:tcW w:w="2608" w:type="dxa"/>
          </w:tcPr>
          <w:p w14:paraId="2F195545" w14:textId="1D0B086F" w:rsidR="0087113B" w:rsidRDefault="0093663A" w:rsidP="0093663A">
            <w:pPr>
              <w:jc w:val="left"/>
            </w:pPr>
            <w:r>
              <w:t>Isosorbide Mononitrate</w:t>
            </w:r>
          </w:p>
        </w:tc>
        <w:tc>
          <w:tcPr>
            <w:tcW w:w="2067" w:type="dxa"/>
          </w:tcPr>
          <w:p w14:paraId="79E8FD86" w14:textId="5F5B7E95" w:rsidR="0087113B" w:rsidRDefault="0093663A" w:rsidP="0093663A">
            <w:pPr>
              <w:jc w:val="left"/>
            </w:pPr>
            <w:r>
              <w:t>10 mg</w:t>
            </w:r>
          </w:p>
        </w:tc>
        <w:tc>
          <w:tcPr>
            <w:tcW w:w="2338" w:type="dxa"/>
          </w:tcPr>
          <w:p w14:paraId="7A52E620" w14:textId="0BF9C3E9" w:rsidR="0087113B" w:rsidRDefault="0093663A" w:rsidP="0093663A">
            <w:pPr>
              <w:jc w:val="left"/>
            </w:pPr>
            <w:r>
              <w:t>Twice a day (BD)</w:t>
            </w:r>
          </w:p>
        </w:tc>
      </w:tr>
    </w:tbl>
    <w:p w14:paraId="39AF8AA6" w14:textId="77777777" w:rsidR="004B39A1" w:rsidRDefault="004B39A1" w:rsidP="0093663A"/>
    <w:p w14:paraId="18E31291" w14:textId="06C1939F" w:rsidR="001A4F4A" w:rsidRDefault="001A4F4A" w:rsidP="0093663A">
      <w:r>
        <w:t>The definite treatment performed for CS</w:t>
      </w:r>
      <w:r w:rsidR="000124AD">
        <w:t>H</w:t>
      </w:r>
      <w:r>
        <w:t xml:space="preserve"> was dual chamber pacemaker placement.</w:t>
      </w:r>
      <w:r w:rsidR="004B39A1">
        <w:t xml:space="preserve"> It was done in a heart </w:t>
      </w:r>
      <w:r w:rsidR="00EA11EB">
        <w:t>center</w:t>
      </w:r>
      <w:r w:rsidR="004B39A1">
        <w:t xml:space="preserve"> as the facility</w:t>
      </w:r>
      <w:r w:rsidR="00C478D0">
        <w:t xml:space="preserve"> of cardiac catheterization </w:t>
      </w:r>
      <w:r w:rsidR="004B39A1">
        <w:t>was not available in our center.</w:t>
      </w:r>
      <w:r w:rsidR="00C478D0">
        <w:t xml:space="preserve"> The pacemaker was placed through transvenous access via subclavian vein under local </w:t>
      </w:r>
      <w:r w:rsidR="007E76F5">
        <w:t>anesthesia</w:t>
      </w:r>
      <w:r w:rsidR="00C478D0">
        <w:t>.</w:t>
      </w:r>
      <w:r w:rsidR="004B39A1">
        <w:t xml:space="preserve"> D</w:t>
      </w:r>
      <w:r>
        <w:t xml:space="preserve">uring the course on hospital, she was hemodynamically stable. </w:t>
      </w:r>
      <w:r w:rsidR="005B51D6">
        <w:t xml:space="preserve">He </w:t>
      </w:r>
      <w:r>
        <w:t xml:space="preserve">accepted the treatment and was recovering well. </w:t>
      </w:r>
      <w:r w:rsidR="005B51D6">
        <w:t>He</w:t>
      </w:r>
      <w:r>
        <w:t xml:space="preserve"> was discharged on above mentioned medications after a week of stay in the hospital.</w:t>
      </w:r>
    </w:p>
    <w:p w14:paraId="736D7234" w14:textId="1211C017" w:rsidR="001E3353" w:rsidRDefault="001E3353" w:rsidP="001E3353">
      <w:pPr>
        <w:pStyle w:val="Heading1"/>
      </w:pPr>
      <w:r>
        <w:t>Discussion</w:t>
      </w:r>
    </w:p>
    <w:p w14:paraId="4E02F26B" w14:textId="1197C89F" w:rsidR="001E3353" w:rsidRDefault="00BF3875" w:rsidP="001E3353">
      <w:r>
        <w:t>The diagnostic approach for syncope is complex and multidimensional. CSH has been found as a cause of unexplained syncope in elderly patients for a long time</w:t>
      </w:r>
      <w:r w:rsidR="007208A0">
        <w:t xml:space="preserve"> now. </w:t>
      </w:r>
      <w:r w:rsidR="009D25D4">
        <w:t xml:space="preserve">CSH is defined as </w:t>
      </w:r>
      <w:r w:rsidR="003D3629">
        <w:t>sinus pause for mor</w:t>
      </w:r>
      <w:r w:rsidR="00EA11EB">
        <w:t xml:space="preserve">e </w:t>
      </w:r>
      <w:r w:rsidR="003D3629">
        <w:t>than 3 seconds and/or fall in systolic blood pressure (SBP) of 50 mmHg or greate</w:t>
      </w:r>
      <w:r w:rsidR="00EA11EB">
        <w:t>r i</w:t>
      </w:r>
      <w:r w:rsidR="003D3629">
        <w:t xml:space="preserve">n response to CSM </w:t>
      </w:r>
      <w:r w:rsidR="003D3629">
        <w:fldChar w:fldCharType="begin" w:fldLock="1"/>
      </w:r>
      <w:r w:rsidR="00E55A59">
        <w:instrText>ADDIN CSL_CITATION {"citationItems":[{"id":"ITEM-1","itemData":{"DOI":"10.1093/eurheartj/ehp298","ISSN":"0195668X","PMID":"19713422","author":[{"dropping-particle":"","family":"Moya","given":"Angel","non-dropping-particle":"","parse-names":false,"suffix":""},{"dropping-particle":"","family":"Sutton","given":"Richard","non-dropping-particle":"","parse-names":false,"suffix":""},{"dropping-particle":"","family":"Ammirati","given":"Fabrizio","non-dropping-particle":"","parse-names":false,"suffix":""},{"dropping-particle":"","family":"Blanc","given":"Jean Jacques","non-dropping-particle":"","parse-names":false,"suffix":""},{"dropping-particle":"","family":"Brignole","given":"Michele","non-dropping-particle":"","parse-names":false,"suffix":""},{"dropping-particle":"","family":"Dahm","given":"Johannes B.","non-dropping-particle":"","parse-names":false,"suffix":""},{"dropping-particle":"","family":"Deharo","given":"Jean Claude","non-dropping-particle":"","parse-names":false,"suffix":""},{"dropping-particle":"","family":"Gajek","given":"Jacek","non-dropping-particle":"","parse-names":false,"suffix":""},{"dropping-particle":"","family":"Gjesdal","given":"Knut","non-dropping-particle":"","parse-names":false,"suffix":""},{"dropping-particle":"","family":"Krahn","given":"Andrew","non-dropping-particle":"","parse-names":false,"suffix":""},{"dropping-particle":"","family":"Massin","given":"Martial","non-dropping-particle":"","parse-names":false,"suffix":""},{"dropping-particle":"","family":"Pepi","given":"Mauro","non-dropping-particle":"","parse-names":false,"suffix":""},{"dropping-particle":"","family":"Pezawas","given":"Thomas","non-dropping-particle":"","parse-names":false,"suffix":""},{"dropping-particle":"","family":"Granell","given":"Ricardo Ruiz","non-dropping-particle":"","parse-names":false,"suffix":""},{"dropping-particle":"","family":"Sarasin","given":"Francois","non-dropping-particle":"","parse-names":false,"suffix":""},{"dropping-particle":"","family":"Ungar","given":"Andrea","non-dropping-particle":"","parse-names":false,"suffix":""},{"dropping-particle":"","family":"Dijk","given":"J. Gert","non-dropping-particle":"Van","parse-names":false,"suffix":""},{"dropping-particle":"","family":"Walma","given":"Edmond P.","non-dropping-particle":"","parse-names":false,"suffix":""},{"dropping-particle":"","family":"Wieling","given":"Wouter","non-dropping-particle":"","parse-names":false,"suffix":""},{"dropping-particle":"","family":"Abe","given":"Haruhiko","non-dropping-particle":"","parse-names":false,"suffix":""},{"dropping-particle":"","family":"Benditt","given":"David G.","non-dropping-particle":"","parse-names":false,"suffix":""},{"dropping-particle":"","family":"Decker","given":"Wyatt W.","non-dropping-particle":"","parse-names":false,"suffix":""},{"dropping-particle":"","family":"Grubb","given":"Blair P.","non-dropping-particle":"","parse-names":false,"suffix":""},{"dropping-particle":"","family":"Kaufmann","given":"Horacio","non-dropping-particle":"","parse-names":false,"suffix":""},{"dropping-particle":"","family":"Morillo","given":"Carlos","non-dropping-particle":"","parse-names":false,"suffix":""},{"dropping-particle":"","family":"Olshansky","given":"Brian","non-dropping-particle":"","parse-names":false,"suffix":""},{"dropping-particle":"","family":"Parry","given":"Steve W.","non-dropping-particle":"","parse-names":false,"suffix":""},{"dropping-particle":"","family":"Sheldon","given":"Robert","non-dropping-particle":"","parse-names":false,"suffix":""},{"dropping-particle":"","family":"Shen","given":"Win K.","non-dropping-particle":"","parse-names":false,"suffix":""},{"dropping-particle":"","family":"Vahanian","given":"Alec","non-dropping-particle":"","parse-names":false,"suffix":""},{"dropping-particle":"","family":"Bax","given":"Jeroen","non-dropping-particle":"","parse-names":false,"suffix":""},{"dropping-particle":"","family":"Ceconi","given":"Claudio","non-dropping-particle":"","parse-names":false,"suffix":""},{"dropping-particle":"","family":"Dean","given":"Veronica","non-dropping-particle":"","parse-names":false,"suffix":""},{"dropping-particle":"","family":"Filippatos","given":"Gerasimos","non-dropping-particle":"","parse-names":false,"suffix":""},{"dropping-particle":"","family":"Funck-Brentano","given":"Christian","non-dropping-particle":"","parse-names":false,"suffix":""},{"dropping-particle":"","family":"Hobbs","given":"Richard","non-dropping-particle":"","parse-names":false,"suffix":""},{"dropping-particle":"","family":"Kearney","given":"Peter","non-dropping-particle":"","parse-names":false,"suffix":""},{"dropping-particle":"","family":"McDonagh","given":"Theresa","non-dropping-particle":"","parse-names":false,"suffix":""},{"dropping-particle":"","family":"McGregor","given":"Keith","non-dropping-particle":"","parse-names":false,"suffix":""},{"dropping-particle":"","family":"Popescu","given":"Bogdan A.","non-dropping-particle":"","parse-names":false,"suffix":""},{"dropping-particle":"","family":"Reiner","given":"Zeljko","non-dropping-particle":"","parse-names":false,"suffix":""},{"dropping-particle":"","family":"Sechtem","given":"Udo","non-dropping-particle":"","parse-names":false,"suffix":""},{"dropping-particle":"","family":"Sirnes","given":"Per Anton","non-dropping-particle":"","parse-names":false,"suffix":""},{"dropping-particle":"","family":"Tendera","given":"Michal","non-dropping-particle":"","parse-names":false,"suffix":""},{"dropping-particle":"","family":"Vardas","given":"Panos","non-dropping-particle":"","parse-names":false,"suffix":""},{"dropping-particle":"","family":"Widimsky","given":"Petr","non-dropping-particle":"","parse-names":false,"suffix":""},{"dropping-particle":"","family":"Auricchio","given":"Angelo","non-dropping-particle":"","parse-names":false,"suffix":""},{"dropping-particle":"","family":"Acarturk","given":"Esmeray","non-dropping-particle":"","parse-names":false,"suffix":""},{"dropping-particle":"","family":"Andreotti","given":"Felicita","non-dropping-particle":"","parse-names":false,"suffix":""},{"dropping-particle":"","family":"Asteggiano","given":"Riccardo","non-dropping-particle":"","parse-names":false,"suffix":""},{"dropping-particle":"","family":"Bauersfeld","given":"Urs","non-dropping-particle":"","parse-names":false,"suffix":""},{"dropping-particle":"","family":"Bellou","given":"Abdelouahab","non-dropping-particle":"","parse-names":false,"suffix":""},{"dropping-particle":"","family":"Benetos","given":"Athanase","non-dropping-particle":"","parse-names":false,"suffix":""},{"dropping-particle":"","family":"Brandt","given":"Johan","non-dropping-particle":"","parse-names":false,"suffix":""},{"dropping-particle":"","family":"Chung","given":"Mina K.","non-dropping-particle":"","parse-names":false,"suffix":""},{"dropping-particle":"","family":"Cortelli","given":"Pietro","non-dropping-particle":"","parse-names":false,"suffix":""},{"dropping-particle":"","family":"Costa","given":"Antoine","non-dropping-particle":"Da","parse-names":false,"suffix":""},{"dropping-particle":"","family":"Extramiana","given":"Fabrice","non-dropping-particle":"","parse-names":false,"suffix":""},{"dropping-particle":"","family":"Ferro","given":"José","non-dropping-particle":"","parse-names":false,"suffix":""},{"dropping-particle":"","family":"Gorenek","given":"Bulent","non-dropping-particle":"","parse-names":false,"suffix":""},{"dropping-particle":"","family":"Hedman","given":"Antti","non-dropping-particle":"","parse-names":false,"suffix":""},{"dropping-particle":"","family":"Hirsch","given":"Rafael","non-dropping-particle":"","parse-names":false,"suffix":""},{"dropping-particle":"","family":"Kaliska","given":"Gabriela","non-dropping-particle":"","parse-names":false,"suffix":""},{"dropping-particle":"","family":"Kenny","given":"Rose Anne","non-dropping-particle":"","parse-names":false,"suffix":""},{"dropping-particle":"","family":"Kjeldsen","given":"Keld Per","non-dropping-particle":"","parse-names":false,"suffix":""},{"dropping-particle":"","family":"Lampert","given":"Rachel","non-dropping-particle":"","parse-names":false,"suffix":""},{"dropping-particle":"","family":"Mølgard","given":"Henning","non-dropping-particle":"","parse-names":false,"suffix":""},{"dropping-particle":"","family":"Paju","given":"Rain","non-dropping-particle":"","parse-names":false,"suffix":""},{"dropping-particle":"","family":"Puodziukynas","given":"Aras","non-dropping-particle":"","parse-names":false,"suffix":""},{"dropping-particle":"","family":"Raviele","given":"Antonio","non-dropping-particle":"","parse-names":false,"suffix":""},{"dropping-particle":"","family":"Roman","given":"Pilar","non-dropping-particle":"","parse-names":false,"suffix":""},{"dropping-particle":"","family":"Scherer","given":"Martin","non-dropping-particle":"","parse-names":false,"suffix":""},{"dropping-particle":"","family":"Schondorf","given":"Ronald","non-dropping-particle":"","parse-names":false,"suffix":""},{"dropping-particle":"","family":"Sicari","given":"Rosa","non-dropping-particle":"","parse-names":false,"suffix":""},{"dropping-particle":"","family":"Vanbrabant","given":"Peter","non-dropping-particle":"","parse-names":false,"suffix":""},{"dropping-particle":"","family":"Wolpert","given":"Christian","non-dropping-particle":"","parse-names":false,"suffix":""},{"dropping-particle":"","family":"Zamorano","given":"Jose Luis","non-dropping-particle":"","parse-names":false,"suffix":""}],"container-title":"European Heart Journal","id":"ITEM-1","issue":"21","issued":{"date-parts":[["2009"]]},"page":"2631-2671","title":"Guidelines for the diagnosis and management of syncope (version 2009)","type":"article-journal","volume":"30"},"uris":["http://www.mendeley.com/documents/?uuid=75aaa323-f10c-414f-8516-9964ed132029"]}],"mendeley":{"formattedCitation":"(6)","plainTextFormattedCitation":"(6)","previouslyFormattedCitation":"(6)"},"properties":{"noteIndex":0},"schema":"https://github.com/citation-style-language/schema/raw/master/csl-citation.json"}</w:instrText>
      </w:r>
      <w:r w:rsidR="003D3629">
        <w:fldChar w:fldCharType="separate"/>
      </w:r>
      <w:r w:rsidR="003D3629" w:rsidRPr="003D3629">
        <w:rPr>
          <w:noProof/>
        </w:rPr>
        <w:t>(6)</w:t>
      </w:r>
      <w:r w:rsidR="003D3629">
        <w:fldChar w:fldCharType="end"/>
      </w:r>
      <w:r w:rsidR="003D3629">
        <w:t>. An asystole lasting for more than 3 seconds is termed as cardioinhibitory type of CSH. And</w:t>
      </w:r>
      <w:r w:rsidR="0053274C">
        <w:t>,</w:t>
      </w:r>
      <w:r w:rsidR="003D3629">
        <w:t xml:space="preserve"> fall in systolic blood pressure (SBP) of 50 mmHg or greater is termed as vasodepressor type of CSH. </w:t>
      </w:r>
      <w:r w:rsidR="0053274C">
        <w:t xml:space="preserve">If both of these are present, </w:t>
      </w:r>
      <w:r w:rsidR="003D3629">
        <w:t>it is of mixed type.</w:t>
      </w:r>
      <w:r w:rsidR="00E55A59">
        <w:t xml:space="preserve"> The term CSS is used when CSH is associated with spontaneous syncope. The diagnostic criteria for CSS is reproduction of spontaneous syncope during 10 seconds of CSM on both right and left carotid sinus sequentially </w:t>
      </w:r>
      <w:r w:rsidR="00E55A59">
        <w:fldChar w:fldCharType="begin" w:fldLock="1"/>
      </w:r>
      <w:r w:rsidR="004C3956">
        <w:instrText>ADDIN CSL_CITATION {"citationItems":[{"id":"ITEM-1","itemData":{"DOI":"10.1093/eurheartj/ehp298","ISSN":"0195668X","PMID":"19713422","author":[{"dropping-particle":"","family":"Moya","given":"Angel","non-dropping-particle":"","parse-names":false,"suffix":""},{"dropping-particle":"","family":"Sutton","given":"Richard","non-dropping-particle":"","parse-names":false,"suffix":""},{"dropping-particle":"","family":"Ammirati","given":"Fabrizio","non-dropping-particle":"","parse-names":false,"suffix":""},{"dropping-particle":"","family":"Blanc","given":"Jean Jacques","non-dropping-particle":"","parse-names":false,"suffix":""},{"dropping-particle":"","family":"Brignole","given":"Michele","non-dropping-particle":"","parse-names":false,"suffix":""},{"dropping-particle":"","family":"Dahm","given":"Johannes B.","non-dropping-particle":"","parse-names":false,"suffix":""},{"dropping-particle":"","family":"Deharo","given":"Jean Claude","non-dropping-particle":"","parse-names":false,"suffix":""},{"dropping-particle":"","family":"Gajek","given":"Jacek","non-dropping-particle":"","parse-names":false,"suffix":""},{"dropping-particle":"","family":"Gjesdal","given":"Knut","non-dropping-particle":"","parse-names":false,"suffix":""},{"dropping-particle":"","family":"Krahn","given":"Andrew","non-dropping-particle":"","parse-names":false,"suffix":""},{"dropping-particle":"","family":"Massin","given":"Martial","non-dropping-particle":"","parse-names":false,"suffix":""},{"dropping-particle":"","family":"Pepi","given":"Mauro","non-dropping-particle":"","parse-names":false,"suffix":""},{"dropping-particle":"","family":"Pezawas","given":"Thomas","non-dropping-particle":"","parse-names":false,"suffix":""},{"dropping-particle":"","family":"Granell","given":"Ricardo Ruiz","non-dropping-particle":"","parse-names":false,"suffix":""},{"dropping-particle":"","family":"Sarasin","given":"Francois","non-dropping-particle":"","parse-names":false,"suffix":""},{"dropping-particle":"","family":"Ungar","given":"Andrea","non-dropping-particle":"","parse-names":false,"suffix":""},{"dropping-particle":"","family":"Dijk","given":"J. Gert","non-dropping-particle":"Van","parse-names":false,"suffix":""},{"dropping-particle":"","family":"Walma","given":"Edmond P.","non-dropping-particle":"","parse-names":false,"suffix":""},{"dropping-particle":"","family":"Wieling","given":"Wouter","non-dropping-particle":"","parse-names":false,"suffix":""},{"dropping-particle":"","family":"Abe","given":"Haruhiko","non-dropping-particle":"","parse-names":false,"suffix":""},{"dropping-particle":"","family":"Benditt","given":"David G.","non-dropping-particle":"","parse-names":false,"suffix":""},{"dropping-particle":"","family":"Decker","given":"Wyatt W.","non-dropping-particle":"","parse-names":false,"suffix":""},{"dropping-particle":"","family":"Grubb","given":"Blair P.","non-dropping-particle":"","parse-names":false,"suffix":""},{"dropping-particle":"","family":"Kaufmann","given":"Horacio","non-dropping-particle":"","parse-names":false,"suffix":""},{"dropping-particle":"","family":"Morillo","given":"Carlos","non-dropping-particle":"","parse-names":false,"suffix":""},{"dropping-particle":"","family":"Olshansky","given":"Brian","non-dropping-particle":"","parse-names":false,"suffix":""},{"dropping-particle":"","family":"Parry","given":"Steve W.","non-dropping-particle":"","parse-names":false,"suffix":""},{"dropping-particle":"","family":"Sheldon","given":"Robert","non-dropping-particle":"","parse-names":false,"suffix":""},{"dropping-particle":"","family":"Shen","given":"Win K.","non-dropping-particle":"","parse-names":false,"suffix":""},{"dropping-particle":"","family":"Vahanian","given":"Alec","non-dropping-particle":"","parse-names":false,"suffix":""},{"dropping-particle":"","family":"Bax","given":"Jeroen","non-dropping-particle":"","parse-names":false,"suffix":""},{"dropping-particle":"","family":"Ceconi","given":"Claudio","non-dropping-particle":"","parse-names":false,"suffix":""},{"dropping-particle":"","family":"Dean","given":"Veronica","non-dropping-particle":"","parse-names":false,"suffix":""},{"dropping-particle":"","family":"Filippatos","given":"Gerasimos","non-dropping-particle":"","parse-names":false,"suffix":""},{"dropping-particle":"","family":"Funck-Brentano","given":"Christian","non-dropping-particle":"","parse-names":false,"suffix":""},{"dropping-particle":"","family":"Hobbs","given":"Richard","non-dropping-particle":"","parse-names":false,"suffix":""},{"dropping-particle":"","family":"Kearney","given":"Peter","non-dropping-particle":"","parse-names":false,"suffix":""},{"dropping-particle":"","family":"McDonagh","given":"Theresa","non-dropping-particle":"","parse-names":false,"suffix":""},{"dropping-particle":"","family":"McGregor","given":"Keith","non-dropping-particle":"","parse-names":false,"suffix":""},{"dropping-particle":"","family":"Popescu","given":"Bogdan A.","non-dropping-particle":"","parse-names":false,"suffix":""},{"dropping-particle":"","family":"Reiner","given":"Zeljko","non-dropping-particle":"","parse-names":false,"suffix":""},{"dropping-particle":"","family":"Sechtem","given":"Udo","non-dropping-particle":"","parse-names":false,"suffix":""},{"dropping-particle":"","family":"Sirnes","given":"Per Anton","non-dropping-particle":"","parse-names":false,"suffix":""},{"dropping-particle":"","family":"Tendera","given":"Michal","non-dropping-particle":"","parse-names":false,"suffix":""},{"dropping-particle":"","family":"Vardas","given":"Panos","non-dropping-particle":"","parse-names":false,"suffix":""},{"dropping-particle":"","family":"Widimsky","given":"Petr","non-dropping-particle":"","parse-names":false,"suffix":""},{"dropping-particle":"","family":"Auricchio","given":"Angelo","non-dropping-particle":"","parse-names":false,"suffix":""},{"dropping-particle":"","family":"Acarturk","given":"Esmeray","non-dropping-particle":"","parse-names":false,"suffix":""},{"dropping-particle":"","family":"Andreotti","given":"Felicita","non-dropping-particle":"","parse-names":false,"suffix":""},{"dropping-particle":"","family":"Asteggiano","given":"Riccardo","non-dropping-particle":"","parse-names":false,"suffix":""},{"dropping-particle":"","family":"Bauersfeld","given":"Urs","non-dropping-particle":"","parse-names":false,"suffix":""},{"dropping-particle":"","family":"Bellou","given":"Abdelouahab","non-dropping-particle":"","parse-names":false,"suffix":""},{"dropping-particle":"","family":"Benetos","given":"Athanase","non-dropping-particle":"","parse-names":false,"suffix":""},{"dropping-particle":"","family":"Brandt","given":"Johan","non-dropping-particle":"","parse-names":false,"suffix":""},{"dropping-particle":"","family":"Chung","given":"Mina K.","non-dropping-particle":"","parse-names":false,"suffix":""},{"dropping-particle":"","family":"Cortelli","given":"Pietro","non-dropping-particle":"","parse-names":false,"suffix":""},{"dropping-particle":"","family":"Costa","given":"Antoine","non-dropping-particle":"Da","parse-names":false,"suffix":""},{"dropping-particle":"","family":"Extramiana","given":"Fabrice","non-dropping-particle":"","parse-names":false,"suffix":""},{"dropping-particle":"","family":"Ferro","given":"José","non-dropping-particle":"","parse-names":false,"suffix":""},{"dropping-particle":"","family":"Gorenek","given":"Bulent","non-dropping-particle":"","parse-names":false,"suffix":""},{"dropping-particle":"","family":"Hedman","given":"Antti","non-dropping-particle":"","parse-names":false,"suffix":""},{"dropping-particle":"","family":"Hirsch","given":"Rafael","non-dropping-particle":"","parse-names":false,"suffix":""},{"dropping-particle":"","family":"Kaliska","given":"Gabriela","non-dropping-particle":"","parse-names":false,"suffix":""},{"dropping-particle":"","family":"Kenny","given":"Rose Anne","non-dropping-particle":"","parse-names":false,"suffix":""},{"dropping-particle":"","family":"Kjeldsen","given":"Keld Per","non-dropping-particle":"","parse-names":false,"suffix":""},{"dropping-particle":"","family":"Lampert","given":"Rachel","non-dropping-particle":"","parse-names":false,"suffix":""},{"dropping-particle":"","family":"Mølgard","given":"Henning","non-dropping-particle":"","parse-names":false,"suffix":""},{"dropping-particle":"","family":"Paju","given":"Rain","non-dropping-particle":"","parse-names":false,"suffix":""},{"dropping-particle":"","family":"Puodziukynas","given":"Aras","non-dropping-particle":"","parse-names":false,"suffix":""},{"dropping-particle":"","family":"Raviele","given":"Antonio","non-dropping-particle":"","parse-names":false,"suffix":""},{"dropping-particle":"","family":"Roman","given":"Pilar","non-dropping-particle":"","parse-names":false,"suffix":""},{"dropping-particle":"","family":"Scherer","given":"Martin","non-dropping-particle":"","parse-names":false,"suffix":""},{"dropping-particle":"","family":"Schondorf","given":"Ronald","non-dropping-particle":"","parse-names":false,"suffix":""},{"dropping-particle":"","family":"Sicari","given":"Rosa","non-dropping-particle":"","parse-names":false,"suffix":""},{"dropping-particle":"","family":"Vanbrabant","given":"Peter","non-dropping-particle":"","parse-names":false,"suffix":""},{"dropping-particle":"","family":"Wolpert","given":"Christian","non-dropping-particle":"","parse-names":false,"suffix":""},{"dropping-particle":"","family":"Zamorano","given":"Jose Luis","non-dropping-particle":"","parse-names":false,"suffix":""}],"container-title":"European Heart Journal","id":"ITEM-1","issue":"21","issued":{"date-parts":[["2009"]]},"page":"2631-2671","title":"Guidelines for the diagnosis and management of syncope (version 2009)","type":"article-journal","volume":"30"},"uris":["http://www.mendeley.com/documents/?uuid=75aaa323-f10c-414f-8516-9964ed132029"]}],"mendeley":{"formattedCitation":"(6)","plainTextFormattedCitation":"(6)","previouslyFormattedCitation":"(6)"},"properties":{"noteIndex":0},"schema":"https://github.com/citation-style-language/schema/raw/master/csl-citation.json"}</w:instrText>
      </w:r>
      <w:r w:rsidR="00E55A59">
        <w:fldChar w:fldCharType="separate"/>
      </w:r>
      <w:r w:rsidR="00E55A59" w:rsidRPr="00E55A59">
        <w:rPr>
          <w:noProof/>
        </w:rPr>
        <w:t>(6)</w:t>
      </w:r>
      <w:r w:rsidR="00E55A59">
        <w:fldChar w:fldCharType="end"/>
      </w:r>
      <w:r w:rsidR="00E55A59">
        <w:t>.</w:t>
      </w:r>
    </w:p>
    <w:p w14:paraId="6345CC4B" w14:textId="11FA61FD" w:rsidR="00E55A59" w:rsidRDefault="00F212D4" w:rsidP="001E3353">
      <w:r>
        <w:t>The cardioinhibi</w:t>
      </w:r>
      <w:r w:rsidR="004C3956">
        <w:t xml:space="preserve">tory type is a common variant of CSH as compared to vasodepressor and mixed type. The vasodepressor type is a least common type of CSH </w:t>
      </w:r>
      <w:r w:rsidR="004C3956">
        <w:fldChar w:fldCharType="begin" w:fldLock="1"/>
      </w:r>
      <w:r w:rsidR="00D530B3">
        <w:instrText>ADDIN CSL_CITATION {"citationItems":[{"id":"ITEM-1","itemData":{"DOI":"10.1016/S1726-4901(08)70163-1","ISSN":"17287731","PMID":"18955189","abstract":"Syncope is a sudden and brief loss of consciousness with postural tone. Its recovery is usually spontaneous. There are various causes of syncope including cardiac, vascular, neurologic, metabolic and miscellaneous origins. The tracing is usually time-consuming and costly. The diagnosis of carotid sinus syncope may sometimes be difficult since the symptoms are nonspecific, especially in older persons. Here, we report the case of a 72-year-old woman who sought medical attention at our hospital due to repeated syncope episodes over the previous 5 years. Neurologic examinations showed negative results (including brain computed tomography). Twenty-four-hour ambulatory electrocardiogram monitoring showed atrial and ventricular premature contractions only. Electrophysiologic study disclosed prolonged corrected sinus node recovery time (1,737 ms) with poor atrioventricular conduction. Drop of blood pressure together with sinus bradycardia developed after left side carotid sinus massage. Both carotid sinus hypersensitivity with sick sinus syndrome contributed to this patient's syncope, and after pacemaker placement together with selective serotonin reuptake inhibitor treatment, she was free from syncope thereafter. © 2008 Elsevier. All rights reserved.","author":[{"dropping-particle":"","family":"Kuo","given":"Feng Yu","non-dropping-particle":"","parse-names":false,"suffix":""},{"dropping-particle":"","family":"Hsiao","given":"Hsiang Chiang","non-dropping-particle":"","parse-names":false,"suffix":""},{"dropping-particle":"","family":"Chiou","given":"Chuen Wang","non-dropping-particle":"","parse-names":false,"suffix":""},{"dropping-particle":"","family":"Liu","given":"Chun Peng","non-dropping-particle":"","parse-names":false,"suffix":""}],"container-title":"Journal of the Chinese Medical Association","id":"ITEM-1","issue":"10","issued":{"date-parts":[["2008"]]},"page":"532-535","publisher":"Elsevier","title":"Recurrent syncope due to carotid sinus hypersensitivity and sick sinus syndrome","type":"article-journal","volume":"71"},"uris":["http://www.mendeley.com/documents/?uuid=366e806c-f01a-40f3-b7b6-1581b47c351f"]}],"mendeley":{"formattedCitation":"(7)","plainTextFormattedCitation":"(7)","previouslyFormattedCitation":"(7)"},"properties":{"noteIndex":0},"schema":"https://github.com/citation-style-language/schema/raw/master/csl-citation.json"}</w:instrText>
      </w:r>
      <w:r w:rsidR="004C3956">
        <w:fldChar w:fldCharType="separate"/>
      </w:r>
      <w:r w:rsidR="004C3956" w:rsidRPr="004C3956">
        <w:rPr>
          <w:noProof/>
        </w:rPr>
        <w:t>(7)</w:t>
      </w:r>
      <w:r w:rsidR="004C3956">
        <w:fldChar w:fldCharType="end"/>
      </w:r>
      <w:r w:rsidR="004C3956">
        <w:t xml:space="preserve">. </w:t>
      </w:r>
      <w:r w:rsidR="00041B6C">
        <w:t>It is important to distinguish between cardioinhibitory and vasodepressor ty</w:t>
      </w:r>
      <w:r w:rsidR="00D530B3">
        <w:t xml:space="preserve">pe of CSH. During CSM, atropine is given in order to distinguish between the above mentioned two types. If the blood pressures still declines despite not having bradycardia, it is suggestive of vasodepressor type </w:t>
      </w:r>
      <w:r w:rsidR="00CF4193">
        <w:fldChar w:fldCharType="begin" w:fldLock="1"/>
      </w:r>
      <w:r w:rsidR="00D3316E">
        <w:instrText>ADDIN CSL_CITATION {"citationItems":[{"id":"ITEM-1","itemData":{"DOI":"10.1016/0002-9343(84)90122-0","ISSN":"00029343","PMID":"6475995","abstract":"Carotid sinus hypersensitivity is a potentially treatable cause of recurrent neurologic symptoms. Diagnosis depends upon recognizing the variable presentation of symptomatic carotid sinus hypersensitivity, and noting an exaggerated cardiovascular response to carotid sinus massage associated with neurologic symptoms. Once the diagnosis of symptomatic carotid sinus hypersensitivity has been established, it is important to delineate the type of hypersensltivity present, because identification of the vasodepressor response has important therapeutic implications. © 1984.","author":[{"dropping-particle":"","family":"Coplan","given":"Neil L.","non-dropping-particle":"","parse-names":false,"suffix":""},{"dropping-particle":"","family":"Schweitzer","given":"Paul","non-dropping-particle":"","parse-names":false,"suffix":""}],"container-title":"The American Journal of Medicine","id":"ITEM-1","issue":"3","issued":{"date-parts":[["1984"]]},"page":"561-565","title":"Carotid sinus hypersensitivity. Case report and review of the literature","type":"article-journal","volume":"77"},"uris":["http://www.mendeley.com/documents/?uuid=04d043f8-cc91-4fe6-a88d-886cb91f5bc6"]},{"id":"ITEM-2","itemData":{"DOI":"10.1016/0002-8703(88)90149-4","ISSN":"10976744","PMID":"3177198","abstract":"To assess the incidence and clinical characteristics of carotid sinus hypersensitivity and the relationship to electrophysiologic findings, 76 patients with unexplained syncope underwent carotid sinus massage during electrophysiologic studies for syncope evaluation. Twenty-one patients (28%) were found to have carotid sinus hypersensitivity. Of these 21 patients, 11 (52%) had coronary artery disease, two (10%) had hypertensive heart disease, and eight (38%) had no organic heart disease. During electrophysiologic studies, abnormal sinus node function was found in three patients (14%), abnormal atrioventricular (AV) node function was noted in four (19%), and combined abnormal sinus node and AV node functions were seen in three (14%). Eleven patients (53%) had a normal electrophysiologic study. During carotid sinus massage, sinus arrest alone was observed in 12 patients (57%), and combined sinus arrest and AV nodal block was seen in nine (43%). Thirteen patients were treated with a permanent pacemaker, in whom either carotid sinus massage reproduced the symptom or concomitant sinus node or AV node abnormality, or organic heart disease was present. With a mean follow-up of 42 ± 19 months, none of these 13 patients had recurrent syncope. However, one of eight patients (13%) who did not receive a pacemaker had recurrence of syncope. Subsequently, this patient has done well after implantation of a pacemaker. These observations suggest that there is a significant incidence of carotid sinus hypersensitivity in patients with unexplained syncope. Permanent pacing appears to be beneficial in selected patients based on clinical and electrophysiologic findings. © 1988.","author":[{"dropping-particle":"","family":"Huang","given":"Shoei K.Stephen","non-dropping-particle":"","parse-names":false,"suffix":""},{"dropping-particle":"","family":"Ezri","given":"Marilyn D.","non-dropping-particle":"","parse-names":false,"suffix":""},{"dropping-particle":"","family":"Hauser","given":"Robert G.","non-dropping-particle":"","parse-names":false,"suffix":""},{"dropping-particle":"","family":"Denes","given":"Pablo","non-dropping-particle":"","parse-names":false,"suffix":""}],"container-title":"American Heart Journal","id":"ITEM-2","issue":"4","issued":{"date-parts":[["1988"]]},"page":"989-996","title":"Carotid sinus hypersensitivity in patients with unexplained syncope: Clinical, electrophysiologic, and long-term follow-up observations","type":"article-journal","volume":"116"},"uris":["http://www.mendeley.com/documents/?uuid=9daf9526-b516-46b1-b999-a98946aa8a1b"]}],"mendeley":{"formattedCitation":"(1,2)","plainTextFormattedCitation":"(1,2)","previouslyFormattedCitation":"(1,2)"},"properties":{"noteIndex":0},"schema":"https://github.com/citation-style-language/schema/raw/master/csl-citation.json"}</w:instrText>
      </w:r>
      <w:r w:rsidR="00CF4193">
        <w:fldChar w:fldCharType="separate"/>
      </w:r>
      <w:r w:rsidR="00CF4193" w:rsidRPr="00CF4193">
        <w:rPr>
          <w:noProof/>
        </w:rPr>
        <w:t>(1,2)</w:t>
      </w:r>
      <w:r w:rsidR="00CF4193">
        <w:fldChar w:fldCharType="end"/>
      </w:r>
      <w:r w:rsidR="00CF4193">
        <w:t xml:space="preserve">. </w:t>
      </w:r>
      <w:r w:rsidR="008E290E">
        <w:t>I</w:t>
      </w:r>
      <w:r w:rsidR="00030FC9">
        <w:t>n our case</w:t>
      </w:r>
      <w:r w:rsidR="0053274C">
        <w:t>,</w:t>
      </w:r>
      <w:r w:rsidR="00030FC9">
        <w:t xml:space="preserve"> we could not delineate between cardioinhibitory and vasodepressor type due to technical </w:t>
      </w:r>
      <w:r w:rsidR="0053274C">
        <w:t>in</w:t>
      </w:r>
      <w:r w:rsidR="00030FC9">
        <w:t>feasibility</w:t>
      </w:r>
      <w:r w:rsidR="008E290E">
        <w:t>.</w:t>
      </w:r>
      <w:r w:rsidR="00030FC9">
        <w:t xml:space="preserve"> </w:t>
      </w:r>
      <w:r w:rsidR="008E290E">
        <w:t>W</w:t>
      </w:r>
      <w:r w:rsidR="00030FC9">
        <w:t>e diagnosed it as CSH,</w:t>
      </w:r>
      <w:r w:rsidR="008E290E">
        <w:t xml:space="preserve"> cardioinhibitory type, as it was the commonest among the three</w:t>
      </w:r>
      <w:r w:rsidR="00030FC9">
        <w:t>.</w:t>
      </w:r>
    </w:p>
    <w:p w14:paraId="58EC3246" w14:textId="23CB5E9F" w:rsidR="000E1774" w:rsidRDefault="00D3316E" w:rsidP="001E3353">
      <w:r>
        <w:t xml:space="preserve">The symptoms that patient can present with CSH include syncope or dizziness based on the perfusion to brain </w:t>
      </w:r>
      <w:r>
        <w:fldChar w:fldCharType="begin" w:fldLock="1"/>
      </w:r>
      <w:r w:rsidR="00BF6676">
        <w:instrText>ADDIN CSL_CITATION {"citationItems":[{"id":"ITEM-1","itemData":{"DOI":"10.1016/S1726-4901(08)70163-1","ISSN":"17287731","PMID":"18955189","abstract":"Syncope is a sudden and brief loss of consciousness with postural tone. Its recovery is usually spontaneous. There are various causes of syncope including cardiac, vascular, neurologic, metabolic and miscellaneous origins. The tracing is usually time-consuming and costly. The diagnosis of carotid sinus syncope may sometimes be difficult since the symptoms are nonspecific, especially in older persons. Here, we report the case of a 72-year-old woman who sought medical attention at our hospital due to repeated syncope episodes over the previous 5 years. Neurologic examinations showed negative results (including brain computed tomography). Twenty-four-hour ambulatory electrocardiogram monitoring showed atrial and ventricular premature contractions only. Electrophysiologic study disclosed prolonged corrected sinus node recovery time (1,737 ms) with poor atrioventricular conduction. Drop of blood pressure together with sinus bradycardia developed after left side carotid sinus massage. Both carotid sinus hypersensitivity with sick sinus syndrome contributed to this patient's syncope, and after pacemaker placement together with selective serotonin reuptake inhibitor treatment, she was free from syncope thereafter. © 2008 Elsevier. All rights reserved.","author":[{"dropping-particle":"","family":"Kuo","given":"Feng Yu","non-dropping-particle":"","parse-names":false,"suffix":""},{"dropping-particle":"","family":"Hsiao","given":"Hsiang Chiang","non-dropping-particle":"","parse-names":false,"suffix":""},{"dropping-particle":"","family":"Chiou","given":"Chuen Wang","non-dropping-particle":"","parse-names":false,"suffix":""},{"dropping-particle":"","family":"Liu","given":"Chun Peng","non-dropping-particle":"","parse-names":false,"suffix":""}],"container-title":"Journal of the Chinese Medical Association","id":"ITEM-1","issue":"10","issued":{"date-parts":[["2008"]]},"page":"532-535","publisher":"Elsevier","title":"Recurrent syncope due to carotid sinus hypersensitivity and sick sinus syndrome","type":"article-journal","volume":"71"},"uris":["http://www.mendeley.com/documents/?uuid=366e806c-f01a-40f3-b7b6-1581b47c351f"]}],"mendeley":{"formattedCitation":"(7)","plainTextFormattedCitation":"(7)","previouslyFormattedCitation":"(7)"},"properties":{"noteIndex":0},"schema":"https://github.com/citation-style-language/schema/raw/master/csl-citation.json"}</w:instrText>
      </w:r>
      <w:r>
        <w:fldChar w:fldCharType="separate"/>
      </w:r>
      <w:r w:rsidRPr="00D3316E">
        <w:rPr>
          <w:noProof/>
        </w:rPr>
        <w:t>(7)</w:t>
      </w:r>
      <w:r>
        <w:fldChar w:fldCharType="end"/>
      </w:r>
      <w:r>
        <w:t xml:space="preserve">. </w:t>
      </w:r>
      <w:r w:rsidR="003F699E">
        <w:t>Carotid sinus massage is a simple and reliable test to diagnose CSH. But</w:t>
      </w:r>
      <w:r w:rsidR="004F4574">
        <w:t>,</w:t>
      </w:r>
      <w:r w:rsidR="003F699E">
        <w:t xml:space="preserve"> possibility of errors has been described in performing CSM. The precise anatomical location and position of the patient are some of the factors for errors </w:t>
      </w:r>
      <w:r w:rsidR="00BF6676">
        <w:t xml:space="preserve">in performing CSH </w:t>
      </w:r>
      <w:r w:rsidR="00BF6676">
        <w:fldChar w:fldCharType="begin" w:fldLock="1"/>
      </w:r>
      <w:r w:rsidR="00BF6676">
        <w:instrText>ADDIN CSL_CITATION {"citationItems":[{"id":"ITEM-1","itemData":{"DOI":"10.1016/0002-8703(88)90149-4","ISSN":"10976744","PMID":"3177198","abstract":"To assess the incidence and clinical characteristics of carotid sinus hypersensitivity and the relationship to electrophysiologic findings, 76 patients with unexplained syncope underwent carotid sinus massage during electrophysiologic studies for syncope evaluation. Twenty-one patients (28%) were found to have carotid sinus hypersensitivity. Of these 21 patients, 11 (52%) had coronary artery disease, two (10%) had hypertensive heart disease, and eight (38%) had no organic heart disease. During electrophysiologic studies, abnormal sinus node function was found in three patients (14%), abnormal atrioventricular (AV) node function was noted in four (19%), and combined abnormal sinus node and AV node functions were seen in three (14%). Eleven patients (53%) had a normal electrophysiologic study. During carotid sinus massage, sinus arrest alone was observed in 12 patients (57%), and combined sinus arrest and AV nodal block was seen in nine (43%). Thirteen patients were treated with a permanent pacemaker, in whom either carotid sinus massage reproduced the symptom or concomitant sinus node or AV node abnormality, or organic heart disease was present. With a mean follow-up of 42 ± 19 months, none of these 13 patients had recurrent syncope. However, one of eight patients (13%) who did not receive a pacemaker had recurrence of syncope. Subsequently, this patient has done well after implantation of a pacemaker. These observations suggest that there is a significant incidence of carotid sinus hypersensitivity in patients with unexplained syncope. Permanent pacing appears to be beneficial in selected patients based on clinical and electrophysiologic findings. © 1988.","author":[{"dropping-particle":"","family":"Huang","given":"Shoei K.Stephen","non-dropping-particle":"","parse-names":false,"suffix":""},{"dropping-particle":"","family":"Ezri","given":"Marilyn D.","non-dropping-particle":"","parse-names":false,"suffix":""},{"dropping-particle":"","family":"Hauser","given":"Robert G.","non-dropping-particle":"","parse-names":false,"suffix":""},{"dropping-particle":"","family":"Denes","given":"Pablo","non-dropping-particle":"","parse-names":false,"suffix":""}],"container-title":"American Heart Journal","id":"ITEM-1","issue":"4","issued":{"date-parts":[["1988"]]},"page":"989-996","title":"Carotid sinus hypersensitivity in patients with unexplained syncope: Clinical, electrophysiologic, and long-term follow-up observations","type":"article-journal","volume":"116"},"uris":["http://www.mendeley.com/documents/?uuid=9daf9526-b516-46b1-b999-a98946aa8a1b"]}],"mendeley":{"formattedCitation":"(2)","plainTextFormattedCitation":"(2)","previouslyFormattedCitation":"(2)"},"properties":{"noteIndex":0},"schema":"https://github.com/citation-style-language/schema/raw/master/csl-citation.json"}</w:instrText>
      </w:r>
      <w:r w:rsidR="00BF6676">
        <w:fldChar w:fldCharType="separate"/>
      </w:r>
      <w:r w:rsidR="00BF6676" w:rsidRPr="00BF6676">
        <w:rPr>
          <w:noProof/>
        </w:rPr>
        <w:t>(2)</w:t>
      </w:r>
      <w:r w:rsidR="00BF6676">
        <w:fldChar w:fldCharType="end"/>
      </w:r>
      <w:r w:rsidR="00BF6676">
        <w:t>.</w:t>
      </w:r>
      <w:r w:rsidR="000E1774">
        <w:t xml:space="preserve"> We performed CSM on both side in both positions sequentially. As there was no reproducible syncope during the massage, it did not fit into carotid sinus syndrome category.</w:t>
      </w:r>
      <w:r w:rsidR="00BF6676">
        <w:t xml:space="preserve"> </w:t>
      </w:r>
    </w:p>
    <w:p w14:paraId="0EAADADE" w14:textId="7B395B7A" w:rsidR="00D3316E" w:rsidRDefault="00BF6676" w:rsidP="001E3353">
      <w:r>
        <w:t>According to a study, the symptoms are more profound in upright position as compared to supine position</w:t>
      </w:r>
      <w:r>
        <w:fldChar w:fldCharType="begin" w:fldLock="1"/>
      </w:r>
      <w:r w:rsidR="000E1774">
        <w:instrText>ADDIN CSL_CITATION {"citationItems":[{"id":"ITEM-1","itemData":{"DOI":"10.1016/0002-9149(85)90284-X","ISSN":"00029149","PMID":"3969924","author":[{"dropping-particle":"","family":"Stryjer","given":"Dov","non-dropping-particle":"","parse-names":false,"suffix":""},{"dropping-particle":"","family":"Schlesinger","given":"Zwi","non-dropping-particle":"","parse-names":false,"suffix":""}],"container-title":"The American Journal of Cardiology","id":"ITEM-1","issue":"5","issued":{"date-parts":[["1985"]]},"page":"620","title":"Carotid sinus hypersensitivity: Beneficial effects of dual-chamber pacing","type":"article-journal","volume":"55"},"uris":["http://www.mendeley.com/documents/?uuid=35d54e09-7d48-40ec-a686-0d467a259600"]}],"mendeley":{"formattedCitation":"(8)","plainTextFormattedCitation":"(8)","previouslyFormattedCitation":"(8)"},"properties":{"noteIndex":0},"schema":"https://github.com/citation-style-language/schema/raw/master/csl-citation.json"}</w:instrText>
      </w:r>
      <w:r>
        <w:fldChar w:fldCharType="separate"/>
      </w:r>
      <w:r w:rsidRPr="00BF6676">
        <w:rPr>
          <w:noProof/>
        </w:rPr>
        <w:t>(8)</w:t>
      </w:r>
      <w:r>
        <w:fldChar w:fldCharType="end"/>
      </w:r>
      <w:r>
        <w:t xml:space="preserve">. </w:t>
      </w:r>
      <w:r w:rsidR="000E1774">
        <w:t xml:space="preserve">In elderly population, CSH </w:t>
      </w:r>
      <w:r w:rsidR="004F4574">
        <w:t>has</w:t>
      </w:r>
      <w:r w:rsidR="000E1774">
        <w:t xml:space="preserve"> been a modifiable risk factor for non-accidental falls </w:t>
      </w:r>
      <w:r w:rsidR="000E1774">
        <w:fldChar w:fldCharType="begin" w:fldLock="1"/>
      </w:r>
      <w:r w:rsidR="003B62F1">
        <w:instrText>ADDIN CSL_CITATION {"citationItems":[{"id":"ITEM-1","itemData":{"DOI":"10.1016/S0735-1097(01)01537-6","ISSN":"07351097","PMID":"11691528","abstract":"OBJECTIVES: The aim of the study was to determine whether cardiac pacing reduces falls in older adults with cardioinhibitory carotid sinus hypersensitivity (CSH). BACKGROUND: Cardioinhibitory carotid sinus syndrome causes syncope, and symptoms respond to cardiac pacing. There is circumstantial evidence for an association between falls and the syndrome. METHODS: A randomized controlled trial was done of consecutive older patients (&gt;50 years) attending an accident and emergency facility because of a non-accidental fall. Patients were randomized to dual-chamber pacemaker implant (paced patients) or standard treatment (controls). The primary outcome was the number of falls during one year of follow-up. RESULTS: One hundred seventy-five eligible patients (mean age 73 ± 10 years; 60% women) were randomized to the trial: pacemaker 87; controls 88. Falls (without loss of consciousness) were reduced by two-thirds: controls reported 669 falls (mean 9.3; range 0 to 89), and paced patients 216 falls (mean 4.1; range 0 to 29). Thus, paced patients were significantly less likely to fall (odds ratio 0.42; 95% confidence interval: 0.23, 0.75) than were controls. Syncopal events were also reduced during the follow-up period, but there were much fewer syncopal events than falls - 28 episodes in paced patients and 47 in controls. Injurious events were reduced by 70% (202 in controls compared to 61 in paced patients). CONCLUSIONS: There is a strong association between non-accidental falls and cardioinhibitory CSH. These patients would not usually be referred for cardiovascular assessment: Carotid sinus hypersensitivity should be considered in all older adults who have non-accidental falls. © 2001 by the American College of Cardiology.","author":[{"dropping-particle":"","family":"Kenny","given":"Rose Anne M.","non-dropping-particle":"","parse-names":false,"suffix":""},{"dropping-particle":"","family":"Richardson","given":"David A.","non-dropping-particle":"","parse-names":false,"suffix":""},{"dropping-particle":"","family":"Steen","given":"Nick","non-dropping-particle":"","parse-names":false,"suffix":""},{"dropping-particle":"","family":"Bexton","given":"Rodney S.","non-dropping-particle":"","parse-names":false,"suffix":""},{"dropping-particle":"","family":"Shaw","given":"Fiona E.","non-dropping-particle":"","parse-names":false,"suffix":""},{"dropping-particle":"","family":"Bond","given":"John","non-dropping-particle":"","parse-names":false,"suffix":""}],"container-title":"Journal of the American College of Cardiology","id":"ITEM-1","issue":"5","issued":{"date-parts":[["2001"]]},"page":"1491-1496","title":"Carotid sinus syndrome: A modifiable risk factor for nonaccidental falls in older adults (SAFE PACE)","type":"article-journal","volume":"38"},"uris":["http://www.mendeley.com/documents/?uuid=40f4af26-4093-49c1-a667-54e330c1590a"]}],"mendeley":{"formattedCitation":"(9)","plainTextFormattedCitation":"(9)","previouslyFormattedCitation":"(9)"},"properties":{"noteIndex":0},"schema":"https://github.com/citation-style-language/schema/raw/master/csl-citation.json"}</w:instrText>
      </w:r>
      <w:r w:rsidR="000E1774">
        <w:fldChar w:fldCharType="separate"/>
      </w:r>
      <w:r w:rsidR="000E1774" w:rsidRPr="000E1774">
        <w:rPr>
          <w:noProof/>
        </w:rPr>
        <w:t>(9)</w:t>
      </w:r>
      <w:r w:rsidR="000E1774">
        <w:fldChar w:fldCharType="end"/>
      </w:r>
      <w:r w:rsidR="000E1774">
        <w:t xml:space="preserve">. </w:t>
      </w:r>
      <w:r w:rsidR="00204714">
        <w:t xml:space="preserve">CSH has been shown to be associated with other causes of syncope like orthostatic hypotension </w:t>
      </w:r>
      <w:r w:rsidR="00204714">
        <w:lastRenderedPageBreak/>
        <w:t xml:space="preserve">(OH) and </w:t>
      </w:r>
      <w:r w:rsidR="00BE002C">
        <w:t>vaso</w:t>
      </w:r>
      <w:r w:rsidR="00204714">
        <w:t xml:space="preserve">vagal syncope (VVS). A study by </w:t>
      </w:r>
      <w:r w:rsidR="00204714" w:rsidRPr="00204714">
        <w:t>Maw Pin Tan</w:t>
      </w:r>
      <w:r w:rsidR="00204714">
        <w:t xml:space="preserve"> et al, showed CSH, OH and VVS to be common </w:t>
      </w:r>
      <w:r w:rsidR="003B62F1">
        <w:t>cause</w:t>
      </w:r>
      <w:r w:rsidR="004F4574">
        <w:t>s</w:t>
      </w:r>
      <w:r w:rsidR="003B62F1">
        <w:t xml:space="preserve"> for syncope in elderly and likely to co-exist  in</w:t>
      </w:r>
      <w:r w:rsidR="004F4574">
        <w:t xml:space="preserve"> an</w:t>
      </w:r>
      <w:r w:rsidR="003B62F1">
        <w:t xml:space="preserve"> affected individuals </w:t>
      </w:r>
      <w:r w:rsidR="003B62F1">
        <w:fldChar w:fldCharType="begin" w:fldLock="1"/>
      </w:r>
      <w:r w:rsidR="001D5BC3">
        <w:instrText>ADDIN CSL_CITATION {"citationItems":[{"id":"ITEM-1","itemData":{"DOI":"10.1093/europace/eun278","ISSN":"10995129","PMID":"18987128","abstract":"Aims: Previous uncontrolled studies reported an overlap between carotid sinus hypersensitivity (CSH), vasovagal syncope (VVS), and orthostatic hypotension (OH). We conducted a case-control study evaluating this relationship in a large patient cohort. Methods and results: The electronically stored continuous electrocardiograph and blood pressure (BP) measurements for active stand and head-up tilt-table (HUT) tests of 302 consecutive patients investigated with carotid sinus massage (CSM) were analysed. Carotid sinus hypersensitivity was defined as ≥3 s asystole and/or systolic BP (SBP) drop of ≥50 mmHg during CSM. Orthostatic hypotension was defined as BP reductions of ≥20 mmHg systolic or of ≥10 mmHg diastolic, whereas VVS was diagnosed with a positive HUT test. There was no significant difference in the number of subjects with OH (57 vs. 55%; P = 0.778) or HUT-positive VVS (45 vs. 47%; P = 0.828) between cases with CSH and controls without CSH. Carotid sinus hypersensitivity subjects had significantly larger SBP reduction (P = 0.039) and longer time to nadir (P = 0.007) during active stand, and trends to vasodepressor (P = 0.071) and dysautonomic responses to HUT (P = 0.151). Conclusion: Carotid sinus hypersensitivity, OH, and VVS are common conditions affecting patients with syncope and falls which are likely to co-exist in such individuals. The differences in haemodynamic response patterns to active stand and HUT in CSH subjects could be the result of an age-associated delay in sympathetic responses. © The Author 2008.","author":[{"dropping-particle":"","family":"Tan","given":"Maw Pin","non-dropping-particle":"","parse-names":false,"suffix":""},{"dropping-particle":"","family":"Newton","given":"Julia L.","non-dropping-particle":"","parse-names":false,"suffix":""},{"dropping-particle":"","family":"Chadwick","given":"Tom J.","non-dropping-particle":"","parse-names":false,"suffix":""},{"dropping-particle":"","family":"Parry","given":"Steve W.","non-dropping-particle":"","parse-names":false,"suffix":""}],"container-title":"Europace","id":"ITEM-1","issue":"12","issued":{"date-parts":[["2008"]]},"page":"1400-1405","title":"The relationship between carotid sinus hypersensitivity, orthostatic hypotension, and vasovagal syncope: A case-control study","type":"article-journal","volume":"10"},"uris":["http://www.mendeley.com/documents/?uuid=2052f6c3-4743-45ed-ba2b-83f3af57aa21"]}],"mendeley":{"formattedCitation":"(10)","plainTextFormattedCitation":"(10)","previouslyFormattedCitation":"(10)"},"properties":{"noteIndex":0},"schema":"https://github.com/citation-style-language/schema/raw/master/csl-citation.json"}</w:instrText>
      </w:r>
      <w:r w:rsidR="003B62F1">
        <w:fldChar w:fldCharType="separate"/>
      </w:r>
      <w:r w:rsidR="003B62F1" w:rsidRPr="003B62F1">
        <w:rPr>
          <w:noProof/>
        </w:rPr>
        <w:t>(10)</w:t>
      </w:r>
      <w:r w:rsidR="003B62F1">
        <w:fldChar w:fldCharType="end"/>
      </w:r>
      <w:r w:rsidR="003B62F1">
        <w:t xml:space="preserve">. </w:t>
      </w:r>
      <w:r w:rsidR="004F4574">
        <w:t>In our case, there was no coexistence of these entities.</w:t>
      </w:r>
    </w:p>
    <w:p w14:paraId="1928EFA3" w14:textId="627750C7" w:rsidR="003B62F1" w:rsidRDefault="003B62F1" w:rsidP="001E3353">
      <w:r>
        <w:t>Both the pharmacological and interventional management strategies are being practiced for CSH.</w:t>
      </w:r>
      <w:r w:rsidR="001D5BC3">
        <w:t xml:space="preserve"> Before the pacing therapy, treatment options included anticholinergic drugs like atropine, radiation therapy and carotid sinus denervation </w:t>
      </w:r>
      <w:r w:rsidR="001D5BC3">
        <w:fldChar w:fldCharType="begin" w:fldLock="1"/>
      </w:r>
      <w:r w:rsidR="001D5BC3">
        <w:instrText>ADDIN CSL_CITATION {"citationItems":[{"id":"ITEM-1","itemData":{"author":[{"dropping-particle":"","family":"Heart","given":"British","non-dropping-particle":"","parse-names":false,"suffix":""},{"dropping-particle":"","family":"Davies","given":"A B","non-dropping-particle":"","parse-names":false,"suffix":""},{"dropping-particle":"","family":"Hospital","given":"Bronglais","non-dropping-particle":"","parse-names":false,"suffix":""}],"id":"ITEM-1","issue":"1","issued":{"date-parts":[["1979"]]},"page":"583-586","title":"Presenting With Syncope","type":"article-journal"},"uris":["http://www.mendeley.com/documents/?uuid=4d5a8e1c-d56b-41e2-b427-9a9027d09d93"]},{"id":"ITEM-2","itemData":{"DOI":"10.1016/0002-9149(78)90934-7","ISSN":"00029149","PMID":"356576","abstract":"Hyperactivity of the carotid sinus reflex is common in older men. However, an unequivocal diagnosis of carotid sinus syncope is difficult to establish because the symptoms are nonspecific, and both hyperactivity of the carotid sinus reflex and syncope are common. Twenty-one men were evaluated for episodes of lightheadedness or syncope, or both, associated with a hypersensitive carotid sinus reflex. Seventeen patients had the cardioinhibitory type, two the vasodepressor type and two both the cardioinhibitory and vasodepressor types. Patients with the cardioinhibitory type benefited from the insertion of a permanent pacemaker if they had multiple episodes of syncope. A history of syncope associated with some event capable of stimulating the carotid sinus was also helpful in selecting patients for pacemaker treatment. The combination of the cardioinhibitory and vasodepressor types may be missed unless carotid sinus stimulation is repeated after the administration of atropine. The results of electrophysiologic studies in 17 patients with the cardioinhibitory type suggest that intrinsic sinus nodal dysfunction is not the major cause for asystole after carotid sinus stimulation. © 1978.","author":[{"dropping-particle":"","family":"Walter","given":"Paul F.","non-dropping-particle":"","parse-names":false,"suffix":""},{"dropping-particle":"","family":"Crawley","given":"I. Sylvia","non-dropping-particle":"","parse-names":false,"suffix":""},{"dropping-particle":"","family":"Dorney","given":"Edward R.","non-dropping-particle":"","parse-names":false,"suffix":""}],"container-title":"The American Journal of Cardiology","id":"ITEM-2","issue":"3","issued":{"date-parts":[["1978"]]},"page":"396-403","title":"Carotid sinus hypersensitivity and syncope","type":"article-journal","volume":"42"},"uris":["http://www.mendeley.com/documents/?uuid=4e1fff2a-c753-427e-9929-0e39a76fa3a9"]}],"mendeley":{"formattedCitation":"(3,11)","plainTextFormattedCitation":"(3,11)","previouslyFormattedCitation":"(3,11)"},"properties":{"noteIndex":0},"schema":"https://github.com/citation-style-language/schema/raw/master/csl-citation.json"}</w:instrText>
      </w:r>
      <w:r w:rsidR="001D5BC3">
        <w:fldChar w:fldCharType="separate"/>
      </w:r>
      <w:r w:rsidR="001D5BC3" w:rsidRPr="001D5BC3">
        <w:rPr>
          <w:noProof/>
        </w:rPr>
        <w:t>(3,11)</w:t>
      </w:r>
      <w:r w:rsidR="001D5BC3">
        <w:fldChar w:fldCharType="end"/>
      </w:r>
      <w:r w:rsidR="001D5BC3">
        <w:t xml:space="preserve">. The preferred method of treatment that has been widely accepted is implantation of cardiac pacemaker </w:t>
      </w:r>
      <w:r w:rsidR="001D5BC3">
        <w:fldChar w:fldCharType="begin" w:fldLock="1"/>
      </w:r>
      <w:r w:rsidR="000124AD">
        <w:instrText>ADDIN CSL_CITATION {"citationItems":[{"id":"ITEM-1","itemData":{"DOI":"10.1016/0002-9149(78)90934-7","ISSN":"00029149","PMID":"356576","abstract":"Hyperactivity of the carotid sinus reflex is common in older men. However, an unequivocal diagnosis of carotid sinus syncope is difficult to establish because the symptoms are nonspecific, and both hyperactivity of the carotid sinus reflex and syncope are common. Twenty-one men were evaluated for episodes of lightheadedness or syncope, or both, associated with a hypersensitive carotid sinus reflex. Seventeen patients had the cardioinhibitory type, two the vasodepressor type and two both the cardioinhibitory and vasodepressor types. Patients with the cardioinhibitory type benefited from the insertion of a permanent pacemaker if they had multiple episodes of syncope. A history of syncope associated with some event capable of stimulating the carotid sinus was also helpful in selecting patients for pacemaker treatment. The combination of the cardioinhibitory and vasodepressor types may be missed unless carotid sinus stimulation is repeated after the administration of atropine. The results of electrophysiologic studies in 17 patients with the cardioinhibitory type suggest that intrinsic sinus nodal dysfunction is not the major cause for asystole after carotid sinus stimulation. © 1978.","author":[{"dropping-particle":"","family":"Walter","given":"Paul F.","non-dropping-particle":"","parse-names":false,"suffix":""},{"dropping-particle":"","family":"Crawley","given":"I. Sylvia","non-dropping-particle":"","parse-names":false,"suffix":""},{"dropping-particle":"","family":"Dorney","given":"Edward R.","non-dropping-particle":"","parse-names":false,"suffix":""}],"container-title":"The American Journal of Cardiology","id":"ITEM-1","issue":"3","issued":{"date-parts":[["1978"]]},"page":"396-403","title":"Carotid sinus hypersensitivity and syncope","type":"article-journal","volume":"42"},"uris":["http://www.mendeley.com/documents/?uuid=4e1fff2a-c753-427e-9929-0e39a76fa3a9"]},{"id":"ITEM-2","itemData":{"author":[{"dropping-particle":"","family":"Heart","given":"British","non-dropping-particle":"","parse-names":false,"suffix":""},{"dropping-particle":"","family":"Davies","given":"A B","non-dropping-particle":"","parse-names":false,"suffix":""},{"dropping-particle":"","family":"Hospital","given":"Bronglais","non-dropping-particle":"","parse-names":false,"suffix":""}],"id":"ITEM-2","issue":"1","issued":{"date-parts":[["1979"]]},"page":"583-586","title":"Presenting With Syncope","type":"article-journal"},"uris":["http://www.mendeley.com/documents/?uuid=4d5a8e1c-d56b-41e2-b427-9a9027d09d93"]},{"id":"ITEM-3","itemData":{"DOI":"10.5694/mja2.50056","ISSN":"13265377","PMID":"30829401","author":[{"dropping-particle":"","family":"Moosavi","given":"Vahid","non-dropping-particle":"","parse-names":false,"suffix":""},{"dropping-particle":"","family":"Paymard","given":"Mohammad","non-dropping-particle":"","parse-names":false,"suffix":""}],"container-title":"Medical Journal of Australia","id":"ITEM-3","issue":"6","issued":{"date-parts":[["2019"]]},"page":"257","title":"Carotid sinus hypersensitivity","type":"article-journal","volume":"210"},"uris":["http://www.mendeley.com/documents/?uuid=1389fc65-0e4d-4105-aef8-b5d198674273"]},{"id":"ITEM-4","itemData":{"DOI":"10.1016/0002-9149(85)90284-X","ISSN":"00029149","PMID":"3969924","author":[{"dropping-particle":"","family":"Stryjer","given":"Dov","non-dropping-particle":"","parse-names":false,"suffix":""},{"dropping-particle":"","family":"Schlesinger","given":"Zwi","non-dropping-particle":"","parse-names":false,"suffix":""}],"container-title":"The American Journal of Cardiology","id":"ITEM-4","issue":"5","issued":{"date-parts":[["1985"]]},"page":"620","title":"Carotid sinus hypersensitivity: Beneficial effects of dual-chamber pacing","type":"article-journal","volume":"55"},"uris":["http://www.mendeley.com/documents/?uuid=35d54e09-7d48-40ec-a686-0d467a259600"]}],"mendeley":{"formattedCitation":"(3,8,11,12)","plainTextFormattedCitation":"(3,8,11,12)","previouslyFormattedCitation":"(3,8,11,12)"},"properties":{"noteIndex":0},"schema":"https://github.com/citation-style-language/schema/raw/master/csl-citation.json"}</w:instrText>
      </w:r>
      <w:r w:rsidR="001D5BC3">
        <w:fldChar w:fldCharType="separate"/>
      </w:r>
      <w:r w:rsidR="001D5BC3" w:rsidRPr="001D5BC3">
        <w:rPr>
          <w:noProof/>
        </w:rPr>
        <w:t>(3,8,11,12)</w:t>
      </w:r>
      <w:r w:rsidR="001D5BC3">
        <w:fldChar w:fldCharType="end"/>
      </w:r>
      <w:r w:rsidR="001D5BC3">
        <w:t xml:space="preserve">. As dual-chamber pacemaker activates both atria and ventricles, it is </w:t>
      </w:r>
      <w:r w:rsidR="00495AE1">
        <w:t>a</w:t>
      </w:r>
      <w:r w:rsidR="001D5BC3">
        <w:t xml:space="preserve"> treatment of choice in cardioinhibitory type of CSH</w:t>
      </w:r>
      <w:r w:rsidR="000124AD">
        <w:t xml:space="preserve"> </w:t>
      </w:r>
      <w:r w:rsidR="000124AD">
        <w:fldChar w:fldCharType="begin" w:fldLock="1"/>
      </w:r>
      <w:r w:rsidR="00BE002C">
        <w:instrText>ADDIN CSL_CITATION {"citationItems":[{"id":"ITEM-1","itemData":{"DOI":"10.1016/0002-9149(85)90284-X","ISSN":"00029149","PMID":"3969924","author":[{"dropping-particle":"","family":"Stryjer","given":"Dov","non-dropping-particle":"","parse-names":false,"suffix":""},{"dropping-particle":"","family":"Schlesinger","given":"Zwi","non-dropping-particle":"","parse-names":false,"suffix":""}],"container-title":"The American Journal of Cardiology","id":"ITEM-1","issue":"5","issued":{"date-parts":[["1985"]]},"page":"620","title":"Carotid sinus hypersensitivity: Beneficial effects of dual-chamber pacing","type":"article-journal","volume":"55"},"uris":["http://www.mendeley.com/documents/?uuid=35d54e09-7d48-40ec-a686-0d467a259600"]}],"mendeley":{"formattedCitation":"(8)","plainTextFormattedCitation":"(8)","previouslyFormattedCitation":"(8)"},"properties":{"noteIndex":0},"schema":"https://github.com/citation-style-language/schema/raw/master/csl-citation.json"}</w:instrText>
      </w:r>
      <w:r w:rsidR="000124AD">
        <w:fldChar w:fldCharType="separate"/>
      </w:r>
      <w:r w:rsidR="000124AD" w:rsidRPr="000124AD">
        <w:rPr>
          <w:noProof/>
        </w:rPr>
        <w:t>(8)</w:t>
      </w:r>
      <w:r w:rsidR="000124AD">
        <w:fldChar w:fldCharType="end"/>
      </w:r>
      <w:r w:rsidR="000124AD">
        <w:t>. The vasodepressor or mixed type can be treated with mineralocorticoids or radiation therapy and denervation of carotid sinus based on severity. Our case was treated with dual-chamber pacemaker placement.</w:t>
      </w:r>
    </w:p>
    <w:p w14:paraId="26530D6F" w14:textId="273A80EB" w:rsidR="000124AD" w:rsidRDefault="000124AD" w:rsidP="001E3353">
      <w:r>
        <w:t xml:space="preserve">There were certain limitations </w:t>
      </w:r>
      <w:r w:rsidR="00495AE1">
        <w:t>of</w:t>
      </w:r>
      <w:r>
        <w:t xml:space="preserve"> our study. We could not distinguish between the two variants of CSH because of technical issue</w:t>
      </w:r>
      <w:r w:rsidR="00495AE1">
        <w:t>s</w:t>
      </w:r>
      <w:r>
        <w:t>. Similarly, we could not follow up</w:t>
      </w:r>
      <w:r w:rsidR="00BE002C">
        <w:t xml:space="preserve"> </w:t>
      </w:r>
      <w:r w:rsidR="00495AE1">
        <w:t>on</w:t>
      </w:r>
      <w:r w:rsidR="00BE002C">
        <w:t xml:space="preserve"> the patient </w:t>
      </w:r>
      <w:r w:rsidR="007E76F5">
        <w:t>after discharge</w:t>
      </w:r>
      <w:r w:rsidR="00BE002C">
        <w:t xml:space="preserve"> from the hospital.</w:t>
      </w:r>
    </w:p>
    <w:p w14:paraId="265B3450" w14:textId="0F34FF96" w:rsidR="00BE002C" w:rsidRDefault="00BE002C" w:rsidP="00BE002C">
      <w:pPr>
        <w:pStyle w:val="Heading1"/>
      </w:pPr>
      <w:r>
        <w:t>Conclusions</w:t>
      </w:r>
    </w:p>
    <w:p w14:paraId="7F3DD563" w14:textId="7579BC07" w:rsidR="00BE002C" w:rsidRDefault="00C4741B" w:rsidP="00BE002C">
      <w:r>
        <w:t xml:space="preserve">CSH is one of the unexplained causes of syncope in old age. It may create a diagnostic challenge, especially in patients with underlying co-morbidities like CAD and diabetes mellitus. </w:t>
      </w:r>
      <w:r w:rsidR="005C3E9A">
        <w:t>So, the clinicians should be aware of this rare cause while attending a case of syncope with these characteristics, and management should be planned accordingly.</w:t>
      </w:r>
    </w:p>
    <w:p w14:paraId="1538BC92" w14:textId="77777777" w:rsidR="00E3353B" w:rsidRPr="00F2631C" w:rsidRDefault="00E3353B" w:rsidP="00E3353B">
      <w:pPr>
        <w:pStyle w:val="Heading1"/>
      </w:pPr>
      <w:r w:rsidRPr="00F2631C">
        <w:t>Author Agreement Statement</w:t>
      </w:r>
    </w:p>
    <w:p w14:paraId="19B6B54D" w14:textId="77777777" w:rsidR="00E3353B" w:rsidRPr="00A066FB" w:rsidRDefault="00E3353B" w:rsidP="00E3353B">
      <w:pPr>
        <w:rPr>
          <w:rFonts w:cs="Times New Roman"/>
          <w:szCs w:val="24"/>
        </w:rPr>
      </w:pPr>
      <w:r w:rsidRPr="00A066FB">
        <w:rPr>
          <w:rFonts w:cs="Times New Roman"/>
          <w:szCs w:val="24"/>
        </w:rPr>
        <w:t xml:space="preserve">We the undersigned declare that this manuscript is original, has not been published before and is not currently being considered for publication elsewhere.  </w:t>
      </w:r>
    </w:p>
    <w:p w14:paraId="11561AC6" w14:textId="77777777" w:rsidR="00E3353B" w:rsidRPr="00A066FB" w:rsidRDefault="00E3353B" w:rsidP="00E3353B">
      <w:pPr>
        <w:rPr>
          <w:rFonts w:cs="Times New Roman"/>
          <w:szCs w:val="24"/>
        </w:rPr>
      </w:pPr>
      <w:r w:rsidRPr="00A066FB">
        <w:rPr>
          <w:rFonts w:cs="Times New Roman"/>
          <w:szCs w:val="24"/>
        </w:rPr>
        <w:t xml:space="preserve">We confirm that the manuscript has been read and approved by all named authors and that there are no other persons who satisfied the criteria for authorship but are not listed. We further confirm that the order of authors listed in the manuscript has been approved by all of us.  </w:t>
      </w:r>
    </w:p>
    <w:p w14:paraId="2F4DE291" w14:textId="77777777" w:rsidR="00E3353B" w:rsidRPr="0018630B" w:rsidRDefault="00E3353B" w:rsidP="00E3353B">
      <w:pPr>
        <w:rPr>
          <w:rFonts w:cs="Times New Roman"/>
          <w:szCs w:val="24"/>
        </w:rPr>
      </w:pPr>
      <w:r w:rsidRPr="00A066FB">
        <w:rPr>
          <w:rFonts w:cs="Times New Roman"/>
          <w:szCs w:val="24"/>
        </w:rPr>
        <w:t xml:space="preserve">We understand that the Corresponding Author is the sole contact for the Editorial process. He/she is responsible for communicating with the other authors about progress, submissions of revisions and final approval of proofs.  </w:t>
      </w:r>
    </w:p>
    <w:p w14:paraId="5A2F4497" w14:textId="5BA3EFD9" w:rsidR="00E3353B" w:rsidRDefault="00E3353B" w:rsidP="00E3353B">
      <w:pPr>
        <w:pStyle w:val="Heading1"/>
      </w:pPr>
      <w:r>
        <w:t>Ethical approval</w:t>
      </w:r>
    </w:p>
    <w:p w14:paraId="028BA77D" w14:textId="77777777" w:rsidR="00E3353B" w:rsidRPr="001D0897" w:rsidRDefault="00E3353B" w:rsidP="00E3353B">
      <w:pPr>
        <w:pStyle w:val="NormalWeb"/>
        <w:spacing w:before="0" w:beforeAutospacing="0" w:after="240" w:afterAutospacing="0"/>
        <w:rPr>
          <w:color w:val="000000" w:themeColor="text1"/>
        </w:rPr>
      </w:pPr>
      <w:r>
        <w:rPr>
          <w:color w:val="000000" w:themeColor="text1"/>
        </w:rPr>
        <w:t>As is a case report, therefore, it did not require ethical approval from ethics committee.</w:t>
      </w:r>
    </w:p>
    <w:p w14:paraId="3B353053" w14:textId="28A3ED18" w:rsidR="00E3353B" w:rsidRPr="00E3353B" w:rsidRDefault="00E3353B" w:rsidP="00E3353B">
      <w:pPr>
        <w:pStyle w:val="Heading1"/>
      </w:pPr>
      <w:r w:rsidRPr="00E3353B">
        <w:t>Consent</w:t>
      </w:r>
    </w:p>
    <w:p w14:paraId="1FCA6040" w14:textId="178FECE7" w:rsidR="00E3353B" w:rsidRDefault="00E3353B" w:rsidP="00E3353B">
      <w:pPr>
        <w:rPr>
          <w:rFonts w:cs="Times New Roman"/>
          <w:szCs w:val="24"/>
        </w:rPr>
      </w:pPr>
      <w:r w:rsidRPr="00827591">
        <w:rPr>
          <w:rFonts w:cs="Times New Roman"/>
          <w:szCs w:val="24"/>
        </w:rPr>
        <w:t>Written </w:t>
      </w:r>
      <w:hyperlink r:id="rId5" w:tooltip="Learn more about informed consent from ScienceDirect's AI-generated Topic Pages" w:history="1">
        <w:r w:rsidRPr="00E3353B">
          <w:t>informed consent</w:t>
        </w:r>
      </w:hyperlink>
      <w:r w:rsidRPr="00920C47">
        <w:rPr>
          <w:rFonts w:cs="Times New Roman"/>
          <w:szCs w:val="24"/>
        </w:rPr>
        <w:t> </w:t>
      </w:r>
      <w:r w:rsidRPr="00827591">
        <w:rPr>
          <w:rFonts w:cs="Times New Roman"/>
          <w:szCs w:val="24"/>
        </w:rPr>
        <w:t>was obtained from the patient for publication of this case report and accompanying images. A copy of the written consent is available for review by the editor-in-chief of this journal on request.</w:t>
      </w:r>
    </w:p>
    <w:p w14:paraId="078007C7" w14:textId="7766ED79" w:rsidR="00E3353B" w:rsidRDefault="00E3353B" w:rsidP="00E3353B">
      <w:pPr>
        <w:pStyle w:val="Heading1"/>
      </w:pPr>
      <w:r>
        <w:t>Funding</w:t>
      </w:r>
    </w:p>
    <w:p w14:paraId="22E154F5" w14:textId="77777777" w:rsidR="00E3353B" w:rsidRDefault="00E3353B" w:rsidP="00E3353B">
      <w:pPr>
        <w:rPr>
          <w:rFonts w:cs="Times New Roman"/>
          <w:szCs w:val="24"/>
        </w:rPr>
      </w:pPr>
      <w:r w:rsidRPr="0009200A">
        <w:rPr>
          <w:rFonts w:cs="Times New Roman"/>
          <w:szCs w:val="24"/>
        </w:rPr>
        <w:t xml:space="preserve">The study did not receive any </w:t>
      </w:r>
      <w:r>
        <w:rPr>
          <w:rFonts w:cs="Times New Roman"/>
          <w:szCs w:val="24"/>
        </w:rPr>
        <w:t>grant from funding agencies in the public, commercial or not-for-profit sectors.</w:t>
      </w:r>
    </w:p>
    <w:p w14:paraId="402D2346" w14:textId="44EA301F" w:rsidR="00E3353B" w:rsidRDefault="00E3353B" w:rsidP="00E3353B">
      <w:pPr>
        <w:pStyle w:val="Heading1"/>
      </w:pPr>
      <w:r>
        <w:lastRenderedPageBreak/>
        <w:t>Conflict of Interest</w:t>
      </w:r>
    </w:p>
    <w:p w14:paraId="2BB5D34F" w14:textId="77777777" w:rsidR="00E3353B" w:rsidRDefault="00E3353B" w:rsidP="00E3353B">
      <w:pPr>
        <w:pStyle w:val="NormalWeb"/>
        <w:spacing w:before="0" w:beforeAutospacing="0" w:after="240" w:afterAutospacing="0"/>
        <w:rPr>
          <w:color w:val="000000" w:themeColor="text1"/>
        </w:rPr>
      </w:pPr>
      <w:r w:rsidRPr="001D0897">
        <w:rPr>
          <w:color w:val="000000" w:themeColor="text1"/>
        </w:rPr>
        <w:t>The authors report no conflicts of interest.</w:t>
      </w:r>
    </w:p>
    <w:p w14:paraId="10D9026C" w14:textId="32C3A48C" w:rsidR="00E3353B" w:rsidRDefault="00E3353B" w:rsidP="00E3353B">
      <w:pPr>
        <w:pStyle w:val="Heading1"/>
      </w:pPr>
      <w:r>
        <w:t>Acknowledgement</w:t>
      </w:r>
    </w:p>
    <w:p w14:paraId="168C5B10" w14:textId="7CD9159D" w:rsidR="00E3353B" w:rsidRPr="00E3353B" w:rsidRDefault="00E3353B" w:rsidP="00E3353B">
      <w:r>
        <w:t>None</w:t>
      </w:r>
    </w:p>
    <w:p w14:paraId="0BE71F38" w14:textId="0D0EC99F" w:rsidR="00BE002C" w:rsidRDefault="00BE002C" w:rsidP="00BE002C">
      <w:pPr>
        <w:pStyle w:val="Heading1"/>
      </w:pPr>
      <w:bookmarkStart w:id="0" w:name="_References"/>
      <w:bookmarkEnd w:id="0"/>
      <w:r>
        <w:t>References</w:t>
      </w:r>
    </w:p>
    <w:p w14:paraId="6FDD5958" w14:textId="5925A26F" w:rsidR="00BE002C" w:rsidRPr="00BE002C" w:rsidRDefault="00BE002C" w:rsidP="00BE002C">
      <w:pPr>
        <w:widowControl w:val="0"/>
        <w:autoSpaceDE w:val="0"/>
        <w:autoSpaceDN w:val="0"/>
        <w:adjustRightInd w:val="0"/>
        <w:ind w:left="640" w:hanging="640"/>
        <w:rPr>
          <w:rFonts w:cs="Times New Roman"/>
          <w:noProof/>
          <w:szCs w:val="24"/>
        </w:rPr>
      </w:pPr>
      <w:r>
        <w:fldChar w:fldCharType="begin" w:fldLock="1"/>
      </w:r>
      <w:r>
        <w:instrText xml:space="preserve">ADDIN Mendeley Bibliography CSL_BIBLIOGRAPHY </w:instrText>
      </w:r>
      <w:r>
        <w:fldChar w:fldCharType="separate"/>
      </w:r>
      <w:r w:rsidRPr="00BE002C">
        <w:rPr>
          <w:rFonts w:cs="Times New Roman"/>
          <w:noProof/>
          <w:szCs w:val="24"/>
        </w:rPr>
        <w:t xml:space="preserve">1. </w:t>
      </w:r>
      <w:r w:rsidRPr="00BE002C">
        <w:rPr>
          <w:rFonts w:cs="Times New Roman"/>
          <w:noProof/>
          <w:szCs w:val="24"/>
        </w:rPr>
        <w:tab/>
        <w:t>Coplan NL, Schweitzer P. Carotid sinus hypersensitivity. Case report and review of the literature. Am J Med. 1984;77(3):561–5.</w:t>
      </w:r>
      <w:r>
        <w:rPr>
          <w:rFonts w:cs="Times New Roman"/>
          <w:noProof/>
          <w:szCs w:val="24"/>
        </w:rPr>
        <w:t xml:space="preserve"> </w:t>
      </w:r>
      <w:hyperlink r:id="rId6" w:history="1">
        <w:r w:rsidRPr="00BE002C">
          <w:rPr>
            <w:rStyle w:val="Hyperlink"/>
            <w:rFonts w:cs="Times New Roman"/>
            <w:noProof/>
            <w:szCs w:val="24"/>
          </w:rPr>
          <w:t>https://doi.org/10.1016/0002-9343(84)90122-0</w:t>
        </w:r>
      </w:hyperlink>
      <w:r w:rsidRPr="00BE002C">
        <w:rPr>
          <w:rFonts w:cs="Times New Roman"/>
          <w:noProof/>
          <w:szCs w:val="24"/>
        </w:rPr>
        <w:t xml:space="preserve"> </w:t>
      </w:r>
    </w:p>
    <w:p w14:paraId="19B96B06" w14:textId="66615538"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2. </w:t>
      </w:r>
      <w:r w:rsidRPr="00BE002C">
        <w:rPr>
          <w:rFonts w:cs="Times New Roman"/>
          <w:noProof/>
          <w:szCs w:val="24"/>
        </w:rPr>
        <w:tab/>
        <w:t xml:space="preserve">Huang SKS, Ezri MD, Hauser RG, Denes P. Carotid sinus hypersensitivity in patients with unexplained syncope: Clinical, electrophysiologic, and long-term follow-up observations. Am Heart J. 1988;116(4):989–96. </w:t>
      </w:r>
      <w:hyperlink r:id="rId7" w:history="1">
        <w:r w:rsidRPr="00107606">
          <w:rPr>
            <w:rStyle w:val="Hyperlink"/>
            <w:rFonts w:cs="Times New Roman"/>
            <w:noProof/>
            <w:szCs w:val="24"/>
          </w:rPr>
          <w:t>https://doi.org/</w:t>
        </w:r>
        <w:r w:rsidR="00107606" w:rsidRPr="00107606">
          <w:rPr>
            <w:rStyle w:val="Hyperlink"/>
            <w:rFonts w:cs="Times New Roman"/>
            <w:noProof/>
            <w:szCs w:val="24"/>
          </w:rPr>
          <w:t>10.1016/0002-8703(88)90149-4</w:t>
        </w:r>
      </w:hyperlink>
    </w:p>
    <w:p w14:paraId="794B87F0" w14:textId="42D96676"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3. </w:t>
      </w:r>
      <w:r w:rsidRPr="00BE002C">
        <w:rPr>
          <w:rFonts w:cs="Times New Roman"/>
          <w:noProof/>
          <w:szCs w:val="24"/>
        </w:rPr>
        <w:tab/>
        <w:t xml:space="preserve">Walter PF, Crawley IS, Dorney ER. Carotid sinus hypersensitivity and syncope. Am J Cardiol. 1978;42(3):396–403. </w:t>
      </w:r>
      <w:hyperlink r:id="rId8" w:history="1">
        <w:r w:rsidR="00107606" w:rsidRPr="00107606">
          <w:rPr>
            <w:rStyle w:val="Hyperlink"/>
            <w:rFonts w:cs="Times New Roman"/>
            <w:noProof/>
            <w:szCs w:val="24"/>
          </w:rPr>
          <w:t>https://doi.org/10.1016/0002-9149(78)90934-7</w:t>
        </w:r>
      </w:hyperlink>
    </w:p>
    <w:p w14:paraId="61AAFC52" w14:textId="693BDE28"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4. </w:t>
      </w:r>
      <w:r w:rsidRPr="00BE002C">
        <w:rPr>
          <w:rFonts w:cs="Times New Roman"/>
          <w:noProof/>
          <w:szCs w:val="24"/>
        </w:rPr>
        <w:tab/>
        <w:t>Kerr SRJ, Pearce MS, Brayne C, Davis RJ, Kenny RA. Carotid Sinus Hypersensitivity in Asymptomatic Older Persons. Arch Intern Med. 2006;166(5):515.</w:t>
      </w:r>
      <w:r w:rsidR="00107606">
        <w:rPr>
          <w:rFonts w:cs="Times New Roman"/>
          <w:noProof/>
          <w:szCs w:val="24"/>
        </w:rPr>
        <w:t xml:space="preserve"> </w:t>
      </w:r>
      <w:hyperlink r:id="rId9" w:history="1">
        <w:r w:rsidR="00107606" w:rsidRPr="00C74571">
          <w:rPr>
            <w:rStyle w:val="Hyperlink"/>
            <w:rFonts w:cs="Times New Roman"/>
            <w:noProof/>
            <w:szCs w:val="24"/>
          </w:rPr>
          <w:t>https://doi.org/10.1001/archinte.166.5.515</w:t>
        </w:r>
      </w:hyperlink>
      <w:r w:rsidRPr="00BE002C">
        <w:rPr>
          <w:rFonts w:cs="Times New Roman"/>
          <w:noProof/>
          <w:szCs w:val="24"/>
        </w:rPr>
        <w:t xml:space="preserve"> </w:t>
      </w:r>
    </w:p>
    <w:p w14:paraId="779EB29F" w14:textId="1CA43CE4" w:rsidR="00BE002C" w:rsidRPr="00B94A4F"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5. </w:t>
      </w:r>
      <w:r w:rsidRPr="00BE002C">
        <w:rPr>
          <w:rFonts w:cs="Times New Roman"/>
          <w:noProof/>
          <w:szCs w:val="24"/>
        </w:rPr>
        <w:tab/>
      </w:r>
      <w:r w:rsidR="005E51CA" w:rsidRPr="005E51CA">
        <w:t>Volkmann H, Schnerch B, Kuhnert H. Diagnostic value of carotid sinus hypersensitivity. Pacing and Clinical Electrophysiology. 1990;13(12):2065-70.</w:t>
      </w:r>
      <w:r w:rsidR="005E51CA">
        <w:t xml:space="preserve"> </w:t>
      </w:r>
      <w:hyperlink r:id="rId10" w:history="1">
        <w:r w:rsidR="00B94A4F" w:rsidRPr="00B94A4F">
          <w:rPr>
            <w:rStyle w:val="Hyperlink"/>
          </w:rPr>
          <w:t>https://doi.org/10.1111/j.1540-8159.1990.tb06943.x</w:t>
        </w:r>
      </w:hyperlink>
    </w:p>
    <w:p w14:paraId="1E377FFD" w14:textId="2CBEFAB1" w:rsidR="00BE002C" w:rsidRPr="00BE002C" w:rsidRDefault="00BE002C" w:rsidP="00BE002C">
      <w:pPr>
        <w:widowControl w:val="0"/>
        <w:autoSpaceDE w:val="0"/>
        <w:autoSpaceDN w:val="0"/>
        <w:adjustRightInd w:val="0"/>
        <w:ind w:left="640" w:hanging="640"/>
        <w:rPr>
          <w:rFonts w:cs="Times New Roman"/>
          <w:noProof/>
          <w:szCs w:val="24"/>
        </w:rPr>
      </w:pPr>
      <w:r w:rsidRPr="00B94A4F">
        <w:rPr>
          <w:rFonts w:cs="Times New Roman"/>
          <w:noProof/>
          <w:szCs w:val="24"/>
        </w:rPr>
        <w:t xml:space="preserve">6. </w:t>
      </w:r>
      <w:r w:rsidRPr="00B94A4F">
        <w:rPr>
          <w:rFonts w:cs="Times New Roman"/>
          <w:noProof/>
          <w:szCs w:val="24"/>
        </w:rPr>
        <w:tab/>
        <w:t>Moya A, S</w:t>
      </w:r>
      <w:r w:rsidRPr="00BE002C">
        <w:rPr>
          <w:rFonts w:cs="Times New Roman"/>
          <w:noProof/>
          <w:szCs w:val="24"/>
        </w:rPr>
        <w:t xml:space="preserve">utton R, Ammirati F, Blanc JJ, Brignole M, Dahm JB, et al. Guidelines for the diagnosis and management of syncope (version 2009). Eur Heart J. 2009;30(21):2631–71. </w:t>
      </w:r>
      <w:hyperlink r:id="rId11" w:history="1">
        <w:r w:rsidR="005E51CA" w:rsidRPr="00C74571">
          <w:rPr>
            <w:rStyle w:val="Hyperlink"/>
            <w:rFonts w:cs="Times New Roman"/>
            <w:noProof/>
            <w:szCs w:val="24"/>
          </w:rPr>
          <w:t>https://doi.org/10.1093/eurheartj/ehp298</w:t>
        </w:r>
      </w:hyperlink>
    </w:p>
    <w:p w14:paraId="5235DB0F" w14:textId="5E1487CD"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7. </w:t>
      </w:r>
      <w:r w:rsidRPr="00BE002C">
        <w:rPr>
          <w:rFonts w:cs="Times New Roman"/>
          <w:noProof/>
          <w:szCs w:val="24"/>
        </w:rPr>
        <w:tab/>
        <w:t xml:space="preserve">Kuo FY, Hsiao HC, Chiou CW, Liu CP. Recurrent syncope due to carotid sinus hypersensitivity and sick sinus syndrome. J Chinese Med Assoc. 2008;71(10):532–5. </w:t>
      </w:r>
      <w:hyperlink r:id="rId12" w:history="1">
        <w:r w:rsidRPr="00C74571">
          <w:rPr>
            <w:rStyle w:val="Hyperlink"/>
            <w:rFonts w:cs="Times New Roman"/>
            <w:noProof/>
            <w:szCs w:val="24"/>
          </w:rPr>
          <w:t>http</w:t>
        </w:r>
        <w:r w:rsidR="005E51CA" w:rsidRPr="00C74571">
          <w:rPr>
            <w:rStyle w:val="Hyperlink"/>
            <w:rFonts w:cs="Times New Roman"/>
            <w:noProof/>
            <w:szCs w:val="24"/>
          </w:rPr>
          <w:t>s</w:t>
        </w:r>
        <w:r w:rsidRPr="00C74571">
          <w:rPr>
            <w:rStyle w:val="Hyperlink"/>
            <w:rFonts w:cs="Times New Roman"/>
            <w:noProof/>
            <w:szCs w:val="24"/>
          </w:rPr>
          <w:t>://dx.doi.org/10.1016/S1726-4901(08)70163-1</w:t>
        </w:r>
      </w:hyperlink>
    </w:p>
    <w:p w14:paraId="7721B998" w14:textId="09BA6912"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8. </w:t>
      </w:r>
      <w:r w:rsidRPr="00BE002C">
        <w:rPr>
          <w:rFonts w:cs="Times New Roman"/>
          <w:noProof/>
          <w:szCs w:val="24"/>
        </w:rPr>
        <w:tab/>
        <w:t xml:space="preserve">Stryjer D, Schlesinger Z. Carotid sinus hypersensitivity: Beneficial effects of dual-chamber pacing. Am J Cardiol. 1985;55(5):620. </w:t>
      </w:r>
      <w:hyperlink r:id="rId13" w:history="1">
        <w:r w:rsidR="005E51CA" w:rsidRPr="00B94A4F">
          <w:rPr>
            <w:rStyle w:val="Hyperlink"/>
            <w:rFonts w:cs="Times New Roman"/>
            <w:noProof/>
            <w:szCs w:val="24"/>
          </w:rPr>
          <w:t>https://doi.org/10.1016/0002-9149(85)90284-X</w:t>
        </w:r>
      </w:hyperlink>
    </w:p>
    <w:p w14:paraId="63D9F2AE" w14:textId="25FB395B"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9. </w:t>
      </w:r>
      <w:r w:rsidRPr="00BE002C">
        <w:rPr>
          <w:rFonts w:cs="Times New Roman"/>
          <w:noProof/>
          <w:szCs w:val="24"/>
        </w:rPr>
        <w:tab/>
        <w:t xml:space="preserve">Kenny RAM, Richardson DA, Steen N, Bexton RS, Shaw FE, Bond J. Carotid sinus syndrome: A modifiable risk factor for nonaccidental falls in older adults (SAFE PACE). J Am Coll Cardiol. 2001;38(5):1491–6. </w:t>
      </w:r>
      <w:hyperlink r:id="rId14" w:history="1">
        <w:r w:rsidR="00C74571" w:rsidRPr="00B94A4F">
          <w:rPr>
            <w:rStyle w:val="Hyperlink"/>
            <w:rFonts w:cs="Times New Roman"/>
            <w:noProof/>
            <w:szCs w:val="24"/>
          </w:rPr>
          <w:t>https://doi.org/10.1016/S0735-1097(01)01537-6</w:t>
        </w:r>
      </w:hyperlink>
    </w:p>
    <w:p w14:paraId="3B3FDDCB" w14:textId="4979907E" w:rsidR="00BE002C" w:rsidRPr="00BE002C"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10. </w:t>
      </w:r>
      <w:r w:rsidRPr="00BE002C">
        <w:rPr>
          <w:rFonts w:cs="Times New Roman"/>
          <w:noProof/>
          <w:szCs w:val="24"/>
        </w:rPr>
        <w:tab/>
        <w:t>Tan MP, Newton JL, Chadwick TJ, Parry SW. The relationship between carotid sinus hypersensitivity, orthostatic hypotension, and vasovagal syncope: A case-control study. Europace. 2008;10(12):1400–5.</w:t>
      </w:r>
      <w:r w:rsidR="00C74571">
        <w:rPr>
          <w:rFonts w:cs="Times New Roman"/>
          <w:noProof/>
          <w:szCs w:val="24"/>
        </w:rPr>
        <w:t xml:space="preserve"> </w:t>
      </w:r>
      <w:hyperlink r:id="rId15" w:history="1">
        <w:r w:rsidR="00C74571" w:rsidRPr="00B94A4F">
          <w:rPr>
            <w:rStyle w:val="Hyperlink"/>
            <w:rFonts w:cs="Times New Roman"/>
            <w:noProof/>
            <w:szCs w:val="24"/>
          </w:rPr>
          <w:t>https://doi.org/10.1093/europace/eun278</w:t>
        </w:r>
      </w:hyperlink>
      <w:r w:rsidRPr="00BE002C">
        <w:rPr>
          <w:rFonts w:cs="Times New Roman"/>
          <w:noProof/>
          <w:szCs w:val="24"/>
        </w:rPr>
        <w:t xml:space="preserve"> </w:t>
      </w:r>
    </w:p>
    <w:p w14:paraId="1C2C93C2" w14:textId="28E2A7C1" w:rsidR="00BE002C" w:rsidRPr="00B94A4F" w:rsidRDefault="00BE002C" w:rsidP="00BE002C">
      <w:pPr>
        <w:widowControl w:val="0"/>
        <w:autoSpaceDE w:val="0"/>
        <w:autoSpaceDN w:val="0"/>
        <w:adjustRightInd w:val="0"/>
        <w:ind w:left="640" w:hanging="640"/>
        <w:rPr>
          <w:rFonts w:cs="Times New Roman"/>
          <w:noProof/>
          <w:szCs w:val="24"/>
        </w:rPr>
      </w:pPr>
      <w:r w:rsidRPr="00BE002C">
        <w:rPr>
          <w:rFonts w:cs="Times New Roman"/>
          <w:noProof/>
          <w:szCs w:val="24"/>
        </w:rPr>
        <w:t xml:space="preserve">11. </w:t>
      </w:r>
      <w:r w:rsidRPr="00BE002C">
        <w:rPr>
          <w:rFonts w:cs="Times New Roman"/>
          <w:noProof/>
          <w:szCs w:val="24"/>
        </w:rPr>
        <w:tab/>
      </w:r>
      <w:r w:rsidR="00C74571" w:rsidRPr="00C74571">
        <w:t>Davies AB, Stephens MR, Davies AG. Carotid sinus hypersensitivity in patients presenting with syncope. Heart. 1979;42(5):583-6.</w:t>
      </w:r>
      <w:r w:rsidRPr="00C74571">
        <w:t xml:space="preserve"> </w:t>
      </w:r>
      <w:hyperlink r:id="rId16" w:history="1">
        <w:r w:rsidR="00C74571" w:rsidRPr="00923A43">
          <w:rPr>
            <w:rStyle w:val="Hyperlink"/>
          </w:rPr>
          <w:t>https://doi.org/10.1136/hrt.42.5.583</w:t>
        </w:r>
      </w:hyperlink>
    </w:p>
    <w:p w14:paraId="752D393D" w14:textId="0457A7D9" w:rsidR="00BE002C" w:rsidRPr="00BE002C" w:rsidRDefault="00BE002C" w:rsidP="00BE002C">
      <w:pPr>
        <w:widowControl w:val="0"/>
        <w:autoSpaceDE w:val="0"/>
        <w:autoSpaceDN w:val="0"/>
        <w:adjustRightInd w:val="0"/>
        <w:ind w:left="640" w:hanging="640"/>
        <w:rPr>
          <w:rFonts w:cs="Times New Roman"/>
          <w:noProof/>
        </w:rPr>
      </w:pPr>
      <w:r w:rsidRPr="00B94A4F">
        <w:rPr>
          <w:rFonts w:cs="Times New Roman"/>
          <w:noProof/>
          <w:szCs w:val="24"/>
        </w:rPr>
        <w:t xml:space="preserve">12. </w:t>
      </w:r>
      <w:r w:rsidRPr="00B94A4F">
        <w:rPr>
          <w:rFonts w:cs="Times New Roman"/>
          <w:noProof/>
          <w:szCs w:val="24"/>
        </w:rPr>
        <w:tab/>
        <w:t>Moosavi V,</w:t>
      </w:r>
      <w:r w:rsidRPr="00BE002C">
        <w:rPr>
          <w:rFonts w:cs="Times New Roman"/>
          <w:noProof/>
          <w:szCs w:val="24"/>
        </w:rPr>
        <w:t xml:space="preserve"> Paymard M. Carotid sinus hypersensitivity. </w:t>
      </w:r>
      <w:r w:rsidR="00C74571">
        <w:t>Medical Journal of Australia</w:t>
      </w:r>
      <w:r w:rsidRPr="00BE002C">
        <w:rPr>
          <w:rFonts w:cs="Times New Roman"/>
          <w:noProof/>
          <w:szCs w:val="24"/>
        </w:rPr>
        <w:t xml:space="preserve">. 2019;210(6):257. </w:t>
      </w:r>
      <w:hyperlink r:id="rId17" w:history="1">
        <w:r w:rsidR="00C74571" w:rsidRPr="00B94A4F">
          <w:rPr>
            <w:rStyle w:val="Hyperlink"/>
            <w:rFonts w:cs="Times New Roman"/>
            <w:noProof/>
            <w:szCs w:val="24"/>
          </w:rPr>
          <w:t>https://doi.org/10.5694/mja2.50056</w:t>
        </w:r>
      </w:hyperlink>
    </w:p>
    <w:p w14:paraId="0B5991B6" w14:textId="0532DD5D" w:rsidR="00BE002C" w:rsidRPr="00BE002C" w:rsidRDefault="00BE002C" w:rsidP="00BE002C">
      <w:r>
        <w:fldChar w:fldCharType="end"/>
      </w:r>
    </w:p>
    <w:p w14:paraId="7C327C84" w14:textId="77777777" w:rsidR="00AC6221" w:rsidRDefault="00AC6221" w:rsidP="0093663A"/>
    <w:p w14:paraId="6F353287" w14:textId="4937C94D" w:rsidR="001A4F4A" w:rsidRDefault="00CD15F5" w:rsidP="0093663A">
      <w:r>
        <w:lastRenderedPageBreak/>
        <w:t xml:space="preserve">Figure 1: ECG </w:t>
      </w:r>
    </w:p>
    <w:p w14:paraId="0D5960FF" w14:textId="7E3283D8" w:rsidR="00CD15F5" w:rsidRDefault="00CD15F5" w:rsidP="0093663A">
      <w:r>
        <w:t>Legend: Arrow</w:t>
      </w:r>
      <w:r w:rsidR="00A476DF">
        <w:t xml:space="preserve"> (white)</w:t>
      </w:r>
      <w:r>
        <w:t xml:space="preserve"> showing sinus pause during CSM</w:t>
      </w:r>
    </w:p>
    <w:p w14:paraId="391DF64C" w14:textId="4D7E97B4" w:rsidR="00CD15F5" w:rsidRDefault="00CD15F5" w:rsidP="0093663A"/>
    <w:p w14:paraId="0C8EA2EB" w14:textId="01CAE9C9" w:rsidR="00CD15F5" w:rsidRDefault="00CD15F5" w:rsidP="0093663A">
      <w:r>
        <w:t>Video 1: Continuous ECG monitoring</w:t>
      </w:r>
    </w:p>
    <w:p w14:paraId="607772B3" w14:textId="72F8F957" w:rsidR="00CD15F5" w:rsidRDefault="00CD15F5" w:rsidP="0093663A">
      <w:r>
        <w:t xml:space="preserve">Legend: </w:t>
      </w:r>
      <w:r w:rsidR="00A476DF">
        <w:t>Arrow (blue) showing sinus pause during CSM</w:t>
      </w:r>
    </w:p>
    <w:p w14:paraId="548272D1" w14:textId="2B7BB1A4" w:rsidR="00A476DF" w:rsidRDefault="00A476DF" w:rsidP="0093663A"/>
    <w:p w14:paraId="435AA1C4" w14:textId="1806904E" w:rsidR="00A476DF" w:rsidRDefault="00A476DF" w:rsidP="0093663A">
      <w:r>
        <w:t>Video 2: Continuous ECG monitoring</w:t>
      </w:r>
    </w:p>
    <w:p w14:paraId="4EDACDA9" w14:textId="2A9DB906" w:rsidR="00A476DF" w:rsidRPr="0093663A" w:rsidRDefault="00A476DF" w:rsidP="0093663A">
      <w:r>
        <w:t>Legend: Arrow (blue) showing reversion to normal rhythm after CSM</w:t>
      </w:r>
    </w:p>
    <w:sectPr w:rsidR="00A476DF" w:rsidRPr="00936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47"/>
    <w:rsid w:val="000124AD"/>
    <w:rsid w:val="00021299"/>
    <w:rsid w:val="00030FC9"/>
    <w:rsid w:val="00041B6C"/>
    <w:rsid w:val="000428C2"/>
    <w:rsid w:val="000A09A9"/>
    <w:rsid w:val="000E1774"/>
    <w:rsid w:val="0010481C"/>
    <w:rsid w:val="00107606"/>
    <w:rsid w:val="00114D05"/>
    <w:rsid w:val="00124AB3"/>
    <w:rsid w:val="00156029"/>
    <w:rsid w:val="001648A5"/>
    <w:rsid w:val="001A4F4A"/>
    <w:rsid w:val="001D5BC3"/>
    <w:rsid w:val="001E3353"/>
    <w:rsid w:val="00204714"/>
    <w:rsid w:val="002066B1"/>
    <w:rsid w:val="00382E88"/>
    <w:rsid w:val="003858E7"/>
    <w:rsid w:val="003B62F1"/>
    <w:rsid w:val="003D3629"/>
    <w:rsid w:val="003F699E"/>
    <w:rsid w:val="00435851"/>
    <w:rsid w:val="00475B72"/>
    <w:rsid w:val="00495AE1"/>
    <w:rsid w:val="004B39A1"/>
    <w:rsid w:val="004C3956"/>
    <w:rsid w:val="004F4574"/>
    <w:rsid w:val="0053274C"/>
    <w:rsid w:val="005A5936"/>
    <w:rsid w:val="005B51D6"/>
    <w:rsid w:val="005C3E9A"/>
    <w:rsid w:val="005E51CA"/>
    <w:rsid w:val="006A538C"/>
    <w:rsid w:val="006A7F96"/>
    <w:rsid w:val="006D3C47"/>
    <w:rsid w:val="006D71D7"/>
    <w:rsid w:val="00710DB6"/>
    <w:rsid w:val="007208A0"/>
    <w:rsid w:val="00760042"/>
    <w:rsid w:val="00792B35"/>
    <w:rsid w:val="007E76F5"/>
    <w:rsid w:val="00812242"/>
    <w:rsid w:val="0081708E"/>
    <w:rsid w:val="00830569"/>
    <w:rsid w:val="0087113B"/>
    <w:rsid w:val="00877EA8"/>
    <w:rsid w:val="008A46B0"/>
    <w:rsid w:val="008D0B3F"/>
    <w:rsid w:val="008E290E"/>
    <w:rsid w:val="00923A43"/>
    <w:rsid w:val="0093663A"/>
    <w:rsid w:val="00971EB6"/>
    <w:rsid w:val="009A5F70"/>
    <w:rsid w:val="009D25D4"/>
    <w:rsid w:val="009E2642"/>
    <w:rsid w:val="00A22386"/>
    <w:rsid w:val="00A35B64"/>
    <w:rsid w:val="00A476DF"/>
    <w:rsid w:val="00AC6221"/>
    <w:rsid w:val="00B94A4F"/>
    <w:rsid w:val="00BD3AD2"/>
    <w:rsid w:val="00BE002C"/>
    <w:rsid w:val="00BF3875"/>
    <w:rsid w:val="00BF6676"/>
    <w:rsid w:val="00C02A8B"/>
    <w:rsid w:val="00C4741B"/>
    <w:rsid w:val="00C478D0"/>
    <w:rsid w:val="00C74571"/>
    <w:rsid w:val="00C8262F"/>
    <w:rsid w:val="00CD15F5"/>
    <w:rsid w:val="00CF4193"/>
    <w:rsid w:val="00CF7674"/>
    <w:rsid w:val="00D27D8C"/>
    <w:rsid w:val="00D3316E"/>
    <w:rsid w:val="00D530B3"/>
    <w:rsid w:val="00D93902"/>
    <w:rsid w:val="00DE2535"/>
    <w:rsid w:val="00DF4D25"/>
    <w:rsid w:val="00E17164"/>
    <w:rsid w:val="00E2348C"/>
    <w:rsid w:val="00E3353B"/>
    <w:rsid w:val="00E55A59"/>
    <w:rsid w:val="00E85FCF"/>
    <w:rsid w:val="00E97744"/>
    <w:rsid w:val="00EA11EB"/>
    <w:rsid w:val="00F212D4"/>
    <w:rsid w:val="00FE2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23FBB"/>
  <w15:chartTrackingRefBased/>
  <w15:docId w15:val="{33D4F231-E623-483D-A00B-B852B00D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08E"/>
    <w:pPr>
      <w:spacing w:after="12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1708E"/>
    <w:pPr>
      <w:keepNext/>
      <w:keepLines/>
      <w:spacing w:before="20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08E"/>
    <w:rPr>
      <w:rFonts w:ascii="Times New Roman" w:eastAsiaTheme="majorEastAsia" w:hAnsi="Times New Roman" w:cstheme="majorBidi"/>
      <w:b/>
      <w:sz w:val="24"/>
      <w:szCs w:val="32"/>
    </w:rPr>
  </w:style>
  <w:style w:type="paragraph" w:styleId="NoSpacing">
    <w:name w:val="No Spacing"/>
    <w:uiPriority w:val="1"/>
    <w:qFormat/>
    <w:rsid w:val="0081708E"/>
    <w:pPr>
      <w:spacing w:after="0" w:line="240" w:lineRule="auto"/>
      <w:jc w:val="both"/>
    </w:pPr>
    <w:rPr>
      <w:rFonts w:ascii="Times New Roman" w:hAnsi="Times New Roman"/>
      <w:sz w:val="24"/>
    </w:rPr>
  </w:style>
  <w:style w:type="paragraph" w:styleId="ListParagraph">
    <w:name w:val="List Paragraph"/>
    <w:basedOn w:val="Normal"/>
    <w:uiPriority w:val="34"/>
    <w:qFormat/>
    <w:rsid w:val="0081708E"/>
    <w:pPr>
      <w:ind w:left="720"/>
      <w:contextualSpacing/>
    </w:pPr>
  </w:style>
  <w:style w:type="table" w:customStyle="1" w:styleId="TableGrid1">
    <w:name w:val="Table Grid1"/>
    <w:basedOn w:val="TableNormal"/>
    <w:next w:val="TableGrid"/>
    <w:uiPriority w:val="39"/>
    <w:rsid w:val="0097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7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12242"/>
    <w:pPr>
      <w:spacing w:after="200"/>
    </w:pPr>
    <w:rPr>
      <w:i/>
      <w:iCs/>
      <w:color w:val="44546A" w:themeColor="text2"/>
      <w:sz w:val="18"/>
      <w:szCs w:val="18"/>
    </w:rPr>
  </w:style>
  <w:style w:type="character" w:styleId="Hyperlink">
    <w:name w:val="Hyperlink"/>
    <w:basedOn w:val="DefaultParagraphFont"/>
    <w:uiPriority w:val="99"/>
    <w:unhideWhenUsed/>
    <w:rsid w:val="00BE002C"/>
    <w:rPr>
      <w:color w:val="0563C1" w:themeColor="hyperlink"/>
      <w:u w:val="single"/>
    </w:rPr>
  </w:style>
  <w:style w:type="character" w:customStyle="1" w:styleId="UnresolvedMention1">
    <w:name w:val="Unresolved Mention1"/>
    <w:basedOn w:val="DefaultParagraphFont"/>
    <w:uiPriority w:val="99"/>
    <w:semiHidden/>
    <w:unhideWhenUsed/>
    <w:rsid w:val="00BE002C"/>
    <w:rPr>
      <w:color w:val="605E5C"/>
      <w:shd w:val="clear" w:color="auto" w:fill="E1DFDD"/>
    </w:rPr>
  </w:style>
  <w:style w:type="paragraph" w:styleId="Title">
    <w:name w:val="Title"/>
    <w:basedOn w:val="Normal"/>
    <w:next w:val="Normal"/>
    <w:link w:val="TitleChar"/>
    <w:uiPriority w:val="10"/>
    <w:qFormat/>
    <w:rsid w:val="00C02A8B"/>
    <w:pPr>
      <w:spacing w:after="0"/>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C02A8B"/>
    <w:rPr>
      <w:rFonts w:ascii="Times New Roman" w:eastAsiaTheme="majorEastAsia" w:hAnsi="Times New Roman" w:cstheme="majorBidi"/>
      <w:b/>
      <w:spacing w:val="-10"/>
      <w:kern w:val="28"/>
      <w:sz w:val="24"/>
      <w:szCs w:val="56"/>
    </w:rPr>
  </w:style>
  <w:style w:type="character" w:styleId="CommentReference">
    <w:name w:val="annotation reference"/>
    <w:basedOn w:val="DefaultParagraphFont"/>
    <w:uiPriority w:val="99"/>
    <w:semiHidden/>
    <w:unhideWhenUsed/>
    <w:rsid w:val="003858E7"/>
    <w:rPr>
      <w:sz w:val="16"/>
      <w:szCs w:val="16"/>
    </w:rPr>
  </w:style>
  <w:style w:type="paragraph" w:styleId="CommentText">
    <w:name w:val="annotation text"/>
    <w:basedOn w:val="Normal"/>
    <w:link w:val="CommentTextChar"/>
    <w:uiPriority w:val="99"/>
    <w:semiHidden/>
    <w:unhideWhenUsed/>
    <w:rsid w:val="003858E7"/>
    <w:rPr>
      <w:sz w:val="20"/>
      <w:szCs w:val="20"/>
    </w:rPr>
  </w:style>
  <w:style w:type="character" w:customStyle="1" w:styleId="CommentTextChar">
    <w:name w:val="Comment Text Char"/>
    <w:basedOn w:val="DefaultParagraphFont"/>
    <w:link w:val="CommentText"/>
    <w:uiPriority w:val="99"/>
    <w:semiHidden/>
    <w:rsid w:val="003858E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858E7"/>
    <w:rPr>
      <w:b/>
      <w:bCs/>
    </w:rPr>
  </w:style>
  <w:style w:type="character" w:customStyle="1" w:styleId="CommentSubjectChar">
    <w:name w:val="Comment Subject Char"/>
    <w:basedOn w:val="CommentTextChar"/>
    <w:link w:val="CommentSubject"/>
    <w:uiPriority w:val="99"/>
    <w:semiHidden/>
    <w:rsid w:val="003858E7"/>
    <w:rPr>
      <w:rFonts w:ascii="Times New Roman" w:hAnsi="Times New Roman"/>
      <w:b/>
      <w:bCs/>
      <w:sz w:val="20"/>
      <w:szCs w:val="20"/>
    </w:rPr>
  </w:style>
  <w:style w:type="paragraph" w:styleId="BalloonText">
    <w:name w:val="Balloon Text"/>
    <w:basedOn w:val="Normal"/>
    <w:link w:val="BalloonTextChar"/>
    <w:uiPriority w:val="99"/>
    <w:semiHidden/>
    <w:unhideWhenUsed/>
    <w:rsid w:val="003858E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8E7"/>
    <w:rPr>
      <w:rFonts w:ascii="Segoe UI" w:hAnsi="Segoe UI" w:cs="Segoe UI"/>
      <w:sz w:val="18"/>
      <w:szCs w:val="18"/>
    </w:rPr>
  </w:style>
  <w:style w:type="paragraph" w:styleId="NormalWeb">
    <w:name w:val="Normal (Web)"/>
    <w:basedOn w:val="Normal"/>
    <w:uiPriority w:val="99"/>
    <w:unhideWhenUsed/>
    <w:rsid w:val="00E3353B"/>
    <w:pPr>
      <w:spacing w:before="100" w:beforeAutospacing="1" w:after="100" w:afterAutospacing="1"/>
      <w:jc w:val="left"/>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059272">
      <w:bodyDiv w:val="1"/>
      <w:marLeft w:val="0"/>
      <w:marRight w:val="0"/>
      <w:marTop w:val="0"/>
      <w:marBottom w:val="0"/>
      <w:divBdr>
        <w:top w:val="none" w:sz="0" w:space="0" w:color="auto"/>
        <w:left w:val="none" w:sz="0" w:space="0" w:color="auto"/>
        <w:bottom w:val="none" w:sz="0" w:space="0" w:color="auto"/>
        <w:right w:val="none" w:sz="0" w:space="0" w:color="auto"/>
      </w:divBdr>
      <w:divsChild>
        <w:div w:id="776602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0002-9149(78)90934-7" TargetMode="External"/><Relationship Id="rId13" Type="http://schemas.openxmlformats.org/officeDocument/2006/relationships/hyperlink" Target="https://doi.org/10.1016/0002-9149(85)90284-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0002-8703(88)90149-4" TargetMode="External"/><Relationship Id="rId12" Type="http://schemas.openxmlformats.org/officeDocument/2006/relationships/hyperlink" Target="https://dx.doi.org/10.1016/S1726-4901(08)70163-1" TargetMode="External"/><Relationship Id="rId17" Type="http://schemas.openxmlformats.org/officeDocument/2006/relationships/hyperlink" Target="https://doi.org/10.5694/mja2.50056" TargetMode="External"/><Relationship Id="rId2" Type="http://schemas.openxmlformats.org/officeDocument/2006/relationships/styles" Target="styles.xml"/><Relationship Id="rId16" Type="http://schemas.openxmlformats.org/officeDocument/2006/relationships/hyperlink" Target="https://doi.org/10.1136/hrt.42.5.583" TargetMode="External"/><Relationship Id="rId1" Type="http://schemas.openxmlformats.org/officeDocument/2006/relationships/customXml" Target="../customXml/item1.xml"/><Relationship Id="rId6" Type="http://schemas.openxmlformats.org/officeDocument/2006/relationships/hyperlink" Target="https://doi.org/10.1016/0002-9343(84)90122-0" TargetMode="External"/><Relationship Id="rId11" Type="http://schemas.openxmlformats.org/officeDocument/2006/relationships/hyperlink" Target="https://doi.org/10.1093/eurheartj/ehp298" TargetMode="External"/><Relationship Id="rId5" Type="http://schemas.openxmlformats.org/officeDocument/2006/relationships/hyperlink" Target="https://www.sciencedirect.com/topics/medicine-and-dentistry/informed-consent" TargetMode="External"/><Relationship Id="rId15" Type="http://schemas.openxmlformats.org/officeDocument/2006/relationships/hyperlink" Target="https://doi.org/10.1093/europace/eun278%20" TargetMode="External"/><Relationship Id="rId10" Type="http://schemas.openxmlformats.org/officeDocument/2006/relationships/hyperlink" Target="https://doi.org/10.1111/j.1540-8159.1990.tb06943.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01/archinte.166.5.515%20" TargetMode="External"/><Relationship Id="rId14" Type="http://schemas.openxmlformats.org/officeDocument/2006/relationships/hyperlink" Target="https://doi.org/10.1016/S0735-1097(01)0153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C9E7-FAB8-4632-AADF-715A5DED1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7</Pages>
  <Words>11371</Words>
  <Characters>64816</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Bishal Dhakal</dc:creator>
  <cp:keywords/>
  <dc:description/>
  <cp:lastModifiedBy>Bishal Dhakal</cp:lastModifiedBy>
  <cp:revision>27</cp:revision>
  <dcterms:created xsi:type="dcterms:W3CDTF">2022-03-13T08:56:00Z</dcterms:created>
  <dcterms:modified xsi:type="dcterms:W3CDTF">2022-03-31T16:00:00Z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284953b7-3f1e-306a-ad06-4ceaf32f0a39</vt:lpwstr>
  </property>
  <property fmtid="{D5CDD505-2E9C-101B-9397-08002B2CF9AE}" pid="24" name="Mendeley Citation Style_1">
    <vt:lpwstr>http://www.zotero.org/styles/vancouver</vt:lpwstr>
  </property>
</Properties>
</file>