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5E3EAE" w14:textId="4A3F574F" w:rsidR="0096693E" w:rsidRDefault="00D633BB" w:rsidP="00D633BB">
      <w:pPr>
        <w:rPr>
          <w:noProof/>
        </w:rPr>
      </w:pPr>
      <w:r w:rsidRPr="00D633BB">
        <w:drawing>
          <wp:inline distT="0" distB="0" distL="0" distR="0" wp14:anchorId="1C7598DB" wp14:editId="3258C41A">
            <wp:extent cx="5760720" cy="3201194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1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1F03050" w14:textId="1A5E2101" w:rsidR="00D06D79" w:rsidRDefault="00D06D79" w:rsidP="006541EC">
      <w:pPr>
        <w:rPr>
          <w:rFonts w:asciiTheme="majorBidi" w:hAnsiTheme="majorBidi" w:cstheme="majorBidi"/>
          <w:lang w:val="en-US"/>
        </w:rPr>
      </w:pPr>
      <w:bookmarkStart w:id="1" w:name="_Hlk100102438"/>
      <w:r w:rsidRPr="00E249BE">
        <w:rPr>
          <w:rFonts w:asciiTheme="majorBidi" w:hAnsiTheme="majorBidi" w:cstheme="majorBidi"/>
          <w:b/>
          <w:bCs/>
          <w:lang w:val="en-US"/>
        </w:rPr>
        <w:t>Figure 1 :</w:t>
      </w:r>
      <w:r w:rsidR="00E249BE" w:rsidRPr="00E249BE">
        <w:rPr>
          <w:lang w:val="en-US"/>
        </w:rPr>
        <w:t xml:space="preserve"> </w:t>
      </w:r>
      <w:bookmarkStart w:id="2" w:name="_Hlk100102958"/>
      <w:r w:rsidR="00A05E8B">
        <w:rPr>
          <w:rFonts w:asciiTheme="majorBidi" w:hAnsiTheme="majorBidi" w:cstheme="majorBidi"/>
          <w:lang w:val="en-US"/>
        </w:rPr>
        <w:t>P</w:t>
      </w:r>
      <w:r w:rsidR="00E249BE" w:rsidRPr="00B51AA0">
        <w:rPr>
          <w:rFonts w:asciiTheme="majorBidi" w:hAnsiTheme="majorBidi" w:cstheme="majorBidi"/>
          <w:lang w:val="en-US"/>
        </w:rPr>
        <w:t>latelet count (×10</w:t>
      </w:r>
      <w:r w:rsidR="00E249BE" w:rsidRPr="00B51AA0">
        <w:rPr>
          <w:rFonts w:asciiTheme="majorBidi" w:hAnsiTheme="majorBidi" w:cstheme="majorBidi"/>
          <w:vertAlign w:val="superscript"/>
          <w:lang w:val="en-US"/>
        </w:rPr>
        <w:t>9</w:t>
      </w:r>
      <w:r w:rsidR="00E249BE" w:rsidRPr="00B51AA0">
        <w:rPr>
          <w:rFonts w:asciiTheme="majorBidi" w:hAnsiTheme="majorBidi" w:cstheme="majorBidi"/>
          <w:lang w:val="en-US"/>
        </w:rPr>
        <w:t>/L) and Hemoglobin level (g/dL)</w:t>
      </w:r>
      <w:r w:rsidR="00A05E8B">
        <w:rPr>
          <w:rFonts w:asciiTheme="majorBidi" w:hAnsiTheme="majorBidi" w:cstheme="majorBidi"/>
          <w:lang w:val="en-US"/>
        </w:rPr>
        <w:t xml:space="preserve"> </w:t>
      </w:r>
      <w:bookmarkEnd w:id="2"/>
      <w:r w:rsidR="00A05E8B">
        <w:rPr>
          <w:rFonts w:asciiTheme="majorBidi" w:hAnsiTheme="majorBidi" w:cstheme="majorBidi"/>
          <w:lang w:val="en-US"/>
        </w:rPr>
        <w:t>trend</w:t>
      </w:r>
      <w:r w:rsidR="00D633BB">
        <w:rPr>
          <w:rFonts w:asciiTheme="majorBidi" w:hAnsiTheme="majorBidi" w:cstheme="majorBidi"/>
          <w:lang w:val="en-US"/>
        </w:rPr>
        <w:t>s</w:t>
      </w:r>
      <w:r w:rsidR="00A05E8B">
        <w:rPr>
          <w:rFonts w:asciiTheme="majorBidi" w:hAnsiTheme="majorBidi" w:cstheme="majorBidi"/>
          <w:lang w:val="en-US"/>
        </w:rPr>
        <w:t xml:space="preserve"> </w:t>
      </w:r>
      <w:r w:rsidR="006541EC">
        <w:rPr>
          <w:rFonts w:asciiTheme="majorBidi" w:hAnsiTheme="majorBidi" w:cstheme="majorBidi"/>
          <w:lang w:val="en-US"/>
        </w:rPr>
        <w:t>throughout the course</w:t>
      </w:r>
      <w:r w:rsidR="006541EC">
        <w:rPr>
          <w:rFonts w:asciiTheme="majorBidi" w:hAnsiTheme="majorBidi" w:cstheme="majorBidi"/>
          <w:lang w:val="en-US"/>
        </w:rPr>
        <w:t xml:space="preserve"> of</w:t>
      </w:r>
      <w:r w:rsidR="006541EC">
        <w:rPr>
          <w:rFonts w:asciiTheme="majorBidi" w:hAnsiTheme="majorBidi" w:cstheme="majorBidi"/>
          <w:lang w:val="en-US"/>
        </w:rPr>
        <w:t xml:space="preserve"> </w:t>
      </w:r>
      <w:r w:rsidR="00441217">
        <w:rPr>
          <w:rFonts w:asciiTheme="majorBidi" w:hAnsiTheme="majorBidi" w:cstheme="majorBidi"/>
          <w:lang w:val="en-US"/>
        </w:rPr>
        <w:t>corticosteroids, plasma</w:t>
      </w:r>
      <w:r w:rsidR="006541EC">
        <w:rPr>
          <w:rFonts w:asciiTheme="majorBidi" w:hAnsiTheme="majorBidi" w:cstheme="majorBidi"/>
          <w:lang w:val="en-US"/>
        </w:rPr>
        <w:t xml:space="preserve"> exchange</w:t>
      </w:r>
      <w:r w:rsidR="00441217">
        <w:rPr>
          <w:rFonts w:asciiTheme="majorBidi" w:hAnsiTheme="majorBidi" w:cstheme="majorBidi"/>
          <w:lang w:val="en-US"/>
        </w:rPr>
        <w:t xml:space="preserve"> and rituximab</w:t>
      </w:r>
      <w:r w:rsidR="00E249BE" w:rsidRPr="00B51AA0">
        <w:rPr>
          <w:rFonts w:asciiTheme="majorBidi" w:hAnsiTheme="majorBidi" w:cstheme="majorBidi"/>
          <w:lang w:val="en-US"/>
        </w:rPr>
        <w:t xml:space="preserve"> </w:t>
      </w:r>
      <w:r w:rsidR="00A05E8B">
        <w:rPr>
          <w:rFonts w:asciiTheme="majorBidi" w:hAnsiTheme="majorBidi" w:cstheme="majorBidi"/>
          <w:lang w:val="en-US"/>
        </w:rPr>
        <w:t xml:space="preserve">during the ICU stay </w:t>
      </w:r>
      <w:r w:rsidR="00E249BE" w:rsidRPr="00B51AA0">
        <w:rPr>
          <w:rFonts w:asciiTheme="majorBidi" w:hAnsiTheme="majorBidi" w:cstheme="majorBidi"/>
          <w:lang w:val="en-US"/>
        </w:rPr>
        <w:t>and the follow up period</w:t>
      </w:r>
      <w:r w:rsidR="00B51AA0" w:rsidRPr="00B51AA0">
        <w:rPr>
          <w:rFonts w:asciiTheme="majorBidi" w:hAnsiTheme="majorBidi" w:cstheme="majorBidi"/>
          <w:lang w:val="en-US"/>
        </w:rPr>
        <w:t xml:space="preserve"> of case 1</w:t>
      </w:r>
      <w:r w:rsidR="00E249BE" w:rsidRPr="00B51AA0">
        <w:rPr>
          <w:rFonts w:asciiTheme="majorBidi" w:hAnsiTheme="majorBidi" w:cstheme="majorBidi"/>
          <w:lang w:val="en-US"/>
        </w:rPr>
        <w:t>.</w:t>
      </w:r>
    </w:p>
    <w:p w14:paraId="2824E826" w14:textId="225A8B77" w:rsidR="008C0C25" w:rsidRDefault="008C0C25" w:rsidP="006541EC">
      <w:pPr>
        <w:rPr>
          <w:rFonts w:asciiTheme="majorBidi" w:hAnsiTheme="majorBidi" w:cstheme="majorBidi"/>
          <w:lang w:val="en-US"/>
        </w:rPr>
      </w:pPr>
    </w:p>
    <w:p w14:paraId="06A51D70" w14:textId="77777777" w:rsidR="008C0C25" w:rsidRDefault="008C0C25" w:rsidP="006541EC">
      <w:pPr>
        <w:rPr>
          <w:rFonts w:asciiTheme="majorBidi" w:hAnsiTheme="majorBidi" w:cstheme="majorBidi"/>
          <w:lang w:val="en-US"/>
        </w:rPr>
      </w:pPr>
    </w:p>
    <w:bookmarkEnd w:id="1"/>
    <w:p w14:paraId="5B937520" w14:textId="27DE40D4" w:rsidR="00B51AA0" w:rsidRDefault="006541EC" w:rsidP="006541EC">
      <w:pPr>
        <w:rPr>
          <w:rFonts w:asciiTheme="majorBidi" w:hAnsiTheme="majorBidi" w:cstheme="majorBidi"/>
          <w:b/>
          <w:bCs/>
          <w:lang w:val="en-US"/>
        </w:rPr>
      </w:pPr>
      <w:r w:rsidRPr="006541EC">
        <w:drawing>
          <wp:inline distT="0" distB="0" distL="0" distR="0" wp14:anchorId="41F5120E" wp14:editId="1F62942C">
            <wp:extent cx="5760720" cy="3173800"/>
            <wp:effectExtent l="0" t="0" r="0" b="0"/>
            <wp:docPr id="42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7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FC1B1" w14:textId="0CF47CA3" w:rsidR="00B51AA0" w:rsidRPr="00E249BE" w:rsidRDefault="00B51AA0" w:rsidP="008C0C25">
      <w:pPr>
        <w:rPr>
          <w:rFonts w:asciiTheme="majorBidi" w:hAnsiTheme="majorBidi" w:cstheme="majorBidi"/>
          <w:b/>
          <w:bCs/>
          <w:lang w:val="en-US"/>
        </w:rPr>
      </w:pPr>
      <w:r w:rsidRPr="00E249BE">
        <w:rPr>
          <w:rFonts w:asciiTheme="majorBidi" w:hAnsiTheme="majorBidi" w:cstheme="majorBidi"/>
          <w:b/>
          <w:bCs/>
          <w:lang w:val="en-US"/>
        </w:rPr>
        <w:t xml:space="preserve">Figure </w:t>
      </w:r>
      <w:r>
        <w:rPr>
          <w:rFonts w:asciiTheme="majorBidi" w:hAnsiTheme="majorBidi" w:cstheme="majorBidi"/>
          <w:b/>
          <w:bCs/>
          <w:lang w:val="en-US"/>
        </w:rPr>
        <w:t>2</w:t>
      </w:r>
      <w:r w:rsidRPr="00E249BE">
        <w:rPr>
          <w:rFonts w:asciiTheme="majorBidi" w:hAnsiTheme="majorBidi" w:cstheme="majorBidi"/>
          <w:b/>
          <w:bCs/>
          <w:lang w:val="en-US"/>
        </w:rPr>
        <w:t> :</w:t>
      </w:r>
      <w:r w:rsidRPr="00E249BE">
        <w:rPr>
          <w:lang w:val="en-US"/>
        </w:rPr>
        <w:t xml:space="preserve"> </w:t>
      </w:r>
      <w:r w:rsidR="006541EC">
        <w:rPr>
          <w:rFonts w:asciiTheme="majorBidi" w:hAnsiTheme="majorBidi" w:cstheme="majorBidi"/>
          <w:lang w:val="en-US"/>
        </w:rPr>
        <w:t>P</w:t>
      </w:r>
      <w:r w:rsidR="006541EC" w:rsidRPr="00B51AA0">
        <w:rPr>
          <w:rFonts w:asciiTheme="majorBidi" w:hAnsiTheme="majorBidi" w:cstheme="majorBidi"/>
          <w:lang w:val="en-US"/>
        </w:rPr>
        <w:t>latelet count (×10</w:t>
      </w:r>
      <w:r w:rsidR="006541EC" w:rsidRPr="00B51AA0">
        <w:rPr>
          <w:rFonts w:asciiTheme="majorBidi" w:hAnsiTheme="majorBidi" w:cstheme="majorBidi"/>
          <w:vertAlign w:val="superscript"/>
          <w:lang w:val="en-US"/>
        </w:rPr>
        <w:t>9</w:t>
      </w:r>
      <w:r w:rsidR="006541EC" w:rsidRPr="00B51AA0">
        <w:rPr>
          <w:rFonts w:asciiTheme="majorBidi" w:hAnsiTheme="majorBidi" w:cstheme="majorBidi"/>
          <w:lang w:val="en-US"/>
        </w:rPr>
        <w:t>/L) and Hemoglobin level (g/dL)</w:t>
      </w:r>
      <w:r w:rsidR="006541EC">
        <w:rPr>
          <w:rFonts w:asciiTheme="majorBidi" w:hAnsiTheme="majorBidi" w:cstheme="majorBidi"/>
          <w:lang w:val="en-US"/>
        </w:rPr>
        <w:t xml:space="preserve"> trends throughout the course of corticosteroids, plasma exchange and rituximab</w:t>
      </w:r>
      <w:r w:rsidR="006541EC" w:rsidRPr="00B51AA0">
        <w:rPr>
          <w:rFonts w:asciiTheme="majorBidi" w:hAnsiTheme="majorBidi" w:cstheme="majorBidi"/>
          <w:lang w:val="en-US"/>
        </w:rPr>
        <w:t xml:space="preserve"> </w:t>
      </w:r>
      <w:r w:rsidR="006541EC">
        <w:rPr>
          <w:rFonts w:asciiTheme="majorBidi" w:hAnsiTheme="majorBidi" w:cstheme="majorBidi"/>
          <w:lang w:val="en-US"/>
        </w:rPr>
        <w:t xml:space="preserve">during the ICU stay </w:t>
      </w:r>
      <w:r w:rsidR="006541EC" w:rsidRPr="00B51AA0">
        <w:rPr>
          <w:rFonts w:asciiTheme="majorBidi" w:hAnsiTheme="majorBidi" w:cstheme="majorBidi"/>
          <w:lang w:val="en-US"/>
        </w:rPr>
        <w:t xml:space="preserve">and the follow up period of case </w:t>
      </w:r>
      <w:r w:rsidR="006541EC">
        <w:rPr>
          <w:rFonts w:asciiTheme="majorBidi" w:hAnsiTheme="majorBidi" w:cstheme="majorBidi"/>
          <w:lang w:val="en-US"/>
        </w:rPr>
        <w:t>2</w:t>
      </w:r>
      <w:r w:rsidR="006541EC" w:rsidRPr="00B51AA0">
        <w:rPr>
          <w:rFonts w:asciiTheme="majorBidi" w:hAnsiTheme="majorBidi" w:cstheme="majorBidi"/>
          <w:lang w:val="en-US"/>
        </w:rPr>
        <w:t>.</w:t>
      </w:r>
    </w:p>
    <w:sectPr w:rsidR="00B51AA0" w:rsidRPr="00E249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93E"/>
    <w:rsid w:val="00441217"/>
    <w:rsid w:val="006541EC"/>
    <w:rsid w:val="008C0C25"/>
    <w:rsid w:val="0096693E"/>
    <w:rsid w:val="00A05E8B"/>
    <w:rsid w:val="00B51AA0"/>
    <w:rsid w:val="00C62973"/>
    <w:rsid w:val="00D06D79"/>
    <w:rsid w:val="00D633BB"/>
    <w:rsid w:val="00E249BE"/>
    <w:rsid w:val="00EA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851EF"/>
  <w15:chartTrackingRefBased/>
  <w15:docId w15:val="{5DDD66C2-A4BE-48F1-A70A-BED87A4C1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61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m.vni</dc:creator>
  <cp:keywords/>
  <dc:description/>
  <cp:lastModifiedBy>Utilisateur Windows</cp:lastModifiedBy>
  <cp:revision>11</cp:revision>
  <dcterms:created xsi:type="dcterms:W3CDTF">2022-04-06T00:46:00Z</dcterms:created>
  <dcterms:modified xsi:type="dcterms:W3CDTF">2022-04-07T20:42:00Z</dcterms:modified>
</cp:coreProperties>
</file>