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53DD5" w14:textId="536ABA98" w:rsidR="00471346" w:rsidRPr="008846E4" w:rsidRDefault="00807CBB" w:rsidP="00471346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vertAlign w:val="superscript"/>
        </w:rPr>
      </w:pPr>
      <w:r w:rsidRPr="008846E4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5DA7D7" wp14:editId="40852E7D">
                <wp:simplePos x="0" y="0"/>
                <wp:positionH relativeFrom="page">
                  <wp:align>center</wp:align>
                </wp:positionH>
                <wp:positionV relativeFrom="paragraph">
                  <wp:posOffset>-104775</wp:posOffset>
                </wp:positionV>
                <wp:extent cx="6553200" cy="3225164"/>
                <wp:effectExtent l="19050" t="19050" r="19050" b="13970"/>
                <wp:wrapNone/>
                <wp:docPr id="37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3225164"/>
                        </a:xfrm>
                        <a:prstGeom prst="rect">
                          <a:avLst/>
                        </a:prstGeom>
                        <a:noFill/>
                        <a:ln w="34925" cmpd="thickThin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35571" w14:textId="77777777" w:rsidR="00AB3164" w:rsidRDefault="00AB3164" w:rsidP="00807CBB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DA7D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-8.25pt;width:516pt;height:253.9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" filled="f" strokecolor="#2e74b5 [2404]" strokeweight="2.75pt">
                <v:stroke linestyle="thickThin"/>
                <v:textbox>
                  <w:txbxContent>
                    <w:p w14:paraId="10A35571" w14:textId="77777777" w:rsidR="00AB3164" w:rsidRDefault="00AB3164" w:rsidP="00807CBB">
                      <w:pPr>
                        <w:spacing w:after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1346" w:rsidRPr="008846E4">
        <w:rPr>
          <w:rFonts w:ascii="Times New Roman" w:hAnsi="Times New Roman" w:cs="Times New Roman"/>
          <w:b/>
          <w:sz w:val="56"/>
          <w:szCs w:val="56"/>
        </w:rPr>
        <w:t>P(D</w:t>
      </w:r>
      <w:r w:rsidR="000E2ADF">
        <w:rPr>
          <w:rFonts w:ascii="Times New Roman" w:hAnsi="Times New Roman" w:cs="Times New Roman"/>
          <w:b/>
          <w:sz w:val="56"/>
          <w:szCs w:val="56"/>
        </w:rPr>
        <w:t>P</w:t>
      </w:r>
      <w:r w:rsidR="00471346" w:rsidRPr="008846E4">
        <w:rPr>
          <w:rFonts w:ascii="Times New Roman" w:hAnsi="Times New Roman" w:cs="Times New Roman"/>
          <w:b/>
          <w:sz w:val="56"/>
          <w:szCs w:val="56"/>
        </w:rPr>
        <w:t>T</w:t>
      </w:r>
      <w:r w:rsidR="00AB3164" w:rsidRPr="008846E4">
        <w:rPr>
          <w:rFonts w:ascii="Times New Roman" w:hAnsi="Times New Roman" w:cs="Times New Roman"/>
          <w:b/>
          <w:sz w:val="56"/>
          <w:szCs w:val="56"/>
        </w:rPr>
        <w:t xml:space="preserve">+) </w:t>
      </w:r>
      <w:r w:rsidR="00AB3164" w:rsidRPr="008846E4"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  <w:t xml:space="preserve">= </w:t>
      </w:r>
      <w:r w:rsidR="00AB3164" w:rsidRPr="008846E4">
        <w:rPr>
          <w:rFonts w:ascii="Times New Roman" w:eastAsia="Times New Roman" w:hAnsi="Times New Roman" w:cs="Times New Roman"/>
          <w:color w:val="000000"/>
          <w:sz w:val="56"/>
          <w:szCs w:val="56"/>
        </w:rPr>
        <w:t>e</w:t>
      </w:r>
      <w:r w:rsidR="00AB3164" w:rsidRPr="008846E4">
        <w:rPr>
          <w:rFonts w:ascii="Times New Roman" w:eastAsia="Times New Roman" w:hAnsi="Times New Roman" w:cs="Times New Roman"/>
          <w:b/>
          <w:color w:val="000000"/>
          <w:sz w:val="56"/>
          <w:szCs w:val="56"/>
          <w:vertAlign w:val="superscript"/>
        </w:rPr>
        <w:t>(Y´)</w:t>
      </w:r>
      <w:r w:rsidR="00AB3164" w:rsidRPr="008846E4"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  <w:t>/1 +</w:t>
      </w:r>
      <w:r w:rsidR="00AB3164" w:rsidRPr="008846E4">
        <w:rPr>
          <w:rFonts w:ascii="Times New Roman" w:eastAsia="Times New Roman" w:hAnsi="Times New Roman" w:cs="Times New Roman"/>
          <w:color w:val="000000"/>
          <w:sz w:val="56"/>
          <w:szCs w:val="56"/>
        </w:rPr>
        <w:t xml:space="preserve"> e</w:t>
      </w:r>
      <w:r w:rsidR="00AB3164" w:rsidRPr="008846E4">
        <w:rPr>
          <w:rFonts w:ascii="Times New Roman" w:eastAsia="Times New Roman" w:hAnsi="Times New Roman" w:cs="Times New Roman"/>
          <w:b/>
          <w:color w:val="000000"/>
          <w:sz w:val="56"/>
          <w:szCs w:val="56"/>
          <w:vertAlign w:val="superscript"/>
        </w:rPr>
        <w:t>(Y´)</w:t>
      </w:r>
    </w:p>
    <w:p w14:paraId="3EA1D678" w14:textId="315CE284" w:rsidR="00471346" w:rsidRPr="008846E4" w:rsidRDefault="00471346" w:rsidP="004713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</w:rPr>
      </w:pPr>
      <w:r w:rsidRPr="008846E4">
        <w:rPr>
          <w:rFonts w:ascii="Times New Roman" w:eastAsia="Times New Roman" w:hAnsi="Times New Roman" w:cs="Times New Roman"/>
          <w:b/>
          <w:color w:val="000000"/>
          <w:sz w:val="56"/>
          <w:szCs w:val="32"/>
          <w:vertAlign w:val="superscript"/>
        </w:rPr>
        <w:tab/>
      </w:r>
    </w:p>
    <w:p w14:paraId="61AD8083" w14:textId="0776F71F" w:rsidR="00471346" w:rsidRPr="008846E4" w:rsidRDefault="00471346" w:rsidP="008846E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846E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846E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846E4">
        <w:rPr>
          <w:rFonts w:ascii="Times New Roman" w:eastAsia="Times New Roman" w:hAnsi="Times New Roman" w:cs="Times New Roman"/>
          <w:color w:val="000000"/>
          <w:sz w:val="32"/>
          <w:szCs w:val="32"/>
        </w:rPr>
        <w:t>Being:</w:t>
      </w:r>
    </w:p>
    <w:p w14:paraId="58280BB0" w14:textId="7FA2B4B5" w:rsidR="00471346" w:rsidRPr="008846E4" w:rsidRDefault="00471346" w:rsidP="000E2AD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</w:pPr>
      <w:r w:rsidRPr="008846E4">
        <w:rPr>
          <w:rFonts w:ascii="Times New Roman" w:hAnsi="Times New Roman" w:cs="Times New Roman"/>
          <w:b/>
          <w:sz w:val="32"/>
          <w:szCs w:val="32"/>
          <w:lang w:val="en-US"/>
        </w:rPr>
        <w:t>P(D</w:t>
      </w:r>
      <w:r w:rsidR="000E2ADF">
        <w:rPr>
          <w:rFonts w:ascii="Times New Roman" w:hAnsi="Times New Roman" w:cs="Times New Roman"/>
          <w:b/>
          <w:sz w:val="32"/>
          <w:szCs w:val="32"/>
          <w:lang w:val="en-US"/>
        </w:rPr>
        <w:t>P</w:t>
      </w:r>
      <w:r w:rsidRPr="008846E4">
        <w:rPr>
          <w:rFonts w:ascii="Times New Roman" w:hAnsi="Times New Roman" w:cs="Times New Roman"/>
          <w:b/>
          <w:sz w:val="32"/>
          <w:szCs w:val="32"/>
          <w:lang w:val="en-US"/>
        </w:rPr>
        <w:t xml:space="preserve">T+): 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>P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ro</w:t>
      </w:r>
      <w:r w:rsidR="00AA5F1C" w:rsidRPr="008846E4">
        <w:rPr>
          <w:rFonts w:ascii="Times New Roman" w:hAnsi="Times New Roman" w:cs="Times New Roman"/>
          <w:sz w:val="32"/>
          <w:szCs w:val="32"/>
          <w:lang w:val="en-US"/>
        </w:rPr>
        <w:t>bability to obtain a</w:t>
      </w:r>
      <w:r w:rsidR="00523546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 positive 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>D</w:t>
      </w:r>
      <w:r w:rsidR="00523546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rug 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>P</w:t>
      </w:r>
      <w:r w:rsidR="008846E4">
        <w:rPr>
          <w:rFonts w:ascii="Times New Roman" w:hAnsi="Times New Roman" w:cs="Times New Roman"/>
          <w:sz w:val="32"/>
          <w:szCs w:val="32"/>
          <w:lang w:val="en-US"/>
        </w:rPr>
        <w:t>rovocation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 xml:space="preserve"> T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est</w:t>
      </w:r>
      <w:r w:rsidRPr="008846E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(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range 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between 0 and 1)</w:t>
      </w:r>
    </w:p>
    <w:p w14:paraId="54BBF260" w14:textId="4A8A6344" w:rsidR="00043823" w:rsidRPr="008846E4" w:rsidRDefault="00043823" w:rsidP="000E2AD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32"/>
          <w:szCs w:val="32"/>
          <w:lang w:val="en-GB"/>
        </w:rPr>
      </w:pPr>
      <w:r w:rsidRPr="008846E4">
        <w:rPr>
          <w:rFonts w:ascii="Times New Roman" w:hAnsi="Times New Roman" w:cs="Times New Roman"/>
          <w:b/>
          <w:sz w:val="32"/>
          <w:szCs w:val="32"/>
          <w:lang w:val="en-GB"/>
        </w:rPr>
        <w:t xml:space="preserve">Number </w:t>
      </w:r>
      <w:r w:rsidRPr="008846E4">
        <w:rPr>
          <w:rFonts w:ascii="Times New Roman" w:hAnsi="Times New Roman" w:cs="Times New Roman"/>
          <w:sz w:val="72"/>
          <w:szCs w:val="72"/>
          <w:lang w:val="en-GB"/>
        </w:rPr>
        <w:t>e</w:t>
      </w:r>
      <w:r w:rsidRPr="008846E4">
        <w:rPr>
          <w:rFonts w:ascii="Times New Roman" w:hAnsi="Times New Roman" w:cs="Times New Roman"/>
          <w:b/>
          <w:sz w:val="32"/>
          <w:szCs w:val="32"/>
          <w:lang w:val="en-GB"/>
        </w:rPr>
        <w:t xml:space="preserve">: </w:t>
      </w:r>
      <w:r w:rsidR="00807CBB">
        <w:rPr>
          <w:rFonts w:ascii="Times New Roman" w:hAnsi="Times New Roman" w:cs="Times New Roman"/>
          <w:sz w:val="32"/>
          <w:szCs w:val="32"/>
          <w:lang w:val="en-GB"/>
        </w:rPr>
        <w:t>Mathematical  C</w:t>
      </w:r>
      <w:r w:rsidRPr="008846E4">
        <w:rPr>
          <w:rFonts w:ascii="Times New Roman" w:hAnsi="Times New Roman" w:cs="Times New Roman"/>
          <w:sz w:val="32"/>
          <w:szCs w:val="32"/>
          <w:lang w:val="en-GB"/>
        </w:rPr>
        <w:t>onstant 2,71828 ​</w:t>
      </w:r>
    </w:p>
    <w:p w14:paraId="489AEE84" w14:textId="2E3717E1" w:rsidR="00471346" w:rsidRPr="008846E4" w:rsidRDefault="00471346" w:rsidP="004713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7ABD10BF" w14:textId="7618DA1D" w:rsidR="00471346" w:rsidRPr="008846E4" w:rsidRDefault="00471346" w:rsidP="000E2A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8846E4">
        <w:rPr>
          <w:rFonts w:ascii="Times New Roman" w:hAnsi="Times New Roman" w:cs="Times New Roman"/>
          <w:b/>
          <w:sz w:val="32"/>
          <w:szCs w:val="32"/>
          <w:lang w:val="en-US"/>
        </w:rPr>
        <w:t xml:space="preserve">Y´: </w:t>
      </w:r>
      <w:r w:rsidR="00407434" w:rsidRPr="008846E4">
        <w:rPr>
          <w:rFonts w:ascii="Times New Roman" w:hAnsi="Times New Roman" w:cs="Times New Roman"/>
          <w:sz w:val="32"/>
          <w:szCs w:val="32"/>
          <w:lang w:val="en-US"/>
        </w:rPr>
        <w:t>- 2.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95 + </w:t>
      </w:r>
      <w:r w:rsidR="00407434" w:rsidRPr="008846E4">
        <w:rPr>
          <w:rFonts w:ascii="Times New Roman" w:hAnsi="Times New Roman" w:cs="Times New Roman"/>
          <w:sz w:val="32"/>
          <w:szCs w:val="32"/>
          <w:lang w:val="en-US"/>
        </w:rPr>
        <w:t>0.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006 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>(Cardiac d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isease)</w:t>
      </w:r>
      <w:r w:rsidR="00407434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 + 0.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>93 (Oncologic d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isease) 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+ </w:t>
      </w:r>
      <w:r w:rsidR="00407434" w:rsidRPr="008846E4">
        <w:rPr>
          <w:rFonts w:ascii="Times New Roman" w:hAnsi="Times New Roman" w:cs="Times New Roman"/>
          <w:sz w:val="32"/>
          <w:szCs w:val="32"/>
          <w:lang w:val="en-US"/>
        </w:rPr>
        <w:t>0.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>74 (Only c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utaneous </w:t>
      </w:r>
      <w:r w:rsidR="00043823" w:rsidRPr="008846E4">
        <w:rPr>
          <w:rFonts w:ascii="Times New Roman" w:hAnsi="Times New Roman" w:cs="Times New Roman"/>
          <w:sz w:val="32"/>
          <w:szCs w:val="32"/>
          <w:lang w:val="en-US"/>
        </w:rPr>
        <w:t>Symptoms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)</w:t>
      </w:r>
      <w:r w:rsidR="00407434" w:rsidRPr="008846E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+ 1 (Positive S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 xml:space="preserve">kin 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0E2ADF">
        <w:rPr>
          <w:rFonts w:ascii="Times New Roman" w:hAnsi="Times New Roman" w:cs="Times New Roman"/>
          <w:sz w:val="32"/>
          <w:szCs w:val="32"/>
          <w:lang w:val="en-US"/>
        </w:rPr>
        <w:t>est</w:t>
      </w:r>
      <w:r w:rsidRPr="008846E4">
        <w:rPr>
          <w:rFonts w:ascii="Times New Roman" w:hAnsi="Times New Roman" w:cs="Times New Roman"/>
          <w:sz w:val="32"/>
          <w:szCs w:val="32"/>
          <w:lang w:val="en-US"/>
        </w:rPr>
        <w:t>)</w:t>
      </w:r>
    </w:p>
    <w:p w14:paraId="42386493" w14:textId="59F51309" w:rsidR="00AB3164" w:rsidRPr="00471346" w:rsidRDefault="00AB3164" w:rsidP="004713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0C0D781" w14:textId="7818F957" w:rsidR="00AB3164" w:rsidRPr="00471346" w:rsidRDefault="00AB3164" w:rsidP="00AB31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0"/>
          <w:lang w:val="en-US"/>
        </w:rPr>
      </w:pPr>
    </w:p>
    <w:p w14:paraId="471D4144" w14:textId="024438C6" w:rsidR="00C70909" w:rsidRPr="00CB4C71" w:rsidRDefault="0073393E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  <w:r w:rsidRPr="00CB4C71">
        <w:rPr>
          <w:noProof/>
          <w:lang w:val="en-GB"/>
        </w:rPr>
        <w:t xml:space="preserve"> </w:t>
      </w:r>
      <w:r w:rsidR="00807CBB" w:rsidRPr="00CB4C71">
        <w:rPr>
          <w:rFonts w:ascii="Times New Roman" w:hAnsi="Times New Roman" w:cs="Times New Roman"/>
          <w:b/>
          <w:noProof/>
          <w:sz w:val="28"/>
          <w:lang w:val="en-GB"/>
        </w:rPr>
        <w:t>Mathematical formula to predict the outcome of iodinated contrast media provocation tests</w:t>
      </w:r>
    </w:p>
    <w:p w14:paraId="02B5E1E2" w14:textId="27851673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  <w:r w:rsidRPr="00817C2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CDD5F93" wp14:editId="56382C2F">
            <wp:simplePos x="0" y="0"/>
            <wp:positionH relativeFrom="page">
              <wp:posOffset>847725</wp:posOffset>
            </wp:positionH>
            <wp:positionV relativeFrom="paragraph">
              <wp:posOffset>116840</wp:posOffset>
            </wp:positionV>
            <wp:extent cx="5857875" cy="3951803"/>
            <wp:effectExtent l="0" t="0" r="0" b="0"/>
            <wp:wrapNone/>
            <wp:docPr id="376" name="Imagen 376" descr="Receiver Operating Characteristic (ROC) Cur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ceiver Operating Characteristic (ROC) Curv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952" cy="395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2556F" w14:textId="18F4523A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700338CF" w14:textId="46A750D0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1BD41FE5" w14:textId="33D84FFC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0C814E71" w14:textId="57AAFAFF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556C0072" w14:textId="2B5A0043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36C8E4EE" w14:textId="54034917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1D17CDE6" w14:textId="3542C287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5D2D83F1" w14:textId="362B98A8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418C3248" w14:textId="3A71D869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3C880F55" w14:textId="4AC10BE4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6AF205C3" w14:textId="61D4052C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1DD7423A" w14:textId="66146B5B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38677C6B" w14:textId="751CE019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6FCE0701" w14:textId="4DEFAF2B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7F1FDD8F" w14:textId="76D32CD7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49D45EFC" w14:textId="0E42ABF2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005DEF3" wp14:editId="7E7F7DB7">
                <wp:simplePos x="0" y="0"/>
                <wp:positionH relativeFrom="column">
                  <wp:posOffset>5257165</wp:posOffset>
                </wp:positionH>
                <wp:positionV relativeFrom="paragraph">
                  <wp:posOffset>59690</wp:posOffset>
                </wp:positionV>
                <wp:extent cx="704729" cy="337185"/>
                <wp:effectExtent l="19050" t="19050" r="19685" b="2476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729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4450" cmpd="dbl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5F7A6" w14:textId="0CA4026B" w:rsidR="0081783E" w:rsidRPr="00871930" w:rsidRDefault="0081783E" w:rsidP="0081783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Pr="0081783E">
                              <w:rPr>
                                <w:b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: 4.</w:t>
                            </w:r>
                            <w:r w:rsidRPr="00871930">
                              <w:rPr>
                                <w:b/>
                              </w:rPr>
                              <w:t>6%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5DEF3" id="_x0000_s1027" type="#_x0000_t202" style="position:absolute;left:0;text-align:left;margin-left:413.95pt;margin-top:4.7pt;width:55.5pt;height:26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" strokecolor="#0070c0" strokeweight="3.5pt">
                <v:stroke linestyle="thinThin"/>
                <v:textbox>
                  <w:txbxContent>
                    <w:p w14:paraId="1215F7A6" w14:textId="0CA4026B" w:rsidR="0081783E" w:rsidRPr="00871930" w:rsidRDefault="0081783E" w:rsidP="0081783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Pr="0081783E">
                        <w:rPr>
                          <w:b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</w:rPr>
                        <w:t>: 4.</w:t>
                      </w:r>
                      <w:r w:rsidRPr="00871930">
                        <w:rPr>
                          <w:b/>
                        </w:rPr>
                        <w:t>6%</w:t>
                      </w:r>
                    </w:p>
                  </w:txbxContent>
                </v:textbox>
              </v:shape>
            </w:pict>
          </mc:Fallback>
        </mc:AlternateContent>
      </w:r>
    </w:p>
    <w:p w14:paraId="629D2263" w14:textId="413D0DDA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5E492E86" w14:textId="388AABB6" w:rsidR="00807CBB" w:rsidRPr="00CB4C71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  <w:lang w:val="en-GB"/>
        </w:rPr>
      </w:pPr>
    </w:p>
    <w:p w14:paraId="53A76DAA" w14:textId="4B6AE5DA" w:rsidR="00807CBB" w:rsidRPr="00CB4C71" w:rsidRDefault="00807CBB" w:rsidP="00807CBB">
      <w:pPr>
        <w:spacing w:after="0"/>
        <w:ind w:right="-720"/>
        <w:rPr>
          <w:rFonts w:ascii="Times New Roman" w:hAnsi="Times New Roman" w:cs="Times New Roman"/>
          <w:b/>
          <w:noProof/>
          <w:sz w:val="28"/>
          <w:lang w:val="en-GB"/>
        </w:rPr>
      </w:pPr>
      <w:r w:rsidRPr="00CB4C71">
        <w:rPr>
          <w:rFonts w:ascii="Times New Roman" w:hAnsi="Times New Roman" w:cs="Times New Roman"/>
          <w:b/>
          <w:noProof/>
          <w:sz w:val="28"/>
          <w:lang w:val="en-GB"/>
        </w:rPr>
        <w:t xml:space="preserve">            ROC Curve of the regression on the prediction of provocation test results</w:t>
      </w:r>
    </w:p>
    <w:tbl>
      <w:tblPr>
        <w:tblStyle w:val="Tablaconcuadrcula1clara-nfasis1"/>
        <w:tblpPr w:leftFromText="141" w:rightFromText="141" w:vertAnchor="text" w:horzAnchor="margin" w:tblpXSpec="center" w:tblpY="121"/>
        <w:tblW w:w="0" w:type="auto"/>
        <w:tblLook w:val="0000" w:firstRow="0" w:lastRow="0" w:firstColumn="0" w:lastColumn="0" w:noHBand="0" w:noVBand="0"/>
      </w:tblPr>
      <w:tblGrid>
        <w:gridCol w:w="2647"/>
        <w:gridCol w:w="609"/>
        <w:gridCol w:w="1585"/>
        <w:gridCol w:w="1193"/>
      </w:tblGrid>
      <w:tr w:rsidR="00CB4C71" w:rsidRPr="00E52F38" w14:paraId="2C1C6064" w14:textId="77777777" w:rsidTr="00CB4C71">
        <w:trPr>
          <w:trHeight w:val="391"/>
        </w:trPr>
        <w:tc>
          <w:tcPr>
            <w:tcW w:w="2647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7B04E225" w14:textId="77777777" w:rsidR="00CB4C71" w:rsidRPr="009855FD" w:rsidRDefault="00CB4C71" w:rsidP="00CB4C71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Test</w:t>
            </w:r>
          </w:p>
        </w:tc>
        <w:tc>
          <w:tcPr>
            <w:tcW w:w="609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</w:tcBorders>
          </w:tcPr>
          <w:p w14:paraId="0564A233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DF</w:t>
            </w:r>
          </w:p>
        </w:tc>
        <w:tc>
          <w:tcPr>
            <w:tcW w:w="1585" w:type="dxa"/>
            <w:tcBorders>
              <w:top w:val="double" w:sz="12" w:space="0" w:color="0070C0"/>
              <w:bottom w:val="double" w:sz="12" w:space="0" w:color="0070C0"/>
            </w:tcBorders>
          </w:tcPr>
          <w:p w14:paraId="00AF42A4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Chi-Square</w:t>
            </w:r>
          </w:p>
        </w:tc>
        <w:tc>
          <w:tcPr>
            <w:tcW w:w="1193" w:type="dxa"/>
            <w:tcBorders>
              <w:top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5E9C4553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P-Value</w:t>
            </w:r>
          </w:p>
        </w:tc>
      </w:tr>
      <w:tr w:rsidR="00CB4C71" w:rsidRPr="00E52F38" w14:paraId="2FF642E0" w14:textId="77777777" w:rsidTr="00CB4C71">
        <w:trPr>
          <w:trHeight w:val="326"/>
        </w:trPr>
        <w:tc>
          <w:tcPr>
            <w:tcW w:w="2647" w:type="dxa"/>
            <w:tcBorders>
              <w:top w:val="double" w:sz="12" w:space="0" w:color="0070C0"/>
              <w:left w:val="double" w:sz="12" w:space="0" w:color="0070C0"/>
              <w:right w:val="double" w:sz="12" w:space="0" w:color="0070C0"/>
            </w:tcBorders>
          </w:tcPr>
          <w:p w14:paraId="57AA9619" w14:textId="77777777" w:rsidR="00CB4C71" w:rsidRPr="00A67EC1" w:rsidRDefault="00CB4C71" w:rsidP="00CB4C71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r w:rsidRPr="00A67EC1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Deviance</w:t>
            </w:r>
          </w:p>
        </w:tc>
        <w:tc>
          <w:tcPr>
            <w:tcW w:w="609" w:type="dxa"/>
            <w:tcBorders>
              <w:top w:val="double" w:sz="12" w:space="0" w:color="0070C0"/>
              <w:left w:val="double" w:sz="12" w:space="0" w:color="0070C0"/>
            </w:tcBorders>
          </w:tcPr>
          <w:p w14:paraId="464D18A5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12</w:t>
            </w: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4</w:t>
            </w:r>
          </w:p>
        </w:tc>
        <w:tc>
          <w:tcPr>
            <w:tcW w:w="1585" w:type="dxa"/>
            <w:tcBorders>
              <w:top w:val="double" w:sz="12" w:space="0" w:color="0070C0"/>
            </w:tcBorders>
          </w:tcPr>
          <w:p w14:paraId="16B74A6F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95</w:t>
            </w: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,9</w:t>
            </w: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3</w:t>
            </w:r>
          </w:p>
        </w:tc>
        <w:tc>
          <w:tcPr>
            <w:tcW w:w="1193" w:type="dxa"/>
            <w:tcBorders>
              <w:top w:val="double" w:sz="12" w:space="0" w:color="0070C0"/>
              <w:right w:val="double" w:sz="12" w:space="0" w:color="0070C0"/>
            </w:tcBorders>
          </w:tcPr>
          <w:p w14:paraId="10AF4BA9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0,971</w:t>
            </w:r>
          </w:p>
        </w:tc>
      </w:tr>
      <w:tr w:rsidR="00CB4C71" w:rsidRPr="00E52F38" w14:paraId="6C41F432" w14:textId="77777777" w:rsidTr="00CB4C71">
        <w:trPr>
          <w:trHeight w:val="326"/>
        </w:trPr>
        <w:tc>
          <w:tcPr>
            <w:tcW w:w="2647" w:type="dxa"/>
            <w:tcBorders>
              <w:left w:val="double" w:sz="12" w:space="0" w:color="0070C0"/>
              <w:right w:val="double" w:sz="12" w:space="0" w:color="0070C0"/>
            </w:tcBorders>
          </w:tcPr>
          <w:p w14:paraId="157052DC" w14:textId="77777777" w:rsidR="00CB4C71" w:rsidRPr="00A67EC1" w:rsidRDefault="00CB4C71" w:rsidP="00CB4C71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r w:rsidRPr="00A67EC1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Pearson</w:t>
            </w:r>
          </w:p>
        </w:tc>
        <w:tc>
          <w:tcPr>
            <w:tcW w:w="609" w:type="dxa"/>
            <w:tcBorders>
              <w:left w:val="double" w:sz="12" w:space="0" w:color="0070C0"/>
            </w:tcBorders>
          </w:tcPr>
          <w:p w14:paraId="11278057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12</w:t>
            </w: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4</w:t>
            </w:r>
          </w:p>
        </w:tc>
        <w:tc>
          <w:tcPr>
            <w:tcW w:w="1585" w:type="dxa"/>
          </w:tcPr>
          <w:p w14:paraId="337348D9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123,31</w:t>
            </w:r>
          </w:p>
        </w:tc>
        <w:tc>
          <w:tcPr>
            <w:tcW w:w="1193" w:type="dxa"/>
            <w:tcBorders>
              <w:right w:val="double" w:sz="12" w:space="0" w:color="0070C0"/>
            </w:tcBorders>
          </w:tcPr>
          <w:p w14:paraId="68BE6BFF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0,501</w:t>
            </w:r>
          </w:p>
        </w:tc>
      </w:tr>
      <w:tr w:rsidR="00CB4C71" w:rsidRPr="00E52F38" w14:paraId="15A70843" w14:textId="77777777" w:rsidTr="00CB4C71">
        <w:trPr>
          <w:trHeight w:val="442"/>
        </w:trPr>
        <w:tc>
          <w:tcPr>
            <w:tcW w:w="2647" w:type="dxa"/>
            <w:tcBorders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394204D8" w14:textId="77777777" w:rsidR="00CB4C71" w:rsidRPr="00A67EC1" w:rsidRDefault="00CB4C71" w:rsidP="00CB4C71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r w:rsidRPr="00A67EC1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Hosmer-Lemeshow</w:t>
            </w:r>
          </w:p>
        </w:tc>
        <w:tc>
          <w:tcPr>
            <w:tcW w:w="609" w:type="dxa"/>
            <w:tcBorders>
              <w:left w:val="double" w:sz="12" w:space="0" w:color="0070C0"/>
              <w:bottom w:val="double" w:sz="12" w:space="0" w:color="0070C0"/>
            </w:tcBorders>
          </w:tcPr>
          <w:p w14:paraId="34C0B4DA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4</w:t>
            </w:r>
          </w:p>
        </w:tc>
        <w:tc>
          <w:tcPr>
            <w:tcW w:w="1585" w:type="dxa"/>
            <w:tcBorders>
              <w:bottom w:val="double" w:sz="12" w:space="0" w:color="0070C0"/>
            </w:tcBorders>
          </w:tcPr>
          <w:p w14:paraId="5FE6D5A0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1,31</w:t>
            </w:r>
          </w:p>
        </w:tc>
        <w:tc>
          <w:tcPr>
            <w:tcW w:w="1193" w:type="dxa"/>
            <w:tcBorders>
              <w:bottom w:val="double" w:sz="12" w:space="0" w:color="0070C0"/>
              <w:right w:val="double" w:sz="12" w:space="0" w:color="0070C0"/>
            </w:tcBorders>
          </w:tcPr>
          <w:p w14:paraId="359E5170" w14:textId="77777777" w:rsidR="00CB4C71" w:rsidRPr="009855FD" w:rsidRDefault="00CB4C71" w:rsidP="00CB4C71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>
              <w:rPr>
                <w:rFonts w:ascii="Palatino Linotype" w:eastAsia="Times New Roman" w:hAnsi="Palatino Linotype" w:cs="Open Sans"/>
                <w:color w:val="000000"/>
                <w:sz w:val="24"/>
              </w:rPr>
              <w:t>0,859</w:t>
            </w:r>
          </w:p>
        </w:tc>
      </w:tr>
    </w:tbl>
    <w:p w14:paraId="6F15CC60" w14:textId="324E7B55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07DE3A7C" w14:textId="737648E9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1BD816BF" w14:textId="4BED59DA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6B9CF070" w14:textId="7EC0D645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46E91053" w14:textId="76241258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60E0C423" w14:textId="29D14A75" w:rsidR="00807CBB" w:rsidRDefault="00807CBB" w:rsidP="00807CBB">
      <w:pPr>
        <w:spacing w:after="0"/>
        <w:ind w:left="-426" w:right="-720"/>
        <w:rPr>
          <w:rFonts w:ascii="Times New Roman" w:hAnsi="Times New Roman" w:cs="Times New Roman"/>
          <w:b/>
          <w:noProof/>
          <w:sz w:val="28"/>
        </w:rPr>
      </w:pPr>
    </w:p>
    <w:p w14:paraId="5D2238E1" w14:textId="5DE01CC5" w:rsidR="00807CBB" w:rsidRDefault="00CB4C71" w:rsidP="00CB4C71">
      <w:pPr>
        <w:spacing w:after="0"/>
        <w:ind w:right="-720"/>
        <w:rPr>
          <w:rFonts w:ascii="Times New Roman" w:hAnsi="Times New Roman" w:cs="Times New Roman"/>
          <w:b/>
          <w:noProof/>
          <w:sz w:val="28"/>
          <w:lang w:val="en-GB"/>
        </w:rPr>
      </w:pPr>
      <w:r w:rsidRPr="00CB4C71">
        <w:rPr>
          <w:rFonts w:ascii="Times New Roman" w:hAnsi="Times New Roman" w:cs="Times New Roman"/>
          <w:b/>
          <w:noProof/>
          <w:sz w:val="28"/>
          <w:lang w:val="en-GB"/>
        </w:rPr>
        <w:t xml:space="preserve">                 </w:t>
      </w:r>
      <w:r>
        <w:rPr>
          <w:rFonts w:ascii="Times New Roman" w:hAnsi="Times New Roman" w:cs="Times New Roman"/>
          <w:b/>
          <w:noProof/>
          <w:sz w:val="28"/>
          <w:lang w:val="en-GB"/>
        </w:rPr>
        <w:t xml:space="preserve">              </w:t>
      </w:r>
      <w:r w:rsidR="00807CBB" w:rsidRPr="00CB4C71">
        <w:rPr>
          <w:rFonts w:ascii="Times New Roman" w:hAnsi="Times New Roman" w:cs="Times New Roman"/>
          <w:b/>
          <w:noProof/>
          <w:sz w:val="28"/>
          <w:lang w:val="en-GB"/>
        </w:rPr>
        <w:t xml:space="preserve"> Results of the Goodness-of-Fit Tests Evaluation</w:t>
      </w:r>
    </w:p>
    <w:p w14:paraId="52061D66" w14:textId="3B7ACF0B" w:rsidR="00CB4C71" w:rsidRPr="00CB4C71" w:rsidRDefault="00CB4C71" w:rsidP="00CB4C71">
      <w:pPr>
        <w:spacing w:after="0"/>
        <w:ind w:right="-720"/>
        <w:rPr>
          <w:rFonts w:ascii="Times New Roman" w:hAnsi="Times New Roman" w:cs="Times New Roman"/>
          <w:b/>
          <w:noProof/>
          <w:sz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lang w:val="en-GB"/>
        </w:rPr>
        <w:t>Figure 3</w:t>
      </w:r>
    </w:p>
    <w:sectPr w:rsidR="00CB4C71" w:rsidRPr="00CB4C71" w:rsidSect="00807CBB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CE737" w14:textId="77777777" w:rsidR="00106F50" w:rsidRDefault="00106F50" w:rsidP="00106F50">
      <w:pPr>
        <w:spacing w:after="0" w:line="240" w:lineRule="auto"/>
      </w:pPr>
      <w:r>
        <w:separator/>
      </w:r>
    </w:p>
  </w:endnote>
  <w:endnote w:type="continuationSeparator" w:id="0">
    <w:p w14:paraId="4B480CAB" w14:textId="77777777" w:rsidR="00106F50" w:rsidRDefault="00106F50" w:rsidP="0010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F48EB" w14:textId="77777777" w:rsidR="00106F50" w:rsidRDefault="00106F50" w:rsidP="00106F50">
      <w:pPr>
        <w:spacing w:after="0" w:line="240" w:lineRule="auto"/>
      </w:pPr>
      <w:r>
        <w:separator/>
      </w:r>
    </w:p>
  </w:footnote>
  <w:footnote w:type="continuationSeparator" w:id="0">
    <w:p w14:paraId="71F8113B" w14:textId="77777777" w:rsidR="00106F50" w:rsidRDefault="00106F50" w:rsidP="00106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64"/>
    <w:rsid w:val="00043823"/>
    <w:rsid w:val="000E2ADF"/>
    <w:rsid w:val="00106F50"/>
    <w:rsid w:val="002636FE"/>
    <w:rsid w:val="002F4FBC"/>
    <w:rsid w:val="00407434"/>
    <w:rsid w:val="00471346"/>
    <w:rsid w:val="00523546"/>
    <w:rsid w:val="006210F4"/>
    <w:rsid w:val="0073393E"/>
    <w:rsid w:val="00807CBB"/>
    <w:rsid w:val="0081783E"/>
    <w:rsid w:val="008846E4"/>
    <w:rsid w:val="00AA5F1C"/>
    <w:rsid w:val="00AB3164"/>
    <w:rsid w:val="00B221E0"/>
    <w:rsid w:val="00BB321B"/>
    <w:rsid w:val="00C363E7"/>
    <w:rsid w:val="00C70909"/>
    <w:rsid w:val="00CB0364"/>
    <w:rsid w:val="00CB4C71"/>
    <w:rsid w:val="00D5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CCCF6F"/>
  <w15:chartTrackingRefBased/>
  <w15:docId w15:val="{C1171068-4B2F-4242-91F3-7DB60D47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164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1clara-nfasis1">
    <w:name w:val="Grid Table 1 Light Accent 1"/>
    <w:basedOn w:val="Tablanormal"/>
    <w:uiPriority w:val="46"/>
    <w:rsid w:val="00AB3164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conformatoprevio">
    <w:name w:val="HTML Preformatted"/>
    <w:basedOn w:val="Normal"/>
    <w:link w:val="HTMLconformatoprevioCar"/>
    <w:uiPriority w:val="99"/>
    <w:unhideWhenUsed/>
    <w:rsid w:val="0047134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71346"/>
    <w:rPr>
      <w:rFonts w:ascii="Consolas" w:eastAsiaTheme="minorEastAsia" w:hAnsi="Consolas" w:cs="Consolas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0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0364"/>
    <w:rPr>
      <w:rFonts w:ascii="Segoe UI" w:eastAsiaTheme="minorEastAsia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8619D-625F-41A9-955A-36C4FFD6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francisco vega</cp:lastModifiedBy>
  <cp:revision>3</cp:revision>
  <cp:lastPrinted>2024-09-06T06:55:00Z</cp:lastPrinted>
  <dcterms:created xsi:type="dcterms:W3CDTF">2024-10-09T09:21:00Z</dcterms:created>
  <dcterms:modified xsi:type="dcterms:W3CDTF">2024-10-12T15:54:00Z</dcterms:modified>
</cp:coreProperties>
</file>