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A222" w14:textId="72DAD74C" w:rsidR="009A4D67" w:rsidRPr="00FF0BB2" w:rsidRDefault="00AE0804" w:rsidP="008928EA">
      <w:pPr>
        <w:tabs>
          <w:tab w:val="left" w:pos="3833"/>
        </w:tabs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b/>
          <w:color w:val="000000" w:themeColor="text1"/>
          <w:sz w:val="20"/>
          <w:szCs w:val="20"/>
        </w:rPr>
        <w:t>Novel mutation in CECR1 gene associated with deficiency of adenosine deaminase -2 presenting as severe congenital neutropenia</w:t>
      </w:r>
    </w:p>
    <w:p w14:paraId="367AD67D" w14:textId="1B773E24" w:rsidR="009A4D67" w:rsidRPr="00FF0BB2" w:rsidRDefault="009A4D67" w:rsidP="008928EA">
      <w:pPr>
        <w:spacing w:line="48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proofErr w:type="spellStart"/>
      <w:r w:rsidRPr="00FF0BB2">
        <w:rPr>
          <w:rFonts w:ascii="Arial" w:hAnsi="Arial" w:cs="Arial"/>
          <w:sz w:val="20"/>
          <w:szCs w:val="20"/>
        </w:rPr>
        <w:t>Pronamee</w:t>
      </w:r>
      <w:proofErr w:type="spellEnd"/>
      <w:r w:rsidRPr="00FF0BB2">
        <w:rPr>
          <w:rFonts w:ascii="Arial" w:hAnsi="Arial" w:cs="Arial"/>
          <w:sz w:val="20"/>
          <w:szCs w:val="20"/>
        </w:rPr>
        <w:t xml:space="preserve"> Borah</w:t>
      </w:r>
      <w:r w:rsidRPr="00FF0BB2">
        <w:rPr>
          <w:rFonts w:ascii="Arial" w:hAnsi="Arial" w:cs="Arial"/>
          <w:sz w:val="20"/>
          <w:szCs w:val="20"/>
          <w:vertAlign w:val="superscript"/>
        </w:rPr>
        <w:t>1</w:t>
      </w:r>
      <w:r w:rsidRPr="00FF0BB2">
        <w:rPr>
          <w:rFonts w:ascii="Arial" w:hAnsi="Arial" w:cs="Arial"/>
          <w:sz w:val="20"/>
          <w:szCs w:val="20"/>
        </w:rPr>
        <w:t xml:space="preserve">, </w:t>
      </w:r>
      <w:r w:rsidR="00350FAC" w:rsidRPr="00FF0BB2">
        <w:rPr>
          <w:rFonts w:ascii="Arial" w:hAnsi="Arial" w:cs="Arial"/>
          <w:sz w:val="20"/>
          <w:szCs w:val="20"/>
        </w:rPr>
        <w:t>Preethi Jeyaraman</w:t>
      </w:r>
      <w:r w:rsidR="00350FAC" w:rsidRPr="00FF0BB2">
        <w:rPr>
          <w:rFonts w:ascii="Arial" w:hAnsi="Arial" w:cs="Arial"/>
          <w:sz w:val="20"/>
          <w:szCs w:val="20"/>
          <w:vertAlign w:val="superscript"/>
        </w:rPr>
        <w:t>1</w:t>
      </w:r>
      <w:r w:rsidR="00350FAC" w:rsidRPr="00FF0BB2">
        <w:rPr>
          <w:rFonts w:ascii="Arial" w:hAnsi="Arial" w:cs="Arial"/>
          <w:sz w:val="20"/>
          <w:szCs w:val="20"/>
        </w:rPr>
        <w:t xml:space="preserve">, </w:t>
      </w:r>
      <w:r w:rsidRPr="00FF0BB2">
        <w:rPr>
          <w:rFonts w:ascii="Arial" w:hAnsi="Arial" w:cs="Arial"/>
          <w:sz w:val="20"/>
          <w:szCs w:val="20"/>
        </w:rPr>
        <w:t>Nitin Dayal</w:t>
      </w:r>
      <w:r w:rsidRPr="00FF0BB2">
        <w:rPr>
          <w:rFonts w:ascii="Arial" w:hAnsi="Arial" w:cs="Arial"/>
          <w:sz w:val="20"/>
          <w:szCs w:val="20"/>
          <w:vertAlign w:val="superscript"/>
        </w:rPr>
        <w:t>2</w:t>
      </w:r>
      <w:r w:rsidRPr="00FF0BB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BB2" w:rsidRPr="00FF0BB2">
        <w:rPr>
          <w:rFonts w:ascii="Arial" w:hAnsi="Arial" w:cs="Arial"/>
          <w:color w:val="000000" w:themeColor="text1"/>
          <w:sz w:val="20"/>
          <w:szCs w:val="20"/>
        </w:rPr>
        <w:t>Prasan</w:t>
      </w:r>
      <w:proofErr w:type="spellEnd"/>
      <w:r w:rsidR="00FF0BB2" w:rsidRPr="00FF0BB2">
        <w:rPr>
          <w:rFonts w:ascii="Arial" w:hAnsi="Arial" w:cs="Arial"/>
          <w:color w:val="000000" w:themeColor="text1"/>
          <w:sz w:val="20"/>
          <w:szCs w:val="20"/>
        </w:rPr>
        <w:t xml:space="preserve"> Deep Rath</w:t>
      </w:r>
      <w:r w:rsidR="00FF0BB2" w:rsidRPr="00FF0BB2">
        <w:rPr>
          <w:rFonts w:ascii="Arial" w:hAnsi="Arial" w:cs="Arial"/>
          <w:sz w:val="20"/>
          <w:szCs w:val="20"/>
        </w:rPr>
        <w:t xml:space="preserve"> </w:t>
      </w:r>
      <w:r w:rsidRPr="00FF0BB2">
        <w:rPr>
          <w:rFonts w:ascii="Arial" w:hAnsi="Arial" w:cs="Arial"/>
          <w:sz w:val="20"/>
          <w:szCs w:val="20"/>
          <w:vertAlign w:val="superscript"/>
        </w:rPr>
        <w:t>3</w:t>
      </w:r>
      <w:r w:rsidRPr="00FF0BB2">
        <w:rPr>
          <w:rFonts w:ascii="Arial" w:hAnsi="Arial" w:cs="Arial"/>
          <w:sz w:val="20"/>
          <w:szCs w:val="20"/>
        </w:rPr>
        <w:t>, Rahul Naithani</w:t>
      </w:r>
      <w:r w:rsidRPr="00FF0BB2">
        <w:rPr>
          <w:rFonts w:ascii="Arial" w:hAnsi="Arial" w:cs="Arial"/>
          <w:sz w:val="20"/>
          <w:szCs w:val="20"/>
          <w:vertAlign w:val="superscript"/>
        </w:rPr>
        <w:t>1</w:t>
      </w:r>
    </w:p>
    <w:p w14:paraId="041362F8" w14:textId="77777777" w:rsidR="006413C9" w:rsidRDefault="006413C9" w:rsidP="008928EA">
      <w:pPr>
        <w:spacing w:line="480" w:lineRule="auto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18347CA" w14:textId="3B2135A2" w:rsidR="009A4D67" w:rsidRPr="00FF0BB2" w:rsidRDefault="009A4D67" w:rsidP="008928E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FF0BB2">
        <w:rPr>
          <w:rFonts w:ascii="Arial" w:hAnsi="Arial" w:cs="Arial"/>
          <w:sz w:val="20"/>
          <w:szCs w:val="20"/>
          <w:vertAlign w:val="superscript"/>
        </w:rPr>
        <w:t>1</w:t>
      </w:r>
      <w:r w:rsidRPr="00FF0BB2">
        <w:rPr>
          <w:rFonts w:ascii="Arial" w:hAnsi="Arial" w:cs="Arial"/>
          <w:sz w:val="20"/>
          <w:szCs w:val="20"/>
        </w:rPr>
        <w:t xml:space="preserve">Hematology and bone marrow transplant division, Max </w:t>
      </w:r>
      <w:proofErr w:type="spellStart"/>
      <w:r w:rsidRPr="00FF0BB2">
        <w:rPr>
          <w:rFonts w:ascii="Arial" w:hAnsi="Arial" w:cs="Arial"/>
          <w:sz w:val="20"/>
          <w:szCs w:val="20"/>
        </w:rPr>
        <w:t>Superspecialty</w:t>
      </w:r>
      <w:proofErr w:type="spellEnd"/>
      <w:r w:rsidRPr="00FF0BB2">
        <w:rPr>
          <w:rFonts w:ascii="Arial" w:hAnsi="Arial" w:cs="Arial"/>
          <w:sz w:val="20"/>
          <w:szCs w:val="20"/>
        </w:rPr>
        <w:t xml:space="preserve"> Hospital, Delhi, India</w:t>
      </w:r>
    </w:p>
    <w:p w14:paraId="4465C3B5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FF0BB2">
        <w:rPr>
          <w:rFonts w:ascii="Arial" w:hAnsi="Arial" w:cs="Arial"/>
          <w:sz w:val="20"/>
          <w:szCs w:val="20"/>
          <w:vertAlign w:val="superscript"/>
        </w:rPr>
        <w:t>2</w:t>
      </w:r>
      <w:r w:rsidRPr="00FF0BB2">
        <w:rPr>
          <w:rFonts w:ascii="Arial" w:hAnsi="Arial" w:cs="Arial"/>
          <w:sz w:val="20"/>
          <w:szCs w:val="20"/>
        </w:rPr>
        <w:t xml:space="preserve">Department of Lab Medicine, Max </w:t>
      </w:r>
      <w:proofErr w:type="spellStart"/>
      <w:r w:rsidRPr="00FF0BB2">
        <w:rPr>
          <w:rFonts w:ascii="Arial" w:hAnsi="Arial" w:cs="Arial"/>
          <w:sz w:val="20"/>
          <w:szCs w:val="20"/>
        </w:rPr>
        <w:t>Superspecialty</w:t>
      </w:r>
      <w:proofErr w:type="spellEnd"/>
      <w:r w:rsidRPr="00FF0BB2">
        <w:rPr>
          <w:rFonts w:ascii="Arial" w:hAnsi="Arial" w:cs="Arial"/>
          <w:sz w:val="20"/>
          <w:szCs w:val="20"/>
        </w:rPr>
        <w:t xml:space="preserve"> Hospital, Delhi, India</w:t>
      </w:r>
    </w:p>
    <w:p w14:paraId="0F11E0DB" w14:textId="4550F86E" w:rsidR="009A4D67" w:rsidRPr="00FF0BB2" w:rsidRDefault="009A4D67" w:rsidP="008928E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FF0BB2">
        <w:rPr>
          <w:rFonts w:ascii="Arial" w:hAnsi="Arial" w:cs="Arial"/>
          <w:sz w:val="20"/>
          <w:szCs w:val="20"/>
          <w:vertAlign w:val="superscript"/>
        </w:rPr>
        <w:t>3</w:t>
      </w:r>
      <w:r w:rsidRPr="00FF0BB2">
        <w:rPr>
          <w:rFonts w:ascii="Arial" w:hAnsi="Arial" w:cs="Arial"/>
          <w:sz w:val="20"/>
          <w:szCs w:val="20"/>
        </w:rPr>
        <w:t xml:space="preserve">Department of </w:t>
      </w:r>
      <w:r w:rsidR="00350FAC" w:rsidRPr="00FF0BB2">
        <w:rPr>
          <w:rFonts w:ascii="Arial" w:hAnsi="Arial" w:cs="Arial"/>
          <w:sz w:val="20"/>
          <w:szCs w:val="20"/>
        </w:rPr>
        <w:t>Rheumatology</w:t>
      </w:r>
      <w:r w:rsidRPr="00FF0BB2">
        <w:rPr>
          <w:rFonts w:ascii="Arial" w:hAnsi="Arial" w:cs="Arial"/>
          <w:sz w:val="20"/>
          <w:szCs w:val="20"/>
        </w:rPr>
        <w:t xml:space="preserve">, Max </w:t>
      </w:r>
      <w:proofErr w:type="spellStart"/>
      <w:r w:rsidRPr="00FF0BB2">
        <w:rPr>
          <w:rFonts w:ascii="Arial" w:hAnsi="Arial" w:cs="Arial"/>
          <w:sz w:val="20"/>
          <w:szCs w:val="20"/>
        </w:rPr>
        <w:t>Superspecialty</w:t>
      </w:r>
      <w:proofErr w:type="spellEnd"/>
      <w:r w:rsidRPr="00FF0BB2">
        <w:rPr>
          <w:rFonts w:ascii="Arial" w:hAnsi="Arial" w:cs="Arial"/>
          <w:sz w:val="20"/>
          <w:szCs w:val="20"/>
        </w:rPr>
        <w:t xml:space="preserve"> Hospital, Delhi, India</w:t>
      </w:r>
    </w:p>
    <w:p w14:paraId="64E94E7D" w14:textId="02E7F5FE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>Conflicts of interest: None to declare.</w:t>
      </w:r>
      <w:r w:rsidR="006413C9">
        <w:rPr>
          <w:rFonts w:ascii="Arial" w:hAnsi="Arial" w:cs="Arial"/>
          <w:color w:val="000000"/>
          <w:sz w:val="20"/>
          <w:szCs w:val="20"/>
        </w:rPr>
        <w:t xml:space="preserve"> </w:t>
      </w:r>
      <w:r w:rsidRPr="00FF0BB2">
        <w:rPr>
          <w:rFonts w:ascii="Arial" w:hAnsi="Arial" w:cs="Arial"/>
          <w:color w:val="000000"/>
          <w:sz w:val="20"/>
          <w:szCs w:val="20"/>
        </w:rPr>
        <w:t>No financial support was obtained in this study.</w:t>
      </w:r>
    </w:p>
    <w:p w14:paraId="65750A91" w14:textId="24022CB5" w:rsidR="009A4D67" w:rsidRPr="00FF0BB2" w:rsidRDefault="009A4D67" w:rsidP="008928EA">
      <w:pPr>
        <w:spacing w:line="480" w:lineRule="auto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 xml:space="preserve">Text word count </w:t>
      </w:r>
      <w:r w:rsidR="00175C07">
        <w:rPr>
          <w:rFonts w:ascii="Arial" w:hAnsi="Arial" w:cs="Arial"/>
          <w:color w:val="000000"/>
          <w:sz w:val="20"/>
          <w:szCs w:val="20"/>
        </w:rPr>
        <w:t>875</w:t>
      </w:r>
    </w:p>
    <w:p w14:paraId="562351DD" w14:textId="7233EE6A" w:rsidR="009A4D67" w:rsidRPr="00FF0BB2" w:rsidRDefault="009A4D67" w:rsidP="008928EA">
      <w:pPr>
        <w:spacing w:line="480" w:lineRule="auto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 xml:space="preserve">Abstract word count: </w:t>
      </w:r>
      <w:r w:rsidR="00D001F0">
        <w:rPr>
          <w:rFonts w:ascii="Arial" w:hAnsi="Arial" w:cs="Arial"/>
          <w:color w:val="000000"/>
          <w:sz w:val="20"/>
          <w:szCs w:val="20"/>
        </w:rPr>
        <w:t>64</w:t>
      </w:r>
    </w:p>
    <w:p w14:paraId="2408686C" w14:textId="1706E9F0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 xml:space="preserve">Brief running title: </w:t>
      </w:r>
      <w:r w:rsidR="00FF0BB2" w:rsidRPr="00FF0BB2">
        <w:rPr>
          <w:rFonts w:ascii="Arial" w:hAnsi="Arial" w:cs="Arial"/>
          <w:color w:val="000000"/>
          <w:sz w:val="20"/>
          <w:szCs w:val="20"/>
        </w:rPr>
        <w:t xml:space="preserve">DADA in </w:t>
      </w:r>
      <w:proofErr w:type="spellStart"/>
      <w:r w:rsidR="00FF0BB2" w:rsidRPr="00FF0BB2">
        <w:rPr>
          <w:rFonts w:ascii="Arial" w:hAnsi="Arial" w:cs="Arial"/>
          <w:color w:val="000000"/>
          <w:sz w:val="20"/>
          <w:szCs w:val="20"/>
        </w:rPr>
        <w:t>congentital</w:t>
      </w:r>
      <w:proofErr w:type="spellEnd"/>
      <w:r w:rsidR="00FF0BB2" w:rsidRPr="00FF0BB2">
        <w:rPr>
          <w:rFonts w:ascii="Arial" w:hAnsi="Arial" w:cs="Arial"/>
          <w:color w:val="000000"/>
          <w:sz w:val="20"/>
          <w:szCs w:val="20"/>
        </w:rPr>
        <w:t xml:space="preserve"> neutropenia</w:t>
      </w:r>
      <w:r w:rsidRPr="00FF0BB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19AC89B" w14:textId="4AC95C5E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sz w:val="20"/>
          <w:szCs w:val="20"/>
        </w:rPr>
        <w:t xml:space="preserve">Key Words: </w:t>
      </w:r>
      <w:r w:rsidR="00FF0BB2" w:rsidRPr="00FF0BB2">
        <w:rPr>
          <w:rFonts w:ascii="Arial" w:hAnsi="Arial" w:cs="Arial"/>
          <w:sz w:val="20"/>
          <w:szCs w:val="20"/>
        </w:rPr>
        <w:t>Adenosine deaminase</w:t>
      </w:r>
      <w:r w:rsidRPr="00FF0BB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BB2" w:rsidRPr="00FF0BB2">
        <w:rPr>
          <w:rFonts w:ascii="Arial" w:hAnsi="Arial" w:cs="Arial"/>
          <w:color w:val="000000"/>
          <w:sz w:val="20"/>
          <w:szCs w:val="20"/>
        </w:rPr>
        <w:t>congentital</w:t>
      </w:r>
      <w:proofErr w:type="spellEnd"/>
      <w:r w:rsidR="00FF0BB2" w:rsidRPr="00FF0BB2">
        <w:rPr>
          <w:rFonts w:ascii="Arial" w:hAnsi="Arial" w:cs="Arial"/>
          <w:color w:val="000000"/>
          <w:sz w:val="20"/>
          <w:szCs w:val="20"/>
        </w:rPr>
        <w:t xml:space="preserve"> neutropenia </w:t>
      </w:r>
    </w:p>
    <w:p w14:paraId="4386A1EE" w14:textId="180DD4A7" w:rsidR="009A4D67" w:rsidRPr="00FF0BB2" w:rsidRDefault="009A4D67" w:rsidP="008928EA">
      <w:pPr>
        <w:spacing w:line="480" w:lineRule="auto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 xml:space="preserve">Tables: </w:t>
      </w:r>
      <w:r w:rsidR="00FF0BB2" w:rsidRPr="00FF0BB2">
        <w:rPr>
          <w:rFonts w:ascii="Arial" w:hAnsi="Arial" w:cs="Arial"/>
          <w:color w:val="000000"/>
          <w:sz w:val="20"/>
          <w:szCs w:val="20"/>
        </w:rPr>
        <w:t>0</w:t>
      </w:r>
      <w:r w:rsidRPr="00FF0BB2">
        <w:rPr>
          <w:rFonts w:ascii="Arial" w:hAnsi="Arial" w:cs="Arial"/>
          <w:color w:val="000000"/>
          <w:sz w:val="20"/>
          <w:szCs w:val="20"/>
        </w:rPr>
        <w:t xml:space="preserve">; Figures: </w:t>
      </w:r>
      <w:r w:rsidR="00FF0BB2" w:rsidRPr="00FF0BB2">
        <w:rPr>
          <w:rFonts w:ascii="Arial" w:hAnsi="Arial" w:cs="Arial"/>
          <w:color w:val="000000"/>
          <w:sz w:val="20"/>
          <w:szCs w:val="20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8010"/>
      </w:tblGrid>
      <w:tr w:rsidR="009A4D67" w:rsidRPr="00FF0BB2" w14:paraId="374C3F5F" w14:textId="77777777" w:rsidTr="00996A72">
        <w:tc>
          <w:tcPr>
            <w:tcW w:w="9288" w:type="dxa"/>
            <w:gridSpan w:val="2"/>
            <w:shd w:val="clear" w:color="auto" w:fill="auto"/>
          </w:tcPr>
          <w:p w14:paraId="1EFEFD68" w14:textId="77777777" w:rsidR="009A4D67" w:rsidRPr="00FF0BB2" w:rsidRDefault="009A4D67" w:rsidP="008928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  <w:lang w:eastAsia="zh-TW"/>
              </w:rPr>
            </w:pPr>
            <w:r w:rsidRPr="00FF0BB2">
              <w:rPr>
                <w:rFonts w:ascii="Arial" w:hAnsi="Arial" w:cs="Arial"/>
                <w:sz w:val="20"/>
                <w:szCs w:val="20"/>
                <w:lang w:eastAsia="zh-TW"/>
              </w:rPr>
              <w:t>Abbreviations</w:t>
            </w:r>
          </w:p>
        </w:tc>
      </w:tr>
      <w:tr w:rsidR="009A4D67" w:rsidRPr="00FF0BB2" w14:paraId="377E9A60" w14:textId="77777777" w:rsidTr="00996A72">
        <w:tc>
          <w:tcPr>
            <w:tcW w:w="1278" w:type="dxa"/>
            <w:shd w:val="clear" w:color="auto" w:fill="auto"/>
          </w:tcPr>
          <w:p w14:paraId="0327E905" w14:textId="2A3BD1AF" w:rsidR="009A4D67" w:rsidRPr="00FF0BB2" w:rsidRDefault="00FF0BB2" w:rsidP="008928E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F0BB2">
              <w:rPr>
                <w:rFonts w:ascii="Arial" w:hAnsi="Arial" w:cs="Arial"/>
                <w:sz w:val="20"/>
                <w:szCs w:val="20"/>
              </w:rPr>
              <w:t>DADA</w:t>
            </w:r>
          </w:p>
        </w:tc>
        <w:tc>
          <w:tcPr>
            <w:tcW w:w="8010" w:type="dxa"/>
            <w:shd w:val="clear" w:color="auto" w:fill="auto"/>
          </w:tcPr>
          <w:p w14:paraId="2D231F90" w14:textId="3366BAEB" w:rsidR="009A4D67" w:rsidRPr="00FF0BB2" w:rsidRDefault="00FF0BB2" w:rsidP="008928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F0BB2">
              <w:rPr>
                <w:rFonts w:ascii="Arial" w:hAnsi="Arial" w:cs="Arial"/>
                <w:sz w:val="20"/>
                <w:szCs w:val="20"/>
              </w:rPr>
              <w:t>Deficiency of adenosine deaminase</w:t>
            </w:r>
          </w:p>
        </w:tc>
      </w:tr>
      <w:tr w:rsidR="009A4D67" w:rsidRPr="00FF0BB2" w14:paraId="1103E828" w14:textId="77777777" w:rsidTr="00996A72">
        <w:tc>
          <w:tcPr>
            <w:tcW w:w="1278" w:type="dxa"/>
            <w:shd w:val="clear" w:color="auto" w:fill="auto"/>
          </w:tcPr>
          <w:p w14:paraId="0EF53529" w14:textId="69A579F1" w:rsidR="009A4D67" w:rsidRPr="00FF0BB2" w:rsidRDefault="00FF0BB2" w:rsidP="008928E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F0BB2">
              <w:rPr>
                <w:rFonts w:ascii="Arial" w:hAnsi="Arial" w:cs="Arial"/>
                <w:color w:val="000000" w:themeColor="text1"/>
                <w:sz w:val="20"/>
                <w:szCs w:val="20"/>
              </w:rPr>
              <w:t>TNF</w:t>
            </w:r>
          </w:p>
        </w:tc>
        <w:tc>
          <w:tcPr>
            <w:tcW w:w="8010" w:type="dxa"/>
            <w:shd w:val="clear" w:color="auto" w:fill="auto"/>
          </w:tcPr>
          <w:p w14:paraId="70052907" w14:textId="0D7E43AC" w:rsidR="009A4D67" w:rsidRPr="00FF0BB2" w:rsidRDefault="00FF0BB2" w:rsidP="008928E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Tumor necrosis factor</w:t>
            </w:r>
          </w:p>
        </w:tc>
      </w:tr>
    </w:tbl>
    <w:p w14:paraId="32510ADE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6A1AB15A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FF0BB2">
        <w:rPr>
          <w:rFonts w:ascii="Arial" w:hAnsi="Arial" w:cs="Arial"/>
          <w:b/>
          <w:sz w:val="20"/>
          <w:szCs w:val="20"/>
        </w:rPr>
        <w:t>Corresponding</w:t>
      </w:r>
      <w:r w:rsidRPr="00FF0BB2">
        <w:rPr>
          <w:rFonts w:ascii="Arial" w:hAnsi="Arial" w:cs="Arial"/>
          <w:sz w:val="20"/>
          <w:szCs w:val="20"/>
        </w:rPr>
        <w:t xml:space="preserve"> </w:t>
      </w:r>
      <w:r w:rsidRPr="00FF0BB2">
        <w:rPr>
          <w:rFonts w:ascii="Arial" w:hAnsi="Arial" w:cs="Arial"/>
          <w:b/>
          <w:sz w:val="20"/>
          <w:szCs w:val="20"/>
        </w:rPr>
        <w:t>author</w:t>
      </w:r>
      <w:r w:rsidRPr="00FF0BB2">
        <w:rPr>
          <w:rFonts w:ascii="Arial" w:hAnsi="Arial" w:cs="Arial"/>
          <w:sz w:val="20"/>
          <w:szCs w:val="20"/>
        </w:rPr>
        <w:t xml:space="preserve"> </w:t>
      </w:r>
    </w:p>
    <w:p w14:paraId="1D12A735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>Dr Rahul Naithani</w:t>
      </w:r>
    </w:p>
    <w:p w14:paraId="6FA56A1A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>Hematology &amp; Bone Marrow Transplant </w:t>
      </w:r>
    </w:p>
    <w:p w14:paraId="37E45D15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>Max Super-</w:t>
      </w:r>
      <w:proofErr w:type="spellStart"/>
      <w:r w:rsidRPr="00FF0BB2">
        <w:rPr>
          <w:rFonts w:ascii="Arial" w:hAnsi="Arial" w:cs="Arial"/>
          <w:color w:val="000000"/>
          <w:sz w:val="20"/>
          <w:szCs w:val="20"/>
        </w:rPr>
        <w:t>speciality</w:t>
      </w:r>
      <w:proofErr w:type="spellEnd"/>
      <w:r w:rsidRPr="00FF0BB2">
        <w:rPr>
          <w:rFonts w:ascii="Arial" w:hAnsi="Arial" w:cs="Arial"/>
          <w:color w:val="000000"/>
          <w:sz w:val="20"/>
          <w:szCs w:val="20"/>
        </w:rPr>
        <w:t xml:space="preserve"> Hospital, Saket, Delhi</w:t>
      </w:r>
    </w:p>
    <w:p w14:paraId="4ED3CF5C" w14:textId="77777777" w:rsidR="009A4D67" w:rsidRPr="00FF0BB2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FF0BB2">
        <w:rPr>
          <w:rFonts w:ascii="Arial" w:hAnsi="Arial" w:cs="Arial"/>
          <w:color w:val="000000"/>
          <w:sz w:val="20"/>
          <w:szCs w:val="20"/>
        </w:rPr>
        <w:t>E-mail :</w:t>
      </w:r>
      <w:proofErr w:type="gramEnd"/>
      <w:r w:rsidRPr="00FF0BB2">
        <w:rPr>
          <w:rFonts w:ascii="Arial" w:hAnsi="Arial" w:cs="Arial"/>
          <w:color w:val="000000"/>
          <w:sz w:val="20"/>
          <w:szCs w:val="20"/>
        </w:rPr>
        <w:t> dr_rahul6@hotmail.com</w:t>
      </w:r>
    </w:p>
    <w:p w14:paraId="214C19DC" w14:textId="4E510C9C" w:rsidR="00327BDA" w:rsidRPr="002A2D9A" w:rsidRDefault="009A4D67" w:rsidP="008928EA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F0BB2">
        <w:rPr>
          <w:rFonts w:ascii="Arial" w:hAnsi="Arial" w:cs="Arial"/>
          <w:color w:val="000000"/>
          <w:sz w:val="20"/>
          <w:szCs w:val="20"/>
        </w:rPr>
        <w:t>Mobile: +91 88001 759</w:t>
      </w:r>
      <w:r w:rsidR="002A2D9A">
        <w:rPr>
          <w:rFonts w:ascii="Arial" w:hAnsi="Arial" w:cs="Arial"/>
          <w:color w:val="000000"/>
          <w:sz w:val="20"/>
          <w:szCs w:val="20"/>
        </w:rPr>
        <w:t>01</w:t>
      </w:r>
    </w:p>
    <w:p w14:paraId="3B675F41" w14:textId="07BE0ED8" w:rsidR="00327BDA" w:rsidRDefault="00327BDA" w:rsidP="008928EA">
      <w:pPr>
        <w:spacing w:line="480" w:lineRule="auto"/>
        <w:ind w:left="3600"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27BDA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Abstract</w:t>
      </w:r>
    </w:p>
    <w:p w14:paraId="3FF5D070" w14:textId="77777777" w:rsidR="00327BDA" w:rsidRDefault="00327BDA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4056B2E" w14:textId="4682550F" w:rsidR="002A2D9A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>Children with congenital neutropenia frequently require hospitalization due to febrile neutropenia</w:t>
      </w:r>
      <w:r w:rsidR="002A2D9A">
        <w:rPr>
          <w:rFonts w:ascii="Arial" w:hAnsi="Arial" w:cs="Arial"/>
          <w:color w:val="000000" w:themeColor="text1"/>
          <w:sz w:val="20"/>
          <w:szCs w:val="20"/>
        </w:rPr>
        <w:t>.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 Deficiency of Adenosine </w:t>
      </w:r>
      <w:proofErr w:type="spellStart"/>
      <w:r w:rsidRPr="00FF0BB2">
        <w:rPr>
          <w:rFonts w:ascii="Arial" w:hAnsi="Arial" w:cs="Arial"/>
          <w:color w:val="000000" w:themeColor="text1"/>
          <w:sz w:val="20"/>
          <w:szCs w:val="20"/>
        </w:rPr>
        <w:t>DeAminase</w:t>
      </w:r>
      <w:proofErr w:type="spellEnd"/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-2(DADA-2) an autosomal recessive disorder caused by a mutation in CECR1 gene. It is an autoinflammatory disease presenting with autoimmunity and features of immunodeficiency. It usually presents in early childhood with recurrent stroke and vasculitis features.</w:t>
      </w:r>
    </w:p>
    <w:p w14:paraId="0E172D8B" w14:textId="1D759C99" w:rsidR="001F4718" w:rsidRPr="00FF0BB2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>Here, we report a young male with CECR1 mutation presenting predominantly with neutropenia.</w:t>
      </w:r>
    </w:p>
    <w:p w14:paraId="3CB7FFC5" w14:textId="2A3AF162" w:rsidR="00327BDA" w:rsidRDefault="00327BDA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24B05CF" w14:textId="032A9B70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499C4DF" w14:textId="6A2266CB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4CE6B0A" w14:textId="3DED2AAF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8B636D" w14:textId="54721CFF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8CF38A8" w14:textId="00BD4C98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30023C" w14:textId="41D2BFA5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0EE818" w14:textId="4FEAC1AD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C14E555" w14:textId="48AEE5C4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8B15BA7" w14:textId="47161280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D083A7" w14:textId="3E577EA0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DA19B9D" w14:textId="7BDBA78E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B7E467" w14:textId="0DC219F7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A6AC456" w14:textId="1CFB0C82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1B94F7" w14:textId="4B2EBB58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D60339" w14:textId="77777777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E323934" w14:textId="77777777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C91EEF" w14:textId="77777777" w:rsid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4718">
        <w:rPr>
          <w:rFonts w:ascii="Arial" w:hAnsi="Arial" w:cs="Arial"/>
          <w:b/>
          <w:bCs/>
          <w:color w:val="000000" w:themeColor="text1"/>
          <w:sz w:val="20"/>
          <w:szCs w:val="20"/>
        </w:rPr>
        <w:t>Introduction</w:t>
      </w:r>
    </w:p>
    <w:p w14:paraId="45D3306F" w14:textId="65D99BE3" w:rsidR="001F4718" w:rsidRDefault="00EF6613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>Children with congenital neutropenia frequently require hospitalization due to febrile neutropenia</w:t>
      </w:r>
      <w:r w:rsidR="00C5628D" w:rsidRPr="00FF0BB2">
        <w:rPr>
          <w:rFonts w:ascii="Arial" w:hAnsi="Arial" w:cs="Arial"/>
          <w:color w:val="000000" w:themeColor="text1"/>
          <w:sz w:val="20"/>
          <w:szCs w:val="20"/>
        </w:rPr>
        <w:t xml:space="preserve"> which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can be life-threatening</w:t>
      </w:r>
      <w:r w:rsidR="00C5628D" w:rsidRPr="00FF0BB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D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eficiency of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A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denosine </w:t>
      </w:r>
      <w:proofErr w:type="spellStart"/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D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>eAminase</w:t>
      </w:r>
      <w:proofErr w:type="spellEnd"/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-2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>(DADA-2)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 an autosomal recessive disorder </w:t>
      </w:r>
      <w:r w:rsidR="00431408" w:rsidRPr="00FF0BB2">
        <w:rPr>
          <w:rFonts w:ascii="Arial" w:hAnsi="Arial" w:cs="Arial"/>
          <w:color w:val="000000" w:themeColor="text1"/>
          <w:sz w:val="20"/>
          <w:szCs w:val="20"/>
        </w:rPr>
        <w:t xml:space="preserve">caused by a mutation in CECR1 gene. It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is an autoi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>n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flammatory disease </w:t>
      </w:r>
      <w:r w:rsidR="00431408" w:rsidRPr="00FF0BB2">
        <w:rPr>
          <w:rFonts w:ascii="Arial" w:hAnsi="Arial" w:cs="Arial"/>
          <w:color w:val="000000" w:themeColor="text1"/>
          <w:sz w:val="20"/>
          <w:szCs w:val="20"/>
        </w:rPr>
        <w:t xml:space="preserve">presenting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with autoimmunity and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 xml:space="preserve">features of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immunodeficie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>n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cy [</w:t>
      </w:r>
      <w:r w:rsidR="00691947" w:rsidRPr="00FF0BB2">
        <w:rPr>
          <w:rFonts w:ascii="Arial" w:hAnsi="Arial" w:cs="Arial"/>
          <w:color w:val="000000" w:themeColor="text1"/>
          <w:sz w:val="20"/>
          <w:szCs w:val="20"/>
        </w:rPr>
        <w:t xml:space="preserve">1,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2].</w:t>
      </w:r>
      <w:r w:rsidR="008928EA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It usually presents in early childhood with recurrent stroke </w:t>
      </w:r>
      <w:r w:rsidR="00050122" w:rsidRPr="00FF0BB2">
        <w:rPr>
          <w:rFonts w:ascii="Arial" w:hAnsi="Arial" w:cs="Arial"/>
          <w:color w:val="000000" w:themeColor="text1"/>
          <w:sz w:val="20"/>
          <w:szCs w:val="20"/>
        </w:rPr>
        <w:t>and vasculitis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 features. It involves multiple organs and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 can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 present as a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>r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thralgia,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0122" w:rsidRPr="00FF0BB2">
        <w:rPr>
          <w:rFonts w:ascii="Arial" w:hAnsi="Arial" w:cs="Arial"/>
          <w:color w:val="000000" w:themeColor="text1"/>
          <w:sz w:val="20"/>
          <w:szCs w:val="20"/>
        </w:rPr>
        <w:t>fever, stroke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,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hepatosplenomegaly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proofErr w:type="spellStart"/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cytopenia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>s</w:t>
      </w:r>
      <w:proofErr w:type="spellEnd"/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Here, we </w:t>
      </w:r>
      <w:r w:rsidR="00C5628D" w:rsidRPr="00FF0BB2">
        <w:rPr>
          <w:rFonts w:ascii="Arial" w:hAnsi="Arial" w:cs="Arial"/>
          <w:color w:val="000000" w:themeColor="text1"/>
          <w:sz w:val="20"/>
          <w:szCs w:val="20"/>
        </w:rPr>
        <w:t xml:space="preserve">report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young male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with CECR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>1 mutation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presenting predominantly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E0804" w:rsidRPr="00FF0BB2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00966F24" w:rsidRPr="00FF0BB2">
        <w:rPr>
          <w:rFonts w:ascii="Arial" w:hAnsi="Arial" w:cs="Arial"/>
          <w:color w:val="000000" w:themeColor="text1"/>
          <w:sz w:val="20"/>
          <w:szCs w:val="20"/>
        </w:rPr>
        <w:t>neutropenia.</w:t>
      </w:r>
    </w:p>
    <w:p w14:paraId="793B8F6C" w14:textId="3EE08175" w:rsidR="001F4718" w:rsidRPr="001F4718" w:rsidRDefault="001F47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4718">
        <w:rPr>
          <w:rFonts w:ascii="Arial" w:hAnsi="Arial" w:cs="Arial"/>
          <w:b/>
          <w:bCs/>
          <w:color w:val="000000" w:themeColor="text1"/>
          <w:sz w:val="20"/>
          <w:szCs w:val="20"/>
        </w:rPr>
        <w:t>Case Report</w:t>
      </w:r>
    </w:p>
    <w:p w14:paraId="02D6AE98" w14:textId="1FF06502" w:rsidR="00E67FDA" w:rsidRPr="00FF0BB2" w:rsidRDefault="00AE0804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>19 years old male from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Iraq 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presented to us with a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3-year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 history of recurrent fever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with multiple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nodular swelling</w:t>
      </w:r>
      <w:r w:rsidR="002112EF" w:rsidRPr="00FF0BB2">
        <w:rPr>
          <w:rFonts w:ascii="Arial" w:hAnsi="Arial" w:cs="Arial"/>
          <w:color w:val="000000" w:themeColor="text1"/>
          <w:sz w:val="20"/>
          <w:szCs w:val="20"/>
        </w:rPr>
        <w:t>s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in the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body. These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swellings evolved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into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ulcers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healed with depressing scars</w:t>
      </w:r>
      <w:r w:rsidR="00620A85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20A85" w:rsidRPr="00FF0BB2">
        <w:rPr>
          <w:rFonts w:ascii="Arial" w:hAnsi="Arial" w:cs="Arial"/>
          <w:color w:val="000000" w:themeColor="text1"/>
          <w:sz w:val="20"/>
          <w:szCs w:val="20"/>
        </w:rPr>
        <w:t xml:space="preserve">He also had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recurrent 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oral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ulcers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lymph node swellings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. Family</w:t>
      </w:r>
      <w:r w:rsidR="008B0993" w:rsidRPr="00FF0BB2">
        <w:rPr>
          <w:rFonts w:ascii="Arial" w:hAnsi="Arial" w:cs="Arial"/>
          <w:color w:val="000000" w:themeColor="text1"/>
          <w:sz w:val="20"/>
          <w:szCs w:val="20"/>
        </w:rPr>
        <w:t xml:space="preserve"> history was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insignificant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of any medical history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There was no history of consanguinity.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 xml:space="preserve"> There</w:t>
      </w:r>
      <w:r w:rsidR="008B0993" w:rsidRPr="00FF0BB2">
        <w:rPr>
          <w:rFonts w:ascii="Arial" w:hAnsi="Arial" w:cs="Arial"/>
          <w:color w:val="000000" w:themeColor="text1"/>
          <w:sz w:val="20"/>
          <w:szCs w:val="20"/>
        </w:rPr>
        <w:t xml:space="preserve"> was no history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of neutropenia</w:t>
      </w:r>
      <w:r w:rsidR="008B0993" w:rsidRPr="00FF0BB2">
        <w:rPr>
          <w:rFonts w:ascii="Arial" w:hAnsi="Arial" w:cs="Arial"/>
          <w:color w:val="000000" w:themeColor="text1"/>
          <w:sz w:val="20"/>
          <w:szCs w:val="20"/>
        </w:rPr>
        <w:t xml:space="preserve"> or vasculitis in any of the siblings or </w:t>
      </w:r>
      <w:r w:rsidR="008A12FE" w:rsidRPr="00FF0BB2">
        <w:rPr>
          <w:rFonts w:ascii="Arial" w:hAnsi="Arial" w:cs="Arial"/>
          <w:color w:val="000000" w:themeColor="text1"/>
          <w:sz w:val="20"/>
          <w:szCs w:val="20"/>
        </w:rPr>
        <w:t>parents. He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 was evalu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a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ted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at 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his home country and was noted to have neutropenia and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referred</w:t>
      </w:r>
      <w:r w:rsidR="00E67FDA" w:rsidRPr="00FF0BB2">
        <w:rPr>
          <w:rFonts w:ascii="Arial" w:hAnsi="Arial" w:cs="Arial"/>
          <w:color w:val="000000" w:themeColor="text1"/>
          <w:sz w:val="20"/>
          <w:szCs w:val="20"/>
        </w:rPr>
        <w:t xml:space="preserve"> to us for further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evaluation.</w:t>
      </w:r>
      <w:r w:rsidR="00500C91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Complete blood counts showed 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a hemoglobin 12.5 g/dl,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total leukocyte count of </w:t>
      </w:r>
      <w:r w:rsidR="00F20690" w:rsidRPr="00FF0BB2">
        <w:rPr>
          <w:rFonts w:ascii="Arial" w:hAnsi="Arial" w:cs="Arial"/>
          <w:color w:val="000000" w:themeColor="text1"/>
          <w:sz w:val="20"/>
          <w:szCs w:val="20"/>
        </w:rPr>
        <w:t>1</w:t>
      </w:r>
      <w:r w:rsidR="00FE147B" w:rsidRPr="00FF0BB2">
        <w:rPr>
          <w:rFonts w:ascii="Arial" w:hAnsi="Arial" w:cs="Arial"/>
          <w:color w:val="000000" w:themeColor="text1"/>
          <w:sz w:val="20"/>
          <w:szCs w:val="20"/>
        </w:rPr>
        <w:t>.8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with absolute neutrophil count of 170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/ </w:t>
      </w:r>
      <w:proofErr w:type="spellStart"/>
      <w:r w:rsidRPr="00FF0BB2">
        <w:rPr>
          <w:rFonts w:ascii="Arial" w:hAnsi="Arial" w:cs="Arial"/>
          <w:color w:val="000000" w:themeColor="text1"/>
          <w:sz w:val="20"/>
          <w:szCs w:val="20"/>
        </w:rPr>
        <w:t>cmm</w:t>
      </w:r>
      <w:proofErr w:type="spellEnd"/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proofErr w:type="spellStart"/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>and</w:t>
      </w:r>
      <w:proofErr w:type="spellEnd"/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platelet count 174/</w:t>
      </w:r>
      <w:proofErr w:type="spellStart"/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>cmm</w:t>
      </w:r>
      <w:proofErr w:type="spellEnd"/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. Peripheral smear revealed a no abnormality apart from neutropenia. Reticulocyte count was 1.28%.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Renal and liver function tests were normal.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Vit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amin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B12 and folate levels were normal. Vascul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i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tis work up came as negative for 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>antinuclear ant</w:t>
      </w:r>
      <w:r w:rsidR="0013112A">
        <w:rPr>
          <w:rFonts w:ascii="Arial" w:hAnsi="Arial" w:cs="Arial"/>
          <w:color w:val="000000" w:themeColor="text1"/>
          <w:sz w:val="20"/>
          <w:szCs w:val="20"/>
        </w:rPr>
        <w:t>i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body. He had high IgG levels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and IgA levels with normal IgM level (IgG 2671</w:t>
      </w:r>
      <w:r w:rsidR="00ED064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mg/dL, IgA 862 mg/</w:t>
      </w:r>
      <w:r w:rsidR="0013112A" w:rsidRPr="00FF0BB2">
        <w:rPr>
          <w:rFonts w:ascii="Arial" w:hAnsi="Arial" w:cs="Arial"/>
          <w:color w:val="000000" w:themeColor="text1"/>
          <w:sz w:val="20"/>
          <w:szCs w:val="20"/>
        </w:rPr>
        <w:t>dL, IgM</w:t>
      </w:r>
      <w:r w:rsidR="00ED064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120mg/dL)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Bone marrow examination </w:t>
      </w:r>
      <w:r w:rsidR="0013112A" w:rsidRPr="00FF0BB2">
        <w:rPr>
          <w:rFonts w:ascii="Arial" w:hAnsi="Arial" w:cs="Arial"/>
          <w:color w:val="000000" w:themeColor="text1"/>
          <w:sz w:val="20"/>
          <w:szCs w:val="20"/>
        </w:rPr>
        <w:t>revealed 35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% </w:t>
      </w:r>
      <w:r w:rsidR="0013112A" w:rsidRPr="00FF0BB2">
        <w:rPr>
          <w:rFonts w:ascii="Arial" w:hAnsi="Arial" w:cs="Arial"/>
          <w:color w:val="000000" w:themeColor="text1"/>
          <w:sz w:val="20"/>
          <w:szCs w:val="20"/>
        </w:rPr>
        <w:t xml:space="preserve">cellularity, </w:t>
      </w:r>
      <w:proofErr w:type="spellStart"/>
      <w:r w:rsidR="0013112A" w:rsidRPr="00FF0BB2">
        <w:rPr>
          <w:rFonts w:ascii="Arial" w:hAnsi="Arial" w:cs="Arial"/>
          <w:color w:val="000000" w:themeColor="text1"/>
          <w:sz w:val="20"/>
          <w:szCs w:val="20"/>
        </w:rPr>
        <w:t>megaloblastoid</w:t>
      </w:r>
      <w:proofErr w:type="spellEnd"/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erythropoiesis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marked myeloid suppression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Patient had a normal karyotype,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46XY.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Positron emission tomography study was done as part of work </w:t>
      </w:r>
      <w:r w:rsidR="00F20690" w:rsidRPr="00FF0BB2">
        <w:rPr>
          <w:rFonts w:ascii="Arial" w:hAnsi="Arial" w:cs="Arial"/>
          <w:color w:val="000000" w:themeColor="text1"/>
          <w:sz w:val="20"/>
          <w:szCs w:val="20"/>
        </w:rPr>
        <w:t>up of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lymphadenopathy showed consolidation in right lower lobe of lung with SUV 12.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5. Liver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spleen were enlarged (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17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cm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and 13 cm </w:t>
      </w:r>
      <w:r w:rsidR="00ED0643">
        <w:rPr>
          <w:rFonts w:ascii="Arial" w:hAnsi="Arial" w:cs="Arial"/>
          <w:color w:val="000000" w:themeColor="text1"/>
          <w:sz w:val="20"/>
          <w:szCs w:val="20"/>
        </w:rPr>
        <w:t xml:space="preserve">below costal margin 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>respectively)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075489" w:rsidRPr="00FF0BB2">
        <w:rPr>
          <w:rFonts w:ascii="Arial" w:hAnsi="Arial" w:cs="Arial"/>
          <w:color w:val="000000" w:themeColor="text1"/>
          <w:sz w:val="20"/>
          <w:szCs w:val="20"/>
        </w:rPr>
        <w:t xml:space="preserve"> No lymph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5489" w:rsidRPr="00FF0BB2">
        <w:rPr>
          <w:rFonts w:ascii="Arial" w:hAnsi="Arial" w:cs="Arial"/>
          <w:color w:val="000000" w:themeColor="text1"/>
          <w:sz w:val="20"/>
          <w:szCs w:val="20"/>
        </w:rPr>
        <w:t>node</w:t>
      </w:r>
      <w:r w:rsidR="00F20690" w:rsidRPr="00FF0BB2">
        <w:rPr>
          <w:rFonts w:ascii="Arial" w:hAnsi="Arial" w:cs="Arial"/>
          <w:color w:val="000000" w:themeColor="text1"/>
          <w:sz w:val="20"/>
          <w:szCs w:val="20"/>
        </w:rPr>
        <w:t xml:space="preserve"> uptake was seen.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N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ext generation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 xml:space="preserve">sequencing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for c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ongenital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n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eutropenia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 xml:space="preserve">was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performed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. Patient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had homozygous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CECR1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(cat eye syndrome chromosome region, candidate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1)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mutation [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907G&gt;T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]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in exon 6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, which is known to be associated with DADA-2 and childhood onset vasculitis.</w:t>
      </w:r>
      <w:r w:rsidR="005B11D6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Thereafter, he was lost to follow up and came to us again after 8 months. </w:t>
      </w:r>
      <w:r w:rsidR="00F4609B" w:rsidRPr="00FF0BB2">
        <w:rPr>
          <w:rFonts w:ascii="Arial" w:hAnsi="Arial" w:cs="Arial"/>
          <w:color w:val="000000" w:themeColor="text1"/>
          <w:sz w:val="20"/>
          <w:szCs w:val="20"/>
        </w:rPr>
        <w:t>During this time,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609B" w:rsidRPr="00FF0BB2">
        <w:rPr>
          <w:rFonts w:ascii="Arial" w:hAnsi="Arial" w:cs="Arial"/>
          <w:color w:val="000000" w:themeColor="text1"/>
          <w:sz w:val="20"/>
          <w:szCs w:val="20"/>
        </w:rPr>
        <w:t>h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>e required multiple hospitalizations for febrile neutropeni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a. He presented to us with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perforation of hard palate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(Fig 1) and a large non healing ulcer in the right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leg (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Fig.2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). Swab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culture from palate perforation grew candida albicans was treated with fluconazole.</w:t>
      </w:r>
      <w:r w:rsidR="002F316C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However, the perforation in hard palate persisted. His absolute neutrophil count at admission was </w:t>
      </w:r>
      <w:r w:rsidR="00F20690" w:rsidRPr="00FF0BB2">
        <w:rPr>
          <w:rFonts w:ascii="Arial" w:hAnsi="Arial" w:cs="Arial"/>
          <w:color w:val="000000" w:themeColor="text1"/>
          <w:sz w:val="20"/>
          <w:szCs w:val="20"/>
        </w:rPr>
        <w:t>0.01/L</w:t>
      </w:r>
      <w:r w:rsidR="00336208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He </w:t>
      </w:r>
      <w:r w:rsidR="00061F96" w:rsidRPr="00FF0BB2">
        <w:rPr>
          <w:rFonts w:ascii="Arial" w:hAnsi="Arial" w:cs="Arial"/>
          <w:color w:val="000000" w:themeColor="text1"/>
          <w:sz w:val="20"/>
          <w:szCs w:val="20"/>
        </w:rPr>
        <w:t xml:space="preserve">did not respond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to granulocyte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c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olony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s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timulating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f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actor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lastRenderedPageBreak/>
        <w:t>(G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-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CSF). Patient did not have any </w:t>
      </w:r>
      <w:r w:rsidR="00431408" w:rsidRPr="00FF0BB2">
        <w:rPr>
          <w:rFonts w:ascii="Arial" w:hAnsi="Arial" w:cs="Arial"/>
          <w:color w:val="000000" w:themeColor="text1"/>
          <w:sz w:val="20"/>
          <w:szCs w:val="20"/>
        </w:rPr>
        <w:t>history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of stroke or headache suggestive of CNS vasculitis</w:t>
      </w:r>
      <w:r w:rsidR="00336208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686221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>Rheumatology consult was taken and therapy with TNF inhibitors (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Etanercept)</w:t>
      </w:r>
      <w:r w:rsidR="00A02750" w:rsidRPr="00FF0BB2">
        <w:rPr>
          <w:rFonts w:ascii="Arial" w:hAnsi="Arial" w:cs="Arial"/>
          <w:color w:val="000000" w:themeColor="text1"/>
          <w:sz w:val="20"/>
          <w:szCs w:val="20"/>
        </w:rPr>
        <w:t xml:space="preserve"> was contemplated.</w:t>
      </w:r>
      <w:r w:rsidR="00431408" w:rsidRPr="00FF0BB2">
        <w:rPr>
          <w:rFonts w:ascii="Arial" w:hAnsi="Arial" w:cs="Arial"/>
          <w:color w:val="000000" w:themeColor="text1"/>
          <w:sz w:val="20"/>
          <w:szCs w:val="20"/>
        </w:rPr>
        <w:t xml:space="preserve"> However, in view of severe neutropenia he was advised </w:t>
      </w:r>
      <w:r w:rsidR="00686221" w:rsidRPr="00FF0BB2">
        <w:rPr>
          <w:rFonts w:ascii="Arial" w:hAnsi="Arial" w:cs="Arial"/>
          <w:color w:val="000000" w:themeColor="text1"/>
          <w:sz w:val="20"/>
          <w:szCs w:val="20"/>
        </w:rPr>
        <w:t>for allogeneic</w:t>
      </w:r>
      <w:r w:rsidR="00431408" w:rsidRPr="00FF0BB2">
        <w:rPr>
          <w:rFonts w:ascii="Arial" w:hAnsi="Arial" w:cs="Arial"/>
          <w:color w:val="000000" w:themeColor="text1"/>
          <w:sz w:val="20"/>
          <w:szCs w:val="20"/>
        </w:rPr>
        <w:t xml:space="preserve"> stem cell transplant. Patient was not willing for the same and defaulted therapy. </w:t>
      </w:r>
    </w:p>
    <w:p w14:paraId="25AD33CB" w14:textId="77777777" w:rsidR="00CC1037" w:rsidRDefault="00CC1037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7DBE41" w14:textId="0B14527D" w:rsidR="00CC1037" w:rsidRDefault="00CC1037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C1037">
        <w:rPr>
          <w:rFonts w:ascii="Arial" w:hAnsi="Arial" w:cs="Arial"/>
          <w:b/>
          <w:bCs/>
          <w:color w:val="000000" w:themeColor="text1"/>
          <w:sz w:val="20"/>
          <w:szCs w:val="20"/>
        </w:rPr>
        <w:t>Discussion</w:t>
      </w:r>
    </w:p>
    <w:p w14:paraId="7106706F" w14:textId="47AF7095" w:rsidR="00D20F1D" w:rsidRPr="00FF0BB2" w:rsidRDefault="00D20F1D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The clinical presentation </w:t>
      </w:r>
      <w:r w:rsidR="00FE7667" w:rsidRPr="00FF0BB2">
        <w:rPr>
          <w:rFonts w:ascii="Arial" w:hAnsi="Arial" w:cs="Arial"/>
          <w:color w:val="000000" w:themeColor="text1"/>
          <w:sz w:val="20"/>
          <w:szCs w:val="20"/>
        </w:rPr>
        <w:t xml:space="preserve">of DADA-2 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>v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aries widely </w:t>
      </w:r>
      <w:r w:rsidR="00DC4C0B" w:rsidRPr="00FF0BB2">
        <w:rPr>
          <w:rFonts w:ascii="Arial" w:hAnsi="Arial" w:cs="Arial"/>
          <w:color w:val="000000" w:themeColor="text1"/>
          <w:sz w:val="20"/>
          <w:szCs w:val="20"/>
        </w:rPr>
        <w:t>and as a result coming to a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>n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8D5" w:rsidRPr="00FF0BB2">
        <w:rPr>
          <w:rFonts w:ascii="Arial" w:hAnsi="Arial" w:cs="Arial"/>
          <w:color w:val="000000" w:themeColor="text1"/>
          <w:sz w:val="20"/>
          <w:szCs w:val="20"/>
        </w:rPr>
        <w:t xml:space="preserve">early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diagnosis </w:t>
      </w:r>
      <w:r w:rsidR="00E878D5" w:rsidRPr="00FF0BB2">
        <w:rPr>
          <w:rFonts w:ascii="Arial" w:hAnsi="Arial" w:cs="Arial"/>
          <w:color w:val="000000" w:themeColor="text1"/>
          <w:sz w:val="20"/>
          <w:szCs w:val="20"/>
        </w:rPr>
        <w:t xml:space="preserve">is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difficult.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It is predominantly </w:t>
      </w:r>
      <w:r w:rsidR="00DB118D" w:rsidRPr="00FF0BB2">
        <w:rPr>
          <w:rFonts w:ascii="Arial" w:hAnsi="Arial" w:cs="Arial"/>
          <w:color w:val="000000" w:themeColor="text1"/>
          <w:sz w:val="20"/>
          <w:szCs w:val="20"/>
        </w:rPr>
        <w:t>a p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ediatric </w:t>
      </w:r>
      <w:r w:rsidR="00DB118D" w:rsidRPr="00FF0BB2">
        <w:rPr>
          <w:rFonts w:ascii="Arial" w:hAnsi="Arial" w:cs="Arial"/>
          <w:color w:val="000000" w:themeColor="text1"/>
          <w:sz w:val="20"/>
          <w:szCs w:val="20"/>
        </w:rPr>
        <w:t xml:space="preserve">disorder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B45A10" w:rsidRPr="00FF0BB2">
        <w:rPr>
          <w:rFonts w:ascii="Arial" w:hAnsi="Arial" w:cs="Arial"/>
          <w:color w:val="000000" w:themeColor="text1"/>
          <w:sz w:val="20"/>
          <w:szCs w:val="20"/>
        </w:rPr>
        <w:t xml:space="preserve">is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>rarely seen in adult</w:t>
      </w:r>
      <w:r w:rsidR="00B45A10" w:rsidRPr="00FF0BB2">
        <w:rPr>
          <w:rFonts w:ascii="Arial" w:hAnsi="Arial" w:cs="Arial"/>
          <w:color w:val="000000" w:themeColor="text1"/>
          <w:sz w:val="20"/>
          <w:szCs w:val="20"/>
        </w:rPr>
        <w:t>s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 xml:space="preserve"> [4]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875AEC" w:rsidRPr="00FF0BB2">
        <w:rPr>
          <w:rFonts w:ascii="Arial" w:hAnsi="Arial" w:cs="Arial"/>
          <w:color w:val="000000" w:themeColor="text1"/>
          <w:sz w:val="20"/>
          <w:szCs w:val="20"/>
        </w:rPr>
        <w:t xml:space="preserve">It carries </w:t>
      </w:r>
      <w:r w:rsidR="00B567FC" w:rsidRPr="00FF0BB2">
        <w:rPr>
          <w:rFonts w:ascii="Arial" w:hAnsi="Arial" w:cs="Arial"/>
          <w:color w:val="000000" w:themeColor="text1"/>
          <w:sz w:val="20"/>
          <w:szCs w:val="20"/>
        </w:rPr>
        <w:t>a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 mortality </w:t>
      </w:r>
      <w:r w:rsidR="00B567FC" w:rsidRPr="00FF0BB2">
        <w:rPr>
          <w:rFonts w:ascii="Arial" w:hAnsi="Arial" w:cs="Arial"/>
          <w:color w:val="000000" w:themeColor="text1"/>
          <w:sz w:val="20"/>
          <w:szCs w:val="20"/>
        </w:rPr>
        <w:t xml:space="preserve">rate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>with up to 8% of patients succumbing</w:t>
      </w:r>
      <w:r w:rsidR="00427DC4" w:rsidRPr="00FF0BB2">
        <w:rPr>
          <w:rFonts w:ascii="Arial" w:hAnsi="Arial" w:cs="Arial"/>
          <w:color w:val="000000" w:themeColor="text1"/>
          <w:sz w:val="20"/>
          <w:szCs w:val="20"/>
        </w:rPr>
        <w:t xml:space="preserve"> before reaching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 30 years </w:t>
      </w:r>
      <w:r w:rsidR="00427DC4" w:rsidRPr="00FF0BB2">
        <w:rPr>
          <w:rFonts w:ascii="Arial" w:hAnsi="Arial" w:cs="Arial"/>
          <w:color w:val="000000" w:themeColor="text1"/>
          <w:sz w:val="20"/>
          <w:szCs w:val="20"/>
        </w:rPr>
        <w:t>of age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 xml:space="preserve"> [3]</w:t>
      </w:r>
      <w:r w:rsidR="00427DC4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174E2" w:rsidRPr="00FF0BB2">
        <w:rPr>
          <w:rFonts w:ascii="Arial" w:hAnsi="Arial" w:cs="Arial"/>
          <w:color w:val="000000" w:themeColor="text1"/>
          <w:sz w:val="20"/>
          <w:szCs w:val="20"/>
        </w:rPr>
        <w:t xml:space="preserve">Most of the deaths are due to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complications of recurrent stroke or infection. </w:t>
      </w:r>
      <w:r w:rsidR="0052743E" w:rsidRPr="00FF0BB2">
        <w:rPr>
          <w:rFonts w:ascii="Arial" w:hAnsi="Arial" w:cs="Arial"/>
          <w:color w:val="000000" w:themeColor="text1"/>
          <w:sz w:val="20"/>
          <w:szCs w:val="20"/>
        </w:rPr>
        <w:t xml:space="preserve">Skin and </w:t>
      </w:r>
      <w:r w:rsidR="005D63F9" w:rsidRPr="00FF0BB2">
        <w:rPr>
          <w:rFonts w:ascii="Arial" w:hAnsi="Arial" w:cs="Arial"/>
          <w:color w:val="000000" w:themeColor="text1"/>
          <w:sz w:val="20"/>
          <w:szCs w:val="20"/>
        </w:rPr>
        <w:t xml:space="preserve">central nervous system are the most commonly 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>a</w:t>
      </w:r>
      <w:r w:rsidR="005D63F9" w:rsidRPr="00FF0BB2">
        <w:rPr>
          <w:rFonts w:ascii="Arial" w:hAnsi="Arial" w:cs="Arial"/>
          <w:color w:val="000000" w:themeColor="text1"/>
          <w:sz w:val="20"/>
          <w:szCs w:val="20"/>
        </w:rPr>
        <w:t>ffected organs</w:t>
      </w:r>
      <w:r w:rsidR="001E0782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C33042" w:rsidRPr="00FF0BB2">
        <w:rPr>
          <w:rFonts w:ascii="Arial" w:hAnsi="Arial" w:cs="Arial"/>
          <w:color w:val="000000" w:themeColor="text1"/>
          <w:sz w:val="20"/>
          <w:szCs w:val="20"/>
        </w:rPr>
        <w:t xml:space="preserve"> Cutaneous manifestation is the most common presentation </w:t>
      </w:r>
      <w:r w:rsidR="00D210EB" w:rsidRPr="00FF0BB2">
        <w:rPr>
          <w:rFonts w:ascii="Arial" w:hAnsi="Arial" w:cs="Arial"/>
          <w:color w:val="000000" w:themeColor="text1"/>
          <w:sz w:val="20"/>
          <w:szCs w:val="20"/>
        </w:rPr>
        <w:t xml:space="preserve">with </w:t>
      </w:r>
      <w:r w:rsidR="00C33042" w:rsidRPr="00FF0BB2">
        <w:rPr>
          <w:rFonts w:ascii="Arial" w:hAnsi="Arial" w:cs="Arial"/>
          <w:color w:val="000000" w:themeColor="text1"/>
          <w:sz w:val="20"/>
          <w:szCs w:val="20"/>
        </w:rPr>
        <w:t xml:space="preserve">75% </w:t>
      </w:r>
      <w:r w:rsidR="00EA1904" w:rsidRPr="00FF0BB2">
        <w:rPr>
          <w:rFonts w:ascii="Arial" w:hAnsi="Arial" w:cs="Arial"/>
          <w:color w:val="000000" w:themeColor="text1"/>
          <w:sz w:val="20"/>
          <w:szCs w:val="20"/>
        </w:rPr>
        <w:t xml:space="preserve">of </w:t>
      </w:r>
      <w:r w:rsidR="00C33042" w:rsidRPr="00FF0BB2">
        <w:rPr>
          <w:rFonts w:ascii="Arial" w:hAnsi="Arial" w:cs="Arial"/>
          <w:color w:val="000000" w:themeColor="text1"/>
          <w:sz w:val="20"/>
          <w:szCs w:val="20"/>
        </w:rPr>
        <w:t>patient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s presenting </w:t>
      </w:r>
      <w:r w:rsidR="00C33042" w:rsidRPr="00FF0BB2">
        <w:rPr>
          <w:rFonts w:ascii="Arial" w:hAnsi="Arial" w:cs="Arial"/>
          <w:color w:val="000000" w:themeColor="text1"/>
          <w:sz w:val="20"/>
          <w:szCs w:val="20"/>
        </w:rPr>
        <w:t>with skin related complaint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>s. Patients</w:t>
      </w:r>
      <w:r w:rsidR="001E0782" w:rsidRPr="00FF0BB2">
        <w:rPr>
          <w:rFonts w:ascii="Arial" w:hAnsi="Arial" w:cs="Arial"/>
          <w:color w:val="000000" w:themeColor="text1"/>
          <w:sz w:val="20"/>
          <w:szCs w:val="20"/>
        </w:rPr>
        <w:t xml:space="preserve"> may a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lso present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with gastrointestinal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>, liver, renal, coronary vessel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>s involvement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 xml:space="preserve"> [5,6]</w:t>
      </w:r>
      <w:r w:rsidR="00C33042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Pancytopenia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has been</w:t>
      </w:r>
      <w:r w:rsidR="00106B08" w:rsidRPr="00FF0BB2">
        <w:rPr>
          <w:rFonts w:ascii="Arial" w:hAnsi="Arial" w:cs="Arial"/>
          <w:color w:val="000000" w:themeColor="text1"/>
          <w:sz w:val="20"/>
          <w:szCs w:val="20"/>
        </w:rPr>
        <w:t xml:space="preserve"> reported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in few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patients.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In s</w:t>
      </w:r>
      <w:r w:rsidR="00E05B7A" w:rsidRPr="00FF0BB2">
        <w:rPr>
          <w:rFonts w:ascii="Arial" w:hAnsi="Arial" w:cs="Arial"/>
          <w:color w:val="000000" w:themeColor="text1"/>
          <w:sz w:val="20"/>
          <w:szCs w:val="20"/>
        </w:rPr>
        <w:t>ome patients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>,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cytopenia 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>was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 the only presenting symptom and </w:t>
      </w:r>
      <w:r w:rsidR="00DC14C1" w:rsidRPr="00FF0BB2">
        <w:rPr>
          <w:rFonts w:ascii="Arial" w:hAnsi="Arial" w:cs="Arial"/>
          <w:color w:val="000000" w:themeColor="text1"/>
          <w:sz w:val="20"/>
          <w:szCs w:val="20"/>
        </w:rPr>
        <w:t>can present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 as autoimmune hemolytic anemia,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>thrombocytopenia</w:t>
      </w:r>
      <w:r w:rsidR="000F265A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 pure red cell aplasia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 xml:space="preserve"> [7-9]</w:t>
      </w:r>
      <w:r w:rsidR="00E85520" w:rsidRPr="00FF0BB2">
        <w:rPr>
          <w:rFonts w:ascii="Arial" w:hAnsi="Arial" w:cs="Arial"/>
          <w:color w:val="000000" w:themeColor="text1"/>
          <w:spacing w:val="2"/>
          <w:sz w:val="20"/>
          <w:szCs w:val="20"/>
          <w:shd w:val="clear" w:color="auto" w:fill="FCFCFC"/>
        </w:rPr>
        <w:t xml:space="preserve">. 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>Bone marrow biops</w:t>
      </w:r>
      <w:r w:rsidR="00066F18" w:rsidRPr="00FF0BB2">
        <w:rPr>
          <w:rFonts w:ascii="Arial" w:hAnsi="Arial" w:cs="Arial"/>
          <w:color w:val="000000" w:themeColor="text1"/>
          <w:sz w:val="20"/>
          <w:szCs w:val="20"/>
        </w:rPr>
        <w:t xml:space="preserve">y can 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show reticulin</w:t>
      </w:r>
      <w:r w:rsidR="00EB1E58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>fibrosis and characteristic lymphoid aggregates [</w:t>
      </w:r>
      <w:hyperlink r:id="rId8" w:anchor="CR1" w:tooltip="View reference" w:history="1">
        <w:r w:rsidR="00E85520" w:rsidRPr="00FF0BB2">
          <w:rPr>
            <w:rFonts w:ascii="Arial" w:hAnsi="Arial" w:cs="Arial"/>
            <w:color w:val="000000" w:themeColor="text1"/>
            <w:sz w:val="20"/>
            <w:szCs w:val="20"/>
          </w:rPr>
          <w:t>1</w:t>
        </w:r>
      </w:hyperlink>
      <w:r w:rsidR="00E43F83">
        <w:rPr>
          <w:rFonts w:ascii="Arial" w:hAnsi="Arial" w:cs="Arial"/>
          <w:color w:val="000000" w:themeColor="text1"/>
          <w:sz w:val="20"/>
          <w:szCs w:val="20"/>
        </w:rPr>
        <w:t>0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>].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Hence,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 DADA2 shoul</w:t>
      </w:r>
      <w:r w:rsidR="0084745C" w:rsidRPr="00FF0BB2">
        <w:rPr>
          <w:rFonts w:ascii="Arial" w:hAnsi="Arial" w:cs="Arial"/>
          <w:color w:val="000000" w:themeColor="text1"/>
          <w:sz w:val="20"/>
          <w:szCs w:val="20"/>
        </w:rPr>
        <w:t>d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 be considered in </w:t>
      </w:r>
      <w:r w:rsidR="0084745C" w:rsidRPr="00FF0BB2">
        <w:rPr>
          <w:rFonts w:ascii="Arial" w:hAnsi="Arial" w:cs="Arial"/>
          <w:color w:val="000000" w:themeColor="text1"/>
          <w:sz w:val="20"/>
          <w:szCs w:val="20"/>
        </w:rPr>
        <w:t xml:space="preserve">cases presenting with </w:t>
      </w:r>
      <w:r w:rsidR="00E85520" w:rsidRPr="00FF0BB2">
        <w:rPr>
          <w:rFonts w:ascii="Arial" w:hAnsi="Arial" w:cs="Arial"/>
          <w:color w:val="000000" w:themeColor="text1"/>
          <w:sz w:val="20"/>
          <w:szCs w:val="20"/>
        </w:rPr>
        <w:t xml:space="preserve">bone marrow failure and idiopathic aplastic anemia in the absence of an inflammatory </w:t>
      </w:r>
      <w:r w:rsidR="0084745C" w:rsidRPr="00FF0BB2">
        <w:rPr>
          <w:rFonts w:ascii="Arial" w:hAnsi="Arial" w:cs="Arial"/>
          <w:color w:val="000000" w:themeColor="text1"/>
          <w:sz w:val="20"/>
          <w:szCs w:val="20"/>
        </w:rPr>
        <w:t>etiology.</w:t>
      </w:r>
    </w:p>
    <w:p w14:paraId="48010642" w14:textId="000DEC76" w:rsidR="00712A87" w:rsidRPr="00494201" w:rsidRDefault="00712A87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</w:pPr>
      <w:r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ADA2 is predominantly expressed in myeloid cells and is produced by activated monocytes, macrophages, and dendritic cells [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>11</w:t>
      </w:r>
      <w:r w:rsidR="00592D05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]. They</w:t>
      </w:r>
      <w:r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are released during inflammatory responses and is detected in high levels in infectious diseases, autoimmune diseases, chronic liver disorders, </w:t>
      </w:r>
      <w:r w:rsidR="007D74B2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AIDS, tuberculosis</w:t>
      </w:r>
      <w:r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,</w:t>
      </w:r>
      <w:r w:rsidR="008A4213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</w:t>
      </w:r>
      <w:r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Crohn’s disease and are detected in high levels in plasma in these conditions. [</w:t>
      </w:r>
      <w:r w:rsidR="00317737" w:rsidRPr="00FF0BB2">
        <w:rPr>
          <w:rFonts w:ascii="Arial" w:hAnsi="Arial" w:cs="Arial"/>
          <w:color w:val="000000" w:themeColor="text1"/>
          <w:sz w:val="20"/>
          <w:szCs w:val="20"/>
        </w:rPr>
        <w:t>12</w:t>
      </w:r>
      <w:r w:rsidR="00E43F83">
        <w:rPr>
          <w:rFonts w:ascii="Arial" w:hAnsi="Arial" w:cs="Arial"/>
          <w:color w:val="000000" w:themeColor="text1"/>
          <w:sz w:val="20"/>
          <w:szCs w:val="20"/>
        </w:rPr>
        <w:t>, 13</w:t>
      </w:r>
      <w:r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].</w:t>
      </w:r>
    </w:p>
    <w:p w14:paraId="4D82B2EE" w14:textId="31350817" w:rsidR="006A0F0F" w:rsidRPr="00FF0BB2" w:rsidRDefault="00066F18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>Sixty one</w:t>
      </w:r>
      <w:r w:rsidR="00DA3EA8" w:rsidRPr="00FF0BB2">
        <w:rPr>
          <w:rFonts w:ascii="Arial" w:hAnsi="Arial" w:cs="Arial"/>
          <w:color w:val="000000" w:themeColor="text1"/>
          <w:sz w:val="20"/>
          <w:szCs w:val="20"/>
        </w:rPr>
        <w:t xml:space="preserve"> disease-causing mutations have been identified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to be associated with DADA-2</w:t>
      </w:r>
      <w:r w:rsidR="00DA3EA8" w:rsidRPr="00FF0BB2">
        <w:rPr>
          <w:rFonts w:ascii="Arial" w:hAnsi="Arial" w:cs="Arial"/>
          <w:color w:val="000000" w:themeColor="text1"/>
          <w:sz w:val="20"/>
          <w:szCs w:val="20"/>
        </w:rPr>
        <w:t>.The most common disease variants are p.Gly47Arg (p.G47R), p.Gly47Ala (p.G47A), p.Arg169Gln (p.R169Q), and p.Tyr453Cys (p.Y453C) [</w:t>
      </w:r>
      <w:hyperlink r:id="rId9" w:anchor="ref-CR1" w:tooltip="Zhou Q, Yang D, Ombrello AK, Zavialov AV, Toro C, Zavialov AV, et al. Early-onset stroke and vasculopathy associated with mutations in ADA2. N Engl J Med. 2014;370(10):911–20." w:history="1">
        <w:r w:rsidR="00DA3EA8" w:rsidRPr="00FF0BB2">
          <w:rPr>
            <w:rFonts w:ascii="Arial" w:hAnsi="Arial" w:cs="Arial"/>
            <w:color w:val="000000" w:themeColor="text1"/>
            <w:sz w:val="20"/>
            <w:szCs w:val="20"/>
          </w:rPr>
          <w:t>1</w:t>
        </w:r>
      </w:hyperlink>
      <w:r w:rsidR="00DA3EA8" w:rsidRPr="00FF0BB2">
        <w:rPr>
          <w:rFonts w:ascii="Arial" w:hAnsi="Arial" w:cs="Arial"/>
          <w:color w:val="000000" w:themeColor="text1"/>
          <w:sz w:val="20"/>
          <w:szCs w:val="20"/>
        </w:rPr>
        <w:t>, </w:t>
      </w:r>
      <w:hyperlink r:id="rId10" w:anchor="ref-CR2" w:tooltip="Navon Elkan P, Pierce SB, Segel R, Walsh T, Barash J, Padeh S, et al. Mutant adenosine deaminase 2 in a polyarteritis nodosa vasculopathy. N Engl J Med. 2014;370(10):921–31." w:history="1">
        <w:r w:rsidR="00DA3EA8" w:rsidRPr="00FF0BB2">
          <w:rPr>
            <w:rFonts w:ascii="Arial" w:hAnsi="Arial" w:cs="Arial"/>
            <w:color w:val="000000" w:themeColor="text1"/>
            <w:sz w:val="20"/>
            <w:szCs w:val="20"/>
          </w:rPr>
          <w:t>2</w:t>
        </w:r>
      </w:hyperlink>
      <w:r w:rsidR="00DA3EA8" w:rsidRPr="00FF0BB2">
        <w:rPr>
          <w:rFonts w:ascii="Arial" w:hAnsi="Arial" w:cs="Arial"/>
          <w:color w:val="000000" w:themeColor="text1"/>
          <w:sz w:val="20"/>
          <w:szCs w:val="20"/>
        </w:rPr>
        <w:t xml:space="preserve">].Our patient 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showed</w:t>
      </w:r>
      <w:r w:rsidR="00DA3EA8" w:rsidRPr="00FF0BB2">
        <w:rPr>
          <w:rFonts w:ascii="Arial" w:hAnsi="Arial" w:cs="Arial"/>
          <w:color w:val="000000" w:themeColor="text1"/>
          <w:sz w:val="20"/>
          <w:szCs w:val="20"/>
        </w:rPr>
        <w:t xml:space="preserve"> c907G&gt;T (p.Glu303Ter)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which has not been reported</w:t>
      </w:r>
      <w:r w:rsidR="007E1E83" w:rsidRPr="00FF0BB2">
        <w:rPr>
          <w:rFonts w:ascii="Arial" w:hAnsi="Arial" w:cs="Arial"/>
          <w:color w:val="000000" w:themeColor="text1"/>
          <w:sz w:val="20"/>
          <w:szCs w:val="20"/>
        </w:rPr>
        <w:t>.</w:t>
      </w:r>
      <w:r w:rsidR="00243D80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A0F0F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The pathophysiology of the immunodeficiency in DADA2 is unclear and is speculated to be due to inhibition of B cell differentiation and function due to inflammation. The mainstay of treatment is TNF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alpha</w:t>
      </w:r>
      <w:r w:rsidR="006A0F0F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-inhibition.</w:t>
      </w:r>
      <w:r w:rsidR="00712A87"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>B</w:t>
      </w:r>
      <w:r w:rsidR="00712A87" w:rsidRPr="00FF0BB2">
        <w:rPr>
          <w:rFonts w:ascii="Arial" w:hAnsi="Arial" w:cs="Arial"/>
          <w:color w:val="000000" w:themeColor="text1"/>
          <w:sz w:val="20"/>
          <w:szCs w:val="20"/>
        </w:rPr>
        <w:t>one marrow transplantation or genetic manipulation of bone marrow cells has a role in the treatment of these patients.</w:t>
      </w:r>
      <w:r w:rsidR="00592D05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Allogeneic</w:t>
      </w:r>
      <w:r w:rsidR="00712A87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stem cell transplant can be offered in </w:t>
      </w:r>
      <w:r w:rsidR="00592D05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patients not</w:t>
      </w:r>
      <w:r w:rsidR="006A0F0F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responding to TNF-inhibitors</w:t>
      </w:r>
      <w:r w:rsidR="00E43F83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 xml:space="preserve"> [14]</w:t>
      </w:r>
      <w:r w:rsidR="006A0F0F" w:rsidRPr="00FF0BB2">
        <w:rPr>
          <w:rFonts w:ascii="Arial" w:hAnsi="Arial" w:cs="Arial"/>
          <w:color w:val="000000" w:themeColor="text1"/>
          <w:sz w:val="20"/>
          <w:szCs w:val="20"/>
          <w:shd w:val="clear" w:color="auto" w:fill="FCFCFC"/>
        </w:rPr>
        <w:t>.</w:t>
      </w:r>
    </w:p>
    <w:p w14:paraId="2A386B88" w14:textId="77777777" w:rsidR="009A33CE" w:rsidRDefault="009A33CE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2C367C7" w14:textId="77777777" w:rsidR="009A33CE" w:rsidRDefault="009A33CE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2DE3B5F" w14:textId="5181FC93" w:rsidR="00E636E3" w:rsidRPr="00FF0BB2" w:rsidRDefault="00E636E3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Conclusion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B097740" w14:textId="32635BE8" w:rsidR="00075489" w:rsidRPr="00FF0BB2" w:rsidRDefault="00712A87" w:rsidP="008928EA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In patients with congenital neutropenia 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>DADA -2 is an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important emerging differential diagnosis to consider especially in patients with features of autoimmunity. Timely recognition and initiation of therapy with TNF alpha </w:t>
      </w:r>
      <w:r w:rsidR="00E636E3" w:rsidRPr="00FF0BB2">
        <w:rPr>
          <w:rFonts w:ascii="Arial" w:hAnsi="Arial" w:cs="Arial"/>
          <w:color w:val="000000" w:themeColor="text1"/>
          <w:sz w:val="20"/>
          <w:szCs w:val="20"/>
        </w:rPr>
        <w:t>inhibitor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 xml:space="preserve"> can help in amelioration of symptoms. Allogeneic stem cell transplant can be reserved for patients not responding to TNF inhibitor therapy</w:t>
      </w:r>
      <w:r w:rsidR="000A18A8" w:rsidRPr="00FF0BB2">
        <w:rPr>
          <w:rFonts w:ascii="Arial" w:hAnsi="Arial" w:cs="Arial"/>
          <w:color w:val="000000" w:themeColor="text1"/>
          <w:sz w:val="20"/>
          <w:szCs w:val="20"/>
        </w:rPr>
        <w:t xml:space="preserve"> or in whom TNF inhibitor therapy is contraindicated</w:t>
      </w:r>
      <w:r w:rsidRPr="00FF0BB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E514838" w14:textId="77777777" w:rsidR="00EC4D97" w:rsidRPr="00FF0BB2" w:rsidRDefault="00EC4D97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48E498" w14:textId="77777777" w:rsidR="00EC4D97" w:rsidRPr="00FF0BB2" w:rsidRDefault="00EC4D97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C303E34" w14:textId="53368FDF" w:rsidR="00EC4D97" w:rsidRDefault="00EC4D97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F3A4C27" w14:textId="2A8874D2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FF6717B" w14:textId="24780CD2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C909BD9" w14:textId="42B79937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87DB477" w14:textId="2980F8C5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3D4789A" w14:textId="1923A063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6CCB3C9" w14:textId="7619D3DF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E21882" w14:textId="17D30EDE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6EE13BF" w14:textId="46784999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AC49CD" w14:textId="5F98016E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57BCF7F" w14:textId="59D4229D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40B4F5" w14:textId="5F6ADF43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03F963" w14:textId="0D8321F6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BA896B" w14:textId="6136D0C5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EF3FBFF" w14:textId="77777777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61F0491" w14:textId="0EFEE5AD" w:rsidR="00A50959" w:rsidRDefault="00A50959" w:rsidP="008928EA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F3B4542" w14:textId="6FDCA9F3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  <w:r w:rsidRPr="008928EA"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  <w:lastRenderedPageBreak/>
        <w:t>References</w:t>
      </w:r>
    </w:p>
    <w:p w14:paraId="227EB9EB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Zhou Q, Yang D,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Ombrello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AK,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Zavialov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AV, Toro C,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Zavialov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AV, et al. Early-onset stroke and vasculopathy associated with mutations in ADA2. N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Engl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J Med. 2014;370(10):911–20.</w:t>
      </w:r>
    </w:p>
    <w:p w14:paraId="72AF29BC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Navon Elkan P, Pierce SB,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Segel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R, Walsh T, Barash J,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Padeh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et al. Mutant adenosine deaminase 2 in a polyarteritis nodosa vasculopathy. N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Engl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J Med. 2014;370(10):921–31.</w:t>
      </w:r>
    </w:p>
    <w:p w14:paraId="44E1086F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>Ben-Ami T, Revel-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Vilk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Brooks R,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Shaag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A, Hershfield MS, Kelly SJ, et al. Extending the clinical phenotype of adenosine deaminase 2 deficiency. J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Pediatr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>. 2016; 177:316–20.</w:t>
      </w:r>
    </w:p>
    <w:p w14:paraId="080D5CF9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Zavialov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AV,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Gracia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E,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Glaichenhaus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N, Franco R,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Zavialov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AV,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Lauvau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G. Human adenosine deaminase 2 induces differentiation of monocytes into macrophages and stimulates proliferation of T helper cells and macrophages. J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Leukoc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Biol. 2010;88(2):279–90.</w:t>
      </w:r>
    </w:p>
    <w:p w14:paraId="03B47D59" w14:textId="77777777" w:rsidR="008928EA" w:rsidRPr="000A1C74" w:rsidRDefault="008928EA" w:rsidP="008928EA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000000" w:themeColor="text1"/>
        </w:rPr>
      </w:pPr>
      <w:r w:rsidRPr="000A1C74">
        <w:rPr>
          <w:rFonts w:ascii="Arial" w:hAnsi="Arial" w:cs="Arial"/>
          <w:color w:val="000000" w:themeColor="text1"/>
        </w:rPr>
        <w:t xml:space="preserve">Fernandez E, Rodrigo L, </w:t>
      </w:r>
      <w:proofErr w:type="spellStart"/>
      <w:r w:rsidRPr="000A1C74">
        <w:rPr>
          <w:rFonts w:ascii="Arial" w:hAnsi="Arial" w:cs="Arial"/>
          <w:color w:val="000000" w:themeColor="text1"/>
        </w:rPr>
        <w:t>Riestra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S, </w:t>
      </w:r>
      <w:proofErr w:type="spellStart"/>
      <w:r w:rsidRPr="000A1C74">
        <w:rPr>
          <w:rFonts w:ascii="Arial" w:hAnsi="Arial" w:cs="Arial"/>
          <w:color w:val="000000" w:themeColor="text1"/>
        </w:rPr>
        <w:t>Carcia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S, Gutierrez F, </w:t>
      </w:r>
      <w:proofErr w:type="spellStart"/>
      <w:r w:rsidRPr="000A1C74">
        <w:rPr>
          <w:rFonts w:ascii="Arial" w:hAnsi="Arial" w:cs="Arial"/>
          <w:color w:val="000000" w:themeColor="text1"/>
        </w:rPr>
        <w:t>Ocio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G. Adenosine deaminase isoenzymes and neopterin in liver cirrhosis. J Clin Gastroenterol. 2000;30(2):181–6. </w:t>
      </w:r>
    </w:p>
    <w:p w14:paraId="3E397E59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Sari RA,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Taysi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Yilmaz O,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Bakan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N. Correlation of serum levels of adenosine deaminase activity and its isoenzymes with disease activity in rheumatoid arthritis. Clin Exp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Rheumatol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>. 2003;21(1): 87–90.</w:t>
      </w:r>
    </w:p>
    <w:p w14:paraId="3EB0ECF5" w14:textId="77777777" w:rsidR="008928EA" w:rsidRPr="000A1C74" w:rsidRDefault="008928EA" w:rsidP="008928EA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color w:val="000000" w:themeColor="text1"/>
        </w:rPr>
      </w:pPr>
      <w:r w:rsidRPr="000A1C74">
        <w:rPr>
          <w:rFonts w:ascii="Arial" w:hAnsi="Arial" w:cs="Arial"/>
          <w:color w:val="000000" w:themeColor="text1"/>
        </w:rPr>
        <w:t xml:space="preserve">Hashem H, </w:t>
      </w:r>
      <w:proofErr w:type="spellStart"/>
      <w:r w:rsidRPr="000A1C74">
        <w:rPr>
          <w:rFonts w:ascii="Arial" w:hAnsi="Arial" w:cs="Arial"/>
          <w:color w:val="000000" w:themeColor="text1"/>
        </w:rPr>
        <w:t>Egler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R, </w:t>
      </w:r>
      <w:proofErr w:type="spellStart"/>
      <w:r w:rsidRPr="000A1C74">
        <w:rPr>
          <w:rFonts w:ascii="Arial" w:hAnsi="Arial" w:cs="Arial"/>
          <w:color w:val="000000" w:themeColor="text1"/>
        </w:rPr>
        <w:t>Dalal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J. Refractory pure red cell aplasia manifesting as deficiency of adenosine deaminase 2. J </w:t>
      </w:r>
      <w:proofErr w:type="spellStart"/>
      <w:r w:rsidRPr="000A1C74">
        <w:rPr>
          <w:rFonts w:ascii="Arial" w:hAnsi="Arial" w:cs="Arial"/>
          <w:color w:val="000000" w:themeColor="text1"/>
        </w:rPr>
        <w:t>Pediatr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1C74">
        <w:rPr>
          <w:rFonts w:ascii="Arial" w:hAnsi="Arial" w:cs="Arial"/>
          <w:color w:val="000000" w:themeColor="text1"/>
        </w:rPr>
        <w:t>Hematol</w:t>
      </w:r>
      <w:proofErr w:type="spellEnd"/>
      <w:r w:rsidRPr="000A1C74">
        <w:rPr>
          <w:rFonts w:ascii="Arial" w:hAnsi="Arial" w:cs="Arial"/>
          <w:color w:val="000000" w:themeColor="text1"/>
        </w:rPr>
        <w:t xml:space="preserve"> Oncol. 2017;39(5): e293–e6. </w:t>
      </w:r>
    </w:p>
    <w:p w14:paraId="247F3791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Sundin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M,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Marits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P,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Nierkens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Kolios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AGA, Nilsson J. “Immune” thrombocytopenia as key feature of a novel ADA2 deficiency variant: implication on differential diagnostics of ITP in children. J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Pediatr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Hematol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Oncol </w:t>
      </w:r>
      <w:r w:rsidRPr="000A1C74">
        <w:rPr>
          <w:rFonts w:ascii="Arial" w:hAnsi="Arial" w:cs="Arial"/>
          <w:color w:val="000000" w:themeColor="text1"/>
          <w:sz w:val="22"/>
          <w:szCs w:val="22"/>
          <w:lang w:val="en-IN"/>
        </w:rPr>
        <w:t>2019 Mar;41(2):155-157.</w:t>
      </w:r>
    </w:p>
    <w:p w14:paraId="3F8370DF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Hsu AP, West RR, Calvo KR, Cuellar-Rodriguez J,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Parta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M, Kelly SJ, et al. Adenosine deaminase type 2 deficiency masquerading as GATA2 deficiency: successful hematopoietic stem cell transplantation. J Allergy Clin Immunol. 2016;138(2):628–630.e2.</w:t>
      </w:r>
    </w:p>
    <w:p w14:paraId="308DE185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Trotta L,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Martelius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T,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Siitonen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T,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Hautala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T,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Hamalainen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Juntti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H, et al. ADA2 deficiency: clonal lymphoproliferation in a subset of patients. J Allergy Clin Immunol. 2018; 141:1534–1537.e8.</w:t>
      </w:r>
    </w:p>
    <w:p w14:paraId="4E11823C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lastRenderedPageBreak/>
        <w:t>Iwaki-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Egawa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S, Yamamoto T, Watanabe Y. Human plasma adenosine deaminase 2 is secreted by activated monocytes. Biol Chem. 2006;387(3):319–21.</w:t>
      </w:r>
    </w:p>
    <w:p w14:paraId="10BE0640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Bae MJ, Ryu S, Kim HJ, Cha SI, Kim CH, Lee J. Mycobacterium tuberculosis ESAT6 and CPF10 induce adenosine deaminase 2 mRNA expression in monocyte-derived macrophages.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Tuberc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Respir Dis (Seoul). 2017;80(1):77–82.</w:t>
      </w:r>
    </w:p>
    <w:p w14:paraId="65027F8B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Niedzwicki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JG,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Kouttab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NM, Mayer KH, Carpenter CC, Parks RE Jr,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Abushanab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E, et al. Plasma adenosine deaminase2: a marker for human immunodeficiency virus infection. J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Acquir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Immune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Defic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Syndr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>. 1991;4(2):178–82.</w:t>
      </w:r>
    </w:p>
    <w:p w14:paraId="2BE3DD7A" w14:textId="77777777" w:rsidR="008928EA" w:rsidRPr="000A1C74" w:rsidRDefault="008928EA" w:rsidP="008928EA">
      <w:pPr>
        <w:pStyle w:val="EndnoteText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Van Eyck L Jr, Hershfield MS, Pombal D, Kelly SJ,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Ganson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NJ, </w:t>
      </w:r>
      <w:proofErr w:type="spellStart"/>
      <w:r w:rsidRPr="000A1C74">
        <w:rPr>
          <w:rFonts w:ascii="Arial" w:hAnsi="Arial" w:cs="Arial"/>
          <w:color w:val="000000" w:themeColor="text1"/>
          <w:sz w:val="22"/>
          <w:szCs w:val="22"/>
        </w:rPr>
        <w:t>Moens</w:t>
      </w:r>
      <w:proofErr w:type="spellEnd"/>
      <w:r w:rsidRPr="000A1C74">
        <w:rPr>
          <w:rFonts w:ascii="Arial" w:hAnsi="Arial" w:cs="Arial"/>
          <w:color w:val="000000" w:themeColor="text1"/>
          <w:sz w:val="22"/>
          <w:szCs w:val="22"/>
        </w:rPr>
        <w:t xml:space="preserve"> L, et al. Hematopoietic stem cell transplantation rescues the immunologic phenotype and prevents vasculopathy in patients with adenosine deaminase 2 deficiency. J Allergy Clin Immunol. 2015;135(1):283–7 e5.</w:t>
      </w:r>
      <w:r w:rsidRPr="000A1C74">
        <w:rPr>
          <w:rFonts w:ascii="Arial" w:hAnsi="Arial" w:cs="Arial"/>
          <w:sz w:val="22"/>
          <w:szCs w:val="22"/>
        </w:rPr>
        <w:t xml:space="preserve"> </w:t>
      </w:r>
    </w:p>
    <w:p w14:paraId="5FB44CF6" w14:textId="77777777" w:rsidR="008928EA" w:rsidRPr="000A1C74" w:rsidRDefault="008928EA" w:rsidP="008928EA">
      <w:pPr>
        <w:spacing w:line="480" w:lineRule="auto"/>
        <w:jc w:val="both"/>
        <w:rPr>
          <w:rFonts w:ascii="Arial" w:hAnsi="Arial" w:cs="Arial"/>
        </w:rPr>
      </w:pPr>
    </w:p>
    <w:p w14:paraId="7F70B939" w14:textId="0858F6A1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7FA2EF7" w14:textId="33E8A794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F71972D" w14:textId="43C1A550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6EFD396" w14:textId="6995266A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19EF9357" w14:textId="16F43A7D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27484A2" w14:textId="3B110FAC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189304A4" w14:textId="5B25C22C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296ED79" w14:textId="03210C7C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25E89623" w14:textId="66D4932F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41F5416" w14:textId="40E97395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703FFAE" w14:textId="4F74AD45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A2821F5" w14:textId="00AB9172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0F762EF" w14:textId="77777777" w:rsidR="008928EA" w:rsidRDefault="008928EA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1A0C0440" w14:textId="4173B6DE" w:rsidR="0093592E" w:rsidRPr="00FF0BB2" w:rsidRDefault="006E49EC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Legend to </w:t>
      </w:r>
      <w:r w:rsidR="00E118A5" w:rsidRPr="00FF0BB2">
        <w:rPr>
          <w:rFonts w:ascii="Arial" w:hAnsi="Arial" w:cs="Arial"/>
          <w:color w:val="000000" w:themeColor="text1"/>
          <w:spacing w:val="2"/>
          <w:sz w:val="20"/>
          <w:szCs w:val="20"/>
        </w:rPr>
        <w:t>Figure 1: Palatal Perforation</w:t>
      </w:r>
    </w:p>
    <w:p w14:paraId="37881308" w14:textId="23A805BF" w:rsidR="006E49EC" w:rsidRPr="00FF0BB2" w:rsidRDefault="006E49EC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  <w:r w:rsidRPr="00FF0BB2">
        <w:rPr>
          <w:rFonts w:ascii="Arial" w:hAnsi="Arial" w:cs="Arial"/>
          <w:color w:val="000000" w:themeColor="text1"/>
          <w:spacing w:val="2"/>
          <w:sz w:val="20"/>
          <w:szCs w:val="20"/>
        </w:rPr>
        <w:t>Legend to Figure 2: Large non-healing skin ulcer</w:t>
      </w:r>
    </w:p>
    <w:p w14:paraId="01B5C231" w14:textId="7A658315" w:rsidR="006E49EC" w:rsidRPr="00FF0BB2" w:rsidRDefault="006E49EC" w:rsidP="008928EA">
      <w:pPr>
        <w:spacing w:line="480" w:lineRule="auto"/>
        <w:jc w:val="both"/>
        <w:rPr>
          <w:rFonts w:ascii="Arial" w:hAnsi="Arial" w:cs="Arial"/>
          <w:color w:val="000000" w:themeColor="text1"/>
          <w:spacing w:val="2"/>
          <w:sz w:val="20"/>
          <w:szCs w:val="20"/>
        </w:rPr>
      </w:pPr>
      <w:r w:rsidRPr="00FF0BB2">
        <w:rPr>
          <w:rFonts w:ascii="Arial" w:hAnsi="Arial" w:cs="Arial"/>
          <w:noProof/>
          <w:color w:val="000000" w:themeColor="text1"/>
          <w:sz w:val="20"/>
          <w:szCs w:val="20"/>
          <w:shd w:val="clear" w:color="auto" w:fill="FCFCFC"/>
          <w:lang w:val="en-IN" w:eastAsia="en-IN"/>
        </w:rPr>
        <w:drawing>
          <wp:anchor distT="0" distB="0" distL="114300" distR="114300" simplePos="0" relativeHeight="251659264" behindDoc="1" locked="0" layoutInCell="1" allowOverlap="1" wp14:anchorId="2C43483A" wp14:editId="1D3CB4A9">
            <wp:simplePos x="0" y="0"/>
            <wp:positionH relativeFrom="margin">
              <wp:posOffset>140091</wp:posOffset>
            </wp:positionH>
            <wp:positionV relativeFrom="page">
              <wp:posOffset>3618181</wp:posOffset>
            </wp:positionV>
            <wp:extent cx="3157220" cy="2026285"/>
            <wp:effectExtent l="0" t="0" r="5080" b="5715"/>
            <wp:wrapTopAndBottom/>
            <wp:docPr id="2" name="Picture 2" descr="A close up of a person with the mouth o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1129_13301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41" t="29167" r="8051" b="-1"/>
                    <a:stretch/>
                  </pic:blipFill>
                  <pic:spPr bwMode="auto">
                    <a:xfrm>
                      <a:off x="0" y="0"/>
                      <a:ext cx="31572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BB2">
        <w:rPr>
          <w:rFonts w:ascii="Arial" w:hAnsi="Arial" w:cs="Arial"/>
          <w:noProof/>
          <w:color w:val="000000" w:themeColor="text1"/>
          <w:spacing w:val="2"/>
          <w:sz w:val="20"/>
          <w:szCs w:val="20"/>
        </w:rPr>
        <w:drawing>
          <wp:inline distT="0" distB="0" distL="0" distR="0" wp14:anchorId="0B4B8517" wp14:editId="46C26C46">
            <wp:extent cx="3136519" cy="2157925"/>
            <wp:effectExtent l="0" t="0" r="63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220" cy="2194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49EC" w:rsidRPr="00FF0BB2" w:rsidSect="002A3C60">
      <w:endnotePr>
        <w:numFmt w:val="decimal"/>
      </w:endnotePr>
      <w:pgSz w:w="12240" w:h="15840"/>
      <w:pgMar w:top="1440" w:right="90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CA506" w14:textId="77777777" w:rsidR="00726F51" w:rsidRDefault="00726F51" w:rsidP="001C7794">
      <w:pPr>
        <w:spacing w:after="0" w:line="240" w:lineRule="auto"/>
      </w:pPr>
      <w:r>
        <w:separator/>
      </w:r>
    </w:p>
  </w:endnote>
  <w:endnote w:type="continuationSeparator" w:id="0">
    <w:p w14:paraId="3D2D2706" w14:textId="77777777" w:rsidR="00726F51" w:rsidRDefault="00726F51" w:rsidP="001C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0E42" w14:textId="77777777" w:rsidR="00726F51" w:rsidRDefault="00726F51" w:rsidP="001C7794">
      <w:pPr>
        <w:spacing w:after="0" w:line="240" w:lineRule="auto"/>
      </w:pPr>
      <w:r>
        <w:separator/>
      </w:r>
    </w:p>
  </w:footnote>
  <w:footnote w:type="continuationSeparator" w:id="0">
    <w:p w14:paraId="5ADEA010" w14:textId="77777777" w:rsidR="00726F51" w:rsidRDefault="00726F51" w:rsidP="001C7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0B14"/>
    <w:multiLevelType w:val="hybridMultilevel"/>
    <w:tmpl w:val="733EAB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D7978"/>
    <w:multiLevelType w:val="multilevel"/>
    <w:tmpl w:val="A61C0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C25E5"/>
    <w:multiLevelType w:val="multilevel"/>
    <w:tmpl w:val="EAC05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0252235">
    <w:abstractNumId w:val="1"/>
  </w:num>
  <w:num w:numId="2" w16cid:durableId="37241999">
    <w:abstractNumId w:val="2"/>
  </w:num>
  <w:num w:numId="3" w16cid:durableId="183102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DA"/>
    <w:rsid w:val="00031F82"/>
    <w:rsid w:val="000414A2"/>
    <w:rsid w:val="00050122"/>
    <w:rsid w:val="00051488"/>
    <w:rsid w:val="00061F96"/>
    <w:rsid w:val="00066F18"/>
    <w:rsid w:val="00075489"/>
    <w:rsid w:val="000A18A8"/>
    <w:rsid w:val="000B3C43"/>
    <w:rsid w:val="000B6D16"/>
    <w:rsid w:val="000D2B28"/>
    <w:rsid w:val="000E6E2E"/>
    <w:rsid w:val="000F265A"/>
    <w:rsid w:val="00106B08"/>
    <w:rsid w:val="0013112A"/>
    <w:rsid w:val="00134EF7"/>
    <w:rsid w:val="00144D33"/>
    <w:rsid w:val="00145AC6"/>
    <w:rsid w:val="00175C07"/>
    <w:rsid w:val="001A6C78"/>
    <w:rsid w:val="001C0E1C"/>
    <w:rsid w:val="001C7794"/>
    <w:rsid w:val="001E0782"/>
    <w:rsid w:val="001F4718"/>
    <w:rsid w:val="001F62E3"/>
    <w:rsid w:val="002112EF"/>
    <w:rsid w:val="00243D80"/>
    <w:rsid w:val="00245172"/>
    <w:rsid w:val="002464FE"/>
    <w:rsid w:val="0026726C"/>
    <w:rsid w:val="00273F64"/>
    <w:rsid w:val="002866A5"/>
    <w:rsid w:val="00292D6C"/>
    <w:rsid w:val="00296428"/>
    <w:rsid w:val="002A2D9A"/>
    <w:rsid w:val="002A3BB2"/>
    <w:rsid w:val="002A3C60"/>
    <w:rsid w:val="002B5FF3"/>
    <w:rsid w:val="002C2600"/>
    <w:rsid w:val="002F316C"/>
    <w:rsid w:val="003174E2"/>
    <w:rsid w:val="00317737"/>
    <w:rsid w:val="00327BDA"/>
    <w:rsid w:val="00336208"/>
    <w:rsid w:val="00345C9D"/>
    <w:rsid w:val="00350FAC"/>
    <w:rsid w:val="00351D9A"/>
    <w:rsid w:val="00380760"/>
    <w:rsid w:val="00386B58"/>
    <w:rsid w:val="003D2CA1"/>
    <w:rsid w:val="003F2058"/>
    <w:rsid w:val="00410033"/>
    <w:rsid w:val="00417052"/>
    <w:rsid w:val="00420D7A"/>
    <w:rsid w:val="00427DC4"/>
    <w:rsid w:val="00431408"/>
    <w:rsid w:val="00433CF6"/>
    <w:rsid w:val="00435E2D"/>
    <w:rsid w:val="00447186"/>
    <w:rsid w:val="00452523"/>
    <w:rsid w:val="00460A12"/>
    <w:rsid w:val="00494201"/>
    <w:rsid w:val="004A3502"/>
    <w:rsid w:val="004B613B"/>
    <w:rsid w:val="004D3A3C"/>
    <w:rsid w:val="004E191F"/>
    <w:rsid w:val="004E1D4A"/>
    <w:rsid w:val="004E1FF6"/>
    <w:rsid w:val="004E425E"/>
    <w:rsid w:val="004F1EAF"/>
    <w:rsid w:val="004F456D"/>
    <w:rsid w:val="00500C91"/>
    <w:rsid w:val="005050BE"/>
    <w:rsid w:val="005056AC"/>
    <w:rsid w:val="00511559"/>
    <w:rsid w:val="0052743E"/>
    <w:rsid w:val="00553751"/>
    <w:rsid w:val="00554505"/>
    <w:rsid w:val="0055578C"/>
    <w:rsid w:val="005669BF"/>
    <w:rsid w:val="005729C4"/>
    <w:rsid w:val="005731EB"/>
    <w:rsid w:val="00582B9E"/>
    <w:rsid w:val="00592D05"/>
    <w:rsid w:val="00596692"/>
    <w:rsid w:val="005A0438"/>
    <w:rsid w:val="005B11D6"/>
    <w:rsid w:val="005B11EC"/>
    <w:rsid w:val="005B3174"/>
    <w:rsid w:val="005D4A6C"/>
    <w:rsid w:val="005D63F9"/>
    <w:rsid w:val="006075A6"/>
    <w:rsid w:val="00620807"/>
    <w:rsid w:val="00620A85"/>
    <w:rsid w:val="00631B0C"/>
    <w:rsid w:val="006413C9"/>
    <w:rsid w:val="00686221"/>
    <w:rsid w:val="00691947"/>
    <w:rsid w:val="006A0F0F"/>
    <w:rsid w:val="006B4F88"/>
    <w:rsid w:val="006D764D"/>
    <w:rsid w:val="006E1FEF"/>
    <w:rsid w:val="006E49EC"/>
    <w:rsid w:val="006F3EDB"/>
    <w:rsid w:val="006F4C92"/>
    <w:rsid w:val="0070779A"/>
    <w:rsid w:val="00712A87"/>
    <w:rsid w:val="0071447A"/>
    <w:rsid w:val="00726F51"/>
    <w:rsid w:val="007439BC"/>
    <w:rsid w:val="00754EEC"/>
    <w:rsid w:val="007554AA"/>
    <w:rsid w:val="00766176"/>
    <w:rsid w:val="00790133"/>
    <w:rsid w:val="00792BCA"/>
    <w:rsid w:val="007965BE"/>
    <w:rsid w:val="007A723B"/>
    <w:rsid w:val="007D74B2"/>
    <w:rsid w:val="007E1E83"/>
    <w:rsid w:val="007F76C3"/>
    <w:rsid w:val="00803BFC"/>
    <w:rsid w:val="00806CC0"/>
    <w:rsid w:val="00810120"/>
    <w:rsid w:val="00830126"/>
    <w:rsid w:val="008427E7"/>
    <w:rsid w:val="00845299"/>
    <w:rsid w:val="00846C5A"/>
    <w:rsid w:val="0084745C"/>
    <w:rsid w:val="008513B9"/>
    <w:rsid w:val="00856EA0"/>
    <w:rsid w:val="00875AEC"/>
    <w:rsid w:val="008865E6"/>
    <w:rsid w:val="008928EA"/>
    <w:rsid w:val="00893BD7"/>
    <w:rsid w:val="008A12FE"/>
    <w:rsid w:val="008A4213"/>
    <w:rsid w:val="008B0993"/>
    <w:rsid w:val="008B5193"/>
    <w:rsid w:val="008E2892"/>
    <w:rsid w:val="008F1E0D"/>
    <w:rsid w:val="00934756"/>
    <w:rsid w:val="0093592E"/>
    <w:rsid w:val="00943342"/>
    <w:rsid w:val="00945242"/>
    <w:rsid w:val="00945C28"/>
    <w:rsid w:val="009478BE"/>
    <w:rsid w:val="00961238"/>
    <w:rsid w:val="009617E0"/>
    <w:rsid w:val="00966F24"/>
    <w:rsid w:val="0099382C"/>
    <w:rsid w:val="009A0DC4"/>
    <w:rsid w:val="009A33CE"/>
    <w:rsid w:val="009A4D67"/>
    <w:rsid w:val="009B3E87"/>
    <w:rsid w:val="00A02750"/>
    <w:rsid w:val="00A030E0"/>
    <w:rsid w:val="00A21D82"/>
    <w:rsid w:val="00A22729"/>
    <w:rsid w:val="00A22D1D"/>
    <w:rsid w:val="00A50959"/>
    <w:rsid w:val="00A71653"/>
    <w:rsid w:val="00A72516"/>
    <w:rsid w:val="00AC4008"/>
    <w:rsid w:val="00AD7BCB"/>
    <w:rsid w:val="00AE0804"/>
    <w:rsid w:val="00AE37A9"/>
    <w:rsid w:val="00AF1398"/>
    <w:rsid w:val="00B12ECA"/>
    <w:rsid w:val="00B36C10"/>
    <w:rsid w:val="00B43118"/>
    <w:rsid w:val="00B45A10"/>
    <w:rsid w:val="00B45CD3"/>
    <w:rsid w:val="00B561EE"/>
    <w:rsid w:val="00B567FC"/>
    <w:rsid w:val="00B62B73"/>
    <w:rsid w:val="00B71402"/>
    <w:rsid w:val="00B742E1"/>
    <w:rsid w:val="00BC2F4D"/>
    <w:rsid w:val="00BF24EF"/>
    <w:rsid w:val="00BF4BA9"/>
    <w:rsid w:val="00C13205"/>
    <w:rsid w:val="00C14860"/>
    <w:rsid w:val="00C16015"/>
    <w:rsid w:val="00C33042"/>
    <w:rsid w:val="00C343B3"/>
    <w:rsid w:val="00C36D92"/>
    <w:rsid w:val="00C5628D"/>
    <w:rsid w:val="00C91F7C"/>
    <w:rsid w:val="00CB213F"/>
    <w:rsid w:val="00CC1037"/>
    <w:rsid w:val="00CF3A66"/>
    <w:rsid w:val="00D001F0"/>
    <w:rsid w:val="00D202CC"/>
    <w:rsid w:val="00D20F1D"/>
    <w:rsid w:val="00D210EB"/>
    <w:rsid w:val="00D466E6"/>
    <w:rsid w:val="00D507C5"/>
    <w:rsid w:val="00D57440"/>
    <w:rsid w:val="00D75DD6"/>
    <w:rsid w:val="00D83382"/>
    <w:rsid w:val="00D90B0D"/>
    <w:rsid w:val="00DA3EA8"/>
    <w:rsid w:val="00DB0FAF"/>
    <w:rsid w:val="00DB118D"/>
    <w:rsid w:val="00DB3628"/>
    <w:rsid w:val="00DC14C1"/>
    <w:rsid w:val="00DC4C0B"/>
    <w:rsid w:val="00DF32AA"/>
    <w:rsid w:val="00E03CD1"/>
    <w:rsid w:val="00E05B7A"/>
    <w:rsid w:val="00E118A5"/>
    <w:rsid w:val="00E34C2E"/>
    <w:rsid w:val="00E43F83"/>
    <w:rsid w:val="00E562EF"/>
    <w:rsid w:val="00E61D36"/>
    <w:rsid w:val="00E636E3"/>
    <w:rsid w:val="00E67FDA"/>
    <w:rsid w:val="00E747BB"/>
    <w:rsid w:val="00E81D76"/>
    <w:rsid w:val="00E85520"/>
    <w:rsid w:val="00E878D5"/>
    <w:rsid w:val="00E92F3D"/>
    <w:rsid w:val="00E94168"/>
    <w:rsid w:val="00EA1904"/>
    <w:rsid w:val="00EB1E58"/>
    <w:rsid w:val="00EB51D6"/>
    <w:rsid w:val="00EC4D97"/>
    <w:rsid w:val="00ED0643"/>
    <w:rsid w:val="00EE0DD0"/>
    <w:rsid w:val="00EE5144"/>
    <w:rsid w:val="00EF6613"/>
    <w:rsid w:val="00F20212"/>
    <w:rsid w:val="00F20690"/>
    <w:rsid w:val="00F344E1"/>
    <w:rsid w:val="00F41C4B"/>
    <w:rsid w:val="00F4536A"/>
    <w:rsid w:val="00F4609B"/>
    <w:rsid w:val="00F54975"/>
    <w:rsid w:val="00F6076C"/>
    <w:rsid w:val="00F702A9"/>
    <w:rsid w:val="00FC240B"/>
    <w:rsid w:val="00FC303A"/>
    <w:rsid w:val="00FD2B14"/>
    <w:rsid w:val="00FE147B"/>
    <w:rsid w:val="00FE7667"/>
    <w:rsid w:val="00FF0BB2"/>
    <w:rsid w:val="00FF0DC0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E214D"/>
  <w15:docId w15:val="{EB192DFE-42DC-B249-8E13-7E7DE6A8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3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hi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1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16C"/>
    <w:rPr>
      <w:rFonts w:ascii="Times New Roman" w:eastAsia="Times New Roman" w:hAnsi="Times New Roman" w:cs="Times New Roman"/>
      <w:b/>
      <w:bCs/>
      <w:kern w:val="36"/>
      <w:sz w:val="48"/>
      <w:szCs w:val="48"/>
      <w:lang w:bidi="hi-IN"/>
    </w:rPr>
  </w:style>
  <w:style w:type="character" w:styleId="Hyperlink">
    <w:name w:val="Hyperlink"/>
    <w:basedOn w:val="DefaultParagraphFont"/>
    <w:uiPriority w:val="99"/>
    <w:unhideWhenUsed/>
    <w:rsid w:val="002F316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F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citation">
    <w:name w:val="citation"/>
    <w:basedOn w:val="Normal"/>
    <w:rsid w:val="00C14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occurrence">
    <w:name w:val="occurrence"/>
    <w:basedOn w:val="DefaultParagraphFont"/>
    <w:rsid w:val="00C14860"/>
  </w:style>
  <w:style w:type="character" w:customStyle="1" w:styleId="externalref">
    <w:name w:val="externalref"/>
    <w:basedOn w:val="DefaultParagraphFont"/>
    <w:rsid w:val="00C14860"/>
  </w:style>
  <w:style w:type="character" w:customStyle="1" w:styleId="refsource">
    <w:name w:val="refsource"/>
    <w:basedOn w:val="DefaultParagraphFont"/>
    <w:rsid w:val="00C14860"/>
  </w:style>
  <w:style w:type="character" w:customStyle="1" w:styleId="citationref">
    <w:name w:val="citationref"/>
    <w:basedOn w:val="DefaultParagraphFont"/>
    <w:rsid w:val="002C260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5E2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80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04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C77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C77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C77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892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8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2671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36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09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73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2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717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9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773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32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18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85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29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90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904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338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87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807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96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058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439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1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303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851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99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9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835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59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604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298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15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55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1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81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09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47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013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25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028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153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347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6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951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281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90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073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/s10875-018-0525-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link.springer.com/article/10.1007/s10875-018-0525-8?shared-article-render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nk.springer.com/article/10.1007/s10875-018-0525-8?shared-article-render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DC12CC-717E-FF4E-8824-A6C3F1E2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Tishya Gogoi</dc:creator>
  <cp:keywords/>
  <dc:description/>
  <cp:lastModifiedBy>Rahul Naithani</cp:lastModifiedBy>
  <cp:revision>30</cp:revision>
  <cp:lastPrinted>2022-06-10T17:53:00Z</cp:lastPrinted>
  <dcterms:created xsi:type="dcterms:W3CDTF">2022-06-10T18:08:00Z</dcterms:created>
  <dcterms:modified xsi:type="dcterms:W3CDTF">2022-06-12T15:59:00Z</dcterms:modified>
</cp:coreProperties>
</file>