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5C4" w:rsidRPr="00C955C4" w:rsidRDefault="00C955C4" w:rsidP="00C955C4">
      <w:pPr>
        <w:rPr>
          <w:rFonts w:ascii="Arial" w:hAnsi="Arial" w:cs="Arial"/>
          <w:b/>
          <w:sz w:val="24"/>
          <w:szCs w:val="24"/>
          <w:u w:val="single"/>
        </w:rPr>
      </w:pPr>
      <w:r w:rsidRPr="00C955C4">
        <w:rPr>
          <w:rFonts w:ascii="Arial" w:hAnsi="Arial" w:cs="Arial"/>
          <w:b/>
          <w:sz w:val="24"/>
          <w:szCs w:val="24"/>
          <w:u w:val="single"/>
        </w:rPr>
        <w:t>Title page</w:t>
      </w:r>
    </w:p>
    <w:p w:rsidR="00C955C4" w:rsidRDefault="00C955C4" w:rsidP="00C955C4">
      <w:pPr>
        <w:pStyle w:val="Heading1"/>
        <w:spacing w:before="0" w:after="0"/>
        <w:rPr>
          <w:rFonts w:ascii="Arial" w:hAnsi="Arial" w:cs="Arial"/>
          <w:b w:val="0"/>
          <w:sz w:val="24"/>
          <w:szCs w:val="24"/>
        </w:rPr>
      </w:pPr>
      <w:r w:rsidRPr="00C955C4">
        <w:rPr>
          <w:rFonts w:ascii="Arial" w:hAnsi="Arial" w:cs="Arial"/>
          <w:sz w:val="24"/>
          <w:szCs w:val="24"/>
        </w:rPr>
        <w:t>Title</w:t>
      </w:r>
      <w:r w:rsidRPr="00C955C4">
        <w:rPr>
          <w:rFonts w:ascii="Arial" w:hAnsi="Arial" w:cs="Arial"/>
          <w:b w:val="0"/>
          <w:sz w:val="24"/>
          <w:szCs w:val="24"/>
        </w:rPr>
        <w:t xml:space="preserve">: </w:t>
      </w:r>
      <w:r w:rsidRPr="00C955C4">
        <w:rPr>
          <w:rFonts w:ascii="Arial" w:hAnsi="Arial" w:cs="Arial"/>
          <w:b w:val="0"/>
          <w:sz w:val="24"/>
          <w:szCs w:val="24"/>
        </w:rPr>
        <w:t>Letter to the Editor:</w:t>
      </w:r>
      <w:r w:rsidRPr="00C955C4">
        <w:rPr>
          <w:rFonts w:ascii="Arial" w:hAnsi="Arial" w:cs="Arial"/>
          <w:b w:val="0"/>
          <w:sz w:val="24"/>
          <w:szCs w:val="24"/>
        </w:rPr>
        <w:t xml:space="preserve"> Preoperative assessment of aortic calcification by computed tomography in thoracic aortic disease</w:t>
      </w:r>
      <w:r w:rsidRPr="00C955C4">
        <w:rPr>
          <w:rFonts w:ascii="Arial" w:hAnsi="Arial" w:cs="Arial"/>
          <w:b w:val="0"/>
          <w:sz w:val="24"/>
          <w:szCs w:val="24"/>
        </w:rPr>
        <w:t xml:space="preserve"> </w:t>
      </w:r>
    </w:p>
    <w:p w:rsidR="00C955C4" w:rsidRPr="00C955C4" w:rsidRDefault="00C955C4" w:rsidP="00C955C4">
      <w:pPr>
        <w:pStyle w:val="Heading1"/>
        <w:spacing w:before="0" w:after="0"/>
        <w:rPr>
          <w:rFonts w:ascii="Arial" w:hAnsi="Arial" w:cs="Arial"/>
          <w:b w:val="0"/>
          <w:sz w:val="24"/>
          <w:szCs w:val="24"/>
        </w:rPr>
      </w:pPr>
      <w:r w:rsidRPr="00C955C4">
        <w:rPr>
          <w:rFonts w:ascii="Arial" w:hAnsi="Arial" w:cs="Arial"/>
          <w:sz w:val="24"/>
          <w:szCs w:val="24"/>
        </w:rPr>
        <w:t>Article type</w:t>
      </w:r>
      <w:r w:rsidRPr="00C955C4">
        <w:rPr>
          <w:rFonts w:ascii="Arial" w:hAnsi="Arial" w:cs="Arial"/>
          <w:b w:val="0"/>
          <w:sz w:val="24"/>
          <w:szCs w:val="24"/>
        </w:rPr>
        <w:t>: Letter to the editor</w:t>
      </w:r>
    </w:p>
    <w:p w:rsidR="00C955C4" w:rsidRPr="00C955C4" w:rsidRDefault="00C955C4" w:rsidP="00C955C4">
      <w:pPr>
        <w:pStyle w:val="Heading1"/>
        <w:spacing w:before="0" w:after="0"/>
        <w:rPr>
          <w:rFonts w:ascii="Arial" w:hAnsi="Arial" w:cs="Arial"/>
          <w:b w:val="0"/>
          <w:sz w:val="24"/>
          <w:szCs w:val="24"/>
        </w:rPr>
      </w:pPr>
      <w:r w:rsidRPr="00C955C4">
        <w:rPr>
          <w:rFonts w:ascii="Arial" w:hAnsi="Arial" w:cs="Arial"/>
          <w:sz w:val="24"/>
          <w:szCs w:val="24"/>
        </w:rPr>
        <w:t>Correspondence</w:t>
      </w:r>
      <w:r w:rsidRPr="00C955C4">
        <w:rPr>
          <w:rFonts w:ascii="Arial" w:hAnsi="Arial" w:cs="Arial"/>
          <w:b w:val="0"/>
          <w:sz w:val="24"/>
          <w:szCs w:val="24"/>
        </w:rPr>
        <w:t xml:space="preserve">: 1. </w:t>
      </w:r>
      <w:r>
        <w:rPr>
          <w:rFonts w:ascii="Arial" w:hAnsi="Arial" w:cs="Arial"/>
          <w:b w:val="0"/>
          <w:sz w:val="24"/>
          <w:szCs w:val="24"/>
        </w:rPr>
        <w:t xml:space="preserve">Muhammad </w:t>
      </w:r>
      <w:proofErr w:type="spellStart"/>
      <w:r>
        <w:rPr>
          <w:rFonts w:ascii="Arial" w:hAnsi="Arial" w:cs="Arial"/>
          <w:b w:val="0"/>
          <w:sz w:val="24"/>
          <w:szCs w:val="24"/>
        </w:rPr>
        <w:t>Shehryar</w:t>
      </w:r>
      <w:proofErr w:type="spellEnd"/>
    </w:p>
    <w:p w:rsidR="00C955C4" w:rsidRPr="00C955C4" w:rsidRDefault="00C955C4" w:rsidP="00C955C4">
      <w:pPr>
        <w:pStyle w:val="Heading1"/>
        <w:spacing w:before="0" w:after="0"/>
        <w:rPr>
          <w:rFonts w:ascii="Arial" w:hAnsi="Arial" w:cs="Arial"/>
          <w:b w:val="0"/>
          <w:sz w:val="24"/>
          <w:szCs w:val="24"/>
        </w:rPr>
      </w:pPr>
      <w:r w:rsidRPr="00C955C4">
        <w:rPr>
          <w:rFonts w:ascii="Arial" w:hAnsi="Arial" w:cs="Arial"/>
          <w:b w:val="0"/>
          <w:sz w:val="24"/>
          <w:szCs w:val="24"/>
        </w:rPr>
        <w:t xml:space="preserve">Institute: </w:t>
      </w:r>
      <w:r>
        <w:rPr>
          <w:rFonts w:ascii="Arial" w:hAnsi="Arial" w:cs="Arial"/>
          <w:b w:val="0"/>
          <w:sz w:val="24"/>
          <w:szCs w:val="24"/>
        </w:rPr>
        <w:t xml:space="preserve">King Edward </w:t>
      </w:r>
      <w:r w:rsidR="00664A2C">
        <w:rPr>
          <w:rFonts w:ascii="Arial" w:hAnsi="Arial" w:cs="Arial"/>
          <w:b w:val="0"/>
          <w:sz w:val="24"/>
          <w:szCs w:val="24"/>
        </w:rPr>
        <w:t xml:space="preserve">Medical </w:t>
      </w:r>
      <w:r>
        <w:rPr>
          <w:rFonts w:ascii="Arial" w:hAnsi="Arial" w:cs="Arial"/>
          <w:b w:val="0"/>
          <w:sz w:val="24"/>
          <w:szCs w:val="24"/>
        </w:rPr>
        <w:t>University</w:t>
      </w:r>
    </w:p>
    <w:p w:rsidR="00C955C4" w:rsidRPr="00C955C4" w:rsidRDefault="00C955C4" w:rsidP="00C955C4">
      <w:pPr>
        <w:rPr>
          <w:rFonts w:ascii="Arial" w:hAnsi="Arial" w:cs="Arial"/>
          <w:sz w:val="24"/>
          <w:szCs w:val="24"/>
        </w:rPr>
      </w:pPr>
      <w:r w:rsidRPr="00C955C4">
        <w:rPr>
          <w:rFonts w:ascii="Arial" w:hAnsi="Arial" w:cs="Arial"/>
          <w:sz w:val="24"/>
          <w:szCs w:val="24"/>
        </w:rPr>
        <w:t xml:space="preserve">Contact: </w:t>
      </w:r>
      <w:r>
        <w:rPr>
          <w:rFonts w:ascii="Arial" w:hAnsi="Arial" w:cs="Arial"/>
          <w:sz w:val="24"/>
          <w:szCs w:val="24"/>
        </w:rPr>
        <w:t>+92-3328806365</w:t>
      </w:r>
      <w:r w:rsidRPr="00C955C4">
        <w:rPr>
          <w:rFonts w:ascii="Arial" w:hAnsi="Arial" w:cs="Arial"/>
          <w:sz w:val="24"/>
          <w:szCs w:val="24"/>
        </w:rPr>
        <w:t xml:space="preserve">   Email: </w:t>
      </w:r>
      <w:r>
        <w:rPr>
          <w:rFonts w:ascii="Arial" w:hAnsi="Arial" w:cs="Arial"/>
          <w:sz w:val="24"/>
          <w:szCs w:val="24"/>
        </w:rPr>
        <w:t>shery0334@gmail.com</w:t>
      </w:r>
    </w:p>
    <w:p w:rsidR="00C955C4" w:rsidRPr="00C955C4" w:rsidRDefault="00C955C4" w:rsidP="00C955C4">
      <w:pPr>
        <w:rPr>
          <w:rFonts w:ascii="Arial" w:hAnsi="Arial" w:cs="Arial"/>
          <w:sz w:val="24"/>
          <w:szCs w:val="24"/>
        </w:rPr>
      </w:pPr>
      <w:r w:rsidRPr="00C955C4">
        <w:rPr>
          <w:rFonts w:ascii="Arial" w:hAnsi="Arial" w:cs="Arial"/>
          <w:sz w:val="24"/>
          <w:szCs w:val="24"/>
        </w:rPr>
        <w:t>Address:</w:t>
      </w:r>
      <w:r>
        <w:rPr>
          <w:rFonts w:ascii="Arial" w:hAnsi="Arial" w:cs="Arial"/>
          <w:sz w:val="24"/>
          <w:szCs w:val="24"/>
        </w:rPr>
        <w:t xml:space="preserve"> </w:t>
      </w:r>
      <w:r w:rsidR="00664A2C">
        <w:rPr>
          <w:rFonts w:ascii="Arial" w:hAnsi="Arial" w:cs="Arial"/>
          <w:sz w:val="24"/>
          <w:szCs w:val="24"/>
        </w:rPr>
        <w:t xml:space="preserve">367 Ravi block </w:t>
      </w:r>
      <w:proofErr w:type="spellStart"/>
      <w:r w:rsidR="00664A2C">
        <w:rPr>
          <w:rFonts w:ascii="Arial" w:hAnsi="Arial" w:cs="Arial"/>
          <w:sz w:val="24"/>
          <w:szCs w:val="24"/>
        </w:rPr>
        <w:t>Allama</w:t>
      </w:r>
      <w:proofErr w:type="spellEnd"/>
      <w:r w:rsidR="00664A2C">
        <w:rPr>
          <w:rFonts w:ascii="Arial" w:hAnsi="Arial" w:cs="Arial"/>
          <w:sz w:val="24"/>
          <w:szCs w:val="24"/>
        </w:rPr>
        <w:t xml:space="preserve"> Iqbal Town, Lahore</w:t>
      </w:r>
    </w:p>
    <w:p w:rsidR="00C955C4" w:rsidRPr="00C955C4" w:rsidRDefault="00C955C4" w:rsidP="00C955C4">
      <w:pPr>
        <w:rPr>
          <w:rFonts w:ascii="Arial" w:hAnsi="Arial" w:cs="Arial"/>
          <w:sz w:val="24"/>
          <w:szCs w:val="24"/>
        </w:rPr>
      </w:pPr>
      <w:r w:rsidRPr="00C955C4">
        <w:rPr>
          <w:rFonts w:ascii="Arial" w:hAnsi="Arial" w:cs="Arial"/>
          <w:b/>
          <w:sz w:val="24"/>
          <w:szCs w:val="24"/>
        </w:rPr>
        <w:t>Co-author</w:t>
      </w:r>
      <w:r w:rsidRPr="00C955C4">
        <w:rPr>
          <w:rFonts w:ascii="Arial" w:hAnsi="Arial" w:cs="Arial"/>
          <w:sz w:val="24"/>
          <w:szCs w:val="24"/>
        </w:rPr>
        <w:t>:</w:t>
      </w:r>
      <w:r w:rsidR="00664A2C">
        <w:rPr>
          <w:rFonts w:ascii="Arial" w:hAnsi="Arial" w:cs="Arial"/>
          <w:sz w:val="24"/>
          <w:szCs w:val="24"/>
        </w:rPr>
        <w:t xml:space="preserve"> 2.</w:t>
      </w:r>
      <w:r w:rsidRPr="00C955C4">
        <w:rPr>
          <w:rFonts w:ascii="Arial" w:hAnsi="Arial" w:cs="Arial"/>
          <w:sz w:val="24"/>
          <w:szCs w:val="24"/>
        </w:rPr>
        <w:t xml:space="preserve"> </w:t>
      </w:r>
      <w:r w:rsidR="00664A2C">
        <w:rPr>
          <w:rFonts w:ascii="Arial" w:hAnsi="Arial" w:cs="Arial"/>
          <w:sz w:val="24"/>
          <w:szCs w:val="24"/>
        </w:rPr>
        <w:t xml:space="preserve">Dr. Muhammad </w:t>
      </w:r>
      <w:proofErr w:type="spellStart"/>
      <w:r w:rsidR="00664A2C">
        <w:rPr>
          <w:rFonts w:ascii="Arial" w:hAnsi="Arial" w:cs="Arial"/>
          <w:sz w:val="24"/>
          <w:szCs w:val="24"/>
        </w:rPr>
        <w:t>Umair</w:t>
      </w:r>
      <w:proofErr w:type="spellEnd"/>
    </w:p>
    <w:p w:rsidR="00664A2C" w:rsidRPr="00C955C4" w:rsidRDefault="00664A2C" w:rsidP="00664A2C">
      <w:pPr>
        <w:pStyle w:val="Heading1"/>
        <w:spacing w:before="0" w:after="0"/>
        <w:rPr>
          <w:rFonts w:ascii="Arial" w:hAnsi="Arial" w:cs="Arial"/>
          <w:b w:val="0"/>
          <w:sz w:val="24"/>
          <w:szCs w:val="24"/>
        </w:rPr>
      </w:pPr>
      <w:r w:rsidRPr="00C955C4">
        <w:rPr>
          <w:rFonts w:ascii="Arial" w:hAnsi="Arial" w:cs="Arial"/>
          <w:b w:val="0"/>
          <w:sz w:val="24"/>
          <w:szCs w:val="24"/>
        </w:rPr>
        <w:t xml:space="preserve">Institute: </w:t>
      </w:r>
      <w:r>
        <w:rPr>
          <w:rFonts w:ascii="Arial" w:hAnsi="Arial" w:cs="Arial"/>
          <w:b w:val="0"/>
          <w:sz w:val="24"/>
          <w:szCs w:val="24"/>
        </w:rPr>
        <w:t>King Edward Medical University</w:t>
      </w:r>
    </w:p>
    <w:p w:rsidR="00C955C4" w:rsidRDefault="00C955C4" w:rsidP="00C955C4">
      <w:pPr>
        <w:rPr>
          <w:rFonts w:ascii="Arial" w:hAnsi="Arial" w:cs="Arial"/>
          <w:sz w:val="24"/>
          <w:szCs w:val="24"/>
        </w:rPr>
      </w:pPr>
      <w:r w:rsidRPr="00C955C4">
        <w:rPr>
          <w:rFonts w:ascii="Arial" w:hAnsi="Arial" w:cs="Arial"/>
          <w:sz w:val="24"/>
          <w:szCs w:val="24"/>
        </w:rPr>
        <w:t>Contact: +92-</w:t>
      </w:r>
      <w:r w:rsidR="00664A2C">
        <w:rPr>
          <w:rFonts w:ascii="Arial" w:hAnsi="Arial" w:cs="Arial"/>
          <w:sz w:val="24"/>
          <w:szCs w:val="24"/>
        </w:rPr>
        <w:t>3314852124</w:t>
      </w:r>
      <w:r w:rsidRPr="00C955C4">
        <w:rPr>
          <w:rFonts w:ascii="Arial" w:hAnsi="Arial" w:cs="Arial"/>
          <w:sz w:val="24"/>
          <w:szCs w:val="24"/>
        </w:rPr>
        <w:t xml:space="preserve">     Email: </w:t>
      </w:r>
      <w:hyperlink r:id="rId5" w:history="1">
        <w:r w:rsidR="00664A2C" w:rsidRPr="00C10127">
          <w:rPr>
            <w:rStyle w:val="Hyperlink"/>
            <w:rFonts w:ascii="Arial" w:hAnsi="Arial" w:cs="Arial"/>
            <w:sz w:val="24"/>
            <w:szCs w:val="24"/>
          </w:rPr>
          <w:t>umairhafeez262@gmail.com</w:t>
        </w:r>
      </w:hyperlink>
    </w:p>
    <w:p w:rsidR="00664A2C" w:rsidRDefault="00664A2C" w:rsidP="00C955C4">
      <w:pPr>
        <w:rPr>
          <w:rFonts w:ascii="Arial" w:hAnsi="Arial" w:cs="Arial"/>
          <w:sz w:val="24"/>
          <w:szCs w:val="24"/>
        </w:rPr>
      </w:pPr>
      <w:r>
        <w:rPr>
          <w:rFonts w:ascii="Arial" w:hAnsi="Arial" w:cs="Arial"/>
          <w:sz w:val="24"/>
          <w:szCs w:val="24"/>
        </w:rPr>
        <w:t xml:space="preserve"> </w:t>
      </w:r>
    </w:p>
    <w:p w:rsidR="00C955C4" w:rsidRDefault="00664A2C" w:rsidP="00C955C4">
      <w:pPr>
        <w:rPr>
          <w:rFonts w:ascii="Arial" w:hAnsi="Arial" w:cs="Arial"/>
          <w:sz w:val="24"/>
          <w:szCs w:val="24"/>
        </w:rPr>
      </w:pPr>
      <w:r>
        <w:rPr>
          <w:rFonts w:ascii="Arial" w:hAnsi="Arial" w:cs="Arial"/>
          <w:sz w:val="24"/>
          <w:szCs w:val="24"/>
        </w:rPr>
        <w:t xml:space="preserve">3. Muhammad </w:t>
      </w:r>
      <w:proofErr w:type="spellStart"/>
      <w:r>
        <w:rPr>
          <w:rFonts w:ascii="Arial" w:hAnsi="Arial" w:cs="Arial"/>
          <w:sz w:val="24"/>
          <w:szCs w:val="24"/>
        </w:rPr>
        <w:t>Zawar</w:t>
      </w:r>
      <w:proofErr w:type="spellEnd"/>
      <w:r>
        <w:rPr>
          <w:rFonts w:ascii="Arial" w:hAnsi="Arial" w:cs="Arial"/>
          <w:sz w:val="24"/>
          <w:szCs w:val="24"/>
        </w:rPr>
        <w:t xml:space="preserve"> Asif</w:t>
      </w:r>
    </w:p>
    <w:p w:rsidR="00664A2C" w:rsidRDefault="00664A2C" w:rsidP="00664A2C">
      <w:pPr>
        <w:pStyle w:val="Heading1"/>
        <w:spacing w:before="0" w:after="0"/>
        <w:rPr>
          <w:rFonts w:ascii="Arial" w:hAnsi="Arial" w:cs="Arial"/>
          <w:b w:val="0"/>
          <w:sz w:val="24"/>
          <w:szCs w:val="24"/>
        </w:rPr>
      </w:pPr>
      <w:r w:rsidRPr="00C955C4">
        <w:rPr>
          <w:rFonts w:ascii="Arial" w:hAnsi="Arial" w:cs="Arial"/>
          <w:b w:val="0"/>
          <w:sz w:val="24"/>
          <w:szCs w:val="24"/>
        </w:rPr>
        <w:t xml:space="preserve">Institute: </w:t>
      </w:r>
      <w:r>
        <w:rPr>
          <w:rFonts w:ascii="Arial" w:hAnsi="Arial" w:cs="Arial"/>
          <w:b w:val="0"/>
          <w:sz w:val="24"/>
          <w:szCs w:val="24"/>
        </w:rPr>
        <w:t>King Edward Medical University</w:t>
      </w:r>
    </w:p>
    <w:p w:rsidR="00664A2C" w:rsidRPr="00C955C4" w:rsidRDefault="00664A2C" w:rsidP="00C955C4">
      <w:pPr>
        <w:rPr>
          <w:rFonts w:ascii="Arial" w:hAnsi="Arial" w:cs="Arial"/>
          <w:sz w:val="24"/>
          <w:szCs w:val="24"/>
        </w:rPr>
      </w:pPr>
      <w:r>
        <w:rPr>
          <w:rFonts w:ascii="Arial" w:hAnsi="Arial" w:cs="Arial"/>
          <w:sz w:val="24"/>
          <w:szCs w:val="24"/>
        </w:rPr>
        <w:t xml:space="preserve">Contact: +92-3349943534   </w:t>
      </w:r>
      <w:r w:rsidRPr="00C955C4">
        <w:rPr>
          <w:rFonts w:ascii="Arial" w:hAnsi="Arial" w:cs="Arial"/>
          <w:sz w:val="24"/>
          <w:szCs w:val="24"/>
        </w:rPr>
        <w:t xml:space="preserve">Email: </w:t>
      </w:r>
      <w:hyperlink r:id="rId6" w:history="1">
        <w:r w:rsidRPr="00C10127">
          <w:rPr>
            <w:rStyle w:val="Hyperlink"/>
            <w:rFonts w:ascii="Arial" w:hAnsi="Arial" w:cs="Arial"/>
            <w:sz w:val="24"/>
            <w:szCs w:val="24"/>
          </w:rPr>
          <w:t>umairhafeez262@gmail.com</w:t>
        </w:r>
      </w:hyperlink>
    </w:p>
    <w:p w:rsidR="00C955C4" w:rsidRPr="00C955C4" w:rsidRDefault="00C955C4" w:rsidP="00C955C4">
      <w:pPr>
        <w:rPr>
          <w:rFonts w:ascii="Arial" w:hAnsi="Arial" w:cs="Arial"/>
          <w:sz w:val="24"/>
          <w:szCs w:val="24"/>
        </w:rPr>
      </w:pPr>
      <w:r w:rsidRPr="00C955C4">
        <w:rPr>
          <w:rFonts w:ascii="Arial" w:hAnsi="Arial" w:cs="Arial"/>
          <w:sz w:val="24"/>
          <w:szCs w:val="24"/>
        </w:rPr>
        <w:t xml:space="preserve">Word count: </w:t>
      </w:r>
      <w:r w:rsidR="00664A2C">
        <w:rPr>
          <w:rFonts w:ascii="Arial" w:hAnsi="Arial" w:cs="Arial"/>
          <w:sz w:val="24"/>
          <w:szCs w:val="24"/>
        </w:rPr>
        <w:t>466</w:t>
      </w:r>
    </w:p>
    <w:p w:rsidR="00C955C4" w:rsidRPr="00C955C4" w:rsidRDefault="00C955C4" w:rsidP="00C955C4">
      <w:pPr>
        <w:rPr>
          <w:rFonts w:ascii="Arial" w:hAnsi="Arial" w:cs="Arial"/>
          <w:sz w:val="24"/>
          <w:szCs w:val="24"/>
        </w:rPr>
      </w:pPr>
    </w:p>
    <w:p w:rsidR="00C955C4" w:rsidRPr="00C955C4" w:rsidRDefault="00C955C4" w:rsidP="00C955C4">
      <w:pPr>
        <w:rPr>
          <w:rFonts w:ascii="Arial" w:hAnsi="Arial" w:cs="Arial"/>
          <w:sz w:val="24"/>
          <w:szCs w:val="24"/>
        </w:rPr>
      </w:pPr>
    </w:p>
    <w:p w:rsidR="00C955C4" w:rsidRPr="00C955C4" w:rsidRDefault="00C955C4" w:rsidP="00C955C4">
      <w:pPr>
        <w:rPr>
          <w:rFonts w:ascii="Arial" w:hAnsi="Arial" w:cs="Arial"/>
          <w:sz w:val="24"/>
          <w:szCs w:val="24"/>
        </w:rPr>
      </w:pPr>
    </w:p>
    <w:p w:rsidR="00C955C4" w:rsidRPr="00C955C4" w:rsidRDefault="00C955C4" w:rsidP="00C955C4">
      <w:pPr>
        <w:spacing w:line="199" w:lineRule="auto"/>
        <w:rPr>
          <w:rFonts w:ascii="Arial" w:hAnsi="Arial" w:cs="Arial"/>
          <w:color w:val="000000"/>
          <w:sz w:val="24"/>
          <w:szCs w:val="24"/>
        </w:rPr>
      </w:pPr>
      <w:r w:rsidRPr="00C955C4">
        <w:rPr>
          <w:rFonts w:ascii="Arial" w:hAnsi="Arial" w:cs="Arial"/>
          <w:b/>
          <w:color w:val="000000"/>
          <w:sz w:val="24"/>
          <w:szCs w:val="24"/>
        </w:rPr>
        <w:t>Conflict of interest</w:t>
      </w:r>
      <w:r w:rsidRPr="00C955C4">
        <w:rPr>
          <w:rFonts w:ascii="Arial" w:hAnsi="Arial" w:cs="Arial"/>
          <w:color w:val="000000"/>
          <w:sz w:val="24"/>
          <w:szCs w:val="24"/>
        </w:rPr>
        <w:t>: None</w:t>
      </w:r>
    </w:p>
    <w:p w:rsidR="00C955C4" w:rsidRPr="00C955C4" w:rsidRDefault="00C955C4" w:rsidP="00C955C4">
      <w:pPr>
        <w:spacing w:line="199" w:lineRule="auto"/>
        <w:rPr>
          <w:rFonts w:ascii="Arial" w:hAnsi="Arial" w:cs="Arial"/>
          <w:color w:val="000000"/>
          <w:sz w:val="24"/>
          <w:szCs w:val="24"/>
        </w:rPr>
      </w:pPr>
      <w:r w:rsidRPr="00C955C4">
        <w:rPr>
          <w:rFonts w:ascii="Arial" w:hAnsi="Arial" w:cs="Arial"/>
          <w:b/>
          <w:color w:val="000000"/>
          <w:sz w:val="24"/>
          <w:szCs w:val="24"/>
        </w:rPr>
        <w:t>Acknowledgment</w:t>
      </w:r>
      <w:r w:rsidRPr="00C955C4">
        <w:rPr>
          <w:rFonts w:ascii="Arial" w:hAnsi="Arial" w:cs="Arial"/>
          <w:color w:val="000000"/>
          <w:sz w:val="24"/>
          <w:szCs w:val="24"/>
        </w:rPr>
        <w:t>: None</w:t>
      </w:r>
    </w:p>
    <w:p w:rsidR="00C955C4" w:rsidRPr="00C955C4" w:rsidRDefault="00C955C4" w:rsidP="00C955C4">
      <w:pPr>
        <w:spacing w:line="199" w:lineRule="auto"/>
        <w:rPr>
          <w:rFonts w:ascii="Arial" w:hAnsi="Arial" w:cs="Arial"/>
          <w:color w:val="000000"/>
          <w:sz w:val="24"/>
          <w:szCs w:val="24"/>
        </w:rPr>
      </w:pPr>
      <w:r w:rsidRPr="00C955C4">
        <w:rPr>
          <w:rFonts w:ascii="Arial" w:hAnsi="Arial" w:cs="Arial"/>
          <w:b/>
          <w:color w:val="000000"/>
          <w:sz w:val="24"/>
          <w:szCs w:val="24"/>
        </w:rPr>
        <w:t>Declaration:</w:t>
      </w:r>
      <w:r w:rsidRPr="00C955C4">
        <w:rPr>
          <w:rFonts w:ascii="Arial" w:hAnsi="Arial" w:cs="Arial"/>
          <w:color w:val="000000"/>
          <w:sz w:val="24"/>
          <w:szCs w:val="24"/>
        </w:rPr>
        <w:t xml:space="preserve"> None</w:t>
      </w:r>
    </w:p>
    <w:p w:rsidR="00C955C4" w:rsidRPr="00C955C4" w:rsidRDefault="00C955C4" w:rsidP="00C955C4">
      <w:pPr>
        <w:spacing w:line="199" w:lineRule="auto"/>
        <w:rPr>
          <w:rFonts w:ascii="Arial" w:hAnsi="Arial" w:cs="Arial"/>
          <w:color w:val="000000"/>
          <w:sz w:val="24"/>
          <w:szCs w:val="24"/>
        </w:rPr>
      </w:pPr>
      <w:r w:rsidRPr="00C955C4">
        <w:rPr>
          <w:rFonts w:ascii="Arial" w:hAnsi="Arial" w:cs="Arial"/>
          <w:b/>
          <w:color w:val="000000"/>
          <w:sz w:val="24"/>
          <w:szCs w:val="24"/>
        </w:rPr>
        <w:t>Disclosure</w:t>
      </w:r>
      <w:r w:rsidRPr="00C955C4">
        <w:rPr>
          <w:rFonts w:ascii="Arial" w:hAnsi="Arial" w:cs="Arial"/>
          <w:color w:val="000000"/>
          <w:sz w:val="24"/>
          <w:szCs w:val="24"/>
        </w:rPr>
        <w:t>: None</w:t>
      </w:r>
    </w:p>
    <w:p w:rsidR="00664A2C" w:rsidRDefault="00C955C4" w:rsidP="00664A2C">
      <w:pPr>
        <w:spacing w:line="199" w:lineRule="auto"/>
        <w:rPr>
          <w:rFonts w:ascii="Arial" w:hAnsi="Arial" w:cs="Arial"/>
          <w:color w:val="000000"/>
          <w:sz w:val="24"/>
          <w:szCs w:val="24"/>
        </w:rPr>
      </w:pPr>
      <w:r w:rsidRPr="00C955C4">
        <w:rPr>
          <w:rFonts w:ascii="Arial" w:hAnsi="Arial" w:cs="Arial"/>
          <w:b/>
          <w:color w:val="000000"/>
          <w:sz w:val="24"/>
          <w:szCs w:val="24"/>
        </w:rPr>
        <w:t>Funding:</w:t>
      </w:r>
      <w:r w:rsidRPr="00C955C4">
        <w:rPr>
          <w:rFonts w:ascii="Arial" w:hAnsi="Arial" w:cs="Arial"/>
          <w:color w:val="000000"/>
          <w:sz w:val="24"/>
          <w:szCs w:val="24"/>
        </w:rPr>
        <w:t xml:space="preserve"> None</w:t>
      </w:r>
    </w:p>
    <w:p w:rsidR="00664A2C" w:rsidRDefault="00664A2C" w:rsidP="00664A2C">
      <w:pPr>
        <w:spacing w:line="199" w:lineRule="auto"/>
        <w:rPr>
          <w:rFonts w:ascii="Arial" w:hAnsi="Arial" w:cs="Arial"/>
          <w:color w:val="000000"/>
          <w:sz w:val="24"/>
          <w:szCs w:val="24"/>
        </w:rPr>
      </w:pPr>
    </w:p>
    <w:p w:rsidR="00664A2C" w:rsidRDefault="00664A2C" w:rsidP="00664A2C">
      <w:pPr>
        <w:spacing w:line="199" w:lineRule="auto"/>
        <w:rPr>
          <w:rFonts w:ascii="Arial" w:hAnsi="Arial" w:cs="Arial"/>
          <w:color w:val="000000"/>
          <w:sz w:val="24"/>
          <w:szCs w:val="24"/>
        </w:rPr>
      </w:pPr>
    </w:p>
    <w:p w:rsidR="00664A2C" w:rsidRDefault="00664A2C" w:rsidP="00664A2C">
      <w:pPr>
        <w:spacing w:line="199" w:lineRule="auto"/>
        <w:rPr>
          <w:rFonts w:ascii="Arial" w:hAnsi="Arial" w:cs="Arial"/>
          <w:color w:val="000000"/>
          <w:sz w:val="24"/>
          <w:szCs w:val="24"/>
        </w:rPr>
      </w:pPr>
    </w:p>
    <w:p w:rsidR="00664A2C" w:rsidRDefault="00664A2C" w:rsidP="00664A2C">
      <w:pPr>
        <w:spacing w:line="199" w:lineRule="auto"/>
        <w:rPr>
          <w:rFonts w:ascii="Arial" w:hAnsi="Arial" w:cs="Arial"/>
          <w:color w:val="000000"/>
          <w:sz w:val="24"/>
          <w:szCs w:val="24"/>
        </w:rPr>
      </w:pPr>
    </w:p>
    <w:p w:rsidR="00664A2C" w:rsidRDefault="00664A2C" w:rsidP="00664A2C">
      <w:pPr>
        <w:spacing w:line="199" w:lineRule="auto"/>
        <w:rPr>
          <w:rFonts w:ascii="Arial" w:hAnsi="Arial" w:cs="Arial"/>
        </w:rPr>
      </w:pPr>
      <w:r>
        <w:rPr>
          <w:rFonts w:ascii="Arial" w:hAnsi="Arial" w:cs="Arial"/>
        </w:rPr>
        <w:lastRenderedPageBreak/>
        <w:t>Letter:</w:t>
      </w:r>
    </w:p>
    <w:p w:rsidR="00C955C4" w:rsidRPr="00664A2C" w:rsidRDefault="00C955C4" w:rsidP="00664A2C">
      <w:pPr>
        <w:spacing w:line="199" w:lineRule="auto"/>
        <w:rPr>
          <w:rFonts w:ascii="Arial" w:hAnsi="Arial" w:cs="Arial"/>
          <w:color w:val="000000"/>
          <w:sz w:val="24"/>
          <w:szCs w:val="24"/>
        </w:rPr>
      </w:pPr>
      <w:r w:rsidRPr="00C955C4">
        <w:rPr>
          <w:rFonts w:ascii="Arial" w:hAnsi="Arial" w:cs="Arial"/>
        </w:rPr>
        <w:t xml:space="preserve">The article "Preoperative assessment of aortic calcification by computed tomography in thoracic aortic disease" by Ryo Suzuki MD </w:t>
      </w:r>
      <w:proofErr w:type="gramStart"/>
      <w:r w:rsidRPr="00C955C4">
        <w:rPr>
          <w:rFonts w:ascii="Arial" w:hAnsi="Arial" w:cs="Arial"/>
        </w:rPr>
        <w:t>et</w:t>
      </w:r>
      <w:proofErr w:type="gramEnd"/>
      <w:r w:rsidRPr="00C955C4">
        <w:rPr>
          <w:rFonts w:ascii="Arial" w:hAnsi="Arial" w:cs="Arial"/>
        </w:rPr>
        <w:t xml:space="preserve"> al.</w:t>
      </w:r>
      <w:r w:rsidRPr="00C955C4">
        <w:rPr>
          <w:rFonts w:ascii="Arial" w:hAnsi="Arial" w:cs="Arial"/>
          <w:vertAlign w:val="superscript"/>
        </w:rPr>
        <w:t>1</w:t>
      </w:r>
      <w:r w:rsidRPr="00C955C4">
        <w:rPr>
          <w:rFonts w:ascii="Arial" w:hAnsi="Arial" w:cs="Arial"/>
        </w:rPr>
        <w:t xml:space="preserve"> was read with great enthusiasm. It was instructive to read the concisely written study, and we commend the writers for their diligence. The article concludes that Preoperative examination of maximal CT attenuation values predicts whether simple anastomosis is suitable in thoracic aortic surgery. If CT attenuation is 325 HU or above, a manipulation method or another anastomosis location should be planned. Maximal CT attenuation levels predict late death. CT attenuation values increase long-term mortality through unknown processes. However, we believe it is necessary to include other important aspects that would enhance the quality of this article and contribute to the current body of information. </w:t>
      </w:r>
    </w:p>
    <w:p w:rsidR="00C955C4" w:rsidRPr="00C955C4" w:rsidRDefault="00C955C4" w:rsidP="00C955C4">
      <w:pPr>
        <w:jc w:val="both"/>
        <w:rPr>
          <w:rFonts w:ascii="Arial" w:hAnsi="Arial" w:cs="Arial"/>
          <w:vertAlign w:val="superscript"/>
        </w:rPr>
      </w:pPr>
      <w:r>
        <w:rPr>
          <w:rFonts w:ascii="Arial" w:hAnsi="Arial" w:cs="Arial"/>
        </w:rPr>
        <w:t xml:space="preserve"> </w:t>
      </w:r>
      <w:r w:rsidRPr="00C955C4">
        <w:rPr>
          <w:rFonts w:ascii="Arial" w:hAnsi="Arial" w:cs="Arial"/>
        </w:rPr>
        <w:t>Firstly, as a result of the potential for recollection bias and inaccurate documentation of patients, retrospective studies have raised various problems, which could have been alleviated if the authors had included cases from the time in question. In addition, socioeconomic, health, and environmental circumstances in a given area could introduce bias into a study. In addition, the tiny sample size, which affects the study's statistical power, raises substantial doubts about the study's reliability. If the authors had included a greater number of participants, the effect magnitude and statistical significance could have been increased. First, the distinctive centered study and the absence of specific socioeconomic status and behaviors like smoking, alcoholism, and other addictive substances were not highlighted. For example, a 2008 study</w:t>
      </w:r>
      <w:r>
        <w:rPr>
          <w:rFonts w:ascii="Arial" w:hAnsi="Arial" w:cs="Arial"/>
        </w:rPr>
        <w:t xml:space="preserve"> conducted by </w:t>
      </w:r>
      <w:proofErr w:type="spellStart"/>
      <w:r>
        <w:rPr>
          <w:rFonts w:ascii="Arial" w:hAnsi="Arial" w:cs="Arial"/>
        </w:rPr>
        <w:t>Alon</w:t>
      </w:r>
      <w:proofErr w:type="spellEnd"/>
      <w:r>
        <w:rPr>
          <w:rFonts w:ascii="Arial" w:hAnsi="Arial" w:cs="Arial"/>
        </w:rPr>
        <w:t xml:space="preserve"> </w:t>
      </w:r>
      <w:proofErr w:type="spellStart"/>
      <w:r>
        <w:rPr>
          <w:rFonts w:ascii="Arial" w:hAnsi="Arial" w:cs="Arial"/>
        </w:rPr>
        <w:t>Eisen</w:t>
      </w:r>
      <w:proofErr w:type="spellEnd"/>
      <w:r>
        <w:rPr>
          <w:rFonts w:ascii="Arial" w:hAnsi="Arial" w:cs="Arial"/>
        </w:rPr>
        <w:t xml:space="preserve"> </w:t>
      </w:r>
      <w:proofErr w:type="gramStart"/>
      <w:r>
        <w:rPr>
          <w:rFonts w:ascii="Arial" w:hAnsi="Arial" w:cs="Arial"/>
        </w:rPr>
        <w:t>et</w:t>
      </w:r>
      <w:proofErr w:type="gramEnd"/>
      <w:r>
        <w:rPr>
          <w:rFonts w:ascii="Arial" w:hAnsi="Arial" w:cs="Arial"/>
        </w:rPr>
        <w:t xml:space="preserve"> al.</w:t>
      </w:r>
      <w:r w:rsidRPr="00C955C4">
        <w:rPr>
          <w:rFonts w:ascii="Arial" w:hAnsi="Arial" w:cs="Arial"/>
          <w:vertAlign w:val="superscript"/>
        </w:rPr>
        <w:t>2</w:t>
      </w:r>
      <w:r w:rsidRPr="00C955C4">
        <w:rPr>
          <w:rFonts w:ascii="Arial" w:hAnsi="Arial" w:cs="Arial"/>
        </w:rPr>
        <w:t xml:space="preserve"> prospective cohorts of 361 stable angina pectoris patients (307 men, 54 women; age range, 37 to 83 years) were assessed for aortic calcification using chest spiral computed tomography. The ACTION trial calcification sidearm study was offered to all patients enrolled in the primary study at sixteen regional facilities. Between June 1997 and October 1998, 518 patients were enrolled over 16 months. Second, no data analysis method was employed to define or explain the link between one dependent binary variable and one or more independent nominal, ordinal, interval, or ratio-level variables. For representation, the independent variables linked with CC (coronary calcium) and thoracic aorta calcification were determined using stepwise</w:t>
      </w:r>
      <w:r>
        <w:rPr>
          <w:rFonts w:ascii="Arial" w:hAnsi="Arial" w:cs="Arial"/>
        </w:rPr>
        <w:t xml:space="preserve"> logistic regression analysis.</w:t>
      </w:r>
      <w:r w:rsidRPr="00C955C4">
        <w:rPr>
          <w:rFonts w:ascii="Arial" w:hAnsi="Arial" w:cs="Arial"/>
          <w:vertAlign w:val="superscript"/>
        </w:rPr>
        <w:t>3</w:t>
      </w:r>
    </w:p>
    <w:p w:rsidR="00D9644B" w:rsidRDefault="00C955C4" w:rsidP="00C955C4">
      <w:pPr>
        <w:jc w:val="both"/>
        <w:rPr>
          <w:rFonts w:ascii="Arial" w:hAnsi="Arial" w:cs="Arial"/>
          <w:vertAlign w:val="superscript"/>
        </w:rPr>
      </w:pPr>
      <w:r w:rsidRPr="00C955C4">
        <w:rPr>
          <w:rFonts w:ascii="Arial" w:hAnsi="Arial" w:cs="Arial"/>
        </w:rPr>
        <w:t>Transesophageal echocardiography is the preferred way to evaluate the ascending and descending thoracic aorta in patients with aortic dissection or following thoracic trauma. However, transesophageal evaluation of the aortic arch is limited. However, detailed transesophageal echocardiographic information about the size of the typical thoracic aorta is currently lacking. Such structural alterations have been evaluated and tracked using a variety of ways. Frequently, comparing measured aortic diameters to normal values is a major factor in determining management recommendations. Specifically, for defining and categorizing structural anomalies such as aneurysm, aortomegaly</w:t>
      </w:r>
      <w:bookmarkStart w:id="0" w:name="_GoBack"/>
      <w:bookmarkEnd w:id="0"/>
      <w:r w:rsidRPr="00C955C4">
        <w:rPr>
          <w:rFonts w:ascii="Arial" w:hAnsi="Arial" w:cs="Arial"/>
        </w:rPr>
        <w:t xml:space="preserve">, </w:t>
      </w:r>
      <w:proofErr w:type="spellStart"/>
      <w:r w:rsidRPr="00C955C4">
        <w:rPr>
          <w:rFonts w:ascii="Arial" w:hAnsi="Arial" w:cs="Arial"/>
        </w:rPr>
        <w:t>ectasia</w:t>
      </w:r>
      <w:proofErr w:type="spellEnd"/>
      <w:r w:rsidRPr="00C955C4">
        <w:rPr>
          <w:rFonts w:ascii="Arial" w:hAnsi="Arial" w:cs="Arial"/>
        </w:rPr>
        <w:t xml:space="preserve">, stenosis, </w:t>
      </w:r>
      <w:proofErr w:type="spellStart"/>
      <w:r w:rsidRPr="00C955C4">
        <w:rPr>
          <w:rFonts w:ascii="Arial" w:hAnsi="Arial" w:cs="Arial"/>
        </w:rPr>
        <w:t>coarctation</w:t>
      </w:r>
      <w:proofErr w:type="spellEnd"/>
      <w:r w:rsidRPr="00C955C4">
        <w:rPr>
          <w:rFonts w:ascii="Arial" w:hAnsi="Arial" w:cs="Arial"/>
        </w:rPr>
        <w:t>, and hypoplasia, knowledge of normal aortic diameters at various levels is required.</w:t>
      </w:r>
      <w:r w:rsidRPr="00C955C4">
        <w:rPr>
          <w:rFonts w:ascii="Arial" w:hAnsi="Arial" w:cs="Arial"/>
          <w:vertAlign w:val="superscript"/>
        </w:rPr>
        <w:t>4</w:t>
      </w:r>
    </w:p>
    <w:p w:rsidR="00C955C4" w:rsidRDefault="00C955C4" w:rsidP="00C955C4">
      <w:pPr>
        <w:jc w:val="both"/>
        <w:rPr>
          <w:rFonts w:ascii="Arial" w:hAnsi="Arial" w:cs="Arial"/>
          <w:vertAlign w:val="superscript"/>
        </w:rPr>
      </w:pPr>
    </w:p>
    <w:p w:rsidR="00C955C4" w:rsidRDefault="00C955C4" w:rsidP="00C955C4">
      <w:pPr>
        <w:jc w:val="both"/>
        <w:rPr>
          <w:rFonts w:ascii="Arial" w:hAnsi="Arial" w:cs="Arial"/>
          <w:vertAlign w:val="superscript"/>
        </w:rPr>
      </w:pPr>
    </w:p>
    <w:p w:rsidR="00C955C4" w:rsidRDefault="00C955C4" w:rsidP="00C955C4">
      <w:pPr>
        <w:jc w:val="both"/>
        <w:rPr>
          <w:rFonts w:ascii="Arial" w:hAnsi="Arial" w:cs="Arial"/>
          <w:vertAlign w:val="superscript"/>
        </w:rPr>
      </w:pPr>
    </w:p>
    <w:p w:rsidR="00C955C4" w:rsidRDefault="00C955C4" w:rsidP="00C955C4">
      <w:pPr>
        <w:jc w:val="both"/>
        <w:rPr>
          <w:rFonts w:ascii="Arial" w:hAnsi="Arial" w:cs="Arial"/>
          <w:vertAlign w:val="superscript"/>
        </w:rPr>
      </w:pPr>
    </w:p>
    <w:p w:rsidR="00C955C4" w:rsidRDefault="00C955C4" w:rsidP="00C955C4">
      <w:pPr>
        <w:jc w:val="both"/>
        <w:rPr>
          <w:rFonts w:ascii="Arial" w:hAnsi="Arial" w:cs="Arial"/>
          <w:vertAlign w:val="superscript"/>
        </w:rPr>
      </w:pPr>
    </w:p>
    <w:p w:rsidR="00C955C4" w:rsidRDefault="00C955C4" w:rsidP="00C955C4">
      <w:pPr>
        <w:jc w:val="both"/>
        <w:rPr>
          <w:rFonts w:ascii="Arial" w:hAnsi="Arial" w:cs="Arial"/>
          <w:vertAlign w:val="superscript"/>
        </w:rPr>
      </w:pPr>
    </w:p>
    <w:p w:rsidR="00C955C4" w:rsidRPr="00C955C4" w:rsidRDefault="00C955C4" w:rsidP="00C955C4">
      <w:pPr>
        <w:jc w:val="both"/>
        <w:rPr>
          <w:rFonts w:ascii="Arial" w:hAnsi="Arial" w:cs="Arial"/>
          <w:sz w:val="32"/>
          <w:szCs w:val="32"/>
          <w:vertAlign w:val="superscript"/>
        </w:rPr>
      </w:pPr>
      <w:r w:rsidRPr="00C955C4">
        <w:rPr>
          <w:rFonts w:ascii="Arial" w:hAnsi="Arial" w:cs="Arial"/>
          <w:sz w:val="32"/>
          <w:szCs w:val="32"/>
          <w:vertAlign w:val="superscript"/>
        </w:rPr>
        <w:lastRenderedPageBreak/>
        <w:t>References:</w:t>
      </w:r>
    </w:p>
    <w:p w:rsidR="00C955C4" w:rsidRPr="00C955C4" w:rsidRDefault="00C955C4" w:rsidP="00C955C4">
      <w:pPr>
        <w:pStyle w:val="ListParagraph"/>
        <w:numPr>
          <w:ilvl w:val="0"/>
          <w:numId w:val="1"/>
        </w:numPr>
        <w:jc w:val="both"/>
        <w:rPr>
          <w:rFonts w:ascii="Arial" w:hAnsi="Arial" w:cs="Arial"/>
          <w:sz w:val="32"/>
          <w:szCs w:val="32"/>
        </w:rPr>
      </w:pPr>
      <w:r>
        <w:rPr>
          <w:rFonts w:ascii="Segoe UI" w:hAnsi="Segoe UI" w:cs="Segoe UI"/>
          <w:color w:val="212121"/>
          <w:shd w:val="clear" w:color="auto" w:fill="FFFFFF"/>
        </w:rPr>
        <w:t xml:space="preserve">Suzuki R, </w:t>
      </w:r>
      <w:proofErr w:type="spellStart"/>
      <w:r>
        <w:rPr>
          <w:rFonts w:ascii="Segoe UI" w:hAnsi="Segoe UI" w:cs="Segoe UI"/>
          <w:color w:val="212121"/>
          <w:shd w:val="clear" w:color="auto" w:fill="FFFFFF"/>
        </w:rPr>
        <w:t>Mikamo</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Tsubone</w:t>
      </w:r>
      <w:proofErr w:type="spellEnd"/>
      <w:r>
        <w:rPr>
          <w:rFonts w:ascii="Segoe UI" w:hAnsi="Segoe UI" w:cs="Segoe UI"/>
          <w:color w:val="212121"/>
          <w:shd w:val="clear" w:color="auto" w:fill="FFFFFF"/>
        </w:rPr>
        <w:t xml:space="preserve"> S, Matsunaga K, </w:t>
      </w:r>
      <w:proofErr w:type="spellStart"/>
      <w:r>
        <w:rPr>
          <w:rFonts w:ascii="Segoe UI" w:hAnsi="Segoe UI" w:cs="Segoe UI"/>
          <w:color w:val="212121"/>
          <w:shd w:val="clear" w:color="auto" w:fill="FFFFFF"/>
        </w:rPr>
        <w:t>Matsuno</w:t>
      </w:r>
      <w:proofErr w:type="spellEnd"/>
      <w:r>
        <w:rPr>
          <w:rFonts w:ascii="Segoe UI" w:hAnsi="Segoe UI" w:cs="Segoe UI"/>
          <w:color w:val="212121"/>
          <w:shd w:val="clear" w:color="auto" w:fill="FFFFFF"/>
        </w:rPr>
        <w:t xml:space="preserve"> Y, </w:t>
      </w:r>
      <w:proofErr w:type="spellStart"/>
      <w:r>
        <w:rPr>
          <w:rFonts w:ascii="Segoe UI" w:hAnsi="Segoe UI" w:cs="Segoe UI"/>
          <w:color w:val="212121"/>
          <w:shd w:val="clear" w:color="auto" w:fill="FFFFFF"/>
        </w:rPr>
        <w:t>Kurazumi</w:t>
      </w:r>
      <w:proofErr w:type="spellEnd"/>
      <w:r>
        <w:rPr>
          <w:rFonts w:ascii="Segoe UI" w:hAnsi="Segoe UI" w:cs="Segoe UI"/>
          <w:color w:val="212121"/>
          <w:shd w:val="clear" w:color="auto" w:fill="FFFFFF"/>
        </w:rPr>
        <w:t xml:space="preserve"> H, Hamano K. Preoperative evaluation of aortic calcification by computed tomography in thoracic aortic disease. J Card Surg. 2021 Jan</w:t>
      </w:r>
      <w:proofErr w:type="gramStart"/>
      <w:r>
        <w:rPr>
          <w:rFonts w:ascii="Segoe UI" w:hAnsi="Segoe UI" w:cs="Segoe UI"/>
          <w:color w:val="212121"/>
          <w:shd w:val="clear" w:color="auto" w:fill="FFFFFF"/>
        </w:rPr>
        <w:t>;36</w:t>
      </w:r>
      <w:proofErr w:type="gramEnd"/>
      <w:r>
        <w:rPr>
          <w:rFonts w:ascii="Segoe UI" w:hAnsi="Segoe UI" w:cs="Segoe UI"/>
          <w:color w:val="212121"/>
          <w:shd w:val="clear" w:color="auto" w:fill="FFFFFF"/>
        </w:rPr>
        <w:t xml:space="preserve">(1):62-68.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xml:space="preserve">: 10.1111/jocs.15154. </w:t>
      </w:r>
      <w:proofErr w:type="spellStart"/>
      <w:r>
        <w:rPr>
          <w:rFonts w:ascii="Segoe UI" w:hAnsi="Segoe UI" w:cs="Segoe UI"/>
          <w:color w:val="212121"/>
          <w:shd w:val="clear" w:color="auto" w:fill="FFFFFF"/>
        </w:rPr>
        <w:t>Epub</w:t>
      </w:r>
      <w:proofErr w:type="spellEnd"/>
      <w:r>
        <w:rPr>
          <w:rFonts w:ascii="Segoe UI" w:hAnsi="Segoe UI" w:cs="Segoe UI"/>
          <w:color w:val="212121"/>
          <w:shd w:val="clear" w:color="auto" w:fill="FFFFFF"/>
        </w:rPr>
        <w:t xml:space="preserve"> 2020 Oct 30. PMID: 33124064.</w:t>
      </w:r>
    </w:p>
    <w:p w:rsidR="00C955C4" w:rsidRPr="00C955C4" w:rsidRDefault="00C955C4" w:rsidP="00C955C4">
      <w:pPr>
        <w:pStyle w:val="ListParagraph"/>
        <w:numPr>
          <w:ilvl w:val="0"/>
          <w:numId w:val="1"/>
        </w:numPr>
        <w:jc w:val="both"/>
        <w:rPr>
          <w:rFonts w:ascii="Arial" w:hAnsi="Arial" w:cs="Arial"/>
          <w:sz w:val="32"/>
          <w:szCs w:val="32"/>
        </w:rPr>
      </w:pPr>
      <w:proofErr w:type="spellStart"/>
      <w:r>
        <w:rPr>
          <w:rFonts w:ascii="Segoe UI" w:hAnsi="Segoe UI" w:cs="Segoe UI"/>
          <w:color w:val="212121"/>
          <w:shd w:val="clear" w:color="auto" w:fill="FFFFFF"/>
        </w:rPr>
        <w:t>Eisen</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Tenenbaum</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Koren</w:t>
      </w:r>
      <w:proofErr w:type="spellEnd"/>
      <w:r>
        <w:rPr>
          <w:rFonts w:ascii="Segoe UI" w:hAnsi="Segoe UI" w:cs="Segoe UI"/>
          <w:color w:val="212121"/>
          <w:shd w:val="clear" w:color="auto" w:fill="FFFFFF"/>
        </w:rPr>
        <w:t xml:space="preserve">-Morag N, </w:t>
      </w:r>
      <w:proofErr w:type="spellStart"/>
      <w:r>
        <w:rPr>
          <w:rFonts w:ascii="Segoe UI" w:hAnsi="Segoe UI" w:cs="Segoe UI"/>
          <w:color w:val="212121"/>
          <w:shd w:val="clear" w:color="auto" w:fill="FFFFFF"/>
        </w:rPr>
        <w:t>Tanne</w:t>
      </w:r>
      <w:proofErr w:type="spellEnd"/>
      <w:r>
        <w:rPr>
          <w:rFonts w:ascii="Segoe UI" w:hAnsi="Segoe UI" w:cs="Segoe UI"/>
          <w:color w:val="212121"/>
          <w:shd w:val="clear" w:color="auto" w:fill="FFFFFF"/>
        </w:rPr>
        <w:t xml:space="preserve"> D, </w:t>
      </w:r>
      <w:proofErr w:type="spellStart"/>
      <w:r>
        <w:rPr>
          <w:rFonts w:ascii="Segoe UI" w:hAnsi="Segoe UI" w:cs="Segoe UI"/>
          <w:color w:val="212121"/>
          <w:shd w:val="clear" w:color="auto" w:fill="FFFFFF"/>
        </w:rPr>
        <w:t>Shemesh</w:t>
      </w:r>
      <w:proofErr w:type="spellEnd"/>
      <w:r>
        <w:rPr>
          <w:rFonts w:ascii="Segoe UI" w:hAnsi="Segoe UI" w:cs="Segoe UI"/>
          <w:color w:val="212121"/>
          <w:shd w:val="clear" w:color="auto" w:fill="FFFFFF"/>
        </w:rPr>
        <w:t xml:space="preserve"> J, </w:t>
      </w:r>
      <w:proofErr w:type="spellStart"/>
      <w:r>
        <w:rPr>
          <w:rFonts w:ascii="Segoe UI" w:hAnsi="Segoe UI" w:cs="Segoe UI"/>
          <w:color w:val="212121"/>
          <w:shd w:val="clear" w:color="auto" w:fill="FFFFFF"/>
        </w:rPr>
        <w:t>Imazio</w:t>
      </w:r>
      <w:proofErr w:type="spellEnd"/>
      <w:r>
        <w:rPr>
          <w:rFonts w:ascii="Segoe UI" w:hAnsi="Segoe UI" w:cs="Segoe UI"/>
          <w:color w:val="212121"/>
          <w:shd w:val="clear" w:color="auto" w:fill="FFFFFF"/>
        </w:rPr>
        <w:t xml:space="preserve"> M, </w:t>
      </w:r>
      <w:proofErr w:type="spellStart"/>
      <w:r>
        <w:rPr>
          <w:rFonts w:ascii="Segoe UI" w:hAnsi="Segoe UI" w:cs="Segoe UI"/>
          <w:color w:val="212121"/>
          <w:shd w:val="clear" w:color="auto" w:fill="FFFFFF"/>
        </w:rPr>
        <w:t>Fisman</w:t>
      </w:r>
      <w:proofErr w:type="spellEnd"/>
      <w:r>
        <w:rPr>
          <w:rFonts w:ascii="Segoe UI" w:hAnsi="Segoe UI" w:cs="Segoe UI"/>
          <w:color w:val="212121"/>
          <w:shd w:val="clear" w:color="auto" w:fill="FFFFFF"/>
        </w:rPr>
        <w:t xml:space="preserve"> EZ, </w:t>
      </w:r>
      <w:proofErr w:type="spellStart"/>
      <w:r>
        <w:rPr>
          <w:rFonts w:ascii="Segoe UI" w:hAnsi="Segoe UI" w:cs="Segoe UI"/>
          <w:color w:val="212121"/>
          <w:shd w:val="clear" w:color="auto" w:fill="FFFFFF"/>
        </w:rPr>
        <w:t>Motro</w:t>
      </w:r>
      <w:proofErr w:type="spellEnd"/>
      <w:r>
        <w:rPr>
          <w:rFonts w:ascii="Segoe UI" w:hAnsi="Segoe UI" w:cs="Segoe UI"/>
          <w:color w:val="212121"/>
          <w:shd w:val="clear" w:color="auto" w:fill="FFFFFF"/>
        </w:rPr>
        <w:t xml:space="preserve"> M, </w:t>
      </w:r>
      <w:proofErr w:type="spellStart"/>
      <w:r>
        <w:rPr>
          <w:rFonts w:ascii="Segoe UI" w:hAnsi="Segoe UI" w:cs="Segoe UI"/>
          <w:color w:val="212121"/>
          <w:shd w:val="clear" w:color="auto" w:fill="FFFFFF"/>
        </w:rPr>
        <w:t>Schwammenthal</w:t>
      </w:r>
      <w:proofErr w:type="spellEnd"/>
      <w:r>
        <w:rPr>
          <w:rFonts w:ascii="Segoe UI" w:hAnsi="Segoe UI" w:cs="Segoe UI"/>
          <w:color w:val="212121"/>
          <w:shd w:val="clear" w:color="auto" w:fill="FFFFFF"/>
        </w:rPr>
        <w:t xml:space="preserve"> E, Adler Y. Calcification of the thoracic aorta as detected by spiral computed tomography among stable angina pectoris patients: association with cardiovascular events and death. Circulation. 2008 Sep 23</w:t>
      </w:r>
      <w:proofErr w:type="gramStart"/>
      <w:r>
        <w:rPr>
          <w:rFonts w:ascii="Segoe UI" w:hAnsi="Segoe UI" w:cs="Segoe UI"/>
          <w:color w:val="212121"/>
          <w:shd w:val="clear" w:color="auto" w:fill="FFFFFF"/>
        </w:rPr>
        <w:t>;118</w:t>
      </w:r>
      <w:proofErr w:type="gramEnd"/>
      <w:r>
        <w:rPr>
          <w:rFonts w:ascii="Segoe UI" w:hAnsi="Segoe UI" w:cs="Segoe UI"/>
          <w:color w:val="212121"/>
          <w:shd w:val="clear" w:color="auto" w:fill="FFFFFF"/>
        </w:rPr>
        <w:t xml:space="preserve">(13):1328-34.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xml:space="preserve">: 10.1161/CIRCULATIONAHA.107.712141. </w:t>
      </w:r>
      <w:proofErr w:type="spellStart"/>
      <w:r>
        <w:rPr>
          <w:rFonts w:ascii="Segoe UI" w:hAnsi="Segoe UI" w:cs="Segoe UI"/>
          <w:color w:val="212121"/>
          <w:shd w:val="clear" w:color="auto" w:fill="FFFFFF"/>
        </w:rPr>
        <w:t>Epub</w:t>
      </w:r>
      <w:proofErr w:type="spellEnd"/>
      <w:r>
        <w:rPr>
          <w:rFonts w:ascii="Segoe UI" w:hAnsi="Segoe UI" w:cs="Segoe UI"/>
          <w:color w:val="212121"/>
          <w:shd w:val="clear" w:color="auto" w:fill="FFFFFF"/>
        </w:rPr>
        <w:t xml:space="preserve"> 2008 Sep 8. PMID: 18779448.</w:t>
      </w:r>
    </w:p>
    <w:p w:rsidR="00C955C4" w:rsidRPr="00C955C4" w:rsidRDefault="00C955C4" w:rsidP="00C955C4">
      <w:pPr>
        <w:pStyle w:val="ListParagraph"/>
        <w:numPr>
          <w:ilvl w:val="0"/>
          <w:numId w:val="1"/>
        </w:numPr>
        <w:jc w:val="both"/>
        <w:rPr>
          <w:rFonts w:ascii="Arial" w:hAnsi="Arial" w:cs="Arial"/>
          <w:sz w:val="32"/>
          <w:szCs w:val="32"/>
        </w:rPr>
      </w:pPr>
      <w:r>
        <w:rPr>
          <w:rFonts w:ascii="Segoe UI" w:hAnsi="Segoe UI" w:cs="Segoe UI"/>
          <w:color w:val="212121"/>
          <w:shd w:val="clear" w:color="auto" w:fill="FFFFFF"/>
        </w:rPr>
        <w:t xml:space="preserve">Adler Y, </w:t>
      </w:r>
      <w:proofErr w:type="spellStart"/>
      <w:r>
        <w:rPr>
          <w:rFonts w:ascii="Segoe UI" w:hAnsi="Segoe UI" w:cs="Segoe UI"/>
          <w:color w:val="212121"/>
          <w:shd w:val="clear" w:color="auto" w:fill="FFFFFF"/>
        </w:rPr>
        <w:t>Fisman</w:t>
      </w:r>
      <w:proofErr w:type="spellEnd"/>
      <w:r>
        <w:rPr>
          <w:rFonts w:ascii="Segoe UI" w:hAnsi="Segoe UI" w:cs="Segoe UI"/>
          <w:color w:val="212121"/>
          <w:shd w:val="clear" w:color="auto" w:fill="FFFFFF"/>
        </w:rPr>
        <w:t xml:space="preserve"> EZ, </w:t>
      </w:r>
      <w:proofErr w:type="spellStart"/>
      <w:r>
        <w:rPr>
          <w:rFonts w:ascii="Segoe UI" w:hAnsi="Segoe UI" w:cs="Segoe UI"/>
          <w:color w:val="212121"/>
          <w:shd w:val="clear" w:color="auto" w:fill="FFFFFF"/>
        </w:rPr>
        <w:t>Shemesh</w:t>
      </w:r>
      <w:proofErr w:type="spellEnd"/>
      <w:r>
        <w:rPr>
          <w:rFonts w:ascii="Segoe UI" w:hAnsi="Segoe UI" w:cs="Segoe UI"/>
          <w:color w:val="212121"/>
          <w:shd w:val="clear" w:color="auto" w:fill="FFFFFF"/>
        </w:rPr>
        <w:t xml:space="preserve"> J, </w:t>
      </w:r>
      <w:proofErr w:type="spellStart"/>
      <w:r>
        <w:rPr>
          <w:rFonts w:ascii="Segoe UI" w:hAnsi="Segoe UI" w:cs="Segoe UI"/>
          <w:color w:val="212121"/>
          <w:shd w:val="clear" w:color="auto" w:fill="FFFFFF"/>
        </w:rPr>
        <w:t>Schwammenthal</w:t>
      </w:r>
      <w:proofErr w:type="spellEnd"/>
      <w:r>
        <w:rPr>
          <w:rFonts w:ascii="Segoe UI" w:hAnsi="Segoe UI" w:cs="Segoe UI"/>
          <w:color w:val="212121"/>
          <w:shd w:val="clear" w:color="auto" w:fill="FFFFFF"/>
        </w:rPr>
        <w:t xml:space="preserve"> E, </w:t>
      </w:r>
      <w:proofErr w:type="spellStart"/>
      <w:r>
        <w:rPr>
          <w:rFonts w:ascii="Segoe UI" w:hAnsi="Segoe UI" w:cs="Segoe UI"/>
          <w:color w:val="212121"/>
          <w:shd w:val="clear" w:color="auto" w:fill="FFFFFF"/>
        </w:rPr>
        <w:t>Tanne</w:t>
      </w:r>
      <w:proofErr w:type="spellEnd"/>
      <w:r>
        <w:rPr>
          <w:rFonts w:ascii="Segoe UI" w:hAnsi="Segoe UI" w:cs="Segoe UI"/>
          <w:color w:val="212121"/>
          <w:shd w:val="clear" w:color="auto" w:fill="FFFFFF"/>
        </w:rPr>
        <w:t xml:space="preserve"> D, </w:t>
      </w:r>
      <w:proofErr w:type="spellStart"/>
      <w:r>
        <w:rPr>
          <w:rFonts w:ascii="Segoe UI" w:hAnsi="Segoe UI" w:cs="Segoe UI"/>
          <w:color w:val="212121"/>
          <w:shd w:val="clear" w:color="auto" w:fill="FFFFFF"/>
        </w:rPr>
        <w:t>Batavraham</w:t>
      </w:r>
      <w:proofErr w:type="spellEnd"/>
      <w:r>
        <w:rPr>
          <w:rFonts w:ascii="Segoe UI" w:hAnsi="Segoe UI" w:cs="Segoe UI"/>
          <w:color w:val="212121"/>
          <w:shd w:val="clear" w:color="auto" w:fill="FFFFFF"/>
        </w:rPr>
        <w:t xml:space="preserve"> IR, </w:t>
      </w:r>
      <w:proofErr w:type="spellStart"/>
      <w:r>
        <w:rPr>
          <w:rFonts w:ascii="Segoe UI" w:hAnsi="Segoe UI" w:cs="Segoe UI"/>
          <w:color w:val="212121"/>
          <w:shd w:val="clear" w:color="auto" w:fill="FFFFFF"/>
        </w:rPr>
        <w:t>Motro</w:t>
      </w:r>
      <w:proofErr w:type="spellEnd"/>
      <w:r>
        <w:rPr>
          <w:rFonts w:ascii="Segoe UI" w:hAnsi="Segoe UI" w:cs="Segoe UI"/>
          <w:color w:val="212121"/>
          <w:shd w:val="clear" w:color="auto" w:fill="FFFFFF"/>
        </w:rPr>
        <w:t xml:space="preserve"> M, </w:t>
      </w:r>
      <w:proofErr w:type="spellStart"/>
      <w:r>
        <w:rPr>
          <w:rFonts w:ascii="Segoe UI" w:hAnsi="Segoe UI" w:cs="Segoe UI"/>
          <w:color w:val="212121"/>
          <w:shd w:val="clear" w:color="auto" w:fill="FFFFFF"/>
        </w:rPr>
        <w:t>Tenenbaum</w:t>
      </w:r>
      <w:proofErr w:type="spellEnd"/>
      <w:r>
        <w:rPr>
          <w:rFonts w:ascii="Segoe UI" w:hAnsi="Segoe UI" w:cs="Segoe UI"/>
          <w:color w:val="212121"/>
          <w:shd w:val="clear" w:color="auto" w:fill="FFFFFF"/>
        </w:rPr>
        <w:t xml:space="preserve"> A. Spiral computed tomography evidence of close correlation between coronary and thoracic aorta calcifications. Atherosclerosis. 2004 Sep</w:t>
      </w:r>
      <w:proofErr w:type="gramStart"/>
      <w:r>
        <w:rPr>
          <w:rFonts w:ascii="Segoe UI" w:hAnsi="Segoe UI" w:cs="Segoe UI"/>
          <w:color w:val="212121"/>
          <w:shd w:val="clear" w:color="auto" w:fill="FFFFFF"/>
        </w:rPr>
        <w:t>;176</w:t>
      </w:r>
      <w:proofErr w:type="gramEnd"/>
      <w:r>
        <w:rPr>
          <w:rFonts w:ascii="Segoe UI" w:hAnsi="Segoe UI" w:cs="Segoe UI"/>
          <w:color w:val="212121"/>
          <w:shd w:val="clear" w:color="auto" w:fill="FFFFFF"/>
        </w:rPr>
        <w:t xml:space="preserve">(1):133-8.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10.1016/j.atherosclerosis.2004.03.027. PMID: 15306185.</w:t>
      </w:r>
    </w:p>
    <w:p w:rsidR="00C955C4" w:rsidRPr="00C955C4" w:rsidRDefault="00C955C4" w:rsidP="00C955C4">
      <w:pPr>
        <w:pStyle w:val="ListParagraph"/>
        <w:numPr>
          <w:ilvl w:val="0"/>
          <w:numId w:val="1"/>
        </w:numPr>
        <w:jc w:val="both"/>
        <w:rPr>
          <w:rFonts w:ascii="Arial" w:hAnsi="Arial" w:cs="Arial"/>
          <w:sz w:val="32"/>
          <w:szCs w:val="32"/>
        </w:rPr>
      </w:pPr>
      <w:r>
        <w:rPr>
          <w:rFonts w:ascii="Segoe UI" w:hAnsi="Segoe UI" w:cs="Segoe UI"/>
          <w:color w:val="212121"/>
          <w:shd w:val="clear" w:color="auto" w:fill="FFFFFF"/>
        </w:rPr>
        <w:t xml:space="preserve">Hager A, </w:t>
      </w:r>
      <w:proofErr w:type="spellStart"/>
      <w:r>
        <w:rPr>
          <w:rFonts w:ascii="Segoe UI" w:hAnsi="Segoe UI" w:cs="Segoe UI"/>
          <w:color w:val="212121"/>
          <w:shd w:val="clear" w:color="auto" w:fill="FFFFFF"/>
        </w:rPr>
        <w:t>Kaemmerer</w:t>
      </w:r>
      <w:proofErr w:type="spellEnd"/>
      <w:r>
        <w:rPr>
          <w:rFonts w:ascii="Segoe UI" w:hAnsi="Segoe UI" w:cs="Segoe UI"/>
          <w:color w:val="212121"/>
          <w:shd w:val="clear" w:color="auto" w:fill="FFFFFF"/>
        </w:rPr>
        <w:t xml:space="preserve"> H, Rapp-Bernhardt U, </w:t>
      </w:r>
      <w:proofErr w:type="spellStart"/>
      <w:r>
        <w:rPr>
          <w:rFonts w:ascii="Segoe UI" w:hAnsi="Segoe UI" w:cs="Segoe UI"/>
          <w:color w:val="212121"/>
          <w:shd w:val="clear" w:color="auto" w:fill="FFFFFF"/>
        </w:rPr>
        <w:t>Blücher</w:t>
      </w:r>
      <w:proofErr w:type="spellEnd"/>
      <w:r>
        <w:rPr>
          <w:rFonts w:ascii="Segoe UI" w:hAnsi="Segoe UI" w:cs="Segoe UI"/>
          <w:color w:val="212121"/>
          <w:shd w:val="clear" w:color="auto" w:fill="FFFFFF"/>
        </w:rPr>
        <w:t xml:space="preserve"> S, Rapp K, Bernhardt TM, </w:t>
      </w:r>
      <w:proofErr w:type="spellStart"/>
      <w:r>
        <w:rPr>
          <w:rFonts w:ascii="Segoe UI" w:hAnsi="Segoe UI" w:cs="Segoe UI"/>
          <w:color w:val="212121"/>
          <w:shd w:val="clear" w:color="auto" w:fill="FFFFFF"/>
        </w:rPr>
        <w:t>Galanski</w:t>
      </w:r>
      <w:proofErr w:type="spellEnd"/>
      <w:r>
        <w:rPr>
          <w:rFonts w:ascii="Segoe UI" w:hAnsi="Segoe UI" w:cs="Segoe UI"/>
          <w:color w:val="212121"/>
          <w:shd w:val="clear" w:color="auto" w:fill="FFFFFF"/>
        </w:rPr>
        <w:t xml:space="preserve"> M, </w:t>
      </w:r>
      <w:proofErr w:type="gramStart"/>
      <w:r>
        <w:rPr>
          <w:rFonts w:ascii="Segoe UI" w:hAnsi="Segoe UI" w:cs="Segoe UI"/>
          <w:color w:val="212121"/>
          <w:shd w:val="clear" w:color="auto" w:fill="FFFFFF"/>
        </w:rPr>
        <w:t>Hess</w:t>
      </w:r>
      <w:proofErr w:type="gramEnd"/>
      <w:r>
        <w:rPr>
          <w:rFonts w:ascii="Segoe UI" w:hAnsi="Segoe UI" w:cs="Segoe UI"/>
          <w:color w:val="212121"/>
          <w:shd w:val="clear" w:color="auto" w:fill="FFFFFF"/>
        </w:rPr>
        <w:t xml:space="preserve"> J. Diameters of the thoracic aorta throughout life as measured with helical computed tomography. J </w:t>
      </w:r>
      <w:proofErr w:type="spellStart"/>
      <w:r>
        <w:rPr>
          <w:rFonts w:ascii="Segoe UI" w:hAnsi="Segoe UI" w:cs="Segoe UI"/>
          <w:color w:val="212121"/>
          <w:shd w:val="clear" w:color="auto" w:fill="FFFFFF"/>
        </w:rPr>
        <w:t>Thorac</w:t>
      </w:r>
      <w:proofErr w:type="spellEnd"/>
      <w:r>
        <w:rPr>
          <w:rFonts w:ascii="Segoe UI" w:hAnsi="Segoe UI" w:cs="Segoe UI"/>
          <w:color w:val="212121"/>
          <w:shd w:val="clear" w:color="auto" w:fill="FFFFFF"/>
        </w:rPr>
        <w:t xml:space="preserve"> </w:t>
      </w:r>
      <w:proofErr w:type="spellStart"/>
      <w:r>
        <w:rPr>
          <w:rFonts w:ascii="Segoe UI" w:hAnsi="Segoe UI" w:cs="Segoe UI"/>
          <w:color w:val="212121"/>
          <w:shd w:val="clear" w:color="auto" w:fill="FFFFFF"/>
        </w:rPr>
        <w:t>Cardiovasc</w:t>
      </w:r>
      <w:proofErr w:type="spellEnd"/>
      <w:r>
        <w:rPr>
          <w:rFonts w:ascii="Segoe UI" w:hAnsi="Segoe UI" w:cs="Segoe UI"/>
          <w:color w:val="212121"/>
          <w:shd w:val="clear" w:color="auto" w:fill="FFFFFF"/>
        </w:rPr>
        <w:t xml:space="preserve"> Surg. 2002 Jun</w:t>
      </w:r>
      <w:proofErr w:type="gramStart"/>
      <w:r>
        <w:rPr>
          <w:rFonts w:ascii="Segoe UI" w:hAnsi="Segoe UI" w:cs="Segoe UI"/>
          <w:color w:val="212121"/>
          <w:shd w:val="clear" w:color="auto" w:fill="FFFFFF"/>
        </w:rPr>
        <w:t>;123</w:t>
      </w:r>
      <w:proofErr w:type="gramEnd"/>
      <w:r>
        <w:rPr>
          <w:rFonts w:ascii="Segoe UI" w:hAnsi="Segoe UI" w:cs="Segoe UI"/>
          <w:color w:val="212121"/>
          <w:shd w:val="clear" w:color="auto" w:fill="FFFFFF"/>
        </w:rPr>
        <w:t xml:space="preserve">(6):1060-6.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10.1067/mtc.2002.122310. PMID: 12063451.</w:t>
      </w:r>
    </w:p>
    <w:sectPr w:rsidR="00C955C4" w:rsidRPr="00C955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111640"/>
    <w:multiLevelType w:val="hybridMultilevel"/>
    <w:tmpl w:val="2B28E282"/>
    <w:lvl w:ilvl="0" w:tplc="58C4EE0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5C4"/>
    <w:rsid w:val="00664A2C"/>
    <w:rsid w:val="00C955C4"/>
    <w:rsid w:val="00D96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CB97FF-9D95-4329-BB81-2A5968169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955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55C4"/>
    <w:pPr>
      <w:ind w:left="720"/>
      <w:contextualSpacing/>
    </w:pPr>
  </w:style>
  <w:style w:type="character" w:customStyle="1" w:styleId="Heading1Char">
    <w:name w:val="Heading 1 Char"/>
    <w:basedOn w:val="DefaultParagraphFont"/>
    <w:link w:val="Heading1"/>
    <w:uiPriority w:val="9"/>
    <w:rsid w:val="00C955C4"/>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C955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mairhafeez262@gmail.com" TargetMode="External"/><Relationship Id="rId5" Type="http://schemas.openxmlformats.org/officeDocument/2006/relationships/hyperlink" Target="mailto:umairhafeez26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805</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2022-06-15T11:07:00Z</dcterms:created>
  <dcterms:modified xsi:type="dcterms:W3CDTF">2022-06-15T11:22:00Z</dcterms:modified>
</cp:coreProperties>
</file>