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A46DB9" w14:textId="33F255FB" w:rsidR="001753D3" w:rsidRDefault="00FD7B4F">
      <w:r>
        <w:rPr>
          <w:noProof/>
        </w:rPr>
        <w:drawing>
          <wp:inline distT="0" distB="0" distL="0" distR="0" wp14:anchorId="12AB54F7" wp14:editId="49E1412F">
            <wp:extent cx="5274310" cy="35629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03702" w14:textId="77777777" w:rsidR="00FD7B4F" w:rsidRDefault="00FD7B4F" w:rsidP="007C1992">
      <w:pPr>
        <w:spacing w:line="480" w:lineRule="auto"/>
        <w:jc w:val="center"/>
        <w:rPr>
          <w:rFonts w:ascii="Times New Roman" w:eastAsia="宋体" w:hAnsi="Times New Roman"/>
          <w:color w:val="000000"/>
          <w:kern w:val="0"/>
          <w:sz w:val="24"/>
          <w:szCs w:val="24"/>
        </w:rPr>
      </w:pPr>
      <w:r w:rsidRPr="00634172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Fig. 1 Map of the study sites in Poyang </w:t>
      </w:r>
      <w:r w:rsidRPr="00634172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Lake</w:t>
      </w:r>
    </w:p>
    <w:p w14:paraId="72D95566" w14:textId="4408C776" w:rsidR="00FD7B4F" w:rsidRDefault="00982030">
      <w:r>
        <w:rPr>
          <w:rFonts w:hint="eastAsia"/>
          <w:noProof/>
        </w:rPr>
        <w:lastRenderedPageBreak/>
        <w:drawing>
          <wp:inline distT="0" distB="0" distL="0" distR="0" wp14:anchorId="7BE383BA" wp14:editId="0746D93E">
            <wp:extent cx="5274310" cy="676148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6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B6DC0" w14:textId="77777777" w:rsidR="0060649A" w:rsidRDefault="0060649A" w:rsidP="0060649A">
      <w:pPr>
        <w:widowControl/>
        <w:spacing w:line="480" w:lineRule="auto"/>
        <w:jc w:val="left"/>
        <w:rPr>
          <w:sz w:val="24"/>
          <w:szCs w:val="24"/>
        </w:rPr>
      </w:pPr>
      <w:bookmarkStart w:id="0" w:name="_Hlk101194824"/>
      <w:r w:rsidRPr="005B4F9F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F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ig.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2</w:t>
      </w:r>
      <w:r w:rsidRPr="005B4F9F">
        <w:rPr>
          <w:sz w:val="24"/>
          <w:szCs w:val="24"/>
        </w:rPr>
        <w:t xml:space="preserve"> 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Scatter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plot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for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stable 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isotopic composition (</w:t>
      </w:r>
      <w:r w:rsidRPr="000F6F12">
        <w:rPr>
          <w:rFonts w:ascii="Times New Roman" w:eastAsia="宋体" w:hAnsi="Times New Roman"/>
          <w:i/>
          <w:iCs/>
          <w:color w:val="000000"/>
          <w:kern w:val="0"/>
          <w:sz w:val="24"/>
          <w:szCs w:val="24"/>
        </w:rPr>
        <w:t>δ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  <w:vertAlign w:val="superscript"/>
        </w:rPr>
        <w:t>13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C, </w:t>
      </w:r>
      <w:r w:rsidRPr="000F6F12">
        <w:rPr>
          <w:rFonts w:ascii="Times New Roman" w:eastAsia="宋体" w:hAnsi="Times New Roman"/>
          <w:i/>
          <w:iCs/>
          <w:color w:val="000000"/>
          <w:kern w:val="0"/>
          <w:sz w:val="24"/>
          <w:szCs w:val="24"/>
        </w:rPr>
        <w:t>δ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  <w:vertAlign w:val="superscript"/>
        </w:rPr>
        <w:t>15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N) of 57 species in Poyang Lake</w:t>
      </w:r>
      <w:bookmarkEnd w:id="0"/>
    </w:p>
    <w:p w14:paraId="1FD8D818" w14:textId="2345B4A0" w:rsidR="00982030" w:rsidRPr="0060649A" w:rsidRDefault="00982030"/>
    <w:p w14:paraId="442F2203" w14:textId="5954EE4B" w:rsidR="00CB22CC" w:rsidRDefault="00B05F19">
      <w:r>
        <w:rPr>
          <w:noProof/>
        </w:rPr>
        <w:lastRenderedPageBreak/>
        <w:drawing>
          <wp:inline distT="0" distB="0" distL="0" distR="0" wp14:anchorId="2A469F5F" wp14:editId="15C17D91">
            <wp:extent cx="5274310" cy="354520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4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99705" w14:textId="77777777" w:rsidR="00B05F19" w:rsidRDefault="00B05F19" w:rsidP="00B05F19">
      <w:pPr>
        <w:widowControl/>
        <w:spacing w:line="480" w:lineRule="auto"/>
        <w:rPr>
          <w:rFonts w:ascii="Times New Roman" w:eastAsia="宋体" w:hAnsi="Times New Roman"/>
          <w:color w:val="000000"/>
          <w:kern w:val="0"/>
          <w:sz w:val="24"/>
          <w:szCs w:val="24"/>
        </w:rPr>
      </w:pPr>
      <w:r w:rsidRPr="005B4F9F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F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ig.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3 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>Scatter plots</w:t>
      </w:r>
      <w:r w:rsidRPr="002734EF">
        <w:t xml:space="preserve"> 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>depicting the general relation between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 xml:space="preserve"> trophic differences (EDBEC,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E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>uclidean distances between the ellip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se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centroids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)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and</w:t>
      </w:r>
      <w:r w:rsidRPr="002734E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genetic distances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 xml:space="preserve"> of the 57 species</w:t>
      </w:r>
    </w:p>
    <w:p w14:paraId="18EAA6D9" w14:textId="7D0F8003" w:rsidR="00CB22CC" w:rsidRPr="00B05F19" w:rsidRDefault="00CB22CC"/>
    <w:p w14:paraId="56AEE13C" w14:textId="6528B857" w:rsidR="00CB22CC" w:rsidRDefault="00303CB9">
      <w:r>
        <w:rPr>
          <w:rFonts w:hint="eastAsia"/>
          <w:noProof/>
        </w:rPr>
        <w:lastRenderedPageBreak/>
        <w:drawing>
          <wp:inline distT="0" distB="0" distL="0" distR="0" wp14:anchorId="538A9B21" wp14:editId="09FA5F5A">
            <wp:extent cx="5371071" cy="4095627"/>
            <wp:effectExtent l="0" t="0" r="127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78"/>
                    <a:stretch/>
                  </pic:blipFill>
                  <pic:spPr bwMode="auto">
                    <a:xfrm>
                      <a:off x="0" y="0"/>
                      <a:ext cx="5377252" cy="4100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5154BD" w14:textId="77777777" w:rsidR="00303CB9" w:rsidRDefault="00303CB9" w:rsidP="00303CB9">
      <w:pPr>
        <w:widowControl/>
        <w:spacing w:line="480" w:lineRule="auto"/>
        <w:rPr>
          <w:rFonts w:ascii="Times New Roman" w:eastAsia="宋体" w:hAnsi="Times New Roman"/>
          <w:color w:val="000000"/>
          <w:kern w:val="0"/>
          <w:sz w:val="24"/>
          <w:szCs w:val="24"/>
        </w:rPr>
      </w:pPr>
      <w:r w:rsidRPr="005B4F9F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F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ig.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4 B</w:t>
      </w:r>
      <w:r w:rsidRPr="00845902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ox plot of 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trophic differences (EDBEC)</w:t>
      </w:r>
      <w:r w:rsidRPr="00845902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at different genetic distances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 xml:space="preserve"> showing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the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 xml:space="preserve"> positive trend and flat relationship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. Black lines represent trendlines. </w:t>
      </w:r>
      <w:r w:rsidRPr="008B7FA3">
        <w:rPr>
          <w:rFonts w:ascii="Times New Roman" w:eastAsia="宋体" w:hAnsi="Times New Roman"/>
          <w:color w:val="000000"/>
          <w:kern w:val="0"/>
          <w:sz w:val="24"/>
          <w:szCs w:val="24"/>
        </w:rPr>
        <w:t>For the boxplots, lines indicate median,</w:t>
      </w:r>
      <w:r w:rsidRPr="000C348B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a</w:t>
      </w:r>
      <w:r w:rsidRPr="00653088">
        <w:rPr>
          <w:rFonts w:ascii="Times New Roman" w:eastAsia="宋体" w:hAnsi="Times New Roman"/>
          <w:color w:val="000000"/>
          <w:kern w:val="0"/>
          <w:sz w:val="24"/>
          <w:szCs w:val="24"/>
        </w:rPr>
        <w:t>sterisks indicate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mean,</w:t>
      </w:r>
      <w:r w:rsidRPr="00653088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 w:rsidRPr="008B7FA3">
        <w:rPr>
          <w:rFonts w:ascii="Times New Roman" w:eastAsia="宋体" w:hAnsi="Times New Roman"/>
          <w:color w:val="000000"/>
          <w:kern w:val="0"/>
          <w:sz w:val="24"/>
          <w:szCs w:val="24"/>
        </w:rPr>
        <w:t>boxes indicate upper and lower quartiles, and whiskers indicate 1.5 quartile ranges.</w:t>
      </w:r>
      <w:r w:rsidRPr="00A136BA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We </w:t>
      </w:r>
      <w:r w:rsidRPr="00A136B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colored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b</w:t>
      </w:r>
      <w:r w:rsidRPr="00845902">
        <w:rPr>
          <w:rFonts w:ascii="Times New Roman" w:eastAsia="宋体" w:hAnsi="Times New Roman"/>
          <w:color w:val="000000"/>
          <w:kern w:val="0"/>
          <w:sz w:val="24"/>
          <w:szCs w:val="24"/>
        </w:rPr>
        <w:t>ox plot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proofErr w:type="spellStart"/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skyblue</w:t>
      </w:r>
      <w:proofErr w:type="spellEnd"/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(</w:t>
      </w:r>
      <w:r w:rsidRPr="00A56BC5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genetic distances less than 0.24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) and light grey (</w:t>
      </w:r>
      <w:r w:rsidRPr="00A56BC5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genetic distances larger than 0.24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).</w:t>
      </w:r>
    </w:p>
    <w:p w14:paraId="6634C7BB" w14:textId="1F6A3EA7" w:rsidR="00303CB9" w:rsidRDefault="00DD13F5">
      <w:r w:rsidRPr="00DD13F5">
        <w:rPr>
          <w:noProof/>
        </w:rPr>
        <w:t xml:space="preserve"> </w:t>
      </w:r>
      <w:r w:rsidRPr="00DD13F5">
        <w:lastRenderedPageBreak/>
        <w:drawing>
          <wp:inline distT="0" distB="0" distL="0" distR="0" wp14:anchorId="4BD13525" wp14:editId="625985AE">
            <wp:extent cx="5491875" cy="3354705"/>
            <wp:effectExtent l="0" t="0" r="0" b="0"/>
            <wp:docPr id="14" name="图表 14">
              <a:extLst xmlns:a="http://schemas.openxmlformats.org/drawingml/2006/main">
                <a:ext uri="{FF2B5EF4-FFF2-40B4-BE49-F238E27FC236}">
                  <a16:creationId xmlns:a16="http://schemas.microsoft.com/office/drawing/2014/main" id="{FA11BC20-C49D-4589-B089-034B186E4E5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330B62CE" w14:textId="77777777" w:rsidR="00305528" w:rsidRDefault="00305528" w:rsidP="00305528">
      <w:pPr>
        <w:widowControl/>
        <w:spacing w:line="480" w:lineRule="auto"/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</w:pPr>
      <w:r w:rsidRPr="008F3A9D">
        <w:rPr>
          <w:rFonts w:ascii="Times New Roman" w:eastAsia="宋体" w:hAnsi="Times New Roman" w:hint="eastAsia"/>
          <w:color w:val="000000" w:themeColor="text1"/>
          <w:kern w:val="0"/>
          <w:sz w:val="24"/>
          <w:szCs w:val="24"/>
        </w:rPr>
        <w:t>F</w:t>
      </w:r>
      <w:r w:rsidRPr="008F3A9D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ig. 5 </w:t>
      </w:r>
      <w:bookmarkStart w:id="1" w:name="_Hlk103188206"/>
      <w:r w:rsidRPr="008F3A9D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Bar charts</w:t>
      </w:r>
      <w:bookmarkEnd w:id="1"/>
      <w:r w:rsidRPr="008F3A9D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 showing the number of </w:t>
      </w:r>
      <w:r>
        <w:rPr>
          <w:rFonts w:ascii="Times New Roman" w:eastAsia="宋体" w:hAnsi="Times New Roman" w:hint="eastAsia"/>
          <w:color w:val="000000" w:themeColor="text1"/>
          <w:kern w:val="0"/>
          <w:sz w:val="24"/>
          <w:szCs w:val="24"/>
        </w:rPr>
        <w:t>species pairs at different trophic differences (E</w:t>
      </w:r>
      <w:r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DB</w:t>
      </w:r>
      <w:r>
        <w:rPr>
          <w:rFonts w:ascii="Times New Roman" w:eastAsia="宋体" w:hAnsi="Times New Roman" w:hint="eastAsia"/>
          <w:color w:val="000000" w:themeColor="text1"/>
          <w:kern w:val="0"/>
          <w:sz w:val="24"/>
          <w:szCs w:val="24"/>
        </w:rPr>
        <w:t>EC).</w:t>
      </w:r>
      <w:r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 </w:t>
      </w:r>
      <w:r w:rsidRPr="00A136B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We colored bar charts grey with EDBEC less than 6, and blue with EDBEC more than 6.</w:t>
      </w:r>
    </w:p>
    <w:p w14:paraId="56DA4C88" w14:textId="56606282" w:rsidR="00305528" w:rsidRPr="008F3A9D" w:rsidRDefault="00810C07" w:rsidP="00305528">
      <w:pPr>
        <w:widowControl/>
        <w:spacing w:line="480" w:lineRule="auto"/>
        <w:rPr>
          <w:rFonts w:ascii="Times New Roman" w:eastAsia="宋体" w:hAnsi="Times New Roman"/>
          <w:color w:val="000000" w:themeColor="text1"/>
          <w:kern w:val="0"/>
          <w:sz w:val="28"/>
          <w:szCs w:val="28"/>
        </w:rPr>
      </w:pPr>
      <w:r>
        <w:rPr>
          <w:rFonts w:ascii="Times New Roman" w:eastAsia="宋体" w:hAnsi="Times New Roman"/>
          <w:noProof/>
          <w:color w:val="000000" w:themeColor="text1"/>
          <w:kern w:val="0"/>
          <w:sz w:val="28"/>
          <w:szCs w:val="28"/>
        </w:rPr>
        <w:lastRenderedPageBreak/>
        <w:drawing>
          <wp:inline distT="0" distB="0" distL="0" distR="0" wp14:anchorId="4AAFFF06" wp14:editId="6999842C">
            <wp:extent cx="5274310" cy="457263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7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FE96B" w14:textId="77777777" w:rsidR="00810C07" w:rsidRPr="009A21EA" w:rsidRDefault="00810C07" w:rsidP="00810C07">
      <w:pPr>
        <w:widowControl/>
        <w:spacing w:line="480" w:lineRule="auto"/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</w:pPr>
      <w:r w:rsidRPr="009A21EA">
        <w:rPr>
          <w:rFonts w:ascii="Times New Roman" w:eastAsia="宋体" w:hAnsi="Times New Roman" w:hint="eastAsia"/>
          <w:color w:val="000000" w:themeColor="text1"/>
          <w:kern w:val="0"/>
          <w:sz w:val="24"/>
          <w:szCs w:val="24"/>
        </w:rPr>
        <w:t>F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ig 6.</w:t>
      </w:r>
      <w:r w:rsidRPr="009A21EA">
        <w:rPr>
          <w:color w:val="000000" w:themeColor="text1"/>
          <w:sz w:val="24"/>
          <w:szCs w:val="24"/>
        </w:rPr>
        <w:t xml:space="preserve"> 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BI phylogenetic tree based on haplotypes of </w:t>
      </w:r>
      <w:proofErr w:type="spellStart"/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Cyt</w:t>
      </w:r>
      <w:proofErr w:type="spellEnd"/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 </w:t>
      </w:r>
      <w:r w:rsidRPr="009A21EA">
        <w:rPr>
          <w:rFonts w:ascii="Times New Roman" w:eastAsia="宋体" w:hAnsi="Times New Roman"/>
          <w:i/>
          <w:iCs/>
          <w:color w:val="000000" w:themeColor="text1"/>
          <w:kern w:val="0"/>
          <w:sz w:val="24"/>
          <w:szCs w:val="24"/>
        </w:rPr>
        <w:t>b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 gene sequences. Values on nodes before/after slash</w:t>
      </w:r>
      <w:r w:rsidRPr="009A21EA">
        <w:rPr>
          <w:color w:val="000000" w:themeColor="text1"/>
          <w:sz w:val="24"/>
          <w:szCs w:val="24"/>
        </w:rPr>
        <w:t xml:space="preserve"> 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correspond to the support values for Bayesian inference</w:t>
      </w:r>
      <w:r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 xml:space="preserve"> 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and</w:t>
      </w:r>
      <w:r w:rsidRPr="009A21EA">
        <w:rPr>
          <w:rFonts w:ascii="Times New Roman" w:eastAsia="宋体" w:hAnsi="Times New Roman" w:hint="eastAsia"/>
          <w:color w:val="000000" w:themeColor="text1"/>
          <w:kern w:val="0"/>
          <w:sz w:val="24"/>
          <w:szCs w:val="24"/>
        </w:rPr>
        <w:t xml:space="preserve"> </w:t>
      </w:r>
      <w:r w:rsidRPr="009A21EA">
        <w:rPr>
          <w:rFonts w:ascii="Times New Roman" w:eastAsia="宋体" w:hAnsi="Times New Roman"/>
          <w:color w:val="000000" w:themeColor="text1"/>
          <w:kern w:val="0"/>
          <w:sz w:val="24"/>
          <w:szCs w:val="24"/>
        </w:rPr>
        <w:t>maximum likelihood (BI/ML) methods.</w:t>
      </w:r>
    </w:p>
    <w:p w14:paraId="499AA90E" w14:textId="067D8386" w:rsidR="00810C07" w:rsidRDefault="000508C4" w:rsidP="00810C07">
      <w:pPr>
        <w:spacing w:line="480" w:lineRule="auto"/>
        <w:rPr>
          <w:rFonts w:ascii="Times New Roman" w:eastAsia="宋体" w:hAnsi="Times New Roman"/>
          <w:color w:val="000000"/>
          <w:kern w:val="0"/>
          <w:sz w:val="28"/>
          <w:szCs w:val="28"/>
        </w:rPr>
      </w:pPr>
      <w:r>
        <w:rPr>
          <w:rFonts w:ascii="Times New Roman" w:eastAsia="宋体" w:hAnsi="Times New Roman"/>
          <w:noProof/>
          <w:color w:val="000000"/>
          <w:kern w:val="0"/>
          <w:sz w:val="28"/>
          <w:szCs w:val="28"/>
        </w:rPr>
        <w:lastRenderedPageBreak/>
        <w:drawing>
          <wp:inline distT="0" distB="0" distL="0" distR="0" wp14:anchorId="182B67B3" wp14:editId="7BA5FE6B">
            <wp:extent cx="5274310" cy="3768090"/>
            <wp:effectExtent l="0" t="0" r="254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6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38E59" w14:textId="77777777" w:rsidR="000508C4" w:rsidRDefault="000508C4" w:rsidP="000508C4">
      <w:pPr>
        <w:widowControl/>
        <w:spacing w:line="480" w:lineRule="auto"/>
        <w:rPr>
          <w:rFonts w:ascii="Times New Roman" w:hAnsi="Times New Roman"/>
          <w:sz w:val="24"/>
          <w:szCs w:val="24"/>
        </w:rPr>
      </w:pPr>
      <w:r w:rsidRPr="00A06017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F</w:t>
      </w:r>
      <w:r w:rsidRPr="00A06017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ig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7</w:t>
      </w:r>
      <w:r w:rsidRPr="00A06017">
        <w:rPr>
          <w:rFonts w:ascii="Times New Roman" w:eastAsia="宋体" w:hAnsi="Times New Roman"/>
          <w:color w:val="000000"/>
          <w:kern w:val="0"/>
          <w:sz w:val="24"/>
          <w:szCs w:val="24"/>
        </w:rPr>
        <w:t>.</w:t>
      </w:r>
      <w:r w:rsidRPr="00891316">
        <w:rPr>
          <w:rFonts w:ascii="Times New Roman" w:hAnsi="Times New Roman"/>
          <w:sz w:val="24"/>
          <w:szCs w:val="24"/>
        </w:rPr>
        <w:t xml:space="preserve"> Comparison of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stable 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isotopic composition (</w:t>
      </w:r>
      <w:r w:rsidRPr="000F6F12">
        <w:rPr>
          <w:rFonts w:ascii="Times New Roman" w:eastAsia="宋体" w:hAnsi="Times New Roman"/>
          <w:i/>
          <w:iCs/>
          <w:color w:val="000000"/>
          <w:kern w:val="0"/>
          <w:sz w:val="24"/>
          <w:szCs w:val="24"/>
        </w:rPr>
        <w:t>δ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  <w:vertAlign w:val="superscript"/>
        </w:rPr>
        <w:t>13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C, </w:t>
      </w:r>
      <w:r w:rsidRPr="000F6F12">
        <w:rPr>
          <w:rFonts w:ascii="Times New Roman" w:eastAsia="宋体" w:hAnsi="Times New Roman"/>
          <w:i/>
          <w:iCs/>
          <w:color w:val="000000"/>
          <w:kern w:val="0"/>
          <w:sz w:val="24"/>
          <w:szCs w:val="24"/>
        </w:rPr>
        <w:t>δ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  <w:vertAlign w:val="superscript"/>
        </w:rPr>
        <w:t>15</w:t>
      </w:r>
      <w:r w:rsidRPr="005B4F9F">
        <w:rPr>
          <w:rFonts w:ascii="Times New Roman" w:eastAsia="宋体" w:hAnsi="Times New Roman"/>
          <w:color w:val="000000"/>
          <w:kern w:val="0"/>
          <w:sz w:val="24"/>
          <w:szCs w:val="24"/>
        </w:rPr>
        <w:t>N)</w:t>
      </w:r>
      <w:r w:rsidRPr="00891316">
        <w:rPr>
          <w:rFonts w:ascii="Times New Roman" w:hAnsi="Times New Roman"/>
          <w:sz w:val="24"/>
          <w:szCs w:val="24"/>
        </w:rPr>
        <w:t xml:space="preserve"> together with their sample size-corrected standard ellipse area (</w:t>
      </w:r>
      <w:proofErr w:type="spellStart"/>
      <w:r w:rsidRPr="00891316">
        <w:rPr>
          <w:rFonts w:ascii="Times New Roman" w:hAnsi="Times New Roman"/>
          <w:sz w:val="24"/>
          <w:szCs w:val="24"/>
        </w:rPr>
        <w:t>SEAc</w:t>
      </w:r>
      <w:proofErr w:type="spellEnd"/>
      <w:r w:rsidRPr="00891316">
        <w:rPr>
          <w:rFonts w:ascii="Times New Roman" w:hAnsi="Times New Roman"/>
          <w:sz w:val="24"/>
          <w:szCs w:val="24"/>
        </w:rPr>
        <w:t>) for 7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proofErr w:type="spellStart"/>
      <w:r>
        <w:rPr>
          <w:rFonts w:ascii="Times New Roman" w:hAnsi="Times New Roman" w:hint="eastAsia"/>
          <w:sz w:val="24"/>
          <w:szCs w:val="24"/>
        </w:rPr>
        <w:t>Cultrinae</w:t>
      </w:r>
      <w:proofErr w:type="spellEnd"/>
      <w:r>
        <w:rPr>
          <w:rFonts w:ascii="Times New Roman" w:hAnsi="Times New Roman"/>
          <w:sz w:val="24"/>
          <w:szCs w:val="24"/>
        </w:rPr>
        <w:t xml:space="preserve"> species</w:t>
      </w:r>
      <w:r w:rsidRPr="00891316">
        <w:rPr>
          <w:rFonts w:ascii="Times New Roman" w:hAnsi="Times New Roman"/>
          <w:sz w:val="24"/>
          <w:szCs w:val="24"/>
        </w:rPr>
        <w:t xml:space="preserve"> from </w:t>
      </w:r>
      <w:r>
        <w:rPr>
          <w:rFonts w:ascii="Times New Roman" w:hAnsi="Times New Roman"/>
          <w:sz w:val="24"/>
          <w:szCs w:val="24"/>
        </w:rPr>
        <w:t xml:space="preserve">all </w:t>
      </w:r>
      <w:r w:rsidRPr="00891316">
        <w:rPr>
          <w:rFonts w:ascii="Times New Roman" w:hAnsi="Times New Roman"/>
          <w:sz w:val="24"/>
          <w:szCs w:val="24"/>
        </w:rPr>
        <w:t xml:space="preserve">sites in the Poyang Lake. </w:t>
      </w:r>
      <w:r>
        <w:rPr>
          <w:rFonts w:ascii="Times New Roman" w:hAnsi="Times New Roman" w:hint="eastAsia"/>
          <w:sz w:val="24"/>
          <w:szCs w:val="24"/>
        </w:rPr>
        <w:t xml:space="preserve">The </w:t>
      </w:r>
      <w:r w:rsidRPr="00891316">
        <w:rPr>
          <w:rFonts w:ascii="Times New Roman" w:hAnsi="Times New Roman"/>
          <w:sz w:val="24"/>
          <w:szCs w:val="24"/>
        </w:rPr>
        <w:t xml:space="preserve">7 </w:t>
      </w:r>
      <w:r>
        <w:rPr>
          <w:rFonts w:ascii="Times New Roman" w:hAnsi="Times New Roman"/>
          <w:sz w:val="24"/>
          <w:szCs w:val="24"/>
        </w:rPr>
        <w:t>species</w:t>
      </w:r>
      <w:r w:rsidRPr="00891316">
        <w:rPr>
          <w:rFonts w:ascii="Times New Roman" w:hAnsi="Times New Roman"/>
          <w:sz w:val="24"/>
          <w:szCs w:val="24"/>
        </w:rPr>
        <w:t xml:space="preserve"> are displayed with different colored symbols,</w:t>
      </w:r>
      <w:r>
        <w:rPr>
          <w:rFonts w:ascii="Times New Roman" w:hAnsi="Times New Roman"/>
          <w:sz w:val="24"/>
          <w:szCs w:val="24"/>
        </w:rPr>
        <w:t xml:space="preserve"> </w:t>
      </w:r>
      <w:r w:rsidRPr="00891316">
        <w:rPr>
          <w:rFonts w:ascii="Times New Roman" w:hAnsi="Times New Roman"/>
          <w:sz w:val="24"/>
          <w:szCs w:val="24"/>
        </w:rPr>
        <w:t>respectively.</w:t>
      </w:r>
      <w:r>
        <w:rPr>
          <w:rFonts w:ascii="Times New Roman" w:hAnsi="Times New Roman"/>
          <w:sz w:val="24"/>
          <w:szCs w:val="24"/>
        </w:rPr>
        <w:t xml:space="preserve"> </w:t>
      </w:r>
      <w:r w:rsidRPr="000C06AF">
        <w:rPr>
          <w:rFonts w:ascii="Times New Roman" w:hAnsi="Times New Roman"/>
          <w:sz w:val="24"/>
          <w:szCs w:val="24"/>
        </w:rPr>
        <w:t>The total area of the convex hull (TA) (</w:t>
      </w:r>
      <w:r w:rsidRPr="005257D7">
        <w:rPr>
          <w:rFonts w:ascii="Times New Roman" w:hAnsi="Times New Roman"/>
          <w:sz w:val="24"/>
          <w:szCs w:val="24"/>
        </w:rPr>
        <w:t>dashed</w:t>
      </w:r>
      <w:r w:rsidRPr="000C06AF">
        <w:rPr>
          <w:rFonts w:ascii="Times New Roman" w:hAnsi="Times New Roman"/>
          <w:sz w:val="24"/>
          <w:szCs w:val="24"/>
        </w:rPr>
        <w:t xml:space="preserve"> black lines) and corrected standard ellipse area (</w:t>
      </w:r>
      <w:proofErr w:type="spellStart"/>
      <w:r w:rsidRPr="000C06AF">
        <w:rPr>
          <w:rFonts w:ascii="Times New Roman" w:hAnsi="Times New Roman"/>
          <w:sz w:val="24"/>
          <w:szCs w:val="24"/>
        </w:rPr>
        <w:t>SEAc</w:t>
      </w:r>
      <w:proofErr w:type="spellEnd"/>
      <w:r w:rsidRPr="000C06AF">
        <w:rPr>
          <w:rFonts w:ascii="Times New Roman" w:hAnsi="Times New Roman"/>
          <w:sz w:val="24"/>
          <w:szCs w:val="24"/>
        </w:rPr>
        <w:t>) represent the total niche space and core niche space occupied by species, respectively.</w:t>
      </w:r>
    </w:p>
    <w:p w14:paraId="77F13E5F" w14:textId="19A907DC" w:rsidR="00305528" w:rsidRPr="000508C4" w:rsidRDefault="000508C4" w:rsidP="000508C4">
      <w:pPr>
        <w:jc w:val="center"/>
      </w:pPr>
      <w:r>
        <w:rPr>
          <w:noProof/>
        </w:rPr>
        <w:lastRenderedPageBreak/>
        <w:drawing>
          <wp:inline distT="0" distB="0" distL="0" distR="0" wp14:anchorId="049F34C1" wp14:editId="72704176">
            <wp:extent cx="3756158" cy="326009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84"/>
                    <a:stretch/>
                  </pic:blipFill>
                  <pic:spPr bwMode="auto">
                    <a:xfrm>
                      <a:off x="0" y="0"/>
                      <a:ext cx="3756158" cy="3260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7CF05B" w14:textId="77777777" w:rsidR="000508C4" w:rsidRDefault="000508C4" w:rsidP="000508C4">
      <w:pPr>
        <w:widowControl/>
        <w:spacing w:line="480" w:lineRule="auto"/>
        <w:rPr>
          <w:rFonts w:ascii="Times New Roman" w:eastAsia="宋体" w:hAnsi="Times New Roman"/>
          <w:color w:val="000000"/>
          <w:kern w:val="0"/>
          <w:sz w:val="24"/>
          <w:szCs w:val="24"/>
        </w:rPr>
      </w:pPr>
      <w:r w:rsidRPr="00A06017"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>F</w:t>
      </w:r>
      <w:r w:rsidRPr="00A06017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ig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8</w:t>
      </w:r>
      <w:r w:rsidRPr="00A06017">
        <w:rPr>
          <w:rFonts w:ascii="Times New Roman" w:eastAsia="宋体" w:hAnsi="Times New Roman"/>
          <w:color w:val="000000"/>
          <w:kern w:val="0"/>
          <w:sz w:val="24"/>
          <w:szCs w:val="24"/>
        </w:rPr>
        <w:t>.</w:t>
      </w:r>
      <w:r w:rsidRPr="0089131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Box plots </w:t>
      </w:r>
      <w:r w:rsidRPr="00363ACC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of </w:t>
      </w:r>
      <w:r>
        <w:rPr>
          <w:rFonts w:ascii="Times New Roman" w:eastAsia="宋体" w:hAnsi="Times New Roman" w:hint="eastAsia"/>
          <w:color w:val="000000"/>
          <w:kern w:val="0"/>
          <w:sz w:val="24"/>
          <w:szCs w:val="24"/>
        </w:rPr>
        <w:t xml:space="preserve">trophic differences (EDBEC) </w:t>
      </w:r>
      <w:r w:rsidRPr="00363ACC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for 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“SS, CRSESP, CRS, DRS” </w:t>
      </w:r>
      <w:r w:rsidRPr="00363ACC">
        <w:rPr>
          <w:rFonts w:ascii="Times New Roman" w:eastAsia="宋体" w:hAnsi="Times New Roman"/>
          <w:color w:val="000000"/>
          <w:kern w:val="0"/>
          <w:sz w:val="24"/>
          <w:szCs w:val="24"/>
        </w:rPr>
        <w:t>from 5 study sites in the Poyang Lake.</w:t>
      </w:r>
      <w:r w:rsidRPr="001B1AC2">
        <w:t xml:space="preserve"> </w:t>
      </w:r>
      <w:r>
        <w:rPr>
          <w:rFonts w:ascii="Times New Roman" w:hAnsi="Times New Roman" w:cs="Times New Roman"/>
          <w:sz w:val="24"/>
          <w:szCs w:val="24"/>
        </w:rPr>
        <w:t>T</w:t>
      </w:r>
      <w:r w:rsidRPr="001B338A">
        <w:rPr>
          <w:rFonts w:ascii="Times New Roman" w:hAnsi="Times New Roman" w:cs="Times New Roman"/>
          <w:sz w:val="24"/>
          <w:szCs w:val="24"/>
        </w:rPr>
        <w:t>rophic differences between distantly related species</w:t>
      </w:r>
      <w:r>
        <w:rPr>
          <w:rFonts w:ascii="Times New Roman" w:hAnsi="Times New Roman" w:cs="Times New Roman"/>
          <w:sz w:val="24"/>
          <w:szCs w:val="24"/>
        </w:rPr>
        <w:t xml:space="preserve"> (D)</w:t>
      </w:r>
      <w:r w:rsidRPr="001B338A">
        <w:rPr>
          <w:rFonts w:ascii="Times New Roman" w:hAnsi="Times New Roman" w:cs="Times New Roman"/>
          <w:sz w:val="24"/>
          <w:szCs w:val="24"/>
        </w:rPr>
        <w:t xml:space="preserve"> were significantly larger than closely related species</w:t>
      </w:r>
      <w:r>
        <w:rPr>
          <w:rFonts w:ascii="Times New Roman" w:hAnsi="Times New Roman" w:cs="Times New Roman"/>
          <w:sz w:val="24"/>
          <w:szCs w:val="24"/>
        </w:rPr>
        <w:t xml:space="preserve"> (C)</w:t>
      </w:r>
      <w:r w:rsidRPr="001B338A">
        <w:t xml:space="preserve"> </w:t>
      </w:r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at an α = 0.05. For the boxplots, lines indicate median, boxes indicate upper and lower quartiles, and whiskers indicate 1.5 quartile ranges. Black dots are outliers.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“SS” </w:t>
      </w:r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indicate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s “sister species”; “CRSESP” </w:t>
      </w:r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indicate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 “</w:t>
      </w:r>
      <w:r w:rsidRPr="004D4ACA">
        <w:rPr>
          <w:rFonts w:ascii="Times New Roman" w:eastAsia="宋体" w:hAnsi="Times New Roman"/>
          <w:color w:val="000000"/>
          <w:kern w:val="0"/>
          <w:sz w:val="24"/>
          <w:szCs w:val="24"/>
        </w:rPr>
        <w:t>closely related species (excluding sister species)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”; “CRS” </w:t>
      </w:r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indicate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 “</w:t>
      </w:r>
      <w:r w:rsidRPr="00EC1E9C">
        <w:rPr>
          <w:rFonts w:ascii="Times New Roman" w:eastAsia="宋体" w:hAnsi="Times New Roman"/>
          <w:color w:val="000000"/>
          <w:kern w:val="0"/>
          <w:sz w:val="24"/>
          <w:szCs w:val="24"/>
        </w:rPr>
        <w:t>closely related species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”, which means “SS” + “CRSESP”; “DRS”</w:t>
      </w:r>
      <w:r w:rsidRPr="00BE7C80">
        <w:rPr>
          <w:rFonts w:ascii="Times New Roman" w:eastAsia="宋体" w:hAnsi="Times New Roman"/>
          <w:color w:val="000000"/>
          <w:kern w:val="0"/>
          <w:sz w:val="24"/>
          <w:szCs w:val="24"/>
        </w:rPr>
        <w:t xml:space="preserve"> </w:t>
      </w:r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indicate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s “</w:t>
      </w:r>
      <w:bookmarkStart w:id="2" w:name="_Hlk103003398"/>
      <w:r w:rsidRPr="001B1AC2">
        <w:rPr>
          <w:rFonts w:ascii="Times New Roman" w:eastAsia="宋体" w:hAnsi="Times New Roman"/>
          <w:color w:val="000000"/>
          <w:kern w:val="0"/>
          <w:sz w:val="24"/>
          <w:szCs w:val="24"/>
        </w:rPr>
        <w:t>distantly related species</w:t>
      </w:r>
      <w:r>
        <w:rPr>
          <w:rFonts w:ascii="Times New Roman" w:eastAsia="宋体" w:hAnsi="Times New Roman"/>
          <w:color w:val="000000"/>
          <w:kern w:val="0"/>
          <w:sz w:val="24"/>
          <w:szCs w:val="24"/>
        </w:rPr>
        <w:t>”.</w:t>
      </w:r>
      <w:bookmarkEnd w:id="2"/>
    </w:p>
    <w:p w14:paraId="1E93088C" w14:textId="7E6B965B" w:rsidR="00305528" w:rsidRPr="000508C4" w:rsidRDefault="00305528">
      <w:pPr>
        <w:rPr>
          <w:rFonts w:hint="eastAsia"/>
        </w:rPr>
      </w:pPr>
    </w:p>
    <w:sectPr w:rsidR="00305528" w:rsidRPr="000508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824749" w14:textId="77777777" w:rsidR="00746DE6" w:rsidRDefault="00746DE6" w:rsidP="00FD7B4F">
      <w:r>
        <w:separator/>
      </w:r>
    </w:p>
  </w:endnote>
  <w:endnote w:type="continuationSeparator" w:id="0">
    <w:p w14:paraId="4BA707AD" w14:textId="77777777" w:rsidR="00746DE6" w:rsidRDefault="00746DE6" w:rsidP="00FD7B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FAEDB8" w14:textId="77777777" w:rsidR="00746DE6" w:rsidRDefault="00746DE6" w:rsidP="00FD7B4F">
      <w:r>
        <w:separator/>
      </w:r>
    </w:p>
  </w:footnote>
  <w:footnote w:type="continuationSeparator" w:id="0">
    <w:p w14:paraId="7EAF64A2" w14:textId="77777777" w:rsidR="00746DE6" w:rsidRDefault="00746DE6" w:rsidP="00FD7B4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16D"/>
    <w:rsid w:val="00034590"/>
    <w:rsid w:val="000508C4"/>
    <w:rsid w:val="0011516D"/>
    <w:rsid w:val="001F36EA"/>
    <w:rsid w:val="00303CB9"/>
    <w:rsid w:val="00305528"/>
    <w:rsid w:val="0060649A"/>
    <w:rsid w:val="00746DE6"/>
    <w:rsid w:val="0075356F"/>
    <w:rsid w:val="007C1992"/>
    <w:rsid w:val="00810C07"/>
    <w:rsid w:val="009757C6"/>
    <w:rsid w:val="00982030"/>
    <w:rsid w:val="00B05F19"/>
    <w:rsid w:val="00CB22CC"/>
    <w:rsid w:val="00D622B0"/>
    <w:rsid w:val="00DD13F5"/>
    <w:rsid w:val="00FD7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8E8788"/>
  <w15:chartTrackingRefBased/>
  <w15:docId w15:val="{CBC61A86-2E25-4E7A-B271-FDBC211D84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D7B4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D7B4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D7B4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D7B4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13" Type="http://schemas.openxmlformats.org/officeDocument/2006/relationships/image" Target="media/image7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6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5.tif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96073441149232"/>
          <c:y val="8.5336450391667679E-2"/>
          <c:w val="0.82991533301641485"/>
          <c:h val="0.74948328338163772"/>
        </c:manualLayout>
      </c:layout>
      <c:barChart>
        <c:barDir val="col"/>
        <c:grouping val="clustered"/>
        <c:varyColors val="0"/>
        <c:ser>
          <c:idx val="0"/>
          <c:order val="0"/>
          <c:spPr>
            <a:noFill/>
            <a:ln w="15875">
              <a:solidFill>
                <a:schemeClr val="tx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62D0-4399-90F4-A50BB65BFA88}"/>
              </c:ext>
            </c:extLst>
          </c:dPt>
          <c:dPt>
            <c:idx val="1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62D0-4399-90F4-A50BB65BFA88}"/>
              </c:ext>
            </c:extLst>
          </c:dPt>
          <c:dPt>
            <c:idx val="2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62D0-4399-90F4-A50BB65BFA88}"/>
              </c:ext>
            </c:extLst>
          </c:dPt>
          <c:dPt>
            <c:idx val="3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7-62D0-4399-90F4-A50BB65BFA88}"/>
              </c:ext>
            </c:extLst>
          </c:dPt>
          <c:dPt>
            <c:idx val="4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62D0-4399-90F4-A50BB65BFA88}"/>
              </c:ext>
            </c:extLst>
          </c:dPt>
          <c:dPt>
            <c:idx val="5"/>
            <c:invertIfNegative val="0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  <a:ln w="15875">
                <a:solidFill>
                  <a:schemeClr val="tx1">
                    <a:lumMod val="50000"/>
                    <a:lumOff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B-62D0-4399-90F4-A50BB65BFA88}"/>
              </c:ext>
            </c:extLst>
          </c:dPt>
          <c:dPt>
            <c:idx val="6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D-62D0-4399-90F4-A50BB65BFA88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F-62D0-4399-90F4-A50BB65BFA88}"/>
              </c:ext>
            </c:extLst>
          </c:dPt>
          <c:dPt>
            <c:idx val="8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1-62D0-4399-90F4-A50BB65BFA88}"/>
              </c:ext>
            </c:extLst>
          </c:dPt>
          <c:dPt>
            <c:idx val="9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3-62D0-4399-90F4-A50BB65BFA88}"/>
              </c:ext>
            </c:extLst>
          </c:dPt>
          <c:dPt>
            <c:idx val="10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5-62D0-4399-90F4-A50BB65BFA88}"/>
              </c:ext>
            </c:extLst>
          </c:dPt>
          <c:dPt>
            <c:idx val="11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7-62D0-4399-90F4-A50BB65BFA88}"/>
              </c:ext>
            </c:extLst>
          </c:dPt>
          <c:dPt>
            <c:idx val="12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9-62D0-4399-90F4-A50BB65BFA88}"/>
              </c:ext>
            </c:extLst>
          </c:dPt>
          <c:dPt>
            <c:idx val="13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B-62D0-4399-90F4-A50BB65BFA88}"/>
              </c:ext>
            </c:extLst>
          </c:dPt>
          <c:dPt>
            <c:idx val="14"/>
            <c:invertIfNegative val="0"/>
            <c:bubble3D val="0"/>
            <c:spPr>
              <a:solidFill>
                <a:schemeClr val="accent1">
                  <a:lumMod val="75000"/>
                </a:schemeClr>
              </a:solidFill>
              <a:ln w="15875">
                <a:solidFill>
                  <a:schemeClr val="accent1">
                    <a:lumMod val="75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1D-62D0-4399-90F4-A50BB65BFA88}"/>
              </c:ext>
            </c:extLst>
          </c:dPt>
          <c:trendline>
            <c:spPr>
              <a:ln w="22225" cap="rnd">
                <a:solidFill>
                  <a:schemeClr val="tx1"/>
                </a:solidFill>
                <a:prstDash val="solid"/>
              </a:ln>
              <a:effectLst/>
            </c:spPr>
            <c:trendlineType val="poly"/>
            <c:order val="6"/>
            <c:dispRSqr val="1"/>
            <c:dispEq val="1"/>
            <c:trendlineLbl>
              <c:layout>
                <c:manualLayout>
                  <c:x val="6.7395100487586623E-2"/>
                  <c:y val="-0.64734782251712819"/>
                </c:manualLayout>
              </c:layout>
              <c:tx>
                <c:rich>
                  <a:bodyPr rot="0" spcFirstLastPara="1" vertOverflow="ellipsis" vert="horz" wrap="square" anchor="ctr" anchorCtr="1"/>
                  <a:lstStyle/>
                  <a:p>
                    <a:pPr>
                      <a:defRPr sz="900" b="0" i="0" u="none" strike="noStrike" kern="1200" baseline="0">
                        <a:solidFill>
                          <a:schemeClr val="tx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y = -0.0003x</a:t>
                    </a:r>
                    <a:r>
                      <a:rPr lang="en-US" altLang="zh-CN" sz="1200" baseline="3000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6</a:t>
                    </a: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+ 0.0338x</a:t>
                    </a:r>
                    <a:r>
                      <a:rPr lang="en-US" altLang="zh-CN" sz="1200" baseline="3000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5</a:t>
                    </a: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- 1.1994x</a:t>
                    </a:r>
                    <a:r>
                      <a:rPr lang="en-US" altLang="zh-CN" sz="1200" baseline="3000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4</a:t>
                    </a: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+ 19.476x</a:t>
                    </a:r>
                    <a:r>
                      <a:rPr lang="en-US" altLang="zh-CN" sz="1200" baseline="3000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3</a:t>
                    </a: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- 150.98x</a:t>
                    </a:r>
                    <a:r>
                      <a:rPr lang="en-US" altLang="zh-CN" sz="1200" baseline="3000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2</a:t>
                    </a: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 + 475.54x - 185.87</a:t>
                    </a:r>
                    <a:b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</a:br>
                    <a:r>
                      <a:rPr lang="en-US" altLang="zh-CN" sz="1200" baseline="0" dirty="0">
                        <a:solidFill>
                          <a:schemeClr val="tx1"/>
                        </a:solidFill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R² = 0.9961</a:t>
                    </a:r>
                    <a:endParaRPr lang="en-US" altLang="zh-CN" sz="1200" dirty="0">
                      <a:solidFill>
                        <a:schemeClr val="tx1"/>
                      </a:solidFill>
                      <a:latin typeface="Times New Roman" panose="02020603050405020304" pitchFamily="18" charset="0"/>
                      <a:cs typeface="Times New Roman" panose="02020603050405020304" pitchFamily="18" charset="0"/>
                    </a:endParaRPr>
                  </a:p>
                </c:rich>
              </c:tx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900" b="0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zh-CN"/>
                </a:p>
              </c:txPr>
            </c:trendlineLbl>
          </c:trendline>
          <c:cat>
            <c:numRef>
              <c:f>Sheet3!$P$2:$P$17</c:f>
              <c:numCache>
                <c:formatCode>General</c:formatCode>
                <c:ptCount val="16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</c:numCache>
            </c:numRef>
          </c:cat>
          <c:val>
            <c:numRef>
              <c:f>Sheet3!$Q$2:$Q$17</c:f>
              <c:numCache>
                <c:formatCode>General</c:formatCode>
                <c:ptCount val="16"/>
                <c:pt idx="0">
                  <c:v>156</c:v>
                </c:pt>
                <c:pt idx="1">
                  <c:v>306</c:v>
                </c:pt>
                <c:pt idx="2">
                  <c:v>304</c:v>
                </c:pt>
                <c:pt idx="3">
                  <c:v>279</c:v>
                </c:pt>
                <c:pt idx="4">
                  <c:v>212</c:v>
                </c:pt>
                <c:pt idx="5">
                  <c:v>135</c:v>
                </c:pt>
                <c:pt idx="6">
                  <c:v>61</c:v>
                </c:pt>
                <c:pt idx="7">
                  <c:v>38</c:v>
                </c:pt>
                <c:pt idx="8">
                  <c:v>23</c:v>
                </c:pt>
                <c:pt idx="9">
                  <c:v>19</c:v>
                </c:pt>
                <c:pt idx="10">
                  <c:v>20</c:v>
                </c:pt>
                <c:pt idx="11">
                  <c:v>8</c:v>
                </c:pt>
                <c:pt idx="12">
                  <c:v>17</c:v>
                </c:pt>
                <c:pt idx="13">
                  <c:v>12</c:v>
                </c:pt>
                <c:pt idx="14">
                  <c:v>5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F-62D0-4399-90F4-A50BB65BFA8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1"/>
        <c:axId val="1006495656"/>
        <c:axId val="1006495984"/>
      </c:barChart>
      <c:catAx>
        <c:axId val="100649565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altLang="zh-CN" sz="1200" b="1" i="0" u="none" strike="noStrike" baseline="0" dirty="0">
                    <a:effectLst/>
                  </a:rPr>
                  <a:t>Trophic Differences (EDBEC)</a:t>
                </a:r>
                <a:endParaRPr lang="zh-CN" altLang="en-US" sz="1200" b="1" dirty="0">
                  <a:solidFill>
                    <a:schemeClr val="tx1"/>
                  </a:solidFill>
                  <a:latin typeface="Times New Roman" panose="02020603050405020304" pitchFamily="18" charset="0"/>
                  <a:ea typeface="宋体" panose="02010600030101010101" pitchFamily="2" charset="-122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0.34823010811255861"/>
              <c:y val="0.9158980763787043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General" sourceLinked="1"/>
        <c:majorTickMark val="out"/>
        <c:minorTickMark val="none"/>
        <c:tickLblPos val="none"/>
        <c:spPr>
          <a:noFill/>
          <a:ln w="1587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1006495984"/>
        <c:crosses val="autoZero"/>
        <c:auto val="1"/>
        <c:lblAlgn val="ctr"/>
        <c:lblOffset val="100"/>
        <c:noMultiLvlLbl val="0"/>
      </c:catAx>
      <c:valAx>
        <c:axId val="1006495984"/>
        <c:scaling>
          <c:orientation val="minMax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r>
                  <a:rPr lang="en-US" altLang="zh-CN" sz="1200" b="1" dirty="0">
                    <a:solidFill>
                      <a:schemeClr val="tx1"/>
                    </a:solidFill>
                    <a:latin typeface="Times New Roman" panose="02020603050405020304" pitchFamily="18" charset="0"/>
                    <a:ea typeface="宋体" panose="02010600030101010101" pitchFamily="2" charset="-122"/>
                    <a:cs typeface="Times New Roman" panose="02020603050405020304" pitchFamily="18" charset="0"/>
                  </a:rPr>
                  <a:t>Number</a:t>
                </a:r>
                <a:r>
                  <a:rPr lang="en-US" altLang="zh-CN" sz="1200" b="1" baseline="0" dirty="0">
                    <a:solidFill>
                      <a:schemeClr val="tx1"/>
                    </a:solidFill>
                    <a:latin typeface="Times New Roman" panose="02020603050405020304" pitchFamily="18" charset="0"/>
                    <a:ea typeface="宋体" panose="02010600030101010101" pitchFamily="2" charset="-122"/>
                    <a:cs typeface="Times New Roman" panose="02020603050405020304" pitchFamily="18" charset="0"/>
                  </a:rPr>
                  <a:t> of Samples</a:t>
                </a:r>
                <a:endParaRPr lang="zh-CN" altLang="en-US" sz="1200" b="1" dirty="0">
                  <a:solidFill>
                    <a:schemeClr val="tx1"/>
                  </a:solidFill>
                  <a:latin typeface="Times New Roman" panose="02020603050405020304" pitchFamily="18" charset="0"/>
                  <a:ea typeface="宋体" panose="02010600030101010101" pitchFamily="2" charset="-122"/>
                  <a:cs typeface="Times New Roman" panose="02020603050405020304" pitchFamily="18" charset="0"/>
                </a:endParaRPr>
              </a:p>
            </c:rich>
          </c:tx>
          <c:layout>
            <c:manualLayout>
              <c:xMode val="edge"/>
              <c:yMode val="edge"/>
              <c:x val="9.4543258490720258E-3"/>
              <c:y val="0.313038196124083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chemeClr val="tx1"/>
                  </a:solidFill>
                  <a:latin typeface="Times New Roman" panose="02020603050405020304" pitchFamily="18" charset="0"/>
                  <a:ea typeface="+mn-ea"/>
                  <a:cs typeface="Times New Roman" panose="02020603050405020304" pitchFamily="18" charset="0"/>
                </a:defRPr>
              </a:pPr>
              <a:endParaRPr lang="zh-CN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15875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zh-CN"/>
          </a:p>
        </c:txPr>
        <c:crossAx val="100649565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zh-CN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0.16182</cdr:x>
      <cdr:y>0.83664</cdr:y>
    </cdr:from>
    <cdr:to>
      <cdr:x>0.97549</cdr:x>
      <cdr:y>0.9216</cdr:y>
    </cdr:to>
    <cdr:sp macro="" textlink="">
      <cdr:nvSpPr>
        <cdr:cNvPr id="2" name="文本框 1">
          <a:extLst xmlns:a="http://schemas.openxmlformats.org/drawingml/2006/main">
            <a:ext uri="{FF2B5EF4-FFF2-40B4-BE49-F238E27FC236}">
              <a16:creationId xmlns:a16="http://schemas.microsoft.com/office/drawing/2014/main" id="{D4B8CB03-83F4-D22F-641A-23E7CC2CD6EF}"/>
            </a:ext>
          </a:extLst>
        </cdr:cNvPr>
        <cdr:cNvSpPr txBox="1"/>
      </cdr:nvSpPr>
      <cdr:spPr>
        <a:xfrm xmlns:a="http://schemas.openxmlformats.org/drawingml/2006/main">
          <a:off x="894237" y="2940765"/>
          <a:ext cx="4496528" cy="29865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en-US" altLang="zh-CN" sz="1200" b="1" dirty="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 1     2      3     4      5     6      7      8     9     10   11    12   13    14   15 </a:t>
          </a:r>
          <a:endParaRPr lang="zh-CN" altLang="en-US" sz="1200" b="1" dirty="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  <cdr:relSizeAnchor xmlns:cdr="http://schemas.openxmlformats.org/drawingml/2006/chartDrawing">
    <cdr:from>
      <cdr:x>0.93649</cdr:x>
      <cdr:y>0.83795</cdr:y>
    </cdr:from>
    <cdr:to>
      <cdr:x>1</cdr:x>
      <cdr:y>0.91329</cdr:y>
    </cdr:to>
    <cdr:sp macro="" textlink="">
      <cdr:nvSpPr>
        <cdr:cNvPr id="3" name="文本框 1">
          <a:extLst xmlns:a="http://schemas.openxmlformats.org/drawingml/2006/main">
            <a:ext uri="{FF2B5EF4-FFF2-40B4-BE49-F238E27FC236}">
              <a16:creationId xmlns:a16="http://schemas.microsoft.com/office/drawing/2014/main" id="{7345908A-E3C9-6797-2D00-5E6F0750687F}"/>
            </a:ext>
          </a:extLst>
        </cdr:cNvPr>
        <cdr:cNvSpPr txBox="1"/>
      </cdr:nvSpPr>
      <cdr:spPr>
        <a:xfrm xmlns:a="http://schemas.openxmlformats.org/drawingml/2006/main">
          <a:off x="5175203" y="2945384"/>
          <a:ext cx="350982" cy="26480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square" rtlCol="0"/>
        <a:lstStyle xmlns:a="http://schemas.openxmlformats.org/drawingml/2006/main">
          <a:lvl1pPr marL="0" indent="0">
            <a:defRPr sz="1100">
              <a:latin typeface="+mn-lt"/>
              <a:ea typeface="+mn-ea"/>
              <a:cs typeface="+mn-cs"/>
            </a:defRPr>
          </a:lvl1pPr>
          <a:lvl2pPr marL="457200" indent="0">
            <a:defRPr sz="1100">
              <a:latin typeface="+mn-lt"/>
              <a:ea typeface="+mn-ea"/>
              <a:cs typeface="+mn-cs"/>
            </a:defRPr>
          </a:lvl2pPr>
          <a:lvl3pPr marL="914400" indent="0">
            <a:defRPr sz="1100">
              <a:latin typeface="+mn-lt"/>
              <a:ea typeface="+mn-ea"/>
              <a:cs typeface="+mn-cs"/>
            </a:defRPr>
          </a:lvl3pPr>
          <a:lvl4pPr marL="1371600" indent="0">
            <a:defRPr sz="1100">
              <a:latin typeface="+mn-lt"/>
              <a:ea typeface="+mn-ea"/>
              <a:cs typeface="+mn-cs"/>
            </a:defRPr>
          </a:lvl4pPr>
          <a:lvl5pPr marL="1828800" indent="0">
            <a:defRPr sz="1100">
              <a:latin typeface="+mn-lt"/>
              <a:ea typeface="+mn-ea"/>
              <a:cs typeface="+mn-cs"/>
            </a:defRPr>
          </a:lvl5pPr>
          <a:lvl6pPr marL="2286000" indent="0">
            <a:defRPr sz="1100">
              <a:latin typeface="+mn-lt"/>
              <a:ea typeface="+mn-ea"/>
              <a:cs typeface="+mn-cs"/>
            </a:defRPr>
          </a:lvl6pPr>
          <a:lvl7pPr marL="2743200" indent="0">
            <a:defRPr sz="1100">
              <a:latin typeface="+mn-lt"/>
              <a:ea typeface="+mn-ea"/>
              <a:cs typeface="+mn-cs"/>
            </a:defRPr>
          </a:lvl7pPr>
          <a:lvl8pPr marL="3200400" indent="0">
            <a:defRPr sz="1100">
              <a:latin typeface="+mn-lt"/>
              <a:ea typeface="+mn-ea"/>
              <a:cs typeface="+mn-cs"/>
            </a:defRPr>
          </a:lvl8pPr>
          <a:lvl9pPr marL="3657600" indent="0">
            <a:defRPr sz="1100"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en-US" altLang="zh-CN" sz="1200" b="1" dirty="0">
              <a:solidFill>
                <a:schemeClr val="tx1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16 </a:t>
          </a:r>
          <a:endParaRPr lang="zh-CN" altLang="en-US" sz="1200" b="1" dirty="0">
            <a:solidFill>
              <a:schemeClr val="tx1"/>
            </a:solidFill>
            <a:latin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981</TotalTime>
  <Pages>8</Pages>
  <Words>332</Words>
  <Characters>1898</Characters>
  <Application>Microsoft Office Word</Application>
  <DocSecurity>0</DocSecurity>
  <Lines>15</Lines>
  <Paragraphs>4</Paragraphs>
  <ScaleCrop>false</ScaleCrop>
  <Company/>
  <LinksUpToDate>false</LinksUpToDate>
  <CharactersWithSpaces>2226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 TingYue</dc:creator>
  <cp:keywords/>
  <dc:description/>
  <cp:lastModifiedBy>Yang TingYue</cp:lastModifiedBy>
  <cp:revision>13</cp:revision>
  <dcterms:created xsi:type="dcterms:W3CDTF">2022-06-11T07:54:00Z</dcterms:created>
  <dcterms:modified xsi:type="dcterms:W3CDTF">2022-06-13T01:08:00Z</dcterms:modified>
</cp:coreProperties>
</file>