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5B0410C" w14:textId="681734B7" w:rsidR="00AA054B" w:rsidRDefault="00DB4C60">
      <w:pPr>
        <w:spacing w:before="240" w:after="240" w:line="240"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Merging </w:t>
      </w:r>
      <w:r w:rsidR="00080533">
        <w:rPr>
          <w:rFonts w:ascii="Times New Roman" w:eastAsia="Times New Roman" w:hAnsi="Times New Roman" w:cs="Times New Roman"/>
          <w:b/>
          <w:sz w:val="24"/>
          <w:szCs w:val="24"/>
        </w:rPr>
        <w:t xml:space="preserve">two </w:t>
      </w:r>
      <w:r>
        <w:rPr>
          <w:rFonts w:ascii="Times New Roman" w:eastAsia="Times New Roman" w:hAnsi="Times New Roman" w:cs="Times New Roman"/>
          <w:b/>
          <w:sz w:val="24"/>
          <w:szCs w:val="24"/>
        </w:rPr>
        <w:t xml:space="preserve">eDNA metabarcoding </w:t>
      </w:r>
      <w:r w:rsidR="001E179F">
        <w:rPr>
          <w:rFonts w:ascii="Times New Roman" w:eastAsia="Times New Roman" w:hAnsi="Times New Roman" w:cs="Times New Roman"/>
          <w:b/>
          <w:sz w:val="24"/>
          <w:szCs w:val="24"/>
        </w:rPr>
        <w:t>approaches</w:t>
      </w:r>
      <w:r>
        <w:rPr>
          <w:rFonts w:ascii="Times New Roman" w:eastAsia="Times New Roman" w:hAnsi="Times New Roman" w:cs="Times New Roman"/>
          <w:b/>
          <w:sz w:val="24"/>
          <w:szCs w:val="24"/>
        </w:rPr>
        <w:t xml:space="preserve"> and citizen-science based sampling to </w:t>
      </w:r>
      <w:r w:rsidR="00691EF0">
        <w:rPr>
          <w:rFonts w:ascii="Times New Roman" w:eastAsia="Times New Roman" w:hAnsi="Times New Roman" w:cs="Times New Roman"/>
          <w:b/>
          <w:sz w:val="24"/>
          <w:szCs w:val="24"/>
        </w:rPr>
        <w:t xml:space="preserve">facilitate </w:t>
      </w:r>
      <w:r>
        <w:rPr>
          <w:rFonts w:ascii="Times New Roman" w:eastAsia="Times New Roman" w:hAnsi="Times New Roman" w:cs="Times New Roman"/>
          <w:b/>
          <w:sz w:val="24"/>
          <w:szCs w:val="24"/>
        </w:rPr>
        <w:t>fish communit</w:t>
      </w:r>
      <w:r w:rsidR="00691EF0">
        <w:rPr>
          <w:rFonts w:ascii="Times New Roman" w:eastAsia="Times New Roman" w:hAnsi="Times New Roman" w:cs="Times New Roman"/>
          <w:b/>
          <w:sz w:val="24"/>
          <w:szCs w:val="24"/>
        </w:rPr>
        <w:t>y monitoring</w:t>
      </w:r>
      <w:r>
        <w:rPr>
          <w:rFonts w:ascii="Times New Roman" w:eastAsia="Times New Roman" w:hAnsi="Times New Roman" w:cs="Times New Roman"/>
          <w:b/>
          <w:sz w:val="24"/>
          <w:szCs w:val="24"/>
        </w:rPr>
        <w:t xml:space="preserve"> along vast Sub-Saharan coastlines</w:t>
      </w:r>
    </w:p>
    <w:p w14:paraId="35BC54BC" w14:textId="77777777" w:rsidR="00AA054B" w:rsidRDefault="00AA054B">
      <w:pPr>
        <w:spacing w:before="240" w:after="240" w:line="240" w:lineRule="auto"/>
        <w:jc w:val="center"/>
        <w:rPr>
          <w:rFonts w:ascii="Times New Roman" w:eastAsia="Times New Roman" w:hAnsi="Times New Roman" w:cs="Times New Roman"/>
          <w:b/>
          <w:sz w:val="24"/>
          <w:szCs w:val="24"/>
        </w:rPr>
      </w:pPr>
    </w:p>
    <w:p w14:paraId="150B7D53" w14:textId="0CF880F9" w:rsidR="00AA054B" w:rsidRPr="00C31628" w:rsidRDefault="00DB4C60">
      <w:pPr>
        <w:spacing w:before="240" w:after="240" w:line="240" w:lineRule="auto"/>
        <w:jc w:val="both"/>
        <w:rPr>
          <w:rFonts w:ascii="Times New Roman" w:eastAsia="Times New Roman" w:hAnsi="Times New Roman" w:cs="Times New Roman"/>
          <w:sz w:val="24"/>
          <w:szCs w:val="24"/>
        </w:rPr>
      </w:pPr>
      <w:r w:rsidRPr="00C31628">
        <w:rPr>
          <w:rFonts w:ascii="Times New Roman" w:eastAsia="Times New Roman" w:hAnsi="Times New Roman" w:cs="Times New Roman"/>
          <w:sz w:val="24"/>
          <w:szCs w:val="24"/>
        </w:rPr>
        <w:t>Alfred Burian</w:t>
      </w:r>
      <w:r w:rsidRPr="00C31628">
        <w:rPr>
          <w:rFonts w:ascii="Times New Roman" w:eastAsia="Times New Roman" w:hAnsi="Times New Roman" w:cs="Times New Roman"/>
          <w:sz w:val="24"/>
          <w:szCs w:val="24"/>
          <w:vertAlign w:val="superscript"/>
        </w:rPr>
        <w:t>1,2</w:t>
      </w:r>
      <w:r w:rsidRPr="00C31628">
        <w:rPr>
          <w:rFonts w:ascii="Times New Roman" w:eastAsia="Times New Roman" w:hAnsi="Times New Roman" w:cs="Times New Roman"/>
          <w:sz w:val="24"/>
          <w:szCs w:val="24"/>
        </w:rPr>
        <w:t>*, Kat Bruce</w:t>
      </w:r>
      <w:r w:rsidRPr="00C31628">
        <w:rPr>
          <w:rFonts w:ascii="Times New Roman" w:eastAsia="Times New Roman" w:hAnsi="Times New Roman" w:cs="Times New Roman"/>
          <w:sz w:val="24"/>
          <w:szCs w:val="24"/>
          <w:vertAlign w:val="superscript"/>
        </w:rPr>
        <w:t>3</w:t>
      </w:r>
      <w:r w:rsidRPr="00C31628">
        <w:rPr>
          <w:rFonts w:ascii="Times New Roman" w:eastAsia="Times New Roman" w:hAnsi="Times New Roman" w:cs="Times New Roman"/>
          <w:sz w:val="24"/>
          <w:szCs w:val="24"/>
        </w:rPr>
        <w:t>, Erica Tovela</w:t>
      </w:r>
      <w:r w:rsidRPr="00C31628">
        <w:rPr>
          <w:rFonts w:ascii="Times New Roman" w:eastAsia="Times New Roman" w:hAnsi="Times New Roman" w:cs="Times New Roman"/>
          <w:sz w:val="24"/>
          <w:szCs w:val="24"/>
          <w:vertAlign w:val="superscript"/>
        </w:rPr>
        <w:t>4</w:t>
      </w:r>
      <w:r w:rsidRPr="00C31628">
        <w:rPr>
          <w:rFonts w:ascii="Times New Roman" w:eastAsia="Times New Roman" w:hAnsi="Times New Roman" w:cs="Times New Roman"/>
          <w:sz w:val="24"/>
          <w:szCs w:val="24"/>
        </w:rPr>
        <w:t>, Judith Bakker</w:t>
      </w:r>
      <w:r w:rsidRPr="00C31628">
        <w:rPr>
          <w:rFonts w:ascii="Times New Roman" w:eastAsia="Times New Roman" w:hAnsi="Times New Roman" w:cs="Times New Roman"/>
          <w:sz w:val="24"/>
          <w:szCs w:val="24"/>
          <w:vertAlign w:val="superscript"/>
        </w:rPr>
        <w:t>3</w:t>
      </w:r>
      <w:r w:rsidRPr="00C31628">
        <w:rPr>
          <w:rFonts w:ascii="Times New Roman" w:eastAsia="Times New Roman" w:hAnsi="Times New Roman" w:cs="Times New Roman"/>
          <w:sz w:val="24"/>
          <w:szCs w:val="24"/>
        </w:rPr>
        <w:t>,</w:t>
      </w:r>
      <w:r w:rsidR="00C31628">
        <w:rPr>
          <w:rFonts w:ascii="Times New Roman" w:eastAsia="Times New Roman" w:hAnsi="Times New Roman" w:cs="Times New Roman"/>
          <w:sz w:val="24"/>
          <w:szCs w:val="24"/>
        </w:rPr>
        <w:t xml:space="preserve"> Laura Balcells</w:t>
      </w:r>
      <w:r w:rsidR="00C31628" w:rsidRPr="00C31628">
        <w:rPr>
          <w:rFonts w:ascii="Times New Roman" w:eastAsia="Times New Roman" w:hAnsi="Times New Roman" w:cs="Times New Roman"/>
          <w:sz w:val="24"/>
          <w:szCs w:val="24"/>
          <w:vertAlign w:val="superscript"/>
        </w:rPr>
        <w:t>3</w:t>
      </w:r>
      <w:r w:rsidR="00C31628">
        <w:rPr>
          <w:rFonts w:ascii="Times New Roman" w:eastAsia="Times New Roman" w:hAnsi="Times New Roman" w:cs="Times New Roman"/>
          <w:sz w:val="24"/>
          <w:szCs w:val="24"/>
        </w:rPr>
        <w:t>,</w:t>
      </w:r>
      <w:r w:rsidRPr="00C31628">
        <w:rPr>
          <w:rFonts w:ascii="Times New Roman" w:eastAsia="Times New Roman" w:hAnsi="Times New Roman" w:cs="Times New Roman"/>
          <w:sz w:val="24"/>
          <w:szCs w:val="24"/>
        </w:rPr>
        <w:t xml:space="preserve"> Rhett Bennett</w:t>
      </w:r>
      <w:r w:rsidRPr="00C31628">
        <w:rPr>
          <w:rFonts w:ascii="Times New Roman" w:eastAsia="Times New Roman" w:hAnsi="Times New Roman" w:cs="Times New Roman"/>
          <w:sz w:val="24"/>
          <w:szCs w:val="24"/>
          <w:vertAlign w:val="superscript"/>
        </w:rPr>
        <w:t>5</w:t>
      </w:r>
      <w:r w:rsidRPr="00C31628">
        <w:rPr>
          <w:rFonts w:ascii="Times New Roman" w:eastAsia="Times New Roman" w:hAnsi="Times New Roman" w:cs="Times New Roman"/>
          <w:sz w:val="24"/>
          <w:szCs w:val="24"/>
        </w:rPr>
        <w:t xml:space="preserve">, </w:t>
      </w:r>
      <w:r w:rsidR="00C31628">
        <w:rPr>
          <w:rFonts w:ascii="Times New Roman" w:eastAsia="Times New Roman" w:hAnsi="Times New Roman" w:cs="Times New Roman"/>
          <w:sz w:val="24"/>
          <w:szCs w:val="24"/>
        </w:rPr>
        <w:t>Sarah Chordekar</w:t>
      </w:r>
      <w:r w:rsidR="00C31628" w:rsidRPr="00C31628">
        <w:rPr>
          <w:rFonts w:ascii="Times New Roman" w:eastAsia="Times New Roman" w:hAnsi="Times New Roman" w:cs="Times New Roman"/>
          <w:sz w:val="24"/>
          <w:szCs w:val="24"/>
          <w:vertAlign w:val="superscript"/>
        </w:rPr>
        <w:t>3</w:t>
      </w:r>
      <w:r w:rsidR="00C31628">
        <w:rPr>
          <w:rFonts w:ascii="Times New Roman" w:eastAsia="Times New Roman" w:hAnsi="Times New Roman" w:cs="Times New Roman"/>
          <w:sz w:val="24"/>
          <w:szCs w:val="24"/>
        </w:rPr>
        <w:t>,</w:t>
      </w:r>
      <w:r w:rsidRPr="00C31628">
        <w:rPr>
          <w:rFonts w:ascii="Times New Roman" w:eastAsia="Times New Roman" w:hAnsi="Times New Roman" w:cs="Times New Roman"/>
          <w:sz w:val="24"/>
          <w:szCs w:val="24"/>
        </w:rPr>
        <w:t xml:space="preserve"> Hugo M. Costa</w:t>
      </w:r>
      <w:r w:rsidRPr="00C31628">
        <w:rPr>
          <w:rFonts w:ascii="Times New Roman" w:eastAsia="Times New Roman" w:hAnsi="Times New Roman" w:cs="Times New Roman"/>
          <w:sz w:val="24"/>
          <w:szCs w:val="24"/>
          <w:vertAlign w:val="superscript"/>
        </w:rPr>
        <w:t>5</w:t>
      </w:r>
      <w:r w:rsidRPr="00C31628">
        <w:rPr>
          <w:rFonts w:ascii="Times New Roman" w:eastAsia="Times New Roman" w:hAnsi="Times New Roman" w:cs="Times New Roman"/>
          <w:sz w:val="24"/>
          <w:szCs w:val="24"/>
        </w:rPr>
        <w:t>,</w:t>
      </w:r>
      <w:r w:rsidR="00C31628">
        <w:rPr>
          <w:rFonts w:ascii="Times New Roman" w:eastAsia="Times New Roman" w:hAnsi="Times New Roman" w:cs="Times New Roman"/>
          <w:sz w:val="24"/>
          <w:szCs w:val="24"/>
        </w:rPr>
        <w:t xml:space="preserve"> Alex Crampton-Platt</w:t>
      </w:r>
      <w:r w:rsidR="00C31628" w:rsidRPr="00C31628">
        <w:rPr>
          <w:rFonts w:ascii="Times New Roman" w:eastAsia="Times New Roman" w:hAnsi="Times New Roman" w:cs="Times New Roman"/>
          <w:sz w:val="24"/>
          <w:szCs w:val="24"/>
          <w:vertAlign w:val="superscript"/>
        </w:rPr>
        <w:t>3</w:t>
      </w:r>
      <w:r w:rsidR="00C31628">
        <w:rPr>
          <w:rFonts w:ascii="Times New Roman" w:eastAsia="Times New Roman" w:hAnsi="Times New Roman" w:cs="Times New Roman"/>
          <w:sz w:val="24"/>
          <w:szCs w:val="24"/>
        </w:rPr>
        <w:t>,</w:t>
      </w:r>
      <w:r w:rsidRPr="00C31628">
        <w:rPr>
          <w:rFonts w:ascii="Times New Roman" w:eastAsia="Times New Roman" w:hAnsi="Times New Roman" w:cs="Times New Roman"/>
          <w:sz w:val="24"/>
          <w:szCs w:val="24"/>
        </w:rPr>
        <w:t xml:space="preserve"> Hugo de Boer</w:t>
      </w:r>
      <w:r w:rsidRPr="00C31628">
        <w:rPr>
          <w:rFonts w:ascii="Times New Roman" w:eastAsia="Times New Roman" w:hAnsi="Times New Roman" w:cs="Times New Roman"/>
          <w:sz w:val="24"/>
          <w:szCs w:val="24"/>
          <w:vertAlign w:val="superscript"/>
        </w:rPr>
        <w:t>6</w:t>
      </w:r>
      <w:r w:rsidRPr="00C31628">
        <w:rPr>
          <w:rFonts w:ascii="Times New Roman" w:eastAsia="Times New Roman" w:hAnsi="Times New Roman" w:cs="Times New Roman"/>
          <w:sz w:val="24"/>
          <w:szCs w:val="24"/>
        </w:rPr>
        <w:t>, Vere Ross-Gillespie</w:t>
      </w:r>
      <w:r w:rsidRPr="00C31628">
        <w:rPr>
          <w:rFonts w:ascii="Times New Roman" w:eastAsia="Times New Roman" w:hAnsi="Times New Roman" w:cs="Times New Roman"/>
          <w:sz w:val="24"/>
          <w:szCs w:val="24"/>
          <w:vertAlign w:val="superscript"/>
        </w:rPr>
        <w:t>3</w:t>
      </w:r>
      <w:r w:rsidRPr="00C31628">
        <w:rPr>
          <w:rFonts w:ascii="Times New Roman" w:eastAsia="Times New Roman" w:hAnsi="Times New Roman" w:cs="Times New Roman"/>
          <w:sz w:val="24"/>
          <w:szCs w:val="24"/>
        </w:rPr>
        <w:t>,</w:t>
      </w:r>
      <w:r w:rsidR="00C31628">
        <w:rPr>
          <w:rFonts w:ascii="Times New Roman" w:eastAsia="Times New Roman" w:hAnsi="Times New Roman" w:cs="Times New Roman"/>
          <w:sz w:val="24"/>
          <w:szCs w:val="24"/>
        </w:rPr>
        <w:t xml:space="preserve"> Antonio de Sacramento</w:t>
      </w:r>
      <w:r w:rsidR="00C31628" w:rsidRPr="00C31628">
        <w:rPr>
          <w:rFonts w:ascii="Times New Roman" w:eastAsia="Times New Roman" w:hAnsi="Times New Roman" w:cs="Times New Roman"/>
          <w:sz w:val="24"/>
          <w:szCs w:val="24"/>
          <w:vertAlign w:val="superscript"/>
        </w:rPr>
        <w:t>7</w:t>
      </w:r>
      <w:r w:rsidR="00C31628">
        <w:rPr>
          <w:rFonts w:ascii="Times New Roman" w:eastAsia="Times New Roman" w:hAnsi="Times New Roman" w:cs="Times New Roman"/>
          <w:sz w:val="24"/>
          <w:szCs w:val="24"/>
        </w:rPr>
        <w:t>,</w:t>
      </w:r>
      <w:r w:rsidRPr="00C31628">
        <w:rPr>
          <w:rFonts w:ascii="Times New Roman" w:eastAsia="Times New Roman" w:hAnsi="Times New Roman" w:cs="Times New Roman"/>
          <w:sz w:val="24"/>
          <w:szCs w:val="24"/>
        </w:rPr>
        <w:t xml:space="preserve"> </w:t>
      </w:r>
      <w:proofErr w:type="spellStart"/>
      <w:r w:rsidRPr="00C31628">
        <w:rPr>
          <w:rFonts w:ascii="Times New Roman" w:eastAsia="Times New Roman" w:hAnsi="Times New Roman" w:cs="Times New Roman"/>
          <w:sz w:val="24"/>
          <w:szCs w:val="24"/>
        </w:rPr>
        <w:t>Naseeba</w:t>
      </w:r>
      <w:proofErr w:type="spellEnd"/>
      <w:r w:rsidRPr="00C31628">
        <w:rPr>
          <w:rFonts w:ascii="Times New Roman" w:eastAsia="Times New Roman" w:hAnsi="Times New Roman" w:cs="Times New Roman"/>
          <w:sz w:val="24"/>
          <w:szCs w:val="24"/>
        </w:rPr>
        <w:t xml:space="preserve"> Sidat</w:t>
      </w:r>
      <w:r w:rsidRPr="00C31628">
        <w:rPr>
          <w:rFonts w:ascii="Times New Roman" w:eastAsia="Times New Roman" w:hAnsi="Times New Roman" w:cs="Times New Roman"/>
          <w:sz w:val="24"/>
          <w:szCs w:val="24"/>
          <w:vertAlign w:val="superscript"/>
        </w:rPr>
        <w:t>5</w:t>
      </w:r>
      <w:r w:rsidRPr="00C31628">
        <w:rPr>
          <w:rFonts w:ascii="Times New Roman" w:eastAsia="Times New Roman" w:hAnsi="Times New Roman" w:cs="Times New Roman"/>
          <w:sz w:val="24"/>
          <w:szCs w:val="24"/>
        </w:rPr>
        <w:t>, Luisa Simbine</w:t>
      </w:r>
      <w:r w:rsidRPr="00C31628">
        <w:rPr>
          <w:rFonts w:ascii="Times New Roman" w:eastAsia="Times New Roman" w:hAnsi="Times New Roman" w:cs="Times New Roman"/>
          <w:sz w:val="24"/>
          <w:szCs w:val="24"/>
          <w:vertAlign w:val="superscript"/>
        </w:rPr>
        <w:t>8</w:t>
      </w:r>
      <w:r w:rsidRPr="00C31628">
        <w:rPr>
          <w:rFonts w:ascii="Times New Roman" w:eastAsia="Times New Roman" w:hAnsi="Times New Roman" w:cs="Times New Roman"/>
          <w:sz w:val="24"/>
          <w:szCs w:val="24"/>
        </w:rPr>
        <w:t>, Jonathan Ready</w:t>
      </w:r>
      <w:r w:rsidRPr="00C31628">
        <w:rPr>
          <w:rFonts w:ascii="Times New Roman" w:eastAsia="Times New Roman" w:hAnsi="Times New Roman" w:cs="Times New Roman"/>
          <w:sz w:val="24"/>
          <w:szCs w:val="24"/>
          <w:vertAlign w:val="superscript"/>
        </w:rPr>
        <w:t>9</w:t>
      </w:r>
      <w:r w:rsidRPr="00C31628">
        <w:rPr>
          <w:rFonts w:ascii="Times New Roman" w:eastAsia="Times New Roman" w:hAnsi="Times New Roman" w:cs="Times New Roman"/>
          <w:sz w:val="24"/>
          <w:szCs w:val="24"/>
        </w:rPr>
        <w:t>,</w:t>
      </w:r>
      <w:r w:rsidR="00914ED0">
        <w:rPr>
          <w:rFonts w:ascii="Times New Roman" w:eastAsia="Times New Roman" w:hAnsi="Times New Roman" w:cs="Times New Roman"/>
          <w:sz w:val="24"/>
          <w:szCs w:val="24"/>
        </w:rPr>
        <w:t xml:space="preserve"> Cuong Tang</w:t>
      </w:r>
      <w:r w:rsidR="00914ED0" w:rsidRPr="00C31628">
        <w:rPr>
          <w:rFonts w:ascii="Times New Roman" w:eastAsia="Times New Roman" w:hAnsi="Times New Roman" w:cs="Times New Roman"/>
          <w:sz w:val="24"/>
          <w:szCs w:val="24"/>
          <w:vertAlign w:val="superscript"/>
        </w:rPr>
        <w:t>3</w:t>
      </w:r>
      <w:r w:rsidR="00914ED0" w:rsidRPr="00C31628">
        <w:rPr>
          <w:rFonts w:ascii="Times New Roman" w:eastAsia="Times New Roman" w:hAnsi="Times New Roman" w:cs="Times New Roman"/>
          <w:sz w:val="24"/>
          <w:szCs w:val="24"/>
        </w:rPr>
        <w:t>,</w:t>
      </w:r>
      <w:r w:rsidRPr="00C31628">
        <w:rPr>
          <w:rFonts w:ascii="Times New Roman" w:eastAsia="Times New Roman" w:hAnsi="Times New Roman" w:cs="Times New Roman"/>
          <w:sz w:val="24"/>
          <w:szCs w:val="24"/>
        </w:rPr>
        <w:t xml:space="preserve"> Quentin Mauvisseau</w:t>
      </w:r>
      <w:r w:rsidRPr="00C31628">
        <w:rPr>
          <w:rFonts w:ascii="Times New Roman" w:eastAsia="Times New Roman" w:hAnsi="Times New Roman" w:cs="Times New Roman"/>
          <w:sz w:val="24"/>
          <w:szCs w:val="24"/>
          <w:vertAlign w:val="superscript"/>
        </w:rPr>
        <w:t>6</w:t>
      </w:r>
      <w:r w:rsidRPr="00C31628">
        <w:rPr>
          <w:rFonts w:ascii="Times New Roman" w:eastAsia="Times New Roman" w:hAnsi="Times New Roman" w:cs="Times New Roman"/>
          <w:sz w:val="24"/>
          <w:szCs w:val="24"/>
        </w:rPr>
        <w:t>*</w:t>
      </w:r>
    </w:p>
    <w:p w14:paraId="74D3A880" w14:textId="77777777" w:rsidR="00AA054B" w:rsidRDefault="00DB4C60">
      <w:pPr>
        <w:spacing w:after="0" w:line="240" w:lineRule="auto"/>
        <w:rPr>
          <w:rFonts w:ascii="Times New Roman" w:eastAsia="Times New Roman" w:hAnsi="Times New Roman" w:cs="Times New Roman"/>
          <w:sz w:val="24"/>
          <w:szCs w:val="24"/>
        </w:rPr>
      </w:pPr>
      <w:r w:rsidRPr="00C31628">
        <w:rPr>
          <w:rFonts w:ascii="Times New Roman" w:eastAsia="Times New Roman" w:hAnsi="Times New Roman" w:cs="Times New Roman"/>
          <w:sz w:val="24"/>
          <w:szCs w:val="24"/>
          <w:vertAlign w:val="superscript"/>
        </w:rPr>
        <w:t>1</w:t>
      </w:r>
      <w:r w:rsidRPr="00C31628">
        <w:rPr>
          <w:rFonts w:ascii="Times New Roman" w:eastAsia="Times New Roman" w:hAnsi="Times New Roman" w:cs="Times New Roman"/>
          <w:sz w:val="24"/>
          <w:szCs w:val="24"/>
        </w:rPr>
        <w:t xml:space="preserve"> Department of Computational</w:t>
      </w:r>
      <w:r>
        <w:rPr>
          <w:rFonts w:ascii="Times New Roman" w:eastAsia="Times New Roman" w:hAnsi="Times New Roman" w:cs="Times New Roman"/>
          <w:sz w:val="24"/>
          <w:szCs w:val="24"/>
        </w:rPr>
        <w:t xml:space="preserve"> Landscape Ecology, UFZ– Helmholtz Centre for Environmental Research, Leipzig, Germany</w:t>
      </w:r>
    </w:p>
    <w:p w14:paraId="76F41E0C" w14:textId="77777777" w:rsidR="00AA054B" w:rsidRDefault="00DB4C60">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vertAlign w:val="superscript"/>
        </w:rPr>
        <w:t>2</w:t>
      </w:r>
      <w:r>
        <w:rPr>
          <w:rFonts w:ascii="Times New Roman" w:eastAsia="Times New Roman" w:hAnsi="Times New Roman" w:cs="Times New Roman"/>
          <w:sz w:val="24"/>
          <w:szCs w:val="24"/>
        </w:rPr>
        <w:t xml:space="preserve"> Marine Ecology Department, Lurio University, Nampula, Mozambique</w:t>
      </w:r>
    </w:p>
    <w:p w14:paraId="35FDE0D9" w14:textId="630D6D83" w:rsidR="00423764" w:rsidRDefault="00423764" w:rsidP="00423764">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vertAlign w:val="superscript"/>
        </w:rPr>
        <w:t>3</w:t>
      </w:r>
      <w:r>
        <w:rPr>
          <w:rFonts w:ascii="Times New Roman" w:eastAsia="Times New Roman" w:hAnsi="Times New Roman" w:cs="Times New Roman"/>
          <w:sz w:val="24"/>
          <w:szCs w:val="24"/>
        </w:rPr>
        <w:t xml:space="preserve"> NatureMetrics, </w:t>
      </w:r>
      <w:r w:rsidRPr="00B51D37">
        <w:rPr>
          <w:rFonts w:ascii="Times New Roman" w:eastAsia="Times New Roman" w:hAnsi="Times New Roman" w:cs="Times New Roman"/>
          <w:sz w:val="24"/>
          <w:szCs w:val="24"/>
        </w:rPr>
        <w:t>1 Occam Court, Surrey Research Park, Guildford, GU2 7HJ, UK</w:t>
      </w:r>
    </w:p>
    <w:p w14:paraId="23CA0DFE" w14:textId="77777777" w:rsidR="00AA054B" w:rsidRDefault="00DB4C60">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vertAlign w:val="superscript"/>
        </w:rPr>
        <w:t xml:space="preserve">4 </w:t>
      </w:r>
      <w:r>
        <w:rPr>
          <w:rFonts w:ascii="Times New Roman" w:eastAsia="Times New Roman" w:hAnsi="Times New Roman" w:cs="Times New Roman"/>
          <w:sz w:val="24"/>
          <w:szCs w:val="24"/>
        </w:rPr>
        <w:t>Natural History Museum, University Eduardo Mondlane, Maputo, Mozambique</w:t>
      </w:r>
    </w:p>
    <w:p w14:paraId="19878E0F" w14:textId="77777777" w:rsidR="00AA054B" w:rsidRDefault="00DB4C60">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vertAlign w:val="superscript"/>
        </w:rPr>
        <w:t>5</w:t>
      </w:r>
      <w:r>
        <w:rPr>
          <w:rFonts w:ascii="Times New Roman" w:eastAsia="Times New Roman" w:hAnsi="Times New Roman" w:cs="Times New Roman"/>
          <w:sz w:val="24"/>
          <w:szCs w:val="24"/>
        </w:rPr>
        <w:t xml:space="preserve"> Wildlife Conservation Society, Maputo, Mozambique</w:t>
      </w:r>
    </w:p>
    <w:p w14:paraId="0061A58D" w14:textId="77777777" w:rsidR="00AA054B" w:rsidRDefault="00DB4C60">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vertAlign w:val="superscript"/>
        </w:rPr>
        <w:t>6</w:t>
      </w:r>
      <w:r>
        <w:rPr>
          <w:rFonts w:ascii="Times New Roman" w:eastAsia="Times New Roman" w:hAnsi="Times New Roman" w:cs="Times New Roman"/>
          <w:sz w:val="24"/>
          <w:szCs w:val="24"/>
        </w:rPr>
        <w:t xml:space="preserve"> Natural History Museum, University of Oslo, Oslo, Norway</w:t>
      </w:r>
    </w:p>
    <w:p w14:paraId="3D18CC5E" w14:textId="77777777" w:rsidR="00AA054B" w:rsidRDefault="00DB4C60">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vertAlign w:val="superscript"/>
        </w:rPr>
        <w:t>7</w:t>
      </w:r>
      <w:r>
        <w:rPr>
          <w:rFonts w:ascii="Times New Roman" w:eastAsia="Times New Roman" w:hAnsi="Times New Roman" w:cs="Times New Roman"/>
          <w:sz w:val="24"/>
          <w:szCs w:val="24"/>
        </w:rPr>
        <w:t xml:space="preserve"> Ocean Revolution (ORM) Mozambique, Praia do </w:t>
      </w:r>
      <w:proofErr w:type="spellStart"/>
      <w:r>
        <w:rPr>
          <w:rFonts w:ascii="Times New Roman" w:eastAsia="Times New Roman" w:hAnsi="Times New Roman" w:cs="Times New Roman"/>
          <w:sz w:val="24"/>
          <w:szCs w:val="24"/>
        </w:rPr>
        <w:t>Tofo</w:t>
      </w:r>
      <w:proofErr w:type="spellEnd"/>
      <w:r>
        <w:rPr>
          <w:rFonts w:ascii="Times New Roman" w:eastAsia="Times New Roman" w:hAnsi="Times New Roman" w:cs="Times New Roman"/>
          <w:sz w:val="24"/>
          <w:szCs w:val="24"/>
        </w:rPr>
        <w:t>, Inhambane, Mozambique</w:t>
      </w:r>
    </w:p>
    <w:p w14:paraId="7B650A30" w14:textId="77777777" w:rsidR="00AA054B" w:rsidRDefault="00DB4C60">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vertAlign w:val="superscript"/>
        </w:rPr>
        <w:t>8</w:t>
      </w:r>
      <w:r>
        <w:rPr>
          <w:rFonts w:ascii="Times New Roman" w:eastAsia="Times New Roman" w:hAnsi="Times New Roman" w:cs="Times New Roman"/>
          <w:sz w:val="24"/>
          <w:szCs w:val="24"/>
        </w:rPr>
        <w:t xml:space="preserve"> Instituto </w:t>
      </w:r>
      <w:proofErr w:type="spellStart"/>
      <w:r>
        <w:rPr>
          <w:rFonts w:ascii="Times New Roman" w:eastAsia="Times New Roman" w:hAnsi="Times New Roman" w:cs="Times New Roman"/>
          <w:sz w:val="24"/>
          <w:szCs w:val="24"/>
        </w:rPr>
        <w:t>Oceanográfico</w:t>
      </w:r>
      <w:proofErr w:type="spellEnd"/>
      <w:r>
        <w:rPr>
          <w:rFonts w:ascii="Times New Roman" w:eastAsia="Times New Roman" w:hAnsi="Times New Roman" w:cs="Times New Roman"/>
          <w:sz w:val="24"/>
          <w:szCs w:val="24"/>
        </w:rPr>
        <w:t xml:space="preserve"> de </w:t>
      </w:r>
      <w:proofErr w:type="spellStart"/>
      <w:r>
        <w:rPr>
          <w:rFonts w:ascii="Times New Roman" w:eastAsia="Times New Roman" w:hAnsi="Times New Roman" w:cs="Times New Roman"/>
          <w:sz w:val="24"/>
          <w:szCs w:val="24"/>
        </w:rPr>
        <w:t>Moçambique</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Ministério</w:t>
      </w:r>
      <w:proofErr w:type="spellEnd"/>
      <w:r>
        <w:rPr>
          <w:rFonts w:ascii="Times New Roman" w:eastAsia="Times New Roman" w:hAnsi="Times New Roman" w:cs="Times New Roman"/>
          <w:sz w:val="24"/>
          <w:szCs w:val="24"/>
        </w:rPr>
        <w:t xml:space="preserve"> do Mar, </w:t>
      </w:r>
      <w:proofErr w:type="spellStart"/>
      <w:r>
        <w:rPr>
          <w:rFonts w:ascii="Times New Roman" w:eastAsia="Times New Roman" w:hAnsi="Times New Roman" w:cs="Times New Roman"/>
          <w:sz w:val="24"/>
          <w:szCs w:val="24"/>
        </w:rPr>
        <w:t>Águas</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Interiores</w:t>
      </w:r>
      <w:proofErr w:type="spellEnd"/>
      <w:r>
        <w:rPr>
          <w:rFonts w:ascii="Times New Roman" w:eastAsia="Times New Roman" w:hAnsi="Times New Roman" w:cs="Times New Roman"/>
          <w:sz w:val="24"/>
          <w:szCs w:val="24"/>
        </w:rPr>
        <w:t xml:space="preserve"> e </w:t>
      </w:r>
      <w:proofErr w:type="spellStart"/>
      <w:r>
        <w:rPr>
          <w:rFonts w:ascii="Times New Roman" w:eastAsia="Times New Roman" w:hAnsi="Times New Roman" w:cs="Times New Roman"/>
          <w:sz w:val="24"/>
          <w:szCs w:val="24"/>
        </w:rPr>
        <w:t>Pescas</w:t>
      </w:r>
      <w:proofErr w:type="spellEnd"/>
      <w:r>
        <w:rPr>
          <w:rFonts w:ascii="Times New Roman" w:eastAsia="Times New Roman" w:hAnsi="Times New Roman" w:cs="Times New Roman"/>
          <w:sz w:val="24"/>
          <w:szCs w:val="24"/>
        </w:rPr>
        <w:t>, Maputo, Mozambique</w:t>
      </w:r>
    </w:p>
    <w:p w14:paraId="6E44CC12" w14:textId="77777777" w:rsidR="00AA054B" w:rsidRDefault="00DB4C60">
      <w:pPr>
        <w:spacing w:after="0" w:line="240" w:lineRule="auto"/>
        <w:rPr>
          <w:rFonts w:ascii="Times New Roman" w:eastAsia="Times New Roman" w:hAnsi="Times New Roman" w:cs="Times New Roman"/>
          <w:sz w:val="24"/>
          <w:szCs w:val="24"/>
          <w:vertAlign w:val="superscript"/>
        </w:rPr>
      </w:pPr>
      <w:r>
        <w:rPr>
          <w:rFonts w:ascii="Times New Roman" w:eastAsia="Times New Roman" w:hAnsi="Times New Roman" w:cs="Times New Roman"/>
          <w:sz w:val="24"/>
          <w:szCs w:val="24"/>
          <w:vertAlign w:val="superscript"/>
        </w:rPr>
        <w:t>9</w:t>
      </w:r>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Universidade</w:t>
      </w:r>
      <w:proofErr w:type="spellEnd"/>
      <w:r>
        <w:rPr>
          <w:rFonts w:ascii="Times New Roman" w:eastAsia="Times New Roman" w:hAnsi="Times New Roman" w:cs="Times New Roman"/>
          <w:sz w:val="24"/>
          <w:szCs w:val="24"/>
        </w:rPr>
        <w:t xml:space="preserve"> Federal do Pará, Grupo de </w:t>
      </w:r>
      <w:proofErr w:type="spellStart"/>
      <w:r>
        <w:rPr>
          <w:rFonts w:ascii="Times New Roman" w:eastAsia="Times New Roman" w:hAnsi="Times New Roman" w:cs="Times New Roman"/>
          <w:sz w:val="24"/>
          <w:szCs w:val="24"/>
        </w:rPr>
        <w:t>Investigação</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Biológica</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Integrada</w:t>
      </w:r>
      <w:proofErr w:type="spellEnd"/>
      <w:r>
        <w:rPr>
          <w:rFonts w:ascii="Times New Roman" w:eastAsia="Times New Roman" w:hAnsi="Times New Roman" w:cs="Times New Roman"/>
          <w:sz w:val="24"/>
          <w:szCs w:val="24"/>
        </w:rPr>
        <w:t xml:space="preserve">, Centro de </w:t>
      </w:r>
      <w:proofErr w:type="spellStart"/>
      <w:r>
        <w:rPr>
          <w:rFonts w:ascii="Times New Roman" w:eastAsia="Times New Roman" w:hAnsi="Times New Roman" w:cs="Times New Roman"/>
          <w:sz w:val="24"/>
          <w:szCs w:val="24"/>
        </w:rPr>
        <w:t>Estudos</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Avançados</w:t>
      </w:r>
      <w:proofErr w:type="spellEnd"/>
      <w:r>
        <w:rPr>
          <w:rFonts w:ascii="Times New Roman" w:eastAsia="Times New Roman" w:hAnsi="Times New Roman" w:cs="Times New Roman"/>
          <w:sz w:val="24"/>
          <w:szCs w:val="24"/>
        </w:rPr>
        <w:t xml:space="preserve"> da </w:t>
      </w:r>
      <w:proofErr w:type="spellStart"/>
      <w:r>
        <w:rPr>
          <w:rFonts w:ascii="Times New Roman" w:eastAsia="Times New Roman" w:hAnsi="Times New Roman" w:cs="Times New Roman"/>
          <w:sz w:val="24"/>
          <w:szCs w:val="24"/>
        </w:rPr>
        <w:t>Biodiversidade</w:t>
      </w:r>
      <w:proofErr w:type="spellEnd"/>
      <w:r>
        <w:rPr>
          <w:rFonts w:ascii="Times New Roman" w:eastAsia="Times New Roman" w:hAnsi="Times New Roman" w:cs="Times New Roman"/>
          <w:sz w:val="24"/>
          <w:szCs w:val="24"/>
        </w:rPr>
        <w:t>, Av. Perimetral 01, PCT-</w:t>
      </w:r>
      <w:proofErr w:type="spellStart"/>
      <w:r>
        <w:rPr>
          <w:rFonts w:ascii="Times New Roman" w:eastAsia="Times New Roman" w:hAnsi="Times New Roman" w:cs="Times New Roman"/>
          <w:sz w:val="24"/>
          <w:szCs w:val="24"/>
        </w:rPr>
        <w:t>Guam´a</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Terreno</w:t>
      </w:r>
      <w:proofErr w:type="spellEnd"/>
      <w:r>
        <w:rPr>
          <w:rFonts w:ascii="Times New Roman" w:eastAsia="Times New Roman" w:hAnsi="Times New Roman" w:cs="Times New Roman"/>
          <w:sz w:val="24"/>
          <w:szCs w:val="24"/>
        </w:rPr>
        <w:t xml:space="preserve"> 11, CEP: 66075-110, Belem, PA, Brazil</w:t>
      </w:r>
    </w:p>
    <w:p w14:paraId="6055B976" w14:textId="77777777" w:rsidR="00AA054B" w:rsidRDefault="00AA054B">
      <w:pPr>
        <w:spacing w:after="0" w:line="240" w:lineRule="auto"/>
        <w:rPr>
          <w:rFonts w:ascii="Times New Roman" w:eastAsia="Times New Roman" w:hAnsi="Times New Roman" w:cs="Times New Roman"/>
          <w:sz w:val="24"/>
          <w:szCs w:val="24"/>
          <w:vertAlign w:val="superscript"/>
        </w:rPr>
      </w:pPr>
    </w:p>
    <w:p w14:paraId="53B8C57F" w14:textId="70895715" w:rsidR="00AA054B" w:rsidRDefault="00DB4C60">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b/>
          <w:sz w:val="24"/>
          <w:szCs w:val="24"/>
        </w:rPr>
        <w:t>*Corresponding authors</w:t>
      </w:r>
      <w:r>
        <w:rPr>
          <w:rFonts w:ascii="Times New Roman" w:eastAsia="Times New Roman" w:hAnsi="Times New Roman" w:cs="Times New Roman"/>
          <w:sz w:val="24"/>
          <w:szCs w:val="24"/>
        </w:rPr>
        <w:t xml:space="preserve">: </w:t>
      </w:r>
      <w:hyperlink r:id="rId4" w:history="1">
        <w:r w:rsidR="00047851" w:rsidRPr="005A3EB0">
          <w:rPr>
            <w:rStyle w:val="Lienhypertexte"/>
            <w:rFonts w:ascii="Times New Roman" w:eastAsia="Times New Roman" w:hAnsi="Times New Roman" w:cs="Times New Roman"/>
            <w:sz w:val="24"/>
            <w:szCs w:val="24"/>
          </w:rPr>
          <w:t>flinserl@hotmail.com</w:t>
        </w:r>
      </w:hyperlink>
      <w:r>
        <w:rPr>
          <w:rFonts w:ascii="Times New Roman" w:eastAsia="Times New Roman" w:hAnsi="Times New Roman" w:cs="Times New Roman"/>
          <w:sz w:val="24"/>
          <w:szCs w:val="24"/>
        </w:rPr>
        <w:t xml:space="preserve">; </w:t>
      </w:r>
      <w:hyperlink r:id="rId5" w:history="1">
        <w:r w:rsidR="00047851" w:rsidRPr="005A3EB0">
          <w:rPr>
            <w:rStyle w:val="Lienhypertexte"/>
            <w:rFonts w:ascii="Times New Roman" w:eastAsia="Times New Roman" w:hAnsi="Times New Roman" w:cs="Times New Roman"/>
            <w:sz w:val="24"/>
            <w:szCs w:val="24"/>
          </w:rPr>
          <w:t>quentin.mauvisseau@gmail.com</w:t>
        </w:r>
      </w:hyperlink>
      <w:r>
        <w:rPr>
          <w:rFonts w:ascii="Times New Roman" w:eastAsia="Times New Roman" w:hAnsi="Times New Roman" w:cs="Times New Roman"/>
          <w:sz w:val="24"/>
          <w:szCs w:val="24"/>
        </w:rPr>
        <w:t xml:space="preserve"> </w:t>
      </w:r>
    </w:p>
    <w:p w14:paraId="727D8CF9" w14:textId="77777777" w:rsidR="00AA054B" w:rsidRDefault="00DB4C60">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b/>
          <w:sz w:val="24"/>
          <w:szCs w:val="24"/>
        </w:rPr>
        <w:t>ORCIDs</w:t>
      </w:r>
      <w:r>
        <w:rPr>
          <w:rFonts w:ascii="Times New Roman" w:eastAsia="Times New Roman" w:hAnsi="Times New Roman" w:cs="Times New Roman"/>
          <w:sz w:val="24"/>
          <w:szCs w:val="24"/>
        </w:rPr>
        <w:t>:</w:t>
      </w:r>
      <w:r>
        <w:rPr>
          <w:rFonts w:ascii="Times New Roman" w:eastAsia="Times New Roman" w:hAnsi="Times New Roman" w:cs="Times New Roman"/>
          <w:sz w:val="24"/>
          <w:szCs w:val="24"/>
        </w:rPr>
        <w:br/>
        <w:t>Alfred Burian, 0000-0002-4928-0897</w:t>
      </w:r>
    </w:p>
    <w:p w14:paraId="5596259D" w14:textId="77777777" w:rsidR="00AA054B" w:rsidRDefault="00DB4C60">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Jonathan Ready, 0000-0002-9374-8661</w:t>
      </w:r>
    </w:p>
    <w:p w14:paraId="7C2DED4B" w14:textId="77777777" w:rsidR="00AA054B" w:rsidRPr="00166EC3" w:rsidRDefault="00DB4C60">
      <w:pPr>
        <w:spacing w:after="0" w:line="240" w:lineRule="auto"/>
        <w:rPr>
          <w:rFonts w:ascii="Times New Roman" w:eastAsia="Times New Roman" w:hAnsi="Times New Roman" w:cs="Times New Roman"/>
          <w:sz w:val="24"/>
          <w:szCs w:val="24"/>
          <w:lang w:val="de-DE"/>
        </w:rPr>
      </w:pPr>
      <w:r w:rsidRPr="00166EC3">
        <w:rPr>
          <w:rFonts w:ascii="Times New Roman" w:eastAsia="Times New Roman" w:hAnsi="Times New Roman" w:cs="Times New Roman"/>
          <w:sz w:val="24"/>
          <w:szCs w:val="24"/>
          <w:lang w:val="de-DE"/>
        </w:rPr>
        <w:t>Hugo de Boer, 0000-0003-1985-7859</w:t>
      </w:r>
    </w:p>
    <w:p w14:paraId="08F560B8" w14:textId="77777777" w:rsidR="00AA054B" w:rsidRPr="00166EC3" w:rsidRDefault="00DB4C60">
      <w:pPr>
        <w:spacing w:after="0" w:line="240" w:lineRule="auto"/>
        <w:rPr>
          <w:rFonts w:ascii="Times New Roman" w:eastAsia="Times New Roman" w:hAnsi="Times New Roman" w:cs="Times New Roman"/>
          <w:sz w:val="24"/>
          <w:szCs w:val="24"/>
          <w:lang w:val="de-DE"/>
        </w:rPr>
      </w:pPr>
      <w:r w:rsidRPr="00166EC3">
        <w:rPr>
          <w:rFonts w:ascii="Times New Roman" w:eastAsia="Times New Roman" w:hAnsi="Times New Roman" w:cs="Times New Roman"/>
          <w:sz w:val="24"/>
          <w:szCs w:val="24"/>
          <w:lang w:val="de-DE"/>
        </w:rPr>
        <w:t>Vere Ross-Gillespie, 0000-0003-0867-124X</w:t>
      </w:r>
    </w:p>
    <w:p w14:paraId="488C19BB" w14:textId="77777777" w:rsidR="00AA054B" w:rsidRPr="00467FDF" w:rsidRDefault="00DB4C60">
      <w:pPr>
        <w:spacing w:after="0" w:line="240" w:lineRule="auto"/>
        <w:rPr>
          <w:rFonts w:ascii="Times New Roman" w:eastAsia="Times New Roman" w:hAnsi="Times New Roman" w:cs="Times New Roman"/>
          <w:sz w:val="24"/>
          <w:szCs w:val="24"/>
          <w:lang w:val="fr-FR"/>
        </w:rPr>
      </w:pPr>
      <w:r w:rsidRPr="00467FDF">
        <w:rPr>
          <w:rFonts w:ascii="Times New Roman" w:eastAsia="Times New Roman" w:hAnsi="Times New Roman" w:cs="Times New Roman"/>
          <w:sz w:val="24"/>
          <w:szCs w:val="24"/>
          <w:lang w:val="fr-FR"/>
        </w:rPr>
        <w:t xml:space="preserve">Quentin Mauvisseau, </w:t>
      </w:r>
      <w:hyperlink r:id="rId6">
        <w:r w:rsidRPr="00467FDF">
          <w:rPr>
            <w:rFonts w:ascii="Times New Roman" w:eastAsia="Times New Roman" w:hAnsi="Times New Roman" w:cs="Times New Roman"/>
            <w:sz w:val="24"/>
            <w:szCs w:val="24"/>
            <w:lang w:val="fr-FR"/>
          </w:rPr>
          <w:t>0000-0003-1215-2987</w:t>
        </w:r>
      </w:hyperlink>
      <w:r w:rsidRPr="00467FDF">
        <w:rPr>
          <w:rFonts w:ascii="Times New Roman" w:eastAsia="Times New Roman" w:hAnsi="Times New Roman" w:cs="Times New Roman"/>
          <w:sz w:val="24"/>
          <w:szCs w:val="24"/>
          <w:lang w:val="fr-FR"/>
        </w:rPr>
        <w:t xml:space="preserve"> </w:t>
      </w:r>
    </w:p>
    <w:p w14:paraId="41C3FF30" w14:textId="6D68FB55" w:rsidR="00AA054B" w:rsidRDefault="00DB4C60">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Judith Bakker, 0000-0001-7163-6565</w:t>
      </w:r>
    </w:p>
    <w:p w14:paraId="00CC3B9F" w14:textId="77777777" w:rsidR="00423764" w:rsidRPr="00423764" w:rsidRDefault="00423764" w:rsidP="00423764">
      <w:pPr>
        <w:spacing w:after="0" w:line="240" w:lineRule="auto"/>
        <w:rPr>
          <w:rFonts w:ascii="Times New Roman" w:eastAsia="Times New Roman" w:hAnsi="Times New Roman" w:cs="Times New Roman"/>
          <w:sz w:val="24"/>
          <w:szCs w:val="24"/>
        </w:rPr>
      </w:pPr>
      <w:r w:rsidRPr="00423764">
        <w:rPr>
          <w:rFonts w:ascii="Times New Roman" w:eastAsia="Times New Roman" w:hAnsi="Times New Roman" w:cs="Times New Roman"/>
          <w:sz w:val="24"/>
          <w:szCs w:val="24"/>
        </w:rPr>
        <w:t>Alex Crampton-Platt: 0000-0002-8096-615X</w:t>
      </w:r>
    </w:p>
    <w:p w14:paraId="6F7EEF27" w14:textId="3617FA82" w:rsidR="00423764" w:rsidRDefault="00423764" w:rsidP="00423764">
      <w:pPr>
        <w:spacing w:after="0" w:line="240" w:lineRule="auto"/>
        <w:rPr>
          <w:rFonts w:ascii="Times New Roman" w:eastAsia="Times New Roman" w:hAnsi="Times New Roman" w:cs="Times New Roman"/>
          <w:sz w:val="24"/>
          <w:szCs w:val="24"/>
        </w:rPr>
      </w:pPr>
      <w:r w:rsidRPr="00423764">
        <w:rPr>
          <w:rFonts w:ascii="Times New Roman" w:eastAsia="Times New Roman" w:hAnsi="Times New Roman" w:cs="Times New Roman"/>
          <w:sz w:val="24"/>
          <w:szCs w:val="24"/>
        </w:rPr>
        <w:t xml:space="preserve">Sarah </w:t>
      </w:r>
      <w:proofErr w:type="spellStart"/>
      <w:r w:rsidRPr="00423764">
        <w:rPr>
          <w:rFonts w:ascii="Times New Roman" w:eastAsia="Times New Roman" w:hAnsi="Times New Roman" w:cs="Times New Roman"/>
          <w:sz w:val="24"/>
          <w:szCs w:val="24"/>
        </w:rPr>
        <w:t>Chordekar</w:t>
      </w:r>
      <w:proofErr w:type="spellEnd"/>
      <w:r w:rsidRPr="00423764">
        <w:rPr>
          <w:rFonts w:ascii="Times New Roman" w:eastAsia="Times New Roman" w:hAnsi="Times New Roman" w:cs="Times New Roman"/>
          <w:sz w:val="24"/>
          <w:szCs w:val="24"/>
        </w:rPr>
        <w:t>: 0000-0002-9522-0668</w:t>
      </w:r>
    </w:p>
    <w:p w14:paraId="1721AFA1" w14:textId="77777777" w:rsidR="00AA054B" w:rsidRDefault="00DB4C60">
      <w:pPr>
        <w:spacing w:before="240" w:after="240" w:line="480" w:lineRule="auto"/>
        <w:rPr>
          <w:rFonts w:ascii="Times New Roman" w:eastAsia="Times New Roman" w:hAnsi="Times New Roman" w:cs="Times New Roman"/>
          <w:sz w:val="24"/>
          <w:szCs w:val="24"/>
        </w:rPr>
      </w:pPr>
      <w:r>
        <w:rPr>
          <w:rFonts w:ascii="Times New Roman" w:eastAsia="Times New Roman" w:hAnsi="Times New Roman" w:cs="Times New Roman"/>
          <w:b/>
          <w:sz w:val="24"/>
          <w:szCs w:val="24"/>
        </w:rPr>
        <w:t>Running head:</w:t>
      </w:r>
      <w:r>
        <w:rPr>
          <w:rFonts w:ascii="Times New Roman" w:eastAsia="Times New Roman" w:hAnsi="Times New Roman" w:cs="Times New Roman"/>
          <w:sz w:val="24"/>
          <w:szCs w:val="24"/>
        </w:rPr>
        <w:t xml:space="preserve"> eDNA assessment of aquatic systems in Mozambique </w:t>
      </w:r>
    </w:p>
    <w:p w14:paraId="025B6924" w14:textId="761E7AE1" w:rsidR="00AA054B" w:rsidRDefault="00DB4C60" w:rsidP="001E179F">
      <w:pPr>
        <w:spacing w:before="240" w:after="240" w:line="240" w:lineRule="auto"/>
        <w:rPr>
          <w:rFonts w:ascii="Times New Roman" w:eastAsia="Times New Roman" w:hAnsi="Times New Roman" w:cs="Times New Roman"/>
          <w:sz w:val="24"/>
          <w:szCs w:val="24"/>
        </w:rPr>
      </w:pPr>
      <w:r>
        <w:rPr>
          <w:rFonts w:ascii="Times New Roman" w:eastAsia="Times New Roman" w:hAnsi="Times New Roman" w:cs="Times New Roman"/>
          <w:b/>
          <w:sz w:val="24"/>
          <w:szCs w:val="24"/>
        </w:rPr>
        <w:t>Keywords</w:t>
      </w:r>
      <w:r>
        <w:rPr>
          <w:rFonts w:ascii="Times New Roman" w:eastAsia="Times New Roman" w:hAnsi="Times New Roman" w:cs="Times New Roman"/>
          <w:sz w:val="24"/>
          <w:szCs w:val="24"/>
        </w:rPr>
        <w:t>: South</w:t>
      </w:r>
      <w:r w:rsidR="001E179F">
        <w:rPr>
          <w:rFonts w:ascii="Times New Roman" w:eastAsia="Times New Roman" w:hAnsi="Times New Roman" w:cs="Times New Roman"/>
          <w:sz w:val="24"/>
          <w:szCs w:val="24"/>
        </w:rPr>
        <w:t>-</w:t>
      </w:r>
      <w:r>
        <w:rPr>
          <w:rFonts w:ascii="Times New Roman" w:eastAsia="Times New Roman" w:hAnsi="Times New Roman" w:cs="Times New Roman"/>
          <w:sz w:val="24"/>
          <w:szCs w:val="24"/>
        </w:rPr>
        <w:t>West</w:t>
      </w:r>
      <w:r w:rsidR="001E179F">
        <w:rPr>
          <w:rFonts w:ascii="Times New Roman" w:eastAsia="Times New Roman" w:hAnsi="Times New Roman" w:cs="Times New Roman"/>
          <w:sz w:val="24"/>
          <w:szCs w:val="24"/>
        </w:rPr>
        <w:t>ern</w:t>
      </w:r>
      <w:r>
        <w:rPr>
          <w:rFonts w:ascii="Times New Roman" w:eastAsia="Times New Roman" w:hAnsi="Times New Roman" w:cs="Times New Roman"/>
          <w:sz w:val="24"/>
          <w:szCs w:val="24"/>
        </w:rPr>
        <w:t xml:space="preserve"> Indian Ocean, environmental DNA, metabarcoding, diversity assessment, 12S, fish</w:t>
      </w:r>
      <w:r w:rsidR="00423764">
        <w:rPr>
          <w:rFonts w:ascii="Times New Roman" w:eastAsia="Times New Roman" w:hAnsi="Times New Roman" w:cs="Times New Roman"/>
          <w:sz w:val="24"/>
          <w:szCs w:val="24"/>
        </w:rPr>
        <w:t>eries</w:t>
      </w:r>
      <w:r>
        <w:rPr>
          <w:rFonts w:ascii="Times New Roman" w:eastAsia="Times New Roman" w:hAnsi="Times New Roman" w:cs="Times New Roman"/>
          <w:sz w:val="24"/>
          <w:szCs w:val="24"/>
        </w:rPr>
        <w:t xml:space="preserve"> </w:t>
      </w:r>
    </w:p>
    <w:p w14:paraId="07DD3FA8" w14:textId="77777777" w:rsidR="00AA054B" w:rsidRDefault="00DB4C60">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b/>
          <w:sz w:val="24"/>
          <w:szCs w:val="24"/>
        </w:rPr>
        <w:t>Competing interest:</w:t>
      </w:r>
      <w:r>
        <w:rPr>
          <w:rFonts w:ascii="Times New Roman" w:eastAsia="Times New Roman" w:hAnsi="Times New Roman" w:cs="Times New Roman"/>
          <w:sz w:val="24"/>
          <w:szCs w:val="24"/>
        </w:rPr>
        <w:t xml:space="preserve"> </w:t>
      </w:r>
    </w:p>
    <w:p w14:paraId="42B65B35" w14:textId="0C5CF452" w:rsidR="00227681" w:rsidRDefault="00DB4C60" w:rsidP="001E179F">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Kat Bruce, </w:t>
      </w:r>
      <w:proofErr w:type="spellStart"/>
      <w:r w:rsidR="004559E2">
        <w:rPr>
          <w:rFonts w:ascii="Times New Roman" w:eastAsia="Times New Roman" w:hAnsi="Times New Roman" w:cs="Times New Roman"/>
          <w:sz w:val="24"/>
          <w:szCs w:val="24"/>
        </w:rPr>
        <w:t>Cuang</w:t>
      </w:r>
      <w:proofErr w:type="spellEnd"/>
      <w:r w:rsidR="004559E2">
        <w:rPr>
          <w:rFonts w:ascii="Times New Roman" w:eastAsia="Times New Roman" w:hAnsi="Times New Roman" w:cs="Times New Roman"/>
          <w:sz w:val="24"/>
          <w:szCs w:val="24"/>
        </w:rPr>
        <w:t xml:space="preserve"> Tong, </w:t>
      </w:r>
      <w:r>
        <w:rPr>
          <w:rFonts w:ascii="Times New Roman" w:eastAsia="Times New Roman" w:hAnsi="Times New Roman" w:cs="Times New Roman"/>
          <w:sz w:val="24"/>
          <w:szCs w:val="24"/>
        </w:rPr>
        <w:t xml:space="preserve">Vere Ross-Gillespie, Laura </w:t>
      </w:r>
      <w:proofErr w:type="spellStart"/>
      <w:r>
        <w:rPr>
          <w:rFonts w:ascii="Times New Roman" w:eastAsia="Times New Roman" w:hAnsi="Times New Roman" w:cs="Times New Roman"/>
          <w:sz w:val="24"/>
          <w:szCs w:val="24"/>
        </w:rPr>
        <w:t>Balcells</w:t>
      </w:r>
      <w:proofErr w:type="spellEnd"/>
      <w:r>
        <w:rPr>
          <w:rFonts w:ascii="Times New Roman" w:eastAsia="Times New Roman" w:hAnsi="Times New Roman" w:cs="Times New Roman"/>
          <w:sz w:val="24"/>
          <w:szCs w:val="24"/>
        </w:rPr>
        <w:t xml:space="preserve">, Sarah </w:t>
      </w:r>
      <w:proofErr w:type="spellStart"/>
      <w:r>
        <w:rPr>
          <w:rFonts w:ascii="Times New Roman" w:eastAsia="Times New Roman" w:hAnsi="Times New Roman" w:cs="Times New Roman"/>
          <w:sz w:val="24"/>
          <w:szCs w:val="24"/>
        </w:rPr>
        <w:t>Chordekar</w:t>
      </w:r>
      <w:proofErr w:type="spellEnd"/>
      <w:r>
        <w:rPr>
          <w:rFonts w:ascii="Times New Roman" w:eastAsia="Times New Roman" w:hAnsi="Times New Roman" w:cs="Times New Roman"/>
          <w:sz w:val="24"/>
          <w:szCs w:val="24"/>
        </w:rPr>
        <w:t>, Alex Crampton-Platt</w:t>
      </w:r>
      <w:r w:rsidR="00C8088C">
        <w:rPr>
          <w:rFonts w:ascii="Times New Roman" w:eastAsia="Times New Roman" w:hAnsi="Times New Roman" w:cs="Times New Roman"/>
          <w:sz w:val="24"/>
          <w:szCs w:val="24"/>
        </w:rPr>
        <w:t>,</w:t>
      </w:r>
      <w:r>
        <w:rPr>
          <w:rFonts w:ascii="Times New Roman" w:eastAsia="Times New Roman" w:hAnsi="Times New Roman" w:cs="Times New Roman"/>
          <w:sz w:val="24"/>
          <w:szCs w:val="24"/>
        </w:rPr>
        <w:t xml:space="preserve"> and Judith Bakker are </w:t>
      </w:r>
      <w:r w:rsidR="00C8088C">
        <w:rPr>
          <w:rFonts w:ascii="Times New Roman" w:eastAsia="Times New Roman" w:hAnsi="Times New Roman" w:cs="Times New Roman"/>
          <w:sz w:val="24"/>
          <w:szCs w:val="24"/>
        </w:rPr>
        <w:t>employed by</w:t>
      </w:r>
      <w:r>
        <w:rPr>
          <w:rFonts w:ascii="Times New Roman" w:eastAsia="Times New Roman" w:hAnsi="Times New Roman" w:cs="Times New Roman"/>
          <w:sz w:val="24"/>
          <w:szCs w:val="24"/>
        </w:rPr>
        <w:t xml:space="preserve"> NatureMetrics, a for profit company providing DNA-based solutions for biodiversity monitoring.</w:t>
      </w:r>
    </w:p>
    <w:p w14:paraId="6B7A722B" w14:textId="77777777" w:rsidR="00227681" w:rsidRDefault="00227681" w:rsidP="001E179F">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br w:type="page"/>
      </w:r>
    </w:p>
    <w:p w14:paraId="3D4A235D" w14:textId="77777777" w:rsidR="00227681" w:rsidRDefault="00227681" w:rsidP="00730125">
      <w:pPr>
        <w:spacing w:before="120" w:after="120" w:line="480" w:lineRule="auto"/>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Abstract</w:t>
      </w:r>
    </w:p>
    <w:p w14:paraId="603B75D5" w14:textId="2D511B12" w:rsidR="00227681" w:rsidRDefault="00227681" w:rsidP="00730125">
      <w:pPr>
        <w:spacing w:before="120" w:after="120" w:line="480" w:lineRule="auto"/>
        <w:jc w:val="both"/>
        <w:rPr>
          <w:rFonts w:ascii="Times New Roman" w:hAnsi="Times New Roman" w:cs="Times New Roman"/>
          <w:sz w:val="24"/>
          <w:szCs w:val="24"/>
        </w:rPr>
      </w:pPr>
      <w:r w:rsidRPr="001D344D">
        <w:rPr>
          <w:rFonts w:ascii="Times New Roman" w:hAnsi="Times New Roman" w:cs="Times New Roman"/>
          <w:sz w:val="24"/>
          <w:szCs w:val="24"/>
        </w:rPr>
        <w:t xml:space="preserve">The coastline of Sub-Saharan Africa hosts highly diverse fish communities of </w:t>
      </w:r>
      <w:r w:rsidR="00D97B47">
        <w:rPr>
          <w:rFonts w:ascii="Times New Roman" w:hAnsi="Times New Roman" w:cs="Times New Roman"/>
          <w:sz w:val="24"/>
          <w:szCs w:val="24"/>
        </w:rPr>
        <w:t>high</w:t>
      </w:r>
      <w:r w:rsidRPr="001D344D">
        <w:rPr>
          <w:rFonts w:ascii="Times New Roman" w:hAnsi="Times New Roman" w:cs="Times New Roman"/>
          <w:sz w:val="24"/>
          <w:szCs w:val="24"/>
        </w:rPr>
        <w:t xml:space="preserve"> conservation value, which are </w:t>
      </w:r>
      <w:r w:rsidR="00D97B47">
        <w:rPr>
          <w:rFonts w:ascii="Times New Roman" w:hAnsi="Times New Roman" w:cs="Times New Roman"/>
          <w:sz w:val="24"/>
          <w:szCs w:val="24"/>
        </w:rPr>
        <w:t xml:space="preserve">also </w:t>
      </w:r>
      <w:r w:rsidRPr="001D344D">
        <w:rPr>
          <w:rFonts w:ascii="Times New Roman" w:hAnsi="Times New Roman" w:cs="Times New Roman"/>
          <w:sz w:val="24"/>
          <w:szCs w:val="24"/>
        </w:rPr>
        <w:t xml:space="preserve">key resources for local livelihoods. However, many costal ecosystems are threatened by overexploitation and their conservation state is frequently unknown due to limited monitoring budgets and challenges associated </w:t>
      </w:r>
      <w:r w:rsidR="008E7FA0">
        <w:rPr>
          <w:rFonts w:ascii="Times New Roman" w:hAnsi="Times New Roman" w:cs="Times New Roman"/>
          <w:sz w:val="24"/>
          <w:szCs w:val="24"/>
        </w:rPr>
        <w:t>with</w:t>
      </w:r>
      <w:r w:rsidRPr="001D344D">
        <w:rPr>
          <w:rFonts w:ascii="Times New Roman" w:hAnsi="Times New Roman" w:cs="Times New Roman"/>
          <w:sz w:val="24"/>
          <w:szCs w:val="24"/>
        </w:rPr>
        <w:t xml:space="preserve"> their vast spatial extents. </w:t>
      </w:r>
      <w:r w:rsidR="008E7FA0">
        <w:rPr>
          <w:rFonts w:ascii="Times New Roman" w:hAnsi="Times New Roman" w:cs="Times New Roman"/>
          <w:sz w:val="24"/>
          <w:szCs w:val="24"/>
        </w:rPr>
        <w:t>Here</w:t>
      </w:r>
      <w:r w:rsidR="00730125">
        <w:rPr>
          <w:rFonts w:ascii="Times New Roman" w:hAnsi="Times New Roman" w:cs="Times New Roman"/>
          <w:sz w:val="24"/>
          <w:szCs w:val="24"/>
        </w:rPr>
        <w:t>,</w:t>
      </w:r>
      <w:r w:rsidR="008E7FA0">
        <w:rPr>
          <w:rFonts w:ascii="Times New Roman" w:hAnsi="Times New Roman" w:cs="Times New Roman"/>
          <w:sz w:val="24"/>
          <w:szCs w:val="24"/>
        </w:rPr>
        <w:t xml:space="preserve"> w</w:t>
      </w:r>
      <w:r w:rsidRPr="001D344D">
        <w:rPr>
          <w:rFonts w:ascii="Times New Roman" w:hAnsi="Times New Roman" w:cs="Times New Roman"/>
          <w:sz w:val="24"/>
          <w:szCs w:val="24"/>
        </w:rPr>
        <w:t xml:space="preserve">e evaluated the potential of citizen science-based eDNA surveys to alleviate such chronic data deficiencies and assessed fish communities in Mozambique using two 12S metabarcoding primer sets. Samples were either collected by scientific personnel or trained local community members and results </w:t>
      </w:r>
      <w:r w:rsidR="00674093">
        <w:rPr>
          <w:rFonts w:ascii="Times New Roman" w:hAnsi="Times New Roman" w:cs="Times New Roman"/>
          <w:sz w:val="24"/>
          <w:szCs w:val="24"/>
        </w:rPr>
        <w:t>from</w:t>
      </w:r>
      <w:r w:rsidRPr="001D344D">
        <w:rPr>
          <w:rFonts w:ascii="Times New Roman" w:hAnsi="Times New Roman" w:cs="Times New Roman"/>
          <w:sz w:val="24"/>
          <w:szCs w:val="24"/>
        </w:rPr>
        <w:t xml:space="preserve"> the two metabarcoding primer sets were combined </w:t>
      </w:r>
      <w:r w:rsidR="00CB5117">
        <w:rPr>
          <w:rFonts w:ascii="Times New Roman" w:hAnsi="Times New Roman" w:cs="Times New Roman"/>
          <w:sz w:val="24"/>
          <w:szCs w:val="24"/>
        </w:rPr>
        <w:t>using</w:t>
      </w:r>
      <w:r w:rsidRPr="001D344D">
        <w:rPr>
          <w:rFonts w:ascii="Times New Roman" w:hAnsi="Times New Roman" w:cs="Times New Roman"/>
          <w:sz w:val="24"/>
          <w:szCs w:val="24"/>
        </w:rPr>
        <w:t xml:space="preserve"> a new</w:t>
      </w:r>
      <w:r w:rsidR="002055E0">
        <w:rPr>
          <w:rFonts w:ascii="Times New Roman" w:hAnsi="Times New Roman" w:cs="Times New Roman"/>
          <w:sz w:val="24"/>
          <w:szCs w:val="24"/>
        </w:rPr>
        <w:t>ly created</w:t>
      </w:r>
      <w:r w:rsidRPr="001D344D">
        <w:rPr>
          <w:rFonts w:ascii="Times New Roman" w:hAnsi="Times New Roman" w:cs="Times New Roman"/>
          <w:sz w:val="24"/>
          <w:szCs w:val="24"/>
        </w:rPr>
        <w:t xml:space="preserve"> data merging approach. Irrespective of </w:t>
      </w:r>
      <w:r w:rsidR="002505EE">
        <w:rPr>
          <w:rFonts w:ascii="Times New Roman" w:hAnsi="Times New Roman" w:cs="Times New Roman"/>
          <w:sz w:val="24"/>
          <w:szCs w:val="24"/>
        </w:rPr>
        <w:t xml:space="preserve">the background of sampling personnel, </w:t>
      </w:r>
      <w:r w:rsidRPr="001D344D">
        <w:rPr>
          <w:rFonts w:ascii="Times New Roman" w:hAnsi="Times New Roman" w:cs="Times New Roman"/>
          <w:sz w:val="24"/>
          <w:szCs w:val="24"/>
        </w:rPr>
        <w:t>a high average fish species richness was recorded (38±20 OTUs sample-</w:t>
      </w:r>
      <w:r w:rsidRPr="002505EE">
        <w:rPr>
          <w:rFonts w:ascii="Times New Roman" w:hAnsi="Times New Roman" w:cs="Times New Roman"/>
          <w:sz w:val="24"/>
          <w:szCs w:val="24"/>
          <w:vertAlign w:val="superscript"/>
        </w:rPr>
        <w:t>1</w:t>
      </w:r>
      <w:r w:rsidRPr="001D344D">
        <w:rPr>
          <w:rFonts w:ascii="Times New Roman" w:hAnsi="Times New Roman" w:cs="Times New Roman"/>
          <w:sz w:val="24"/>
          <w:szCs w:val="24"/>
        </w:rPr>
        <w:t>).</w:t>
      </w:r>
      <w:r w:rsidR="00F73939">
        <w:rPr>
          <w:rFonts w:ascii="Times New Roman" w:hAnsi="Times New Roman" w:cs="Times New Roman"/>
          <w:sz w:val="24"/>
          <w:szCs w:val="24"/>
        </w:rPr>
        <w:t xml:space="preserve"> I</w:t>
      </w:r>
      <w:r w:rsidRPr="001D344D">
        <w:rPr>
          <w:rFonts w:ascii="Times New Roman" w:hAnsi="Times New Roman" w:cs="Times New Roman"/>
          <w:sz w:val="24"/>
          <w:szCs w:val="24"/>
        </w:rPr>
        <w:t xml:space="preserve">ndividual sections of the coastline largely differed in the occurrence of threatened and commercially important species, highlighting the need for regionally differentiated management strategies. A detailed comparison of the two applied primer sets revealed </w:t>
      </w:r>
      <w:r w:rsidR="005D5CF8">
        <w:rPr>
          <w:rFonts w:ascii="Times New Roman" w:hAnsi="Times New Roman" w:cs="Times New Roman"/>
          <w:sz w:val="24"/>
          <w:szCs w:val="24"/>
        </w:rPr>
        <w:t xml:space="preserve">an </w:t>
      </w:r>
      <w:r w:rsidRPr="001D344D">
        <w:rPr>
          <w:rFonts w:ascii="Times New Roman" w:hAnsi="Times New Roman" w:cs="Times New Roman"/>
          <w:sz w:val="24"/>
          <w:szCs w:val="24"/>
        </w:rPr>
        <w:t>important trade-off</w:t>
      </w:r>
      <w:r w:rsidR="005D5CF8">
        <w:rPr>
          <w:rFonts w:ascii="Times New Roman" w:hAnsi="Times New Roman" w:cs="Times New Roman"/>
          <w:sz w:val="24"/>
          <w:szCs w:val="24"/>
        </w:rPr>
        <w:t xml:space="preserve"> in primer choice with</w:t>
      </w:r>
      <w:r w:rsidRPr="001D344D">
        <w:rPr>
          <w:rFonts w:ascii="Times New Roman" w:hAnsi="Times New Roman" w:cs="Times New Roman"/>
          <w:sz w:val="24"/>
          <w:szCs w:val="24"/>
        </w:rPr>
        <w:t xml:space="preserve"> MiFish primers </w:t>
      </w:r>
      <w:r w:rsidR="005D5CF8" w:rsidRPr="001D344D">
        <w:rPr>
          <w:rFonts w:ascii="Times New Roman" w:hAnsi="Times New Roman" w:cs="Times New Roman"/>
          <w:sz w:val="24"/>
          <w:szCs w:val="24"/>
        </w:rPr>
        <w:t>amplify</w:t>
      </w:r>
      <w:r w:rsidR="005D5CF8">
        <w:rPr>
          <w:rFonts w:ascii="Times New Roman" w:hAnsi="Times New Roman" w:cs="Times New Roman"/>
          <w:sz w:val="24"/>
          <w:szCs w:val="24"/>
        </w:rPr>
        <w:t>ing</w:t>
      </w:r>
      <w:r w:rsidRPr="001D344D">
        <w:rPr>
          <w:rFonts w:ascii="Times New Roman" w:hAnsi="Times New Roman" w:cs="Times New Roman"/>
          <w:sz w:val="24"/>
          <w:szCs w:val="24"/>
        </w:rPr>
        <w:t xml:space="preserve"> a higher number of species</w:t>
      </w:r>
      <w:r w:rsidR="005D5CF8">
        <w:rPr>
          <w:rFonts w:ascii="Times New Roman" w:hAnsi="Times New Roman" w:cs="Times New Roman"/>
          <w:sz w:val="24"/>
          <w:szCs w:val="24"/>
        </w:rPr>
        <w:t xml:space="preserve"> but</w:t>
      </w:r>
      <w:r w:rsidRPr="001D344D">
        <w:rPr>
          <w:rFonts w:ascii="Times New Roman" w:hAnsi="Times New Roman" w:cs="Times New Roman"/>
          <w:sz w:val="24"/>
          <w:szCs w:val="24"/>
        </w:rPr>
        <w:t xml:space="preserve"> Riaz primers perform</w:t>
      </w:r>
      <w:r w:rsidR="00725BED">
        <w:rPr>
          <w:rFonts w:ascii="Times New Roman" w:hAnsi="Times New Roman" w:cs="Times New Roman"/>
          <w:sz w:val="24"/>
          <w:szCs w:val="24"/>
        </w:rPr>
        <w:t>ing</w:t>
      </w:r>
      <w:r w:rsidRPr="001D344D">
        <w:rPr>
          <w:rFonts w:ascii="Times New Roman" w:hAnsi="Times New Roman" w:cs="Times New Roman"/>
          <w:sz w:val="24"/>
          <w:szCs w:val="24"/>
        </w:rPr>
        <w:t xml:space="preserve"> better in the detection of threatened fish species. This trade-off </w:t>
      </w:r>
      <w:r w:rsidR="00725BED">
        <w:rPr>
          <w:rFonts w:ascii="Times New Roman" w:hAnsi="Times New Roman" w:cs="Times New Roman"/>
          <w:sz w:val="24"/>
          <w:szCs w:val="24"/>
        </w:rPr>
        <w:t>could be partly resolved by applying</w:t>
      </w:r>
      <w:r w:rsidRPr="001D344D">
        <w:rPr>
          <w:rFonts w:ascii="Times New Roman" w:hAnsi="Times New Roman" w:cs="Times New Roman"/>
          <w:sz w:val="24"/>
          <w:szCs w:val="24"/>
        </w:rPr>
        <w:t xml:space="preserve"> </w:t>
      </w:r>
      <w:r w:rsidR="006E66FE">
        <w:rPr>
          <w:rFonts w:ascii="Times New Roman" w:hAnsi="Times New Roman" w:cs="Times New Roman"/>
          <w:sz w:val="24"/>
          <w:szCs w:val="24"/>
        </w:rPr>
        <w:t>our</w:t>
      </w:r>
      <w:r w:rsidRPr="001D344D">
        <w:rPr>
          <w:rFonts w:ascii="Times New Roman" w:hAnsi="Times New Roman" w:cs="Times New Roman"/>
          <w:sz w:val="24"/>
          <w:szCs w:val="24"/>
        </w:rPr>
        <w:t xml:space="preserve"> data-merging approac</w:t>
      </w:r>
      <w:r w:rsidR="00725BED">
        <w:rPr>
          <w:rFonts w:ascii="Times New Roman" w:hAnsi="Times New Roman" w:cs="Times New Roman"/>
          <w:sz w:val="24"/>
          <w:szCs w:val="24"/>
        </w:rPr>
        <w:t>h, which has the potential to provide a more robust baseline-data for decision-making processes</w:t>
      </w:r>
      <w:r w:rsidRPr="001D344D">
        <w:rPr>
          <w:rFonts w:ascii="Times New Roman" w:hAnsi="Times New Roman" w:cs="Times New Roman"/>
          <w:sz w:val="24"/>
          <w:szCs w:val="24"/>
        </w:rPr>
        <w:t>. Overall, our study provides encouraging results but also highlights that eDNA-based monitoring will require further improvements of e.g., reference databases and local analytical infrastructure to facilitate routine applications in Sub-Saharan Africa.</w:t>
      </w:r>
    </w:p>
    <w:p w14:paraId="64245E6B" w14:textId="77777777" w:rsidR="00227681" w:rsidRDefault="00227681" w:rsidP="00227681">
      <w:pPr>
        <w:rPr>
          <w:rFonts w:ascii="Times New Roman" w:hAnsi="Times New Roman" w:cs="Times New Roman"/>
          <w:sz w:val="24"/>
          <w:szCs w:val="24"/>
        </w:rPr>
      </w:pPr>
      <w:r>
        <w:rPr>
          <w:rFonts w:ascii="Times New Roman" w:hAnsi="Times New Roman" w:cs="Times New Roman"/>
          <w:sz w:val="24"/>
          <w:szCs w:val="24"/>
        </w:rPr>
        <w:br w:type="page"/>
      </w:r>
    </w:p>
    <w:p w14:paraId="62471A3E" w14:textId="15322E91" w:rsidR="00227681" w:rsidRDefault="00227681" w:rsidP="00462B1D">
      <w:pPr>
        <w:spacing w:before="120" w:after="120" w:line="480" w:lineRule="auto"/>
        <w:rPr>
          <w:rFonts w:ascii="Times New Roman" w:eastAsia="Times New Roman" w:hAnsi="Times New Roman" w:cs="Times New Roman"/>
          <w:b/>
          <w:sz w:val="24"/>
          <w:szCs w:val="24"/>
        </w:rPr>
      </w:pPr>
      <w:r w:rsidRPr="001D344D">
        <w:rPr>
          <w:rFonts w:ascii="Times New Roman" w:hAnsi="Times New Roman" w:cs="Times New Roman"/>
          <w:sz w:val="24"/>
          <w:szCs w:val="24"/>
        </w:rPr>
        <w:lastRenderedPageBreak/>
        <w:t xml:space="preserve">  </w:t>
      </w:r>
      <w:r>
        <w:rPr>
          <w:rFonts w:ascii="Times New Roman" w:eastAsia="Times New Roman" w:hAnsi="Times New Roman" w:cs="Times New Roman"/>
          <w:b/>
          <w:sz w:val="24"/>
          <w:szCs w:val="24"/>
        </w:rPr>
        <w:t>Introduction</w:t>
      </w:r>
    </w:p>
    <w:p w14:paraId="5CC6A186" w14:textId="12AFD313" w:rsidR="006203A6" w:rsidRDefault="00227681" w:rsidP="006203A6">
      <w:pPr>
        <w:spacing w:after="0" w:line="48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The coastline of Sub-Saharan Africa (SSA) encompasses a wide range of highly diverse natural habitats </w:t>
      </w:r>
      <w:r w:rsidR="00467FDF">
        <w:rPr>
          <w:rFonts w:ascii="Times New Roman" w:eastAsia="Times New Roman" w:hAnsi="Times New Roman" w:cs="Times New Roman"/>
          <w:sz w:val="24"/>
          <w:szCs w:val="24"/>
        </w:rPr>
        <w:fldChar w:fldCharType="begin"/>
      </w:r>
      <w:r w:rsidR="0044663E">
        <w:rPr>
          <w:rFonts w:ascii="Times New Roman" w:eastAsia="Times New Roman" w:hAnsi="Times New Roman" w:cs="Times New Roman"/>
          <w:sz w:val="24"/>
          <w:szCs w:val="24"/>
        </w:rPr>
        <w:instrText xml:space="preserve"> ADDIN ZOTERO_ITEM CSL_CITATION {"citationID":"8zncvvKs","properties":{"formattedCitation":"(Stuart, Adams, &amp; Jenkins, 1990)","plainCitation":"(Stuart, Adams, &amp; Jenkins, 1990)","noteIndex":0},"citationItems":[{"id":11372,"uris":["http://zotero.org/users/3033072/items/IT97KFU2"],"uri":["http://zotero.org/users/3033072/items/IT97KFU2"],"itemData":{"id":11372,"type":"report","genre":"Occasional Papers of the IUCN Species Survival Commission","language":"en","number":"6","page":"251","publisher":"IUCN - The World Conservation Union","source":"DOI.org (Crossref)","title":"Biodiversity in sub-saharan Africa and its islands : conservation, management and sustainable use","URL":"https://portals.iucn.org/library/sites/library/files/styles/publication/public/book_covers/BC-SSC-OP-006.jpg","author":[{"family":"Stuart","given":"Simon"},{"family":"Adams","given":"Richard"},{"family":"Jenkins","given":"Martin"}],"accessed":{"date-parts":[["2021",11,8]]},"issued":{"date-parts":[["1990"]]}}}],"schema":"https://github.com/citation-style-language/schema/raw/master/csl-citation.json"} </w:instrText>
      </w:r>
      <w:r w:rsidR="00467FDF">
        <w:rPr>
          <w:rFonts w:ascii="Times New Roman" w:eastAsia="Times New Roman" w:hAnsi="Times New Roman" w:cs="Times New Roman"/>
          <w:sz w:val="24"/>
          <w:szCs w:val="24"/>
        </w:rPr>
        <w:fldChar w:fldCharType="separate"/>
      </w:r>
      <w:r w:rsidR="0044663E" w:rsidRPr="0044663E">
        <w:rPr>
          <w:rFonts w:ascii="Times New Roman" w:hAnsi="Times New Roman" w:cs="Times New Roman"/>
          <w:sz w:val="24"/>
        </w:rPr>
        <w:t>(Stuart, Adams, &amp; Jenkins, 1990)</w:t>
      </w:r>
      <w:r w:rsidR="00467FDF">
        <w:rPr>
          <w:rFonts w:ascii="Times New Roman" w:eastAsia="Times New Roman" w:hAnsi="Times New Roman" w:cs="Times New Roman"/>
          <w:sz w:val="24"/>
          <w:szCs w:val="24"/>
        </w:rPr>
        <w:fldChar w:fldCharType="end"/>
      </w:r>
      <w:r>
        <w:rPr>
          <w:rFonts w:ascii="Times New Roman" w:eastAsia="Times New Roman" w:hAnsi="Times New Roman" w:cs="Times New Roman"/>
          <w:sz w:val="24"/>
          <w:szCs w:val="24"/>
        </w:rPr>
        <w:t>. Marine biodiversity hotspots include unique systems such as the Congo delta, the islands along the East African coast</w:t>
      </w:r>
      <w:r w:rsidR="004E1A4E">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 xml:space="preserve">and the Mozambique Channel </w:t>
      </w:r>
      <w:r w:rsidR="0044663E">
        <w:rPr>
          <w:rFonts w:ascii="Times New Roman" w:eastAsia="Times New Roman" w:hAnsi="Times New Roman" w:cs="Times New Roman"/>
          <w:sz w:val="24"/>
          <w:szCs w:val="24"/>
        </w:rPr>
        <w:fldChar w:fldCharType="begin"/>
      </w:r>
      <w:r w:rsidR="0044663E">
        <w:rPr>
          <w:rFonts w:ascii="Times New Roman" w:eastAsia="Times New Roman" w:hAnsi="Times New Roman" w:cs="Times New Roman"/>
          <w:sz w:val="24"/>
          <w:szCs w:val="24"/>
        </w:rPr>
        <w:instrText xml:space="preserve"> ADDIN ZOTERO_ITEM CSL_CITATION {"citationID":"44gfX0B6","properties":{"unsorted":true,"formattedCitation":"(K\\uc0\\u252{}per, et al., 2004; Griffiths, 2005)","plainCitation":"(Küper, et al., 2004; Griffiths, 2005)","noteIndex":0},"citationItems":[{"id":11395,"uris":["http://zotero.org/users/3033072/items/WZLZUI2H"],"uri":["http://zotero.org/users/3033072/items/WZLZUI2H"],"itemData":{"id":11395,"type":"article-journal","container-title":"Annals of the Missouri Botanical Garden","issue":"4","language":"en","page":"252-535","source":"Zotero","title":"Africa's Hotspots of Biodiversity Redefined","volume":"91","author":[{"family":"Küper,","given":"Wolfgang"},{"family":"Sommer","given":"Jan Henning"},{"family":"Lovett","given":"Jon C."},{"family":"Mutke","given":"Jens"},{"family":"Linder","given":"Hans Peter"},{"family":"Beentje","given":"Henk Jaap"},{"family":"Van Rompaey,","given":"Renaat Sylva Angèle Rosine"},{"family":"Chatelain","given":"Cyrille"},{"family":"Sosef","given":"Marc"},{"family":"Barthlott","given":"Wilhelm"}],"issued":{"date-parts":[["2004"]]}}},{"id":11284,"uris":["http://zotero.org/users/3033072/items/AD23AUAV"],"uri":["http://zotero.org/users/3033072/items/AD23AUAV"],"itemData":{"id":11284,"type":"article-journal","container-title":"INDIAN J. MAR. SCI.","language":"en","page":"7","source":"Zotero","title":"Coastal marine biodiversity in East Africa","volume":"34","author":[{"family":"Griffiths","given":"Charles L"}],"issued":{"date-parts":[["2005"]]}}}],"schema":"https://github.com/citation-style-language/schema/raw/master/csl-citation.json"} </w:instrText>
      </w:r>
      <w:r w:rsidR="0044663E">
        <w:rPr>
          <w:rFonts w:ascii="Times New Roman" w:eastAsia="Times New Roman" w:hAnsi="Times New Roman" w:cs="Times New Roman"/>
          <w:sz w:val="24"/>
          <w:szCs w:val="24"/>
        </w:rPr>
        <w:fldChar w:fldCharType="separate"/>
      </w:r>
      <w:r w:rsidR="0044663E" w:rsidRPr="0044663E">
        <w:rPr>
          <w:rFonts w:ascii="Times New Roman" w:hAnsi="Times New Roman" w:cs="Times New Roman"/>
          <w:sz w:val="24"/>
          <w:szCs w:val="24"/>
        </w:rPr>
        <w:t>(Küper, et al., 2004; Griffiths, 2005)</w:t>
      </w:r>
      <w:r w:rsidR="0044663E">
        <w:rPr>
          <w:rFonts w:ascii="Times New Roman" w:eastAsia="Times New Roman" w:hAnsi="Times New Roman" w:cs="Times New Roman"/>
          <w:sz w:val="24"/>
          <w:szCs w:val="24"/>
        </w:rPr>
        <w:fldChar w:fldCharType="end"/>
      </w:r>
      <w:r>
        <w:rPr>
          <w:rFonts w:ascii="Times New Roman" w:eastAsia="Times New Roman" w:hAnsi="Times New Roman" w:cs="Times New Roman"/>
          <w:sz w:val="24"/>
          <w:szCs w:val="24"/>
        </w:rPr>
        <w:t xml:space="preserve">. Despite the very distinct fauna and flora hosted by these ecosystems, resource use </w:t>
      </w:r>
      <w:r w:rsidR="00142845">
        <w:rPr>
          <w:rFonts w:ascii="Times New Roman" w:eastAsia="Times New Roman" w:hAnsi="Times New Roman" w:cs="Times New Roman"/>
          <w:sz w:val="24"/>
          <w:szCs w:val="24"/>
        </w:rPr>
        <w:t xml:space="preserve">patterns are </w:t>
      </w:r>
      <w:r>
        <w:rPr>
          <w:rFonts w:ascii="Times New Roman" w:eastAsia="Times New Roman" w:hAnsi="Times New Roman" w:cs="Times New Roman"/>
          <w:sz w:val="24"/>
          <w:szCs w:val="24"/>
        </w:rPr>
        <w:t>very similar across most regions</w:t>
      </w:r>
      <w:r w:rsidR="00906924">
        <w:rPr>
          <w:rFonts w:ascii="Times New Roman" w:eastAsia="Times New Roman" w:hAnsi="Times New Roman" w:cs="Times New Roman"/>
          <w:sz w:val="24"/>
          <w:szCs w:val="24"/>
        </w:rPr>
        <w:t xml:space="preserve"> in SSA</w:t>
      </w:r>
      <w:r>
        <w:rPr>
          <w:rFonts w:ascii="Times New Roman" w:eastAsia="Times New Roman" w:hAnsi="Times New Roman" w:cs="Times New Roman"/>
          <w:sz w:val="24"/>
          <w:szCs w:val="24"/>
        </w:rPr>
        <w:t xml:space="preserve">. </w:t>
      </w:r>
      <w:r w:rsidR="000A047F">
        <w:rPr>
          <w:rFonts w:ascii="Times New Roman" w:eastAsia="Times New Roman" w:hAnsi="Times New Roman" w:cs="Times New Roman"/>
          <w:sz w:val="24"/>
          <w:szCs w:val="24"/>
        </w:rPr>
        <w:t>In coastal regions,</w:t>
      </w:r>
      <w:r w:rsidR="00EA2354">
        <w:rPr>
          <w:rFonts w:ascii="Times New Roman" w:eastAsia="Times New Roman" w:hAnsi="Times New Roman" w:cs="Times New Roman"/>
          <w:sz w:val="24"/>
          <w:szCs w:val="24"/>
        </w:rPr>
        <w:t xml:space="preserve"> such as the Mozambican coastline,</w:t>
      </w:r>
      <w:r w:rsidR="000A047F">
        <w:rPr>
          <w:rFonts w:ascii="Times New Roman" w:eastAsia="Times New Roman" w:hAnsi="Times New Roman" w:cs="Times New Roman"/>
          <w:sz w:val="24"/>
          <w:szCs w:val="24"/>
        </w:rPr>
        <w:t xml:space="preserve"> artisanal fisheries are a key contribution to local livelihoods </w:t>
      </w:r>
      <w:r w:rsidR="00217A05">
        <w:rPr>
          <w:rFonts w:ascii="Times New Roman" w:eastAsia="Times New Roman" w:hAnsi="Times New Roman" w:cs="Times New Roman"/>
          <w:sz w:val="24"/>
          <w:szCs w:val="24"/>
        </w:rPr>
        <w:fldChar w:fldCharType="begin"/>
      </w:r>
      <w:r w:rsidR="00217A05">
        <w:rPr>
          <w:rFonts w:ascii="Times New Roman" w:eastAsia="Times New Roman" w:hAnsi="Times New Roman" w:cs="Times New Roman"/>
          <w:sz w:val="24"/>
          <w:szCs w:val="24"/>
        </w:rPr>
        <w:instrText xml:space="preserve"> ADDIN ZOTERO_ITEM CSL_CITATION {"citationID":"ytURFX1N","properties":{"formattedCitation":"(Sowman &amp; Cardoso, 2010)","plainCitation":"(Sowman &amp; Cardoso, 2010)","noteIndex":0},"citationItems":[{"id":11397,"uris":["http://zotero.org/users/3033072/items/3ZCCJX45"],"uri":["http://zotero.org/users/3033072/items/3ZCCJX45"],"itemData":{"id":11397,"type":"article-journal","abstract":"This paper provides an overview of the small-scale ﬁsheries sector in countries within the Benguela Current Large Marine Ecosystem (BCLME), one of the most productive large marine ecosystems in the world. The study revealed that Angola, Namibia and South Africa have very different legal and policy frameworks, show different levels of compliance with international and regional agreements to protect the livelihoods and food security of small-scale ﬁshers, as well as of integration of ﬁsheries into food security objectives. Angolan law recognises and protects small-scale ﬁshers through legal and institutional mechanisms. In Namibia, this sector of ﬁshers is not legally recognised, while in South Africa traditional ﬁshers have been largely excluded from the new ﬁsheries management framework. Trends in national and regional ﬁsh consumption and in the extent of export orientation in ﬁsheries are explored, as well as the potential threats to small-scale producers and food security in the region posed by ongoing drives to incorporate ﬁsheries in the World Trade Organisation (WTO) agreements.","container-title":"Marine Policy","DOI":"10.1016/j.marpol.2010.03.016","ISSN":"0308597X","issue":"6","journalAbbreviation":"Marine Policy","language":"en","page":"1163-1170","source":"DOI.org (Crossref)","title":"Small-scale fisheries and food security strategies in countries in the Benguela Current Large Marine Ecosystem (BCLME) region: Angola, Namibia and South Africa","title-short":"Small-scale fisheries and food security strategies in countries in the Benguela Current Large Marine Ecosystem (BCLME) region","volume":"34","author":[{"family":"Sowman","given":"Merle"},{"family":"Cardoso","given":"Paula"}],"issued":{"date-parts":[["2010",11]]}}}],"schema":"https://github.com/citation-style-language/schema/raw/master/csl-citation.json"} </w:instrText>
      </w:r>
      <w:r w:rsidR="00217A05">
        <w:rPr>
          <w:rFonts w:ascii="Times New Roman" w:eastAsia="Times New Roman" w:hAnsi="Times New Roman" w:cs="Times New Roman"/>
          <w:sz w:val="24"/>
          <w:szCs w:val="24"/>
        </w:rPr>
        <w:fldChar w:fldCharType="separate"/>
      </w:r>
      <w:r w:rsidR="00217A05" w:rsidRPr="00217A05">
        <w:rPr>
          <w:rFonts w:ascii="Times New Roman" w:hAnsi="Times New Roman" w:cs="Times New Roman"/>
          <w:sz w:val="24"/>
        </w:rPr>
        <w:t>(Sowman &amp; Cardoso, 2010)</w:t>
      </w:r>
      <w:r w:rsidR="00217A05">
        <w:rPr>
          <w:rFonts w:ascii="Times New Roman" w:eastAsia="Times New Roman" w:hAnsi="Times New Roman" w:cs="Times New Roman"/>
          <w:sz w:val="24"/>
          <w:szCs w:val="24"/>
        </w:rPr>
        <w:fldChar w:fldCharType="end"/>
      </w:r>
      <w:r w:rsidR="000A047F">
        <w:rPr>
          <w:rFonts w:ascii="Times New Roman" w:eastAsia="Times New Roman" w:hAnsi="Times New Roman" w:cs="Times New Roman"/>
          <w:sz w:val="24"/>
          <w:szCs w:val="24"/>
        </w:rPr>
        <w:t xml:space="preserve">, whilst offshore fish stocks are exploited by international fishing fleets </w:t>
      </w:r>
      <w:r w:rsidR="00217A05">
        <w:rPr>
          <w:rFonts w:ascii="Times New Roman" w:eastAsia="Times New Roman" w:hAnsi="Times New Roman" w:cs="Times New Roman"/>
          <w:sz w:val="24"/>
          <w:szCs w:val="24"/>
        </w:rPr>
        <w:fldChar w:fldCharType="begin"/>
      </w:r>
      <w:r w:rsidR="00217A05">
        <w:rPr>
          <w:rFonts w:ascii="Times New Roman" w:eastAsia="Times New Roman" w:hAnsi="Times New Roman" w:cs="Times New Roman"/>
          <w:sz w:val="24"/>
          <w:szCs w:val="24"/>
        </w:rPr>
        <w:instrText xml:space="preserve"> ADDIN ZOTERO_ITEM CSL_CITATION {"citationID":"pam7bjF3","properties":{"formattedCitation":"(Nielsen et al., 2004; Zeeberg, Corten, &amp; de Graaf, 2006)","plainCitation":"(Nielsen et al., 2004; Zeeberg, Corten, &amp; de Graaf, 2006)","noteIndex":0},"citationItems":[{"id":11401,"uris":["http://zotero.org/users/3033072/items/Y38WKH6L"],"uri":["http://zotero.org/users/3033072/items/Y38WKH6L"],"itemData":{"id":11401,"type":"article-journal","abstract":"During the last decade the co-management concept has gained increasing acceptance as a potential way forward to improve ﬁsheries management performance. It has, however, at the same time become increasingly evident that the co-management concept is not clearly deﬁned and means very different things to different people. In this article, we attempt to document experience available from a recent study on ﬁsheries co-management that has researched case studies of various implementations of co-management arrangements in coastal and freshwater ﬁsheries in South East Asia and Southern Africa, and to present a more comprehensive understanding of co-management and to summarise the experiences with both the positive outcomes and the problems in actual implementation.","container-title":"Marine Policy","DOI":"10.1016/S0308-597X(03)00083-6","ISSN":"0308597X","issue":"2","journalAbbreviation":"Marine Policy","language":"en","page":"151-160","source":"DOI.org (Crossref)","title":"Fisheries co-management—an institutional innovation? Lessons from South East Asia and Southern Africa","title-short":"Fisheries co-management—an institutional innovation?","volume":"28","author":[{"family":"Nielsen","given":"Jesper Raakjær"},{"family":"Degnbol","given":"Poul"},{"family":"Viswanathan","given":"K.Kuperan"},{"family":"Ahmed","given":"Mahfuzuddin"},{"family":"Hara","given":"Mafaniso"},{"family":"Abdullah","given":"Nik Mustapha Raja"}],"issued":{"date-parts":[["2004",3]]}}},{"id":11379,"uris":["http://zotero.org/users/3033072/items/TD9FAV8Z"],"uri":["http://zotero.org/users/3033072/items/TD9FAV8Z"],"itemData":{"id":11379,"type":"article-journal","abstract":"The accidental capture of large animals such as sharks, manta rays, sea turtles, and dolphins in pelagic trawler ﬁsheries remains </w:instrText>
      </w:r>
      <w:r w:rsidR="00217A05" w:rsidRPr="009962A9">
        <w:rPr>
          <w:rFonts w:ascii="Times New Roman" w:eastAsia="Times New Roman" w:hAnsi="Times New Roman" w:cs="Times New Roman"/>
          <w:sz w:val="24"/>
          <w:szCs w:val="24"/>
        </w:rPr>
        <w:instrText>controversial b</w:instrText>
      </w:r>
      <w:r w:rsidR="00217A05" w:rsidRPr="00217A05">
        <w:rPr>
          <w:rFonts w:ascii="Times New Roman" w:eastAsia="Times New Roman" w:hAnsi="Times New Roman" w:cs="Times New Roman"/>
          <w:sz w:val="24"/>
          <w:szCs w:val="24"/>
        </w:rPr>
        <w:instrText xml:space="preserve">ecause it threatens biological diversity in many biogeographical regions, including the subtropical eastern North Atlantic. Bycatch rates observed during more than 1400 trawl sets off Mauritania, Northwest Africa, are shown to have been considerable during the past 4 years, with high animal abundance in Summer when the Northwest African shelf is occupied by subtropical water. We demonstrate the urgency for bycatch reduction and evaluate the use of species-selective gear, a conservation method immediately available and immediately effective in waters </w:instrText>
      </w:r>
      <w:r w:rsidR="00217A05">
        <w:rPr>
          <w:rFonts w:ascii="Times New Roman" w:eastAsia="Times New Roman" w:hAnsi="Times New Roman" w:cs="Times New Roman"/>
          <w:sz w:val="24"/>
          <w:szCs w:val="24"/>
        </w:rPr>
        <w:instrText>ﬁ</w:instrText>
      </w:r>
      <w:r w:rsidR="00217A05" w:rsidRPr="00217A05">
        <w:rPr>
          <w:rFonts w:ascii="Times New Roman" w:eastAsia="Times New Roman" w:hAnsi="Times New Roman" w:cs="Times New Roman"/>
          <w:sz w:val="24"/>
          <w:szCs w:val="24"/>
        </w:rPr>
        <w:instrText>shed through international access agreements. A modi</w:instrText>
      </w:r>
      <w:r w:rsidR="00217A05">
        <w:rPr>
          <w:rFonts w:ascii="Times New Roman" w:eastAsia="Times New Roman" w:hAnsi="Times New Roman" w:cs="Times New Roman"/>
          <w:sz w:val="24"/>
          <w:szCs w:val="24"/>
        </w:rPr>
        <w:instrText>ﬁ</w:instrText>
      </w:r>
      <w:r w:rsidR="00217A05" w:rsidRPr="00217A05">
        <w:rPr>
          <w:rFonts w:ascii="Times New Roman" w:eastAsia="Times New Roman" w:hAnsi="Times New Roman" w:cs="Times New Roman"/>
          <w:sz w:val="24"/>
          <w:szCs w:val="24"/>
        </w:rPr>
        <w:instrText>cation tested in commercial trawls during the observer program guides pelagic megafauna de</w:instrText>
      </w:r>
      <w:r w:rsidR="00217A05">
        <w:rPr>
          <w:rFonts w:ascii="Times New Roman" w:eastAsia="Times New Roman" w:hAnsi="Times New Roman" w:cs="Times New Roman"/>
          <w:sz w:val="24"/>
          <w:szCs w:val="24"/>
        </w:rPr>
        <w:instrText>ﬂ</w:instrText>
      </w:r>
      <w:r w:rsidR="00217A05" w:rsidRPr="00217A05">
        <w:rPr>
          <w:rFonts w:ascii="Times New Roman" w:eastAsia="Times New Roman" w:hAnsi="Times New Roman" w:cs="Times New Roman"/>
          <w:sz w:val="24"/>
          <w:szCs w:val="24"/>
        </w:rPr>
        <w:instrText xml:space="preserve">ected by a </w:instrText>
      </w:r>
      <w:r w:rsidR="00217A05">
        <w:rPr>
          <w:rFonts w:ascii="Times New Roman" w:eastAsia="Times New Roman" w:hAnsi="Times New Roman" w:cs="Times New Roman"/>
          <w:sz w:val="24"/>
          <w:szCs w:val="24"/>
        </w:rPr>
        <w:instrText>ﬁ</w:instrText>
      </w:r>
      <w:r w:rsidR="00217A05" w:rsidRPr="00217A05">
        <w:rPr>
          <w:rFonts w:ascii="Times New Roman" w:eastAsia="Times New Roman" w:hAnsi="Times New Roman" w:cs="Times New Roman"/>
          <w:sz w:val="24"/>
          <w:szCs w:val="24"/>
        </w:rPr>
        <w:instrText xml:space="preserve">lter to an escape tunnel along the bottom of the trawl. This “excluder” reduces bycatch mortality of the most vulnerable megafauna species by at least 40–100%.","container-title":"Fisheries Research","DOI":"10.1016/j.fishres.2006.01.012","ISSN":"01657836","issue":"2-3","journalAbbreviation":"Fisheries Research","language":"en","page":"186-195","source":"DOI.org (Crossref)","title":"Bycatch and release of pelagic megafauna in industrial trawler fisheries off Northwest Africa","volume":"78","author":[{"family":"Zeeberg","given":"JaapJan"},{"family":"Corten","given":"Ad"},{"family":"Graaf","given":"Erik","non-dropping-particle":"de"}],"issued":{"date-parts":[["2006",5]]}}}],"schema":"https://github.com/citation-style-language/schema/raw/master/csl-citation.json"} </w:instrText>
      </w:r>
      <w:r w:rsidR="00217A05">
        <w:rPr>
          <w:rFonts w:ascii="Times New Roman" w:eastAsia="Times New Roman" w:hAnsi="Times New Roman" w:cs="Times New Roman"/>
          <w:sz w:val="24"/>
          <w:szCs w:val="24"/>
        </w:rPr>
        <w:fldChar w:fldCharType="separate"/>
      </w:r>
      <w:r w:rsidR="00217A05" w:rsidRPr="00217A05">
        <w:rPr>
          <w:rFonts w:ascii="Times New Roman" w:hAnsi="Times New Roman" w:cs="Times New Roman"/>
          <w:sz w:val="24"/>
        </w:rPr>
        <w:t>(Nielsen et al., 2004; Zeeberg, Corten, &amp; de Graaf, 2006)</w:t>
      </w:r>
      <w:r w:rsidR="00217A05">
        <w:rPr>
          <w:rFonts w:ascii="Times New Roman" w:eastAsia="Times New Roman" w:hAnsi="Times New Roman" w:cs="Times New Roman"/>
          <w:sz w:val="24"/>
          <w:szCs w:val="24"/>
        </w:rPr>
        <w:fldChar w:fldCharType="end"/>
      </w:r>
      <w:r w:rsidR="000A047F" w:rsidRPr="00217A05">
        <w:rPr>
          <w:rFonts w:ascii="Times New Roman" w:eastAsia="Times New Roman" w:hAnsi="Times New Roman" w:cs="Times New Roman"/>
          <w:sz w:val="24"/>
          <w:szCs w:val="24"/>
        </w:rPr>
        <w:t xml:space="preserve">. </w:t>
      </w:r>
      <w:r w:rsidR="00142845">
        <w:rPr>
          <w:rFonts w:ascii="Times New Roman" w:eastAsia="Times New Roman" w:hAnsi="Times New Roman" w:cs="Times New Roman"/>
          <w:sz w:val="24"/>
          <w:szCs w:val="24"/>
        </w:rPr>
        <w:t>M</w:t>
      </w:r>
      <w:r w:rsidR="000A047F">
        <w:rPr>
          <w:rFonts w:ascii="Times New Roman" w:eastAsia="Times New Roman" w:hAnsi="Times New Roman" w:cs="Times New Roman"/>
          <w:sz w:val="24"/>
          <w:szCs w:val="24"/>
        </w:rPr>
        <w:t>onitoring of both coastal and offshore fish communities is in many regions rudimentar</w:t>
      </w:r>
      <w:r w:rsidR="00EE356C">
        <w:rPr>
          <w:rFonts w:ascii="Times New Roman" w:eastAsia="Times New Roman" w:hAnsi="Times New Roman" w:cs="Times New Roman"/>
          <w:sz w:val="24"/>
          <w:szCs w:val="24"/>
        </w:rPr>
        <w:t>y</w:t>
      </w:r>
      <w:r w:rsidR="000A047F">
        <w:rPr>
          <w:rFonts w:ascii="Times New Roman" w:eastAsia="Times New Roman" w:hAnsi="Times New Roman" w:cs="Times New Roman"/>
          <w:sz w:val="24"/>
          <w:szCs w:val="24"/>
        </w:rPr>
        <w:t xml:space="preserve"> </w:t>
      </w:r>
      <w:r w:rsidR="00217A05">
        <w:rPr>
          <w:rFonts w:ascii="Times New Roman" w:eastAsia="Times New Roman" w:hAnsi="Times New Roman" w:cs="Times New Roman"/>
          <w:sz w:val="24"/>
          <w:szCs w:val="24"/>
        </w:rPr>
        <w:fldChar w:fldCharType="begin"/>
      </w:r>
      <w:r w:rsidR="00217A05">
        <w:rPr>
          <w:rFonts w:ascii="Times New Roman" w:eastAsia="Times New Roman" w:hAnsi="Times New Roman" w:cs="Times New Roman"/>
          <w:sz w:val="24"/>
          <w:szCs w:val="24"/>
        </w:rPr>
        <w:instrText xml:space="preserve"> ADDIN ZOTERO_ITEM CSL_CITATION {"citationID":"I3byNYJQ","properties":{"formattedCitation":"(Kolding, van Zwieten, Marttin, &amp; Poulain, 2016)","plainCitation":"(Kolding, van Zwieten, Marttin, &amp; Poulain, 2016)","noteIndex":0},"citationItems":[{"id":11399,"uris":["http://zotero.org/users/3033072/items/AXMMAWSA"],"uri":["http://zotero.org/users/3033072/items/AXMMAWSA"],"itemData":{"id":11399,"type":"report","abstract":"Dryland areas cover more than half of sub-Saharan Africa and are home to nearly 50 percent of its populations, who depend on agriculture (including livestock, crops and fisheries) as their main livelihood strategy. Sporadic and irregular rainfall patterns are the most important environmental driver for these regions and water, in particular surface water, is the primary element of scarcity in drylands. Generally, dryland water bodies are unstable and strongly pulsed ecosystems owing to intermittent and largely unpredictable precipitation. Such systems are characterized by very productive and highly resilient, small opportunistic fish species with “boom and bust” fluctuation adapted to strong environmental disturbances, and are therefore difficult to overfish. As a result of high productivity, they can sustain very high yields in years of good rains, but being largely short-lived they also respond rapidly to environmental changes in hydrological regimes, which means that alternating periods of low productivity are inevitable. The focus of this review is to both document the general resilience of many fish resources to climatic variability − including their underestimation in livelihood importance, particularly in protracted crisis situations − and to enhance the potential supply of fish from dryland areas through improved use of the available water bodies, and in particular small reservoirs. The important role that small water bodies play in supplying essential micronutrients and protein to rural communities has largely been overlooked since the termination of the FAO/ALCOM (Aquaculture for Local Community Development) programme in 1998, although they are more productive on a per unit area basis than the large lakes and reservoirs and, when pooled, constitute a much larger area of water. Most of the fish production, however, is consumed locally and goes unrecorded in official catch statistics. By refocusing attention on the fish productivity of small water bodies and reservoirs in drylands, and in particular by integrating fisheries with developments in water harvesting, irrigation and improved water storage facilities, the potential to increase the role played by fish in the diets of dryland people, and to provide improved livelihood opportunities is great. The overall conclusion is that the potential for increasing fish production in dryland areas is significant, that the resources are highly resilient and productive, but that the general and increased unpredictability of the rainfall required to sustain surface water bodies creates uncertainties in annual production. That must be counteracted by an adaptive and diversified livelihood strategy.","event-place":"Rome","language":"en","number":"Fisheries and Aquaculture Circular No.1118","page":"64","publisher":"FOOD AND AGRICULTURE ORGANIZATION OF THE UNITED NATIONS","publisher-place":"Rome","source":"Zotero","title":"Fisheries in the Drylands of sub-Saharan Africa","author":[{"family":"Kolding","given":"Jeppe"},{"family":"Zwieten","given":"Paul","non-dropping-particle":"van"},{"family":"Marttin","given":"Felix"},{"family":"Poulain","given":"Florence"}],"issued":{"date-parts":[["2016"]]}}}],"schema":"https://github.com/citation-style-language/schema/raw/master/csl-citation.json"} </w:instrText>
      </w:r>
      <w:r w:rsidR="00217A05">
        <w:rPr>
          <w:rFonts w:ascii="Times New Roman" w:eastAsia="Times New Roman" w:hAnsi="Times New Roman" w:cs="Times New Roman"/>
          <w:sz w:val="24"/>
          <w:szCs w:val="24"/>
        </w:rPr>
        <w:fldChar w:fldCharType="separate"/>
      </w:r>
      <w:r w:rsidR="00217A05" w:rsidRPr="00217A05">
        <w:rPr>
          <w:rFonts w:ascii="Times New Roman" w:hAnsi="Times New Roman" w:cs="Times New Roman"/>
          <w:sz w:val="24"/>
        </w:rPr>
        <w:t>(Kolding, van Zwieten, Marttin, &amp; Poulain, 2016)</w:t>
      </w:r>
      <w:r w:rsidR="00217A05">
        <w:rPr>
          <w:rFonts w:ascii="Times New Roman" w:eastAsia="Times New Roman" w:hAnsi="Times New Roman" w:cs="Times New Roman"/>
          <w:sz w:val="24"/>
          <w:szCs w:val="24"/>
        </w:rPr>
        <w:fldChar w:fldCharType="end"/>
      </w:r>
      <w:r w:rsidR="000A047F">
        <w:rPr>
          <w:rFonts w:ascii="Times New Roman" w:eastAsia="Times New Roman" w:hAnsi="Times New Roman" w:cs="Times New Roman"/>
          <w:sz w:val="24"/>
          <w:szCs w:val="24"/>
        </w:rPr>
        <w:t xml:space="preserve"> and </w:t>
      </w:r>
      <w:r w:rsidR="00EE356C">
        <w:rPr>
          <w:rFonts w:ascii="Times New Roman" w:eastAsia="Times New Roman" w:hAnsi="Times New Roman" w:cs="Times New Roman"/>
          <w:sz w:val="24"/>
          <w:szCs w:val="24"/>
        </w:rPr>
        <w:t xml:space="preserve">in many cases </w:t>
      </w:r>
      <w:r w:rsidR="000A047F">
        <w:rPr>
          <w:rFonts w:ascii="Times New Roman" w:eastAsia="Times New Roman" w:hAnsi="Times New Roman" w:cs="Times New Roman"/>
          <w:sz w:val="24"/>
          <w:szCs w:val="24"/>
        </w:rPr>
        <w:t>even baseline community data are lacking</w:t>
      </w:r>
      <w:r w:rsidR="00473178">
        <w:rPr>
          <w:rFonts w:ascii="Times New Roman" w:eastAsia="Times New Roman" w:hAnsi="Times New Roman" w:cs="Times New Roman"/>
          <w:sz w:val="24"/>
          <w:szCs w:val="24"/>
        </w:rPr>
        <w:t>.</w:t>
      </w:r>
      <w:r w:rsidR="00142845">
        <w:rPr>
          <w:rFonts w:ascii="Times New Roman" w:eastAsia="Times New Roman" w:hAnsi="Times New Roman" w:cs="Times New Roman"/>
          <w:sz w:val="24"/>
          <w:szCs w:val="24"/>
        </w:rPr>
        <w:t xml:space="preserve"> Effective and routine monitoring </w:t>
      </w:r>
      <w:sdt>
        <w:sdtPr>
          <w:tag w:val="goog_rdk_41"/>
          <w:id w:val="-1691138563"/>
        </w:sdtPr>
        <w:sdtEndPr/>
        <w:sdtContent>
          <w:r w:rsidR="00142845">
            <w:rPr>
              <w:rFonts w:ascii="Times New Roman" w:eastAsia="Times New Roman" w:hAnsi="Times New Roman" w:cs="Times New Roman"/>
              <w:sz w:val="24"/>
              <w:szCs w:val="24"/>
            </w:rPr>
            <w:t>is, however</w:t>
          </w:r>
        </w:sdtContent>
      </w:sdt>
      <w:r w:rsidR="00142845">
        <w:rPr>
          <w:rFonts w:ascii="Times New Roman" w:eastAsia="Times New Roman" w:hAnsi="Times New Roman" w:cs="Times New Roman"/>
          <w:sz w:val="24"/>
          <w:szCs w:val="24"/>
        </w:rPr>
        <w:t>, a central requirement to address the many fundamental current and future management challenges in SSA.</w:t>
      </w:r>
    </w:p>
    <w:p w14:paraId="4B2F8C30" w14:textId="1945BB18" w:rsidR="00227681" w:rsidRDefault="00227681" w:rsidP="001E3BE5">
      <w:pPr>
        <w:spacing w:after="0" w:line="480" w:lineRule="auto"/>
        <w:ind w:firstLine="22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Across SSA, human population is projected to almost double within the next 30 years </w:t>
      </w:r>
      <w:r w:rsidR="00217A05">
        <w:rPr>
          <w:rFonts w:ascii="Times New Roman" w:eastAsia="Times New Roman" w:hAnsi="Times New Roman" w:cs="Times New Roman"/>
          <w:sz w:val="24"/>
          <w:szCs w:val="24"/>
        </w:rPr>
        <w:fldChar w:fldCharType="begin"/>
      </w:r>
      <w:r w:rsidR="00217A05">
        <w:rPr>
          <w:rFonts w:ascii="Times New Roman" w:eastAsia="Times New Roman" w:hAnsi="Times New Roman" w:cs="Times New Roman"/>
          <w:sz w:val="24"/>
          <w:szCs w:val="24"/>
        </w:rPr>
        <w:instrText xml:space="preserve"> ADDIN ZOTERO_ITEM CSL_CITATION {"citationID":"WRGfDtEW","properties":{"formattedCitation":"(United Nations, 2021)","plainCitation":"(United Nations, 2021)","noteIndex":0},"citationItems":[{"id":11408,"uris":["http://zotero.org/users/3033072/items/RTCI732N"],"uri":["http://zotero.org/users/3033072/items/RTCI732N"],"itemData":{"id":11408,"type":"webpage","container-title":"Population Division World Population Prospects 2019","URL":"https://population.un.org/wpp/DataQuery/","author":[{"family":"United Nations","given":""}],"issued":{"date-parts":[["2021",12,1]]}}}],"schema":"https://github.com/citation-style-language/schema/raw/master/csl-citation.json"} </w:instrText>
      </w:r>
      <w:r w:rsidR="00217A05">
        <w:rPr>
          <w:rFonts w:ascii="Times New Roman" w:eastAsia="Times New Roman" w:hAnsi="Times New Roman" w:cs="Times New Roman"/>
          <w:sz w:val="24"/>
          <w:szCs w:val="24"/>
        </w:rPr>
        <w:fldChar w:fldCharType="separate"/>
      </w:r>
      <w:r w:rsidR="00217A05" w:rsidRPr="00217A05">
        <w:rPr>
          <w:rFonts w:ascii="Times New Roman" w:hAnsi="Times New Roman" w:cs="Times New Roman"/>
          <w:sz w:val="24"/>
        </w:rPr>
        <w:t>(United Nations, 2021)</w:t>
      </w:r>
      <w:r w:rsidR="00217A05">
        <w:rPr>
          <w:rFonts w:ascii="Times New Roman" w:eastAsia="Times New Roman" w:hAnsi="Times New Roman" w:cs="Times New Roman"/>
          <w:sz w:val="24"/>
          <w:szCs w:val="24"/>
        </w:rPr>
        <w:fldChar w:fldCharType="end"/>
      </w:r>
      <w:r>
        <w:rPr>
          <w:rFonts w:ascii="Times New Roman" w:eastAsia="Times New Roman" w:hAnsi="Times New Roman" w:cs="Times New Roman"/>
          <w:sz w:val="24"/>
          <w:szCs w:val="24"/>
        </w:rPr>
        <w:t xml:space="preserve">, which is expected to substantially increase the pressure on natural resources and habitats </w:t>
      </w:r>
      <w:r w:rsidR="00217A05">
        <w:rPr>
          <w:rFonts w:ascii="Times New Roman" w:eastAsia="Times New Roman" w:hAnsi="Times New Roman" w:cs="Times New Roman"/>
          <w:sz w:val="24"/>
          <w:szCs w:val="24"/>
        </w:rPr>
        <w:fldChar w:fldCharType="begin"/>
      </w:r>
      <w:r w:rsidR="00217A05">
        <w:rPr>
          <w:rFonts w:ascii="Times New Roman" w:eastAsia="Times New Roman" w:hAnsi="Times New Roman" w:cs="Times New Roman"/>
          <w:sz w:val="24"/>
          <w:szCs w:val="24"/>
        </w:rPr>
        <w:instrText xml:space="preserve"> ADDIN ZOTERO_ITEM CSL_CITATION {"citationID":"ckIQWaL9","properties":{"formattedCitation":"(Ramin, 2009)","plainCitation":"(Ramin, 2009)","noteIndex":0},"citationItems":[{"id":11403,"uris":["http://zotero.org/users/3033072/items/LN8BK2NN"],"uri":["http://zotero.org/users/3033072/items/LN8BK2NN"],"itemData":{"id":11403,"type":"article-journal","container-title":"Bulletin of the World Health Organization","DOI":"10.2471/BLT.09.073445","ISSN":"00429686","issue":"12","journalAbbreviation":"Bull World Health Org","language":"en","page":"886-886","source":"DOI.org (Crossref)","title":"Slums, climate change and human health in sub-Saharan Africa","volume":"87","author":[{"family":"Ramin","given":"Brodie"}],"issued":{"date-parts":[["2009",12,1]]}}}],"schema":"https://github.com/citation-style-language/schema/raw/master/csl-citation.json"} </w:instrText>
      </w:r>
      <w:r w:rsidR="00217A05">
        <w:rPr>
          <w:rFonts w:ascii="Times New Roman" w:eastAsia="Times New Roman" w:hAnsi="Times New Roman" w:cs="Times New Roman"/>
          <w:sz w:val="24"/>
          <w:szCs w:val="24"/>
        </w:rPr>
        <w:fldChar w:fldCharType="separate"/>
      </w:r>
      <w:r w:rsidR="00217A05" w:rsidRPr="00217A05">
        <w:rPr>
          <w:rFonts w:ascii="Times New Roman" w:hAnsi="Times New Roman" w:cs="Times New Roman"/>
          <w:sz w:val="24"/>
        </w:rPr>
        <w:t>(Ramin, 2009)</w:t>
      </w:r>
      <w:r w:rsidR="00217A05">
        <w:rPr>
          <w:rFonts w:ascii="Times New Roman" w:eastAsia="Times New Roman" w:hAnsi="Times New Roman" w:cs="Times New Roman"/>
          <w:sz w:val="24"/>
          <w:szCs w:val="24"/>
        </w:rPr>
        <w:fldChar w:fldCharType="end"/>
      </w:r>
      <w:r>
        <w:rPr>
          <w:rFonts w:ascii="Times New Roman" w:eastAsia="Times New Roman" w:hAnsi="Times New Roman" w:cs="Times New Roman"/>
          <w:sz w:val="24"/>
          <w:szCs w:val="24"/>
        </w:rPr>
        <w:t xml:space="preserve">. The resulting increased exploitation of fish stocks may be especially problematic when fish landings are poorly monitored and fishing regulations are insufficiently enforced as is the case in many SSA coastal regions </w:t>
      </w:r>
      <w:r w:rsidR="00217A05">
        <w:rPr>
          <w:rFonts w:ascii="Times New Roman" w:eastAsia="Times New Roman" w:hAnsi="Times New Roman" w:cs="Times New Roman"/>
          <w:sz w:val="24"/>
          <w:szCs w:val="24"/>
        </w:rPr>
        <w:fldChar w:fldCharType="begin"/>
      </w:r>
      <w:r w:rsidR="00217A05">
        <w:rPr>
          <w:rFonts w:ascii="Times New Roman" w:eastAsia="Times New Roman" w:hAnsi="Times New Roman" w:cs="Times New Roman"/>
          <w:sz w:val="24"/>
          <w:szCs w:val="24"/>
        </w:rPr>
        <w:instrText xml:space="preserve"> ADDIN ZOTERO_ITEM CSL_CITATION {"citationID":"gfMF4qd1","properties":{"formattedCitation":"(Jacquet, Fox, Motta, Ngusaru, &amp; Zeller, 2010)","plainCitation":"(Jacquet, Fox, Motta, Ngusaru, &amp; Zeller, 2010)","noteIndex":0},"citationItems":[{"id":11459,"uris":["http://zotero.org/users/3033072/items/8HQ6RX3M"],"uri":["http://zotero.org/users/3033072/items/8HQ6RX3M"],"itemData":{"id":11459,"type":"article-journal","abstract":"The fisheries data supplied to the Food and Agriculture Organization of the United Nations (FAO) by national agencies have served as the primary tool for many global and regional studies. However, it is recognised that these data are incomplete and often underestimate actual catches, particularly for small-scale fisheries. This study reconstructed total marine fisheries catches from 1950 to 2005 for Mozambique and the United Republic of Tanzania, by applying an established catch reconstruction approach utilising all available quantitative and qualitative data, combined with assumptionbased estimations and interpolations. Since the 1950s, Mozambique has reported primarily industrial catches and has substantially under-reported the country’s small-scale fishing sect</w:instrText>
      </w:r>
      <w:r w:rsidR="00217A05" w:rsidRPr="00217A05">
        <w:rPr>
          <w:rFonts w:ascii="Times New Roman" w:eastAsia="Times New Roman" w:hAnsi="Times New Roman" w:cs="Times New Roman"/>
          <w:sz w:val="24"/>
          <w:szCs w:val="24"/>
        </w:rPr>
        <w:instrText>or due to lack of resources and civil war. In Tanzania, Zanzibar’s recorded fisherie</w:instrText>
      </w:r>
      <w:r w:rsidR="00217A05" w:rsidRPr="009962A9">
        <w:rPr>
          <w:rFonts w:ascii="Times New Roman" w:eastAsia="Times New Roman" w:hAnsi="Times New Roman" w:cs="Times New Roman"/>
          <w:sz w:val="24"/>
          <w:szCs w:val="24"/>
        </w:rPr>
        <w:instrText xml:space="preserve">s statistics prior to 2000 are absent from Tanzania’s marine fisheries catches reported to FAO, and total mainland catches are at least one-third larger than officially reported. Based on our reconstruction, since 2000, Mozambique caught between 150 000 and 172 000 t y–1, while the United Republic of Tanzania caught at least 95 000 t y–1. For the period 1950–2005, reconstructed total marine catches were 6.2 and 1.7 times greater than data supplied to FAO by Mozambique and Tanzania respectively. The reliance on incomplete and substantially under-reported national data puts authorities under serious risk of over-licensing fishing access and mismanaging marine ecosystems and national food security.","container-title":"African Journal of Marine Science","DOI":"10.2989/1814232X.2010.501559","ISSN":"1814-232X, 1814-2338","issue":"2","journalAbbreviation":"African Journal of Marine Science","language":"en","page":"197-206","source":"DOI.org (Crossref)","title":"Few data but many fish: marine small-scale fisheries catches for Mozambique and Tanzania","title-short":"Few data but many fish","volume":"32","author":[{"family":"Jacquet","given":"J"},{"family":"Fox","given":"H"},{"family":"Motta","given":"H"},{"family":"Ngusaru","given":"A"},{"family":"Zeller","given":"D"}],"issued":{"date-parts":[["2010",11,2]]}}}],"schema":"https://github.com/citation-style-language/schema/raw/master/csl-citation.json"} </w:instrText>
      </w:r>
      <w:r w:rsidR="00217A05">
        <w:rPr>
          <w:rFonts w:ascii="Times New Roman" w:eastAsia="Times New Roman" w:hAnsi="Times New Roman" w:cs="Times New Roman"/>
          <w:sz w:val="24"/>
          <w:szCs w:val="24"/>
        </w:rPr>
        <w:fldChar w:fldCharType="separate"/>
      </w:r>
      <w:r w:rsidR="00217A05" w:rsidRPr="009962A9">
        <w:rPr>
          <w:rFonts w:ascii="Times New Roman" w:hAnsi="Times New Roman" w:cs="Times New Roman"/>
          <w:sz w:val="24"/>
        </w:rPr>
        <w:t>(</w:t>
      </w:r>
      <w:proofErr w:type="spellStart"/>
      <w:r w:rsidR="00217A05" w:rsidRPr="009962A9">
        <w:rPr>
          <w:rFonts w:ascii="Times New Roman" w:hAnsi="Times New Roman" w:cs="Times New Roman"/>
          <w:sz w:val="24"/>
        </w:rPr>
        <w:t>Jacquet</w:t>
      </w:r>
      <w:proofErr w:type="spellEnd"/>
      <w:r w:rsidR="00217A05" w:rsidRPr="009962A9">
        <w:rPr>
          <w:rFonts w:ascii="Times New Roman" w:hAnsi="Times New Roman" w:cs="Times New Roman"/>
          <w:sz w:val="24"/>
        </w:rPr>
        <w:t xml:space="preserve">, Fox, Motta, </w:t>
      </w:r>
      <w:proofErr w:type="spellStart"/>
      <w:r w:rsidR="00217A05" w:rsidRPr="009962A9">
        <w:rPr>
          <w:rFonts w:ascii="Times New Roman" w:hAnsi="Times New Roman" w:cs="Times New Roman"/>
          <w:sz w:val="24"/>
        </w:rPr>
        <w:t>Ngusaru</w:t>
      </w:r>
      <w:proofErr w:type="spellEnd"/>
      <w:r w:rsidR="00217A05" w:rsidRPr="009962A9">
        <w:rPr>
          <w:rFonts w:ascii="Times New Roman" w:hAnsi="Times New Roman" w:cs="Times New Roman"/>
          <w:sz w:val="24"/>
        </w:rPr>
        <w:t>, &amp; Zeller, 2010)</w:t>
      </w:r>
      <w:r w:rsidR="00217A05">
        <w:rPr>
          <w:rFonts w:ascii="Times New Roman" w:eastAsia="Times New Roman" w:hAnsi="Times New Roman" w:cs="Times New Roman"/>
          <w:sz w:val="24"/>
          <w:szCs w:val="24"/>
        </w:rPr>
        <w:fldChar w:fldCharType="end"/>
      </w:r>
      <w:r w:rsidRPr="009962A9">
        <w:rPr>
          <w:rFonts w:ascii="Times New Roman" w:eastAsia="Times New Roman" w:hAnsi="Times New Roman" w:cs="Times New Roman"/>
          <w:sz w:val="24"/>
          <w:szCs w:val="24"/>
        </w:rPr>
        <w:t xml:space="preserve">. </w:t>
      </w:r>
      <w:r w:rsidR="006203A6">
        <w:rPr>
          <w:rFonts w:ascii="Times New Roman" w:eastAsia="Times New Roman" w:hAnsi="Times New Roman" w:cs="Times New Roman"/>
          <w:sz w:val="24"/>
          <w:szCs w:val="24"/>
        </w:rPr>
        <w:t>Direct a</w:t>
      </w:r>
      <w:r>
        <w:rPr>
          <w:rFonts w:ascii="Times New Roman" w:eastAsia="Times New Roman" w:hAnsi="Times New Roman" w:cs="Times New Roman"/>
          <w:sz w:val="24"/>
          <w:szCs w:val="24"/>
        </w:rPr>
        <w:t>nthropogenic pressures are likely to be further exacerbated by climatic changes. Temperature increases and</w:t>
      </w:r>
      <w:r w:rsidR="008743A1">
        <w:rPr>
          <w:rFonts w:ascii="Times New Roman" w:eastAsia="Times New Roman" w:hAnsi="Times New Roman" w:cs="Times New Roman"/>
          <w:sz w:val="24"/>
          <w:szCs w:val="24"/>
        </w:rPr>
        <w:t xml:space="preserve"> the</w:t>
      </w:r>
      <w:r>
        <w:rPr>
          <w:rFonts w:ascii="Times New Roman" w:eastAsia="Times New Roman" w:hAnsi="Times New Roman" w:cs="Times New Roman"/>
          <w:sz w:val="24"/>
          <w:szCs w:val="24"/>
        </w:rPr>
        <w:t xml:space="preserve"> </w:t>
      </w:r>
      <w:r w:rsidR="009E3B5E">
        <w:rPr>
          <w:rFonts w:ascii="Times New Roman" w:eastAsia="Times New Roman" w:hAnsi="Times New Roman" w:cs="Times New Roman"/>
          <w:sz w:val="24"/>
          <w:szCs w:val="24"/>
        </w:rPr>
        <w:t>increased incidence</w:t>
      </w:r>
      <w:r>
        <w:rPr>
          <w:rFonts w:ascii="Times New Roman" w:eastAsia="Times New Roman" w:hAnsi="Times New Roman" w:cs="Times New Roman"/>
          <w:sz w:val="24"/>
          <w:szCs w:val="24"/>
        </w:rPr>
        <w:t xml:space="preserve"> of marine heat waves have already had catastrophic impacts on coral reef systems</w:t>
      </w:r>
      <w:sdt>
        <w:sdtPr>
          <w:tag w:val="goog_rdk_44"/>
          <w:id w:val="-1805003898"/>
        </w:sdtPr>
        <w:sdtEndPr/>
        <w:sdtContent>
          <w:r>
            <w:rPr>
              <w:rFonts w:ascii="Times New Roman" w:eastAsia="Times New Roman" w:hAnsi="Times New Roman" w:cs="Times New Roman"/>
              <w:sz w:val="24"/>
              <w:szCs w:val="24"/>
            </w:rPr>
            <w:t xml:space="preserve"> globally</w:t>
          </w:r>
        </w:sdtContent>
      </w:sdt>
      <w:r>
        <w:rPr>
          <w:rFonts w:ascii="Times New Roman" w:eastAsia="Times New Roman" w:hAnsi="Times New Roman" w:cs="Times New Roman"/>
          <w:sz w:val="24"/>
          <w:szCs w:val="24"/>
        </w:rPr>
        <w:t xml:space="preserve"> </w:t>
      </w:r>
      <w:r w:rsidR="00217A05">
        <w:rPr>
          <w:rFonts w:ascii="Times New Roman" w:eastAsia="Times New Roman" w:hAnsi="Times New Roman" w:cs="Times New Roman"/>
          <w:sz w:val="24"/>
          <w:szCs w:val="24"/>
        </w:rPr>
        <w:fldChar w:fldCharType="begin"/>
      </w:r>
      <w:r w:rsidR="00217A05">
        <w:rPr>
          <w:rFonts w:ascii="Times New Roman" w:eastAsia="Times New Roman" w:hAnsi="Times New Roman" w:cs="Times New Roman"/>
          <w:sz w:val="24"/>
          <w:szCs w:val="24"/>
        </w:rPr>
        <w:instrText xml:space="preserve"> ADDIN ZOTERO_ITEM CSL_CITATION {"citationID":"Af0nuOhn","properties":{"formattedCitation":"(Stuart-Smith, Brown, Ceccarelli, &amp; Edgar, 2018)","plainCitation":"(Stuart-Smith, Brown, Ceccarelli, &amp; Edgar, 2018)","noteIndex":0},"citationItems":[{"id":11410,"uris":["http://zotero.org/users/3033072/items/VAXSW823"],"uri":["http://zotero.org/users/3033072/items/VAXSW823"],"itemData":{"id":11410,"type":"article-journal","container-title":"Nature","DOI":"10.1038/s41586-018-0359-9","ISSN":"0028-0836, 1476-4687","issue":"7716","journalAbbreviation":"Nature","language":"en","page":"92-96","source":"DOI.org (Crossref)","title":"Ecosystem restructuring along the Great Barrier Reef following mass coral bleaching","volume":"560","author":[{"family":"Stuart-Smith","given":"Rick D."},{"family":"Brown","given":"Christopher J."},{"family":"Ceccarelli","given":"Daniela M."},{"family":"Edgar","given":"Graham J."}],"issued":{"date-parts":[["2018",8]]}}}],"schema":"https://github.com/citation-style-language/schema/raw/master/csl-citation.json"} </w:instrText>
      </w:r>
      <w:r w:rsidR="00217A05">
        <w:rPr>
          <w:rFonts w:ascii="Times New Roman" w:eastAsia="Times New Roman" w:hAnsi="Times New Roman" w:cs="Times New Roman"/>
          <w:sz w:val="24"/>
          <w:szCs w:val="24"/>
        </w:rPr>
        <w:fldChar w:fldCharType="separate"/>
      </w:r>
      <w:r w:rsidR="00217A05" w:rsidRPr="00217A05">
        <w:rPr>
          <w:rFonts w:ascii="Times New Roman" w:hAnsi="Times New Roman" w:cs="Times New Roman"/>
          <w:sz w:val="24"/>
        </w:rPr>
        <w:t>(Stuart-Smith, Brown, Ceccarelli, &amp; Edgar, 2018)</w:t>
      </w:r>
      <w:r w:rsidR="00217A05">
        <w:rPr>
          <w:rFonts w:ascii="Times New Roman" w:eastAsia="Times New Roman" w:hAnsi="Times New Roman" w:cs="Times New Roman"/>
          <w:sz w:val="24"/>
          <w:szCs w:val="24"/>
        </w:rPr>
        <w:fldChar w:fldCharType="end"/>
      </w:r>
      <w:r>
        <w:rPr>
          <w:rFonts w:ascii="Times New Roman" w:eastAsia="Times New Roman" w:hAnsi="Times New Roman" w:cs="Times New Roman"/>
          <w:sz w:val="24"/>
          <w:szCs w:val="24"/>
        </w:rPr>
        <w:t xml:space="preserve">, which provide highly valuable ecosystem services and support about a quarter of total marine biodiversity </w:t>
      </w:r>
      <w:r w:rsidR="00217A05">
        <w:rPr>
          <w:rFonts w:ascii="Times New Roman" w:eastAsia="Times New Roman" w:hAnsi="Times New Roman" w:cs="Times New Roman"/>
          <w:sz w:val="24"/>
          <w:szCs w:val="24"/>
        </w:rPr>
        <w:fldChar w:fldCharType="begin"/>
      </w:r>
      <w:r w:rsidR="00217A05">
        <w:rPr>
          <w:rFonts w:ascii="Times New Roman" w:eastAsia="Times New Roman" w:hAnsi="Times New Roman" w:cs="Times New Roman"/>
          <w:sz w:val="24"/>
          <w:szCs w:val="24"/>
        </w:rPr>
        <w:instrText xml:space="preserve"> ADDIN ZOTERO_ITEM CSL_CITATION {"citationID":"BsjTcba7","properties":{"formattedCitation":"(Hughes et al., 2017)","plainCitation":"(Hughes et al., 2017)","noteIndex":0},"citationItems":[{"id":11412,"uris":["http://zotero.org/users/3033072/items/I85JU5BP"],"uri":["http://zotero.org/users/3033072/items/I85JU5BP"],"itemData":{"id":11412,"type":"article-journal","container-title":"Nature","DOI":"10.1038/nature22901","ISSN":"0028-0836, 1476-4687","issue":"7656","journalAbbreviation":"Nature","language":"en","page":"82-90","source":"DOI.org (Crossref)","title":"Coral reefs in the Anthropocene","volume":"546","author":[{"family":"Hughes","given":"Terry P."},{"family":"Barnes","given":"Michele L."},{"family":"Bellwood","given":"David R."},{"family":"Cinner","given":"Joshua E."},{"family":"Cumming","given":"Graeme S."},{"family":"Jackson","given":"Jeremy B. C."},{"family":"Kleypas","given":"Joanie"},{"family":"Leemput","given":"Ingrid A.","non-dropping-particle":"van de"},{"family":"Lough","given":"Janice M."},{"family":"Morrison","given":"Tiffany H."},{"family":"Palumbi","given":"Stephen R."},{"family":"Nes","given":"Egbert H.","non-dropping-particle":"van"},{"family":"Scheffer","given":"Marten"}],"issued":{"date-parts":[["2017",6]]}}}],"schema":"https://github.com/citation-style-language/schema/raw/master/csl-citation.json"} </w:instrText>
      </w:r>
      <w:r w:rsidR="00217A05">
        <w:rPr>
          <w:rFonts w:ascii="Times New Roman" w:eastAsia="Times New Roman" w:hAnsi="Times New Roman" w:cs="Times New Roman"/>
          <w:sz w:val="24"/>
          <w:szCs w:val="24"/>
        </w:rPr>
        <w:fldChar w:fldCharType="separate"/>
      </w:r>
      <w:r w:rsidR="00217A05" w:rsidRPr="00217A05">
        <w:rPr>
          <w:rFonts w:ascii="Times New Roman" w:hAnsi="Times New Roman" w:cs="Times New Roman"/>
          <w:sz w:val="24"/>
        </w:rPr>
        <w:t>(Hughes et al., 2017)</w:t>
      </w:r>
      <w:r w:rsidR="00217A05">
        <w:rPr>
          <w:rFonts w:ascii="Times New Roman" w:eastAsia="Times New Roman" w:hAnsi="Times New Roman" w:cs="Times New Roman"/>
          <w:sz w:val="24"/>
          <w:szCs w:val="24"/>
        </w:rPr>
        <w:fldChar w:fldCharType="end"/>
      </w:r>
      <w:r>
        <w:rPr>
          <w:rFonts w:ascii="Times New Roman" w:eastAsia="Times New Roman" w:hAnsi="Times New Roman" w:cs="Times New Roman"/>
          <w:sz w:val="24"/>
          <w:szCs w:val="24"/>
        </w:rPr>
        <w:t xml:space="preserve">. </w:t>
      </w:r>
      <w:r w:rsidR="00142845">
        <w:rPr>
          <w:rFonts w:ascii="Times New Roman" w:eastAsia="Times New Roman" w:hAnsi="Times New Roman" w:cs="Times New Roman"/>
          <w:sz w:val="24"/>
          <w:szCs w:val="24"/>
        </w:rPr>
        <w:t xml:space="preserve">Additionally, temperature increases drive </w:t>
      </w:r>
      <w:r>
        <w:rPr>
          <w:rFonts w:ascii="Times New Roman" w:eastAsia="Times New Roman" w:hAnsi="Times New Roman" w:cs="Times New Roman"/>
          <w:sz w:val="24"/>
          <w:szCs w:val="24"/>
        </w:rPr>
        <w:t>increase</w:t>
      </w:r>
      <w:r w:rsidR="00097F0B">
        <w:rPr>
          <w:rFonts w:ascii="Times New Roman" w:eastAsia="Times New Roman" w:hAnsi="Times New Roman" w:cs="Times New Roman"/>
          <w:sz w:val="24"/>
          <w:szCs w:val="24"/>
        </w:rPr>
        <w:t>s in the</w:t>
      </w:r>
      <w:r>
        <w:rPr>
          <w:rFonts w:ascii="Times New Roman" w:eastAsia="Times New Roman" w:hAnsi="Times New Roman" w:cs="Times New Roman"/>
          <w:sz w:val="24"/>
          <w:szCs w:val="24"/>
        </w:rPr>
        <w:t xml:space="preserve"> frequency </w:t>
      </w:r>
      <w:r w:rsidR="00097F0B">
        <w:rPr>
          <w:rFonts w:ascii="Times New Roman" w:eastAsia="Times New Roman" w:hAnsi="Times New Roman" w:cs="Times New Roman"/>
          <w:sz w:val="24"/>
          <w:szCs w:val="24"/>
        </w:rPr>
        <w:t>of</w:t>
      </w:r>
      <w:r>
        <w:rPr>
          <w:rFonts w:ascii="Times New Roman" w:eastAsia="Times New Roman" w:hAnsi="Times New Roman" w:cs="Times New Roman"/>
          <w:sz w:val="24"/>
          <w:szCs w:val="24"/>
        </w:rPr>
        <w:t xml:space="preserve"> tropical storms and alterations of marine nutrient cycling</w:t>
      </w:r>
      <w:r w:rsidR="00097F0B">
        <w:rPr>
          <w:rFonts w:ascii="Times New Roman" w:eastAsia="Times New Roman" w:hAnsi="Times New Roman" w:cs="Times New Roman"/>
          <w:sz w:val="24"/>
          <w:szCs w:val="24"/>
        </w:rPr>
        <w:t xml:space="preserve"> with large potential consequences for natural species assemblies</w:t>
      </w:r>
      <w:r>
        <w:rPr>
          <w:rFonts w:ascii="Times New Roman" w:eastAsia="Times New Roman" w:hAnsi="Times New Roman" w:cs="Times New Roman"/>
          <w:sz w:val="24"/>
          <w:szCs w:val="24"/>
        </w:rPr>
        <w:t xml:space="preserve"> </w:t>
      </w:r>
      <w:r w:rsidR="00217A05">
        <w:rPr>
          <w:rFonts w:ascii="Times New Roman" w:eastAsia="Times New Roman" w:hAnsi="Times New Roman" w:cs="Times New Roman"/>
          <w:sz w:val="24"/>
          <w:szCs w:val="24"/>
        </w:rPr>
        <w:fldChar w:fldCharType="begin"/>
      </w:r>
      <w:r w:rsidR="00217A05">
        <w:rPr>
          <w:rFonts w:ascii="Times New Roman" w:eastAsia="Times New Roman" w:hAnsi="Times New Roman" w:cs="Times New Roman"/>
          <w:sz w:val="24"/>
          <w:szCs w:val="24"/>
        </w:rPr>
        <w:instrText xml:space="preserve"> ADDIN ZOTERO_ITEM CSL_CITATION {"citationID":"Gu5ZzNuE","properties":{"formattedCitation":"(Behrenfeld, 2011; Doney et al., 2012)","plainCitation":"(Behrenfeld, 2011; Doney et al., 2012)","noteIndex":0},"citationItems":[{"id":11416,"uris":["http://zotero.org/users/3033072/items/6JKT5LMM"],"uri":["http://zotero.org/users/3033072/items/6JKT5LMM"],"itemData":{"id":11416,"type":"article-journal","container-title":"Nature Climate Change","DOI":"10.1038/nclimate1069","ISSN":"1758-678X, 1758-6798","issue":"1","journalAbbreviation":"Nature Clim Change","language":"en","page":"33-34","source":"DOI.org (Crossref)","title":"Uncertain future for ocean algae","volume":"1","author":[{"family":"Behrenfeld","given":"Michael"}],"issued":{"date-parts":[["2011",4]]}}},{"id":11418,"uris":["http://zotero.org/users/3033072/items/GVDZAKHT"],"uri":["http://zotero.org/users/3033072/items/GVDZAKHT"],"itemData":{"id":11418,"type":"article-journal","abstract":"In marine ecosystems, rising atmospheric CO2 and climate change are associated with concurrent shifts in temperature, circulation, stratiﬁcation, nutrient input, oxygen content, and ocean acidiﬁcation, with potentially wideranging biological effects. Population-level shifts are occurring because of physiological intolerance to new environments, altered dispersal patterns, and changes in species interactions. Together with local climate-driven invasion and extinction, these processes result in altered community structure and diversity, including possible emergence of novel ecosystems. Impacts are particularly striking for the poles and the tropics, because of the sensitivity of polar ecosystems to sea-ice retreat and poleward species migrations as well as the sensitivity of coral-algal symbiosis to minor increases in temperature. Midlatitude upwelling systems, like the California Current, exhibit strong linkages between climate and species distributions, phenology, and demography. Aggregated effects may modify energy and material ﬂows as well as biogeochemical cycles, eventually impacting the overall ecosystem functioning and services upon which people and societies depend.","container-title":"Annual Review of Marine Science","DOI":"10.1146/annurev-marine-041911-111611","ISSN":"1941-1405, 1941-0611","issue":"1","journalAbbreviation":"Annu. Rev. Mar. Sci.","language":"en","page":"11-37","source":"DOI.org (Crossref)","title":"Climate Change Impacts on Marine Ecosystems","volume":"4","author":[{"family":"Doney","given":"Scott C."},{"family":"Ruckelshaus","given":"Mary"},{"family":"Emmett Duffy","given":"J."},{"family":"Barry","given":"James P."},{"family":"Chan","given":"Francis"},{"family":"English","given":"Chad A."},{"family":"Galindo","given":"Heather M."},{"family":"Grebmeier","given":"Jacqueline M."},{"family":"Hollowed","given":"Anne B."},{"family":"Knowlton","given":"Nancy"},{"family":"Polovina","given":"Jeffrey"},{"family":"Rabalais","given":"Nancy N."},{"family":"Sydeman","given":"William J."},{"family":"Talley","given":"Lynne D."}],"issued":{"date-parts":[["2012",1,15]]}}}],"schema":"https://github.com/citation-style-language/schema/raw/master/csl-citation.json"} </w:instrText>
      </w:r>
      <w:r w:rsidR="00217A05">
        <w:rPr>
          <w:rFonts w:ascii="Times New Roman" w:eastAsia="Times New Roman" w:hAnsi="Times New Roman" w:cs="Times New Roman"/>
          <w:sz w:val="24"/>
          <w:szCs w:val="24"/>
        </w:rPr>
        <w:fldChar w:fldCharType="separate"/>
      </w:r>
      <w:r w:rsidR="00217A05" w:rsidRPr="00217A05">
        <w:rPr>
          <w:rFonts w:ascii="Times New Roman" w:hAnsi="Times New Roman" w:cs="Times New Roman"/>
          <w:sz w:val="24"/>
        </w:rPr>
        <w:t>(Behrenfeld, 2011; Doney et al., 2012)</w:t>
      </w:r>
      <w:r w:rsidR="00217A05">
        <w:rPr>
          <w:rFonts w:ascii="Times New Roman" w:eastAsia="Times New Roman" w:hAnsi="Times New Roman" w:cs="Times New Roman"/>
          <w:sz w:val="24"/>
          <w:szCs w:val="24"/>
        </w:rPr>
        <w:fldChar w:fldCharType="end"/>
      </w:r>
      <w:r>
        <w:rPr>
          <w:rFonts w:ascii="Times New Roman" w:eastAsia="Times New Roman" w:hAnsi="Times New Roman" w:cs="Times New Roman"/>
          <w:sz w:val="24"/>
          <w:szCs w:val="24"/>
        </w:rPr>
        <w:t xml:space="preserve">. Considering these multiple, substantial threats, frequent and accurate </w:t>
      </w:r>
      <w:r w:rsidR="00917714">
        <w:rPr>
          <w:rFonts w:ascii="Times New Roman" w:eastAsia="Times New Roman" w:hAnsi="Times New Roman" w:cs="Times New Roman"/>
          <w:sz w:val="24"/>
          <w:szCs w:val="24"/>
        </w:rPr>
        <w:lastRenderedPageBreak/>
        <w:t xml:space="preserve">biodiversity </w:t>
      </w:r>
      <w:r>
        <w:rPr>
          <w:rFonts w:ascii="Times New Roman" w:eastAsia="Times New Roman" w:hAnsi="Times New Roman" w:cs="Times New Roman"/>
          <w:sz w:val="24"/>
          <w:szCs w:val="24"/>
        </w:rPr>
        <w:t xml:space="preserve">monitoring is urgently required to implement adaptive management approaches and respond to early warning systems before the onset of catastrophic break-downs </w:t>
      </w:r>
      <w:r w:rsidR="00217A05">
        <w:rPr>
          <w:rFonts w:ascii="Times New Roman" w:eastAsia="Times New Roman" w:hAnsi="Times New Roman" w:cs="Times New Roman"/>
          <w:sz w:val="24"/>
          <w:szCs w:val="24"/>
        </w:rPr>
        <w:fldChar w:fldCharType="begin"/>
      </w:r>
      <w:r w:rsidR="00217A05">
        <w:rPr>
          <w:rFonts w:ascii="Times New Roman" w:eastAsia="Times New Roman" w:hAnsi="Times New Roman" w:cs="Times New Roman"/>
          <w:sz w:val="24"/>
          <w:szCs w:val="24"/>
        </w:rPr>
        <w:instrText xml:space="preserve"> ADDIN ZOTERO_ITEM CSL_CITATION {"citationID":"zqQe18Me","properties":{"unsorted":true,"formattedCitation":"(Floros, Schleyer, &amp; Maggs, 2013; Clements, Blanchard, Nash, Hindell, &amp; Ozgul, 2017)","plainCitation":"(Floros, Schleyer, &amp; Maggs, 2013; Clements, Blanchard, Nash, Hindell, &amp; Ozgul, 2017)","noteIndex":0},"citationItems":[{"id":11376,"uris":["http://zotero.org/users/3033072/items/3BCISZ9W"],"uri":["http://zotero.org/users/3033072/items/3BCISZ9W"],"itemData":{"id":11376,"type":"article-journal","abstract":"Despite the proclamation of South Africa’s coral reef marine protected areas (MPAs) more than 20 years ago, the effects of human activities on the ﬁsh communities have not been investigated. This study used a multi-species Fish-index to compare ecological indicators such as biomass, abundance, trophic structure and reproductive potential between multiple-use and no-take sanctuary zones. Seven study reefs were surveyed; six in South Africa and a non-MPA reef in southern Mozambique. Randomly stratiﬁed underwater visual censuses (UVC) using the point count technique were used to survey ﬁsh communities. Environmental variables and habitat characteristics were also recorded. Nonmetric multidimensional scaling ordinations were similar for abundance and biomass trends and revealed a high degree of overlap between all zones, except for the no-take Sanctuaries. The latter formed discrete clusters and were signiﬁcantly different (Analysis of Similarity) to the other zones. Total abundance and biomass were highest in the Sanctuary zones and lowest in the Open zone. Differences in trophic composition between zones were largely due to predatory species. This was supported by similarity percentages analysis (SIMPER) which identiﬁed six discriminating species. Length-frequency analysis of these species revealed consistent trends with higher numbers of large individuals in the Sanctuary zones and reduced numbers of small individuals in zones open to human activity. These results along with those of the Generalised Linear Models (GLM) demonstrate that human activities are affecting the southern African coral reef ﬁsh communities. Marginal differences between the multiple-use MPA zones on the South African reefs and the non-MPA reef in southern Mozambique suggest that MPA management objectives require reevaluation.","container-title":"Ocean &amp; Coastal Management","DOI":"10.1016/j.ocecoaman.2013.08.005","ISSN":"09645691","journalAbbreviation":"Ocean &amp; Coastal Management","language":"en","page":"130-139","source":"DOI.org (Crossref)","title":"Fish as indicators of diving and fishing pressure on high-latitude coral reefs","volume":"84","author":[{"family":"Floros","given":"C."},{"family":"Schleyer","given":"M.H."},{"family":"Maggs","given":"J.Q."}],"issued":{"date-parts":[["2013",11]]}}},{"id":11461,"uris":["http://zotero.org/users/3033072/items/2BN28LS4"],"uri":["http://zotero.org/users/3033072/items/2BN28LS4"],"itemData":{"id":11461,"type":"article-journal","container-title":"Nature Ecology &amp; Evolution","DOI":"10.1038/s41559-017-0188","ISSN":"2397-334X","issue":"7","journalAbbreviation":"Nat Ecol Evol","language":"en","page":"0188","source":"DOI.org (Crossref)","title":"Body size shifts and early warning signals precede the historic collapse of whale stocks","volume":"1","author":[{"family":"Clements","given":"Christopher F."},{"family":"Blanchard","given":"Julia L."},{"family":"Nash","given":"Kirsty L."},{"family":"Hindell","given":"Mark A."},{"family":"Ozgul","given":"Arpat"}],"issued":{"date-parts":[["2017",7]]}}}],"schema":"https://github.com/citation-style-language/schema/raw/master/csl-citation.json"} </w:instrText>
      </w:r>
      <w:r w:rsidR="00217A05">
        <w:rPr>
          <w:rFonts w:ascii="Times New Roman" w:eastAsia="Times New Roman" w:hAnsi="Times New Roman" w:cs="Times New Roman"/>
          <w:sz w:val="24"/>
          <w:szCs w:val="24"/>
        </w:rPr>
        <w:fldChar w:fldCharType="separate"/>
      </w:r>
      <w:r w:rsidR="00217A05" w:rsidRPr="00217A05">
        <w:rPr>
          <w:rFonts w:ascii="Times New Roman" w:hAnsi="Times New Roman" w:cs="Times New Roman"/>
          <w:sz w:val="24"/>
        </w:rPr>
        <w:t>(Floros, Schleyer, &amp; Maggs, 2013; Clements, Blanchard, Nash, Hindell, &amp; Ozgul, 2017)</w:t>
      </w:r>
      <w:r w:rsidR="00217A05">
        <w:rPr>
          <w:rFonts w:ascii="Times New Roman" w:eastAsia="Times New Roman" w:hAnsi="Times New Roman" w:cs="Times New Roman"/>
          <w:sz w:val="24"/>
          <w:szCs w:val="24"/>
        </w:rPr>
        <w:fldChar w:fldCharType="end"/>
      </w:r>
      <w:r>
        <w:rPr>
          <w:rFonts w:ascii="Times New Roman" w:eastAsia="Times New Roman" w:hAnsi="Times New Roman" w:cs="Times New Roman"/>
          <w:sz w:val="24"/>
          <w:szCs w:val="24"/>
        </w:rPr>
        <w:t xml:space="preserve">. </w:t>
      </w:r>
    </w:p>
    <w:p w14:paraId="7A21E699" w14:textId="17E65B45" w:rsidR="00227681" w:rsidRDefault="00227681" w:rsidP="00227681">
      <w:pPr>
        <w:spacing w:after="0" w:line="480" w:lineRule="auto"/>
        <w:ind w:firstLine="22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However, regular monitoring is a complex and challenging task </w:t>
      </w:r>
      <w:r w:rsidR="00217A05">
        <w:rPr>
          <w:rFonts w:ascii="Times New Roman" w:eastAsia="Times New Roman" w:hAnsi="Times New Roman" w:cs="Times New Roman"/>
          <w:sz w:val="24"/>
          <w:szCs w:val="24"/>
        </w:rPr>
        <w:fldChar w:fldCharType="begin"/>
      </w:r>
      <w:r w:rsidR="00F2094B">
        <w:rPr>
          <w:rFonts w:ascii="Times New Roman" w:eastAsia="Times New Roman" w:hAnsi="Times New Roman" w:cs="Times New Roman"/>
          <w:sz w:val="24"/>
          <w:szCs w:val="24"/>
        </w:rPr>
        <w:instrText xml:space="preserve"> ADDIN ZOTERO_ITEM CSL_CITATION {"citationID":"urYOkZ78","properties":{"formattedCitation":"(Jacquet et al., 2010)","plainCitation":"(Jacquet et al., 2010)","noteIndex":0},"citationItems":[{"id":11459,"uris":["http://zotero.org/users/3033072/items/8HQ6RX3M"],"uri":["http://zotero.org/users/3033072/items/8HQ6RX3M"],"itemData":{"id":11459,"type":"article-journal","abstract":"The fisheries data supplied to the Food and Agriculture Organization of the United Nations (FAO) by national agencies have served as the primary tool for many global and regional studies. However, it is recognised that these data are incomplete and often underestimate actual catches, particularly for small-scale fisheries. This study reconstructed total marine fisheries catches from 1950 to 2005 for Mozambique and the United Republic of Tanzania, by applying an established catch reconstruction approach utilising all available quantitative and qualitative data, combined with assumptionbased estimations and interpolations. Since the 1950s, Mozambique has reported primarily industrial catches and has substantially under-reported the country’s small-scale fishing sector due to lack of resources and civil war. In Tanzania, Zanzibar’s recorded fisheries statistics prior to 2000 are absent from Tanzania’s marine fisheries catches reported to FAO, and total mainland catches are at least one-third larger than officially reported. Based on our reconstruction, since 2000, Mozambique caught between 150 000 and 172 000 t y–1, while the United Republic of Tanzania caught at least 95 000 t y–1. For the period 1950–2005, reconstructed total marine catches were 6.2 and 1.7 times greater than data supplied to FAO by Mozambique and Tanzania respectively. The reliance on incomplete and substantially under-reported national data puts authorities under serious risk of over-licensing fishing access and mismanaging marine ecosystems and national food security.","container-title":"African Journal of Marine Science","DOI":"10.2989/1814232X.2010.501559","ISSN":"1814-232X, 1814-2338","issue":"2","journalAbbreviation":"African Journal of Marine Science","language":"en","page":"197-206","source":"DOI.org (Crossref)","title":"Few data but many fish: marine small-scale fisheries catches for Mozambique and Tanzania","title-short":"Few data but many fish","volume":"32","author":[{"family":"Jacquet","given":"J"},{"family":"Fox","given":"H"},{"family":"Motta","given":"H"},{"family":"Ngusaru","given":"A"},{"family":"Zeller","given":"D"}],"issued":{"date-parts":[["2010",11,2]]}}}],"schema":"https://github.com/citation-style-language/schema/raw/master/csl-citation.json"} </w:instrText>
      </w:r>
      <w:r w:rsidR="00217A05">
        <w:rPr>
          <w:rFonts w:ascii="Times New Roman" w:eastAsia="Times New Roman" w:hAnsi="Times New Roman" w:cs="Times New Roman"/>
          <w:sz w:val="24"/>
          <w:szCs w:val="24"/>
        </w:rPr>
        <w:fldChar w:fldCharType="separate"/>
      </w:r>
      <w:r w:rsidR="00F2094B" w:rsidRPr="00F2094B">
        <w:rPr>
          <w:rFonts w:ascii="Times New Roman" w:hAnsi="Times New Roman" w:cs="Times New Roman"/>
          <w:sz w:val="24"/>
        </w:rPr>
        <w:t>(Jacquet et al., 2010)</w:t>
      </w:r>
      <w:r w:rsidR="00217A05">
        <w:rPr>
          <w:rFonts w:ascii="Times New Roman" w:eastAsia="Times New Roman" w:hAnsi="Times New Roman" w:cs="Times New Roman"/>
          <w:sz w:val="24"/>
          <w:szCs w:val="24"/>
        </w:rPr>
        <w:fldChar w:fldCharType="end"/>
      </w:r>
      <w:r>
        <w:rPr>
          <w:rFonts w:ascii="Times New Roman" w:eastAsia="Times New Roman" w:hAnsi="Times New Roman" w:cs="Times New Roman"/>
          <w:sz w:val="24"/>
          <w:szCs w:val="24"/>
        </w:rPr>
        <w:t xml:space="preserve">. In Mozambique, the </w:t>
      </w:r>
      <w:r w:rsidR="009E3B5E">
        <w:rPr>
          <w:rFonts w:ascii="Times New Roman" w:eastAsia="Times New Roman" w:hAnsi="Times New Roman" w:cs="Times New Roman"/>
          <w:sz w:val="24"/>
          <w:szCs w:val="24"/>
        </w:rPr>
        <w:t>focal</w:t>
      </w:r>
      <w:r>
        <w:rPr>
          <w:rFonts w:ascii="Times New Roman" w:eastAsia="Times New Roman" w:hAnsi="Times New Roman" w:cs="Times New Roman"/>
          <w:sz w:val="24"/>
          <w:szCs w:val="24"/>
        </w:rPr>
        <w:t xml:space="preserve"> region of this study, fish monitoring relies </w:t>
      </w:r>
      <w:r w:rsidR="00B2673B">
        <w:rPr>
          <w:rFonts w:ascii="Times New Roman" w:eastAsia="Times New Roman" w:hAnsi="Times New Roman" w:cs="Times New Roman"/>
          <w:sz w:val="24"/>
          <w:szCs w:val="24"/>
        </w:rPr>
        <w:t>on surveying</w:t>
      </w:r>
      <w:r>
        <w:rPr>
          <w:rFonts w:ascii="Times New Roman" w:eastAsia="Times New Roman" w:hAnsi="Times New Roman" w:cs="Times New Roman"/>
          <w:sz w:val="24"/>
          <w:szCs w:val="24"/>
        </w:rPr>
        <w:t xml:space="preserve"> methods such as electrofishing, netting, baited traps</w:t>
      </w:r>
      <w:sdt>
        <w:sdtPr>
          <w:tag w:val="goog_rdk_45"/>
          <w:id w:val="422614077"/>
        </w:sdtPr>
        <w:sdtEndPr/>
        <w:sdtContent>
          <w:r>
            <w:rPr>
              <w:rFonts w:ascii="Times New Roman" w:eastAsia="Times New Roman" w:hAnsi="Times New Roman" w:cs="Times New Roman"/>
              <w:sz w:val="24"/>
              <w:szCs w:val="24"/>
            </w:rPr>
            <w:t>,</w:t>
          </w:r>
        </w:sdtContent>
      </w:sdt>
      <w:r>
        <w:rPr>
          <w:rFonts w:ascii="Times New Roman" w:eastAsia="Times New Roman" w:hAnsi="Times New Roman" w:cs="Times New Roman"/>
          <w:sz w:val="24"/>
          <w:szCs w:val="24"/>
        </w:rPr>
        <w:t xml:space="preserve"> as well as visual </w:t>
      </w:r>
      <w:sdt>
        <w:sdtPr>
          <w:tag w:val="goog_rdk_46"/>
          <w:id w:val="1195498538"/>
        </w:sdtPr>
        <w:sdtEndPr/>
        <w:sdtContent>
          <w:r>
            <w:rPr>
              <w:rFonts w:ascii="Times New Roman" w:eastAsia="Times New Roman" w:hAnsi="Times New Roman" w:cs="Times New Roman"/>
              <w:sz w:val="24"/>
              <w:szCs w:val="24"/>
            </w:rPr>
            <w:t>and</w:t>
          </w:r>
        </w:sdtContent>
      </w:sdt>
      <w:r>
        <w:rPr>
          <w:rFonts w:ascii="Times New Roman" w:eastAsia="Times New Roman" w:hAnsi="Times New Roman" w:cs="Times New Roman"/>
          <w:sz w:val="24"/>
          <w:szCs w:val="24"/>
        </w:rPr>
        <w:t xml:space="preserve"> acoustic surveys </w:t>
      </w:r>
      <w:r w:rsidR="008B50A6">
        <w:rPr>
          <w:rFonts w:ascii="Times New Roman" w:eastAsia="Times New Roman" w:hAnsi="Times New Roman" w:cs="Times New Roman"/>
          <w:sz w:val="24"/>
          <w:szCs w:val="24"/>
        </w:rPr>
        <w:fldChar w:fldCharType="begin"/>
      </w:r>
      <w:r w:rsidR="008B50A6">
        <w:rPr>
          <w:rFonts w:ascii="Times New Roman" w:eastAsia="Times New Roman" w:hAnsi="Times New Roman" w:cs="Times New Roman"/>
          <w:sz w:val="24"/>
          <w:szCs w:val="24"/>
        </w:rPr>
        <w:instrText xml:space="preserve"> ADDIN ZOTERO_ITEM CSL_CITATION {"citationID":"aqmitGPb","properties":{"formattedCitation":"(Gell &amp; Whittington, 2002; Marshall, Dudgeon, &amp; Bennett, 2011; Samoilys et al., 2019)","plainCitation":"(Gell &amp; Whittington, 2002; Marshall, Dudgeon, &amp; Bennett, 2011; Samoilys et al., 2019)","noteIndex":0},"citationItems":[{"id":11366,"uris":["http://zotero.org/users/3033072/items/VIK89KG3"],"uri":["http://zotero.org/users/3033072/items/VIK89KG3"],"itemData":{"id":11366,"type":"article-journal","abstract":"The diversity of fishes in seagrass beds at Quirimba Island, northern Mozambique, was studied by sampling artisanal fisheries catches from seine nets and fish traps. In total, 46 629 fish were sampled from seinenet catches and 249 species of fish in 62 families were identified. A total of 3544 fish were sampled from fish traps and 61 species in 24 families were identified. Five species accounted for &gt;60% of total fish biomass: Siganus sutor, Leptoscarus vaigiensis, Lethrinus variegatus, Lethrinus lentjan and Gerres oyena. Some species were present in the seagrass mainly as juveniles, some at all life stages and some as adults only. Catch compositions from the two fishing gears were different; samples from seine nets were dominated by the five species mentioned above, whereas samples from traps were dominated by the seagrass parrotfish Leptoscarus vaigiensis. The importance of seagrass beds for fish biodiversity must be considered in future conservation management decisions.","container-title":"Marine and Freshwater Research","DOI":"10.1071/MF01125","ISSN":"1323-1650","issue":"2","journalAbbreviation":"Mar. Freshwater Res.","language":"en","page":"115","source":"DOI.org (Crossref)","title":"Diversity of fishes in seagrass beds in the Quirimba Archipelago, northern Mozambique","volume":"53","author":[{"family":"Gell","given":"Fiona R."},{"family":"Whittington","given":"Mark W."}],"issued":{"date-parts":[["2002"]]}}},{"id":11465,"uris":["http://zotero.org/users/3033072/items/EA6Q8QE3"],"uri":["http://zotero.org/users/3033072/items/EA6Q8QE3"],"itemData":{"id":11465,"type":"article-journal","container-title":"Marine Biology","DOI":"10.1007/s00227-011-1634-6","ISSN":"0025-3162, 1432-1793","issue":"5","journalAbbreviation":"Mar Biol","language":"en","page":"1111-1124","source":"DOI.org (Crossref)","title":"Size and structure of a photographically identified population of manta rays Manta alfredi in southern Mozambique","volume":"158","author":[{"family":"Marshall","given":"A. D."},{"family":"Dudgeon","given":"C. L."},{"family":"Bennett","given":"M. B."}],"issued":{"date-parts":[["2011",5]]}}},{"id":11463,"uris":["http://zotero.org/users/3033072/items/9IEBTPDR"],"uri":["http://zotero.org/users/3033072/items/9IEBTPDR"],"itemData":{"id":11463,"type":"article-journal","abstract":"Conservation planning of coastal ecosystems is improved by quantitative data on human activities and marine habitats, though is challenging in artisanal fisheries due to their characteristics of multiple species, gears and landing sites. Small-scale coastal fisheries in northern Mozambique were quantified using a multi-faceted approach, to inform area-based conservation and fisheries management. Fishers captured 153 taxa using eleven different fishing gears with a high proportion of gleaning. The most prevalent gear was the mosquito net (27%), largely used by women, followed by gleaning, handline and spear (12–15%), but with high inter-fishing ground variability. Median (interquatile range) catch rates ranged from 7.0 (3.4, 15.1) kg fisher−1 trip−1 (handlines) to 2.3 (1.6, 4.5) kg fisher−1 trip−1 (mosquito nets), which represent relatively high catch rates for eastern Africa. Knowledge of the complex spatial variability in these fisheries can contribute to conservation planning by minimizing opportunity costs while maximizing conservation benefits.","container-title":"Ocean &amp; Coastal Management","DOI":"10.1016/j.ocecoaman.2019.104924","ISSN":"09645691","journalAbbreviation":"Ocean &amp; Coastal Management","language":"en","page":"104924","source":"DOI.org (Crossref)","title":"An integrated assessment of coastal fisheries in Mozambique for conservation planning","volume":"182","author":[{"family":"Samoilys","given":"Melita Anne"},{"family":"Osuka","given":"Kennedy"},{"family":"Mussa","given":"Jamen"},{"family":"Rosendo","given":"Sergio"},{"family":"Riddell","given":"Michael"},{"family":"Diade","given":"Mario"},{"family":"Mbugua","given":"James"},{"family":"Kawaka","given":"Joan"},{"family":"Hill","given":"Nicholas"},{"family":"Koldewey","given":"Heather"}],"issued":{"date-parts":[["2019",12]]}}}],"schema":"https://github.com/citation-style-language/schema/raw/master/csl-citation.json"} </w:instrText>
      </w:r>
      <w:r w:rsidR="008B50A6">
        <w:rPr>
          <w:rFonts w:ascii="Times New Roman" w:eastAsia="Times New Roman" w:hAnsi="Times New Roman" w:cs="Times New Roman"/>
          <w:sz w:val="24"/>
          <w:szCs w:val="24"/>
        </w:rPr>
        <w:fldChar w:fldCharType="separate"/>
      </w:r>
      <w:r w:rsidR="008B50A6" w:rsidRPr="008B50A6">
        <w:rPr>
          <w:rFonts w:ascii="Times New Roman" w:hAnsi="Times New Roman" w:cs="Times New Roman"/>
          <w:sz w:val="24"/>
        </w:rPr>
        <w:t>(Gell &amp; Whittington, 2002; Marshall, Dudgeon, &amp; Bennett, 2011; Samoilys et al., 2019)</w:t>
      </w:r>
      <w:r w:rsidR="008B50A6">
        <w:rPr>
          <w:rFonts w:ascii="Times New Roman" w:eastAsia="Times New Roman" w:hAnsi="Times New Roman" w:cs="Times New Roman"/>
          <w:sz w:val="24"/>
          <w:szCs w:val="24"/>
        </w:rPr>
        <w:fldChar w:fldCharType="end"/>
      </w:r>
      <w:r>
        <w:rPr>
          <w:rFonts w:ascii="Times New Roman" w:eastAsia="Times New Roman" w:hAnsi="Times New Roman" w:cs="Times New Roman"/>
          <w:sz w:val="24"/>
          <w:szCs w:val="24"/>
        </w:rPr>
        <w:t>. These methods require substantial efforts of skilled personnel</w:t>
      </w:r>
      <w:r w:rsidR="008B50A6">
        <w:rPr>
          <w:rFonts w:ascii="Times New Roman" w:eastAsia="Times New Roman" w:hAnsi="Times New Roman" w:cs="Times New Roman"/>
          <w:sz w:val="24"/>
          <w:szCs w:val="24"/>
        </w:rPr>
        <w:t>,</w:t>
      </w:r>
      <w:r>
        <w:rPr>
          <w:rFonts w:ascii="Times New Roman" w:eastAsia="Times New Roman" w:hAnsi="Times New Roman" w:cs="Times New Roman"/>
          <w:sz w:val="24"/>
          <w:szCs w:val="24"/>
        </w:rPr>
        <w:t xml:space="preserve"> and electrofishing and netting are ecologically invasive </w:t>
      </w:r>
      <w:r w:rsidR="008B50A6">
        <w:rPr>
          <w:rFonts w:ascii="Times New Roman" w:eastAsia="Times New Roman" w:hAnsi="Times New Roman" w:cs="Times New Roman"/>
          <w:sz w:val="24"/>
          <w:szCs w:val="24"/>
        </w:rPr>
        <w:fldChar w:fldCharType="begin"/>
      </w:r>
      <w:r w:rsidR="008B50A6">
        <w:rPr>
          <w:rFonts w:ascii="Times New Roman" w:eastAsia="Times New Roman" w:hAnsi="Times New Roman" w:cs="Times New Roman"/>
          <w:sz w:val="24"/>
          <w:szCs w:val="24"/>
        </w:rPr>
        <w:instrText xml:space="preserve"> ADDIN ZOTERO_ITEM CSL_CITATION {"citationID":"HeNZQ4lg","properties":{"formattedCitation":"(H\\uc0\\u228{}nfling et al., 2016)","plainCitation":"(Hänfling et al., 2016)","noteIndex":0},"citationItems":[{"id":9835,"uris":["http://zotero.org/users/3033072/items/D2VJFH3L"],"uri":["http://zotero.org/users/3033072/items/D2VJFH3L"],"itemData":{"id":9835,"type":"article-journal","container-title":"Molecular Ecology","DOI":"10.1111/mec.13660","ISSN":"09621083","issue":"13","language":"en","page":"3101-3119","source":"CrossRef","title":"Environmental DNA metabarcoding of lake fish communities reflects long-term data from established survey methods","volume":"25","author":[{"family":"Hänfling","given":"Bernd"},{"family":"Lawson Handley","given":"Lori"},{"family":"Read","given":"Daniel S."},{"family":"Hahn","given":"Christoph"},{"family":"Li","given":"Jianlong"},{"family":"Nichols","given":"Paul"},{"family":"Blackman","given":"Rosetta C."},{"family":"Oliver","given":"Anna"},{"family":"Winfield","given":"Ian J."}],"issued":{"date-parts":[["2016",7]]}}}],"schema":"https://github.com/citation-style-language/schema/raw/master/csl-citation.json"} </w:instrText>
      </w:r>
      <w:r w:rsidR="008B50A6">
        <w:rPr>
          <w:rFonts w:ascii="Times New Roman" w:eastAsia="Times New Roman" w:hAnsi="Times New Roman" w:cs="Times New Roman"/>
          <w:sz w:val="24"/>
          <w:szCs w:val="24"/>
        </w:rPr>
        <w:fldChar w:fldCharType="separate"/>
      </w:r>
      <w:r w:rsidR="008B50A6" w:rsidRPr="008B50A6">
        <w:rPr>
          <w:rFonts w:ascii="Times New Roman" w:hAnsi="Times New Roman" w:cs="Times New Roman"/>
          <w:sz w:val="24"/>
          <w:szCs w:val="24"/>
        </w:rPr>
        <w:t>(Hänfling et al., 2016)</w:t>
      </w:r>
      <w:r w:rsidR="008B50A6">
        <w:rPr>
          <w:rFonts w:ascii="Times New Roman" w:eastAsia="Times New Roman" w:hAnsi="Times New Roman" w:cs="Times New Roman"/>
          <w:sz w:val="24"/>
          <w:szCs w:val="24"/>
        </w:rPr>
        <w:fldChar w:fldCharType="end"/>
      </w:r>
      <w:r>
        <w:rPr>
          <w:rFonts w:ascii="Times New Roman" w:eastAsia="Times New Roman" w:hAnsi="Times New Roman" w:cs="Times New Roman"/>
          <w:sz w:val="24"/>
          <w:szCs w:val="24"/>
        </w:rPr>
        <w:t>. Further</w:t>
      </w:r>
      <w:r w:rsidR="006D165A">
        <w:rPr>
          <w:rFonts w:ascii="Times New Roman" w:eastAsia="Times New Roman" w:hAnsi="Times New Roman" w:cs="Times New Roman"/>
          <w:sz w:val="24"/>
          <w:szCs w:val="24"/>
        </w:rPr>
        <w:t>more</w:t>
      </w:r>
      <w:r>
        <w:rPr>
          <w:rFonts w:ascii="Times New Roman" w:eastAsia="Times New Roman" w:hAnsi="Times New Roman" w:cs="Times New Roman"/>
          <w:sz w:val="24"/>
          <w:szCs w:val="24"/>
        </w:rPr>
        <w:t xml:space="preserve">, </w:t>
      </w:r>
      <w:r w:rsidR="006D165A">
        <w:rPr>
          <w:rFonts w:ascii="Times New Roman" w:eastAsia="Times New Roman" w:hAnsi="Times New Roman" w:cs="Times New Roman"/>
          <w:sz w:val="24"/>
          <w:szCs w:val="24"/>
        </w:rPr>
        <w:t xml:space="preserve">these </w:t>
      </w:r>
      <w:r>
        <w:rPr>
          <w:rFonts w:ascii="Times New Roman" w:eastAsia="Times New Roman" w:hAnsi="Times New Roman" w:cs="Times New Roman"/>
          <w:sz w:val="24"/>
          <w:szCs w:val="24"/>
        </w:rPr>
        <w:t>conventional monitoring approaches are hampered by systematic sampling bias, limits of morphological identification</w:t>
      </w:r>
      <w:sdt>
        <w:sdtPr>
          <w:tag w:val="goog_rdk_48"/>
          <w:id w:val="824712985"/>
        </w:sdtPr>
        <w:sdtEndPr/>
        <w:sdtContent>
          <w:r>
            <w:rPr>
              <w:rFonts w:ascii="Times New Roman" w:eastAsia="Times New Roman" w:hAnsi="Times New Roman" w:cs="Times New Roman"/>
              <w:sz w:val="24"/>
              <w:szCs w:val="24"/>
            </w:rPr>
            <w:t>,</w:t>
          </w:r>
        </w:sdtContent>
      </w:sdt>
      <w:r>
        <w:rPr>
          <w:rFonts w:ascii="Times New Roman" w:eastAsia="Times New Roman" w:hAnsi="Times New Roman" w:cs="Times New Roman"/>
          <w:sz w:val="24"/>
          <w:szCs w:val="24"/>
        </w:rPr>
        <w:t xml:space="preserve"> and elevated risks of false negative results (i.e., the failure to detect present species; </w:t>
      </w:r>
      <w:r w:rsidR="008B50A6">
        <w:rPr>
          <w:rFonts w:ascii="Times New Roman" w:eastAsia="Times New Roman" w:hAnsi="Times New Roman" w:cs="Times New Roman"/>
          <w:sz w:val="24"/>
          <w:szCs w:val="24"/>
        </w:rPr>
        <w:fldChar w:fldCharType="begin"/>
      </w:r>
      <w:r w:rsidR="00F011D7">
        <w:rPr>
          <w:rFonts w:ascii="Times New Roman" w:eastAsia="Times New Roman" w:hAnsi="Times New Roman" w:cs="Times New Roman"/>
          <w:sz w:val="24"/>
          <w:szCs w:val="24"/>
        </w:rPr>
        <w:instrText xml:space="preserve"> ADDIN ZOTERO_ITEM CSL_CITATION {"citationID":"HOgsu2gi","properties":{"unsorted":true,"formattedCitation":"(Yamamoto et al., 2016; Wang et al., 2021)","plainCitation":"(Yamamoto et al., 2016; Wang et al., 2021)","dontUpdate":true,"noteIndex":0},"citationItems":[{"id":9944,"uris":["http://zotero.org/users/3033072/items/I9RW698B"],"uri":["http://zotero.org/users/3033072/items/I9RW698B"],"itemData":{"id":9944,"type":"article-journal","container-title":"PLOS ONE","DOI":"10.1371/journal.pone.0149786","ISSN":"1932-6203","issue":"3","language":"en","page":"e0149786","source":"CrossRef","title":"Environmental DNA as a ‘Snapshot’ of Fish Distribution: A Case Study of Japanese Jack Mackerel in Maizuru Bay, Sea of Japan","title-short":"Environmental DNA as a ‘Snapshot’ of Fish Distribution","volume":"11","author":[{"family":"Yamamoto","given":"Satoshi"},{"family":"Minami","given":"Kenji"},{"family":"Fukaya","given":"Keiichi"},{"family":"Takahashi","given":"Kohji"},{"family":"Sawada","given":"Hideki"},{"family":"Murakami","given":"Hiroaki"},{"family":"Tsuji","given":"Satsuki"},{"family":"Hashizume","given":"Hiroki"},{"family":"Kubonaga","given":"Shou"},{"family":"Horiuchi","given":"Tomoya"},{"family":"Hongo","given":"Masamichi"},{"family":"Nishida","given":"Jo"},{"family":"Okugawa","given":"Yuta"},{"family":"Fujiwara","given":"Ayaka"},{"family":"Fukuda","given":"Miho"},{"family":"Hidaka","given":"Shunsuke"},{"family":"Suzuki","given":"Keita W."},{"family":"Miya","given":"Masaki"},{"family":"Araki","given":"Hitoshi"},{"family":"Yamanaka","given":"Hiroki"},{"family":"Maruyama","given":"Atsushi"},{"family":"Miyashita","given":"Kazushi"},{"family":"Masuda","given":"Reiji"},{"family":"Minamoto","given":"Toshifumi"},{"family":"Kondoh","given":"Michio"}],"editor":[{"family":"Mahon","given":"Andrew R."}],"issued":{"date-parts":[["2016",3,2]]}}},{"id":10973,"uris":["http://zotero.org/users/3033072/items/EPS5LJYL"],"uri":["http://zotero.org/users/3033072/items/EPS5LJYL"],"itemData":{"id":10973,"type":"article-journal","abstract":"Fish environmental DNA (eDNA) studies have made substantial progress during the past decade, and signiﬁcant advances in monitoring ﬁshes have been gained by taking advantage of this technology. Although a number of reviews concerning eDNA are available and some recent ﬁsh eDNA reviews focused on ﬁsheries or standard method have been published, a systematic review of methodology of ﬁsh eDNA and its applications in ecology and environment has not yet been published. To our knowledge, this is the ﬁrst review of ﬁsh eDNA for solving ecological and environmental issues. First, the most comprehensive literature analysis of ﬁsh eDNA was presented and analyzed. Then, we systematically discuss the relevant experiments and analyses of ﬁsh eDNA, and infers that standard workﬂow is on the way to consensus. We additionally provide reference sequence databases and the primers used to amplify the reference sequences or detecting ﬁsh eDNA. The abiotic and biotic conditions affecting ﬁsh eDNA persistence are also summarized in a schematic diagram. Subsequently, we focus on the major achievements of ﬁsh eDNA in ecology and environment. We additionally highlight the exciting new tools, including in situ autonomous monitoring devices, CRISPR nucleic acid detection technology, and metaomics technology for ﬁsh eDNA detection in future. Ultimately, methodology of ﬁsh eDNA will provide a wholly new paradigm for conservation actions of ﬁshes, ecological and environmental management at a global scale.","container-title":"Science of The Total Environment","DOI":"10.1016/j.scitotenv.2020.142622","ISSN":"00489697","journalAbbreviation":"Science of The Total Environment","language":"en","page":"142622","source":"DOI.org (Crossref)","title":"Methodology of fish eDNA and its applications in ecology and environment","volume":"755","author":[{"family":"Wang","given":"Shuping"},{"family":"Yan","given":"Zhenguang"},{"family":"Hänfling","given":"Bernd"},{"family":"Zheng","given":"Xin"},{"family":"Wang","given":"Pengyuan"},{"family":"Fan","given":"Juntao"},{"family":"Li","given":"Jianlong"}],"issued":{"date-parts":[["2021",2]]}}}],"schema":"https://github.com/citation-style-language/schema/raw/master/csl-citation.json"} </w:instrText>
      </w:r>
      <w:r w:rsidR="008B50A6">
        <w:rPr>
          <w:rFonts w:ascii="Times New Roman" w:eastAsia="Times New Roman" w:hAnsi="Times New Roman" w:cs="Times New Roman"/>
          <w:sz w:val="24"/>
          <w:szCs w:val="24"/>
        </w:rPr>
        <w:fldChar w:fldCharType="separate"/>
      </w:r>
      <w:r w:rsidR="008B50A6" w:rsidRPr="009962A9">
        <w:rPr>
          <w:rFonts w:ascii="Times New Roman" w:hAnsi="Times New Roman" w:cs="Times New Roman"/>
          <w:sz w:val="24"/>
        </w:rPr>
        <w:t>Yamamoto et al., 2016; Wang et al., 2021)</w:t>
      </w:r>
      <w:r w:rsidR="008B50A6">
        <w:rPr>
          <w:rFonts w:ascii="Times New Roman" w:eastAsia="Times New Roman" w:hAnsi="Times New Roman" w:cs="Times New Roman"/>
          <w:sz w:val="24"/>
          <w:szCs w:val="24"/>
        </w:rPr>
        <w:fldChar w:fldCharType="end"/>
      </w:r>
      <w:r w:rsidR="0075737B" w:rsidRPr="009962A9">
        <w:rPr>
          <w:rFonts w:ascii="Times New Roman" w:eastAsia="Times New Roman" w:hAnsi="Times New Roman" w:cs="Times New Roman"/>
          <w:sz w:val="24"/>
          <w:szCs w:val="24"/>
        </w:rPr>
        <w:t>.</w:t>
      </w:r>
      <w:r w:rsidRPr="009962A9">
        <w:rPr>
          <w:rFonts w:ascii="Times New Roman" w:eastAsia="Times New Roman" w:hAnsi="Times New Roman" w:cs="Times New Roman"/>
          <w:sz w:val="24"/>
          <w:szCs w:val="24"/>
        </w:rPr>
        <w:t xml:space="preserve"> </w:t>
      </w:r>
      <w:r w:rsidR="0075737B">
        <w:rPr>
          <w:rFonts w:ascii="Times New Roman" w:eastAsia="Times New Roman" w:hAnsi="Times New Roman" w:cs="Times New Roman"/>
          <w:sz w:val="24"/>
          <w:szCs w:val="24"/>
        </w:rPr>
        <w:t>This leads to frequent</w:t>
      </w:r>
      <w:r>
        <w:rPr>
          <w:rFonts w:ascii="Times New Roman" w:eastAsia="Times New Roman" w:hAnsi="Times New Roman" w:cs="Times New Roman"/>
          <w:sz w:val="24"/>
          <w:szCs w:val="24"/>
        </w:rPr>
        <w:t xml:space="preserve"> underestimation of species distributions and diversity</w:t>
      </w:r>
      <w:r w:rsidR="0075737B">
        <w:rPr>
          <w:rFonts w:ascii="Times New Roman" w:eastAsia="Times New Roman" w:hAnsi="Times New Roman" w:cs="Times New Roman"/>
          <w:sz w:val="24"/>
          <w:szCs w:val="24"/>
        </w:rPr>
        <w:t xml:space="preserve"> </w:t>
      </w:r>
      <w:r w:rsidR="0075737B" w:rsidRPr="0075737B">
        <w:rPr>
          <w:rFonts w:ascii="Times New Roman" w:eastAsia="Times New Roman" w:hAnsi="Times New Roman" w:cs="Times New Roman"/>
          <w:sz w:val="24"/>
          <w:szCs w:val="24"/>
        </w:rPr>
        <w:t xml:space="preserve">and </w:t>
      </w:r>
      <w:r w:rsidR="006D165A">
        <w:rPr>
          <w:rFonts w:ascii="Times New Roman" w:eastAsia="Times New Roman" w:hAnsi="Times New Roman" w:cs="Times New Roman"/>
          <w:sz w:val="24"/>
          <w:szCs w:val="24"/>
        </w:rPr>
        <w:t>a</w:t>
      </w:r>
      <w:r w:rsidR="006D165A" w:rsidRPr="0075737B">
        <w:rPr>
          <w:rFonts w:ascii="Times New Roman" w:eastAsia="Times New Roman" w:hAnsi="Times New Roman" w:cs="Times New Roman"/>
          <w:sz w:val="24"/>
          <w:szCs w:val="24"/>
        </w:rPr>
        <w:t xml:space="preserve"> </w:t>
      </w:r>
      <w:r w:rsidR="0075737B" w:rsidRPr="0075737B">
        <w:rPr>
          <w:rFonts w:ascii="Times New Roman" w:eastAsia="Times New Roman" w:hAnsi="Times New Roman" w:cs="Times New Roman"/>
          <w:sz w:val="24"/>
          <w:szCs w:val="24"/>
        </w:rPr>
        <w:t>bias in knowledge towards larger, more charismatic and commercially important species.</w:t>
      </w:r>
      <w:r w:rsidR="004C7DF8">
        <w:rPr>
          <w:rFonts w:ascii="Times New Roman" w:eastAsia="Times New Roman" w:hAnsi="Times New Roman" w:cs="Times New Roman"/>
          <w:sz w:val="24"/>
          <w:szCs w:val="24"/>
        </w:rPr>
        <w:t xml:space="preserve"> </w:t>
      </w:r>
      <w:r w:rsidR="00097F0B">
        <w:rPr>
          <w:rFonts w:ascii="Times New Roman" w:eastAsia="Times New Roman" w:hAnsi="Times New Roman" w:cs="Times New Roman"/>
          <w:sz w:val="24"/>
          <w:szCs w:val="24"/>
        </w:rPr>
        <w:t>Hence</w:t>
      </w:r>
      <w:r>
        <w:rPr>
          <w:rFonts w:ascii="Times New Roman" w:eastAsia="Times New Roman" w:hAnsi="Times New Roman" w:cs="Times New Roman"/>
          <w:sz w:val="24"/>
          <w:szCs w:val="24"/>
        </w:rPr>
        <w:t xml:space="preserve">, </w:t>
      </w:r>
      <w:r w:rsidR="006E6BC1">
        <w:rPr>
          <w:rFonts w:ascii="Times New Roman" w:eastAsia="Times New Roman" w:hAnsi="Times New Roman" w:cs="Times New Roman"/>
          <w:sz w:val="24"/>
          <w:szCs w:val="24"/>
        </w:rPr>
        <w:t>conventional</w:t>
      </w:r>
      <w:r w:rsidR="00097F0B">
        <w:rPr>
          <w:rFonts w:ascii="Times New Roman" w:eastAsia="Times New Roman" w:hAnsi="Times New Roman" w:cs="Times New Roman"/>
          <w:sz w:val="24"/>
          <w:szCs w:val="24"/>
        </w:rPr>
        <w:t xml:space="preserve"> methods generate without </w:t>
      </w:r>
      <w:r w:rsidR="001D4850">
        <w:rPr>
          <w:rFonts w:ascii="Times New Roman" w:eastAsia="Times New Roman" w:hAnsi="Times New Roman" w:cs="Times New Roman"/>
          <w:sz w:val="24"/>
          <w:szCs w:val="24"/>
        </w:rPr>
        <w:t>doubt very valuable ecological data</w:t>
      </w:r>
      <w:r w:rsidR="008B50A6">
        <w:rPr>
          <w:rFonts w:ascii="Times New Roman" w:eastAsia="Times New Roman" w:hAnsi="Times New Roman" w:cs="Times New Roman"/>
          <w:sz w:val="24"/>
          <w:szCs w:val="24"/>
        </w:rPr>
        <w:t>,</w:t>
      </w:r>
      <w:r w:rsidR="001D4850">
        <w:rPr>
          <w:rFonts w:ascii="Times New Roman" w:eastAsia="Times New Roman" w:hAnsi="Times New Roman" w:cs="Times New Roman"/>
          <w:sz w:val="24"/>
          <w:szCs w:val="24"/>
        </w:rPr>
        <w:t xml:space="preserve"> but they</w:t>
      </w:r>
      <w:r w:rsidR="00097F0B">
        <w:rPr>
          <w:rFonts w:ascii="Times New Roman" w:eastAsia="Times New Roman" w:hAnsi="Times New Roman" w:cs="Times New Roman"/>
          <w:sz w:val="24"/>
          <w:szCs w:val="24"/>
        </w:rPr>
        <w:t xml:space="preserve"> </w:t>
      </w:r>
      <w:r w:rsidR="004C7DF8">
        <w:rPr>
          <w:rFonts w:ascii="Times New Roman" w:eastAsia="Times New Roman" w:hAnsi="Times New Roman" w:cs="Times New Roman"/>
          <w:sz w:val="24"/>
          <w:szCs w:val="24"/>
        </w:rPr>
        <w:t xml:space="preserve">are </w:t>
      </w:r>
      <w:r>
        <w:rPr>
          <w:rFonts w:ascii="Times New Roman" w:eastAsia="Times New Roman" w:hAnsi="Times New Roman" w:cs="Times New Roman"/>
          <w:sz w:val="24"/>
          <w:szCs w:val="24"/>
        </w:rPr>
        <w:t xml:space="preserve">likely inadequate </w:t>
      </w:r>
      <w:r w:rsidR="00A23272">
        <w:rPr>
          <w:rFonts w:ascii="Times New Roman" w:eastAsia="Times New Roman" w:hAnsi="Times New Roman" w:cs="Times New Roman"/>
          <w:sz w:val="24"/>
          <w:szCs w:val="24"/>
        </w:rPr>
        <w:t>for</w:t>
      </w:r>
      <w:r>
        <w:rPr>
          <w:rFonts w:ascii="Times New Roman" w:eastAsia="Times New Roman" w:hAnsi="Times New Roman" w:cs="Times New Roman"/>
          <w:sz w:val="24"/>
          <w:szCs w:val="24"/>
        </w:rPr>
        <w:t xml:space="preserve"> regular monitoring </w:t>
      </w:r>
      <w:r w:rsidR="00A23272">
        <w:rPr>
          <w:rFonts w:ascii="Times New Roman" w:eastAsia="Times New Roman" w:hAnsi="Times New Roman" w:cs="Times New Roman"/>
          <w:sz w:val="24"/>
          <w:szCs w:val="24"/>
        </w:rPr>
        <w:t>of</w:t>
      </w:r>
      <w:r>
        <w:rPr>
          <w:rFonts w:ascii="Times New Roman" w:eastAsia="Times New Roman" w:hAnsi="Times New Roman" w:cs="Times New Roman"/>
          <w:sz w:val="24"/>
          <w:szCs w:val="24"/>
        </w:rPr>
        <w:t xml:space="preserve"> the </w:t>
      </w:r>
      <w:sdt>
        <w:sdtPr>
          <w:tag w:val="goog_rdk_49"/>
          <w:id w:val="1143164768"/>
        </w:sdtPr>
        <w:sdtEndPr/>
        <w:sdtContent>
          <w:r>
            <w:rPr>
              <w:rFonts w:ascii="Times New Roman" w:eastAsia="Times New Roman" w:hAnsi="Times New Roman" w:cs="Times New Roman"/>
              <w:sz w:val="24"/>
              <w:szCs w:val="24"/>
            </w:rPr>
            <w:t xml:space="preserve">estimated </w:t>
          </w:r>
        </w:sdtContent>
      </w:sdt>
      <w:r>
        <w:t>~</w:t>
      </w:r>
      <w:r>
        <w:rPr>
          <w:rFonts w:ascii="Times New Roman" w:eastAsia="Times New Roman" w:hAnsi="Times New Roman" w:cs="Times New Roman"/>
          <w:sz w:val="24"/>
          <w:szCs w:val="24"/>
        </w:rPr>
        <w:t xml:space="preserve">1500 fish species </w:t>
      </w:r>
      <w:r w:rsidR="001D4850">
        <w:rPr>
          <w:rFonts w:ascii="Times New Roman" w:eastAsia="Times New Roman" w:hAnsi="Times New Roman" w:cs="Times New Roman"/>
          <w:sz w:val="24"/>
          <w:szCs w:val="24"/>
        </w:rPr>
        <w:t xml:space="preserve">that occur </w:t>
      </w:r>
      <w:r>
        <w:rPr>
          <w:rFonts w:ascii="Times New Roman" w:eastAsia="Times New Roman" w:hAnsi="Times New Roman" w:cs="Times New Roman"/>
          <w:sz w:val="24"/>
          <w:szCs w:val="24"/>
        </w:rPr>
        <w:t xml:space="preserve">along the 2700 km coastline of Mozambique </w:t>
      </w:r>
      <w:r w:rsidR="008B50A6">
        <w:rPr>
          <w:rFonts w:ascii="Times New Roman" w:eastAsia="Times New Roman" w:hAnsi="Times New Roman" w:cs="Times New Roman"/>
          <w:sz w:val="24"/>
          <w:szCs w:val="24"/>
        </w:rPr>
        <w:fldChar w:fldCharType="begin"/>
      </w:r>
      <w:r w:rsidR="008B50A6">
        <w:rPr>
          <w:rFonts w:ascii="Times New Roman" w:eastAsia="Times New Roman" w:hAnsi="Times New Roman" w:cs="Times New Roman"/>
          <w:sz w:val="24"/>
          <w:szCs w:val="24"/>
        </w:rPr>
        <w:instrText xml:space="preserve"> ADDIN ZOTERO_ITEM CSL_CITATION {"citationID":"pq5Md28g","properties":{"formattedCitation":"(Schneider, Buramuge, Aliasse, &amp; Serfontein, 2005)","plainCitation":"(Schneider, Buramuge, Aliasse, &amp; Serfontein, 2005)","noteIndex":0},"citationItems":[{"id":11368,"uris":["http://zotero.org/users/3033072/items/6TCEPJTY"],"uri":["http://zotero.org/users/3033072/items/6TCEPJTY"],"itemData":{"id":11368,"type":"report","abstract":"A checklist of vertebrates of Mozambique was elaborated by means of revision of monographic and web-based resources. During interviews of native speakers made in various parts of Mozambique, vernacular names of vertebrates in the 20 most important languages were assessed and included in the checklist as well as their common names in Portuguese and English. Additional information such as the category of Red List of threatened species, conservation status according to the Forest and Wildlife Law and Regulation of Mozambique, the Convention on the International Trade in Endangered Species of Flora and Fauna (CITES) and the Convention on Migratory Species (CMS) is provided.","event-place":"Maputo","genre":"Forestry Department and Eduardo Mondlane University","language":"en","page":"19","publisher-place":"Maputo","source":"Zotero","title":"Checklist and Centres of Vertebrate Diversity in Mozambique","author":[{"family":"Schneider","given":"Michael F"},{"family":"Buramuge","given":"Victorino A"},{"family":"Aliasse","given":"Luís"},{"family":"Serfontein","given":"Filipa"}],"issued":{"date-parts":[["2005"]]}}}],"schema":"https://github.com/citation-style-language/schema/raw/master/csl-citation.json"} </w:instrText>
      </w:r>
      <w:r w:rsidR="008B50A6">
        <w:rPr>
          <w:rFonts w:ascii="Times New Roman" w:eastAsia="Times New Roman" w:hAnsi="Times New Roman" w:cs="Times New Roman"/>
          <w:sz w:val="24"/>
          <w:szCs w:val="24"/>
        </w:rPr>
        <w:fldChar w:fldCharType="separate"/>
      </w:r>
      <w:r w:rsidR="008B50A6" w:rsidRPr="008B50A6">
        <w:rPr>
          <w:rFonts w:ascii="Times New Roman" w:hAnsi="Times New Roman" w:cs="Times New Roman"/>
          <w:sz w:val="24"/>
        </w:rPr>
        <w:t>(Schneider, Buramuge, Aliasse, &amp; Serfontein, 2005)</w:t>
      </w:r>
      <w:r w:rsidR="008B50A6">
        <w:rPr>
          <w:rFonts w:ascii="Times New Roman" w:eastAsia="Times New Roman" w:hAnsi="Times New Roman" w:cs="Times New Roman"/>
          <w:sz w:val="24"/>
          <w:szCs w:val="24"/>
        </w:rPr>
        <w:fldChar w:fldCharType="end"/>
      </w:r>
      <w:r>
        <w:rPr>
          <w:rFonts w:ascii="Times New Roman" w:eastAsia="Times New Roman" w:hAnsi="Times New Roman" w:cs="Times New Roman"/>
          <w:sz w:val="24"/>
          <w:szCs w:val="24"/>
        </w:rPr>
        <w:t xml:space="preserve">. </w:t>
      </w:r>
    </w:p>
    <w:p w14:paraId="6383C19A" w14:textId="5B2935F8" w:rsidR="001D4850" w:rsidRDefault="00227681" w:rsidP="0023309C">
      <w:pPr>
        <w:spacing w:after="0" w:line="480" w:lineRule="auto"/>
        <w:ind w:firstLine="22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M</w:t>
      </w:r>
      <w:r w:rsidRPr="001C1405">
        <w:rPr>
          <w:rFonts w:ascii="Times New Roman" w:eastAsia="Times New Roman" w:hAnsi="Times New Roman" w:cs="Times New Roman"/>
          <w:sz w:val="24"/>
          <w:szCs w:val="24"/>
        </w:rPr>
        <w:t xml:space="preserve">olecular-based detection methods, such as environmental DNA (eDNA) metabarcoding, </w:t>
      </w:r>
      <w:r>
        <w:rPr>
          <w:rFonts w:ascii="Times New Roman" w:eastAsia="Times New Roman" w:hAnsi="Times New Roman" w:cs="Times New Roman"/>
          <w:sz w:val="24"/>
          <w:szCs w:val="24"/>
        </w:rPr>
        <w:t>offer</w:t>
      </w:r>
      <w:r w:rsidRPr="001C1405">
        <w:rPr>
          <w:rFonts w:ascii="Times New Roman" w:eastAsia="Times New Roman" w:hAnsi="Times New Roman" w:cs="Times New Roman"/>
          <w:sz w:val="24"/>
          <w:szCs w:val="24"/>
        </w:rPr>
        <w:t xml:space="preserve"> </w:t>
      </w:r>
      <w:r w:rsidR="00D31FC4">
        <w:rPr>
          <w:rFonts w:ascii="Times New Roman" w:eastAsia="Times New Roman" w:hAnsi="Times New Roman" w:cs="Times New Roman"/>
          <w:sz w:val="24"/>
          <w:szCs w:val="24"/>
        </w:rPr>
        <w:t xml:space="preserve">the potential for </w:t>
      </w:r>
      <w:r w:rsidRPr="001C1405">
        <w:rPr>
          <w:rFonts w:ascii="Times New Roman" w:eastAsia="Times New Roman" w:hAnsi="Times New Roman" w:cs="Times New Roman"/>
          <w:sz w:val="24"/>
          <w:szCs w:val="24"/>
        </w:rPr>
        <w:t>a robust</w:t>
      </w:r>
      <w:r w:rsidR="00D31FC4">
        <w:rPr>
          <w:rFonts w:ascii="Times New Roman" w:eastAsia="Times New Roman" w:hAnsi="Times New Roman" w:cs="Times New Roman"/>
          <w:sz w:val="24"/>
          <w:szCs w:val="24"/>
        </w:rPr>
        <w:t>, scalable,</w:t>
      </w:r>
      <w:r w:rsidRPr="001C1405">
        <w:rPr>
          <w:rFonts w:ascii="Times New Roman" w:eastAsia="Times New Roman" w:hAnsi="Times New Roman" w:cs="Times New Roman"/>
          <w:sz w:val="24"/>
          <w:szCs w:val="24"/>
        </w:rPr>
        <w:t xml:space="preserve"> and cost-effective alternative for the monitoring of fish </w:t>
      </w:r>
      <w:sdt>
        <w:sdtPr>
          <w:rPr>
            <w:rFonts w:ascii="Times New Roman" w:hAnsi="Times New Roman" w:cs="Times New Roman"/>
            <w:sz w:val="24"/>
            <w:szCs w:val="24"/>
          </w:rPr>
          <w:tag w:val="goog_rdk_51"/>
          <w:id w:val="-1124082802"/>
        </w:sdtPr>
        <w:sdtEndPr/>
        <w:sdtContent>
          <w:r w:rsidRPr="001C1405">
            <w:rPr>
              <w:rFonts w:ascii="Times New Roman" w:hAnsi="Times New Roman" w:cs="Times New Roman"/>
              <w:sz w:val="24"/>
              <w:szCs w:val="24"/>
            </w:rPr>
            <w:t>communities</w:t>
          </w:r>
        </w:sdtContent>
      </w:sdt>
      <w:r w:rsidRPr="001C1405">
        <w:rPr>
          <w:rFonts w:ascii="Times New Roman" w:eastAsia="Times New Roman" w:hAnsi="Times New Roman" w:cs="Times New Roman"/>
          <w:sz w:val="24"/>
          <w:szCs w:val="24"/>
        </w:rPr>
        <w:t xml:space="preserve"> </w:t>
      </w:r>
      <w:r w:rsidR="008B50A6">
        <w:rPr>
          <w:rFonts w:ascii="Times New Roman" w:eastAsia="Times New Roman" w:hAnsi="Times New Roman" w:cs="Times New Roman"/>
          <w:sz w:val="24"/>
          <w:szCs w:val="24"/>
        </w:rPr>
        <w:fldChar w:fldCharType="begin"/>
      </w:r>
      <w:r w:rsidR="008B50A6">
        <w:rPr>
          <w:rFonts w:ascii="Times New Roman" w:eastAsia="Times New Roman" w:hAnsi="Times New Roman" w:cs="Times New Roman"/>
          <w:sz w:val="24"/>
          <w:szCs w:val="24"/>
        </w:rPr>
        <w:instrText xml:space="preserve"> ADDIN ZOTERO_ITEM CSL_CITATION {"citationID":"4TRGu1bt","properties":{"unsorted":true,"formattedCitation":"(Thomsen et al., 2011; Ruppert, Kline, &amp; Rahman, 2019; Gilbey et al., 2021)","plainCitation":"(Thomsen et al., 2011; Ruppert, Kline, &amp; Rahman, 2019; Gilbey et al., 2021)","noteIndex":0},"citationItems":[{"id":9512,"uris":["http://zotero.org/users/3033072/items/786BYHSV"],"uri":["http://zotero.org/users/3033072/items/786BYHSV"],"itemData":{"id":9512,"type":"article-journal","container-title":"Molecular Ecology","DOI":"10.1111/j.1365-294X.2011.05418.x","ISSN":"09621083","issue":"11","language":"en","page":"2565-2573","source":"CrossRef","title":"Monitoring endangered freshwater biodiversity using environmental DNA: SPECIES MONITORING BY ENVIRONMENTAL DNA","title-short":"Monitoring endangered freshwater biodiversity using environmental DNA","volume":"21","author":[{"family":"Thomsen","given":"Philip Francis"},{"family":"Kielgast","given":"Jos"},{"family":"Iversen","given":"Lars L."},{"family":"Wiuf","given":"Carsten"},{"family":"Rasmussen","given":"Morten"},{"family":"Gilbert","given":"M. Thomas P"},{"family":"Orlando","given":"Ludovic"},{"family":"Willerslev","given":"Eske"}],"issued":{"date-parts":[["2011"]]}}},{"id":6248,"uris":["http://zotero.org/users/3033072/items/SXRYKS9M"],"uri":["http://zotero.org/users/3033072/items/SXRYKS9M"],"itemData":{"id":6248,"type":"article-journal","abstract":"Environmental DNA (eDNA) metabarcoding is a novel method of assessing biodiversity wherein samples are taken from the environment via water, sediment or air from which DNA is extracted, and then ampliﬁed using general or universal primers in polymerase chain reaction and sequenced using next-generation sequencing to generate thousands to millions of reads. From this data, species presence can be determined, and overall biodiversity assessed. It is an interdisciplinary method that brings together traditional ﬁeldbased ecology with in-depth molecular methods and advanced computational tools. As an emerging monitoring method, there are many pitfalls and roadblocks to be considered and avoided, but the method may still have the ability to revolutionize modern biodiversity surveys for the molecular era. In this paper, we review the basic methodology, beneﬁts, and concerns of eDNA metabarcoding, and systematically cover the applications of the method in global ecology thus far, including biodiversity monitoring across all habitats and taxonomic groups, ancient ecosystem reconstruction, plant-pollinator interactions, diet analysis, invasive species detection, pollution responses, and air quality monitoring. We also discuss the future applications of the method as well as expected technological advances and how they may impact the way that eDNA metabarcoding may used in the future. eDNA metabarcoding is a unique method still in development and will likely remain in ﬂux for some time as technology advances and procedures become standardized. However, as metabarcoding is optimized and its use becomes more widespread, it is likely to become an essential tool for ecological monitoring and global conservation study.","container-title":"Global Ecology and Conservation","DOI":"10.1016/j.gecco.2019.e00547","ISSN":"23519894","language":"en","page":"e00547","source":"Crossref","title":"Past, present, and future perspectives of environmental DNA (eDNA) metabarcoding: A systematic review in methods, monitoring, and applications of global eDNA","title-short":"Past, present, and future perspectives of environmental DNA (eDNA) metabarcoding","volume":"17","author":[{"family":"Ruppert","given":"Krista M."},{"family":"Kline","given":"Richard J."},{"family":"Rahman","given":"Md Saydur"}],"issued":{"date-parts":[["2019",1]]}}},{"id":11062,"uris":["http://zotero.org/users/3033072/items/YHZZC3HT"],"uri":["http://zotero.org/users/3033072/items/YHZZC3HT"],"itemData":{"id":11062,"type":"article-journal","abstract":"Science-based management of marine fisheries and effective ecosystem monitoring both require the analysis of large amounts of often complex and difficult to collect information. Legislation also increasingly requires the attainment of good environmental status, which again demands collection of data to enable efficient monitoring and management of biodiversity. Such data is traditionally obtained as a result of research surveys through the capture and/or visual identification of organisms. Recent years have seen significant advances in the utilisation of environmental DNA (eDNA) in the marine environment in order to develop alternative cost-effective ways to gather relevant data. Such approaches attempt to identify and/or quantify the species present at a location through the detection of extra-organismal DNA in the environment. These new eDNA based approaches have the potential to revolutionise data collection in the marine environment using non-invasive sampling methods and providing snapshots of biodiversity beyond the capacity of traditional sampling. Here we present a non-technical summary of different approaches in the field of eDNA, and emphasise the broad application of this approach, with value for the governance and management of marine aquatic ecosystems. The review focuses on identifying those tools which are now readily applicable and those which show promise but are currently in development and require further validations. The aim is to provide an understanding of techniques and concepts that can be used by managers without genetic or genomic expertise when consulting with specialists to perform joint evaluations of the utility of the approaches.","container-title":"Marine Policy","DOI":"10.1016/j.marpol.2020.104331","ISSN":"0308597X","journalAbbreviation":"Marine Policy","language":"en","page":"104331","source":"DOI.org (Crossref)","title":"Life in a drop: Sampling environmental DNA for marine fishery management and ecosystem monitoring","title-short":"Life in a drop","volume":"124","author":[{"family":"Gilbey","given":"John"},{"family":"Carvalho","given":"Gary"},{"family":"Castilho","given":"Rita"},{"family":"Coscia","given":"Ilaria"},{"family":"Coulson","given":"Mark W."},{"family":"Dahle","given":"Geir"},{"family":"Derycke","given":"Sofie"},{"family":"Francisco","given":"Sara M."},{"family":"Helyar","given":"Sarah J."},{"family":"Johansen","given":"Torild"},{"family":"Junge","given":"Claudia"},{"family":"Layton","given":"Kara K.S."},{"family":"Martinsohn","given":"Jann"},{"family":"Matejusova","given":"Iveta"},{"family":"Robalo","given":"Joana I."},{"family":"Rodríguez-Ezpeleta","given":"Naiara"},{"family":"Silva","given":"Gonçalo"},{"family":"Strammer","given":"Ilona"},{"family":"Vasemägi","given":"Anti"},{"family":"Volckaert","given":"Filip A.M."}],"issued":{"date-parts":[["2021",2]]}}}],"schema":"https://github.com/citation-style-language/schema/raw/master/csl-citation.json"} </w:instrText>
      </w:r>
      <w:r w:rsidR="008B50A6">
        <w:rPr>
          <w:rFonts w:ascii="Times New Roman" w:eastAsia="Times New Roman" w:hAnsi="Times New Roman" w:cs="Times New Roman"/>
          <w:sz w:val="24"/>
          <w:szCs w:val="24"/>
        </w:rPr>
        <w:fldChar w:fldCharType="separate"/>
      </w:r>
      <w:r w:rsidR="008B50A6" w:rsidRPr="008B50A6">
        <w:rPr>
          <w:rFonts w:ascii="Times New Roman" w:hAnsi="Times New Roman" w:cs="Times New Roman"/>
          <w:sz w:val="24"/>
        </w:rPr>
        <w:t>(Thomsen et al., 2011; Ruppert, Kline, &amp; Rahman, 2019; Gilbey et al., 2021)</w:t>
      </w:r>
      <w:r w:rsidR="008B50A6">
        <w:rPr>
          <w:rFonts w:ascii="Times New Roman" w:eastAsia="Times New Roman" w:hAnsi="Times New Roman" w:cs="Times New Roman"/>
          <w:sz w:val="24"/>
          <w:szCs w:val="24"/>
        </w:rPr>
        <w:fldChar w:fldCharType="end"/>
      </w:r>
      <w:r w:rsidRPr="001C1405">
        <w:rPr>
          <w:rFonts w:ascii="Times New Roman" w:eastAsia="Times New Roman" w:hAnsi="Times New Roman" w:cs="Times New Roman"/>
          <w:sz w:val="24"/>
          <w:szCs w:val="24"/>
        </w:rPr>
        <w:t>. eDNA metabarcoding</w:t>
      </w:r>
      <w:r>
        <w:rPr>
          <w:rFonts w:ascii="Times New Roman" w:eastAsia="Times New Roman" w:hAnsi="Times New Roman" w:cs="Times New Roman"/>
          <w:sz w:val="24"/>
          <w:szCs w:val="24"/>
        </w:rPr>
        <w:t xml:space="preserve"> refers to the amplification and sequencing of </w:t>
      </w:r>
      <w:r w:rsidR="00D31FC4">
        <w:rPr>
          <w:rFonts w:ascii="Times New Roman" w:eastAsia="Times New Roman" w:hAnsi="Times New Roman" w:cs="Times New Roman"/>
          <w:sz w:val="24"/>
          <w:szCs w:val="24"/>
        </w:rPr>
        <w:t xml:space="preserve">mixed-species </w:t>
      </w:r>
      <w:r>
        <w:rPr>
          <w:rFonts w:ascii="Times New Roman" w:eastAsia="Times New Roman" w:hAnsi="Times New Roman" w:cs="Times New Roman"/>
          <w:sz w:val="24"/>
          <w:szCs w:val="24"/>
        </w:rPr>
        <w:t xml:space="preserve">DNA </w:t>
      </w:r>
      <w:r w:rsidR="00D31FC4">
        <w:rPr>
          <w:rFonts w:ascii="Times New Roman" w:eastAsia="Times New Roman" w:hAnsi="Times New Roman" w:cs="Times New Roman"/>
          <w:sz w:val="24"/>
          <w:szCs w:val="24"/>
        </w:rPr>
        <w:t>obtained</w:t>
      </w:r>
      <w:r>
        <w:rPr>
          <w:rFonts w:ascii="Times New Roman" w:eastAsia="Times New Roman" w:hAnsi="Times New Roman" w:cs="Times New Roman"/>
          <w:sz w:val="24"/>
          <w:szCs w:val="24"/>
        </w:rPr>
        <w:t xml:space="preserve"> from environmental samples such as water, sediment, or air </w:t>
      </w:r>
      <w:r w:rsidR="008B50A6">
        <w:rPr>
          <w:rFonts w:ascii="Times New Roman" w:eastAsia="Times New Roman" w:hAnsi="Times New Roman" w:cs="Times New Roman"/>
          <w:sz w:val="24"/>
          <w:szCs w:val="24"/>
        </w:rPr>
        <w:fldChar w:fldCharType="begin"/>
      </w:r>
      <w:r w:rsidR="008B50A6">
        <w:rPr>
          <w:rFonts w:ascii="Times New Roman" w:eastAsia="Times New Roman" w:hAnsi="Times New Roman" w:cs="Times New Roman"/>
          <w:sz w:val="24"/>
          <w:szCs w:val="24"/>
        </w:rPr>
        <w:instrText xml:space="preserve"> ADDIN ZOTERO_ITEM CSL_CITATION {"citationID":"RMDEBrv4","properties":{"unsorted":true,"formattedCitation":"(Ruppert et al., 2019; Lynggaard et al., 2022)","plainCitation":"(Ruppert et al., 2019; Lynggaard et al., 2022)","noteIndex":0},"citationItems":[{"id":6248,"uris":["http://zotero.org/users/3033072/items/SXRYKS9M"],"uri":["http://zotero.org/users/3033072/items/SXRYKS9M"],"itemData":{"id":6248,"type":"article-journal","abstract":"Environmental DNA (eDNA) metabarcoding is a novel method of assessing biodiversity wherein samples are taken from the environment via water, sediment or air from which DNA is extracted, and then ampliﬁed using general or universal primers in polymerase chain reaction and sequenced using next-generation sequencing to generate thousands to millions of reads. From this data, species presence can be determined, and overall biodiversity assessed. It is an interdisciplinary method that brings together traditional ﬁeldbased ecology with in-depth molecular methods and advanced computational tools. As an emerging monitoring method, there are many pitfalls and roadblocks to be considered and avoided, but the method may still have the ability to revolutionize modern biodiversity surveys for the molecular era. In this paper, we review the basic methodology, beneﬁts, and concerns of eDNA metabarcoding, and systematically cover the applications of the method in global ecology thus far, including biodiversity monitoring across all habitats and taxonomic groups, ancient ecosystem reconstruction, plant-pollinator interactions, diet analysis, invasive species detection, pollution responses, and air quality monitoring. We also discuss the future applications of the method as well as expected technological advances and how they may impact the way that eDNA metabarcoding may used in the future. eDNA metabarcoding is a unique method still in development and will likely remain in ﬂux for some time as technology advances and procedures become standardized. However, as metabarcoding is optimized and its use becomes more widespread, it is likely to become an essential tool for ecological monitoring and global conservation study.","container-title":"Global Ecology and Conservation","DOI":"10.1016/j.gecco.2019.e00547","ISSN":"23519894","language":"en","page":"e00547","source":"Crossref","title":"Past, present, and future perspectives of environmental DNA (eDNA) metabarcoding: A systematic review in methods, monitoring, and applications of global eDNA","title-short":"Past, present, and future perspectives of environmental DNA (eDNA) metabarcoding","volume":"17","author":[{"family":"Ruppert","given":"Krista M."},{"family":"Kline","given":"Richard J."},{"family":"Rahman","given":"Md Saydur"}],"issued":{"date-parts":[["2019",1]]}}},{"id":11467,"uris":["http://zotero.org/users/3033072/items/CSLVTRT8"],"uri":["http://zotero.org/users/3033072/items/CSLVTRT8"],"itemData":{"id":11467,"type":"article-journal","abstract":"Biodiversity monitoring at the community scale is a critical element of assessing and studying species distributions, ecology, diversity, and movements, and it is key to understanding and tracking environmental and anthropogenic effects on natural ecosystems.1–4 Vertebrates in terrestrial ecosystems are experiencing extinctions and declines in both population numbers and sizes due to increasing threats from human activities and environmental change.5–8 Terrestrial vertebrate monitoring using existing methods is generally costly and laborious, and although environmental DNA (eDNA) is becoming the tool of choice to assess biodiversity, few sample types effectively capture terrestrial vertebrate diversity. We hypothesized that eDNA captured from air could allow straightforward collection and characterization of terrestrial vertebrate communities. We ﬁ</w:instrText>
      </w:r>
      <w:r w:rsidR="008B50A6" w:rsidRPr="009962A9">
        <w:rPr>
          <w:rFonts w:ascii="Times New Roman" w:eastAsia="Times New Roman" w:hAnsi="Times New Roman" w:cs="Times New Roman"/>
          <w:sz w:val="24"/>
          <w:szCs w:val="24"/>
        </w:rPr>
        <w:instrText xml:space="preserve">ltered air at three localities in the Copenhagen Zoo: a stable, outside between the outdoor enclosures, and in the Rainforest House. Through metabarcoding of airborne eDNA, we detected 49 vertebrate species spanning 26 orders and 37 families: 30 mammal, 13 bird, 4 </w:instrText>
      </w:r>
      <w:r w:rsidR="008B50A6">
        <w:rPr>
          <w:rFonts w:ascii="Times New Roman" w:eastAsia="Times New Roman" w:hAnsi="Times New Roman" w:cs="Times New Roman"/>
          <w:sz w:val="24"/>
          <w:szCs w:val="24"/>
        </w:rPr>
        <w:instrText>ﬁ</w:instrText>
      </w:r>
      <w:r w:rsidR="008B50A6" w:rsidRPr="009962A9">
        <w:rPr>
          <w:rFonts w:ascii="Times New Roman" w:eastAsia="Times New Roman" w:hAnsi="Times New Roman" w:cs="Times New Roman"/>
          <w:sz w:val="24"/>
          <w:szCs w:val="24"/>
        </w:rPr>
        <w:instrText xml:space="preserve">sh, 1 amphibian, and 1 reptile species. These spanned animals kept at the zoo, species occurring in the zoo surroundings, and species used as feed in the zoo. The detected species comprise a range of taxonomic orders and families, sizes, behaviors, and abundances. We found shorter distance to the air sampling device and higher animal biomass to increase the probability of detection. We hereby show that airborne eDNA can offer a fundamentally new way of studying and monitoring terrestrial communities.","container-title":"Current Biology","DOI":"10.1016/j.cub.2021.12.014","ISSN":"09609822","journalAbbreviation":"Current Biology","language":"en","page":"S0960982221016900","source":"DOI.org (Crossref)","title":"Airborne environmental DNA for terrestrial vertebrate community monitoring","author":[{"family":"Lynggaard","given":"Christina"},{"family":"Bertelsen","given":"Mads Frost"},{"family":"Jensen","given":"Casper V."},{"family":"Johnson","given":"Matthew S."},{"family":"Frøslev","given":"Tobias Guldberg"},{"family":"Olsen","given":"Morten Tange"},{"family":"Bohmann","given":"Kristine"}],"issued":{"date-parts":[["2022",1]]}}}],"schema":"https://github.com/citation-style-language/schema/raw/master/csl-citation.json"} </w:instrText>
      </w:r>
      <w:r w:rsidR="008B50A6">
        <w:rPr>
          <w:rFonts w:ascii="Times New Roman" w:eastAsia="Times New Roman" w:hAnsi="Times New Roman" w:cs="Times New Roman"/>
          <w:sz w:val="24"/>
          <w:szCs w:val="24"/>
        </w:rPr>
        <w:fldChar w:fldCharType="separate"/>
      </w:r>
      <w:r w:rsidR="008B50A6" w:rsidRPr="009962A9">
        <w:rPr>
          <w:rFonts w:ascii="Times New Roman" w:hAnsi="Times New Roman" w:cs="Times New Roman"/>
          <w:sz w:val="24"/>
        </w:rPr>
        <w:t xml:space="preserve">(Ruppert et al., 2019; </w:t>
      </w:r>
      <w:proofErr w:type="spellStart"/>
      <w:r w:rsidR="008B50A6" w:rsidRPr="009962A9">
        <w:rPr>
          <w:rFonts w:ascii="Times New Roman" w:hAnsi="Times New Roman" w:cs="Times New Roman"/>
          <w:sz w:val="24"/>
        </w:rPr>
        <w:t>Lynggaard</w:t>
      </w:r>
      <w:proofErr w:type="spellEnd"/>
      <w:r w:rsidR="008B50A6" w:rsidRPr="009962A9">
        <w:rPr>
          <w:rFonts w:ascii="Times New Roman" w:hAnsi="Times New Roman" w:cs="Times New Roman"/>
          <w:sz w:val="24"/>
        </w:rPr>
        <w:t xml:space="preserve"> et al., 2022)</w:t>
      </w:r>
      <w:r w:rsidR="008B50A6">
        <w:rPr>
          <w:rFonts w:ascii="Times New Roman" w:eastAsia="Times New Roman" w:hAnsi="Times New Roman" w:cs="Times New Roman"/>
          <w:sz w:val="24"/>
          <w:szCs w:val="24"/>
        </w:rPr>
        <w:fldChar w:fldCharType="end"/>
      </w:r>
      <w:r w:rsidRPr="009962A9">
        <w:rPr>
          <w:rFonts w:ascii="Times New Roman" w:eastAsia="Times New Roman" w:hAnsi="Times New Roman" w:cs="Times New Roman"/>
          <w:sz w:val="24"/>
          <w:szCs w:val="24"/>
        </w:rPr>
        <w:t xml:space="preserve">. </w:t>
      </w:r>
      <w:r w:rsidR="00A23272">
        <w:rPr>
          <w:rFonts w:ascii="Times New Roman" w:eastAsia="Times New Roman" w:hAnsi="Times New Roman" w:cs="Times New Roman"/>
          <w:sz w:val="24"/>
          <w:szCs w:val="24"/>
        </w:rPr>
        <w:t>A major advantage of eDNA-based monitoring is that field</w:t>
      </w:r>
      <w:r w:rsidR="002D0559" w:rsidRPr="00A24D43">
        <w:rPr>
          <w:rFonts w:ascii="Times New Roman" w:eastAsia="Times New Roman" w:hAnsi="Times New Roman" w:cs="Times New Roman"/>
          <w:sz w:val="24"/>
          <w:szCs w:val="24"/>
        </w:rPr>
        <w:t xml:space="preserve"> samples can be collected quickly and easily without requiring specialist survey skills. </w:t>
      </w:r>
      <w:r w:rsidR="001D4850">
        <w:rPr>
          <w:rFonts w:ascii="Times New Roman" w:eastAsia="Times New Roman" w:hAnsi="Times New Roman" w:cs="Times New Roman"/>
          <w:sz w:val="24"/>
          <w:szCs w:val="24"/>
        </w:rPr>
        <w:t>Further, eDNA preservation techniques allow</w:t>
      </w:r>
      <w:r w:rsidR="00E01380">
        <w:rPr>
          <w:rFonts w:ascii="Times New Roman" w:eastAsia="Times New Roman" w:hAnsi="Times New Roman" w:cs="Times New Roman"/>
          <w:sz w:val="24"/>
          <w:szCs w:val="24"/>
        </w:rPr>
        <w:t xml:space="preserve"> for</w:t>
      </w:r>
      <w:r w:rsidR="001D4850">
        <w:rPr>
          <w:rFonts w:ascii="Times New Roman" w:eastAsia="Times New Roman" w:hAnsi="Times New Roman" w:cs="Times New Roman"/>
          <w:sz w:val="24"/>
          <w:szCs w:val="24"/>
        </w:rPr>
        <w:t xml:space="preserve"> </w:t>
      </w:r>
      <w:sdt>
        <w:sdtPr>
          <w:tag w:val="goog_rdk_64"/>
          <w:id w:val="-1286497654"/>
        </w:sdtPr>
        <w:sdtEndPr/>
        <w:sdtContent>
          <w:r w:rsidR="001D4850">
            <w:rPr>
              <w:rFonts w:ascii="Times New Roman" w:eastAsia="Times New Roman" w:hAnsi="Times New Roman" w:cs="Times New Roman"/>
              <w:sz w:val="24"/>
              <w:szCs w:val="24"/>
            </w:rPr>
            <w:t>the</w:t>
          </w:r>
        </w:sdtContent>
      </w:sdt>
      <w:r w:rsidR="001D4850">
        <w:rPr>
          <w:rFonts w:ascii="Times New Roman" w:eastAsia="Times New Roman" w:hAnsi="Times New Roman" w:cs="Times New Roman"/>
          <w:sz w:val="24"/>
          <w:szCs w:val="24"/>
        </w:rPr>
        <w:t xml:space="preserve"> stor</w:t>
      </w:r>
      <w:sdt>
        <w:sdtPr>
          <w:tag w:val="goog_rdk_66"/>
          <w:id w:val="-1198927467"/>
        </w:sdtPr>
        <w:sdtEndPr/>
        <w:sdtContent>
          <w:r w:rsidR="001D4850">
            <w:rPr>
              <w:rFonts w:ascii="Times New Roman" w:eastAsia="Times New Roman" w:hAnsi="Times New Roman" w:cs="Times New Roman"/>
              <w:sz w:val="24"/>
              <w:szCs w:val="24"/>
            </w:rPr>
            <w:t>age of</w:t>
          </w:r>
        </w:sdtContent>
      </w:sdt>
      <w:r w:rsidR="001D4850">
        <w:rPr>
          <w:rFonts w:ascii="Times New Roman" w:eastAsia="Times New Roman" w:hAnsi="Times New Roman" w:cs="Times New Roman"/>
          <w:sz w:val="24"/>
          <w:szCs w:val="24"/>
        </w:rPr>
        <w:t xml:space="preserve"> samples at room temperature for several months without performances losses </w:t>
      </w:r>
      <w:r w:rsidR="001C6B72">
        <w:rPr>
          <w:rFonts w:ascii="Times New Roman" w:eastAsia="Times New Roman" w:hAnsi="Times New Roman" w:cs="Times New Roman"/>
          <w:sz w:val="24"/>
          <w:szCs w:val="24"/>
        </w:rPr>
        <w:fldChar w:fldCharType="begin"/>
      </w:r>
      <w:r w:rsidR="001C6B72">
        <w:rPr>
          <w:rFonts w:ascii="Times New Roman" w:eastAsia="Times New Roman" w:hAnsi="Times New Roman" w:cs="Times New Roman"/>
          <w:sz w:val="24"/>
          <w:szCs w:val="24"/>
        </w:rPr>
        <w:instrText xml:space="preserve"> ADDIN ZOTERO_ITEM CSL_CITATION {"citationID":"ihwJWpOB","properties":{"formattedCitation":"(Mauvisseau, Halfmaerten, Neyrinck, Burian, &amp; Brys, 2021)","plainCitation":"(Mauvisseau, Halfmaerten, Neyrinck, Burian, &amp; Brys, 2021)","noteIndex":0},"citationItems":[{"id":11074,"uris":["http://zotero.org/users/3033072/items/XJSXLP96"],"uri":["http://zotero.org/users/3033072/items/XJSXLP96"],"itemData":{"id":11074,"type":"article-journal","abstract":"Molecular-­based monitoring relying on environmental DNA (eDNA) detection became routinely used around the world in the last few years, especially in aquatic environments. The large potential and increasing applications of this technique calls for technical improvements to optimize the reliability of these surveys. An important technical aspect in the eDNA workflow is the appropriate preservation of samples taken in the field, as it can significantly affect eDNA recovery and ultimately false negative rates. In this study, we explored the efficiency of five different preservation strategies by using a controlled mesocosm experiment in which we included three fish communities of different composition. Specifically, we compared eDNA recovery in DNA extractions (a) performed immediately following collection, or after eight months storage from (b) frozen filters, (c) unfiltered water samples stored at −20°C, and filters preserved at room temperature with (d) Longmire and (e) Sarkosyl buffer. Effects of different preservation strategies were quantified using ddPCR measurements of three fish species (Neogobius melanostomus, Rutilus rutilus, and Lota lota) and total fish DNA content using group-­specific primers for Teleostei. Samples extracted immediately following collection without any further preservation yielded significantly less DNA compared to the other approaches. Overall, Longmire's buffer facilitated the best eDNA recovery across all fish species although approaches such as filter freezing or the use of Sarkosyl buffer yielded similar recovery results. Relative measurement variability, an important indicator for reliable eDNA quantification, was lowest when using Longmire's and Sarkosyl buffers and generally decreased when increasing eDNA quantity. Overall, our results clearly highlight the significant impact of sample preservation and how this can substantially affect the performance and reliability of eDNA-b­ ased approaches.","container-title":"Environmental DNA","DOI":"10.1002/edn3.188","ISSN":"2637-4943, 2637-4943","journalAbbreviation":"Environmental DNA","language":"en","page":"edn3.188","source":"DOI.org (Crossref)","title":"Effects of preservation strategies on environmental DNA detection and quantification using ddPCR","author":[{"family":"Mauvisseau","given":"Quentin"},{"family":"Halfmaerten","given":"David"},{"family":"Neyrinck","given":"Sabrina"},{"family":"Burian","given":"Alfred"},{"family":"Brys","given":"Rein"}],"issued":{"date-parts":[["2021",2,11]]}}}],"schema":"https://github.com/citation-style-language/schema/raw/master/csl-citation.json"} </w:instrText>
      </w:r>
      <w:r w:rsidR="001C6B72">
        <w:rPr>
          <w:rFonts w:ascii="Times New Roman" w:eastAsia="Times New Roman" w:hAnsi="Times New Roman" w:cs="Times New Roman"/>
          <w:sz w:val="24"/>
          <w:szCs w:val="24"/>
        </w:rPr>
        <w:fldChar w:fldCharType="separate"/>
      </w:r>
      <w:r w:rsidR="001C6B72" w:rsidRPr="001C6B72">
        <w:rPr>
          <w:rFonts w:ascii="Times New Roman" w:hAnsi="Times New Roman" w:cs="Times New Roman"/>
          <w:sz w:val="24"/>
        </w:rPr>
        <w:t>(Mauvisseau, Halfmaerten, Neyrinck, Burian, &amp; Brys, 2021)</w:t>
      </w:r>
      <w:r w:rsidR="001C6B72">
        <w:rPr>
          <w:rFonts w:ascii="Times New Roman" w:eastAsia="Times New Roman" w:hAnsi="Times New Roman" w:cs="Times New Roman"/>
          <w:sz w:val="24"/>
          <w:szCs w:val="24"/>
        </w:rPr>
        <w:fldChar w:fldCharType="end"/>
      </w:r>
      <w:r w:rsidR="001D4850">
        <w:rPr>
          <w:rFonts w:ascii="Times New Roman" w:eastAsia="Times New Roman" w:hAnsi="Times New Roman" w:cs="Times New Roman"/>
          <w:sz w:val="24"/>
          <w:szCs w:val="24"/>
        </w:rPr>
        <w:t>.</w:t>
      </w:r>
    </w:p>
    <w:p w14:paraId="65F8F4F1" w14:textId="1EE213FB" w:rsidR="002D0559" w:rsidRDefault="00F73BE2" w:rsidP="0023309C">
      <w:pPr>
        <w:spacing w:after="0" w:line="480" w:lineRule="auto"/>
        <w:ind w:firstLine="22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The </w:t>
      </w:r>
      <w:r w:rsidR="00E01380">
        <w:rPr>
          <w:rFonts w:ascii="Times New Roman" w:eastAsia="Times New Roman" w:hAnsi="Times New Roman" w:cs="Times New Roman"/>
          <w:sz w:val="24"/>
          <w:szCs w:val="24"/>
        </w:rPr>
        <w:t xml:space="preserve">relatively </w:t>
      </w:r>
      <w:r>
        <w:rPr>
          <w:rFonts w:ascii="Times New Roman" w:eastAsia="Times New Roman" w:hAnsi="Times New Roman" w:cs="Times New Roman"/>
          <w:sz w:val="24"/>
          <w:szCs w:val="24"/>
        </w:rPr>
        <w:t xml:space="preserve">easy collection and storage of eDNA samples </w:t>
      </w:r>
      <w:r w:rsidR="002D0559" w:rsidRPr="00A24D43">
        <w:rPr>
          <w:rFonts w:ascii="Times New Roman" w:eastAsia="Times New Roman" w:hAnsi="Times New Roman" w:cs="Times New Roman"/>
          <w:sz w:val="24"/>
          <w:szCs w:val="24"/>
        </w:rPr>
        <w:t>makes eDNA</w:t>
      </w:r>
      <w:r>
        <w:rPr>
          <w:rFonts w:ascii="Times New Roman" w:eastAsia="Times New Roman" w:hAnsi="Times New Roman" w:cs="Times New Roman"/>
          <w:sz w:val="24"/>
          <w:szCs w:val="24"/>
        </w:rPr>
        <w:t>-based approaches</w:t>
      </w:r>
      <w:r w:rsidR="002D0559">
        <w:rPr>
          <w:rFonts w:ascii="Times New Roman" w:eastAsia="Times New Roman" w:hAnsi="Times New Roman" w:cs="Times New Roman"/>
          <w:sz w:val="24"/>
          <w:szCs w:val="24"/>
        </w:rPr>
        <w:t xml:space="preserve"> very attractive for citizen-science </w:t>
      </w:r>
      <w:r w:rsidR="002D0559" w:rsidRPr="00A24D43">
        <w:rPr>
          <w:rFonts w:ascii="Times New Roman" w:eastAsia="Times New Roman" w:hAnsi="Times New Roman" w:cs="Times New Roman"/>
          <w:sz w:val="24"/>
          <w:szCs w:val="24"/>
        </w:rPr>
        <w:t>and participatory, community-led monitoring programmes</w:t>
      </w:r>
      <w:r w:rsidR="002D0559">
        <w:rPr>
          <w:rFonts w:ascii="Times New Roman" w:eastAsia="Times New Roman" w:hAnsi="Times New Roman" w:cs="Times New Roman"/>
          <w:sz w:val="24"/>
          <w:szCs w:val="24"/>
        </w:rPr>
        <w:t xml:space="preserve"> </w:t>
      </w:r>
      <w:r w:rsidR="001C6B72">
        <w:rPr>
          <w:rFonts w:ascii="Times New Roman" w:eastAsia="Times New Roman" w:hAnsi="Times New Roman" w:cs="Times New Roman"/>
          <w:sz w:val="24"/>
          <w:szCs w:val="24"/>
        </w:rPr>
        <w:fldChar w:fldCharType="begin"/>
      </w:r>
      <w:r w:rsidR="001C6B72">
        <w:rPr>
          <w:rFonts w:ascii="Times New Roman" w:eastAsia="Times New Roman" w:hAnsi="Times New Roman" w:cs="Times New Roman"/>
          <w:sz w:val="24"/>
          <w:szCs w:val="24"/>
        </w:rPr>
        <w:instrText xml:space="preserve"> ADDIN ZOTERO_ITEM CSL_CITATION {"citationID":"urYT5Fjj","properties":{"formattedCitation":"(Larson et al., 2020)","plainCitation":"(Larson et al., 2020)","noteIndex":0},"citationItems":[{"id":10513,"uris":["http://zotero.org/users/3033072/items/2DGRAW7T"],"uri":["http://zotero.org/users/3033072/items/2DGRAW7T"],"itemData":{"id":10513,"type":"article-journal","container-title":"Frontiers in Ecology and the Environment","DOI":"10.1002/fee.2162","ISSN":"1540-9295, 1540-9309","journalAbbreviation":"Front Ecol Environ","language":"en","page":"fee.2162","source":"DOI.org (Crossref)","title":"From &lt;span style=\"font-variant:small-caps;\"&gt;eDNA&lt;/span&gt; to citizen science: emerging tools for the early detection of invasive species","title-short":"From &lt;span style=\"font-variant","author":[{"family":"Larson","given":"Eric R"},{"family":"Graham","given":"Brittney M"},{"family":"Achury","given":"Rafael"},{"family":"Coon","given":"Jaime J"},{"family":"Daniels","given":"Melissa K"},{"family":"Gambrell","given":"Daniel K"},{"family":"Jonasen","given":"Kacie L"},{"family":"King","given":"Gregory D"},{"family":"LaRacuente","given":"Nicholas"},{"family":"Perrin‐Stowe","given":"Tolulope IN"},{"family":"Reed","given":"Emily M"},{"family":"Rice","given":"Christopher J"},{"family":"Ruzi","given":"Selina A"},{"family":"Thairu","given":"Margaret W"},{"family":"Wilson","given":"Jared C"},{"family":"Suarez","given":"Andrew V"}],"issued":{"date-parts":[["2020",2,3]]}}}],"schema":"https://github.com/citation-style-language/schema/raw/master/csl-citation.json"} </w:instrText>
      </w:r>
      <w:r w:rsidR="001C6B72">
        <w:rPr>
          <w:rFonts w:ascii="Times New Roman" w:eastAsia="Times New Roman" w:hAnsi="Times New Roman" w:cs="Times New Roman"/>
          <w:sz w:val="24"/>
          <w:szCs w:val="24"/>
        </w:rPr>
        <w:fldChar w:fldCharType="separate"/>
      </w:r>
      <w:r w:rsidR="001C6B72" w:rsidRPr="001C6B72">
        <w:rPr>
          <w:rFonts w:ascii="Times New Roman" w:hAnsi="Times New Roman" w:cs="Times New Roman"/>
          <w:sz w:val="24"/>
        </w:rPr>
        <w:t>(Larson et al., 2020)</w:t>
      </w:r>
      <w:r w:rsidR="001C6B72">
        <w:rPr>
          <w:rFonts w:ascii="Times New Roman" w:eastAsia="Times New Roman" w:hAnsi="Times New Roman" w:cs="Times New Roman"/>
          <w:sz w:val="24"/>
          <w:szCs w:val="24"/>
        </w:rPr>
        <w:fldChar w:fldCharType="end"/>
      </w:r>
      <w:r w:rsidR="002D0559">
        <w:rPr>
          <w:rFonts w:ascii="Times New Roman" w:eastAsia="Times New Roman" w:hAnsi="Times New Roman" w:cs="Times New Roman"/>
          <w:sz w:val="24"/>
          <w:szCs w:val="24"/>
        </w:rPr>
        <w:t xml:space="preserve">. </w:t>
      </w:r>
      <w:r w:rsidR="00900C65">
        <w:rPr>
          <w:rFonts w:ascii="Times New Roman" w:eastAsia="Times New Roman" w:hAnsi="Times New Roman" w:cs="Times New Roman"/>
          <w:sz w:val="24"/>
          <w:szCs w:val="24"/>
        </w:rPr>
        <w:t>T</w:t>
      </w:r>
      <w:r w:rsidR="002D0559">
        <w:rPr>
          <w:rFonts w:ascii="Times New Roman" w:eastAsia="Times New Roman" w:hAnsi="Times New Roman" w:cs="Times New Roman"/>
          <w:sz w:val="24"/>
          <w:szCs w:val="24"/>
        </w:rPr>
        <w:t xml:space="preserve">he involvement of </w:t>
      </w:r>
      <w:r w:rsidR="00900C65">
        <w:rPr>
          <w:rFonts w:ascii="Times New Roman" w:eastAsia="Times New Roman" w:hAnsi="Times New Roman" w:cs="Times New Roman"/>
          <w:sz w:val="24"/>
          <w:szCs w:val="24"/>
        </w:rPr>
        <w:t xml:space="preserve">local </w:t>
      </w:r>
      <w:r w:rsidR="002D0559">
        <w:rPr>
          <w:rFonts w:ascii="Times New Roman" w:eastAsia="Times New Roman" w:hAnsi="Times New Roman" w:cs="Times New Roman"/>
          <w:sz w:val="24"/>
          <w:szCs w:val="24"/>
        </w:rPr>
        <w:t xml:space="preserve">communities </w:t>
      </w:r>
      <w:r>
        <w:rPr>
          <w:rFonts w:ascii="Times New Roman" w:eastAsia="Times New Roman" w:hAnsi="Times New Roman" w:cs="Times New Roman"/>
          <w:sz w:val="24"/>
          <w:szCs w:val="24"/>
        </w:rPr>
        <w:t xml:space="preserve">in decentralised monitoring networks </w:t>
      </w:r>
      <w:r w:rsidR="002D0559">
        <w:rPr>
          <w:rFonts w:ascii="Times New Roman" w:eastAsia="Times New Roman" w:hAnsi="Times New Roman" w:cs="Times New Roman"/>
          <w:sz w:val="24"/>
          <w:szCs w:val="24"/>
        </w:rPr>
        <w:t xml:space="preserve">can </w:t>
      </w:r>
      <w:r>
        <w:rPr>
          <w:rFonts w:ascii="Times New Roman" w:eastAsia="Times New Roman" w:hAnsi="Times New Roman" w:cs="Times New Roman"/>
          <w:sz w:val="24"/>
          <w:szCs w:val="24"/>
        </w:rPr>
        <w:t xml:space="preserve">not only substantially reduce sampling costs but also </w:t>
      </w:r>
      <w:r w:rsidR="002D0559">
        <w:rPr>
          <w:rFonts w:ascii="Times New Roman" w:eastAsia="Times New Roman" w:hAnsi="Times New Roman" w:cs="Times New Roman"/>
          <w:sz w:val="24"/>
          <w:szCs w:val="24"/>
        </w:rPr>
        <w:t xml:space="preserve">lead to </w:t>
      </w:r>
      <w:r>
        <w:rPr>
          <w:rFonts w:ascii="Times New Roman" w:eastAsia="Times New Roman" w:hAnsi="Times New Roman" w:cs="Times New Roman"/>
          <w:sz w:val="24"/>
          <w:szCs w:val="24"/>
        </w:rPr>
        <w:t xml:space="preserve">local </w:t>
      </w:r>
      <w:r w:rsidR="002D0559">
        <w:rPr>
          <w:rFonts w:ascii="Times New Roman" w:eastAsia="Times New Roman" w:hAnsi="Times New Roman" w:cs="Times New Roman"/>
          <w:sz w:val="24"/>
          <w:szCs w:val="24"/>
        </w:rPr>
        <w:t xml:space="preserve">empowerment and </w:t>
      </w:r>
      <w:r w:rsidR="00900C65">
        <w:rPr>
          <w:rFonts w:ascii="Times New Roman" w:eastAsia="Times New Roman" w:hAnsi="Times New Roman" w:cs="Times New Roman"/>
          <w:sz w:val="24"/>
          <w:szCs w:val="24"/>
        </w:rPr>
        <w:t xml:space="preserve">support conservation by increasing </w:t>
      </w:r>
      <w:r w:rsidR="002D0559">
        <w:rPr>
          <w:rFonts w:ascii="Times New Roman" w:eastAsia="Times New Roman" w:hAnsi="Times New Roman" w:cs="Times New Roman"/>
          <w:sz w:val="24"/>
          <w:szCs w:val="24"/>
        </w:rPr>
        <w:t xml:space="preserve">environmental awareness </w:t>
      </w:r>
      <w:r w:rsidR="001C6B72">
        <w:rPr>
          <w:rFonts w:ascii="Times New Roman" w:eastAsia="Times New Roman" w:hAnsi="Times New Roman" w:cs="Times New Roman"/>
          <w:sz w:val="24"/>
          <w:szCs w:val="24"/>
        </w:rPr>
        <w:fldChar w:fldCharType="begin"/>
      </w:r>
      <w:r w:rsidR="001C6B72">
        <w:rPr>
          <w:rFonts w:ascii="Times New Roman" w:eastAsia="Times New Roman" w:hAnsi="Times New Roman" w:cs="Times New Roman"/>
          <w:sz w:val="24"/>
          <w:szCs w:val="24"/>
        </w:rPr>
        <w:instrText xml:space="preserve"> ADDIN ZOTERO_ITEM CSL_CITATION {"citationID":"856OcRQ4","properties":{"formattedCitation":"(San Llorente Capdevila et al., 2020)","plainCitation":"(San Llorente Capdevila et al., 2020)","noteIndex":0},"citationItems":[{"id":11422,"uris":["http://zotero.org/users/3033072/items/GWB79WRD"],"uri":["http://zotero.org/users/3033072/items/GWB79WRD"],"itemData":{"id":11422,"type":"article-journal","abstract":"Attempts to monitor the quality of freshwater resources on a global scale unveil huge data lacks. Involving citizens in data collection has potential to resolve this lack </w:instrText>
      </w:r>
      <w:r w:rsidR="001C6B72" w:rsidRPr="00914ED0">
        <w:rPr>
          <w:rFonts w:ascii="Times New Roman" w:eastAsia="Times New Roman" w:hAnsi="Times New Roman" w:cs="Times New Roman"/>
          <w:sz w:val="24"/>
          <w:szCs w:val="24"/>
        </w:rPr>
        <w:instrText>of water quality data. However, it is widely unclear which factors drive the success of citizen science activities. Based on a systematic literature review of 56 peerreviewed research articles, we identify three sets of factors for successful citizen science projects in water quality monitoring: (i) attributes of citizens (knowledge and experience in collecting data, awareness of environmental problems, motivation, and socio-economic background of citizens), (ii) attributes of institutions (motivation, type of organization, consistent and adequate funding), and (iii) the interactions between citizens and institutions (supporting structure, communication and feedback). These three sets of fact</w:instrText>
      </w:r>
      <w:r w:rsidR="001C6B72" w:rsidRPr="009962A9">
        <w:rPr>
          <w:rFonts w:ascii="Times New Roman" w:eastAsia="Times New Roman" w:hAnsi="Times New Roman" w:cs="Times New Roman"/>
          <w:sz w:val="24"/>
          <w:szCs w:val="24"/>
        </w:rPr>
        <w:instrText xml:space="preserve">ors enable a systematic analysis and design of citizen science projects in the future.","container-title":"Science of The Total Environment","DOI":"10.1016/j.scitotenv.2020.137843","ISSN":"00489697","journalAbbreviation":"Science of The Total Environment","language":"en","page":"137843","source":"DOI.org (Crossref)","title":"Success factors for citizen science projects in water quality monitoring","volume":"728","author":[{"family":"San Llorente Capdevila","given":"Anna"},{"family":"Kokimova","given":"Ainur"},{"family":"Sinha Ray","given":"Saunak"},{"family":"Avellán","given":"Tamara"},{"family":"Kim","given":"Jiwon"},{"family":"Kirschke","given":"Sabrina"}],"issued":{"date-parts":[["2020",8]]}}}],"schema":"https://github.com/citation-style-language/schema/raw/master/csl-citation.json"} </w:instrText>
      </w:r>
      <w:r w:rsidR="001C6B72">
        <w:rPr>
          <w:rFonts w:ascii="Times New Roman" w:eastAsia="Times New Roman" w:hAnsi="Times New Roman" w:cs="Times New Roman"/>
          <w:sz w:val="24"/>
          <w:szCs w:val="24"/>
        </w:rPr>
        <w:fldChar w:fldCharType="separate"/>
      </w:r>
      <w:r w:rsidR="001C6B72" w:rsidRPr="009962A9">
        <w:rPr>
          <w:rFonts w:ascii="Times New Roman" w:hAnsi="Times New Roman" w:cs="Times New Roman"/>
          <w:sz w:val="24"/>
        </w:rPr>
        <w:t xml:space="preserve">(San </w:t>
      </w:r>
      <w:proofErr w:type="spellStart"/>
      <w:r w:rsidR="001C6B72" w:rsidRPr="009962A9">
        <w:rPr>
          <w:rFonts w:ascii="Times New Roman" w:hAnsi="Times New Roman" w:cs="Times New Roman"/>
          <w:sz w:val="24"/>
        </w:rPr>
        <w:t>Llorente</w:t>
      </w:r>
      <w:proofErr w:type="spellEnd"/>
      <w:r w:rsidR="001C6B72" w:rsidRPr="009962A9">
        <w:rPr>
          <w:rFonts w:ascii="Times New Roman" w:hAnsi="Times New Roman" w:cs="Times New Roman"/>
          <w:sz w:val="24"/>
        </w:rPr>
        <w:t xml:space="preserve"> </w:t>
      </w:r>
      <w:proofErr w:type="spellStart"/>
      <w:r w:rsidR="001C6B72" w:rsidRPr="009962A9">
        <w:rPr>
          <w:rFonts w:ascii="Times New Roman" w:hAnsi="Times New Roman" w:cs="Times New Roman"/>
          <w:sz w:val="24"/>
        </w:rPr>
        <w:t>Capdevila</w:t>
      </w:r>
      <w:proofErr w:type="spellEnd"/>
      <w:r w:rsidR="001C6B72" w:rsidRPr="009962A9">
        <w:rPr>
          <w:rFonts w:ascii="Times New Roman" w:hAnsi="Times New Roman" w:cs="Times New Roman"/>
          <w:sz w:val="24"/>
        </w:rPr>
        <w:t xml:space="preserve"> et al., 2020)</w:t>
      </w:r>
      <w:r w:rsidR="001C6B72">
        <w:rPr>
          <w:rFonts w:ascii="Times New Roman" w:eastAsia="Times New Roman" w:hAnsi="Times New Roman" w:cs="Times New Roman"/>
          <w:sz w:val="24"/>
          <w:szCs w:val="24"/>
        </w:rPr>
        <w:fldChar w:fldCharType="end"/>
      </w:r>
      <w:r w:rsidR="002D0559" w:rsidRPr="009962A9">
        <w:rPr>
          <w:rFonts w:ascii="Times New Roman" w:eastAsia="Times New Roman" w:hAnsi="Times New Roman" w:cs="Times New Roman"/>
          <w:sz w:val="24"/>
          <w:szCs w:val="24"/>
        </w:rPr>
        <w:t xml:space="preserve">. </w:t>
      </w:r>
      <w:r w:rsidR="002D0559">
        <w:rPr>
          <w:rFonts w:ascii="Times New Roman" w:eastAsia="Times New Roman" w:hAnsi="Times New Roman" w:cs="Times New Roman"/>
          <w:sz w:val="24"/>
          <w:szCs w:val="24"/>
        </w:rPr>
        <w:t xml:space="preserve">Hence, </w:t>
      </w:r>
      <w:r w:rsidR="00D321FD">
        <w:rPr>
          <w:rFonts w:ascii="Times New Roman" w:eastAsia="Times New Roman" w:hAnsi="Times New Roman" w:cs="Times New Roman"/>
          <w:sz w:val="24"/>
          <w:szCs w:val="24"/>
        </w:rPr>
        <w:t xml:space="preserve">community-based monitoring using </w:t>
      </w:r>
      <w:r w:rsidR="002D0559">
        <w:rPr>
          <w:rFonts w:ascii="Times New Roman" w:eastAsia="Times New Roman" w:hAnsi="Times New Roman" w:cs="Times New Roman"/>
          <w:sz w:val="24"/>
          <w:szCs w:val="24"/>
        </w:rPr>
        <w:t xml:space="preserve">eDNA </w:t>
      </w:r>
      <w:r w:rsidR="00D321FD">
        <w:rPr>
          <w:rFonts w:ascii="Times New Roman" w:eastAsia="Times New Roman" w:hAnsi="Times New Roman" w:cs="Times New Roman"/>
          <w:sz w:val="24"/>
          <w:szCs w:val="24"/>
        </w:rPr>
        <w:t>approaches</w:t>
      </w:r>
      <w:r w:rsidR="002D0559">
        <w:rPr>
          <w:rFonts w:ascii="Times New Roman" w:eastAsia="Times New Roman" w:hAnsi="Times New Roman" w:cs="Times New Roman"/>
          <w:sz w:val="24"/>
          <w:szCs w:val="24"/>
        </w:rPr>
        <w:t xml:space="preserve"> could be </w:t>
      </w:r>
      <w:r w:rsidR="00F545B8">
        <w:rPr>
          <w:rFonts w:ascii="Times New Roman" w:eastAsia="Times New Roman" w:hAnsi="Times New Roman" w:cs="Times New Roman"/>
          <w:sz w:val="24"/>
          <w:szCs w:val="24"/>
        </w:rPr>
        <w:t xml:space="preserve">a </w:t>
      </w:r>
      <w:r w:rsidR="002D0559" w:rsidRPr="00277280">
        <w:rPr>
          <w:rFonts w:ascii="Times New Roman" w:eastAsia="Times New Roman" w:hAnsi="Times New Roman" w:cs="Times New Roman"/>
          <w:sz w:val="24"/>
          <w:szCs w:val="24"/>
        </w:rPr>
        <w:t>game changer for evidence-based natural resource management</w:t>
      </w:r>
      <w:r w:rsidR="002D0559">
        <w:rPr>
          <w:rFonts w:ascii="Times New Roman" w:eastAsia="Times New Roman" w:hAnsi="Times New Roman" w:cs="Times New Roman"/>
          <w:sz w:val="24"/>
          <w:szCs w:val="24"/>
        </w:rPr>
        <w:t xml:space="preserve"> in Sub-Saharan Africa</w:t>
      </w:r>
      <w:r w:rsidR="00D321FD">
        <w:rPr>
          <w:rFonts w:ascii="Times New Roman" w:eastAsia="Times New Roman" w:hAnsi="Times New Roman" w:cs="Times New Roman"/>
          <w:sz w:val="24"/>
          <w:szCs w:val="24"/>
        </w:rPr>
        <w:t xml:space="preserve"> and</w:t>
      </w:r>
      <w:r w:rsidR="002D0559">
        <w:rPr>
          <w:rFonts w:ascii="Times New Roman" w:eastAsia="Times New Roman" w:hAnsi="Times New Roman" w:cs="Times New Roman"/>
          <w:sz w:val="24"/>
          <w:szCs w:val="24"/>
        </w:rPr>
        <w:t xml:space="preserve"> </w:t>
      </w:r>
      <w:r w:rsidR="002D0559" w:rsidRPr="00277280">
        <w:rPr>
          <w:rFonts w:ascii="Times New Roman" w:eastAsia="Times New Roman" w:hAnsi="Times New Roman" w:cs="Times New Roman"/>
          <w:sz w:val="24"/>
          <w:szCs w:val="24"/>
        </w:rPr>
        <w:t>enabl</w:t>
      </w:r>
      <w:r w:rsidR="00D321FD">
        <w:rPr>
          <w:rFonts w:ascii="Times New Roman" w:eastAsia="Times New Roman" w:hAnsi="Times New Roman" w:cs="Times New Roman"/>
          <w:sz w:val="24"/>
          <w:szCs w:val="24"/>
        </w:rPr>
        <w:t>e</w:t>
      </w:r>
      <w:r w:rsidR="002D0559" w:rsidRPr="00277280">
        <w:rPr>
          <w:rFonts w:ascii="Times New Roman" w:eastAsia="Times New Roman" w:hAnsi="Times New Roman" w:cs="Times New Roman"/>
          <w:sz w:val="24"/>
          <w:szCs w:val="24"/>
        </w:rPr>
        <w:t xml:space="preserve"> cost-effective </w:t>
      </w:r>
      <w:r>
        <w:rPr>
          <w:rFonts w:ascii="Times New Roman" w:eastAsia="Times New Roman" w:hAnsi="Times New Roman" w:cs="Times New Roman"/>
          <w:sz w:val="24"/>
          <w:szCs w:val="24"/>
        </w:rPr>
        <w:t xml:space="preserve">environmental </w:t>
      </w:r>
      <w:r w:rsidR="002D0559" w:rsidRPr="00277280">
        <w:rPr>
          <w:rFonts w:ascii="Times New Roman" w:eastAsia="Times New Roman" w:hAnsi="Times New Roman" w:cs="Times New Roman"/>
          <w:sz w:val="24"/>
          <w:szCs w:val="24"/>
        </w:rPr>
        <w:t xml:space="preserve">monitoring </w:t>
      </w:r>
      <w:r>
        <w:rPr>
          <w:rFonts w:ascii="Times New Roman" w:eastAsia="Times New Roman" w:hAnsi="Times New Roman" w:cs="Times New Roman"/>
          <w:sz w:val="24"/>
          <w:szCs w:val="24"/>
        </w:rPr>
        <w:t>across</w:t>
      </w:r>
      <w:r w:rsidR="002D0559" w:rsidRPr="00277280">
        <w:rPr>
          <w:rFonts w:ascii="Times New Roman" w:eastAsia="Times New Roman" w:hAnsi="Times New Roman" w:cs="Times New Roman"/>
          <w:sz w:val="24"/>
          <w:szCs w:val="24"/>
        </w:rPr>
        <w:t xml:space="preserve"> large spatial scales</w:t>
      </w:r>
      <w:r w:rsidR="002D0559">
        <w:rPr>
          <w:rFonts w:ascii="Times New Roman" w:eastAsia="Times New Roman" w:hAnsi="Times New Roman" w:cs="Times New Roman"/>
          <w:sz w:val="24"/>
          <w:szCs w:val="24"/>
        </w:rPr>
        <w:t>.</w:t>
      </w:r>
    </w:p>
    <w:p w14:paraId="41FC62E1" w14:textId="5586309B" w:rsidR="00191770" w:rsidRPr="00697862" w:rsidRDefault="00227681" w:rsidP="002D0559">
      <w:pPr>
        <w:spacing w:after="0" w:line="480" w:lineRule="auto"/>
        <w:ind w:firstLine="227"/>
        <w:jc w:val="both"/>
        <w:rPr>
          <w:rFonts w:ascii="Times New Roman" w:eastAsia="Times New Roman" w:hAnsi="Times New Roman" w:cs="Times New Roman"/>
          <w:sz w:val="24"/>
          <w:szCs w:val="24"/>
          <w:lang w:val="fr-FR"/>
        </w:rPr>
      </w:pPr>
      <w:r>
        <w:rPr>
          <w:rFonts w:ascii="Times New Roman" w:eastAsia="Times New Roman" w:hAnsi="Times New Roman" w:cs="Times New Roman"/>
          <w:sz w:val="24"/>
          <w:szCs w:val="24"/>
        </w:rPr>
        <w:t>A</w:t>
      </w:r>
      <w:r w:rsidR="00A04EBC">
        <w:rPr>
          <w:rFonts w:ascii="Times New Roman" w:eastAsia="Times New Roman" w:hAnsi="Times New Roman" w:cs="Times New Roman"/>
          <w:sz w:val="24"/>
          <w:szCs w:val="24"/>
        </w:rPr>
        <w:t>n important requirement for eDNA-based monitoring to li</w:t>
      </w:r>
      <w:r w:rsidR="00591528">
        <w:rPr>
          <w:rFonts w:ascii="Times New Roman" w:eastAsia="Times New Roman" w:hAnsi="Times New Roman" w:cs="Times New Roman"/>
          <w:sz w:val="24"/>
          <w:szCs w:val="24"/>
        </w:rPr>
        <w:t>v</w:t>
      </w:r>
      <w:r w:rsidR="00A04EBC">
        <w:rPr>
          <w:rFonts w:ascii="Times New Roman" w:eastAsia="Times New Roman" w:hAnsi="Times New Roman" w:cs="Times New Roman"/>
          <w:sz w:val="24"/>
          <w:szCs w:val="24"/>
        </w:rPr>
        <w:t xml:space="preserve">e up to its potential is </w:t>
      </w:r>
      <w:r w:rsidR="0057032C">
        <w:rPr>
          <w:rFonts w:ascii="Times New Roman" w:eastAsia="Times New Roman" w:hAnsi="Times New Roman" w:cs="Times New Roman"/>
          <w:sz w:val="24"/>
          <w:szCs w:val="24"/>
        </w:rPr>
        <w:t xml:space="preserve">the </w:t>
      </w:r>
      <w:r w:rsidR="002D0559">
        <w:rPr>
          <w:rFonts w:ascii="Times New Roman" w:eastAsia="Times New Roman" w:hAnsi="Times New Roman" w:cs="Times New Roman"/>
          <w:sz w:val="24"/>
          <w:szCs w:val="24"/>
        </w:rPr>
        <w:t>robust</w:t>
      </w:r>
      <w:r w:rsidR="0057032C">
        <w:rPr>
          <w:rFonts w:ascii="Times New Roman" w:eastAsia="Times New Roman" w:hAnsi="Times New Roman" w:cs="Times New Roman"/>
          <w:sz w:val="24"/>
          <w:szCs w:val="24"/>
        </w:rPr>
        <w:t xml:space="preserve"> representation of natural community composition, which strongly depends on the choice</w:t>
      </w:r>
      <w:r>
        <w:rPr>
          <w:rFonts w:ascii="Times New Roman" w:eastAsia="Times New Roman" w:hAnsi="Times New Roman" w:cs="Times New Roman"/>
          <w:sz w:val="24"/>
          <w:szCs w:val="24"/>
        </w:rPr>
        <w:t xml:space="preserve"> of primer</w:t>
      </w:r>
      <w:r w:rsidR="002D0559">
        <w:rPr>
          <w:rFonts w:ascii="Times New Roman" w:eastAsia="Times New Roman" w:hAnsi="Times New Roman" w:cs="Times New Roman"/>
          <w:sz w:val="24"/>
          <w:szCs w:val="24"/>
        </w:rPr>
        <w:t xml:space="preserve"> </w:t>
      </w:r>
      <w:r w:rsidR="00D27541">
        <w:rPr>
          <w:rFonts w:ascii="Times New Roman" w:eastAsia="Times New Roman" w:hAnsi="Times New Roman" w:cs="Times New Roman"/>
          <w:sz w:val="24"/>
          <w:szCs w:val="24"/>
        </w:rPr>
        <w:t>s</w:t>
      </w:r>
      <w:r w:rsidR="002D0559">
        <w:rPr>
          <w:rFonts w:ascii="Times New Roman" w:eastAsia="Times New Roman" w:hAnsi="Times New Roman" w:cs="Times New Roman"/>
          <w:sz w:val="24"/>
          <w:szCs w:val="24"/>
        </w:rPr>
        <w:t>ets.</w:t>
      </w:r>
      <w:r w:rsidR="00D27541">
        <w:rPr>
          <w:rFonts w:ascii="Times New Roman" w:eastAsia="Times New Roman" w:hAnsi="Times New Roman" w:cs="Times New Roman"/>
          <w:sz w:val="24"/>
          <w:szCs w:val="24"/>
        </w:rPr>
        <w:t xml:space="preserve"> </w:t>
      </w:r>
      <w:r w:rsidR="00C53127">
        <w:rPr>
          <w:rFonts w:ascii="Times New Roman" w:eastAsia="Times New Roman" w:hAnsi="Times New Roman" w:cs="Times New Roman"/>
          <w:sz w:val="24"/>
          <w:szCs w:val="24"/>
        </w:rPr>
        <w:t>Primers</w:t>
      </w:r>
      <w:r>
        <w:rPr>
          <w:rFonts w:ascii="Times New Roman" w:eastAsia="Times New Roman" w:hAnsi="Times New Roman" w:cs="Times New Roman"/>
          <w:sz w:val="24"/>
          <w:szCs w:val="24"/>
        </w:rPr>
        <w:t xml:space="preserve"> define the phylogenetic identity of </w:t>
      </w:r>
      <w:r w:rsidR="0057032C">
        <w:rPr>
          <w:rFonts w:ascii="Times New Roman" w:eastAsia="Times New Roman" w:hAnsi="Times New Roman" w:cs="Times New Roman"/>
          <w:sz w:val="24"/>
          <w:szCs w:val="24"/>
        </w:rPr>
        <w:t xml:space="preserve">the </w:t>
      </w:r>
      <w:r>
        <w:rPr>
          <w:rFonts w:ascii="Times New Roman" w:eastAsia="Times New Roman" w:hAnsi="Times New Roman" w:cs="Times New Roman"/>
          <w:sz w:val="24"/>
          <w:szCs w:val="24"/>
        </w:rPr>
        <w:t>taxa that can be detected</w:t>
      </w:r>
      <w:r w:rsidR="001C6B72">
        <w:rPr>
          <w:rFonts w:ascii="Times New Roman" w:eastAsia="Times New Roman" w:hAnsi="Times New Roman" w:cs="Times New Roman"/>
          <w:sz w:val="24"/>
          <w:szCs w:val="24"/>
        </w:rPr>
        <w:t>,</w:t>
      </w:r>
      <w:r w:rsidR="0057032C">
        <w:rPr>
          <w:rFonts w:ascii="Times New Roman" w:eastAsia="Times New Roman" w:hAnsi="Times New Roman" w:cs="Times New Roman"/>
          <w:sz w:val="24"/>
          <w:szCs w:val="24"/>
        </w:rPr>
        <w:t xml:space="preserve"> and they often</w:t>
      </w:r>
      <w:r>
        <w:rPr>
          <w:rFonts w:ascii="Times New Roman" w:eastAsia="Times New Roman" w:hAnsi="Times New Roman" w:cs="Times New Roman"/>
          <w:sz w:val="24"/>
          <w:szCs w:val="24"/>
        </w:rPr>
        <w:t xml:space="preserve"> </w:t>
      </w:r>
      <w:r w:rsidR="00C53127">
        <w:rPr>
          <w:rFonts w:ascii="Times New Roman" w:eastAsia="Times New Roman" w:hAnsi="Times New Roman" w:cs="Times New Roman"/>
          <w:sz w:val="24"/>
          <w:szCs w:val="24"/>
        </w:rPr>
        <w:t xml:space="preserve">differ in </w:t>
      </w:r>
      <w:r>
        <w:rPr>
          <w:rFonts w:ascii="Times New Roman" w:eastAsia="Times New Roman" w:hAnsi="Times New Roman" w:cs="Times New Roman"/>
          <w:sz w:val="24"/>
          <w:szCs w:val="24"/>
        </w:rPr>
        <w:t>the</w:t>
      </w:r>
      <w:r w:rsidR="00C53127">
        <w:rPr>
          <w:rFonts w:ascii="Times New Roman" w:eastAsia="Times New Roman" w:hAnsi="Times New Roman" w:cs="Times New Roman"/>
          <w:sz w:val="24"/>
          <w:szCs w:val="24"/>
        </w:rPr>
        <w:t>ir</w:t>
      </w:r>
      <w:r>
        <w:rPr>
          <w:rFonts w:ascii="Times New Roman" w:eastAsia="Times New Roman" w:hAnsi="Times New Roman" w:cs="Times New Roman"/>
          <w:sz w:val="24"/>
          <w:szCs w:val="24"/>
        </w:rPr>
        <w:t xml:space="preserve"> power to </w:t>
      </w:r>
      <w:r w:rsidR="00C53127">
        <w:rPr>
          <w:rFonts w:ascii="Times New Roman" w:eastAsia="Times New Roman" w:hAnsi="Times New Roman" w:cs="Times New Roman"/>
          <w:sz w:val="24"/>
          <w:szCs w:val="24"/>
        </w:rPr>
        <w:t>discriminate</w:t>
      </w:r>
      <w:r>
        <w:rPr>
          <w:rFonts w:ascii="Times New Roman" w:eastAsia="Times New Roman" w:hAnsi="Times New Roman" w:cs="Times New Roman"/>
          <w:sz w:val="24"/>
          <w:szCs w:val="24"/>
        </w:rPr>
        <w:t xml:space="preserve"> among species </w:t>
      </w:r>
      <w:r w:rsidR="00C53127">
        <w:rPr>
          <w:rFonts w:ascii="Times New Roman" w:eastAsia="Times New Roman" w:hAnsi="Times New Roman" w:cs="Times New Roman"/>
          <w:sz w:val="24"/>
          <w:szCs w:val="24"/>
        </w:rPr>
        <w:t xml:space="preserve">and </w:t>
      </w:r>
      <w:r w:rsidR="0057032C">
        <w:rPr>
          <w:rFonts w:ascii="Times New Roman" w:eastAsia="Times New Roman" w:hAnsi="Times New Roman" w:cs="Times New Roman"/>
          <w:sz w:val="24"/>
          <w:szCs w:val="24"/>
        </w:rPr>
        <w:t>their</w:t>
      </w:r>
      <w:r w:rsidR="002F54C8">
        <w:rPr>
          <w:rFonts w:ascii="Times New Roman" w:eastAsia="Times New Roman" w:hAnsi="Times New Roman" w:cs="Times New Roman"/>
          <w:sz w:val="24"/>
          <w:szCs w:val="24"/>
        </w:rPr>
        <w:t xml:space="preserve"> sensitivity for detecting target groups</w:t>
      </w:r>
      <w:r w:rsidR="00C53127">
        <w:rPr>
          <w:rFonts w:ascii="Times New Roman" w:eastAsia="Times New Roman" w:hAnsi="Times New Roman" w:cs="Times New Roman"/>
          <w:sz w:val="24"/>
          <w:szCs w:val="24"/>
        </w:rPr>
        <w:t xml:space="preserve"> </w:t>
      </w:r>
      <w:r w:rsidR="001C6B72">
        <w:rPr>
          <w:rFonts w:ascii="Times New Roman" w:eastAsia="Times New Roman" w:hAnsi="Times New Roman" w:cs="Times New Roman"/>
          <w:sz w:val="24"/>
          <w:szCs w:val="24"/>
        </w:rPr>
        <w:fldChar w:fldCharType="begin"/>
      </w:r>
      <w:r w:rsidR="001C6B72">
        <w:rPr>
          <w:rFonts w:ascii="Times New Roman" w:eastAsia="Times New Roman" w:hAnsi="Times New Roman" w:cs="Times New Roman"/>
          <w:sz w:val="24"/>
          <w:szCs w:val="24"/>
        </w:rPr>
        <w:instrText xml:space="preserve"> ADDIN ZOTERO_ITEM CSL_CITATION {"citationID":"Z21VlvKc","properties":{"formattedCitation":"(Hajibabaei, Porter, Wright, &amp; Rudar, 2019; Schenekar, Schletterer, Lecaudey, &amp; Weiss, 2020)","plainCitation":"(Hajibabaei, Porter, Wright, &amp; Rudar, 2019; Schenekar, Schletterer, Lecaudey, &amp; Weiss, 2020)","noteIndex":0},"citationItems":[{"id":11420,"uris":["http://zotero.org/users/3033072/items/UWR2XASJ"],"uri":["http://zotero.org/users/3033072/items/UWR2XASJ"],"itemData":{"id":11420,"type":"article-journal","abstract":"Mixed community or environmental DNA marker gene sequencing has become a commonly used technique for biodiversity analyses in freshwater systems. Many cytochrome c oxidase subunit I (COI) primer sets are now available for such work. The purpose of this study is to test whether COI primer choice affects the recovery of arthropod richness, beta diversity, and recovery of target assemblages in the benthos kick-net samples typically used in freshwater biomonitoring. We examine six commonly used COI primer sets on samples collected from six freshwater sites. Biodiversity analyses show that richness is sensitive to primer choice and the combined use of multiple COI amplicons recovers higher richness. Thus, to recover maximum richness, multiple primer sets should be used with COI metabarcoding. In ordination analyses based on community dissimilarity, samples consistently cluster by site regardless of amplicon choice or PCR replicate. Thus, for broadscale community analyses, overall beta diversity patterns are robust to COI marker choice. Recovery of traditional freshwater bioindicator assemblages such as Ephemeroptera, Trichoptera, Plectoptera, and Chironomidae as well as Arthropoda site indicators were differentially detected by each amplicon tested. This work will help future biodiversity and biomonitoring studies develop not just standardized, but optimized workflows that either maximize taxon-detection or the selection of amplicons for water quality or Arthropoda site indicators.","container-title":"PLOS ONE","DOI":"10.1371/journal.pone.0220953","ISSN":"1932-6203","issue":"9","journalAbbreviation":"PLoS ONE","language":"en","page":"e0220953","source":"DOI.org (Crossref)","title":"COI metabarcoding primer choice affects richness and recovery of indicator taxa in freshwater systems","volume":"14","author":[{"family":"Hajibabaei","given":"Mehrdad"},{"family":"Porter","given":"Teresita M."},{"family":"Wright","given":"Michael"},{"family":"Rudar","given":"Josip"}],"editor":[{"family":"Ramaiah","given":"Arunachalam"}],"issued":{"date-parts":[["2019",9,12]]}}},{"id":10568,"uris":["http://zotero.org/users/3033072/items/PHTEFPIS"],"uri":["http://zotero.org/users/3033072/items/PHTEFPIS"],"itemData":{"id":10568,"type":"article-journal","abstract":"Biodiversity monitoring via environmental DNA, particularly metabarcoding, is evolving into a powerful assessment tool for riverine systems. However, for metabarcoding to be fully integrated into standardized monitoring programmes, some current challenges concerning sampling design, laboratory workflow, and data analysis need to be overcome. Here, we review some of these major challenges and potential solutions. We further illustrate three potential pitfalls, namely the choice of suitable metabarcoding primers, the necessity of complete reference databases, and varying assay sensitivities, by a reappraisal of our-own recently carried out metabarcoding study in the Volga headwaters. TaqMan qPCRs had detected catfish (Silurus glanis) and European eel (Anguilla anguilla), whereas metabarcoding had not, in the same samples. Furthermore, after extending the genetic reference database by 12 additional species and re-analysing the metabarcoding data, we additionally detected the Siberian spiny loach (Cobitis sibirica) and Ukrainian brook lamprey (Eudontomyzon mariae) and reassigned the operational taxonomic units previously assigned to Misgurnus fossilis to Cobitis sibirica. In silico analysis of metabarcoding primer efficiencies revealed considerable variability among primer pairs and among target species, which could lead to strong primer bias and potential false-negatives in metabarcoding studies if not properly compensated for. These results highlight some of the pitfalls of eDNA-metabarcoding as a means of monitoring fish biodiversity in large rivers, which need to be considered in order to fully unleash the full potential of these approaches for freshwater biodiversity monitoring.","container-title":"River Research and Applications","DOI":"10.1002/rra.3610","ISSN":"1535-1459, 1535-1467","journalAbbreviation":"River Res Applic","language":"en","page":"rra.3610","source":"DOI.org (Crossref)","title":"Reference databases, primer choice, and assay sensitivity for environmental metabarcoding: Lessons learnt from a re‐evaluation of an eDNA fish assessment in the Volga headwaters","title-short":"Reference databases, primer choice, and assay sensitivity for environmental metabarcoding","author":[{"family":"Schenekar","given":"Tamara"},{"family":"Schletterer","given":"Martin"},{"family":"Lecaudey","given":"Laurène A."},{"family":"Weiss","given":"Steven J."}],"issued":{"date-parts":[["2020",3]]}}}],"schema":"https://github.com/citation-style-language/schema/raw/master/csl-citation.json"} </w:instrText>
      </w:r>
      <w:r w:rsidR="001C6B72">
        <w:rPr>
          <w:rFonts w:ascii="Times New Roman" w:eastAsia="Times New Roman" w:hAnsi="Times New Roman" w:cs="Times New Roman"/>
          <w:sz w:val="24"/>
          <w:szCs w:val="24"/>
        </w:rPr>
        <w:fldChar w:fldCharType="separate"/>
      </w:r>
      <w:r w:rsidR="001C6B72" w:rsidRPr="001C6B72">
        <w:rPr>
          <w:rFonts w:ascii="Times New Roman" w:hAnsi="Times New Roman" w:cs="Times New Roman"/>
          <w:sz w:val="24"/>
        </w:rPr>
        <w:t>(Hajibabaei, Porter, Wright, &amp; Rudar, 2019; Schenekar, Schletterer, Lecaudey, &amp; Weiss, 2020)</w:t>
      </w:r>
      <w:r w:rsidR="001C6B72">
        <w:rPr>
          <w:rFonts w:ascii="Times New Roman" w:eastAsia="Times New Roman" w:hAnsi="Times New Roman" w:cs="Times New Roman"/>
          <w:sz w:val="24"/>
          <w:szCs w:val="24"/>
        </w:rPr>
        <w:fldChar w:fldCharType="end"/>
      </w:r>
      <w:r>
        <w:rPr>
          <w:rFonts w:ascii="Times New Roman" w:eastAsia="Times New Roman" w:hAnsi="Times New Roman" w:cs="Times New Roman"/>
          <w:sz w:val="24"/>
          <w:szCs w:val="24"/>
        </w:rPr>
        <w:t>.</w:t>
      </w:r>
      <w:r w:rsidR="002D0559">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 xml:space="preserve">Most fish eDNA metabarcoding surveys to date use primers </w:t>
      </w:r>
      <w:r w:rsidR="002F54C8">
        <w:rPr>
          <w:rFonts w:ascii="Times New Roman" w:eastAsia="Times New Roman" w:hAnsi="Times New Roman" w:cs="Times New Roman"/>
          <w:sz w:val="24"/>
          <w:szCs w:val="24"/>
        </w:rPr>
        <w:t>amplifying</w:t>
      </w:r>
      <w:r>
        <w:rPr>
          <w:rFonts w:ascii="Times New Roman" w:eastAsia="Times New Roman" w:hAnsi="Times New Roman" w:cs="Times New Roman"/>
          <w:sz w:val="24"/>
          <w:szCs w:val="24"/>
        </w:rPr>
        <w:t xml:space="preserve"> </w:t>
      </w:r>
      <w:sdt>
        <w:sdtPr>
          <w:tag w:val="goog_rdk_54"/>
          <w:id w:val="1898787258"/>
        </w:sdtPr>
        <w:sdtEndPr/>
        <w:sdtContent>
          <w:r>
            <w:rPr>
              <w:rFonts w:ascii="Times New Roman" w:eastAsia="Times New Roman" w:hAnsi="Times New Roman" w:cs="Times New Roman"/>
              <w:sz w:val="24"/>
              <w:szCs w:val="24"/>
            </w:rPr>
            <w:t xml:space="preserve">a </w:t>
          </w:r>
        </w:sdtContent>
      </w:sdt>
      <w:r>
        <w:rPr>
          <w:rFonts w:ascii="Times New Roman" w:eastAsia="Times New Roman" w:hAnsi="Times New Roman" w:cs="Times New Roman"/>
          <w:sz w:val="24"/>
          <w:szCs w:val="24"/>
        </w:rPr>
        <w:t xml:space="preserve">short fragment of </w:t>
      </w:r>
      <w:sdt>
        <w:sdtPr>
          <w:tag w:val="goog_rdk_55"/>
          <w:id w:val="24384147"/>
        </w:sdtPr>
        <w:sdtEndPr/>
        <w:sdtContent>
          <w:r>
            <w:rPr>
              <w:rFonts w:ascii="Times New Roman" w:eastAsia="Times New Roman" w:hAnsi="Times New Roman" w:cs="Times New Roman"/>
              <w:sz w:val="24"/>
              <w:szCs w:val="24"/>
            </w:rPr>
            <w:t xml:space="preserve">the </w:t>
          </w:r>
        </w:sdtContent>
      </w:sdt>
      <w:r>
        <w:rPr>
          <w:rFonts w:ascii="Times New Roman" w:eastAsia="Times New Roman" w:hAnsi="Times New Roman" w:cs="Times New Roman"/>
          <w:sz w:val="24"/>
          <w:szCs w:val="24"/>
        </w:rPr>
        <w:t xml:space="preserve">mitochondrial 12S gene, </w:t>
      </w:r>
      <w:r w:rsidR="00D27541">
        <w:rPr>
          <w:rFonts w:ascii="Times New Roman" w:eastAsia="Times New Roman" w:hAnsi="Times New Roman" w:cs="Times New Roman"/>
          <w:sz w:val="24"/>
          <w:szCs w:val="24"/>
        </w:rPr>
        <w:t>since these</w:t>
      </w:r>
      <w:r>
        <w:rPr>
          <w:rFonts w:ascii="Times New Roman" w:eastAsia="Times New Roman" w:hAnsi="Times New Roman" w:cs="Times New Roman"/>
          <w:sz w:val="24"/>
          <w:szCs w:val="24"/>
        </w:rPr>
        <w:t xml:space="preserve"> have generally </w:t>
      </w:r>
      <w:r w:rsidR="00134824">
        <w:rPr>
          <w:rFonts w:ascii="Times New Roman" w:eastAsia="Times New Roman" w:hAnsi="Times New Roman" w:cs="Times New Roman"/>
          <w:sz w:val="24"/>
          <w:szCs w:val="24"/>
        </w:rPr>
        <w:t xml:space="preserve">been </w:t>
      </w:r>
      <w:r>
        <w:rPr>
          <w:rFonts w:ascii="Times New Roman" w:eastAsia="Times New Roman" w:hAnsi="Times New Roman" w:cs="Times New Roman"/>
          <w:sz w:val="24"/>
          <w:szCs w:val="24"/>
        </w:rPr>
        <w:t>shown to</w:t>
      </w:r>
      <w:r w:rsidR="00134824">
        <w:rPr>
          <w:rFonts w:ascii="Times New Roman" w:eastAsia="Times New Roman" w:hAnsi="Times New Roman" w:cs="Times New Roman"/>
          <w:sz w:val="24"/>
          <w:szCs w:val="24"/>
        </w:rPr>
        <w:t xml:space="preserve"> have a higher specificity and</w:t>
      </w:r>
      <w:r>
        <w:rPr>
          <w:rFonts w:ascii="Times New Roman" w:eastAsia="Times New Roman" w:hAnsi="Times New Roman" w:cs="Times New Roman"/>
          <w:sz w:val="24"/>
          <w:szCs w:val="24"/>
        </w:rPr>
        <w:t xml:space="preserve"> record a greater fish diversity than primers targeting 16S rRNA or COI genes </w:t>
      </w:r>
      <w:r w:rsidR="00697862">
        <w:rPr>
          <w:rFonts w:ascii="Times New Roman" w:eastAsia="Times New Roman" w:hAnsi="Times New Roman" w:cs="Times New Roman"/>
          <w:sz w:val="24"/>
          <w:szCs w:val="24"/>
        </w:rPr>
        <w:fldChar w:fldCharType="begin"/>
      </w:r>
      <w:r w:rsidR="00E9149F">
        <w:rPr>
          <w:rFonts w:ascii="Times New Roman" w:eastAsia="Times New Roman" w:hAnsi="Times New Roman" w:cs="Times New Roman"/>
          <w:sz w:val="24"/>
          <w:szCs w:val="24"/>
        </w:rPr>
        <w:instrText xml:space="preserve"> ADDIN ZOTERO_ITEM CSL_CITATION {"citationID":"effS5Mg8","properties":{"unsorted":true,"formattedCitation":"(Kelly, Port, Yamahara, &amp; Crowder, 2014; M. Miya et al., 2015; Collins et al., 2019; Milan et al., 2020; Schenekar et al., 2020; Zhang, Zhao, &amp; Yao, 2020; Jackman et al., 2021; Polanco et al., 2021)","plainCitation":"(Kelly, Port, Yamahara, &amp; Crowder, 2014; M. Miya et al., 2015; Collins et al., 2019; Milan et al., 2020; Schenekar et al., 2020; Zhang, Zhao, &amp; Yao, 2020; Jackman et al., 2021; Polanco et al., 2021)","noteIndex":0},"citationItems":[{"id":9586,"uris":["http://zotero.org/users/3033072/items/HXDEDTRM"],"uri":["http://zotero.org/users/3033072/items/HXDEDTRM"],"itemData":{"id":9586,"type":"article-journal","container-title":"PLoS ONE","DOI":"10.1371/journal.pone.0086175","ISSN":"1932-6203","issue":"1","language":"en","page":"e86175","source":"CrossRef","title":"Using Environmental DNA to Census Marine Fishes in a Large Mesocosm","volume":"9","author":[{"family":"Kelly","given":"Ryan P."},{"family":"Port","given":"Jesse A."},{"family":"Yamahara","given":"Kevan M."},{"family":"Crowder","given":"Larry B."}],"editor":[{"family":"Hofmann","given":"Gretchen E."}],"issued":{"date-parts":[["2014",1,15]]}}},{"id":9693,"uris":["http://zotero.org/users/3033072/items/C85RZ8FD"],"uri":["http://zotero.org/users/3033072/items/C85RZ8FD"],"itemData":{"id":9693,"type":"article-journal","container-title":"Royal Society Open Science","DOI":"10.1098/rsos.150088","ISSN":"2054-5703","issue":"7","language":"en","page":"150088","source":"CrossRef","title":"MiFish, a set of universal PCR primers for metabarcoding environmental DNA from fishes: detection of more than 230 subtropical marine species","title-short":"MiFish, a set of universal PCR primers for metabarcoding environmental DNA from fishes","volume":"2","author":[{"family":"Miya","given":"M."},{"family":"Sato","given":"Y."},{"family":"Fukunaga","given":"T."},{"family":"Sado","given":"T."},{"family":"Poulsen","given":"J. Y."},{"family":"Sato","given":"K."},{"family":"Minamoto","given":"T."},{"family":"Yamamoto","given":"S."},{"family":"Yamanaka","given":"H."},{"family":"Araki","given":"H."},{"family":"Kondoh","given":"M."},{"family":"Iwasaki","given":"W."}],"issued":{"date-parts":[["2015",7]]}}},{"id":7231,"uris":["http://zotero.org/users/3033072/items/GN6L5YGY"],"uri":["http://zotero.org/users/3033072/items/GN6L5YGY"],"itemData":{"id":7231,"type":"article-journal","container-title":"Methods in Ecology and Evolution","DOI":"10.1111/2041-210X.13276","ISSN":"2041-210X, 2041-210X","journalAbbreviation":"Methods Ecol Evol","language":"en","page":"2041-210X.13276","source":"DOI.org (Crossref)","title":"Non‐specific amplification compromises environmental &lt;span style=\"font-variant:small-caps;\"&gt;DNA&lt;/span&gt; metabarcoding with &lt;span style=\"font-variant:small-caps;\"&gt;COI&lt;/span&gt;","title-short":"Non‐specific amplification compromises environmental &lt;span style=\"font-variant","author":[{"family":"Collins","given":"Rupert A."},{"family":"Bakker","given":"Judith"},{"family":"Wangensteen","given":"Owen S."},{"family":"Soto","given":"Ana Z."},{"family":"Corrigan","given":"Laura"},{"family":"Sims","given":"David W."},{"family":"Genner","given":"Martin J."},{"family":"Mariani","given":"Stefano"}],"issued":{"date-parts":[["2019",8,2]]}}},{"id":10971,"uris":["http://zotero.org/users/3033072/items/6D9ELEKH"],"uri":["http://zotero.org/users/3033072/items/6D9ELEKH"],"itemData":{"id":10971,"type":"article-journal","abstract":"Abstract\n            The megadiverse Neotropical fish fauna lacks a comprehensive and reliable DNA reference database, which hampers precise species identification and DNA based biodiversity assessment in the region. Here, we developed a mitochondrial 12S ribosomal DNA reference database for 67 fish species, representing 54 genera, 25 families, and six major Neotropical orders. We aimed to develop mini-barcode markers (i.e. amplicons with less than 200 bp) suitable for DNA metabarcoding by evaluating the taxonomic resolution of full-length and mini-barcodes and to determine a threshold value for fish species delimitation using 12S. Evaluation of the target amplicons demonstrated that both full-length library (565 bp) and mini-barcodes (193 bp) contain enough taxonomic resolution to differentiate all 67 fish species. For species delimitation, interspecific genetic distance threshold values of 0.4% and 0.55% were defined using full-length and mini-barcodes, respectively. A custom reference database and specific mini-barcode markers are important assets for ecoregion scale DNA based biodiversity assessments (such as environmental DNA) that can help with the complex task of conserving the megadiverse Neotropical ichthyofauna.","container-title":"Scientific Reports","DOI":"10.1038/s41598-020-74902-3","ISSN":"2045-2322","issue":"1","journalAbbreviation":"Sci Rep","language":"en","page":"17966","source":"DOI.org (Crossref)","title":"New 12S metabarcoding primers for enhanced Neotropical freshwater fish biodiversity assessment","volume":"10","author":[{"family":"Milan","given":"David T."},{"family":"Mendes","given":"Izabela S."},{"family":"Damasceno","given":"Júnio S."},{"family":"Teixeira","given":"Daniel F."},{"family":"Sales","given":"Naiara G."},{"family":"Carvalho","given":"Daniel C."}],"issued":{"date-parts":[["2020",12]]}}},{"id":10568,"uris":["http://zotero.org/users/3033072/items/PHTEFPIS"],"uri":["http://zotero.org/users/3033072/items/PHTEFPIS"],"itemData":{"id":10568,"type":"article-journal","abstract":"Biodiversity monitoring via environmental DNA, particularly metabarcoding, is evolving into a powerful assessment tool for riverine systems. However, for metabarcoding to be fully integrated into standardized monitoring programmes, some current challenges concerning sampling design, laboratory workflow, and data analysis need to be overcome. Here, we review some of these major challenges and potential solutions. We further illustrate three potential pitfalls, namely the choice of suitable metabarcoding primers, the necessity of complete reference databases, and varying assay sensitivities, by a reappraisal of our-own recently carried out metabarcoding study in the Volga headwaters. TaqMan qPCRs had detected catfish (Silurus glanis) and European eel (Anguilla anguilla), whereas metabarcoding had not, in the same samples. Furthermore, after extending the genetic reference database by 12 additional species and re-analysing the metabarcoding data, we additionally detected the Siberian spiny loach (Cobitis sibirica) and Ukrainian brook lamprey (Eudontomyzon mariae) and reassigned the operational taxonomic units previously assigned to Misgurnus fossilis to Cobitis sibirica. In silico analysis of metabarcoding primer efficiencies revealed considerable variability among primer pairs and among target species, which could lead to strong primer bias and potential false-negatives in metabarcoding studies if not properly compensated for. These results highlight some of the pitfalls of eDNA-metabarcoding as a means of monitoring fish biodiversity in large rivers, which need to be considered in order to fully unleash the full potential of these approaches for freshwater biodiversity monitoring.","container-title":"River Research and Applications","DOI":"10.1002/rra.3610","ISSN":"1535-1459, 1535-1467","journalAbbreviation":"River Res Applic","language":"en","page":"rra.3610","source":"DOI.org (Crossref)","title":"Reference databases, primer choice, and assay sensitivity for environmental metabarcoding: Lessons learnt from a re‐evaluation of an eDNA fish assessment in the Volga headwaters","title-short":"Reference databases, primer choice, and assay sensitivity for environmental metabarcoding","author":[{"family":"Schenekar","given":"Tamara"},{"family":"Schletterer","given":"Martin"},{"family":"Lecaudey","given":"Laurène A."},{"family":"Weiss","given":"Steven J."}],"issued":{"date-parts":[["2020",3]]}}},{"id":10925,"uris":["http://zotero.org/users/3033072/items/3NRT9G2X"],"uri":["http://zotero.org/users/3033072/items/3NRT9G2X"],"itemData":{"id":10925,"type":"article-journal","container-title":"Methods in Ecology and Evolution","language":"en","page":"45","source":"Zotero","title":"A comprehensive and comparative evaluation of primers for metabarcoding eDNA from fish","author":[{"family":"Zhang","given":"Shan"},{"family":"Zhao","given":"Jindong"},{"family":"Yao","given":"Meng"}],"issued":{"date-parts":[["2020"]]}}},{"id":11228,"uris":["http://zotero.org/users/3033072/items/X79EM5P3"],"uri":["http://zotero.org/users/3033072/items/X79EM5P3"],"itemData":{"id":11228,"type":"article-journal","abstract":"The current capacity of environmental DNA (eDNA) to provide accurate insights into the biodiversity of megadiverse regions (e.g., the Neotropics) requires further evaluation to ensure its reliability for long-t­ erm monitoring. In this study, we first evaluated the taxonomic resolution capabilities of a short fragment from the 12S rRNA gene widely used in fish eDNA metabarcoding studies, and then compared eDNA metabarcoding data from water samples with traditional sampling using nets. For the taxonomic discriminatory power analysis, we used a specifically curated reference dataset consisting of 373 sequences from 258 neotropical fish species (including 47 newly generated sequences) to perform a genetic distance-­based analysis of the amplicons targeted by the MiFish primer set. We obtained an optimum delimitation threshold value of 0.5% due to lowest cumulative errors. The barcoding gap analysis revealed only a 51.55% success rate in species recovery (133/258), highlighting a poor taxonomic resolution from the targeted amplicon. To evaluate the empirical performance of this amplicon for biomonitoring, we assessed fish biodiversity using eDNA metabarcoding from water samples collected from the Amazon (Adolpho Ducke Forest Reserve and two additional locations outside the Reserve). From a total of 84 identified Molecular Operational Taxonomic Units (MOTUs), only four could be assigned to species level using a fixed threshold. Measures of α-­diversity analyses within the Reserve showed similar patterns in each site between the number of MOTUs (eDNA dataset) and species (netting data) found. However, β-d­ iversity revealed contrasting patterns between the methods. We therefore suggest that a new approach is needed, underpinned by sound taxonomic knowledge, and a more thorough evaluation of better molecular identification procedures such as multi-m­ arker metabarcoding approaches and tailor-m­ ade (i.e., order-s­ pecific) taxonomic delimitation thresholds.","container-title":"Environmental DNA","DOI":"10.1002/edn3.191","ISSN":"2637-4943, 2637-4943","issue":"4","journalAbbreviation":"Environmental DNA","language":"en","page":"837-849","source":"DOI.org (Crossref)","title":"eDNA in a bottleneck: Obstacles to fish metabarcoding studies in megadiverse freshwater systems","title-short":"eDNA in a bottleneck","volume":"3","author":[{"family":"Jackman","given":"Jake M."},{"fam</w:instrText>
      </w:r>
      <w:r w:rsidR="00E9149F" w:rsidRPr="00E9149F">
        <w:rPr>
          <w:rFonts w:ascii="Times New Roman" w:eastAsia="Times New Roman" w:hAnsi="Times New Roman" w:cs="Times New Roman"/>
          <w:sz w:val="24"/>
          <w:szCs w:val="24"/>
          <w:lang w:val="fr-FR"/>
        </w:rPr>
        <w:instrText xml:space="preserve">ily":"Benvenuto","given":"Chiara"},{"family":"Coscia","given":"Ilaria"},{"family":"Oliveira Carvalho","given":"Cintia"},{"family":"Ready","given":"Jonathan S."},{"family":"Boubli","given":"Jean P."},{"family":"Magnusson","given":"William E."},{"family":"McDevitt","given":"Allan D."},{"family":"Guimarães Sales","given":"Naiara"}],"issued":{"date-parts":[["2021",7]]}}},{"id":11383,"uris":["http://zotero.org/users/3033072/items/CDPM3DK7"],"uri":["http://zotero.org/users/3033072/items/CDPM3DK7"],"itemData":{"id":11383,"type":"article-journal","container-title":"Environmental DNA","DOI":"10.1002/edn3.232","ISSN":"2637-4943, 2637-4943","journalAbbreviation":"Environmental DNA","language":"en","page":"edn3.232","source":"DOI.org (Crossref)","title":"Comparing the performance of 12S mitochondrial primers for fish environmental DNA across ecosystems","author":[{"family":"Polanco","given":"Andrea"},{"family":"Richards","given":"Eilísh"},{"family":"Flück","given":"Benjamin"},{"family":"Valentini","given":"Alice"},{"family":"Altermatt","given":"Florian"},{"family":"Brosse","given":"Sébastien"},{"family":"Walser","given":"Jean‐Claude"},{"family":"Eme","given":"David"},{"family":"Marques","given":"Virginie"},{"family":"Manel","given":"Stéphanie"},{"family":"Albouy","given":"Camille"},{"family":"Dejean","given":"Tony"},{"family":"Pellissier","given":"Loïc"}],"issued":{"date-parts":[["2021",7,6]]}}}],"schema":"https://github.com/citation-style-language/schema/raw/master/csl-citation.json"} </w:instrText>
      </w:r>
      <w:r w:rsidR="00697862">
        <w:rPr>
          <w:rFonts w:ascii="Times New Roman" w:eastAsia="Times New Roman" w:hAnsi="Times New Roman" w:cs="Times New Roman"/>
          <w:sz w:val="24"/>
          <w:szCs w:val="24"/>
        </w:rPr>
        <w:fldChar w:fldCharType="separate"/>
      </w:r>
      <w:r w:rsidR="00E9149F" w:rsidRPr="00E9149F">
        <w:rPr>
          <w:rFonts w:ascii="Times New Roman" w:hAnsi="Times New Roman" w:cs="Times New Roman"/>
          <w:sz w:val="24"/>
          <w:lang w:val="fr-FR"/>
        </w:rPr>
        <w:t>(Kelly, Port, Yamahara, &amp; Crowder, 2014; M. Miya et al., 2015; Collins et al., 2019; Milan et al., 2020; Schenekar et al., 2020; Zhang, Zhao, &amp; Yao, 2020; Jackman et al., 2021; Polanco et al., 2021)</w:t>
      </w:r>
      <w:r w:rsidR="00697862">
        <w:rPr>
          <w:rFonts w:ascii="Times New Roman" w:eastAsia="Times New Roman" w:hAnsi="Times New Roman" w:cs="Times New Roman"/>
          <w:sz w:val="24"/>
          <w:szCs w:val="24"/>
        </w:rPr>
        <w:fldChar w:fldCharType="end"/>
      </w:r>
      <w:r w:rsidR="00697862">
        <w:rPr>
          <w:rFonts w:ascii="Times New Roman" w:eastAsia="Times New Roman" w:hAnsi="Times New Roman" w:cs="Times New Roman"/>
          <w:sz w:val="24"/>
          <w:szCs w:val="24"/>
          <w:lang w:val="fr-FR"/>
        </w:rPr>
        <w:t>.</w:t>
      </w:r>
      <w:r w:rsidRPr="00697862">
        <w:rPr>
          <w:rFonts w:ascii="Times New Roman" w:eastAsia="Times New Roman" w:hAnsi="Times New Roman" w:cs="Times New Roman"/>
          <w:sz w:val="24"/>
          <w:szCs w:val="24"/>
          <w:lang w:val="fr-FR"/>
        </w:rPr>
        <w:t xml:space="preserve"> </w:t>
      </w:r>
    </w:p>
    <w:p w14:paraId="3B7FEF60" w14:textId="5E2D3141" w:rsidR="00F30796" w:rsidRDefault="00653DEB" w:rsidP="002D0559">
      <w:pPr>
        <w:spacing w:after="0" w:line="480" w:lineRule="auto"/>
        <w:ind w:firstLine="22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Although the 12S region seems to </w:t>
      </w:r>
      <w:r w:rsidR="007C594F">
        <w:rPr>
          <w:rFonts w:ascii="Times New Roman" w:eastAsia="Times New Roman" w:hAnsi="Times New Roman" w:cs="Times New Roman"/>
          <w:sz w:val="24"/>
          <w:szCs w:val="24"/>
        </w:rPr>
        <w:t xml:space="preserve">be a clearly preferential target for metabarcoding </w:t>
      </w:r>
      <w:r w:rsidR="003B6945">
        <w:rPr>
          <w:rFonts w:ascii="Times New Roman" w:eastAsia="Times New Roman" w:hAnsi="Times New Roman" w:cs="Times New Roman"/>
          <w:sz w:val="24"/>
          <w:szCs w:val="24"/>
        </w:rPr>
        <w:t xml:space="preserve">of fishes </w:t>
      </w:r>
      <w:r w:rsidR="00697862">
        <w:rPr>
          <w:rFonts w:ascii="Times New Roman" w:eastAsia="Times New Roman" w:hAnsi="Times New Roman" w:cs="Times New Roman"/>
          <w:sz w:val="24"/>
          <w:szCs w:val="24"/>
        </w:rPr>
        <w:fldChar w:fldCharType="begin"/>
      </w:r>
      <w:r w:rsidR="00697862">
        <w:rPr>
          <w:rFonts w:ascii="Times New Roman" w:eastAsia="Times New Roman" w:hAnsi="Times New Roman" w:cs="Times New Roman"/>
          <w:sz w:val="24"/>
          <w:szCs w:val="24"/>
        </w:rPr>
        <w:instrText xml:space="preserve"> ADDIN ZOTERO_ITEM CSL_CITATION {"citationID":"kjweW6Gv","properties":{"formattedCitation":"(Zhang et al., 2020)","plainCitation":"(Zhang et al., 2020)","noteIndex":0},"citationItems":[{"id":10925,"uris":["http://zotero.org/users/3033072/items/3NRT9G2X"],"uri":["http://zotero.org/users/3033072/items/3NRT9G2X"],"itemData":{"id":10925,"type":"article-journal","container-title":"Methods in Ecology and Evolution","language":"en","page":"45","source":"Zotero","title":"A comprehensive and comparative evaluation of primers for metabarcoding eDNA from fish","author":[{"family":"Zhang","given":"Shan"},{"family":"Zhao","given":"Jindong"},{"family":"Yao","given":"Meng"}],"issued":{"date-parts":[["2020"]]}}}],"schema":"https://github.com/citation-style-language/schema/raw/master/csl-citation.json"} </w:instrText>
      </w:r>
      <w:r w:rsidR="00697862">
        <w:rPr>
          <w:rFonts w:ascii="Times New Roman" w:eastAsia="Times New Roman" w:hAnsi="Times New Roman" w:cs="Times New Roman"/>
          <w:sz w:val="24"/>
          <w:szCs w:val="24"/>
        </w:rPr>
        <w:fldChar w:fldCharType="separate"/>
      </w:r>
      <w:r w:rsidR="00697862" w:rsidRPr="00697862">
        <w:rPr>
          <w:rFonts w:ascii="Times New Roman" w:hAnsi="Times New Roman" w:cs="Times New Roman"/>
          <w:sz w:val="24"/>
        </w:rPr>
        <w:t>(Zhang et al., 2020)</w:t>
      </w:r>
      <w:r w:rsidR="00697862">
        <w:rPr>
          <w:rFonts w:ascii="Times New Roman" w:eastAsia="Times New Roman" w:hAnsi="Times New Roman" w:cs="Times New Roman"/>
          <w:sz w:val="24"/>
          <w:szCs w:val="24"/>
        </w:rPr>
        <w:fldChar w:fldCharType="end"/>
      </w:r>
      <w:r w:rsidR="007C594F">
        <w:rPr>
          <w:rFonts w:ascii="Times New Roman" w:eastAsia="Times New Roman" w:hAnsi="Times New Roman" w:cs="Times New Roman"/>
          <w:sz w:val="24"/>
          <w:szCs w:val="24"/>
        </w:rPr>
        <w:t xml:space="preserve">, there are different </w:t>
      </w:r>
      <w:r>
        <w:rPr>
          <w:rFonts w:ascii="Times New Roman" w:eastAsia="Times New Roman" w:hAnsi="Times New Roman" w:cs="Times New Roman"/>
          <w:sz w:val="24"/>
          <w:szCs w:val="24"/>
        </w:rPr>
        <w:t xml:space="preserve">12S </w:t>
      </w:r>
      <w:r w:rsidR="00134824" w:rsidRPr="00134824">
        <w:rPr>
          <w:rFonts w:ascii="Times New Roman" w:eastAsia="Times New Roman" w:hAnsi="Times New Roman" w:cs="Times New Roman"/>
          <w:sz w:val="24"/>
          <w:szCs w:val="24"/>
        </w:rPr>
        <w:t>primer</w:t>
      </w:r>
      <w:r w:rsidR="007C594F">
        <w:rPr>
          <w:rFonts w:ascii="Times New Roman" w:eastAsia="Times New Roman" w:hAnsi="Times New Roman" w:cs="Times New Roman"/>
          <w:sz w:val="24"/>
          <w:szCs w:val="24"/>
        </w:rPr>
        <w:t>s</w:t>
      </w:r>
      <w:r w:rsidR="00134824" w:rsidRPr="00134824">
        <w:rPr>
          <w:rFonts w:ascii="Times New Roman" w:eastAsia="Times New Roman" w:hAnsi="Times New Roman" w:cs="Times New Roman"/>
          <w:sz w:val="24"/>
          <w:szCs w:val="24"/>
        </w:rPr>
        <w:t xml:space="preserve"> available </w:t>
      </w:r>
      <w:r w:rsidR="003B6945">
        <w:rPr>
          <w:rFonts w:ascii="Times New Roman" w:eastAsia="Times New Roman" w:hAnsi="Times New Roman" w:cs="Times New Roman"/>
          <w:sz w:val="24"/>
          <w:szCs w:val="24"/>
        </w:rPr>
        <w:t>potentially resulting</w:t>
      </w:r>
      <w:r w:rsidR="007C594F">
        <w:rPr>
          <w:rFonts w:ascii="Times New Roman" w:eastAsia="Times New Roman" w:hAnsi="Times New Roman" w:cs="Times New Roman"/>
          <w:sz w:val="24"/>
          <w:szCs w:val="24"/>
        </w:rPr>
        <w:t xml:space="preserve"> in trade-offs </w:t>
      </w:r>
      <w:r w:rsidR="00F937C2">
        <w:rPr>
          <w:rFonts w:ascii="Times New Roman" w:eastAsia="Times New Roman" w:hAnsi="Times New Roman" w:cs="Times New Roman"/>
          <w:sz w:val="24"/>
          <w:szCs w:val="24"/>
        </w:rPr>
        <w:t>between</w:t>
      </w:r>
      <w:r w:rsidR="007C594F">
        <w:rPr>
          <w:rFonts w:ascii="Times New Roman" w:eastAsia="Times New Roman" w:hAnsi="Times New Roman" w:cs="Times New Roman"/>
          <w:sz w:val="24"/>
          <w:szCs w:val="24"/>
        </w:rPr>
        <w:t xml:space="preserve"> primer. For example, d</w:t>
      </w:r>
      <w:r w:rsidR="00134824" w:rsidRPr="00134824">
        <w:rPr>
          <w:rFonts w:ascii="Times New Roman" w:eastAsia="Times New Roman" w:hAnsi="Times New Roman" w:cs="Times New Roman"/>
          <w:sz w:val="24"/>
          <w:szCs w:val="24"/>
        </w:rPr>
        <w:t>ifferent</w:t>
      </w:r>
      <w:r w:rsidR="004C7DF8">
        <w:rPr>
          <w:rFonts w:ascii="Times New Roman" w:eastAsia="Times New Roman" w:hAnsi="Times New Roman" w:cs="Times New Roman"/>
          <w:sz w:val="24"/>
          <w:szCs w:val="24"/>
        </w:rPr>
        <w:t xml:space="preserve"> </w:t>
      </w:r>
      <w:r w:rsidR="00227681">
        <w:rPr>
          <w:rFonts w:ascii="Times New Roman" w:eastAsia="Times New Roman" w:hAnsi="Times New Roman" w:cs="Times New Roman"/>
          <w:sz w:val="24"/>
          <w:szCs w:val="24"/>
        </w:rPr>
        <w:t xml:space="preserve">primer pairs </w:t>
      </w:r>
      <w:r w:rsidR="007C594F">
        <w:rPr>
          <w:rFonts w:ascii="Times New Roman" w:eastAsia="Times New Roman" w:hAnsi="Times New Roman" w:cs="Times New Roman"/>
          <w:sz w:val="24"/>
          <w:szCs w:val="24"/>
        </w:rPr>
        <w:t xml:space="preserve">may </w:t>
      </w:r>
      <w:r w:rsidR="00134824">
        <w:rPr>
          <w:rFonts w:ascii="Times New Roman" w:eastAsia="Times New Roman" w:hAnsi="Times New Roman" w:cs="Times New Roman"/>
          <w:sz w:val="24"/>
          <w:szCs w:val="24"/>
        </w:rPr>
        <w:t xml:space="preserve">vary </w:t>
      </w:r>
      <w:r w:rsidR="00227681">
        <w:rPr>
          <w:rFonts w:ascii="Times New Roman" w:eastAsia="Times New Roman" w:hAnsi="Times New Roman" w:cs="Times New Roman"/>
          <w:sz w:val="24"/>
          <w:szCs w:val="24"/>
        </w:rPr>
        <w:t xml:space="preserve">in (1) DNA amplification efficiency, (2) </w:t>
      </w:r>
      <w:r w:rsidR="007C594F">
        <w:rPr>
          <w:rFonts w:ascii="Times New Roman" w:eastAsia="Times New Roman" w:hAnsi="Times New Roman" w:cs="Times New Roman"/>
          <w:sz w:val="24"/>
          <w:szCs w:val="24"/>
        </w:rPr>
        <w:t xml:space="preserve">the </w:t>
      </w:r>
      <w:r w:rsidR="00134824" w:rsidRPr="00134824">
        <w:rPr>
          <w:rFonts w:ascii="Times New Roman" w:eastAsia="Times New Roman" w:hAnsi="Times New Roman" w:cs="Times New Roman"/>
          <w:sz w:val="24"/>
          <w:szCs w:val="24"/>
        </w:rPr>
        <w:t>ability to discriminate between closely-related species</w:t>
      </w:r>
      <w:r w:rsidR="00784E00">
        <w:rPr>
          <w:rFonts w:ascii="Times New Roman" w:eastAsia="Times New Roman" w:hAnsi="Times New Roman" w:cs="Times New Roman"/>
          <w:sz w:val="24"/>
          <w:szCs w:val="24"/>
        </w:rPr>
        <w:t xml:space="preserve">, and </w:t>
      </w:r>
      <w:r w:rsidR="00227681">
        <w:rPr>
          <w:rFonts w:ascii="Times New Roman" w:eastAsia="Times New Roman" w:hAnsi="Times New Roman" w:cs="Times New Roman"/>
          <w:sz w:val="24"/>
          <w:szCs w:val="24"/>
        </w:rPr>
        <w:t xml:space="preserve">(3) </w:t>
      </w:r>
      <w:r w:rsidR="00784E00" w:rsidRPr="00784E00">
        <w:rPr>
          <w:rFonts w:ascii="Times New Roman" w:eastAsia="Times New Roman" w:hAnsi="Times New Roman" w:cs="Times New Roman"/>
          <w:sz w:val="24"/>
          <w:szCs w:val="24"/>
        </w:rPr>
        <w:t>the availability of reference sequences to enable confident identification to species leve</w:t>
      </w:r>
      <w:r w:rsidR="00784E00">
        <w:rPr>
          <w:rFonts w:ascii="Times New Roman" w:eastAsia="Times New Roman" w:hAnsi="Times New Roman" w:cs="Times New Roman"/>
          <w:sz w:val="24"/>
          <w:szCs w:val="24"/>
        </w:rPr>
        <w:t>l</w:t>
      </w:r>
      <w:r w:rsidR="00784E00" w:rsidRPr="00784E00">
        <w:rPr>
          <w:rFonts w:ascii="Times New Roman" w:eastAsia="Times New Roman" w:hAnsi="Times New Roman" w:cs="Times New Roman"/>
          <w:sz w:val="24"/>
          <w:szCs w:val="24"/>
        </w:rPr>
        <w:t xml:space="preserve"> </w:t>
      </w:r>
      <w:r w:rsidR="006F3434">
        <w:rPr>
          <w:rFonts w:ascii="Times New Roman" w:eastAsia="Times New Roman" w:hAnsi="Times New Roman" w:cs="Times New Roman"/>
          <w:sz w:val="24"/>
          <w:szCs w:val="24"/>
        </w:rPr>
        <w:fldChar w:fldCharType="begin"/>
      </w:r>
      <w:r w:rsidR="006F3434">
        <w:rPr>
          <w:rFonts w:ascii="Times New Roman" w:eastAsia="Times New Roman" w:hAnsi="Times New Roman" w:cs="Times New Roman"/>
          <w:sz w:val="24"/>
          <w:szCs w:val="24"/>
        </w:rPr>
        <w:instrText xml:space="preserve"> ADDIN ZOTERO_ITEM CSL_CITATION {"citationID":"BebzVUzK","properties":{"formattedCitation":"(Polanco et al., 2021)","plainCitation":"(Polanco et al., 2021)","noteIndex":0},"citationItems":[{"id":11383,"uris":["http://zotero.org/users/3033072/items/CDPM3DK7"],"uri":["http://zotero.org/users/3033072/items/CDPM3DK7"],"itemData":{"id":11383,"type":"article-journal","container-title":"Environmental DNA","DOI":"10.1002/edn3.232","ISSN":"2637-4943, 2637-4943","journalAbbreviation":"Environmental DNA","language":"en","page":"edn3.232","source":"DOI.org (Crossref)","title":"Comparing the performance of 12S mitochondrial primers for fish environmental DNA across ecosystems","author":[{"family":"Polanco","given":"Andrea"},{"family":"Richards","given":"Eilísh"},{"family":"Flück","given":"Benjamin"},{"family":"Valentini","given":"Alice"},{"family":"Altermatt","given":"Florian"},{"family":"Brosse","given":"Sébastien"},{"family":"Walser","given":"Jean‐Claude"},{"family":"Eme","given":"David"},{"family":"Marques","given":"Virginie"},{"family":"Manel","given":"Stéphanie"},{"family":"Albouy","given":"Camille"},{"family":"Dejean","given":"Tony"},{"family":"Pellissier","given":"Loïc"}],"issued":{"date-parts":[["2021",7,6]]}}}],"schema":"https://github.com/citation-style-language/schema/raw/master/csl-citation.json"} </w:instrText>
      </w:r>
      <w:r w:rsidR="006F3434">
        <w:rPr>
          <w:rFonts w:ascii="Times New Roman" w:eastAsia="Times New Roman" w:hAnsi="Times New Roman" w:cs="Times New Roman"/>
          <w:sz w:val="24"/>
          <w:szCs w:val="24"/>
        </w:rPr>
        <w:fldChar w:fldCharType="separate"/>
      </w:r>
      <w:r w:rsidR="006F3434" w:rsidRPr="006F3434">
        <w:rPr>
          <w:rFonts w:ascii="Times New Roman" w:hAnsi="Times New Roman" w:cs="Times New Roman"/>
          <w:sz w:val="24"/>
        </w:rPr>
        <w:t>(Polanco et al., 2021)</w:t>
      </w:r>
      <w:r w:rsidR="006F3434">
        <w:rPr>
          <w:rFonts w:ascii="Times New Roman" w:eastAsia="Times New Roman" w:hAnsi="Times New Roman" w:cs="Times New Roman"/>
          <w:sz w:val="24"/>
          <w:szCs w:val="24"/>
        </w:rPr>
        <w:fldChar w:fldCharType="end"/>
      </w:r>
      <w:r w:rsidR="00227681">
        <w:rPr>
          <w:rFonts w:ascii="Times New Roman" w:eastAsia="Times New Roman" w:hAnsi="Times New Roman" w:cs="Times New Roman"/>
          <w:sz w:val="24"/>
          <w:szCs w:val="24"/>
        </w:rPr>
        <w:t xml:space="preserve">. These performance indicators can </w:t>
      </w:r>
      <w:r w:rsidR="00F937C2">
        <w:rPr>
          <w:rFonts w:ascii="Times New Roman" w:eastAsia="Times New Roman" w:hAnsi="Times New Roman" w:cs="Times New Roman"/>
          <w:sz w:val="24"/>
          <w:szCs w:val="24"/>
        </w:rPr>
        <w:t xml:space="preserve">vary </w:t>
      </w:r>
      <w:r w:rsidR="00C76994">
        <w:rPr>
          <w:rFonts w:ascii="Times New Roman" w:eastAsia="Times New Roman" w:hAnsi="Times New Roman" w:cs="Times New Roman"/>
          <w:sz w:val="24"/>
          <w:szCs w:val="24"/>
        </w:rPr>
        <w:t xml:space="preserve">even </w:t>
      </w:r>
      <w:r w:rsidR="00525114">
        <w:rPr>
          <w:rFonts w:ascii="Times New Roman" w:eastAsia="Times New Roman" w:hAnsi="Times New Roman" w:cs="Times New Roman"/>
          <w:sz w:val="24"/>
          <w:szCs w:val="24"/>
        </w:rPr>
        <w:t>for the same primer</w:t>
      </w:r>
      <w:r w:rsidR="00227681">
        <w:rPr>
          <w:rFonts w:ascii="Times New Roman" w:eastAsia="Times New Roman" w:hAnsi="Times New Roman" w:cs="Times New Roman"/>
          <w:sz w:val="24"/>
          <w:szCs w:val="24"/>
        </w:rPr>
        <w:t xml:space="preserve"> among taxonomic groups </w:t>
      </w:r>
      <w:r w:rsidR="00525114">
        <w:rPr>
          <w:rFonts w:ascii="Times New Roman" w:eastAsia="Times New Roman" w:hAnsi="Times New Roman" w:cs="Times New Roman"/>
          <w:sz w:val="24"/>
          <w:szCs w:val="24"/>
        </w:rPr>
        <w:t xml:space="preserve">(e.g. families), complicating the process of primer choice. </w:t>
      </w:r>
    </w:p>
    <w:p w14:paraId="1BB7CB12" w14:textId="4A736DB2" w:rsidR="00441D19" w:rsidRDefault="00441D19" w:rsidP="00441D19">
      <w:pPr>
        <w:spacing w:after="0" w:line="480" w:lineRule="auto"/>
        <w:ind w:firstLine="22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A </w:t>
      </w:r>
      <w:r w:rsidR="00303CBF">
        <w:rPr>
          <w:rFonts w:ascii="Times New Roman" w:eastAsia="Times New Roman" w:hAnsi="Times New Roman" w:cs="Times New Roman"/>
          <w:sz w:val="24"/>
          <w:szCs w:val="24"/>
        </w:rPr>
        <w:t xml:space="preserve">possibility to resolve trade-offs in primer choice that is increasingly applied </w:t>
      </w:r>
      <w:r w:rsidR="00951C8D">
        <w:rPr>
          <w:rFonts w:ascii="Times New Roman" w:eastAsia="Times New Roman" w:hAnsi="Times New Roman" w:cs="Times New Roman"/>
          <w:sz w:val="24"/>
          <w:szCs w:val="24"/>
        </w:rPr>
        <w:fldChar w:fldCharType="begin"/>
      </w:r>
      <w:r w:rsidR="00951C8D">
        <w:rPr>
          <w:rFonts w:ascii="Times New Roman" w:eastAsia="Times New Roman" w:hAnsi="Times New Roman" w:cs="Times New Roman"/>
          <w:sz w:val="24"/>
          <w:szCs w:val="24"/>
        </w:rPr>
        <w:instrText xml:space="preserve"> ADDIN ZOTERO_ITEM CSL_CITATION {"citationID":"dvWC4t61","properties":{"formattedCitation":"(Blackman et al., 2021)","plainCitation":"(Blackman et al., 2021)","noteIndex":0},"citationItems":[{"id":11157,"uris":["http://zotero.org/users/3033072/items/9ERG8V2D"],"uri":["http://zotero.org/users/3033072/items/9ERG8V2D"],"itemData":{"id":11157,"type":"article-journal","abstract":"Abstract\n            \n              Large tropical and subtropical rivers are among the most biodiverse ecosystems worldwide, but also suffer from high anthropogenic pressures. These rivers are hitherto subject to little or no routine biomonitoring, which would be essential for identification of conservation areas of high importance. Here, we use a single environmental DNA multi-site sampling campaign across the 200,000 km\n              2\n              Chao Phraya river basin, Thailand, to provide key information on fish diversity. We found a total of 108 fish taxa and identified key biodiversity patterns within the river network. By using hierarchical clustering, we grouped the fish communities of all sites across the catchment into distinct clusters. The clusters not only accurately matched the topology of the river network, but also revealed distinct groups of sites enabling informed conservation measures. Our study reveals novel opportunities of large-scale monitoring via eDNA to identify relevant areas within whole river catchments for conservation and habitat protection.","container-title":"Scientific Reports","DOI":"10.1038/s41598-021-89942-6","ISSN":"2045-2322","issue":"1","journalAbbreviation":"Sci Rep","language":"en","page":"10375","source":"DOI.org (Crossref)","title":"Mapping biodiversity hotspots of fish communities in subtropical streams through environmental DNA","volume":"11","author":[{"family":"Blackman","given":"Rosetta C."},{"family":"Osathanunkul","given":"Maslin"},{"family":"Brantschen","given":"Jeanine"},{"family":"Di Muri","given":"Cristina"},{"family":"Harper","given":"Lynsey R."},{"family":"Mächler","given":"Elvira"},{"family":"Hänfling","given":"Bernd"},{"family":"Altermatt","given":"Florian"}],"issued":{"date-parts":[["2021",12]]}}}],"schema":"https://github.com/citation-style-language/schema/raw/master/csl-citation.json"} </w:instrText>
      </w:r>
      <w:r w:rsidR="00951C8D">
        <w:rPr>
          <w:rFonts w:ascii="Times New Roman" w:eastAsia="Times New Roman" w:hAnsi="Times New Roman" w:cs="Times New Roman"/>
          <w:sz w:val="24"/>
          <w:szCs w:val="24"/>
        </w:rPr>
        <w:fldChar w:fldCharType="separate"/>
      </w:r>
      <w:r w:rsidR="00951C8D" w:rsidRPr="00951C8D">
        <w:rPr>
          <w:rFonts w:ascii="Times New Roman" w:hAnsi="Times New Roman" w:cs="Times New Roman"/>
          <w:sz w:val="24"/>
        </w:rPr>
        <w:t>(Blackman et al., 2021)</w:t>
      </w:r>
      <w:r w:rsidR="00951C8D">
        <w:rPr>
          <w:rFonts w:ascii="Times New Roman" w:eastAsia="Times New Roman" w:hAnsi="Times New Roman" w:cs="Times New Roman"/>
          <w:sz w:val="24"/>
          <w:szCs w:val="24"/>
        </w:rPr>
        <w:fldChar w:fldCharType="end"/>
      </w:r>
      <w:r w:rsidR="00303CBF">
        <w:rPr>
          <w:rFonts w:ascii="Times New Roman" w:eastAsia="Times New Roman" w:hAnsi="Times New Roman" w:cs="Times New Roman"/>
          <w:sz w:val="24"/>
          <w:szCs w:val="24"/>
        </w:rPr>
        <w:t xml:space="preserve"> is </w:t>
      </w:r>
      <w:r w:rsidR="0057032C">
        <w:rPr>
          <w:rFonts w:ascii="Times New Roman" w:eastAsia="Times New Roman" w:hAnsi="Times New Roman" w:cs="Times New Roman"/>
          <w:sz w:val="24"/>
          <w:szCs w:val="24"/>
        </w:rPr>
        <w:t>the</w:t>
      </w:r>
      <w:r w:rsidR="00303CBF">
        <w:rPr>
          <w:rFonts w:ascii="Times New Roman" w:eastAsia="Times New Roman" w:hAnsi="Times New Roman" w:cs="Times New Roman"/>
          <w:sz w:val="24"/>
          <w:szCs w:val="24"/>
        </w:rPr>
        <w:t xml:space="preserve"> use </w:t>
      </w:r>
      <w:r w:rsidR="0057032C">
        <w:rPr>
          <w:rFonts w:ascii="Times New Roman" w:eastAsia="Times New Roman" w:hAnsi="Times New Roman" w:cs="Times New Roman"/>
          <w:sz w:val="24"/>
          <w:szCs w:val="24"/>
        </w:rPr>
        <w:t xml:space="preserve">of </w:t>
      </w:r>
      <w:r w:rsidR="00303CBF">
        <w:rPr>
          <w:rFonts w:ascii="Times New Roman" w:eastAsia="Times New Roman" w:hAnsi="Times New Roman" w:cs="Times New Roman"/>
          <w:sz w:val="24"/>
          <w:szCs w:val="24"/>
        </w:rPr>
        <w:t xml:space="preserve">multiple primer pairs for analysing the same </w:t>
      </w:r>
      <w:r w:rsidR="0057032C">
        <w:rPr>
          <w:rFonts w:ascii="Times New Roman" w:eastAsia="Times New Roman" w:hAnsi="Times New Roman" w:cs="Times New Roman"/>
          <w:sz w:val="24"/>
          <w:szCs w:val="24"/>
        </w:rPr>
        <w:t xml:space="preserve">set of </w:t>
      </w:r>
      <w:r w:rsidR="00303CBF">
        <w:rPr>
          <w:rFonts w:ascii="Times New Roman" w:eastAsia="Times New Roman" w:hAnsi="Times New Roman" w:cs="Times New Roman"/>
          <w:sz w:val="24"/>
          <w:szCs w:val="24"/>
        </w:rPr>
        <w:t>samples</w:t>
      </w:r>
      <w:r w:rsidR="00F30796">
        <w:rPr>
          <w:rFonts w:ascii="Times New Roman" w:eastAsia="Times New Roman" w:hAnsi="Times New Roman" w:cs="Times New Roman"/>
          <w:sz w:val="24"/>
          <w:szCs w:val="24"/>
        </w:rPr>
        <w:t xml:space="preserve">. </w:t>
      </w:r>
      <w:r w:rsidR="00833F7E">
        <w:rPr>
          <w:rFonts w:ascii="Times New Roman" w:eastAsia="Times New Roman" w:hAnsi="Times New Roman" w:cs="Times New Roman"/>
          <w:sz w:val="24"/>
          <w:szCs w:val="24"/>
        </w:rPr>
        <w:t xml:space="preserve">Such multi-primer approaches can especially be advantageous in </w:t>
      </w:r>
      <w:r w:rsidR="009534D0">
        <w:rPr>
          <w:rFonts w:ascii="Times New Roman" w:eastAsia="Times New Roman" w:hAnsi="Times New Roman" w:cs="Times New Roman"/>
          <w:sz w:val="24"/>
          <w:szCs w:val="24"/>
        </w:rPr>
        <w:t>high</w:t>
      </w:r>
      <w:r w:rsidR="00C76994">
        <w:rPr>
          <w:rFonts w:ascii="Times New Roman" w:eastAsia="Times New Roman" w:hAnsi="Times New Roman" w:cs="Times New Roman"/>
          <w:sz w:val="24"/>
          <w:szCs w:val="24"/>
        </w:rPr>
        <w:t>ly</w:t>
      </w:r>
      <w:r w:rsidR="009534D0">
        <w:rPr>
          <w:rFonts w:ascii="Times New Roman" w:eastAsia="Times New Roman" w:hAnsi="Times New Roman" w:cs="Times New Roman"/>
          <w:sz w:val="24"/>
          <w:szCs w:val="24"/>
        </w:rPr>
        <w:t xml:space="preserve"> divers</w:t>
      </w:r>
      <w:r w:rsidR="00C76994">
        <w:rPr>
          <w:rFonts w:ascii="Times New Roman" w:eastAsia="Times New Roman" w:hAnsi="Times New Roman" w:cs="Times New Roman"/>
          <w:sz w:val="24"/>
          <w:szCs w:val="24"/>
        </w:rPr>
        <w:t>e</w:t>
      </w:r>
      <w:r w:rsidR="009534D0">
        <w:rPr>
          <w:rFonts w:ascii="Times New Roman" w:eastAsia="Times New Roman" w:hAnsi="Times New Roman" w:cs="Times New Roman"/>
          <w:sz w:val="24"/>
          <w:szCs w:val="24"/>
        </w:rPr>
        <w:t xml:space="preserve"> </w:t>
      </w:r>
      <w:r w:rsidR="00833F7E">
        <w:rPr>
          <w:rFonts w:ascii="Times New Roman" w:eastAsia="Times New Roman" w:hAnsi="Times New Roman" w:cs="Times New Roman"/>
          <w:sz w:val="24"/>
          <w:szCs w:val="24"/>
        </w:rPr>
        <w:t>tropical</w:t>
      </w:r>
      <w:r w:rsidR="00227681">
        <w:rPr>
          <w:rFonts w:ascii="Times New Roman" w:eastAsia="Times New Roman" w:hAnsi="Times New Roman" w:cs="Times New Roman"/>
          <w:sz w:val="24"/>
          <w:szCs w:val="24"/>
        </w:rPr>
        <w:t xml:space="preserve"> regions</w:t>
      </w:r>
      <w:r w:rsidR="00833F7E">
        <w:rPr>
          <w:rFonts w:ascii="Times New Roman" w:eastAsia="Times New Roman" w:hAnsi="Times New Roman" w:cs="Times New Roman"/>
          <w:sz w:val="24"/>
          <w:szCs w:val="24"/>
        </w:rPr>
        <w:t xml:space="preserve"> as primers are primarily developed and tested in temperate regions </w:t>
      </w:r>
      <w:r w:rsidR="001F23D8">
        <w:rPr>
          <w:rFonts w:ascii="Times New Roman" w:eastAsia="Times New Roman" w:hAnsi="Times New Roman" w:cs="Times New Roman"/>
          <w:sz w:val="24"/>
          <w:szCs w:val="24"/>
        </w:rPr>
        <w:t xml:space="preserve">and </w:t>
      </w:r>
      <w:r w:rsidR="009534D0">
        <w:rPr>
          <w:rFonts w:ascii="Times New Roman" w:eastAsia="Times New Roman" w:hAnsi="Times New Roman" w:cs="Times New Roman"/>
          <w:sz w:val="24"/>
          <w:szCs w:val="24"/>
        </w:rPr>
        <w:t xml:space="preserve">primer choice </w:t>
      </w:r>
      <w:r w:rsidR="001F23D8">
        <w:rPr>
          <w:rFonts w:ascii="Times New Roman" w:eastAsia="Times New Roman" w:hAnsi="Times New Roman" w:cs="Times New Roman"/>
          <w:sz w:val="24"/>
          <w:szCs w:val="24"/>
        </w:rPr>
        <w:t xml:space="preserve">trade-offs in tropical environments are largely underexplored </w:t>
      </w:r>
      <w:r w:rsidR="001B499F">
        <w:rPr>
          <w:rFonts w:ascii="Times New Roman" w:eastAsia="Times New Roman" w:hAnsi="Times New Roman" w:cs="Times New Roman"/>
          <w:sz w:val="24"/>
          <w:szCs w:val="24"/>
        </w:rPr>
        <w:fldChar w:fldCharType="begin"/>
      </w:r>
      <w:r w:rsidR="001B499F">
        <w:rPr>
          <w:rFonts w:ascii="Times New Roman" w:eastAsia="Times New Roman" w:hAnsi="Times New Roman" w:cs="Times New Roman"/>
          <w:sz w:val="24"/>
          <w:szCs w:val="24"/>
        </w:rPr>
        <w:instrText xml:space="preserve"> ADDIN ZOTERO_ITEM CSL_CITATION {"citationID":"vy7P4qXC","properties":{"formattedCitation":"(Jerde, Wilson, &amp; Dressler, 2019)","plainCitation":"(Jerde, Wilson, &amp; Dressler, 2019)","noteIndex":0},"citationItems":[{"id":6161,"uris":["http://zotero.org/users/3033072/items/T4NCYJJV"],"uri":["http://zotero.org/users/3033072/items/T4NCYJJV"],"itemData":{"id":6161,"type":"article-journal","abstract":"Despite mounting threats to global freshwater and marine biodiversity, including climate change, habitat alteration, overharvesting and pollution, we struggle to know which species are present below the water's surface that are suffering from these stressors. However, the idea that a water sample containing environmental DNA (eDNA) can be screened using high‐throughput sequencing and bioinformatics to reveal the identity of aquatic species is a revolutionary advance for studying the patterns of species extirpation, invasive species establishment and the dynamics of species richness. To date, many of the critical tests of fisheries diversity using this metabarcoding approach have been conducted in lower diversity systems (&lt;40 fish species), but in this issue of Molecular Ecology Resources, Cilleros et al. (2018) described their eDNA application in the species‐rich French Guiana fishery (&gt;200 fish species) and showed the greater potential and some limitations of using eDNA in species‐rich environments.","container-title":"Molecular Ecology Resources","DOI":"10.1111/1755-0998.12929","ISSN":"1755098X","issue":"1","language":"en","page":"19-22","source":"Crossref","title":"Measuring global fish species richness with eDNA metabarcoding","volume":"19","author":[{"family":"Jerde","given":"Christopher L."},{"family":"Wilson","given":"Emily A."},{"family":"Dressler","given":"Terra L."}],"issued":{"date-parts":[["2019",1]]}}}],"schema":"https://github.com/citation-style-language/schema/raw/master/csl-citation.json"} </w:instrText>
      </w:r>
      <w:r w:rsidR="001B499F">
        <w:rPr>
          <w:rFonts w:ascii="Times New Roman" w:eastAsia="Times New Roman" w:hAnsi="Times New Roman" w:cs="Times New Roman"/>
          <w:sz w:val="24"/>
          <w:szCs w:val="24"/>
        </w:rPr>
        <w:fldChar w:fldCharType="separate"/>
      </w:r>
      <w:r w:rsidR="001B499F" w:rsidRPr="001B499F">
        <w:rPr>
          <w:rFonts w:ascii="Times New Roman" w:hAnsi="Times New Roman" w:cs="Times New Roman"/>
          <w:sz w:val="24"/>
        </w:rPr>
        <w:t>(Jerde, Wilson, &amp; Dressler, 2019)</w:t>
      </w:r>
      <w:r w:rsidR="001B499F">
        <w:rPr>
          <w:rFonts w:ascii="Times New Roman" w:eastAsia="Times New Roman" w:hAnsi="Times New Roman" w:cs="Times New Roman"/>
          <w:sz w:val="24"/>
          <w:szCs w:val="24"/>
        </w:rPr>
        <w:fldChar w:fldCharType="end"/>
      </w:r>
      <w:r w:rsidR="00227681">
        <w:rPr>
          <w:rFonts w:ascii="Times New Roman" w:eastAsia="Times New Roman" w:hAnsi="Times New Roman" w:cs="Times New Roman"/>
          <w:sz w:val="24"/>
          <w:szCs w:val="24"/>
        </w:rPr>
        <w:t>.</w:t>
      </w:r>
      <w:r w:rsidR="00833F7E">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 xml:space="preserve">However, </w:t>
      </w:r>
      <w:r w:rsidR="001F23D8">
        <w:rPr>
          <w:rFonts w:ascii="Times New Roman" w:eastAsia="Times New Roman" w:hAnsi="Times New Roman" w:cs="Times New Roman"/>
          <w:sz w:val="24"/>
          <w:szCs w:val="24"/>
        </w:rPr>
        <w:t>the data generated from multiple primer sets is not always straight forward to interpret as biodiversity patterns and the occurrence of priority</w:t>
      </w:r>
      <w:r w:rsidR="00C76994">
        <w:rPr>
          <w:rFonts w:ascii="Times New Roman" w:eastAsia="Times New Roman" w:hAnsi="Times New Roman" w:cs="Times New Roman"/>
          <w:sz w:val="24"/>
          <w:szCs w:val="24"/>
        </w:rPr>
        <w:t xml:space="preserve"> conservation</w:t>
      </w:r>
      <w:r w:rsidR="001F23D8">
        <w:rPr>
          <w:rFonts w:ascii="Times New Roman" w:eastAsia="Times New Roman" w:hAnsi="Times New Roman" w:cs="Times New Roman"/>
          <w:sz w:val="24"/>
          <w:szCs w:val="24"/>
        </w:rPr>
        <w:t xml:space="preserve"> species might differ between datasets. </w:t>
      </w:r>
      <w:r w:rsidR="000123A9">
        <w:rPr>
          <w:rFonts w:ascii="Times New Roman" w:eastAsia="Times New Roman" w:hAnsi="Times New Roman" w:cs="Times New Roman"/>
          <w:sz w:val="24"/>
          <w:szCs w:val="24"/>
        </w:rPr>
        <w:t xml:space="preserve">The development of data merging techniques that </w:t>
      </w:r>
      <w:r w:rsidR="00CF5149">
        <w:rPr>
          <w:rFonts w:ascii="Times New Roman" w:eastAsia="Times New Roman" w:hAnsi="Times New Roman" w:cs="Times New Roman"/>
          <w:sz w:val="24"/>
          <w:szCs w:val="24"/>
        </w:rPr>
        <w:t>can</w:t>
      </w:r>
      <w:r w:rsidR="000123A9">
        <w:rPr>
          <w:rFonts w:ascii="Times New Roman" w:eastAsia="Times New Roman" w:hAnsi="Times New Roman" w:cs="Times New Roman"/>
          <w:sz w:val="24"/>
          <w:szCs w:val="24"/>
        </w:rPr>
        <w:t xml:space="preserve"> combine information gathered by applying two or more primer sets could therefore help to </w:t>
      </w:r>
      <w:r w:rsidR="00875D39">
        <w:rPr>
          <w:rFonts w:ascii="Times New Roman" w:eastAsia="Times New Roman" w:hAnsi="Times New Roman" w:cs="Times New Roman"/>
          <w:sz w:val="24"/>
          <w:szCs w:val="24"/>
        </w:rPr>
        <w:t xml:space="preserve">generate more complete community data supporting the management of </w:t>
      </w:r>
      <w:r w:rsidR="007919D4">
        <w:rPr>
          <w:rFonts w:ascii="Times New Roman" w:eastAsia="Times New Roman" w:hAnsi="Times New Roman" w:cs="Times New Roman"/>
          <w:sz w:val="24"/>
          <w:szCs w:val="24"/>
        </w:rPr>
        <w:t xml:space="preserve">extensive </w:t>
      </w:r>
      <w:r w:rsidR="00875D39">
        <w:rPr>
          <w:rFonts w:ascii="Times New Roman" w:eastAsia="Times New Roman" w:hAnsi="Times New Roman" w:cs="Times New Roman"/>
          <w:sz w:val="24"/>
          <w:szCs w:val="24"/>
        </w:rPr>
        <w:t xml:space="preserve">tropical </w:t>
      </w:r>
      <w:r w:rsidR="004E1A4E">
        <w:rPr>
          <w:rFonts w:ascii="Times New Roman" w:eastAsia="Times New Roman" w:hAnsi="Times New Roman" w:cs="Times New Roman"/>
          <w:sz w:val="24"/>
          <w:szCs w:val="24"/>
        </w:rPr>
        <w:t xml:space="preserve">coastlines. </w:t>
      </w:r>
      <w:r w:rsidR="00875D39">
        <w:rPr>
          <w:rFonts w:ascii="Times New Roman" w:eastAsia="Times New Roman" w:hAnsi="Times New Roman" w:cs="Times New Roman"/>
          <w:sz w:val="24"/>
          <w:szCs w:val="24"/>
        </w:rPr>
        <w:t xml:space="preserve">   </w:t>
      </w:r>
      <w:r w:rsidR="001F23D8">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 xml:space="preserve"> </w:t>
      </w:r>
    </w:p>
    <w:p w14:paraId="3366FA58" w14:textId="2A51B53F" w:rsidR="00EB3F65" w:rsidRDefault="00072285" w:rsidP="00F50830">
      <w:pPr>
        <w:spacing w:after="0" w:line="480" w:lineRule="auto"/>
        <w:ind w:firstLine="22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In this study, we</w:t>
      </w:r>
      <w:r w:rsidR="00227681">
        <w:rPr>
          <w:rFonts w:ascii="Times New Roman" w:eastAsia="Times New Roman" w:hAnsi="Times New Roman" w:cs="Times New Roman"/>
          <w:sz w:val="24"/>
          <w:szCs w:val="24"/>
        </w:rPr>
        <w:t xml:space="preserve"> </w:t>
      </w:r>
      <w:r w:rsidR="00F50830">
        <w:rPr>
          <w:rFonts w:ascii="Times New Roman" w:eastAsia="Times New Roman" w:hAnsi="Times New Roman" w:cs="Times New Roman"/>
          <w:sz w:val="24"/>
          <w:szCs w:val="24"/>
        </w:rPr>
        <w:t>evaluate</w:t>
      </w:r>
      <w:r w:rsidR="00227681">
        <w:rPr>
          <w:rFonts w:ascii="Times New Roman" w:eastAsia="Times New Roman" w:hAnsi="Times New Roman" w:cs="Times New Roman"/>
          <w:sz w:val="24"/>
          <w:szCs w:val="24"/>
        </w:rPr>
        <w:t xml:space="preserve"> the </w:t>
      </w:r>
      <w:r w:rsidR="00860824">
        <w:rPr>
          <w:rFonts w:ascii="Times New Roman" w:eastAsia="Times New Roman" w:hAnsi="Times New Roman" w:cs="Times New Roman"/>
          <w:sz w:val="24"/>
          <w:szCs w:val="24"/>
        </w:rPr>
        <w:t xml:space="preserve">potential </w:t>
      </w:r>
      <w:r>
        <w:rPr>
          <w:rFonts w:ascii="Times New Roman" w:eastAsia="Times New Roman" w:hAnsi="Times New Roman" w:cs="Times New Roman"/>
          <w:sz w:val="24"/>
          <w:szCs w:val="24"/>
        </w:rPr>
        <w:t>to use eDNA metabarcoding and community-based sampling for</w:t>
      </w:r>
      <w:r w:rsidR="00227681">
        <w:rPr>
          <w:rFonts w:ascii="Times New Roman" w:eastAsia="Times New Roman" w:hAnsi="Times New Roman" w:cs="Times New Roman"/>
          <w:sz w:val="24"/>
          <w:szCs w:val="24"/>
        </w:rPr>
        <w:t xml:space="preserve"> survey</w:t>
      </w:r>
      <w:r>
        <w:rPr>
          <w:rFonts w:ascii="Times New Roman" w:eastAsia="Times New Roman" w:hAnsi="Times New Roman" w:cs="Times New Roman"/>
          <w:sz w:val="24"/>
          <w:szCs w:val="24"/>
        </w:rPr>
        <w:t xml:space="preserve">ing </w:t>
      </w:r>
      <w:r w:rsidR="00227681">
        <w:rPr>
          <w:rFonts w:ascii="Times New Roman" w:eastAsia="Times New Roman" w:hAnsi="Times New Roman" w:cs="Times New Roman"/>
          <w:sz w:val="24"/>
          <w:szCs w:val="24"/>
        </w:rPr>
        <w:t xml:space="preserve">tropical and subtropical fish communities in Mozambique. </w:t>
      </w:r>
      <w:r>
        <w:rPr>
          <w:rFonts w:ascii="Times New Roman" w:eastAsia="Times New Roman" w:hAnsi="Times New Roman" w:cs="Times New Roman"/>
          <w:sz w:val="24"/>
          <w:szCs w:val="24"/>
        </w:rPr>
        <w:t>Samples were collected by experienced scientific personnel as well as by trained local community members along a 600</w:t>
      </w:r>
      <w:r w:rsidR="00F50830">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 xml:space="preserve">km stretch of the </w:t>
      </w:r>
      <w:r w:rsidR="00BD4BEC">
        <w:rPr>
          <w:rFonts w:ascii="Times New Roman" w:eastAsia="Times New Roman" w:hAnsi="Times New Roman" w:cs="Times New Roman"/>
          <w:sz w:val="24"/>
          <w:szCs w:val="24"/>
        </w:rPr>
        <w:t xml:space="preserve">Mozambican </w:t>
      </w:r>
      <w:r>
        <w:rPr>
          <w:rFonts w:ascii="Times New Roman" w:eastAsia="Times New Roman" w:hAnsi="Times New Roman" w:cs="Times New Roman"/>
          <w:sz w:val="24"/>
          <w:szCs w:val="24"/>
        </w:rPr>
        <w:t xml:space="preserve">coastline. </w:t>
      </w:r>
      <w:r w:rsidR="00687516">
        <w:rPr>
          <w:rFonts w:ascii="Times New Roman" w:eastAsia="Times New Roman" w:hAnsi="Times New Roman" w:cs="Times New Roman"/>
          <w:sz w:val="24"/>
          <w:szCs w:val="24"/>
        </w:rPr>
        <w:t xml:space="preserve">We then </w:t>
      </w:r>
      <w:r w:rsidR="00BD4BEC">
        <w:rPr>
          <w:rFonts w:ascii="Times New Roman" w:eastAsia="Times New Roman" w:hAnsi="Times New Roman" w:cs="Times New Roman"/>
          <w:sz w:val="24"/>
          <w:szCs w:val="24"/>
        </w:rPr>
        <w:t>applied two 12S primer sets and developed a merging</w:t>
      </w:r>
      <w:r w:rsidR="00F50830">
        <w:rPr>
          <w:rFonts w:ascii="Times New Roman" w:eastAsia="Times New Roman" w:hAnsi="Times New Roman" w:cs="Times New Roman"/>
          <w:sz w:val="24"/>
          <w:szCs w:val="24"/>
        </w:rPr>
        <w:t>-</w:t>
      </w:r>
      <w:r w:rsidR="00BD4BEC">
        <w:rPr>
          <w:rFonts w:ascii="Times New Roman" w:eastAsia="Times New Roman" w:hAnsi="Times New Roman" w:cs="Times New Roman"/>
          <w:sz w:val="24"/>
          <w:szCs w:val="24"/>
        </w:rPr>
        <w:t xml:space="preserve">algorithm </w:t>
      </w:r>
      <w:r w:rsidR="00A8175D">
        <w:rPr>
          <w:rFonts w:ascii="Times New Roman" w:eastAsia="Times New Roman" w:hAnsi="Times New Roman" w:cs="Times New Roman"/>
          <w:sz w:val="24"/>
          <w:szCs w:val="24"/>
        </w:rPr>
        <w:t xml:space="preserve">to </w:t>
      </w:r>
      <w:r w:rsidR="00F50830">
        <w:rPr>
          <w:rFonts w:ascii="Times New Roman" w:eastAsia="Times New Roman" w:hAnsi="Times New Roman" w:cs="Times New Roman"/>
          <w:sz w:val="24"/>
          <w:szCs w:val="24"/>
        </w:rPr>
        <w:t xml:space="preserve">combine the </w:t>
      </w:r>
      <w:r w:rsidR="00A8175D">
        <w:rPr>
          <w:rFonts w:ascii="Times New Roman" w:eastAsia="Times New Roman" w:hAnsi="Times New Roman" w:cs="Times New Roman"/>
          <w:sz w:val="24"/>
          <w:szCs w:val="24"/>
        </w:rPr>
        <w:t>resulting datasets for the analysis of</w:t>
      </w:r>
      <w:r w:rsidR="00BD4BEC">
        <w:rPr>
          <w:rFonts w:ascii="Times New Roman" w:eastAsia="Times New Roman" w:hAnsi="Times New Roman" w:cs="Times New Roman"/>
          <w:sz w:val="24"/>
          <w:szCs w:val="24"/>
        </w:rPr>
        <w:t xml:space="preserve"> fish diversity and community composition. </w:t>
      </w:r>
      <w:r w:rsidR="00F50830">
        <w:rPr>
          <w:rFonts w:ascii="Times New Roman" w:eastAsia="Times New Roman" w:hAnsi="Times New Roman" w:cs="Times New Roman"/>
          <w:sz w:val="24"/>
          <w:szCs w:val="24"/>
        </w:rPr>
        <w:t xml:space="preserve">Together with a detailed </w:t>
      </w:r>
      <w:r w:rsidR="00A8175D">
        <w:rPr>
          <w:rFonts w:ascii="Times New Roman" w:eastAsia="Times New Roman" w:hAnsi="Times New Roman" w:cs="Times New Roman"/>
          <w:sz w:val="24"/>
          <w:szCs w:val="24"/>
        </w:rPr>
        <w:t>performance comparison</w:t>
      </w:r>
      <w:r w:rsidR="00F50830">
        <w:rPr>
          <w:rFonts w:ascii="Times New Roman" w:eastAsia="Times New Roman" w:hAnsi="Times New Roman" w:cs="Times New Roman"/>
          <w:sz w:val="24"/>
          <w:szCs w:val="24"/>
        </w:rPr>
        <w:t xml:space="preserve"> of </w:t>
      </w:r>
      <w:r w:rsidR="00687516">
        <w:rPr>
          <w:rFonts w:ascii="Times New Roman" w:eastAsia="Times New Roman" w:hAnsi="Times New Roman" w:cs="Times New Roman"/>
          <w:sz w:val="24"/>
          <w:szCs w:val="24"/>
        </w:rPr>
        <w:t>the</w:t>
      </w:r>
      <w:r w:rsidR="00F50830">
        <w:rPr>
          <w:rFonts w:ascii="Times New Roman" w:eastAsia="Times New Roman" w:hAnsi="Times New Roman" w:cs="Times New Roman"/>
          <w:sz w:val="24"/>
          <w:szCs w:val="24"/>
        </w:rPr>
        <w:t xml:space="preserve"> two used primer sets, the</w:t>
      </w:r>
      <w:r w:rsidR="00687516">
        <w:rPr>
          <w:rFonts w:ascii="Times New Roman" w:eastAsia="Times New Roman" w:hAnsi="Times New Roman" w:cs="Times New Roman"/>
          <w:sz w:val="24"/>
          <w:szCs w:val="24"/>
        </w:rPr>
        <w:t xml:space="preserve"> </w:t>
      </w:r>
      <w:r w:rsidR="00227681">
        <w:rPr>
          <w:rFonts w:ascii="Times New Roman" w:eastAsia="Times New Roman" w:hAnsi="Times New Roman" w:cs="Times New Roman"/>
          <w:sz w:val="24"/>
          <w:szCs w:val="24"/>
        </w:rPr>
        <w:t>“MiFish</w:t>
      </w:r>
      <w:sdt>
        <w:sdtPr>
          <w:tag w:val="goog_rdk_71"/>
          <w:id w:val="-909996368"/>
        </w:sdtPr>
        <w:sdtEndPr/>
        <w:sdtContent>
          <w:r w:rsidR="00227681">
            <w:rPr>
              <w:rFonts w:ascii="Times New Roman" w:eastAsia="Times New Roman" w:hAnsi="Times New Roman" w:cs="Times New Roman"/>
              <w:sz w:val="24"/>
              <w:szCs w:val="24"/>
            </w:rPr>
            <w:t>-U</w:t>
          </w:r>
        </w:sdtContent>
      </w:sdt>
      <w:r w:rsidR="00227681">
        <w:rPr>
          <w:rFonts w:ascii="Times New Roman" w:eastAsia="Times New Roman" w:hAnsi="Times New Roman" w:cs="Times New Roman"/>
          <w:sz w:val="24"/>
          <w:szCs w:val="24"/>
        </w:rPr>
        <w:t xml:space="preserve">” </w:t>
      </w:r>
      <w:r w:rsidR="00DA2DD7">
        <w:rPr>
          <w:rFonts w:ascii="Times New Roman" w:eastAsia="Times New Roman" w:hAnsi="Times New Roman" w:cs="Times New Roman"/>
          <w:sz w:val="24"/>
          <w:szCs w:val="24"/>
        </w:rPr>
        <w:fldChar w:fldCharType="begin"/>
      </w:r>
      <w:r w:rsidR="00E9149F">
        <w:rPr>
          <w:rFonts w:ascii="Times New Roman" w:eastAsia="Times New Roman" w:hAnsi="Times New Roman" w:cs="Times New Roman"/>
          <w:sz w:val="24"/>
          <w:szCs w:val="24"/>
        </w:rPr>
        <w:instrText xml:space="preserve"> ADDIN ZOTERO_ITEM CSL_CITATION {"citationID":"8JK0fHft","properties":{"formattedCitation":"(M. Miya et al., 2015)","plainCitation":"(M. Miya et al., 2015)","noteIndex":0},"citationItems":[{"id":9693,"uris":["http://zotero.org/users/3033072/items/C85RZ8FD"],"uri":["http://zotero.org/users/3033072/items/C85RZ8FD"],"itemData":{"id":9693,"type":"article-journal","container-title":"Royal Society Open Science","DOI":"10.1098/rsos.150088","ISSN":"2054-5703","issue":"7","language":"en","page":"150088","source":"CrossRef","title":"MiFish, a set of universal PCR primers for metabarcoding environmental DNA from fishes: detection of more than 230 subtropical marine species","title-short":"MiFish, a set of universal PCR primers for metabarcoding environmental DNA from fishes","volume":"2","author":[{"family":"Miya","given":"M."},{"family":"Sato","given":"Y."},{"family":"Fukunaga","given":"T."},{"family":"Sado","given":"T."},{"family":"Poulsen","given":"J. Y."},{"family":"Sato","given":"K."},{"family":"Minamoto","given":"T."},{"family":"Yamamoto","given":"S."},{"family":"Yamanaka","given":"H."},{"family":"Araki","given":"H."},{"family":"Kondoh","given":"M."},{"family":"Iwasaki","given":"W."}],"issued":{"date-parts":[["2015",7]]}}}],"schema":"https://github.com/citation-style-language/schema/raw/master/csl-citation.json"} </w:instrText>
      </w:r>
      <w:r w:rsidR="00DA2DD7">
        <w:rPr>
          <w:rFonts w:ascii="Times New Roman" w:eastAsia="Times New Roman" w:hAnsi="Times New Roman" w:cs="Times New Roman"/>
          <w:sz w:val="24"/>
          <w:szCs w:val="24"/>
        </w:rPr>
        <w:fldChar w:fldCharType="separate"/>
      </w:r>
      <w:r w:rsidR="00E9149F" w:rsidRPr="00E9149F">
        <w:rPr>
          <w:rFonts w:ascii="Times New Roman" w:hAnsi="Times New Roman" w:cs="Times New Roman"/>
          <w:sz w:val="24"/>
        </w:rPr>
        <w:t>(M. Miya et al., 2015)</w:t>
      </w:r>
      <w:r w:rsidR="00DA2DD7">
        <w:rPr>
          <w:rFonts w:ascii="Times New Roman" w:eastAsia="Times New Roman" w:hAnsi="Times New Roman" w:cs="Times New Roman"/>
          <w:sz w:val="24"/>
          <w:szCs w:val="24"/>
        </w:rPr>
        <w:fldChar w:fldCharType="end"/>
      </w:r>
      <w:r w:rsidR="00227681">
        <w:rPr>
          <w:rFonts w:ascii="Times New Roman" w:eastAsia="Times New Roman" w:hAnsi="Times New Roman" w:cs="Times New Roman"/>
          <w:sz w:val="24"/>
          <w:szCs w:val="24"/>
        </w:rPr>
        <w:t xml:space="preserve"> and </w:t>
      </w:r>
      <w:r w:rsidR="00A8175D">
        <w:rPr>
          <w:rFonts w:ascii="Times New Roman" w:eastAsia="Times New Roman" w:hAnsi="Times New Roman" w:cs="Times New Roman"/>
          <w:sz w:val="24"/>
          <w:szCs w:val="24"/>
        </w:rPr>
        <w:t xml:space="preserve">the </w:t>
      </w:r>
      <w:r w:rsidR="00227681">
        <w:rPr>
          <w:rFonts w:ascii="Times New Roman" w:eastAsia="Times New Roman" w:hAnsi="Times New Roman" w:cs="Times New Roman"/>
          <w:sz w:val="24"/>
          <w:szCs w:val="24"/>
        </w:rPr>
        <w:t xml:space="preserve">“Riaz” primers </w:t>
      </w:r>
      <w:r w:rsidR="00DA2DD7">
        <w:rPr>
          <w:rFonts w:ascii="Times New Roman" w:eastAsia="Times New Roman" w:hAnsi="Times New Roman" w:cs="Times New Roman"/>
          <w:sz w:val="24"/>
          <w:szCs w:val="24"/>
        </w:rPr>
        <w:fldChar w:fldCharType="begin"/>
      </w:r>
      <w:r w:rsidR="00DA2DD7">
        <w:rPr>
          <w:rFonts w:ascii="Times New Roman" w:eastAsia="Times New Roman" w:hAnsi="Times New Roman" w:cs="Times New Roman"/>
          <w:sz w:val="24"/>
          <w:szCs w:val="24"/>
        </w:rPr>
        <w:instrText xml:space="preserve"> ADDIN ZOTERO_ITEM CSL_CITATION {"citationID":"uAnaHZmA","properties":{"unsorted":true,"formattedCitation":"(Riaz et al., 2011; Kelly et al., 2014)","plainCitation":"(Riaz et al., 2011; Kelly et al., 2014)","noteIndex":0},"citationItems":[{"id":11548,"uris":["http://zotero.org/users/3033072/items/U37J8NLS"],"uri":["http://zotero.org/users/3033072/items/U37J8NLS"],"itemData":{"id":11548,"type":"article-journal","abstract":"Using non-conventional markers, DNA metabarcoding allows biodiversity assessment from complex substrates. In this article, we present ecoPrimers, a software for identifying new barcode markers and their associated PCR primers. ecoPrimers scans whole genomes to find such markers without a priori knowledge. ecoPrimers optimizes two quality indices measuring taxonomical range and discrimination to select the most efficient markers from a set of reference sequences, according to specific experimental constraints such as marker length or specifically targeted taxa. The key step of the algorithm is the identification of conserved regions among reference sequences for anchoring primers. We propose an efficient algorithm based on data mining, that allows the analysis of huge sets of sequences. We evaluate the efficiency of ecoPrimers by running it on three different sequence sets: mitochondrial, chloroplast and bacterial genomes. Identified barcode markers correspond either to barcode regions already in use for plants or animals, or to new potential barcodes. Results from empirical experiments carried out on a promising new barcode for analyzing vertebrate diversity fully agree with expectations based on bioinformatics analysis. These tests demonstrate the efficiency of ecoPrimers for inferring new barcodes fitting with diverse experimental contexts. ecoPrimers is available as an open source project at: http://www.grenoble.prabi.fr/trac/ecoPrimers.","container-title":"Nucleic Acids Research","DOI":"10.1093/nar/gkr732","ISSN":"1362-4962, 0305-1048","issue":"21","language":"en","page":"e145-e145","source":"DOI.org (Crossref)","title":"ecoPrimers: inference of new DNA barcode markers from whole genome sequence analysis","title-short":"ecoPrimers","volume":"39","author":[{"family":"Riaz","given":"Tiayyba"},{"family":"Shehzad","given":"Wasim"},{"family":"Viari","given":"Alain"},{"family":"Pompanon","given":"François"},{"family":"Taberlet","given":"Pierre"},{"family":"Coissac","given":"Eric"}],"issued":{"date-parts":[["2011",11,1]]}}},{"id":9586,"uris":["http://zotero.org/users/3033072/items/HXDEDTRM"],"uri":["http://zotero.org/users/3033072/items/HXDEDTRM"],"itemData":{"id":9586,"type":"article-journal","container-title":"PLoS ONE","DOI":"10.1371/journal.pone.0086175","ISSN":"1932-6203","issue":"1","language":"en","page":"e86175","source":"CrossRef","title":"Using Environmental DNA to Census Marine Fishes in a Large Mesocosm","volume":"9","author":[{"family":"Kelly","given":"Ryan P."},{"family":"Port","given":"Jesse A."},{"family":"Yamahara","given":"Kevan M."},{"family":"Crowder","given":"Larry B."}],"editor":[{"family":"Hofmann","given":"Gretchen E."}],"issued":{"date-parts":[["2014",1,15]]}}}],"schema":"https://github.com/citation-style-language/schema/raw/master/csl-citation.json"} </w:instrText>
      </w:r>
      <w:r w:rsidR="00DA2DD7">
        <w:rPr>
          <w:rFonts w:ascii="Times New Roman" w:eastAsia="Times New Roman" w:hAnsi="Times New Roman" w:cs="Times New Roman"/>
          <w:sz w:val="24"/>
          <w:szCs w:val="24"/>
        </w:rPr>
        <w:fldChar w:fldCharType="separate"/>
      </w:r>
      <w:r w:rsidR="00DA2DD7" w:rsidRPr="00DA2DD7">
        <w:rPr>
          <w:rFonts w:ascii="Times New Roman" w:hAnsi="Times New Roman" w:cs="Times New Roman"/>
          <w:sz w:val="24"/>
        </w:rPr>
        <w:t>(Riaz et al., 2011; Kelly et al., 2014)</w:t>
      </w:r>
      <w:r w:rsidR="00DA2DD7">
        <w:rPr>
          <w:rFonts w:ascii="Times New Roman" w:eastAsia="Times New Roman" w:hAnsi="Times New Roman" w:cs="Times New Roman"/>
          <w:sz w:val="24"/>
          <w:szCs w:val="24"/>
        </w:rPr>
        <w:fldChar w:fldCharType="end"/>
      </w:r>
      <w:r w:rsidR="00687516">
        <w:rPr>
          <w:rFonts w:ascii="Times New Roman" w:eastAsia="Times New Roman" w:hAnsi="Times New Roman" w:cs="Times New Roman"/>
          <w:sz w:val="24"/>
          <w:szCs w:val="24"/>
        </w:rPr>
        <w:t xml:space="preserve">, </w:t>
      </w:r>
      <w:r w:rsidR="00F50830">
        <w:rPr>
          <w:rFonts w:ascii="Times New Roman" w:eastAsia="Times New Roman" w:hAnsi="Times New Roman" w:cs="Times New Roman"/>
          <w:sz w:val="24"/>
          <w:szCs w:val="24"/>
        </w:rPr>
        <w:t>these assessments</w:t>
      </w:r>
      <w:r w:rsidR="00227681">
        <w:rPr>
          <w:rFonts w:ascii="Times New Roman" w:eastAsia="Times New Roman" w:hAnsi="Times New Roman" w:cs="Times New Roman"/>
          <w:sz w:val="24"/>
          <w:szCs w:val="24"/>
        </w:rPr>
        <w:t xml:space="preserve"> provide a</w:t>
      </w:r>
      <w:r w:rsidR="00A8175D">
        <w:rPr>
          <w:rFonts w:ascii="Times New Roman" w:eastAsia="Times New Roman" w:hAnsi="Times New Roman" w:cs="Times New Roman"/>
          <w:sz w:val="24"/>
          <w:szCs w:val="24"/>
        </w:rPr>
        <w:t>n important</w:t>
      </w:r>
      <w:r w:rsidR="00227681">
        <w:rPr>
          <w:rFonts w:ascii="Times New Roman" w:eastAsia="Times New Roman" w:hAnsi="Times New Roman" w:cs="Times New Roman"/>
          <w:sz w:val="24"/>
          <w:szCs w:val="24"/>
        </w:rPr>
        <w:t xml:space="preserve"> baseline for future eDNA-based monitoring and conservation efforts in Mozambique. </w:t>
      </w:r>
    </w:p>
    <w:p w14:paraId="2B16E217" w14:textId="27EC6838" w:rsidR="00EB3F65" w:rsidRDefault="00DB4C60" w:rsidP="00EB3F65">
      <w:pPr>
        <w:spacing w:after="0" w:line="480" w:lineRule="auto"/>
        <w:ind w:firstLine="227"/>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Methods:</w:t>
      </w:r>
    </w:p>
    <w:p w14:paraId="32458D0E" w14:textId="31412435" w:rsidR="00EB3F65" w:rsidRDefault="00DB4C60" w:rsidP="00EB3F65">
      <w:pPr>
        <w:spacing w:after="0" w:line="480" w:lineRule="auto"/>
        <w:ind w:firstLine="227"/>
        <w:jc w:val="both"/>
        <w:rPr>
          <w:rFonts w:ascii="Times New Roman" w:eastAsia="Times New Roman" w:hAnsi="Times New Roman" w:cs="Times New Roman"/>
          <w:sz w:val="24"/>
          <w:szCs w:val="24"/>
        </w:rPr>
      </w:pPr>
      <w:r>
        <w:rPr>
          <w:rFonts w:ascii="Times New Roman" w:eastAsia="Times New Roman" w:hAnsi="Times New Roman" w:cs="Times New Roman"/>
          <w:i/>
          <w:sz w:val="24"/>
          <w:szCs w:val="24"/>
        </w:rPr>
        <w:t>Field sampling</w:t>
      </w:r>
    </w:p>
    <w:p w14:paraId="6A550B0A" w14:textId="024D8957" w:rsidR="00AA054B" w:rsidRDefault="00DB4C60" w:rsidP="00EB3F65">
      <w:pPr>
        <w:spacing w:after="0" w:line="480" w:lineRule="auto"/>
        <w:ind w:firstLine="22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Water samples were collected from 47 locations </w:t>
      </w:r>
      <w:r w:rsidR="003C2FD2">
        <w:rPr>
          <w:rFonts w:ascii="Times New Roman" w:eastAsia="Times New Roman" w:hAnsi="Times New Roman" w:cs="Times New Roman"/>
          <w:sz w:val="24"/>
          <w:szCs w:val="24"/>
        </w:rPr>
        <w:t xml:space="preserve">(10 freshwater, 37 marine) </w:t>
      </w:r>
      <w:r>
        <w:rPr>
          <w:rFonts w:ascii="Times New Roman" w:eastAsia="Times New Roman" w:hAnsi="Times New Roman" w:cs="Times New Roman"/>
          <w:sz w:val="24"/>
          <w:szCs w:val="24"/>
        </w:rPr>
        <w:t xml:space="preserve">spread throughout the southern part of Mozambique, between Ponta do </w:t>
      </w:r>
      <w:proofErr w:type="spellStart"/>
      <w:r>
        <w:rPr>
          <w:rFonts w:ascii="Times New Roman" w:eastAsia="Times New Roman" w:hAnsi="Times New Roman" w:cs="Times New Roman"/>
          <w:sz w:val="24"/>
          <w:szCs w:val="24"/>
        </w:rPr>
        <w:t>Ouro</w:t>
      </w:r>
      <w:proofErr w:type="spellEnd"/>
      <w:r>
        <w:rPr>
          <w:rFonts w:ascii="Times New Roman" w:eastAsia="Times New Roman" w:hAnsi="Times New Roman" w:cs="Times New Roman"/>
          <w:sz w:val="24"/>
          <w:szCs w:val="24"/>
        </w:rPr>
        <w:t xml:space="preserve"> and Inhambane</w:t>
      </w:r>
      <w:r w:rsidR="00166EC3">
        <w:rPr>
          <w:rFonts w:ascii="Times New Roman" w:eastAsia="Times New Roman" w:hAnsi="Times New Roman" w:cs="Times New Roman"/>
          <w:sz w:val="24"/>
          <w:szCs w:val="24"/>
        </w:rPr>
        <w:t xml:space="preserve"> Bay</w:t>
      </w:r>
      <w:r>
        <w:rPr>
          <w:rFonts w:ascii="Times New Roman" w:eastAsia="Times New Roman" w:hAnsi="Times New Roman" w:cs="Times New Roman"/>
          <w:sz w:val="24"/>
          <w:szCs w:val="24"/>
        </w:rPr>
        <w:t xml:space="preserve">, covering </w:t>
      </w:r>
      <w:r w:rsidR="00166EC3">
        <w:rPr>
          <w:rFonts w:ascii="Times New Roman" w:eastAsia="Times New Roman" w:hAnsi="Times New Roman" w:cs="Times New Roman"/>
          <w:sz w:val="24"/>
          <w:szCs w:val="24"/>
        </w:rPr>
        <w:t>600</w:t>
      </w:r>
      <w:r>
        <w:rPr>
          <w:rFonts w:ascii="Times New Roman" w:eastAsia="Times New Roman" w:hAnsi="Times New Roman" w:cs="Times New Roman"/>
          <w:sz w:val="24"/>
          <w:szCs w:val="24"/>
        </w:rPr>
        <w:t xml:space="preserve"> km of coastline, from July to September 2020 (Fig. 1; Table S1). Sample sites included marine as well as brackish and some freshwater sites (for simplicity, brackish and freshwater are subsequently referred to as freshwater sites). Samples in Inhambane Bay were </w:t>
      </w:r>
      <w:r>
        <w:rPr>
          <w:rFonts w:ascii="Times New Roman" w:eastAsia="Times New Roman" w:hAnsi="Times New Roman" w:cs="Times New Roman"/>
          <w:sz w:val="24"/>
          <w:szCs w:val="24"/>
        </w:rPr>
        <w:lastRenderedPageBreak/>
        <w:t>collected both in July and early August as well as in September, which enabled a comparison</w:t>
      </w:r>
      <w:r w:rsidR="009F05AF">
        <w:rPr>
          <w:rFonts w:ascii="Times New Roman" w:eastAsia="Times New Roman" w:hAnsi="Times New Roman" w:cs="Times New Roman"/>
          <w:sz w:val="24"/>
          <w:szCs w:val="24"/>
        </w:rPr>
        <w:t xml:space="preserve"> between early and mid-late dry season</w:t>
      </w:r>
      <w:r>
        <w:rPr>
          <w:rFonts w:ascii="Times New Roman" w:eastAsia="Times New Roman" w:hAnsi="Times New Roman" w:cs="Times New Roman"/>
          <w:sz w:val="24"/>
          <w:szCs w:val="24"/>
        </w:rPr>
        <w:t xml:space="preserve">. At each site, water was collected from the surface, sample volumes ranged from 800 mL to 2000 </w:t>
      </w:r>
      <w:proofErr w:type="spellStart"/>
      <w:r>
        <w:rPr>
          <w:rFonts w:ascii="Times New Roman" w:eastAsia="Times New Roman" w:hAnsi="Times New Roman" w:cs="Times New Roman"/>
          <w:sz w:val="24"/>
          <w:szCs w:val="24"/>
        </w:rPr>
        <w:t>mL.</w:t>
      </w:r>
      <w:proofErr w:type="spellEnd"/>
      <w:r w:rsidR="009F05AF">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 xml:space="preserve">Water samples were immediately filtered by pressure filtration using a 100 mL syringe. The sterile encapsulated 0.8 </w:t>
      </w:r>
      <w:proofErr w:type="spellStart"/>
      <w:r>
        <w:rPr>
          <w:rFonts w:ascii="Times New Roman" w:eastAsia="Times New Roman" w:hAnsi="Times New Roman" w:cs="Times New Roman"/>
          <w:sz w:val="24"/>
          <w:szCs w:val="24"/>
        </w:rPr>
        <w:t>μm</w:t>
      </w:r>
      <w:proofErr w:type="spellEnd"/>
      <w:r>
        <w:rPr>
          <w:rFonts w:ascii="Times New Roman" w:eastAsia="Times New Roman" w:hAnsi="Times New Roman" w:cs="Times New Roman"/>
          <w:sz w:val="24"/>
          <w:szCs w:val="24"/>
        </w:rPr>
        <w:t xml:space="preserve"> pore size PES filter (50 mm diameter) contained a 5 </w:t>
      </w:r>
      <w:proofErr w:type="spellStart"/>
      <w:r>
        <w:rPr>
          <w:rFonts w:ascii="Times New Roman" w:eastAsia="Times New Roman" w:hAnsi="Times New Roman" w:cs="Times New Roman"/>
          <w:sz w:val="24"/>
          <w:szCs w:val="24"/>
        </w:rPr>
        <w:t>μm</w:t>
      </w:r>
      <w:proofErr w:type="spellEnd"/>
      <w:r>
        <w:rPr>
          <w:rFonts w:ascii="Times New Roman" w:eastAsia="Times New Roman" w:hAnsi="Times New Roman" w:cs="Times New Roman"/>
          <w:sz w:val="24"/>
          <w:szCs w:val="24"/>
        </w:rPr>
        <w:t xml:space="preserve"> glass fibre prefilter (NatureMetrics, UK). The filter was air-dried using the syringe and the capsule subsequently filled with 1.5 m</w:t>
      </w:r>
      <w:r w:rsidR="009F05AF">
        <w:rPr>
          <w:rFonts w:ascii="Times New Roman" w:eastAsia="Times New Roman" w:hAnsi="Times New Roman" w:cs="Times New Roman"/>
          <w:sz w:val="24"/>
          <w:szCs w:val="24"/>
        </w:rPr>
        <w:t>L</w:t>
      </w:r>
      <w:r>
        <w:rPr>
          <w:rFonts w:ascii="Times New Roman" w:eastAsia="Times New Roman" w:hAnsi="Times New Roman" w:cs="Times New Roman"/>
          <w:sz w:val="24"/>
          <w:szCs w:val="24"/>
        </w:rPr>
        <w:t xml:space="preserve"> of Longmire’s </w:t>
      </w:r>
      <w:r w:rsidR="00014FDF">
        <w:rPr>
          <w:rFonts w:ascii="Times New Roman" w:eastAsia="Times New Roman" w:hAnsi="Times New Roman" w:cs="Times New Roman"/>
          <w:sz w:val="24"/>
          <w:szCs w:val="24"/>
        </w:rPr>
        <w:t>b</w:t>
      </w:r>
      <w:r>
        <w:rPr>
          <w:rFonts w:ascii="Times New Roman" w:eastAsia="Times New Roman" w:hAnsi="Times New Roman" w:cs="Times New Roman"/>
          <w:sz w:val="24"/>
          <w:szCs w:val="24"/>
        </w:rPr>
        <w:t xml:space="preserve">uffer for preservation </w:t>
      </w:r>
      <w:r w:rsidR="00DA2DD7">
        <w:rPr>
          <w:rFonts w:ascii="Times New Roman" w:eastAsia="Times New Roman" w:hAnsi="Times New Roman" w:cs="Times New Roman"/>
          <w:sz w:val="24"/>
          <w:szCs w:val="24"/>
        </w:rPr>
        <w:fldChar w:fldCharType="begin"/>
      </w:r>
      <w:r w:rsidR="00DA2DD7">
        <w:rPr>
          <w:rFonts w:ascii="Times New Roman" w:eastAsia="Times New Roman" w:hAnsi="Times New Roman" w:cs="Times New Roman"/>
          <w:sz w:val="24"/>
          <w:szCs w:val="24"/>
        </w:rPr>
        <w:instrText xml:space="preserve"> ADDIN ZOTERO_ITEM CSL_CITATION {"citationID":"aKNmNP5G","properties":{"formattedCitation":"(Mauvisseau et al., 2021)","plainCitation":"(Mauvisseau et al., 2021)","noteIndex":0},"citationItems":[{"id":11074,"uris":["http://zotero.org/users/3033072/items/XJSXLP96"],"uri":["http://zotero.org/users/3033072/items/XJSXLP96"],"itemData":{"id":11074,"type":"article-journal","abstract":"Molecular-­based monitoring relying on environmental DNA (eDNA) detection became routinely used around the world in the last few years, especially in aquatic environments. The large potential and increasing applications of this technique calls for technical improvements to optimize the reliability of these surveys. An important technical aspect in the eDNA workflow is the appropriate preservation of samples taken in the field, as it can significantly affect eDNA recovery and ultimately false negative rates. In this study, we explored the efficiency of five different preservation strategies by using a controlled mesocosm experiment in which we included three fish communities of different composition. Specifically, we compared eDNA recovery in DNA extractions (a) performed immediately following collection, or after eight months storage from (b) frozen filters, (c) unfiltered water samples stored at −20°C, and filters preserved at room temperature with (d) Longmire and (e) Sarkosyl buffer. Effects of different preservation strategies were quantified using ddPCR measurements of three fish species (Neogobius melanostomus, Rutilus rutilus, and Lota lota) and total fish DNA content using group-­specific primers for Teleostei. Samples extracted immediately following collection without any further preservation yielded significantly less DNA compared to the other approaches. Overall, Longmire's buffer facilitated the best eDNA recovery across all fish species although approaches such as filter freezing or the use of Sarkosyl buffer yielded similar recovery results. Relative measurement variability, an important indicator for reliable eDNA quantification, was lowest when using Longmire's and Sarkosyl buffers and generally decreased when increasing eDNA quantity. Overall, our results clearly highlight the significant impact of sample preservation and how this can substantially affect the performance and reliability of eDNA-b­ ased approaches.","container-title":"Environmental DNA","DOI":"10.1002/edn3.188","ISSN":"2637-4943, 2637-4943","journalAbbreviation":"Environmental DNA","language":"en","page":"edn3.188","source":"DOI.org (Crossref)","title":"Effects of preservation strategies on environmental DNA detection and quantification using ddPCR","author":[{"family":"Mauvisseau","given":"Quentin"},{"family":"Halfmaerten","given":"David"},{"family":"Neyrinck","given":"Sabrina"},{"family":"Burian","given":"Alfred"},{"family":"Brys","given":"Rein"}],"issued":{"date-parts":[["2021",2,11]]}}}],"schema":"https://github.com/citation-style-language/schema/raw/master/csl-citation.json"} </w:instrText>
      </w:r>
      <w:r w:rsidR="00DA2DD7">
        <w:rPr>
          <w:rFonts w:ascii="Times New Roman" w:eastAsia="Times New Roman" w:hAnsi="Times New Roman" w:cs="Times New Roman"/>
          <w:sz w:val="24"/>
          <w:szCs w:val="24"/>
        </w:rPr>
        <w:fldChar w:fldCharType="separate"/>
      </w:r>
      <w:r w:rsidR="00DA2DD7" w:rsidRPr="00DA2DD7">
        <w:rPr>
          <w:rFonts w:ascii="Times New Roman" w:hAnsi="Times New Roman" w:cs="Times New Roman"/>
          <w:sz w:val="24"/>
        </w:rPr>
        <w:t>(Mauvisseau et al., 2021)</w:t>
      </w:r>
      <w:r w:rsidR="00DA2DD7">
        <w:rPr>
          <w:rFonts w:ascii="Times New Roman" w:eastAsia="Times New Roman" w:hAnsi="Times New Roman" w:cs="Times New Roman"/>
          <w:sz w:val="24"/>
          <w:szCs w:val="24"/>
        </w:rPr>
        <w:fldChar w:fldCharType="end"/>
      </w:r>
      <w:r>
        <w:rPr>
          <w:rFonts w:ascii="Times New Roman" w:eastAsia="Times New Roman" w:hAnsi="Times New Roman" w:cs="Times New Roman"/>
          <w:sz w:val="24"/>
          <w:szCs w:val="24"/>
        </w:rPr>
        <w:t xml:space="preserve">. Disposable gloves were used for sample collection and replaced for each new sample. Sterile and disposable equipment was used at each collection site to avoid potential cross-contamination. Filters were stored in the dark at room temperature until DNA extraction. </w:t>
      </w:r>
    </w:p>
    <w:p w14:paraId="5B957B3D" w14:textId="77777777" w:rsidR="00AA054B" w:rsidRDefault="00DB4C60">
      <w:pPr>
        <w:spacing w:after="0" w:line="480" w:lineRule="auto"/>
        <w:jc w:val="both"/>
        <w:rPr>
          <w:rFonts w:ascii="Times New Roman" w:eastAsia="Times New Roman" w:hAnsi="Times New Roman" w:cs="Times New Roman"/>
          <w:i/>
          <w:sz w:val="24"/>
          <w:szCs w:val="24"/>
        </w:rPr>
      </w:pPr>
      <w:r>
        <w:rPr>
          <w:rFonts w:ascii="Times New Roman" w:eastAsia="Times New Roman" w:hAnsi="Times New Roman" w:cs="Times New Roman"/>
          <w:i/>
          <w:sz w:val="24"/>
          <w:szCs w:val="24"/>
        </w:rPr>
        <w:t>Sample analysis</w:t>
      </w:r>
    </w:p>
    <w:p w14:paraId="122EC789" w14:textId="0C759C63" w:rsidR="00735C45" w:rsidRDefault="006F6E49">
      <w:pPr>
        <w:spacing w:after="0" w:line="48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Samples were analysed using MiFish </w:t>
      </w:r>
      <w:r w:rsidR="00735C45">
        <w:rPr>
          <w:rFonts w:ascii="Times New Roman" w:eastAsia="Times New Roman" w:hAnsi="Times New Roman" w:cs="Times New Roman"/>
          <w:sz w:val="24"/>
          <w:szCs w:val="24"/>
        </w:rPr>
        <w:t>and</w:t>
      </w:r>
      <w:r>
        <w:rPr>
          <w:rFonts w:ascii="Times New Roman" w:eastAsia="Times New Roman" w:hAnsi="Times New Roman" w:cs="Times New Roman"/>
          <w:sz w:val="24"/>
          <w:szCs w:val="24"/>
        </w:rPr>
        <w:t xml:space="preserve"> </w:t>
      </w:r>
      <w:r w:rsidR="008560B3">
        <w:rPr>
          <w:rFonts w:ascii="Times New Roman" w:eastAsia="Times New Roman" w:hAnsi="Times New Roman" w:cs="Times New Roman"/>
          <w:sz w:val="24"/>
          <w:szCs w:val="24"/>
        </w:rPr>
        <w:t>Riaz</w:t>
      </w:r>
      <w:r>
        <w:rPr>
          <w:rFonts w:ascii="Times New Roman" w:eastAsia="Times New Roman" w:hAnsi="Times New Roman" w:cs="Times New Roman"/>
          <w:sz w:val="24"/>
          <w:szCs w:val="24"/>
        </w:rPr>
        <w:t xml:space="preserve"> primers for DNA amplification</w:t>
      </w:r>
      <w:r w:rsidR="00735C45">
        <w:rPr>
          <w:rFonts w:ascii="Times New Roman" w:eastAsia="Times New Roman" w:hAnsi="Times New Roman" w:cs="Times New Roman"/>
          <w:sz w:val="24"/>
          <w:szCs w:val="24"/>
        </w:rPr>
        <w:t xml:space="preserve"> in two different metabarcoding runs</w:t>
      </w:r>
      <w:r>
        <w:rPr>
          <w:rFonts w:ascii="Times New Roman" w:eastAsia="Times New Roman" w:hAnsi="Times New Roman" w:cs="Times New Roman"/>
          <w:sz w:val="24"/>
          <w:szCs w:val="24"/>
        </w:rPr>
        <w:t xml:space="preserve">. </w:t>
      </w:r>
      <w:r w:rsidR="00735C45">
        <w:rPr>
          <w:rFonts w:ascii="Times New Roman" w:eastAsia="Times New Roman" w:hAnsi="Times New Roman" w:cs="Times New Roman"/>
          <w:sz w:val="24"/>
          <w:szCs w:val="24"/>
        </w:rPr>
        <w:t xml:space="preserve">Whilst MiFish primer are specifically designed to target fish communities </w:t>
      </w:r>
      <w:r w:rsidR="00A43EB0">
        <w:rPr>
          <w:rFonts w:ascii="Times New Roman" w:eastAsia="Times New Roman" w:hAnsi="Times New Roman" w:cs="Times New Roman"/>
          <w:sz w:val="24"/>
          <w:szCs w:val="24"/>
        </w:rPr>
        <w:fldChar w:fldCharType="begin"/>
      </w:r>
      <w:r w:rsidR="00E9149F">
        <w:rPr>
          <w:rFonts w:ascii="Times New Roman" w:eastAsia="Times New Roman" w:hAnsi="Times New Roman" w:cs="Times New Roman"/>
          <w:sz w:val="24"/>
          <w:szCs w:val="24"/>
        </w:rPr>
        <w:instrText xml:space="preserve"> ADDIN ZOTERO_ITEM CSL_CITATION {"citationID":"oUxhlRyn","properties":{"formattedCitation":"(M. Miya et al., 2015)","plainCitation":"(M. Miya et al., 2015)","noteIndex":0},"citationItems":[{"id":9693,"uris":["http://zotero.org/users/3033072/items/C85RZ8FD"],"uri":["http://zotero.org/users/3033072/items/C85RZ8FD"],"itemData":{"id":9693,"type":"article-journal","container-title":"Royal Society Open Science","DOI":"10.1098/rsos.150088","ISSN":"2054-5703","issue":"7","language":"en","page":"150088","source":"CrossRef","title":"MiFish, a set of universal PCR primers for metabarcoding environmental DNA from fishes: detection of more than 230 subtropical marine species","title-short":"MiFish, a set of universal PCR primers for metabarcoding environmental DNA from fishes","volume":"2","author":[{"family":"Miya","given":"M."},{"family":"Sato","given":"Y."},{"family":"Fukunaga","given":"T."},{"family":"Sado","given":"T."},{"family":"Poulsen","given":"J. Y."},{"family":"Sato","given":"K."},{"family":"Minamoto","given":"T."},{"family":"Yamamoto","given":"S."},{"family":"Yamanaka","given":"H."},{"family":"Araki","given":"H."},{"family":"Kondoh","given":"M."},{"family":"Iwasaki","given":"W."}],"issued":{"date-parts":[["2015",7]]}}}],"schema":"https://github.com/citation-style-language/schema/raw/master/csl-citation.json"} </w:instrText>
      </w:r>
      <w:r w:rsidR="00A43EB0">
        <w:rPr>
          <w:rFonts w:ascii="Times New Roman" w:eastAsia="Times New Roman" w:hAnsi="Times New Roman" w:cs="Times New Roman"/>
          <w:sz w:val="24"/>
          <w:szCs w:val="24"/>
        </w:rPr>
        <w:fldChar w:fldCharType="separate"/>
      </w:r>
      <w:r w:rsidR="00E9149F" w:rsidRPr="00E9149F">
        <w:rPr>
          <w:rFonts w:ascii="Times New Roman" w:hAnsi="Times New Roman" w:cs="Times New Roman"/>
          <w:sz w:val="24"/>
        </w:rPr>
        <w:t>(Miya et al., 2015)</w:t>
      </w:r>
      <w:r w:rsidR="00A43EB0">
        <w:rPr>
          <w:rFonts w:ascii="Times New Roman" w:eastAsia="Times New Roman" w:hAnsi="Times New Roman" w:cs="Times New Roman"/>
          <w:sz w:val="24"/>
          <w:szCs w:val="24"/>
        </w:rPr>
        <w:fldChar w:fldCharType="end"/>
      </w:r>
      <w:r w:rsidR="00735C45">
        <w:rPr>
          <w:rFonts w:ascii="Times New Roman" w:eastAsia="Times New Roman" w:hAnsi="Times New Roman" w:cs="Times New Roman"/>
          <w:sz w:val="24"/>
          <w:szCs w:val="24"/>
        </w:rPr>
        <w:t xml:space="preserve">, </w:t>
      </w:r>
      <w:r w:rsidR="008560B3">
        <w:rPr>
          <w:rFonts w:ascii="Times New Roman" w:eastAsia="Times New Roman" w:hAnsi="Times New Roman" w:cs="Times New Roman"/>
          <w:sz w:val="24"/>
          <w:szCs w:val="24"/>
        </w:rPr>
        <w:t>Riaz</w:t>
      </w:r>
      <w:r w:rsidR="00735C45">
        <w:rPr>
          <w:rFonts w:ascii="Times New Roman" w:eastAsia="Times New Roman" w:hAnsi="Times New Roman" w:cs="Times New Roman"/>
          <w:sz w:val="24"/>
          <w:szCs w:val="24"/>
        </w:rPr>
        <w:t xml:space="preserve"> primers </w:t>
      </w:r>
      <w:r w:rsidR="008560B3">
        <w:rPr>
          <w:rFonts w:ascii="Times New Roman" w:eastAsia="Times New Roman" w:hAnsi="Times New Roman" w:cs="Times New Roman"/>
          <w:sz w:val="24"/>
          <w:szCs w:val="24"/>
        </w:rPr>
        <w:t xml:space="preserve">target vertebrates more generally. Nonetheless, Riaz primers are 12S primers and often </w:t>
      </w:r>
      <w:r w:rsidR="009962A9">
        <w:rPr>
          <w:rFonts w:ascii="Times New Roman" w:eastAsia="Times New Roman" w:hAnsi="Times New Roman" w:cs="Times New Roman"/>
          <w:sz w:val="24"/>
          <w:szCs w:val="24"/>
        </w:rPr>
        <w:t>perform</w:t>
      </w:r>
      <w:r w:rsidR="008560B3">
        <w:rPr>
          <w:rFonts w:ascii="Times New Roman" w:eastAsia="Times New Roman" w:hAnsi="Times New Roman" w:cs="Times New Roman"/>
          <w:sz w:val="24"/>
          <w:szCs w:val="24"/>
        </w:rPr>
        <w:t xml:space="preserve"> well in characterising fish communities </w:t>
      </w:r>
      <w:r w:rsidR="00A43EB0">
        <w:rPr>
          <w:rFonts w:ascii="Times New Roman" w:eastAsia="Times New Roman" w:hAnsi="Times New Roman" w:cs="Times New Roman"/>
          <w:sz w:val="24"/>
          <w:szCs w:val="24"/>
        </w:rPr>
        <w:fldChar w:fldCharType="begin"/>
      </w:r>
      <w:r w:rsidR="00A43EB0">
        <w:rPr>
          <w:rFonts w:ascii="Times New Roman" w:eastAsia="Times New Roman" w:hAnsi="Times New Roman" w:cs="Times New Roman"/>
          <w:sz w:val="24"/>
          <w:szCs w:val="24"/>
        </w:rPr>
        <w:instrText xml:space="preserve"> ADDIN ZOTERO_ITEM CSL_CITATION {"citationID":"gL2hD4f2","properties":{"formattedCitation":"(Zhang et al., 2020)","plainCitation":"(Zhang et al., 2020)","noteIndex":0},"citationItems":[{"id":10925,"uris":["http://zotero.org/users/3033072/items/3NRT9G2X"],"uri":["http://zotero.org/users/3033072/items/3NRT9G2X"],"itemData":{"id":10925,"type":"article-journal","container-title":"Methods in Ecology and Evolution","language":"en","page":"45","source":"Zotero","title":"A comprehensive and comparative evaluation of primers for metabarcoding eDNA from fish","author":[{"family":"Zhang","given":"Shan"},{"family":"Zhao","given":"Jindong"},{"family":"Yao","given":"Meng"}],"issued":{"date-parts":[["2020"]]}}}],"schema":"https://github.com/citation-style-language/schema/raw/master/csl-citation.json"} </w:instrText>
      </w:r>
      <w:r w:rsidR="00A43EB0">
        <w:rPr>
          <w:rFonts w:ascii="Times New Roman" w:eastAsia="Times New Roman" w:hAnsi="Times New Roman" w:cs="Times New Roman"/>
          <w:sz w:val="24"/>
          <w:szCs w:val="24"/>
        </w:rPr>
        <w:fldChar w:fldCharType="separate"/>
      </w:r>
      <w:r w:rsidR="00A43EB0" w:rsidRPr="00A43EB0">
        <w:rPr>
          <w:rFonts w:ascii="Times New Roman" w:hAnsi="Times New Roman" w:cs="Times New Roman"/>
          <w:sz w:val="24"/>
        </w:rPr>
        <w:t>(Zhang et al., 2020)</w:t>
      </w:r>
      <w:r w:rsidR="00A43EB0">
        <w:rPr>
          <w:rFonts w:ascii="Times New Roman" w:eastAsia="Times New Roman" w:hAnsi="Times New Roman" w:cs="Times New Roman"/>
          <w:sz w:val="24"/>
          <w:szCs w:val="24"/>
        </w:rPr>
        <w:fldChar w:fldCharType="end"/>
      </w:r>
      <w:r w:rsidR="008560B3">
        <w:rPr>
          <w:rFonts w:ascii="Times New Roman" w:eastAsia="Times New Roman" w:hAnsi="Times New Roman" w:cs="Times New Roman"/>
          <w:sz w:val="24"/>
          <w:szCs w:val="24"/>
        </w:rPr>
        <w:t>. We therefore focused in our primer comparison on their potential to characterise</w:t>
      </w:r>
      <w:r w:rsidR="007B6685">
        <w:rPr>
          <w:rFonts w:ascii="Times New Roman" w:eastAsia="Times New Roman" w:hAnsi="Times New Roman" w:cs="Times New Roman"/>
          <w:sz w:val="24"/>
          <w:szCs w:val="24"/>
        </w:rPr>
        <w:t xml:space="preserve"> and monitor</w:t>
      </w:r>
      <w:r w:rsidR="008560B3">
        <w:rPr>
          <w:rFonts w:ascii="Times New Roman" w:eastAsia="Times New Roman" w:hAnsi="Times New Roman" w:cs="Times New Roman"/>
          <w:sz w:val="24"/>
          <w:szCs w:val="24"/>
        </w:rPr>
        <w:t xml:space="preserve"> fish communities</w:t>
      </w:r>
      <w:r w:rsidR="007B6685">
        <w:rPr>
          <w:rFonts w:ascii="Times New Roman" w:eastAsia="Times New Roman" w:hAnsi="Times New Roman" w:cs="Times New Roman"/>
          <w:sz w:val="24"/>
          <w:szCs w:val="24"/>
        </w:rPr>
        <w:t xml:space="preserve">, which was the main goal of this study. </w:t>
      </w:r>
    </w:p>
    <w:p w14:paraId="10A5AFA0" w14:textId="434365F2" w:rsidR="00AA054B" w:rsidRDefault="00DB4C60">
      <w:pPr>
        <w:spacing w:after="0" w:line="48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DNA was extracted following </w:t>
      </w:r>
      <w:r w:rsidR="00687890">
        <w:rPr>
          <w:rFonts w:ascii="Times New Roman" w:eastAsia="Times New Roman" w:hAnsi="Times New Roman" w:cs="Times New Roman"/>
          <w:sz w:val="24"/>
          <w:szCs w:val="24"/>
        </w:rPr>
        <w:fldChar w:fldCharType="begin"/>
      </w:r>
      <w:r w:rsidR="00F011D7">
        <w:rPr>
          <w:rFonts w:ascii="Times New Roman" w:eastAsia="Times New Roman" w:hAnsi="Times New Roman" w:cs="Times New Roman"/>
          <w:sz w:val="24"/>
          <w:szCs w:val="24"/>
        </w:rPr>
        <w:instrText xml:space="preserve"> ADDIN ZOTERO_ITEM CSL_CITATION {"citationID":"hZqRRzrO","properties":{"formattedCitation":"(Spens et al., 2017)","plainCitation":"(Spens et al., 2017)","dontUpdate":true,"noteIndex":0},"citationItems":[{"id":10036,"uris":["http://zotero.org/users/3033072/items/43RGCCBA"],"uri":["http://zotero.org/users/3033072/items/43RGCCBA"],"itemData":{"id":10036,"type":"article-journal","container-title":"Methods in Ecology and Evolution","DOI":"10.1111/2041-210X.12683","ISSN":"2041210X","issue":"5","language":"en","page":"635-645","source":"CrossRef","title":"Comparison of capture and storage methods for aqueous macrobial eDNA using an optimized extraction protocol: advantage of enclosed filter","title-short":"Comparison of capture and storage methods for aqueous macrobial eDNA using an optimized extraction protocol","volume":"8","author":[{"family":"Spens","given":"Johan"},{"family":"Evans","given":"Alice R."},{"family":"Halfmaerten","given":"David"},{"family":"Knudsen","given":"Steen W."},{"family":"Sengupta","given":"Mita E."},{"family":"Mak","given":"Sarah S. T."},{"family":"Sigsgaard","given":"Eva E."},{"family":"Hellström","given":"Micaela"}],"editor":[{"family":"Yu","given":"Douglas"}],"issued":{"date-parts":[["2017"]]}}}],"schema":"https://github.com/citation-style-language/schema/raw/master/csl-citation.json"} </w:instrText>
      </w:r>
      <w:r w:rsidR="00687890">
        <w:rPr>
          <w:rFonts w:ascii="Times New Roman" w:eastAsia="Times New Roman" w:hAnsi="Times New Roman" w:cs="Times New Roman"/>
          <w:sz w:val="24"/>
          <w:szCs w:val="24"/>
        </w:rPr>
        <w:fldChar w:fldCharType="separate"/>
      </w:r>
      <w:r w:rsidR="00687890" w:rsidRPr="00687890">
        <w:rPr>
          <w:rFonts w:ascii="Times New Roman" w:hAnsi="Times New Roman" w:cs="Times New Roman"/>
          <w:sz w:val="24"/>
        </w:rPr>
        <w:t xml:space="preserve">Spens et al., </w:t>
      </w:r>
      <w:r w:rsidR="00687890">
        <w:rPr>
          <w:rFonts w:ascii="Times New Roman" w:hAnsi="Times New Roman" w:cs="Times New Roman"/>
          <w:sz w:val="24"/>
        </w:rPr>
        <w:t>(</w:t>
      </w:r>
      <w:r w:rsidR="00687890" w:rsidRPr="00687890">
        <w:rPr>
          <w:rFonts w:ascii="Times New Roman" w:hAnsi="Times New Roman" w:cs="Times New Roman"/>
          <w:sz w:val="24"/>
        </w:rPr>
        <w:t>2017)</w:t>
      </w:r>
      <w:r w:rsidR="00687890">
        <w:rPr>
          <w:rFonts w:ascii="Times New Roman" w:eastAsia="Times New Roman" w:hAnsi="Times New Roman" w:cs="Times New Roman"/>
          <w:sz w:val="24"/>
          <w:szCs w:val="24"/>
        </w:rPr>
        <w:fldChar w:fldCharType="end"/>
      </w:r>
      <w:r w:rsidR="009F05AF">
        <w:rPr>
          <w:rFonts w:ascii="Times New Roman" w:eastAsia="Times New Roman" w:hAnsi="Times New Roman" w:cs="Times New Roman"/>
          <w:sz w:val="24"/>
          <w:szCs w:val="24"/>
        </w:rPr>
        <w:t>,</w:t>
      </w:r>
      <w:r>
        <w:rPr>
          <w:rFonts w:ascii="Times New Roman" w:eastAsia="Times New Roman" w:hAnsi="Times New Roman" w:cs="Times New Roman"/>
          <w:sz w:val="24"/>
          <w:szCs w:val="24"/>
        </w:rPr>
        <w:t xml:space="preserve"> using the DNeasy Blood and Tissue kit (QIAGEN, Germany). DNA lysis was performed inside filter capsules to avoid DNA loss and contamination following a protocol scaled for larger lysate volumes. Two distinct primer sets were investigated to optimise DNA recovery of a hypervariable region of the 12S rRNA in a two-step PCR process. First, purified DNA was amplified using (</w:t>
      </w:r>
      <w:proofErr w:type="spellStart"/>
      <w:r>
        <w:rPr>
          <w:rFonts w:ascii="Times New Roman" w:eastAsia="Times New Roman" w:hAnsi="Times New Roman" w:cs="Times New Roman"/>
          <w:sz w:val="24"/>
          <w:szCs w:val="24"/>
        </w:rPr>
        <w:t>i</w:t>
      </w:r>
      <w:proofErr w:type="spellEnd"/>
      <w:r>
        <w:rPr>
          <w:rFonts w:ascii="Times New Roman" w:eastAsia="Times New Roman" w:hAnsi="Times New Roman" w:cs="Times New Roman"/>
          <w:sz w:val="24"/>
          <w:szCs w:val="24"/>
        </w:rPr>
        <w:t xml:space="preserve">) 12S MiFish primers </w:t>
      </w:r>
      <w:r w:rsidR="00521A0D">
        <w:rPr>
          <w:rFonts w:ascii="Times New Roman" w:eastAsia="Times New Roman" w:hAnsi="Times New Roman" w:cs="Times New Roman"/>
          <w:sz w:val="24"/>
          <w:szCs w:val="24"/>
        </w:rPr>
        <w:fldChar w:fldCharType="begin"/>
      </w:r>
      <w:r w:rsidR="00E9149F">
        <w:rPr>
          <w:rFonts w:ascii="Times New Roman" w:eastAsia="Times New Roman" w:hAnsi="Times New Roman" w:cs="Times New Roman"/>
          <w:sz w:val="24"/>
          <w:szCs w:val="24"/>
        </w:rPr>
        <w:instrText xml:space="preserve"> ADDIN ZOTERO_ITEM CSL_CITATION {"citationID":"OxCiTFdW","properties":{"formattedCitation":"(M. Miya et al., 2015)","plainCitation":"(M. Miya et al., 2015)","noteIndex":0},"citationItems":[{"id":9693,"uris":["http://zotero.org/users/3033072/items/C85RZ8FD"],"uri":["http://zotero.org/users/3033072/items/C85RZ8FD"],"itemData":{"id":9693,"type":"article-journal","container-title":"Royal Society Open Science","DOI":"10.1098/rsos.150088","ISSN":"2054-5703","issue":"7","language":"en","page":"150088","source":"CrossRef","title":"MiFish, a set of universal PCR primers for metabarcoding environmental DNA from fishes: detection of more than 230 subtropical marine species","title-short":"MiFish, a set of universal PCR primers for metabarcoding environmental DNA from fishes","volume":"2","author":[{"family":"Miya","given":"M."},{"family":"Sato","given":"Y."},{"family":"Fukunaga","given":"T."},{"family":"Sado","given":"T."},{"family":"Poulsen","given":"J. Y."},{"family":"Sato","given":"K."},{"family":"Minamoto","given":"T."},{"family":"Yamamoto","given":"S."},{"family":"Yamanaka","given":"H."},{"family":"Araki","given":"H."},{"family":"Kondoh","given":"M."},{"family":"Iwasaki","given":"W."}],"issued":{"date-parts":[["2015",7]]}}}],"schema":"https://github.com/citation-style-language/schema/raw/master/csl-citation.json"} </w:instrText>
      </w:r>
      <w:r w:rsidR="00521A0D">
        <w:rPr>
          <w:rFonts w:ascii="Times New Roman" w:eastAsia="Times New Roman" w:hAnsi="Times New Roman" w:cs="Times New Roman"/>
          <w:sz w:val="24"/>
          <w:szCs w:val="24"/>
        </w:rPr>
        <w:fldChar w:fldCharType="separate"/>
      </w:r>
      <w:r w:rsidR="00E9149F" w:rsidRPr="00E9149F">
        <w:rPr>
          <w:rFonts w:ascii="Times New Roman" w:hAnsi="Times New Roman" w:cs="Times New Roman"/>
          <w:sz w:val="24"/>
        </w:rPr>
        <w:t>(M. Miya et al., 2015)</w:t>
      </w:r>
      <w:r w:rsidR="00521A0D">
        <w:rPr>
          <w:rFonts w:ascii="Times New Roman" w:eastAsia="Times New Roman" w:hAnsi="Times New Roman" w:cs="Times New Roman"/>
          <w:sz w:val="24"/>
          <w:szCs w:val="24"/>
        </w:rPr>
        <w:fldChar w:fldCharType="end"/>
      </w:r>
      <w:r>
        <w:rPr>
          <w:rFonts w:ascii="Times New Roman" w:eastAsia="Times New Roman" w:hAnsi="Times New Roman" w:cs="Times New Roman"/>
          <w:sz w:val="24"/>
          <w:szCs w:val="24"/>
        </w:rPr>
        <w:t xml:space="preserve"> amplifying a 172 bp fragment, with modification on the second base pair of the Forward primer (Cytosine replacing a Thymine) and (ii) 12S Riaz primers </w:t>
      </w:r>
      <w:bookmarkStart w:id="0" w:name="_Hlk101545695"/>
      <w:r w:rsidR="00521A0D">
        <w:rPr>
          <w:rFonts w:ascii="Times New Roman" w:eastAsia="Times New Roman" w:hAnsi="Times New Roman" w:cs="Times New Roman"/>
          <w:sz w:val="24"/>
          <w:szCs w:val="24"/>
        </w:rPr>
        <w:fldChar w:fldCharType="begin"/>
      </w:r>
      <w:r w:rsidR="00521A0D">
        <w:rPr>
          <w:rFonts w:ascii="Times New Roman" w:eastAsia="Times New Roman" w:hAnsi="Times New Roman" w:cs="Times New Roman"/>
          <w:sz w:val="24"/>
          <w:szCs w:val="24"/>
        </w:rPr>
        <w:instrText xml:space="preserve"> ADDIN ZOTERO_ITEM CSL_CITATION {"citationID":"3QuFTYWS","properties":{"unsorted":true,"formattedCitation":"(Riaz et al., 2011; Kelly et al., 2014)","plainCitation":"(Riaz et al., 2011; Kelly et al., 2014)","noteIndex":0},"citationItems":[{"id":11548,"uris":["http://zotero.org/users/3033072/items/U37J8NLS"],"uri":["http://zotero.org/users/3033072/items/U37J8NLS"],"itemData":{"id":11548,"type":"article-journal","abstract":"Using non-conventional markers, DNA metabarcoding allows biodiversity assessment from complex substrates. In this article, we present ecoPrimers, a software for identifying new barcode markers and their associated PCR primers. ecoPrimers scans whole genomes to find such markers without a priori knowledge. ecoPrimers optimizes two quality indices measuring taxonomical range and discrimination to select the most efficient markers from a set of reference sequences, according to specific experimental constraints such as marker length or specifically targeted taxa. The key step of the algorithm is the identification of conserved regions among reference sequences for anchoring primers. We propose an efficient algorithm based on data mining, that allows the analysis of huge sets of sequences. We evaluate the efficiency of ecoPrimers by running it on three different sequence sets: mitochondrial, chloroplast and bacterial genomes. Identified barcode markers correspond either to barcode regions already in use for plants or animals, or to new potential barcodes. Results from empirical experiments carried out on a promising new barcode for analyzing vertebrate diversity fully agree with expectations based on bioinformatics analysis. These tests demonstrate the efficiency of ecoPrimers for inferring new barcodes fitt</w:instrText>
      </w:r>
      <w:r w:rsidR="00521A0D" w:rsidRPr="009962A9">
        <w:rPr>
          <w:rFonts w:ascii="Times New Roman" w:eastAsia="Times New Roman" w:hAnsi="Times New Roman" w:cs="Times New Roman"/>
          <w:sz w:val="24"/>
          <w:szCs w:val="24"/>
        </w:rPr>
        <w:instrText xml:space="preserve">ing with diverse experimental contexts. ecoPrimers is available as an open source project at: http://www.grenoble.prabi.fr/trac/ecoPrimers.","container-title":"Nucleic Acids Research","DOI":"10.1093/nar/gkr732","ISSN":"1362-4962, 0305-1048","issue":"21","language":"en","page":"e145-e145","source":"DOI.org (Crossref)","title":"ecoPrimers: inference of new DNA barcode markers from whole genome sequence analysis","title-short":"ecoPrimers","volume":"39","author":[{"family":"Riaz","given":"Tiayyba"},{"family":"Shehzad","given":"Wasim"},{"family":"Viari","given":"Alain"},{"family":"Pompanon","given":"François"},{"family":"Taberlet","given":"Pierre"},{"family":"Coissac","given":"Eric"}],"issued":{"date-parts":[["2011",11,1]]}}},{"id":9586,"uris":["http://zotero.org/users/3033072/items/HXDEDTRM"],"uri":["http://zotero.org/users/3033072/items/HXDEDTRM"],"itemData":{"id":9586,"type":"article-journal","container-title":"PLoS ONE","DOI":"10.1371/journal.pone.0086175","ISSN":"1932-6203","issue":"1","language":"en","page":"e86175","source":"CrossRef","title":"Using Environmental DNA to Census Marine Fishes in a Large Mesocosm","volume":"9","author":[{"family":"Kelly","given":"Ryan P."},{"family":"Port","given":"Jesse A."},{"family":"Yamahara","given":"Kevan M."},{"family":"Crowder","given":"Larry B."}],"editor":[{"family":"Hofmann","given":"Gretchen E."}],"issued":{"date-parts":[["2014",1,15]]}}}],"schema":"https://github.com/citation-style-language/schema/raw/master/csl-citation.json"} </w:instrText>
      </w:r>
      <w:r w:rsidR="00521A0D">
        <w:rPr>
          <w:rFonts w:ascii="Times New Roman" w:eastAsia="Times New Roman" w:hAnsi="Times New Roman" w:cs="Times New Roman"/>
          <w:sz w:val="24"/>
          <w:szCs w:val="24"/>
        </w:rPr>
        <w:fldChar w:fldCharType="separate"/>
      </w:r>
      <w:r w:rsidR="00521A0D" w:rsidRPr="009962A9">
        <w:rPr>
          <w:rFonts w:ascii="Times New Roman" w:hAnsi="Times New Roman" w:cs="Times New Roman"/>
          <w:sz w:val="24"/>
        </w:rPr>
        <w:t>(Riaz et al., 2011; Kelly et al., 2014)</w:t>
      </w:r>
      <w:r w:rsidR="00521A0D">
        <w:rPr>
          <w:rFonts w:ascii="Times New Roman" w:eastAsia="Times New Roman" w:hAnsi="Times New Roman" w:cs="Times New Roman"/>
          <w:sz w:val="24"/>
          <w:szCs w:val="24"/>
        </w:rPr>
        <w:fldChar w:fldCharType="end"/>
      </w:r>
      <w:bookmarkEnd w:id="0"/>
      <w:r w:rsidRPr="009962A9">
        <w:rPr>
          <w:rFonts w:ascii="Times New Roman" w:eastAsia="Times New Roman" w:hAnsi="Times New Roman" w:cs="Times New Roman"/>
          <w:sz w:val="24"/>
          <w:szCs w:val="24"/>
        </w:rPr>
        <w:t xml:space="preserve"> amplifying a 106 bp fragment. </w:t>
      </w:r>
      <w:r>
        <w:rPr>
          <w:rFonts w:ascii="Times New Roman" w:eastAsia="Times New Roman" w:hAnsi="Times New Roman" w:cs="Times New Roman"/>
          <w:sz w:val="24"/>
          <w:szCs w:val="24"/>
        </w:rPr>
        <w:t xml:space="preserve">Subsequently, tails were added at the 5’ end to be complementary with Illumina </w:t>
      </w:r>
      <w:proofErr w:type="spellStart"/>
      <w:r>
        <w:rPr>
          <w:rFonts w:ascii="Times New Roman" w:eastAsia="Times New Roman" w:hAnsi="Times New Roman" w:cs="Times New Roman"/>
          <w:sz w:val="24"/>
          <w:szCs w:val="24"/>
        </w:rPr>
        <w:t>Nextera</w:t>
      </w:r>
      <w:proofErr w:type="spellEnd"/>
      <w:r>
        <w:rPr>
          <w:rFonts w:ascii="Times New Roman" w:eastAsia="Times New Roman" w:hAnsi="Times New Roman" w:cs="Times New Roman"/>
          <w:sz w:val="24"/>
          <w:szCs w:val="24"/>
        </w:rPr>
        <w:t xml:space="preserve"> index primers. DNA amplifications with both </w:t>
      </w:r>
      <w:r>
        <w:rPr>
          <w:rFonts w:ascii="Times New Roman" w:eastAsia="Times New Roman" w:hAnsi="Times New Roman" w:cs="Times New Roman"/>
          <w:sz w:val="24"/>
          <w:szCs w:val="24"/>
        </w:rPr>
        <w:lastRenderedPageBreak/>
        <w:t xml:space="preserve">primer sets were performed with 12 replicates each in a final volume of </w:t>
      </w:r>
      <w:r w:rsidR="00A76E79">
        <w:rPr>
          <w:rFonts w:ascii="Times New Roman" w:eastAsia="Times New Roman" w:hAnsi="Times New Roman" w:cs="Times New Roman"/>
          <w:sz w:val="24"/>
          <w:szCs w:val="24"/>
        </w:rPr>
        <w:t>8</w:t>
      </w:r>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μL</w:t>
      </w:r>
      <w:proofErr w:type="spellEnd"/>
      <w:r>
        <w:rPr>
          <w:rFonts w:ascii="Times New Roman" w:eastAsia="Times New Roman" w:hAnsi="Times New Roman" w:cs="Times New Roman"/>
          <w:sz w:val="24"/>
          <w:szCs w:val="24"/>
        </w:rPr>
        <w:t xml:space="preserve"> containing 1X Phusion Green Hot Start II High Fidelity PCR Master Mix (ThermoScientific, USA), 0.4 </w:t>
      </w:r>
      <w:proofErr w:type="spellStart"/>
      <w:r>
        <w:rPr>
          <w:rFonts w:ascii="Times New Roman" w:eastAsia="Times New Roman" w:hAnsi="Times New Roman" w:cs="Times New Roman"/>
          <w:sz w:val="24"/>
          <w:szCs w:val="24"/>
        </w:rPr>
        <w:t>μM</w:t>
      </w:r>
      <w:proofErr w:type="spellEnd"/>
      <w:r>
        <w:rPr>
          <w:rFonts w:ascii="Times New Roman" w:eastAsia="Times New Roman" w:hAnsi="Times New Roman" w:cs="Times New Roman"/>
          <w:sz w:val="24"/>
          <w:szCs w:val="24"/>
        </w:rPr>
        <w:t xml:space="preserve"> of each Forward and Reverse tailed primers, 0.</w:t>
      </w:r>
      <w:r w:rsidR="00A76E79">
        <w:rPr>
          <w:rFonts w:ascii="Times New Roman" w:eastAsia="Times New Roman" w:hAnsi="Times New Roman" w:cs="Times New Roman"/>
          <w:sz w:val="24"/>
          <w:szCs w:val="24"/>
        </w:rPr>
        <w:t>6</w:t>
      </w:r>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μg</w:t>
      </w:r>
      <w:proofErr w:type="spellEnd"/>
      <w:r>
        <w:rPr>
          <w:rFonts w:ascii="Times New Roman" w:eastAsia="Times New Roman" w:hAnsi="Times New Roman" w:cs="Times New Roman"/>
          <w:sz w:val="24"/>
          <w:szCs w:val="24"/>
        </w:rPr>
        <w:t>/</w:t>
      </w:r>
      <w:proofErr w:type="spellStart"/>
      <w:r>
        <w:rPr>
          <w:rFonts w:ascii="Times New Roman" w:eastAsia="Times New Roman" w:hAnsi="Times New Roman" w:cs="Times New Roman"/>
          <w:sz w:val="24"/>
          <w:szCs w:val="24"/>
        </w:rPr>
        <w:t>μL</w:t>
      </w:r>
      <w:proofErr w:type="spellEnd"/>
      <w:r>
        <w:rPr>
          <w:rFonts w:ascii="Times New Roman" w:eastAsia="Times New Roman" w:hAnsi="Times New Roman" w:cs="Times New Roman"/>
          <w:sz w:val="24"/>
          <w:szCs w:val="24"/>
        </w:rPr>
        <w:t xml:space="preserve"> of BSA (ThermoScientific), 3% of DMSO (ThermoScientific), 1.5 mM of MgCl2 (Invitrogen) and PCR grade water (ThermoScientific). PCR conditions were set to an initial denaturation at 98°C for 3 min followed by 45 cycles at 98°C for 20 s, 69°C for 15 s and 72°C for 15 s, and a final elongation at 72°C for 5 min. Positive control consisting of a mock community with a known composition of non-native fish species and negative control consisting of PCR grade water were analysed alongside eDNA samples. The presence of PCR products was evaluated by gel electrophoresis, and all PCR replicates for each sample were pooled and purified using </w:t>
      </w:r>
      <w:proofErr w:type="spellStart"/>
      <w:r>
        <w:rPr>
          <w:rFonts w:ascii="Times New Roman" w:eastAsia="Times New Roman" w:hAnsi="Times New Roman" w:cs="Times New Roman"/>
          <w:sz w:val="24"/>
          <w:szCs w:val="24"/>
        </w:rPr>
        <w:t>MagBind</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TotalPure</w:t>
      </w:r>
      <w:proofErr w:type="spellEnd"/>
      <w:r>
        <w:rPr>
          <w:rFonts w:ascii="Times New Roman" w:eastAsia="Times New Roman" w:hAnsi="Times New Roman" w:cs="Times New Roman"/>
          <w:sz w:val="24"/>
          <w:szCs w:val="24"/>
        </w:rPr>
        <w:t xml:space="preserve"> NGS (Omega </w:t>
      </w:r>
      <w:proofErr w:type="spellStart"/>
      <w:r>
        <w:rPr>
          <w:rFonts w:ascii="Times New Roman" w:eastAsia="Times New Roman" w:hAnsi="Times New Roman" w:cs="Times New Roman"/>
          <w:sz w:val="24"/>
          <w:szCs w:val="24"/>
        </w:rPr>
        <w:t>Biotek</w:t>
      </w:r>
      <w:proofErr w:type="spellEnd"/>
      <w:r>
        <w:rPr>
          <w:rFonts w:ascii="Times New Roman" w:eastAsia="Times New Roman" w:hAnsi="Times New Roman" w:cs="Times New Roman"/>
          <w:sz w:val="24"/>
          <w:szCs w:val="24"/>
        </w:rPr>
        <w:t>, USA) magnetic beads with a 0.8:1 beads-DNA ratio to remove primer dimers.</w:t>
      </w:r>
    </w:p>
    <w:p w14:paraId="3F4F4625" w14:textId="77777777" w:rsidR="00AA054B" w:rsidRDefault="00DB4C60" w:rsidP="00B34FD3">
      <w:pPr>
        <w:spacing w:after="0" w:line="480" w:lineRule="auto"/>
        <w:ind w:firstLine="22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Purified amplicons were indexed in a second PCR following the Illumina 16S Metagenomics Sequencing Preparation protocol in a final volume of 20 </w:t>
      </w:r>
      <w:proofErr w:type="spellStart"/>
      <w:r>
        <w:rPr>
          <w:rFonts w:ascii="Times New Roman" w:eastAsia="Times New Roman" w:hAnsi="Times New Roman" w:cs="Times New Roman"/>
          <w:sz w:val="24"/>
          <w:szCs w:val="24"/>
        </w:rPr>
        <w:t>μL</w:t>
      </w:r>
      <w:proofErr w:type="spellEnd"/>
      <w:r>
        <w:rPr>
          <w:rFonts w:ascii="Times New Roman" w:eastAsia="Times New Roman" w:hAnsi="Times New Roman" w:cs="Times New Roman"/>
          <w:sz w:val="24"/>
          <w:szCs w:val="24"/>
        </w:rPr>
        <w:t xml:space="preserve"> containing 1X Phusion Green Hot Start II High-Fidelity PCR Master Mix (ThermoScientific), 2 </w:t>
      </w:r>
      <w:proofErr w:type="spellStart"/>
      <w:r>
        <w:rPr>
          <w:rFonts w:ascii="Times New Roman" w:eastAsia="Times New Roman" w:hAnsi="Times New Roman" w:cs="Times New Roman"/>
          <w:sz w:val="24"/>
          <w:szCs w:val="24"/>
        </w:rPr>
        <w:t>μL</w:t>
      </w:r>
      <w:proofErr w:type="spellEnd"/>
      <w:r>
        <w:rPr>
          <w:rFonts w:ascii="Times New Roman" w:eastAsia="Times New Roman" w:hAnsi="Times New Roman" w:cs="Times New Roman"/>
          <w:sz w:val="24"/>
          <w:szCs w:val="24"/>
        </w:rPr>
        <w:t xml:space="preserve"> of </w:t>
      </w:r>
      <w:proofErr w:type="spellStart"/>
      <w:r>
        <w:rPr>
          <w:rFonts w:ascii="Times New Roman" w:eastAsia="Times New Roman" w:hAnsi="Times New Roman" w:cs="Times New Roman"/>
          <w:sz w:val="24"/>
          <w:szCs w:val="24"/>
        </w:rPr>
        <w:t>Nextera</w:t>
      </w:r>
      <w:proofErr w:type="spellEnd"/>
      <w:r>
        <w:rPr>
          <w:rFonts w:ascii="Times New Roman" w:eastAsia="Times New Roman" w:hAnsi="Times New Roman" w:cs="Times New Roman"/>
          <w:sz w:val="24"/>
          <w:szCs w:val="24"/>
        </w:rPr>
        <w:t xml:space="preserve"> XT i7 Index Primer (Illumina, USA), 2 </w:t>
      </w:r>
      <w:proofErr w:type="spellStart"/>
      <w:r>
        <w:rPr>
          <w:rFonts w:ascii="Times New Roman" w:eastAsia="Times New Roman" w:hAnsi="Times New Roman" w:cs="Times New Roman"/>
          <w:sz w:val="24"/>
          <w:szCs w:val="24"/>
        </w:rPr>
        <w:t>μL</w:t>
      </w:r>
      <w:proofErr w:type="spellEnd"/>
      <w:r>
        <w:rPr>
          <w:rFonts w:ascii="Times New Roman" w:eastAsia="Times New Roman" w:hAnsi="Times New Roman" w:cs="Times New Roman"/>
          <w:sz w:val="24"/>
          <w:szCs w:val="24"/>
        </w:rPr>
        <w:t xml:space="preserve"> of </w:t>
      </w:r>
      <w:proofErr w:type="spellStart"/>
      <w:r>
        <w:rPr>
          <w:rFonts w:ascii="Times New Roman" w:eastAsia="Times New Roman" w:hAnsi="Times New Roman" w:cs="Times New Roman"/>
          <w:sz w:val="24"/>
          <w:szCs w:val="24"/>
        </w:rPr>
        <w:t>Nextera</w:t>
      </w:r>
      <w:proofErr w:type="spellEnd"/>
      <w:r>
        <w:rPr>
          <w:rFonts w:ascii="Times New Roman" w:eastAsia="Times New Roman" w:hAnsi="Times New Roman" w:cs="Times New Roman"/>
          <w:sz w:val="24"/>
          <w:szCs w:val="24"/>
        </w:rPr>
        <w:t xml:space="preserve"> XT i5 Index Primer (Illumina), 4 </w:t>
      </w:r>
      <w:proofErr w:type="spellStart"/>
      <w:r>
        <w:rPr>
          <w:rFonts w:ascii="Times New Roman" w:eastAsia="Times New Roman" w:hAnsi="Times New Roman" w:cs="Times New Roman"/>
          <w:sz w:val="24"/>
          <w:szCs w:val="24"/>
        </w:rPr>
        <w:t>μL</w:t>
      </w:r>
      <w:proofErr w:type="spellEnd"/>
      <w:r>
        <w:rPr>
          <w:rFonts w:ascii="Times New Roman" w:eastAsia="Times New Roman" w:hAnsi="Times New Roman" w:cs="Times New Roman"/>
          <w:sz w:val="24"/>
          <w:szCs w:val="24"/>
        </w:rPr>
        <w:t xml:space="preserve"> of PCR grade water (ThermoScientific), and 2 </w:t>
      </w:r>
      <w:proofErr w:type="spellStart"/>
      <w:r>
        <w:rPr>
          <w:rFonts w:ascii="Times New Roman" w:eastAsia="Times New Roman" w:hAnsi="Times New Roman" w:cs="Times New Roman"/>
          <w:sz w:val="24"/>
          <w:szCs w:val="24"/>
        </w:rPr>
        <w:t>μL</w:t>
      </w:r>
      <w:proofErr w:type="spellEnd"/>
      <w:r>
        <w:rPr>
          <w:rFonts w:ascii="Times New Roman" w:eastAsia="Times New Roman" w:hAnsi="Times New Roman" w:cs="Times New Roman"/>
          <w:sz w:val="24"/>
          <w:szCs w:val="24"/>
        </w:rPr>
        <w:t xml:space="preserve"> of pooled and purified first-round PCR product. After the second amplification, PCR products were again purified (1:1 </w:t>
      </w:r>
      <w:proofErr w:type="spellStart"/>
      <w:r>
        <w:rPr>
          <w:rFonts w:ascii="Times New Roman" w:eastAsia="Times New Roman" w:hAnsi="Times New Roman" w:cs="Times New Roman"/>
          <w:sz w:val="24"/>
          <w:szCs w:val="24"/>
        </w:rPr>
        <w:t>beads:DNA</w:t>
      </w:r>
      <w:proofErr w:type="spellEnd"/>
      <w:r>
        <w:rPr>
          <w:rFonts w:ascii="Times New Roman" w:eastAsia="Times New Roman" w:hAnsi="Times New Roman" w:cs="Times New Roman"/>
          <w:sz w:val="24"/>
          <w:szCs w:val="24"/>
        </w:rPr>
        <w:t xml:space="preserve"> ratio), quantified using a Qubit dsDNA HS Assay Kit, sized using a </w:t>
      </w:r>
      <w:proofErr w:type="spellStart"/>
      <w:r>
        <w:rPr>
          <w:rFonts w:ascii="Times New Roman" w:eastAsia="Times New Roman" w:hAnsi="Times New Roman" w:cs="Times New Roman"/>
          <w:sz w:val="24"/>
          <w:szCs w:val="24"/>
        </w:rPr>
        <w:t>TapeStation</w:t>
      </w:r>
      <w:proofErr w:type="spellEnd"/>
      <w:r>
        <w:rPr>
          <w:rFonts w:ascii="Times New Roman" w:eastAsia="Times New Roman" w:hAnsi="Times New Roman" w:cs="Times New Roman"/>
          <w:sz w:val="24"/>
          <w:szCs w:val="24"/>
        </w:rPr>
        <w:t xml:space="preserve"> D1000 </w:t>
      </w:r>
      <w:proofErr w:type="spellStart"/>
      <w:r>
        <w:rPr>
          <w:rFonts w:ascii="Times New Roman" w:eastAsia="Times New Roman" w:hAnsi="Times New Roman" w:cs="Times New Roman"/>
          <w:sz w:val="24"/>
          <w:szCs w:val="24"/>
        </w:rPr>
        <w:t>ScreenTape</w:t>
      </w:r>
      <w:proofErr w:type="spellEnd"/>
      <w:r>
        <w:rPr>
          <w:rFonts w:ascii="Times New Roman" w:eastAsia="Times New Roman" w:hAnsi="Times New Roman" w:cs="Times New Roman"/>
          <w:sz w:val="24"/>
          <w:szCs w:val="24"/>
        </w:rPr>
        <w:t xml:space="preserve"> System (Agilent, USA) and normalised to 4 </w:t>
      </w:r>
      <w:proofErr w:type="spellStart"/>
      <w:r>
        <w:rPr>
          <w:rFonts w:ascii="Times New Roman" w:eastAsia="Times New Roman" w:hAnsi="Times New Roman" w:cs="Times New Roman"/>
          <w:sz w:val="24"/>
          <w:szCs w:val="24"/>
        </w:rPr>
        <w:t>nM.</w:t>
      </w:r>
      <w:proofErr w:type="spellEnd"/>
      <w:r>
        <w:rPr>
          <w:rFonts w:ascii="Times New Roman" w:eastAsia="Times New Roman" w:hAnsi="Times New Roman" w:cs="Times New Roman"/>
          <w:sz w:val="24"/>
          <w:szCs w:val="24"/>
        </w:rPr>
        <w:t xml:space="preserve"> Libraries were pooled in equimolar concentrations and sequenced on a MiSeq platform (Illumina) with a V2 2 × 250 bp kit. The final library was loaded at 12 </w:t>
      </w:r>
      <w:proofErr w:type="spellStart"/>
      <w:r>
        <w:rPr>
          <w:rFonts w:ascii="Times New Roman" w:eastAsia="Times New Roman" w:hAnsi="Times New Roman" w:cs="Times New Roman"/>
          <w:sz w:val="24"/>
          <w:szCs w:val="24"/>
        </w:rPr>
        <w:t>pM</w:t>
      </w:r>
      <w:proofErr w:type="spellEnd"/>
      <w:r>
        <w:rPr>
          <w:rFonts w:ascii="Times New Roman" w:eastAsia="Times New Roman" w:hAnsi="Times New Roman" w:cs="Times New Roman"/>
          <w:sz w:val="24"/>
          <w:szCs w:val="24"/>
        </w:rPr>
        <w:t xml:space="preserve"> with a 10% </w:t>
      </w:r>
      <w:proofErr w:type="spellStart"/>
      <w:r>
        <w:rPr>
          <w:rFonts w:ascii="Times New Roman" w:eastAsia="Times New Roman" w:hAnsi="Times New Roman" w:cs="Times New Roman"/>
          <w:sz w:val="24"/>
          <w:szCs w:val="24"/>
        </w:rPr>
        <w:t>PhiX</w:t>
      </w:r>
      <w:proofErr w:type="spellEnd"/>
      <w:r>
        <w:rPr>
          <w:rFonts w:ascii="Times New Roman" w:eastAsia="Times New Roman" w:hAnsi="Times New Roman" w:cs="Times New Roman"/>
          <w:sz w:val="24"/>
          <w:szCs w:val="24"/>
        </w:rPr>
        <w:t xml:space="preserve"> control spike.</w:t>
      </w:r>
    </w:p>
    <w:p w14:paraId="5F42DC0C" w14:textId="77777777" w:rsidR="00AA054B" w:rsidRDefault="00DB4C60" w:rsidP="00B34FD3">
      <w:pPr>
        <w:spacing w:after="0" w:line="480" w:lineRule="auto"/>
        <w:ind w:firstLine="227"/>
        <w:jc w:val="both"/>
        <w:rPr>
          <w:rFonts w:ascii="Times New Roman" w:eastAsia="Times New Roman" w:hAnsi="Times New Roman" w:cs="Times New Roman"/>
          <w:i/>
          <w:sz w:val="24"/>
          <w:szCs w:val="24"/>
        </w:rPr>
      </w:pPr>
      <w:r>
        <w:rPr>
          <w:rFonts w:ascii="Times New Roman" w:eastAsia="Times New Roman" w:hAnsi="Times New Roman" w:cs="Times New Roman"/>
          <w:i/>
          <w:sz w:val="24"/>
          <w:szCs w:val="24"/>
        </w:rPr>
        <w:t xml:space="preserve">Bioinformatic and statistical analyses </w:t>
      </w:r>
    </w:p>
    <w:p w14:paraId="3583FFED" w14:textId="1216DFC6" w:rsidR="00B34FD3" w:rsidRDefault="00B34FD3" w:rsidP="00B34FD3">
      <w:pPr>
        <w:spacing w:after="0" w:line="480" w:lineRule="auto"/>
        <w:ind w:firstLine="22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Samples were demultiplexed based on the combination of the i5 and i7 index tags. Paired-end reads for each sample were merged using USEARCH </w:t>
      </w:r>
      <w:r w:rsidR="00B319BA">
        <w:rPr>
          <w:rFonts w:ascii="Times New Roman" w:eastAsia="Times New Roman" w:hAnsi="Times New Roman" w:cs="Times New Roman"/>
          <w:sz w:val="24"/>
          <w:szCs w:val="24"/>
        </w:rPr>
        <w:fldChar w:fldCharType="begin"/>
      </w:r>
      <w:r w:rsidR="00B319BA">
        <w:rPr>
          <w:rFonts w:ascii="Times New Roman" w:eastAsia="Times New Roman" w:hAnsi="Times New Roman" w:cs="Times New Roman"/>
          <w:sz w:val="24"/>
          <w:szCs w:val="24"/>
        </w:rPr>
        <w:instrText xml:space="preserve"> ADDIN ZOTERO_ITEM CSL_CITATION {"citationID":"kD3zhZEL","properties":{"formattedCitation":"(Edgar, 2010)","plainCitation":"(Edgar, 2010)","noteIndex":0},"citationItems":[{"id":11469,"uris":["http://zotero.org/users/3033072/items/8RXMLGU2"],"uri":["http://zotero.org/users/3033072/items/8RXMLGU2"],"itemData":{"id":11469,"type":"article-journal","abstract":"Motivation: Biological sequence data is accumulating rapidly, motivating the development of improved high-throughput methods for sequence classiﬁcation.","container-title":"Bioinformatics","DOI":"10.1093/bioinformatics/btq461","ISSN":"1460-2059, 1367-4803","issue":"19","language":"en","page":"2460-2461","source":"DOI.org (Crossref)","title":"Search and clustering orders of magnitude faster than BLAST","volume":"26","author":[{"family":"Edgar","given":"Robert C."}],"issued":{"date-parts":[["2010",10,1]]}}}],"schema":"https://github.com/citation-style-language/schema/raw/master/csl-citation.json"} </w:instrText>
      </w:r>
      <w:r w:rsidR="00B319BA">
        <w:rPr>
          <w:rFonts w:ascii="Times New Roman" w:eastAsia="Times New Roman" w:hAnsi="Times New Roman" w:cs="Times New Roman"/>
          <w:sz w:val="24"/>
          <w:szCs w:val="24"/>
        </w:rPr>
        <w:fldChar w:fldCharType="separate"/>
      </w:r>
      <w:r w:rsidR="00B319BA" w:rsidRPr="00B319BA">
        <w:rPr>
          <w:rFonts w:ascii="Times New Roman" w:hAnsi="Times New Roman" w:cs="Times New Roman"/>
          <w:sz w:val="24"/>
        </w:rPr>
        <w:t>(Edgar, 2010)</w:t>
      </w:r>
      <w:r w:rsidR="00B319BA">
        <w:rPr>
          <w:rFonts w:ascii="Times New Roman" w:eastAsia="Times New Roman" w:hAnsi="Times New Roman" w:cs="Times New Roman"/>
          <w:sz w:val="24"/>
          <w:szCs w:val="24"/>
        </w:rPr>
        <w:fldChar w:fldCharType="end"/>
      </w:r>
      <w:r w:rsidR="00B319BA">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 xml:space="preserve">requiring a minimum of 80% agreement in the overlap. Forward and reverse primers were trimmed from the merged </w:t>
      </w:r>
      <w:r>
        <w:rPr>
          <w:rFonts w:ascii="Times New Roman" w:eastAsia="Times New Roman" w:hAnsi="Times New Roman" w:cs="Times New Roman"/>
          <w:sz w:val="24"/>
          <w:szCs w:val="24"/>
        </w:rPr>
        <w:lastRenderedPageBreak/>
        <w:t xml:space="preserve">sequences using </w:t>
      </w:r>
      <w:r w:rsidR="0010038C">
        <w:rPr>
          <w:rFonts w:ascii="Times New Roman" w:eastAsia="Times New Roman" w:hAnsi="Times New Roman" w:cs="Times New Roman"/>
          <w:sz w:val="24"/>
          <w:szCs w:val="24"/>
        </w:rPr>
        <w:t>C</w:t>
      </w:r>
      <w:r>
        <w:rPr>
          <w:rFonts w:ascii="Times New Roman" w:eastAsia="Times New Roman" w:hAnsi="Times New Roman" w:cs="Times New Roman"/>
          <w:sz w:val="24"/>
          <w:szCs w:val="24"/>
        </w:rPr>
        <w:t xml:space="preserve">utadapt </w:t>
      </w:r>
      <w:r w:rsidR="00B319BA">
        <w:rPr>
          <w:rFonts w:ascii="Times New Roman" w:eastAsia="Times New Roman" w:hAnsi="Times New Roman" w:cs="Times New Roman"/>
          <w:sz w:val="24"/>
          <w:szCs w:val="24"/>
        </w:rPr>
        <w:fldChar w:fldCharType="begin"/>
      </w:r>
      <w:r w:rsidR="00F011D7">
        <w:rPr>
          <w:rFonts w:ascii="Times New Roman" w:eastAsia="Times New Roman" w:hAnsi="Times New Roman" w:cs="Times New Roman"/>
          <w:sz w:val="24"/>
          <w:szCs w:val="24"/>
        </w:rPr>
        <w:instrText xml:space="preserve"> ADDIN ZOTERO_ITEM CSL_CITATION {"citationID":"P10uTbrr","properties":{"formattedCitation":"(Martin, 2011)","plainCitation":"(Martin, 2011)","noteIndex":0},"citationItems":[{"id":11652,"uris":["http://zotero.org/users/3033072/items/L3WGZ8VF"],"uri":["http://zotero.org/users/3033072/items/L3WGZ8VF"],"itemData":{"id":11652,"type":"article-journal","abstract":"When small RNA is sequenced on current sequencing machines, the resulting reads are usually longer than the RNA, and therefore contain parts of the 3’ adapter. That adapter must be found, and removed, error-tolerantly from each read before read mapping. Previous solutions are either hard to use or do not offer required features, in particular, support for colour-space data.","container-title":"EMBnet. journal","issue":"1","language":"en","page":"3","source":"Zotero","title":"Cutadapt removes adapter sequences from high-throughput sequencing reads","volume":"17","author":[{"family":"Martin","given":"Marcel"}],"issued":{"date-parts":[["2011"]]}}}],"schema":"https://github.com/citation-style-language/schema/raw/master/csl-citation.json"} </w:instrText>
      </w:r>
      <w:r w:rsidR="00B319BA">
        <w:rPr>
          <w:rFonts w:ascii="Times New Roman" w:eastAsia="Times New Roman" w:hAnsi="Times New Roman" w:cs="Times New Roman"/>
          <w:sz w:val="24"/>
          <w:szCs w:val="24"/>
        </w:rPr>
        <w:fldChar w:fldCharType="separate"/>
      </w:r>
      <w:r w:rsidR="00F011D7" w:rsidRPr="00F011D7">
        <w:rPr>
          <w:rFonts w:ascii="Times New Roman" w:hAnsi="Times New Roman" w:cs="Times New Roman"/>
          <w:sz w:val="24"/>
        </w:rPr>
        <w:t>(Martin, 2011)</w:t>
      </w:r>
      <w:r w:rsidR="00B319BA">
        <w:rPr>
          <w:rFonts w:ascii="Times New Roman" w:eastAsia="Times New Roman" w:hAnsi="Times New Roman" w:cs="Times New Roman"/>
          <w:sz w:val="24"/>
          <w:szCs w:val="24"/>
        </w:rPr>
        <w:fldChar w:fldCharType="end"/>
      </w:r>
      <w:r>
        <w:rPr>
          <w:rFonts w:ascii="Times New Roman" w:eastAsia="Times New Roman" w:hAnsi="Times New Roman" w:cs="Times New Roman"/>
          <w:sz w:val="24"/>
          <w:szCs w:val="24"/>
        </w:rPr>
        <w:t xml:space="preserve"> and length-filtered to retain sequences of the expected size for each primer set. Sequences were quality filtered using USEARCH to retain only those with an expected error rate per base of 0.01 or below and dereplicated by sample, retaining singletons. Unique reads from all samples were denoised in a single analysis using UNOISE </w:t>
      </w:r>
      <w:r w:rsidR="00F011D7">
        <w:rPr>
          <w:rFonts w:ascii="Times New Roman" w:eastAsia="Times New Roman" w:hAnsi="Times New Roman" w:cs="Times New Roman"/>
          <w:sz w:val="24"/>
          <w:szCs w:val="24"/>
        </w:rPr>
        <w:fldChar w:fldCharType="begin"/>
      </w:r>
      <w:r w:rsidR="00F011D7">
        <w:rPr>
          <w:rFonts w:ascii="Times New Roman" w:eastAsia="Times New Roman" w:hAnsi="Times New Roman" w:cs="Times New Roman"/>
          <w:sz w:val="24"/>
          <w:szCs w:val="24"/>
        </w:rPr>
        <w:instrText xml:space="preserve"> ADDIN ZOTERO_ITEM CSL_CITATION {"citationID":"UyvUeuhd","properties":{"formattedCitation":"(Edgar, 2016)","plainCitation":"(Edgar, 2016)","noteIndex":0},"citationItems":[{"id":11471,"uris":["http://zotero.org/users/3033072/items/TP67MQLY"],"uri":["http://zotero.org/users/3033072/items/TP67MQLY"],"itemData":{"id":11471,"type":"article-journal","abstract":"Amplicon sequencing of tags such as 16S and ITS ribosomal RNA is a popular method for investigating microbial populations. In such experiments, sequence errors caused by PCR and sequencing are difficult to distinguish from true biological variation. I describe UNOISE2, an updated version of the UNOISE algorithm for denoising (error-correcting) Illumina amplicon reads and show that it has comparable or better accuracy than DADA2.","container-title":"bioRxiv","language":"en","note":"DOI: 10.1101/081257","source":"DOI.org (Crossref)","title":"UNOISE2: improved error-correction for Illumina 16S and ITS amplicon sequencing","title-short":"UNOISE2","URL":"http://biorxiv.org/lookup/doi/10.1101/081257","author":[{"family":"Edgar","given":"Robert C."}],"accessed":{"date-parts":[["2022",1,24]]},"issued":{"date-parts":[["2016",10,15]]}}}],"schema":"https://github.com/citation-style-language/schema/raw/master/csl-citation.json"} </w:instrText>
      </w:r>
      <w:r w:rsidR="00F011D7">
        <w:rPr>
          <w:rFonts w:ascii="Times New Roman" w:eastAsia="Times New Roman" w:hAnsi="Times New Roman" w:cs="Times New Roman"/>
          <w:sz w:val="24"/>
          <w:szCs w:val="24"/>
        </w:rPr>
        <w:fldChar w:fldCharType="separate"/>
      </w:r>
      <w:r w:rsidR="00F011D7" w:rsidRPr="00F011D7">
        <w:rPr>
          <w:rFonts w:ascii="Times New Roman" w:hAnsi="Times New Roman" w:cs="Times New Roman"/>
          <w:sz w:val="24"/>
        </w:rPr>
        <w:t>(Edgar, 2016)</w:t>
      </w:r>
      <w:r w:rsidR="00F011D7">
        <w:rPr>
          <w:rFonts w:ascii="Times New Roman" w:eastAsia="Times New Roman" w:hAnsi="Times New Roman" w:cs="Times New Roman"/>
          <w:sz w:val="24"/>
          <w:szCs w:val="24"/>
        </w:rPr>
        <w:fldChar w:fldCharType="end"/>
      </w:r>
      <w:r>
        <w:rPr>
          <w:rFonts w:ascii="Times New Roman" w:eastAsia="Times New Roman" w:hAnsi="Times New Roman" w:cs="Times New Roman"/>
          <w:sz w:val="24"/>
          <w:szCs w:val="24"/>
        </w:rPr>
        <w:t xml:space="preserve">, requiring retained ZOTUs (zero-radius Operational Taxonomic Units) to have a minimum abundance of 8 in at least one sample. ZOTUs were then clustered at 99% similarity with USEARCH to form OTUs (Operational Taxonomic Units) A taxon-by-sample table was generated by mapping all dereplicated reads for each sample to the OTU representative sequences using USEARCH with an identity threshold of 97%. </w:t>
      </w:r>
    </w:p>
    <w:p w14:paraId="23FE03F0" w14:textId="77777777" w:rsidR="00B34FD3" w:rsidRDefault="00B34FD3" w:rsidP="00B34FD3">
      <w:pPr>
        <w:spacing w:after="0" w:line="480" w:lineRule="auto"/>
        <w:ind w:firstLine="22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OTUs were identified via BLAST searches of the representative sequences against the nucleotide database of NCBI and a local curated database of 12S fish sequences, requiring an e-score of 1e-20 and a hit length of at least 90% of the query sequence. Species-, genus-, and higher-level assignments required at least one hit of ≥99%, ≥95%, and ≥92% similarity respectively. Where there were multiple hits meeting these criteria, public GBIF records for Mozambique were used to resolve the conflicts where possible. Low abundance detections were omitted using a filter threshold of 0.02%, or 10 reads, whichever was the greater threshold for the sample. Common contaminant species (human and domestic animals) and unidentified OTUs were also excluded.</w:t>
      </w:r>
    </w:p>
    <w:p w14:paraId="02AED943" w14:textId="5123AEF7" w:rsidR="00CB3FF7" w:rsidRDefault="00DB4C60" w:rsidP="00B34FD3">
      <w:pPr>
        <w:spacing w:after="0" w:line="480" w:lineRule="auto"/>
        <w:ind w:firstLine="22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Sequencing depth per sample of datasets generated by the application of MiFish and Riaz primers were 62139 ± 15015 and 57228 ± 20088, respectively</w:t>
      </w:r>
      <w:r w:rsidR="009962A9">
        <w:rPr>
          <w:rFonts w:ascii="Times New Roman" w:eastAsia="Times New Roman" w:hAnsi="Times New Roman" w:cs="Times New Roman"/>
          <w:sz w:val="24"/>
          <w:szCs w:val="24"/>
        </w:rPr>
        <w:t xml:space="preserve"> (Fig. S1)</w:t>
      </w:r>
      <w:r>
        <w:rPr>
          <w:rFonts w:ascii="Times New Roman" w:eastAsia="Times New Roman" w:hAnsi="Times New Roman" w:cs="Times New Roman"/>
          <w:sz w:val="24"/>
          <w:szCs w:val="24"/>
        </w:rPr>
        <w:t>. The primer comparison was implemented on all samples that contained at least 8000 reads of fish DNA per dataset (</w:t>
      </w:r>
      <w:r>
        <w:rPr>
          <w:rFonts w:ascii="Times New Roman" w:eastAsia="Times New Roman" w:hAnsi="Times New Roman" w:cs="Times New Roman"/>
          <w:i/>
          <w:sz w:val="24"/>
          <w:szCs w:val="24"/>
        </w:rPr>
        <w:t>n</w:t>
      </w:r>
      <w:r>
        <w:rPr>
          <w:rFonts w:ascii="Times New Roman" w:eastAsia="Times New Roman" w:hAnsi="Times New Roman" w:cs="Times New Roman"/>
          <w:sz w:val="24"/>
          <w:szCs w:val="24"/>
        </w:rPr>
        <w:t xml:space="preserve"> = 44). </w:t>
      </w:r>
      <w:r w:rsidR="005D2C28">
        <w:rPr>
          <w:rFonts w:ascii="Times New Roman" w:eastAsia="Times New Roman" w:hAnsi="Times New Roman" w:cs="Times New Roman"/>
          <w:sz w:val="24"/>
          <w:szCs w:val="24"/>
        </w:rPr>
        <w:t xml:space="preserve">8000 reads per sample was chosen as threshold </w:t>
      </w:r>
      <w:r w:rsidR="00CB3FF7">
        <w:rPr>
          <w:rFonts w:ascii="Times New Roman" w:eastAsia="Times New Roman" w:hAnsi="Times New Roman" w:cs="Times New Roman"/>
          <w:sz w:val="24"/>
          <w:szCs w:val="24"/>
        </w:rPr>
        <w:t xml:space="preserve">for this part of the analysis </w:t>
      </w:r>
      <w:r w:rsidR="005D2C28">
        <w:rPr>
          <w:rFonts w:ascii="Times New Roman" w:eastAsia="Times New Roman" w:hAnsi="Times New Roman" w:cs="Times New Roman"/>
          <w:sz w:val="24"/>
          <w:szCs w:val="24"/>
        </w:rPr>
        <w:t xml:space="preserve">as it provides a reasonable compromise between (a) reliable richness assessments in rarefied samples and (b) avoiding the </w:t>
      </w:r>
      <w:r w:rsidR="00CB3FF7">
        <w:rPr>
          <w:rFonts w:ascii="Times New Roman" w:eastAsia="Times New Roman" w:hAnsi="Times New Roman" w:cs="Times New Roman"/>
          <w:sz w:val="24"/>
          <w:szCs w:val="24"/>
        </w:rPr>
        <w:t>exclusion of too many samples because of high threshold values.</w:t>
      </w:r>
      <w:r w:rsidR="005D2C28">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 xml:space="preserve">In order to assess differences in alpha diversity (richness and evenness per sample) between primer-sets, we performed paired t-tests after data were </w:t>
      </w:r>
      <w:r w:rsidR="00CB3FF7">
        <w:rPr>
          <w:rFonts w:ascii="Times New Roman" w:eastAsia="Times New Roman" w:hAnsi="Times New Roman" w:cs="Times New Roman"/>
          <w:sz w:val="24"/>
          <w:szCs w:val="24"/>
        </w:rPr>
        <w:t>log-</w:t>
      </w:r>
      <w:r>
        <w:rPr>
          <w:rFonts w:ascii="Times New Roman" w:eastAsia="Times New Roman" w:hAnsi="Times New Roman" w:cs="Times New Roman"/>
          <w:sz w:val="24"/>
          <w:szCs w:val="24"/>
        </w:rPr>
        <w:t xml:space="preserve">transformed (if necessary) to achieve statistical </w:t>
      </w:r>
      <w:r>
        <w:rPr>
          <w:rFonts w:ascii="Times New Roman" w:eastAsia="Times New Roman" w:hAnsi="Times New Roman" w:cs="Times New Roman"/>
          <w:sz w:val="24"/>
          <w:szCs w:val="24"/>
        </w:rPr>
        <w:lastRenderedPageBreak/>
        <w:t xml:space="preserve">requirements such as variance homogeneity and normality. We also used a paired t-test (or Mann-Whitney u-test in case of non-parametric data) to test for differences in taxonomic coverage, which was defined as the fraction of genera that were recorded by one primer-set and were also present in the second primer set. Further, differences between the alpha diversity of habitat types (freshwater, southern marine habitats, and central marine habitats) were tested using ANOVA after performing a log-transformation to achieve variance homogeneity. Additionally, we tested for systematic differences in primer performance along diversity gradients using a model 2 major-axis regression using the lmodel2 package in R </w:t>
      </w:r>
      <w:r w:rsidR="00EF798E">
        <w:rPr>
          <w:rFonts w:ascii="Times New Roman" w:eastAsia="Times New Roman" w:hAnsi="Times New Roman" w:cs="Times New Roman"/>
          <w:sz w:val="24"/>
          <w:szCs w:val="24"/>
        </w:rPr>
        <w:fldChar w:fldCharType="begin"/>
      </w:r>
      <w:r w:rsidR="00EF798E">
        <w:rPr>
          <w:rFonts w:ascii="Times New Roman" w:eastAsia="Times New Roman" w:hAnsi="Times New Roman" w:cs="Times New Roman"/>
          <w:sz w:val="24"/>
          <w:szCs w:val="24"/>
        </w:rPr>
        <w:instrText xml:space="preserve"> ADDIN ZOTERO_ITEM CSL_CITATION {"citationID":"9V1PICxn","properties":{"formattedCitation":"(Legendre, 2018)","plainCitation":"(Legendre, 2018)","noteIndex":0},"citationItems":[{"id":11423,"uris":["http://zotero.org/users/3033072/items/KGNB72CE"],"uri":["http://zotero.org/users/3033072/items/KGNB72CE"],"itemData":{"id":11423,"type":"book","medium":"R (≥ 2.14.0)","title":"lmodel2: Model II Regression","URL":"https://cran.r-project.org/web/packages/lmodel2/index.html","version":"1.7-3","author":[{"family":"Legendre","given":"Pierre"}],"issued":{"date-parts":[["2018",2,5]]}}}],"schema":"https://github.com/citation-style-language/schema/raw/master/csl-citation.json"} </w:instrText>
      </w:r>
      <w:r w:rsidR="00EF798E">
        <w:rPr>
          <w:rFonts w:ascii="Times New Roman" w:eastAsia="Times New Roman" w:hAnsi="Times New Roman" w:cs="Times New Roman"/>
          <w:sz w:val="24"/>
          <w:szCs w:val="24"/>
        </w:rPr>
        <w:fldChar w:fldCharType="separate"/>
      </w:r>
      <w:r w:rsidR="00EF798E" w:rsidRPr="00EF798E">
        <w:rPr>
          <w:rFonts w:ascii="Times New Roman" w:hAnsi="Times New Roman" w:cs="Times New Roman"/>
          <w:sz w:val="24"/>
        </w:rPr>
        <w:t>(Legendre, 2018)</w:t>
      </w:r>
      <w:r w:rsidR="00EF798E">
        <w:rPr>
          <w:rFonts w:ascii="Times New Roman" w:eastAsia="Times New Roman" w:hAnsi="Times New Roman" w:cs="Times New Roman"/>
          <w:sz w:val="24"/>
          <w:szCs w:val="24"/>
        </w:rPr>
        <w:fldChar w:fldCharType="end"/>
      </w:r>
      <w:r>
        <w:rPr>
          <w:rFonts w:ascii="Times New Roman" w:eastAsia="Times New Roman" w:hAnsi="Times New Roman" w:cs="Times New Roman"/>
          <w:sz w:val="24"/>
          <w:szCs w:val="24"/>
        </w:rPr>
        <w:t xml:space="preserve">. A model 2 regression was also used to test for common patterns in beta-diversity (calculated as Bray-Curtis dissimilarity) recorded with the two primer approaches by pairwise comparing similarity values. </w:t>
      </w:r>
      <w:r w:rsidR="00784150">
        <w:rPr>
          <w:rFonts w:ascii="Times New Roman" w:eastAsia="Times New Roman" w:hAnsi="Times New Roman" w:cs="Times New Roman"/>
          <w:sz w:val="24"/>
          <w:szCs w:val="24"/>
        </w:rPr>
        <w:t xml:space="preserve">Assessments of threatened species, which were also used for primer comparisons were based on the IUCN’s red-list </w:t>
      </w:r>
      <w:r w:rsidR="00977C5B">
        <w:rPr>
          <w:rFonts w:ascii="Times New Roman" w:eastAsia="Times New Roman" w:hAnsi="Times New Roman" w:cs="Times New Roman"/>
          <w:sz w:val="24"/>
          <w:szCs w:val="24"/>
        </w:rPr>
        <w:fldChar w:fldCharType="begin"/>
      </w:r>
      <w:r w:rsidR="00977C5B">
        <w:rPr>
          <w:rFonts w:ascii="Times New Roman" w:eastAsia="Times New Roman" w:hAnsi="Times New Roman" w:cs="Times New Roman"/>
          <w:sz w:val="24"/>
          <w:szCs w:val="24"/>
        </w:rPr>
        <w:instrText xml:space="preserve"> ADDIN ZOTERO_ITEM CSL_CITATION {"citationID":"7YYqYZTH","properties":{"formattedCitation":"(IUCN, 2021)","plainCitation":"(IUCN, 2021)","noteIndex":0},"citationItems":[{"id":11654,"uris":["http://zotero.org/users/3033072/items/HVYIFNN8"],"uri":["http://zotero.org/users/3033072/items/HVYIFNN8"],"itemData":{"id":11654,"type":"article-journal","container-title":"https://www.iucnredlist.org","title":"The IUCN Red List of Threatened Species","volume":"Version 2021-3","author":[{"family":"IUCN","given":""}],"accessed":{"date-parts":[["2021",9,15]]},"issued":{"date-parts":[["2021"]]}}}],"schema":"https://github.com/citation-style-language/schema/raw/master/csl-citation.json"} </w:instrText>
      </w:r>
      <w:r w:rsidR="00977C5B">
        <w:rPr>
          <w:rFonts w:ascii="Times New Roman" w:eastAsia="Times New Roman" w:hAnsi="Times New Roman" w:cs="Times New Roman"/>
          <w:sz w:val="24"/>
          <w:szCs w:val="24"/>
        </w:rPr>
        <w:fldChar w:fldCharType="separate"/>
      </w:r>
      <w:r w:rsidR="00977C5B" w:rsidRPr="00977C5B">
        <w:rPr>
          <w:rFonts w:ascii="Times New Roman" w:hAnsi="Times New Roman" w:cs="Times New Roman"/>
          <w:sz w:val="24"/>
        </w:rPr>
        <w:t>(IUCN, 2021)</w:t>
      </w:r>
      <w:r w:rsidR="00977C5B">
        <w:rPr>
          <w:rFonts w:ascii="Times New Roman" w:eastAsia="Times New Roman" w:hAnsi="Times New Roman" w:cs="Times New Roman"/>
          <w:sz w:val="24"/>
          <w:szCs w:val="24"/>
        </w:rPr>
        <w:fldChar w:fldCharType="end"/>
      </w:r>
      <w:r w:rsidR="00784150">
        <w:rPr>
          <w:rFonts w:ascii="Times New Roman" w:eastAsia="Times New Roman" w:hAnsi="Times New Roman" w:cs="Times New Roman"/>
          <w:sz w:val="24"/>
          <w:szCs w:val="24"/>
        </w:rPr>
        <w:t xml:space="preserve">. </w:t>
      </w:r>
    </w:p>
    <w:p w14:paraId="682EFD9C" w14:textId="4733FC85" w:rsidR="00AA054B" w:rsidRDefault="00DB4C60">
      <w:pPr>
        <w:spacing w:after="0" w:line="480" w:lineRule="auto"/>
        <w:ind w:firstLine="22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Finally, we developed an approach to create a joined data-set based on the data provided by the two individual primer sets. The main function of the algorithm is to capitalise on the availability of two different datasets to detect false negative results</w:t>
      </w:r>
      <w:r w:rsidR="005F6859">
        <w:rPr>
          <w:rFonts w:ascii="Times New Roman" w:eastAsia="Times New Roman" w:hAnsi="Times New Roman" w:cs="Times New Roman"/>
          <w:sz w:val="24"/>
          <w:szCs w:val="24"/>
        </w:rPr>
        <w:t xml:space="preserve"> </w:t>
      </w:r>
      <w:r w:rsidR="007B6685">
        <w:rPr>
          <w:rFonts w:ascii="Times New Roman" w:eastAsia="Times New Roman" w:hAnsi="Times New Roman" w:cs="Times New Roman"/>
          <w:sz w:val="24"/>
          <w:szCs w:val="24"/>
        </w:rPr>
        <w:t xml:space="preserve">that would emerge if only one primer pair were applied. </w:t>
      </w:r>
      <w:r w:rsidR="00257A5C">
        <w:rPr>
          <w:rFonts w:ascii="Times New Roman" w:eastAsia="Times New Roman" w:hAnsi="Times New Roman" w:cs="Times New Roman"/>
          <w:sz w:val="24"/>
          <w:szCs w:val="24"/>
        </w:rPr>
        <w:t>This is accomplished</w:t>
      </w:r>
      <w:r>
        <w:rPr>
          <w:rFonts w:ascii="Times New Roman" w:eastAsia="Times New Roman" w:hAnsi="Times New Roman" w:cs="Times New Roman"/>
          <w:sz w:val="24"/>
          <w:szCs w:val="24"/>
        </w:rPr>
        <w:t xml:space="preserve"> by comparing records of occurrence and the taxonomic assignment of the OTUs from both data-sets (See Box 1 for method explanation). </w:t>
      </w:r>
      <w:r w:rsidR="00CB3FF7">
        <w:rPr>
          <w:rFonts w:ascii="Times New Roman" w:eastAsia="Times New Roman" w:hAnsi="Times New Roman" w:cs="Times New Roman"/>
          <w:sz w:val="24"/>
          <w:szCs w:val="24"/>
        </w:rPr>
        <w:t>Under certain circumstances</w:t>
      </w:r>
      <w:r w:rsidR="005C1CB8">
        <w:rPr>
          <w:rFonts w:ascii="Times New Roman" w:eastAsia="Times New Roman" w:hAnsi="Times New Roman" w:cs="Times New Roman"/>
          <w:sz w:val="24"/>
          <w:szCs w:val="24"/>
        </w:rPr>
        <w:t xml:space="preserve">, it is not possible to determine whether </w:t>
      </w:r>
      <w:r w:rsidR="007B6685">
        <w:rPr>
          <w:rFonts w:ascii="Times New Roman" w:eastAsia="Times New Roman" w:hAnsi="Times New Roman" w:cs="Times New Roman"/>
          <w:sz w:val="24"/>
          <w:szCs w:val="24"/>
        </w:rPr>
        <w:t xml:space="preserve">entries in </w:t>
      </w:r>
      <w:r w:rsidR="005C1CB8">
        <w:rPr>
          <w:rFonts w:ascii="Times New Roman" w:eastAsia="Times New Roman" w:hAnsi="Times New Roman" w:cs="Times New Roman"/>
          <w:sz w:val="24"/>
          <w:szCs w:val="24"/>
        </w:rPr>
        <w:t xml:space="preserve">two </w:t>
      </w:r>
      <w:r w:rsidR="007B6685">
        <w:rPr>
          <w:rFonts w:ascii="Times New Roman" w:eastAsia="Times New Roman" w:hAnsi="Times New Roman" w:cs="Times New Roman"/>
          <w:sz w:val="24"/>
          <w:szCs w:val="24"/>
        </w:rPr>
        <w:t xml:space="preserve">datasets </w:t>
      </w:r>
      <w:r w:rsidR="008976E5">
        <w:rPr>
          <w:rFonts w:ascii="Times New Roman" w:eastAsia="Times New Roman" w:hAnsi="Times New Roman" w:cs="Times New Roman"/>
          <w:sz w:val="24"/>
          <w:szCs w:val="24"/>
        </w:rPr>
        <w:t>represent</w:t>
      </w:r>
      <w:r w:rsidR="005C1CB8">
        <w:rPr>
          <w:rFonts w:ascii="Times New Roman" w:eastAsia="Times New Roman" w:hAnsi="Times New Roman" w:cs="Times New Roman"/>
          <w:sz w:val="24"/>
          <w:szCs w:val="24"/>
        </w:rPr>
        <w:t xml:space="preserve"> two different or the same species</w:t>
      </w:r>
      <w:r w:rsidR="008976E5">
        <w:rPr>
          <w:rFonts w:ascii="Times New Roman" w:eastAsia="Times New Roman" w:hAnsi="Times New Roman" w:cs="Times New Roman"/>
          <w:sz w:val="24"/>
          <w:szCs w:val="24"/>
        </w:rPr>
        <w:t xml:space="preserve"> (e.g., if one assay reports a species and the other assay reports a taxon of the same genus without species affiliation)</w:t>
      </w:r>
      <w:r w:rsidR="005C1CB8">
        <w:rPr>
          <w:rFonts w:ascii="Times New Roman" w:eastAsia="Times New Roman" w:hAnsi="Times New Roman" w:cs="Times New Roman"/>
          <w:sz w:val="24"/>
          <w:szCs w:val="24"/>
        </w:rPr>
        <w:t>. Under such circumstances, we</w:t>
      </w:r>
      <w:r>
        <w:rPr>
          <w:rFonts w:ascii="Times New Roman" w:eastAsia="Times New Roman" w:hAnsi="Times New Roman" w:cs="Times New Roman"/>
          <w:sz w:val="24"/>
          <w:szCs w:val="24"/>
        </w:rPr>
        <w:t xml:space="preserve"> chose conservative procedures </w:t>
      </w:r>
      <w:r w:rsidR="008976E5">
        <w:rPr>
          <w:rFonts w:ascii="Times New Roman" w:eastAsia="Times New Roman" w:hAnsi="Times New Roman" w:cs="Times New Roman"/>
          <w:sz w:val="24"/>
          <w:szCs w:val="24"/>
        </w:rPr>
        <w:t xml:space="preserve">(Box 1) </w:t>
      </w:r>
      <w:r>
        <w:rPr>
          <w:rFonts w:ascii="Times New Roman" w:eastAsia="Times New Roman" w:hAnsi="Times New Roman" w:cs="Times New Roman"/>
          <w:sz w:val="24"/>
          <w:szCs w:val="24"/>
        </w:rPr>
        <w:t>to avoid the artificial inflation of taxon richness as a result of data merging procedures. Nevertheless, errors in taxonomic assignment can negatively affect the merging process. A</w:t>
      </w:r>
      <w:r w:rsidR="008976E5">
        <w:rPr>
          <w:rFonts w:ascii="Times New Roman" w:eastAsia="Times New Roman" w:hAnsi="Times New Roman" w:cs="Times New Roman"/>
          <w:sz w:val="24"/>
          <w:szCs w:val="24"/>
        </w:rPr>
        <w:t xml:space="preserve"> detailed</w:t>
      </w:r>
      <w:r>
        <w:rPr>
          <w:rFonts w:ascii="Times New Roman" w:eastAsia="Times New Roman" w:hAnsi="Times New Roman" w:cs="Times New Roman"/>
          <w:sz w:val="24"/>
          <w:szCs w:val="24"/>
        </w:rPr>
        <w:t xml:space="preserve"> discussion of potential error sources and an in-depth description of the merging algorithm are provided in the Supplementary Information, Section 1. An annotated R-Script to implement data merging procedures, which can in principle </w:t>
      </w:r>
      <w:r>
        <w:rPr>
          <w:rFonts w:ascii="Times New Roman" w:eastAsia="Times New Roman" w:hAnsi="Times New Roman" w:cs="Times New Roman"/>
          <w:sz w:val="24"/>
          <w:szCs w:val="24"/>
        </w:rPr>
        <w:lastRenderedPageBreak/>
        <w:t xml:space="preserve">be applied to merge any metabarcoding dataset, is included as an annex. All data processing and statistical analyses were performed in R version 4.1.0 </w:t>
      </w:r>
      <w:hyperlink r:id="rId7">
        <w:r>
          <w:rPr>
            <w:rFonts w:ascii="Times New Roman" w:eastAsia="Times New Roman" w:hAnsi="Times New Roman" w:cs="Times New Roman"/>
            <w:sz w:val="24"/>
            <w:szCs w:val="24"/>
          </w:rPr>
          <w:t>(R Core Team Foundation)</w:t>
        </w:r>
      </w:hyperlink>
      <w:r>
        <w:rPr>
          <w:rFonts w:ascii="Times New Roman" w:eastAsia="Times New Roman" w:hAnsi="Times New Roman" w:cs="Times New Roman"/>
          <w:sz w:val="24"/>
          <w:szCs w:val="24"/>
        </w:rPr>
        <w:t xml:space="preserve">. </w:t>
      </w:r>
    </w:p>
    <w:p w14:paraId="66543FE5" w14:textId="77777777" w:rsidR="00EB3F65" w:rsidRDefault="00EB3F65" w:rsidP="00EB3F65">
      <w:pPr>
        <w:spacing w:before="120" w:after="120" w:line="480" w:lineRule="auto"/>
        <w:ind w:firstLine="227"/>
        <w:rPr>
          <w:rFonts w:ascii="Times New Roman" w:eastAsia="Times New Roman" w:hAnsi="Times New Roman" w:cs="Times New Roman"/>
          <w:b/>
          <w:sz w:val="24"/>
          <w:szCs w:val="24"/>
        </w:rPr>
      </w:pPr>
      <w:bookmarkStart w:id="1" w:name="_gjdgxs" w:colFirst="0" w:colLast="0"/>
      <w:bookmarkEnd w:id="1"/>
      <w:r>
        <w:rPr>
          <w:rFonts w:ascii="Times New Roman" w:eastAsia="Times New Roman" w:hAnsi="Times New Roman" w:cs="Times New Roman"/>
          <w:b/>
          <w:sz w:val="24"/>
          <w:szCs w:val="24"/>
        </w:rPr>
        <w:t>Results</w:t>
      </w:r>
    </w:p>
    <w:p w14:paraId="4924190B" w14:textId="74F34C84" w:rsidR="00EB3F65" w:rsidRDefault="009238C8" w:rsidP="008976E5">
      <w:pPr>
        <w:spacing w:after="0" w:line="480" w:lineRule="auto"/>
        <w:jc w:val="both"/>
        <w:rPr>
          <w:rFonts w:ascii="Times New Roman" w:eastAsia="Times New Roman" w:hAnsi="Times New Roman" w:cs="Times New Roman"/>
          <w:sz w:val="24"/>
          <w:szCs w:val="24"/>
        </w:rPr>
      </w:pPr>
      <w:bookmarkStart w:id="2" w:name="_heading=h.gjdgxs" w:colFirst="0" w:colLast="0"/>
      <w:bookmarkEnd w:id="2"/>
      <w:r>
        <w:rPr>
          <w:rFonts w:ascii="Times New Roman" w:eastAsia="Times New Roman" w:hAnsi="Times New Roman" w:cs="Times New Roman"/>
          <w:sz w:val="24"/>
          <w:szCs w:val="24"/>
        </w:rPr>
        <w:t>Both</w:t>
      </w:r>
      <w:r w:rsidR="00EB3F65">
        <w:rPr>
          <w:rFonts w:ascii="Times New Roman" w:eastAsia="Times New Roman" w:hAnsi="Times New Roman" w:cs="Times New Roman"/>
          <w:sz w:val="24"/>
          <w:szCs w:val="24"/>
        </w:rPr>
        <w:t xml:space="preserve"> R</w:t>
      </w:r>
      <w:r>
        <w:rPr>
          <w:rFonts w:ascii="Times New Roman" w:eastAsia="Times New Roman" w:hAnsi="Times New Roman" w:cs="Times New Roman"/>
          <w:sz w:val="24"/>
          <w:szCs w:val="24"/>
        </w:rPr>
        <w:t>ia</w:t>
      </w:r>
      <w:r w:rsidR="00EB3F65">
        <w:rPr>
          <w:rFonts w:ascii="Times New Roman" w:eastAsia="Times New Roman" w:hAnsi="Times New Roman" w:cs="Times New Roman"/>
          <w:sz w:val="24"/>
          <w:szCs w:val="24"/>
        </w:rPr>
        <w:t>z</w:t>
      </w:r>
      <w:r w:rsidR="00EB3F65" w:rsidRPr="00546992">
        <w:rPr>
          <w:rFonts w:ascii="Times New Roman" w:eastAsia="Times New Roman" w:hAnsi="Times New Roman" w:cs="Times New Roman"/>
          <w:sz w:val="24"/>
          <w:szCs w:val="24"/>
        </w:rPr>
        <w:t xml:space="preserve"> </w:t>
      </w:r>
      <w:r w:rsidR="00EB3F65">
        <w:rPr>
          <w:rFonts w:ascii="Times New Roman" w:eastAsia="Times New Roman" w:hAnsi="Times New Roman" w:cs="Times New Roman"/>
          <w:sz w:val="24"/>
          <w:szCs w:val="24"/>
        </w:rPr>
        <w:t xml:space="preserve">and MiFish primers </w:t>
      </w:r>
      <w:r>
        <w:rPr>
          <w:rFonts w:ascii="Times New Roman" w:eastAsia="Times New Roman" w:hAnsi="Times New Roman" w:cs="Times New Roman"/>
          <w:sz w:val="24"/>
          <w:szCs w:val="24"/>
        </w:rPr>
        <w:t>recovered</w:t>
      </w:r>
      <w:r w:rsidR="00EB3F65">
        <w:rPr>
          <w:rFonts w:ascii="Times New Roman" w:eastAsia="Times New Roman" w:hAnsi="Times New Roman" w:cs="Times New Roman"/>
          <w:sz w:val="24"/>
          <w:szCs w:val="24"/>
        </w:rPr>
        <w:t xml:space="preserve"> </w:t>
      </w:r>
      <w:r w:rsidR="006105B8">
        <w:rPr>
          <w:rFonts w:ascii="Times New Roman" w:eastAsia="Times New Roman" w:hAnsi="Times New Roman" w:cs="Times New Roman"/>
          <w:sz w:val="24"/>
          <w:szCs w:val="24"/>
        </w:rPr>
        <w:t xml:space="preserve">generally a </w:t>
      </w:r>
      <w:r w:rsidR="00EB3F65">
        <w:rPr>
          <w:rFonts w:ascii="Times New Roman" w:eastAsia="Times New Roman" w:hAnsi="Times New Roman" w:cs="Times New Roman"/>
          <w:sz w:val="24"/>
          <w:szCs w:val="24"/>
        </w:rPr>
        <w:t>high fish diversity</w:t>
      </w:r>
      <w:r w:rsidR="006105B8">
        <w:rPr>
          <w:rFonts w:ascii="Times New Roman" w:eastAsia="Times New Roman" w:hAnsi="Times New Roman" w:cs="Times New Roman"/>
          <w:sz w:val="24"/>
          <w:szCs w:val="24"/>
        </w:rPr>
        <w:t xml:space="preserve"> per sample</w:t>
      </w:r>
      <w:r w:rsidR="00EB3F65">
        <w:rPr>
          <w:rFonts w:ascii="Times New Roman" w:eastAsia="Times New Roman" w:hAnsi="Times New Roman" w:cs="Times New Roman"/>
          <w:sz w:val="24"/>
          <w:szCs w:val="24"/>
        </w:rPr>
        <w:t xml:space="preserve"> (Fig. 2). </w:t>
      </w:r>
      <w:r w:rsidR="00137721">
        <w:rPr>
          <w:rFonts w:ascii="Times New Roman" w:eastAsia="Times New Roman" w:hAnsi="Times New Roman" w:cs="Times New Roman"/>
          <w:sz w:val="24"/>
          <w:szCs w:val="24"/>
        </w:rPr>
        <w:t xml:space="preserve">Yet, the identity of fish species and the overall performance differed between assays. Whist the </w:t>
      </w:r>
      <w:r w:rsidR="00EB3F65">
        <w:rPr>
          <w:rFonts w:ascii="Times New Roman" w:eastAsia="Times New Roman" w:hAnsi="Times New Roman" w:cs="Times New Roman"/>
          <w:sz w:val="24"/>
          <w:szCs w:val="24"/>
        </w:rPr>
        <w:t xml:space="preserve">MiFish </w:t>
      </w:r>
      <w:r w:rsidR="00137721">
        <w:rPr>
          <w:rFonts w:ascii="Times New Roman" w:eastAsia="Times New Roman" w:hAnsi="Times New Roman" w:cs="Times New Roman"/>
          <w:sz w:val="24"/>
          <w:szCs w:val="24"/>
        </w:rPr>
        <w:t>primers detected a higher number of fish OTUs across all samples</w:t>
      </w:r>
      <w:r w:rsidR="00EB3F65">
        <w:rPr>
          <w:rFonts w:ascii="Times New Roman" w:eastAsia="Times New Roman" w:hAnsi="Times New Roman" w:cs="Times New Roman"/>
          <w:sz w:val="24"/>
          <w:szCs w:val="24"/>
        </w:rPr>
        <w:t xml:space="preserve"> (317 vs 263</w:t>
      </w:r>
      <w:r w:rsidR="00137721">
        <w:rPr>
          <w:rFonts w:ascii="Times New Roman" w:eastAsia="Times New Roman" w:hAnsi="Times New Roman" w:cs="Times New Roman"/>
          <w:sz w:val="24"/>
          <w:szCs w:val="24"/>
        </w:rPr>
        <w:t xml:space="preserve"> OTUs</w:t>
      </w:r>
      <w:r w:rsidR="00EB3F65">
        <w:rPr>
          <w:rFonts w:ascii="Times New Roman" w:eastAsia="Times New Roman" w:hAnsi="Times New Roman" w:cs="Times New Roman"/>
          <w:sz w:val="24"/>
          <w:szCs w:val="24"/>
        </w:rPr>
        <w:t>)</w:t>
      </w:r>
      <w:r w:rsidR="00137721">
        <w:rPr>
          <w:rFonts w:ascii="Times New Roman" w:eastAsia="Times New Roman" w:hAnsi="Times New Roman" w:cs="Times New Roman"/>
          <w:sz w:val="24"/>
          <w:szCs w:val="24"/>
        </w:rPr>
        <w:t xml:space="preserve">, </w:t>
      </w:r>
      <w:r w:rsidR="00EB3F65">
        <w:rPr>
          <w:rFonts w:ascii="Times New Roman" w:eastAsia="Times New Roman" w:hAnsi="Times New Roman" w:cs="Times New Roman"/>
          <w:sz w:val="24"/>
          <w:szCs w:val="24"/>
        </w:rPr>
        <w:t>the R</w:t>
      </w:r>
      <w:r w:rsidR="00CC6962">
        <w:rPr>
          <w:rFonts w:ascii="Times New Roman" w:eastAsia="Times New Roman" w:hAnsi="Times New Roman" w:cs="Times New Roman"/>
          <w:sz w:val="24"/>
          <w:szCs w:val="24"/>
        </w:rPr>
        <w:t>ia</w:t>
      </w:r>
      <w:r w:rsidR="00EB3F65">
        <w:rPr>
          <w:rFonts w:ascii="Times New Roman" w:eastAsia="Times New Roman" w:hAnsi="Times New Roman" w:cs="Times New Roman"/>
          <w:sz w:val="24"/>
          <w:szCs w:val="24"/>
        </w:rPr>
        <w:t>z dataset encompassed a higher number of fish orders and threatened species (Fig. 2</w:t>
      </w:r>
      <w:r w:rsidR="009962A9">
        <w:rPr>
          <w:rFonts w:ascii="Times New Roman" w:eastAsia="Times New Roman" w:hAnsi="Times New Roman" w:cs="Times New Roman"/>
          <w:sz w:val="24"/>
          <w:szCs w:val="24"/>
        </w:rPr>
        <w:t>, S2, S3</w:t>
      </w:r>
      <w:r w:rsidR="00BD390C">
        <w:rPr>
          <w:rFonts w:ascii="Times New Roman" w:eastAsia="Times New Roman" w:hAnsi="Times New Roman" w:cs="Times New Roman"/>
          <w:sz w:val="24"/>
          <w:szCs w:val="24"/>
        </w:rPr>
        <w:t>, S4</w:t>
      </w:r>
      <w:r w:rsidR="00EB3F65">
        <w:rPr>
          <w:rFonts w:ascii="Times New Roman" w:eastAsia="Times New Roman" w:hAnsi="Times New Roman" w:cs="Times New Roman"/>
          <w:sz w:val="24"/>
          <w:szCs w:val="24"/>
        </w:rPr>
        <w:t>). R</w:t>
      </w:r>
      <w:r w:rsidR="00CC6962">
        <w:rPr>
          <w:rFonts w:ascii="Times New Roman" w:eastAsia="Times New Roman" w:hAnsi="Times New Roman" w:cs="Times New Roman"/>
          <w:sz w:val="24"/>
          <w:szCs w:val="24"/>
        </w:rPr>
        <w:t>ia</w:t>
      </w:r>
      <w:r w:rsidR="00EB3F65">
        <w:rPr>
          <w:rFonts w:ascii="Times New Roman" w:eastAsia="Times New Roman" w:hAnsi="Times New Roman" w:cs="Times New Roman"/>
          <w:sz w:val="24"/>
          <w:szCs w:val="24"/>
        </w:rPr>
        <w:t xml:space="preserve">z primers </w:t>
      </w:r>
      <w:r w:rsidR="008B6AA8">
        <w:rPr>
          <w:rFonts w:ascii="Times New Roman" w:eastAsia="Times New Roman" w:hAnsi="Times New Roman" w:cs="Times New Roman"/>
          <w:sz w:val="24"/>
          <w:szCs w:val="24"/>
        </w:rPr>
        <w:t xml:space="preserve">by design </w:t>
      </w:r>
      <w:r w:rsidR="00EB3F65">
        <w:rPr>
          <w:rFonts w:ascii="Times New Roman" w:eastAsia="Times New Roman" w:hAnsi="Times New Roman" w:cs="Times New Roman"/>
          <w:sz w:val="24"/>
          <w:szCs w:val="24"/>
        </w:rPr>
        <w:t xml:space="preserve">also facilitate the detection of other vertebrate species (53 OTUs, 23% of all reads, 98% </w:t>
      </w:r>
      <w:r w:rsidR="008B6AA8">
        <w:rPr>
          <w:rFonts w:ascii="Times New Roman" w:eastAsia="Times New Roman" w:hAnsi="Times New Roman" w:cs="Times New Roman"/>
          <w:sz w:val="24"/>
          <w:szCs w:val="24"/>
        </w:rPr>
        <w:t xml:space="preserve">of non-fish taxa </w:t>
      </w:r>
      <w:r w:rsidR="00EB3F65">
        <w:rPr>
          <w:rFonts w:ascii="Times New Roman" w:eastAsia="Times New Roman" w:hAnsi="Times New Roman" w:cs="Times New Roman"/>
          <w:sz w:val="24"/>
          <w:szCs w:val="24"/>
        </w:rPr>
        <w:t>belonging to bird</w:t>
      </w:r>
      <w:r w:rsidR="008B6AA8">
        <w:rPr>
          <w:rFonts w:ascii="Times New Roman" w:eastAsia="Times New Roman" w:hAnsi="Times New Roman" w:cs="Times New Roman"/>
          <w:sz w:val="24"/>
          <w:szCs w:val="24"/>
        </w:rPr>
        <w:t>s</w:t>
      </w:r>
      <w:r w:rsidR="00EB3F65">
        <w:rPr>
          <w:rFonts w:ascii="Times New Roman" w:eastAsia="Times New Roman" w:hAnsi="Times New Roman" w:cs="Times New Roman"/>
          <w:sz w:val="24"/>
          <w:szCs w:val="24"/>
        </w:rPr>
        <w:t>)</w:t>
      </w:r>
      <w:r w:rsidR="00137721">
        <w:rPr>
          <w:rFonts w:ascii="Times New Roman" w:eastAsia="Times New Roman" w:hAnsi="Times New Roman" w:cs="Times New Roman"/>
          <w:sz w:val="24"/>
          <w:szCs w:val="24"/>
        </w:rPr>
        <w:t>, which can be valuable</w:t>
      </w:r>
      <w:r w:rsidR="00EB3F65">
        <w:rPr>
          <w:rFonts w:ascii="Times New Roman" w:eastAsia="Times New Roman" w:hAnsi="Times New Roman" w:cs="Times New Roman"/>
          <w:sz w:val="24"/>
          <w:szCs w:val="24"/>
        </w:rPr>
        <w:t xml:space="preserve"> auxiliary data</w:t>
      </w:r>
      <w:r w:rsidR="00137721">
        <w:rPr>
          <w:rFonts w:ascii="Times New Roman" w:eastAsia="Times New Roman" w:hAnsi="Times New Roman" w:cs="Times New Roman"/>
          <w:sz w:val="24"/>
          <w:szCs w:val="24"/>
        </w:rPr>
        <w:t xml:space="preserve"> for fisheries management</w:t>
      </w:r>
      <w:r w:rsidR="00EB3F65">
        <w:rPr>
          <w:rFonts w:ascii="Times New Roman" w:eastAsia="Times New Roman" w:hAnsi="Times New Roman" w:cs="Times New Roman"/>
          <w:sz w:val="24"/>
          <w:szCs w:val="24"/>
        </w:rPr>
        <w:t xml:space="preserve">. Though, a high contribution of bird eDNA to total vertebrate eDNA </w:t>
      </w:r>
      <w:r w:rsidR="007D2BEC">
        <w:rPr>
          <w:rFonts w:ascii="Times New Roman" w:eastAsia="Times New Roman" w:hAnsi="Times New Roman" w:cs="Times New Roman"/>
          <w:sz w:val="24"/>
          <w:szCs w:val="24"/>
        </w:rPr>
        <w:t>decreases the number</w:t>
      </w:r>
      <w:r w:rsidR="00EB3F65">
        <w:rPr>
          <w:rFonts w:ascii="Times New Roman" w:eastAsia="Times New Roman" w:hAnsi="Times New Roman" w:cs="Times New Roman"/>
          <w:sz w:val="24"/>
          <w:szCs w:val="24"/>
        </w:rPr>
        <w:t xml:space="preserve"> of fish target reads and resulted </w:t>
      </w:r>
      <w:r w:rsidR="007E74C4">
        <w:rPr>
          <w:rFonts w:ascii="Times New Roman" w:eastAsia="Times New Roman" w:hAnsi="Times New Roman" w:cs="Times New Roman"/>
          <w:sz w:val="24"/>
          <w:szCs w:val="24"/>
        </w:rPr>
        <w:t xml:space="preserve">here </w:t>
      </w:r>
      <w:r w:rsidR="00EB3F65">
        <w:rPr>
          <w:rFonts w:ascii="Times New Roman" w:eastAsia="Times New Roman" w:hAnsi="Times New Roman" w:cs="Times New Roman"/>
          <w:sz w:val="24"/>
          <w:szCs w:val="24"/>
        </w:rPr>
        <w:t>in the exclusion of five samples (</w:t>
      </w:r>
      <w:sdt>
        <w:sdtPr>
          <w:tag w:val="goog_rdk_123"/>
          <w:id w:val="588200396"/>
        </w:sdtPr>
        <w:sdtEndPr/>
        <w:sdtContent/>
      </w:sdt>
      <w:r w:rsidR="00EB3F65">
        <w:rPr>
          <w:rFonts w:ascii="Times New Roman" w:eastAsia="Times New Roman" w:hAnsi="Times New Roman" w:cs="Times New Roman"/>
          <w:sz w:val="24"/>
          <w:szCs w:val="24"/>
        </w:rPr>
        <w:t>&lt;3000 reads of fish sequences per sample, decreasing the reliability of biodiversity comparisons).</w:t>
      </w:r>
    </w:p>
    <w:p w14:paraId="08E1A792" w14:textId="03728EF2" w:rsidR="00EB3F65" w:rsidRDefault="00EB3F65" w:rsidP="00EB3F65">
      <w:pPr>
        <w:spacing w:after="0" w:line="480" w:lineRule="auto"/>
        <w:ind w:firstLine="22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The average OTU richness per rarefied sample was very similar between the two </w:t>
      </w:r>
      <w:sdt>
        <w:sdtPr>
          <w:tag w:val="goog_rdk_124"/>
          <w:id w:val="1568542033"/>
        </w:sdtPr>
        <w:sdtEndPr/>
        <w:sdtContent/>
      </w:sdt>
      <w:r>
        <w:rPr>
          <w:rFonts w:ascii="Times New Roman" w:eastAsia="Times New Roman" w:hAnsi="Times New Roman" w:cs="Times New Roman"/>
          <w:sz w:val="24"/>
          <w:szCs w:val="24"/>
        </w:rPr>
        <w:t xml:space="preserve">primer sets (t-test, </w:t>
      </w:r>
      <w:r>
        <w:rPr>
          <w:rFonts w:ascii="Times New Roman" w:eastAsia="Times New Roman" w:hAnsi="Times New Roman" w:cs="Times New Roman"/>
          <w:i/>
          <w:sz w:val="24"/>
          <w:szCs w:val="24"/>
        </w:rPr>
        <w:t>p</w:t>
      </w:r>
      <w:r>
        <w:rPr>
          <w:rFonts w:ascii="Times New Roman" w:eastAsia="Times New Roman" w:hAnsi="Times New Roman" w:cs="Times New Roman"/>
          <w:sz w:val="24"/>
          <w:szCs w:val="24"/>
        </w:rPr>
        <w:t xml:space="preserve"> = 0.16) and a pairwise comparison of OTU richness demonstrated their consistent coupling (slope of model 2 regression was not significantly different from 1; confidence interval 0.66-1.13). However, MiFish primers had a significantly better taxonomic coverage at the genus level (i.e., MiFish primers had a lower probability to miss genera that were detect by Ri</w:t>
      </w:r>
      <w:r w:rsidR="007E74C4">
        <w:rPr>
          <w:rFonts w:ascii="Times New Roman" w:eastAsia="Times New Roman" w:hAnsi="Times New Roman" w:cs="Times New Roman"/>
          <w:sz w:val="24"/>
          <w:szCs w:val="24"/>
        </w:rPr>
        <w:t>a</w:t>
      </w:r>
      <w:r>
        <w:rPr>
          <w:rFonts w:ascii="Times New Roman" w:eastAsia="Times New Roman" w:hAnsi="Times New Roman" w:cs="Times New Roman"/>
          <w:sz w:val="24"/>
          <w:szCs w:val="24"/>
        </w:rPr>
        <w:t xml:space="preserve">z primers </w:t>
      </w:r>
      <w:sdt>
        <w:sdtPr>
          <w:tag w:val="goog_rdk_129"/>
          <w:id w:val="1485970960"/>
        </w:sdtPr>
        <w:sdtEndPr/>
        <w:sdtContent/>
      </w:sdt>
      <w:r>
        <w:rPr>
          <w:rFonts w:ascii="Times New Roman" w:eastAsia="Times New Roman" w:hAnsi="Times New Roman" w:cs="Times New Roman"/>
          <w:sz w:val="24"/>
          <w:szCs w:val="24"/>
        </w:rPr>
        <w:t xml:space="preserve">than vice-versa; Mann-Whitney u-test, </w:t>
      </w:r>
      <w:r>
        <w:rPr>
          <w:rFonts w:ascii="Times New Roman" w:eastAsia="Times New Roman" w:hAnsi="Times New Roman" w:cs="Times New Roman"/>
          <w:i/>
          <w:sz w:val="24"/>
          <w:szCs w:val="24"/>
        </w:rPr>
        <w:t xml:space="preserve">p </w:t>
      </w:r>
      <w:r>
        <w:rPr>
          <w:rFonts w:ascii="Times New Roman" w:eastAsia="Times New Roman" w:hAnsi="Times New Roman" w:cs="Times New Roman"/>
          <w:sz w:val="24"/>
          <w:szCs w:val="24"/>
        </w:rPr>
        <w:t>&lt; 0.01; Fig. 2). The rate of successful taxonomic</w:t>
      </w:r>
      <w:sdt>
        <w:sdtPr>
          <w:tag w:val="goog_rdk_130"/>
          <w:id w:val="238834192"/>
        </w:sdtPr>
        <w:sdtEndPr/>
        <w:sdtContent/>
      </w:sdt>
      <w:r>
        <w:rPr>
          <w:rFonts w:ascii="Times New Roman" w:eastAsia="Times New Roman" w:hAnsi="Times New Roman" w:cs="Times New Roman"/>
          <w:sz w:val="24"/>
          <w:szCs w:val="24"/>
        </w:rPr>
        <w:t xml:space="preserve"> assignment was generally low and only 28% of MiFish and 37% of </w:t>
      </w:r>
      <w:r w:rsidR="008E2413">
        <w:rPr>
          <w:rFonts w:ascii="Times New Roman" w:eastAsia="Times New Roman" w:hAnsi="Times New Roman" w:cs="Times New Roman"/>
          <w:sz w:val="24"/>
          <w:szCs w:val="24"/>
        </w:rPr>
        <w:t>Riaz</w:t>
      </w:r>
      <w:r>
        <w:rPr>
          <w:rFonts w:ascii="Times New Roman" w:eastAsia="Times New Roman" w:hAnsi="Times New Roman" w:cs="Times New Roman"/>
          <w:sz w:val="24"/>
          <w:szCs w:val="24"/>
        </w:rPr>
        <w:t xml:space="preserve"> OTUs could be identified to the species level. These values were in the range of a GenBank-based in-silico analysis, which revealed that 12S sequences were available for 37% of fish species listed for Mozambique (see Annex 2 for species-by-species results). </w:t>
      </w:r>
      <w:r w:rsidR="007D2BEC">
        <w:rPr>
          <w:rFonts w:ascii="Times New Roman" w:eastAsia="Times New Roman" w:hAnsi="Times New Roman" w:cs="Times New Roman"/>
          <w:sz w:val="24"/>
          <w:szCs w:val="24"/>
        </w:rPr>
        <w:t>Assignment</w:t>
      </w:r>
      <w:r>
        <w:rPr>
          <w:rFonts w:ascii="Times New Roman" w:eastAsia="Times New Roman" w:hAnsi="Times New Roman" w:cs="Times New Roman"/>
          <w:sz w:val="24"/>
          <w:szCs w:val="24"/>
        </w:rPr>
        <w:t xml:space="preserve"> success increased </w:t>
      </w:r>
      <w:r w:rsidR="007D2BEC">
        <w:rPr>
          <w:rFonts w:ascii="Times New Roman" w:eastAsia="Times New Roman" w:hAnsi="Times New Roman" w:cs="Times New Roman"/>
          <w:sz w:val="24"/>
          <w:szCs w:val="24"/>
        </w:rPr>
        <w:t>at</w:t>
      </w:r>
      <w:r>
        <w:rPr>
          <w:rFonts w:ascii="Times New Roman" w:eastAsia="Times New Roman" w:hAnsi="Times New Roman" w:cs="Times New Roman"/>
          <w:sz w:val="24"/>
          <w:szCs w:val="24"/>
        </w:rPr>
        <w:t xml:space="preserve"> lower taxonomic resolution, but even at the family level more than 10% of MiFish OTUs remained </w:t>
      </w:r>
      <w:sdt>
        <w:sdtPr>
          <w:tag w:val="goog_rdk_131"/>
          <w:id w:val="944047163"/>
        </w:sdtPr>
        <w:sdtEndPr/>
        <w:sdtContent/>
      </w:sdt>
      <w:r>
        <w:rPr>
          <w:rFonts w:ascii="Times New Roman" w:eastAsia="Times New Roman" w:hAnsi="Times New Roman" w:cs="Times New Roman"/>
          <w:sz w:val="24"/>
          <w:szCs w:val="24"/>
        </w:rPr>
        <w:t>unassigned.</w:t>
      </w:r>
    </w:p>
    <w:p w14:paraId="53E64715" w14:textId="11A1D555" w:rsidR="00EB3F65" w:rsidRDefault="00EB3F65" w:rsidP="00EB3F65">
      <w:pPr>
        <w:spacing w:after="0" w:line="480" w:lineRule="auto"/>
        <w:ind w:firstLine="22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Patterns in community composition showed a clear distinction </w:t>
      </w:r>
      <w:sdt>
        <w:sdtPr>
          <w:tag w:val="goog_rdk_134"/>
          <w:id w:val="-1665770478"/>
        </w:sdtPr>
        <w:sdtEndPr/>
        <w:sdtContent>
          <w:r>
            <w:rPr>
              <w:rFonts w:ascii="Times New Roman" w:eastAsia="Times New Roman" w:hAnsi="Times New Roman" w:cs="Times New Roman"/>
              <w:sz w:val="24"/>
              <w:szCs w:val="24"/>
            </w:rPr>
            <w:t>among</w:t>
          </w:r>
        </w:sdtContent>
      </w:sdt>
      <w:r>
        <w:rPr>
          <w:rFonts w:ascii="Times New Roman" w:eastAsia="Times New Roman" w:hAnsi="Times New Roman" w:cs="Times New Roman"/>
          <w:sz w:val="24"/>
          <w:szCs w:val="24"/>
        </w:rPr>
        <w:t xml:space="preserve"> fish communities from Inhambane Bay, the southern Mozambican coastline</w:t>
      </w:r>
      <w:sdt>
        <w:sdtPr>
          <w:tag w:val="goog_rdk_135"/>
          <w:id w:val="2050952693"/>
        </w:sdtPr>
        <w:sdtEndPr/>
        <w:sdtContent>
          <w:r>
            <w:rPr>
              <w:rFonts w:ascii="Times New Roman" w:eastAsia="Times New Roman" w:hAnsi="Times New Roman" w:cs="Times New Roman"/>
              <w:sz w:val="24"/>
              <w:szCs w:val="24"/>
            </w:rPr>
            <w:t>,</w:t>
          </w:r>
        </w:sdtContent>
      </w:sdt>
      <w:r>
        <w:rPr>
          <w:rFonts w:ascii="Times New Roman" w:eastAsia="Times New Roman" w:hAnsi="Times New Roman" w:cs="Times New Roman"/>
          <w:sz w:val="24"/>
          <w:szCs w:val="24"/>
        </w:rPr>
        <w:t xml:space="preserve"> and freshwater habitats (Fig. 3). This differentiation was consistent for the datasets generated with </w:t>
      </w:r>
      <w:r w:rsidR="002E3461">
        <w:rPr>
          <w:rFonts w:ascii="Times New Roman" w:eastAsia="Times New Roman" w:hAnsi="Times New Roman" w:cs="Times New Roman"/>
          <w:sz w:val="24"/>
          <w:szCs w:val="24"/>
        </w:rPr>
        <w:t>Riaz</w:t>
      </w:r>
      <w:r>
        <w:rPr>
          <w:rFonts w:ascii="Times New Roman" w:eastAsia="Times New Roman" w:hAnsi="Times New Roman" w:cs="Times New Roman"/>
          <w:sz w:val="24"/>
          <w:szCs w:val="24"/>
        </w:rPr>
        <w:t xml:space="preserve"> and MiFish primers</w:t>
      </w:r>
      <w:sdt>
        <w:sdtPr>
          <w:tag w:val="goog_rdk_136"/>
          <w:id w:val="-944844641"/>
        </w:sdtPr>
        <w:sdtEndPr/>
        <w:sdtContent>
          <w:r>
            <w:rPr>
              <w:rFonts w:ascii="Times New Roman" w:eastAsia="Times New Roman" w:hAnsi="Times New Roman" w:cs="Times New Roman"/>
              <w:sz w:val="24"/>
              <w:szCs w:val="24"/>
            </w:rPr>
            <w:t>,</w:t>
          </w:r>
        </w:sdtContent>
      </w:sdt>
      <w:r>
        <w:rPr>
          <w:rFonts w:ascii="Times New Roman" w:eastAsia="Times New Roman" w:hAnsi="Times New Roman" w:cs="Times New Roman"/>
          <w:sz w:val="24"/>
          <w:szCs w:val="24"/>
        </w:rPr>
        <w:t xml:space="preserve"> and a pairwise comparison of beta-diversity showed a good accordance among the two </w:t>
      </w:r>
      <w:sdt>
        <w:sdtPr>
          <w:tag w:val="goog_rdk_137"/>
          <w:id w:val="-1177797531"/>
        </w:sdtPr>
        <w:sdtEndPr/>
        <w:sdtContent>
          <w:r>
            <w:rPr>
              <w:rFonts w:ascii="Times New Roman" w:eastAsia="Times New Roman" w:hAnsi="Times New Roman" w:cs="Times New Roman"/>
              <w:sz w:val="24"/>
              <w:szCs w:val="24"/>
            </w:rPr>
            <w:t>assays</w:t>
          </w:r>
        </w:sdtContent>
      </w:sdt>
      <w:sdt>
        <w:sdtPr>
          <w:tag w:val="goog_rdk_138"/>
          <w:id w:val="1338954770"/>
          <w:showingPlcHdr/>
        </w:sdtPr>
        <w:sdtEndPr/>
        <w:sdtContent>
          <w:r>
            <w:t xml:space="preserve">     </w:t>
          </w:r>
        </w:sdtContent>
      </w:sdt>
      <w:sdt>
        <w:sdtPr>
          <w:tag w:val="goog_rdk_139"/>
          <w:id w:val="315777356"/>
          <w:showingPlcHdr/>
        </w:sdtPr>
        <w:sdtEndPr/>
        <w:sdtContent>
          <w:r>
            <w:t xml:space="preserve">     </w:t>
          </w:r>
        </w:sdtContent>
      </w:sdt>
      <w:r>
        <w:rPr>
          <w:rFonts w:ascii="Times New Roman" w:eastAsia="Times New Roman" w:hAnsi="Times New Roman" w:cs="Times New Roman"/>
          <w:sz w:val="24"/>
          <w:szCs w:val="24"/>
        </w:rPr>
        <w:t xml:space="preserve"> (model 2 regression, confidence interval of slope: 0.95 - 1.02; Fig. 3C). Nonetheless, less than 50% of all fish genera per sample were </w:t>
      </w:r>
      <w:sdt>
        <w:sdtPr>
          <w:tag w:val="goog_rdk_140"/>
          <w:id w:val="116268847"/>
        </w:sdtPr>
        <w:sdtEndPr/>
        <w:sdtContent>
          <w:r>
            <w:rPr>
              <w:rFonts w:ascii="Times New Roman" w:eastAsia="Times New Roman" w:hAnsi="Times New Roman" w:cs="Times New Roman"/>
              <w:sz w:val="24"/>
              <w:szCs w:val="24"/>
            </w:rPr>
            <w:t>identified by both assays individually</w:t>
          </w:r>
        </w:sdtContent>
      </w:sdt>
      <w:r>
        <w:rPr>
          <w:rFonts w:ascii="Times New Roman" w:eastAsia="Times New Roman" w:hAnsi="Times New Roman" w:cs="Times New Roman"/>
          <w:sz w:val="24"/>
          <w:szCs w:val="24"/>
        </w:rPr>
        <w:t xml:space="preserve">, </w:t>
      </w:r>
      <w:sdt>
        <w:sdtPr>
          <w:tag w:val="goog_rdk_142"/>
          <w:id w:val="-1378235865"/>
        </w:sdtPr>
        <w:sdtEndPr/>
        <w:sdtContent>
          <w:r>
            <w:rPr>
              <w:rFonts w:ascii="Times New Roman" w:eastAsia="Times New Roman" w:hAnsi="Times New Roman" w:cs="Times New Roman"/>
              <w:sz w:val="24"/>
              <w:szCs w:val="24"/>
            </w:rPr>
            <w:t>indicating</w:t>
          </w:r>
        </w:sdtContent>
      </w:sdt>
      <w:r>
        <w:rPr>
          <w:rFonts w:ascii="Times New Roman" w:eastAsia="Times New Roman" w:hAnsi="Times New Roman" w:cs="Times New Roman"/>
          <w:sz w:val="24"/>
          <w:szCs w:val="24"/>
        </w:rPr>
        <w:t xml:space="preserve"> that detected taxa differed substantially between </w:t>
      </w:r>
      <w:sdt>
        <w:sdtPr>
          <w:tag w:val="goog_rdk_144"/>
          <w:id w:val="34927320"/>
        </w:sdtPr>
        <w:sdtEndPr/>
        <w:sdtContent>
          <w:r>
            <w:rPr>
              <w:rFonts w:ascii="Times New Roman" w:eastAsia="Times New Roman" w:hAnsi="Times New Roman" w:cs="Times New Roman"/>
              <w:sz w:val="24"/>
              <w:szCs w:val="24"/>
            </w:rPr>
            <w:t>assays</w:t>
          </w:r>
        </w:sdtContent>
      </w:sdt>
      <w:r>
        <w:rPr>
          <w:rFonts w:ascii="Times New Roman" w:eastAsia="Times New Roman" w:hAnsi="Times New Roman" w:cs="Times New Roman"/>
          <w:sz w:val="24"/>
          <w:szCs w:val="24"/>
        </w:rPr>
        <w:t xml:space="preserve">. </w:t>
      </w:r>
      <w:sdt>
        <w:sdtPr>
          <w:tag w:val="goog_rdk_146"/>
          <w:id w:val="-1008754441"/>
        </w:sdtPr>
        <w:sdtEndPr/>
        <w:sdtContent/>
      </w:sdt>
    </w:p>
    <w:p w14:paraId="4E290197" w14:textId="005DC83E" w:rsidR="00EB3F65" w:rsidRDefault="00EB3F65" w:rsidP="00EB3F65">
      <w:pPr>
        <w:spacing w:after="0" w:line="480" w:lineRule="auto"/>
        <w:ind w:firstLine="22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In order to mediate trade-offs between different primer sets and minimise the rate of false negatives, we developed a data-set merging algorithm (Box 1) and applied this procedure for further biodiversity analyses. </w:t>
      </w:r>
      <w:r w:rsidR="003011F6">
        <w:rPr>
          <w:rFonts w:ascii="Times New Roman" w:eastAsia="Times New Roman" w:hAnsi="Times New Roman" w:cs="Times New Roman"/>
          <w:sz w:val="24"/>
          <w:szCs w:val="24"/>
        </w:rPr>
        <w:t>The resulting fish</w:t>
      </w:r>
      <w:r>
        <w:rPr>
          <w:rFonts w:ascii="Times New Roman" w:eastAsia="Times New Roman" w:hAnsi="Times New Roman" w:cs="Times New Roman"/>
          <w:sz w:val="24"/>
          <w:szCs w:val="24"/>
        </w:rPr>
        <w:t xml:space="preserve"> OTU richness was 38 (±20) taxa per sample and no significant differences were found between samples </w:t>
      </w:r>
      <w:sdt>
        <w:sdtPr>
          <w:tag w:val="goog_rdk_149"/>
          <w:id w:val="325022620"/>
        </w:sdtPr>
        <w:sdtEndPr/>
        <w:sdtContent>
          <w:r>
            <w:rPr>
              <w:rFonts w:ascii="Times New Roman" w:eastAsia="Times New Roman" w:hAnsi="Times New Roman" w:cs="Times New Roman"/>
              <w:sz w:val="24"/>
              <w:szCs w:val="24"/>
            </w:rPr>
            <w:t>collected</w:t>
          </w:r>
        </w:sdtContent>
      </w:sdt>
      <w:r>
        <w:rPr>
          <w:rFonts w:ascii="Times New Roman" w:eastAsia="Times New Roman" w:hAnsi="Times New Roman" w:cs="Times New Roman"/>
          <w:sz w:val="24"/>
          <w:szCs w:val="24"/>
        </w:rPr>
        <w:t xml:space="preserve"> by either local community </w:t>
      </w:r>
      <w:r w:rsidRPr="003011F6">
        <w:rPr>
          <w:rFonts w:ascii="Times New Roman" w:eastAsia="Times New Roman" w:hAnsi="Times New Roman" w:cs="Times New Roman"/>
          <w:sz w:val="24"/>
          <w:szCs w:val="24"/>
        </w:rPr>
        <w:t xml:space="preserve">members or research personnel (t-test, </w:t>
      </w:r>
      <w:r w:rsidRPr="003011F6">
        <w:rPr>
          <w:rFonts w:ascii="Times New Roman" w:eastAsia="Times New Roman" w:hAnsi="Times New Roman" w:cs="Times New Roman"/>
          <w:i/>
          <w:sz w:val="24"/>
          <w:szCs w:val="24"/>
        </w:rPr>
        <w:t>p</w:t>
      </w:r>
      <w:r w:rsidRPr="003011F6">
        <w:rPr>
          <w:rFonts w:ascii="Times New Roman" w:eastAsia="Times New Roman" w:hAnsi="Times New Roman" w:cs="Times New Roman"/>
          <w:sz w:val="24"/>
          <w:szCs w:val="24"/>
        </w:rPr>
        <w:t xml:space="preserve"> = 0.29). Moreover, we recorded 29 different threatened </w:t>
      </w:r>
      <w:r w:rsidR="003011F6" w:rsidRPr="003011F6">
        <w:rPr>
          <w:rFonts w:ascii="Times New Roman" w:hAnsi="Times New Roman" w:cs="Times New Roman"/>
          <w:sz w:val="24"/>
          <w:szCs w:val="24"/>
        </w:rPr>
        <w:t xml:space="preserve">fish </w:t>
      </w:r>
      <w:r w:rsidRPr="003011F6">
        <w:rPr>
          <w:rFonts w:ascii="Times New Roman" w:eastAsia="Times New Roman" w:hAnsi="Times New Roman" w:cs="Times New Roman"/>
          <w:sz w:val="24"/>
          <w:szCs w:val="24"/>
        </w:rPr>
        <w:t>species</w:t>
      </w:r>
      <w:r>
        <w:rPr>
          <w:rFonts w:ascii="Times New Roman" w:eastAsia="Times New Roman" w:hAnsi="Times New Roman" w:cs="Times New Roman"/>
          <w:sz w:val="24"/>
          <w:szCs w:val="24"/>
        </w:rPr>
        <w:t xml:space="preserve"> with an average of two threatened species per sample. The highest number of threatened </w:t>
      </w:r>
      <w:sdt>
        <w:sdtPr>
          <w:tag w:val="goog_rdk_152"/>
          <w:id w:val="655876797"/>
        </w:sdtPr>
        <w:sdtEndPr/>
        <w:sdtContent/>
      </w:sdt>
      <w:sdt>
        <w:sdtPr>
          <w:tag w:val="goog_rdk_153"/>
          <w:id w:val="-793360323"/>
        </w:sdtPr>
        <w:sdtEndPr/>
        <w:sdtContent/>
      </w:sdt>
      <w:r>
        <w:rPr>
          <w:rFonts w:ascii="Times New Roman" w:eastAsia="Times New Roman" w:hAnsi="Times New Roman" w:cs="Times New Roman"/>
          <w:sz w:val="24"/>
          <w:szCs w:val="24"/>
        </w:rPr>
        <w:t xml:space="preserve">species was found at the </w:t>
      </w:r>
      <w:sdt>
        <w:sdtPr>
          <w:tag w:val="goog_rdk_154"/>
          <w:id w:val="1262876460"/>
        </w:sdtPr>
        <w:sdtEndPr/>
        <w:sdtContent/>
      </w:sdt>
      <w:r>
        <w:rPr>
          <w:rFonts w:ascii="Times New Roman" w:eastAsia="Times New Roman" w:hAnsi="Times New Roman" w:cs="Times New Roman"/>
          <w:sz w:val="24"/>
          <w:szCs w:val="24"/>
        </w:rPr>
        <w:t>end points of bays and in estuaries characterised by both marine and freshwater influences (Fig. 1</w:t>
      </w:r>
      <w:r w:rsidR="00BD390C">
        <w:rPr>
          <w:rFonts w:ascii="Times New Roman" w:eastAsia="Times New Roman" w:hAnsi="Times New Roman" w:cs="Times New Roman"/>
          <w:sz w:val="24"/>
          <w:szCs w:val="24"/>
        </w:rPr>
        <w:t>, S5</w:t>
      </w:r>
      <w:r w:rsidR="008D671F">
        <w:rPr>
          <w:rFonts w:ascii="Times New Roman" w:eastAsia="Times New Roman" w:hAnsi="Times New Roman" w:cs="Times New Roman"/>
          <w:sz w:val="24"/>
          <w:szCs w:val="24"/>
        </w:rPr>
        <w:t>, S6</w:t>
      </w:r>
      <w:r>
        <w:rPr>
          <w:rFonts w:ascii="Times New Roman" w:eastAsia="Times New Roman" w:hAnsi="Times New Roman" w:cs="Times New Roman"/>
          <w:sz w:val="24"/>
          <w:szCs w:val="24"/>
        </w:rPr>
        <w:t xml:space="preserve">). </w:t>
      </w:r>
    </w:p>
    <w:p w14:paraId="7A8FC152" w14:textId="77777777" w:rsidR="00EB3F65" w:rsidRDefault="00EB3F65" w:rsidP="00EB3F65">
      <w:pPr>
        <w:spacing w:after="0" w:line="480" w:lineRule="auto"/>
        <w:ind w:firstLine="22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OTU richness did not differ </w:t>
      </w:r>
      <w:sdt>
        <w:sdtPr>
          <w:tag w:val="goog_rdk_156"/>
          <w:id w:val="-590081280"/>
        </w:sdtPr>
        <w:sdtEndPr/>
        <w:sdtContent>
          <w:r>
            <w:rPr>
              <w:rFonts w:ascii="Times New Roman" w:eastAsia="Times New Roman" w:hAnsi="Times New Roman" w:cs="Times New Roman"/>
              <w:sz w:val="24"/>
              <w:szCs w:val="24"/>
            </w:rPr>
            <w:t>among</w:t>
          </w:r>
        </w:sdtContent>
      </w:sdt>
      <w:r>
        <w:rPr>
          <w:rFonts w:ascii="Times New Roman" w:eastAsia="Times New Roman" w:hAnsi="Times New Roman" w:cs="Times New Roman"/>
          <w:sz w:val="24"/>
          <w:szCs w:val="24"/>
        </w:rPr>
        <w:t xml:space="preserve"> target-ecosystems (ANOVA, </w:t>
      </w:r>
      <w:r>
        <w:rPr>
          <w:rFonts w:ascii="Times New Roman" w:eastAsia="Times New Roman" w:hAnsi="Times New Roman" w:cs="Times New Roman"/>
          <w:i/>
          <w:sz w:val="24"/>
          <w:szCs w:val="24"/>
        </w:rPr>
        <w:t>p</w:t>
      </w:r>
      <w:r>
        <w:rPr>
          <w:rFonts w:ascii="Times New Roman" w:eastAsia="Times New Roman" w:hAnsi="Times New Roman" w:cs="Times New Roman"/>
          <w:sz w:val="24"/>
          <w:szCs w:val="24"/>
        </w:rPr>
        <w:t xml:space="preserve"> = 0.32) but an assessment of the most abundant OTUs</w:t>
      </w:r>
      <w:sdt>
        <w:sdtPr>
          <w:tag w:val="goog_rdk_157"/>
          <w:id w:val="1096904700"/>
        </w:sdtPr>
        <w:sdtEndPr/>
        <w:sdtContent>
          <w:r>
            <w:rPr>
              <w:rFonts w:ascii="Times New Roman" w:eastAsia="Times New Roman" w:hAnsi="Times New Roman" w:cs="Times New Roman"/>
              <w:sz w:val="24"/>
              <w:szCs w:val="24"/>
            </w:rPr>
            <w:t>,</w:t>
          </w:r>
        </w:sdtContent>
      </w:sdt>
      <w:r>
        <w:rPr>
          <w:rFonts w:ascii="Times New Roman" w:eastAsia="Times New Roman" w:hAnsi="Times New Roman" w:cs="Times New Roman"/>
          <w:sz w:val="24"/>
          <w:szCs w:val="24"/>
        </w:rPr>
        <w:t xml:space="preserve"> as well as of species with high commercial and conservation value revealed large regional differences (Fig. 4). As expected, species occurrence and abundance differed substantially between the southernmost Mozambican coastline and Inhambane Bay. </w:t>
      </w:r>
      <w:sdt>
        <w:sdtPr>
          <w:tag w:val="goog_rdk_159"/>
          <w:id w:val="-788193783"/>
        </w:sdtPr>
        <w:sdtEndPr/>
        <w:sdtContent>
          <w:r>
            <w:rPr>
              <w:rFonts w:ascii="Times New Roman" w:eastAsia="Times New Roman" w:hAnsi="Times New Roman" w:cs="Times New Roman"/>
              <w:sz w:val="24"/>
              <w:szCs w:val="24"/>
            </w:rPr>
            <w:t>However,</w:t>
          </w:r>
        </w:sdtContent>
      </w:sdt>
      <w:r>
        <w:rPr>
          <w:rFonts w:ascii="Times New Roman" w:eastAsia="Times New Roman" w:hAnsi="Times New Roman" w:cs="Times New Roman"/>
          <w:sz w:val="24"/>
          <w:szCs w:val="24"/>
        </w:rPr>
        <w:t xml:space="preserve"> we also found large differences in the threatened species</w:t>
      </w:r>
      <w:sdt>
        <w:sdtPr>
          <w:tag w:val="goog_rdk_161"/>
          <w:id w:val="-1221900012"/>
        </w:sdtPr>
        <w:sdtEndPr/>
        <w:sdtContent>
          <w:r>
            <w:rPr>
              <w:rFonts w:ascii="Times New Roman" w:eastAsia="Times New Roman" w:hAnsi="Times New Roman" w:cs="Times New Roman"/>
              <w:sz w:val="24"/>
              <w:szCs w:val="24"/>
            </w:rPr>
            <w:t xml:space="preserve"> composition</w:t>
          </w:r>
        </w:sdtContent>
      </w:sdt>
      <w:r>
        <w:rPr>
          <w:rFonts w:ascii="Times New Roman" w:eastAsia="Times New Roman" w:hAnsi="Times New Roman" w:cs="Times New Roman"/>
          <w:sz w:val="24"/>
          <w:szCs w:val="24"/>
        </w:rPr>
        <w:t xml:space="preserve"> recorded </w:t>
      </w:r>
      <w:r w:rsidRPr="00D80564">
        <w:rPr>
          <w:rFonts w:ascii="Times New Roman" w:eastAsia="Times New Roman" w:hAnsi="Times New Roman" w:cs="Times New Roman"/>
          <w:sz w:val="24"/>
          <w:szCs w:val="24"/>
        </w:rPr>
        <w:t>in Inhambane Bay in July-August compared to September</w:t>
      </w:r>
      <w:sdt>
        <w:sdtPr>
          <w:rPr>
            <w:rFonts w:ascii="Times New Roman" w:hAnsi="Times New Roman" w:cs="Times New Roman"/>
            <w:sz w:val="24"/>
            <w:szCs w:val="24"/>
          </w:rPr>
          <w:tag w:val="goog_rdk_162"/>
          <w:id w:val="-725524637"/>
        </w:sdtPr>
        <w:sdtEndPr/>
        <w:sdtContent>
          <w:r w:rsidRPr="00D80564">
            <w:rPr>
              <w:rFonts w:ascii="Times New Roman" w:eastAsia="Times New Roman" w:hAnsi="Times New Roman" w:cs="Times New Roman"/>
              <w:sz w:val="24"/>
              <w:szCs w:val="24"/>
            </w:rPr>
            <w:t>,</w:t>
          </w:r>
        </w:sdtContent>
      </w:sdt>
      <w:r w:rsidRPr="00D80564">
        <w:rPr>
          <w:rFonts w:ascii="Times New Roman" w:eastAsia="Times New Roman" w:hAnsi="Times New Roman" w:cs="Times New Roman"/>
          <w:sz w:val="24"/>
          <w:szCs w:val="24"/>
        </w:rPr>
        <w:t xml:space="preserve"> highlighting the importance of </w:t>
      </w:r>
      <w:r w:rsidRPr="00D80564">
        <w:rPr>
          <w:rFonts w:ascii="Times New Roman" w:hAnsi="Times New Roman" w:cs="Times New Roman"/>
          <w:sz w:val="24"/>
          <w:szCs w:val="24"/>
        </w:rPr>
        <w:t xml:space="preserve">an appropriate </w:t>
      </w:r>
      <w:r w:rsidRPr="00D80564">
        <w:rPr>
          <w:rFonts w:ascii="Times New Roman" w:eastAsia="Times New Roman" w:hAnsi="Times New Roman" w:cs="Times New Roman"/>
          <w:sz w:val="24"/>
          <w:szCs w:val="24"/>
        </w:rPr>
        <w:t>temporal resolution to support conservation planning in the region.</w:t>
      </w:r>
    </w:p>
    <w:p w14:paraId="54BEB274" w14:textId="1EF00F82" w:rsidR="00AA054B" w:rsidRPr="00EB3F65" w:rsidRDefault="00DB4C60" w:rsidP="00EB3F65">
      <w:pPr>
        <w:spacing w:after="0" w:line="480" w:lineRule="auto"/>
        <w:ind w:firstLine="227"/>
        <w:jc w:val="both"/>
        <w:rPr>
          <w:rFonts w:ascii="Times New Roman" w:eastAsia="Times New Roman" w:hAnsi="Times New Roman" w:cs="Times New Roman"/>
          <w:sz w:val="24"/>
          <w:szCs w:val="24"/>
        </w:rPr>
      </w:pPr>
      <w:r>
        <w:rPr>
          <w:rFonts w:ascii="Times New Roman" w:eastAsia="Times New Roman" w:hAnsi="Times New Roman" w:cs="Times New Roman"/>
          <w:b/>
          <w:sz w:val="24"/>
          <w:szCs w:val="24"/>
        </w:rPr>
        <w:t>Discussion</w:t>
      </w:r>
    </w:p>
    <w:p w14:paraId="0DB0F0F0" w14:textId="0F7F142A" w:rsidR="00CB1EFC" w:rsidRDefault="00CB1EFC" w:rsidP="00CB1EFC">
      <w:pPr>
        <w:spacing w:after="0" w:line="480" w:lineRule="auto"/>
        <w:ind w:firstLine="22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Recurrent monitoring of the vast seascapes of SSA will be crucial for the</w:t>
      </w:r>
      <w:r w:rsidR="00EC7864">
        <w:rPr>
          <w:rFonts w:ascii="Times New Roman" w:eastAsia="Times New Roman" w:hAnsi="Times New Roman" w:cs="Times New Roman"/>
          <w:sz w:val="24"/>
          <w:szCs w:val="24"/>
        </w:rPr>
        <w:t>ir</w:t>
      </w:r>
      <w:r>
        <w:rPr>
          <w:rFonts w:ascii="Times New Roman" w:eastAsia="Times New Roman" w:hAnsi="Times New Roman" w:cs="Times New Roman"/>
          <w:sz w:val="24"/>
          <w:szCs w:val="24"/>
        </w:rPr>
        <w:t xml:space="preserve"> protection and to respond to the growing anthropogenic pressures these habitats are </w:t>
      </w:r>
      <w:r w:rsidR="00EC7864">
        <w:rPr>
          <w:rFonts w:ascii="Times New Roman" w:eastAsia="Times New Roman" w:hAnsi="Times New Roman" w:cs="Times New Roman"/>
          <w:sz w:val="24"/>
          <w:szCs w:val="24"/>
        </w:rPr>
        <w:t>expected</w:t>
      </w:r>
      <w:r>
        <w:rPr>
          <w:rFonts w:ascii="Times New Roman" w:eastAsia="Times New Roman" w:hAnsi="Times New Roman" w:cs="Times New Roman"/>
          <w:sz w:val="24"/>
          <w:szCs w:val="24"/>
        </w:rPr>
        <w:t xml:space="preserve"> to face in upcoming decades </w:t>
      </w:r>
      <w:r w:rsidR="00053D91">
        <w:rPr>
          <w:rFonts w:ascii="Times New Roman" w:eastAsia="Times New Roman" w:hAnsi="Times New Roman" w:cs="Times New Roman"/>
          <w:sz w:val="24"/>
          <w:szCs w:val="24"/>
        </w:rPr>
        <w:fldChar w:fldCharType="begin"/>
      </w:r>
      <w:r w:rsidR="00053D91">
        <w:rPr>
          <w:rFonts w:ascii="Times New Roman" w:eastAsia="Times New Roman" w:hAnsi="Times New Roman" w:cs="Times New Roman"/>
          <w:sz w:val="24"/>
          <w:szCs w:val="24"/>
        </w:rPr>
        <w:instrText xml:space="preserve"> ADDIN ZOTERO_ITEM CSL_CITATION {"citationID":"qdpj5yni","properties":{"unsorted":true,"formattedCitation":"(Ramin, 2009; Ibe &amp; Amikuzuno, 2019)","plainCitation":"(Ramin, 2009; Ibe &amp; Amikuzuno, 2019)","noteIndex":0},"citationItems":[{"id":11403,"uris":["http://zotero.org/users/3033072/items/LN8BK2NN"],"uri":["http://zotero.org/users/3033072/items/LN8BK2NN"],"itemData":{"id":11403,"type":"article-journal","container-title":"Bulletin of the World Health Organization","DOI":"10.2471/BLT.09.073445","ISSN":"00429686","issue":"12","journalAbbreviation":"Bull World Health Org","language":"en","page":"886-886","source":"DOI.org (Crossref)","title":"Slums, climate change and human health in sub-Saharan Africa","volume":"87","author":[{"family":"Ramin","given":"Brodie"}],"issued":{"date-parts":[["2009",12,1]]}}},{"id":11405,"uris":["http://zotero.org/users/3033072/items/HV5RHS8L"],"uri":["http://zotero.org/users/3033072/items/HV5RHS8L"],"itemData":{"id":11405,"type":"article-journal","abstract":"Due to inadequate adaptation capacity, Sub-Saharan Africa has been depicted as the most vulnerable region with regards to global climate change, this is because of its reliance on agricultural activities for sustenance to livelihood which is highly sensitive to climate variables such as temperature variation, rainfall intensity, humidity patterns, and other extreme weather events. This paper reviews how climate change constitutes a menace to agricultural productivity and ecological protection using a qualitative approach. And importantly suggests ways to overcome such problems. Relevant literature was gathered from secondary data through articles, reports, journals from scientific publications, online websites and Conference Papers. From the review, it is revealed that climate change in Africa has a very significant effect on average temperature, rainfall patterns, and extreme weather events. It was also reviewed that climate has a negative effect on agricultural production and the ecological niche in Sub-Saharan Africa. Evidently, due to past and present climate change; agricultural land, growing season and yield as well as, ecological degradation will cause a decline to sustainable development in Sub-Saharan Africa, which is the center of this problem. Climate change adversely affects biodiversity protection through aggravated weather conditions, increased temperature, increased land salinity, excessive rainfall, storms, hurricanes and tornadoes which climax in ecosystem ruin. This review has clearly confirmed that Sub-Saharan Africa is indeed the most vulnerable region to climate change. To this end, policies aimed at promoting farm level adaptation strategies and mitigation of climate change with regards to ecological protection are highly recommended.","container-title":"Journal of Applied Sciences and Environmental Management","DOI":"10.4314/jasem.v23i2.20","ISSN":"1119-8362","issue":"2","language":"en","page":"329","source":"DOI.org (Crossref)","title":"Climate change in Sub-Saharan Africa: a menace to agricultural productivity and ecological protection","title-short":"Climate change in Sub-Saharan Africa","volume":"23","author":[{"family":"Ibe","given":"G.O."},{"family":"Amikuzuno","given":"J"}],"issued":{"date-parts":[["2019",3,11]]}}}],"schema":"https://github.com/citation-style-language/schema/raw/master/csl-citation.json"} </w:instrText>
      </w:r>
      <w:r w:rsidR="00053D91">
        <w:rPr>
          <w:rFonts w:ascii="Times New Roman" w:eastAsia="Times New Roman" w:hAnsi="Times New Roman" w:cs="Times New Roman"/>
          <w:sz w:val="24"/>
          <w:szCs w:val="24"/>
        </w:rPr>
        <w:fldChar w:fldCharType="separate"/>
      </w:r>
      <w:r w:rsidR="00053D91" w:rsidRPr="00053D91">
        <w:rPr>
          <w:rFonts w:ascii="Times New Roman" w:hAnsi="Times New Roman" w:cs="Times New Roman"/>
          <w:sz w:val="24"/>
        </w:rPr>
        <w:t>(Ramin, 2009; Ibe &amp; Amikuzuno, 2019)</w:t>
      </w:r>
      <w:r w:rsidR="00053D91">
        <w:rPr>
          <w:rFonts w:ascii="Times New Roman" w:eastAsia="Times New Roman" w:hAnsi="Times New Roman" w:cs="Times New Roman"/>
          <w:sz w:val="24"/>
          <w:szCs w:val="24"/>
        </w:rPr>
        <w:fldChar w:fldCharType="end"/>
      </w:r>
      <w:r>
        <w:rPr>
          <w:rFonts w:ascii="Times New Roman" w:eastAsia="Times New Roman" w:hAnsi="Times New Roman" w:cs="Times New Roman"/>
          <w:sz w:val="24"/>
          <w:szCs w:val="24"/>
        </w:rPr>
        <w:t xml:space="preserve">. </w:t>
      </w:r>
      <w:sdt>
        <w:sdtPr>
          <w:tag w:val="goog_rdk_164"/>
          <w:id w:val="-95638177"/>
        </w:sdtPr>
        <w:sdtEndPr/>
        <w:sdtContent>
          <w:r w:rsidR="00336286">
            <w:rPr>
              <w:rFonts w:ascii="Times New Roman" w:eastAsia="Times New Roman" w:hAnsi="Times New Roman" w:cs="Times New Roman"/>
              <w:sz w:val="24"/>
              <w:szCs w:val="24"/>
            </w:rPr>
            <w:t xml:space="preserve">Here, we </w:t>
          </w:r>
        </w:sdtContent>
      </w:sdt>
      <w:r>
        <w:rPr>
          <w:rFonts w:ascii="Times New Roman" w:eastAsia="Times New Roman" w:hAnsi="Times New Roman" w:cs="Times New Roman"/>
          <w:sz w:val="24"/>
          <w:szCs w:val="24"/>
        </w:rPr>
        <w:t>have</w:t>
      </w:r>
      <w:r w:rsidR="00336286">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tested the po</w:t>
      </w:r>
      <w:r w:rsidR="00E67779">
        <w:rPr>
          <w:rFonts w:ascii="Times New Roman" w:eastAsia="Times New Roman" w:hAnsi="Times New Roman" w:cs="Times New Roman"/>
          <w:sz w:val="24"/>
          <w:szCs w:val="24"/>
        </w:rPr>
        <w:t>tential</w:t>
      </w:r>
      <w:r>
        <w:rPr>
          <w:rFonts w:ascii="Times New Roman" w:eastAsia="Times New Roman" w:hAnsi="Times New Roman" w:cs="Times New Roman"/>
          <w:sz w:val="24"/>
          <w:szCs w:val="24"/>
        </w:rPr>
        <w:t xml:space="preserve"> of eDNA-</w:t>
      </w:r>
      <w:r>
        <w:rPr>
          <w:rFonts w:ascii="Times New Roman" w:eastAsia="Times New Roman" w:hAnsi="Times New Roman" w:cs="Times New Roman"/>
          <w:sz w:val="24"/>
          <w:szCs w:val="24"/>
        </w:rPr>
        <w:lastRenderedPageBreak/>
        <w:t>based techniques</w:t>
      </w:r>
      <w:sdt>
        <w:sdtPr>
          <w:tag w:val="goog_rdk_167"/>
          <w:id w:val="-1973747898"/>
        </w:sdtPr>
        <w:sdtEndPr/>
        <w:sdtContent>
          <w:r>
            <w:rPr>
              <w:rFonts w:ascii="Times New Roman" w:eastAsia="Times New Roman" w:hAnsi="Times New Roman" w:cs="Times New Roman"/>
              <w:sz w:val="24"/>
              <w:szCs w:val="24"/>
            </w:rPr>
            <w:t>,</w:t>
          </w:r>
        </w:sdtContent>
      </w:sdt>
      <w:r>
        <w:rPr>
          <w:rFonts w:ascii="Times New Roman" w:eastAsia="Times New Roman" w:hAnsi="Times New Roman" w:cs="Times New Roman"/>
          <w:sz w:val="24"/>
          <w:szCs w:val="24"/>
        </w:rPr>
        <w:t xml:space="preserve"> </w:t>
      </w:r>
      <w:sdt>
        <w:sdtPr>
          <w:tag w:val="goog_rdk_168"/>
          <w:id w:val="-1797902268"/>
        </w:sdtPr>
        <w:sdtEndPr/>
        <w:sdtContent>
          <w:r>
            <w:rPr>
              <w:rFonts w:ascii="Times New Roman" w:eastAsia="Times New Roman" w:hAnsi="Times New Roman" w:cs="Times New Roman"/>
              <w:sz w:val="24"/>
              <w:szCs w:val="24"/>
            </w:rPr>
            <w:t>using</w:t>
          </w:r>
        </w:sdtContent>
      </w:sdt>
      <w:r>
        <w:rPr>
          <w:rFonts w:ascii="Times New Roman" w:eastAsia="Times New Roman" w:hAnsi="Times New Roman" w:cs="Times New Roman"/>
          <w:sz w:val="24"/>
          <w:szCs w:val="24"/>
        </w:rPr>
        <w:t xml:space="preserve"> two different primer sets</w:t>
      </w:r>
      <w:sdt>
        <w:sdtPr>
          <w:tag w:val="goog_rdk_170"/>
          <w:id w:val="1107151419"/>
        </w:sdtPr>
        <w:sdtEndPr/>
        <w:sdtContent>
          <w:r>
            <w:rPr>
              <w:rFonts w:ascii="Times New Roman" w:eastAsia="Times New Roman" w:hAnsi="Times New Roman" w:cs="Times New Roman"/>
              <w:sz w:val="24"/>
              <w:szCs w:val="24"/>
            </w:rPr>
            <w:t>,</w:t>
          </w:r>
        </w:sdtContent>
      </w:sdt>
      <w:r>
        <w:rPr>
          <w:rFonts w:ascii="Times New Roman" w:eastAsia="Times New Roman" w:hAnsi="Times New Roman" w:cs="Times New Roman"/>
          <w:sz w:val="24"/>
          <w:szCs w:val="24"/>
        </w:rPr>
        <w:t xml:space="preserve"> to survey coastal fish communities in Mozambique. eDNA-based monitoring</w:t>
      </w:r>
      <w:r w:rsidR="00EC7864">
        <w:rPr>
          <w:rFonts w:ascii="Times New Roman" w:eastAsia="Times New Roman" w:hAnsi="Times New Roman" w:cs="Times New Roman"/>
          <w:sz w:val="24"/>
          <w:szCs w:val="24"/>
        </w:rPr>
        <w:t>, which was partly implemented by local communities</w:t>
      </w:r>
      <w:r>
        <w:rPr>
          <w:rFonts w:ascii="Times New Roman" w:eastAsia="Times New Roman" w:hAnsi="Times New Roman" w:cs="Times New Roman"/>
          <w:sz w:val="24"/>
          <w:szCs w:val="24"/>
        </w:rPr>
        <w:t xml:space="preserve"> </w:t>
      </w:r>
      <w:sdt>
        <w:sdtPr>
          <w:tag w:val="goog_rdk_172"/>
          <w:id w:val="188414947"/>
        </w:sdtPr>
        <w:sdtEndPr/>
        <w:sdtContent/>
      </w:sdt>
      <w:r>
        <w:rPr>
          <w:rFonts w:ascii="Times New Roman" w:eastAsia="Times New Roman" w:hAnsi="Times New Roman" w:cs="Times New Roman"/>
          <w:sz w:val="24"/>
          <w:szCs w:val="24"/>
        </w:rPr>
        <w:t xml:space="preserve">was able to reveal a high species richness per sample, reflecting its sensitivity and potential to complement conventional surveying methods. However, several improvements are still required </w:t>
      </w:r>
      <w:r w:rsidR="00E67779">
        <w:rPr>
          <w:rFonts w:ascii="Times New Roman" w:eastAsia="Times New Roman" w:hAnsi="Times New Roman" w:cs="Times New Roman"/>
          <w:sz w:val="24"/>
          <w:szCs w:val="24"/>
        </w:rPr>
        <w:t xml:space="preserve">to </w:t>
      </w:r>
      <w:r w:rsidR="003B63D8">
        <w:rPr>
          <w:rFonts w:ascii="Times New Roman" w:eastAsia="Times New Roman" w:hAnsi="Times New Roman" w:cs="Times New Roman"/>
          <w:sz w:val="24"/>
          <w:szCs w:val="24"/>
        </w:rPr>
        <w:t>aid</w:t>
      </w:r>
      <w:r w:rsidR="00E67779">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routine applications</w:t>
      </w:r>
      <w:r w:rsidR="00E67779">
        <w:rPr>
          <w:rFonts w:ascii="Times New Roman" w:eastAsia="Times New Roman" w:hAnsi="Times New Roman" w:cs="Times New Roman"/>
          <w:sz w:val="24"/>
          <w:szCs w:val="24"/>
        </w:rPr>
        <w:t>.</w:t>
      </w:r>
      <w:r>
        <w:rPr>
          <w:rFonts w:ascii="Times New Roman" w:eastAsia="Times New Roman" w:hAnsi="Times New Roman" w:cs="Times New Roman"/>
          <w:sz w:val="24"/>
          <w:szCs w:val="24"/>
        </w:rPr>
        <w:t xml:space="preserve"> </w:t>
      </w:r>
      <w:r w:rsidR="00D5153E">
        <w:rPr>
          <w:rFonts w:ascii="Times New Roman" w:eastAsia="Times New Roman" w:hAnsi="Times New Roman" w:cs="Times New Roman"/>
          <w:sz w:val="24"/>
          <w:szCs w:val="24"/>
        </w:rPr>
        <w:t xml:space="preserve">First, </w:t>
      </w:r>
      <w:r>
        <w:rPr>
          <w:rFonts w:ascii="Times New Roman" w:eastAsia="Times New Roman" w:hAnsi="Times New Roman" w:cs="Times New Roman"/>
          <w:sz w:val="24"/>
          <w:szCs w:val="24"/>
        </w:rPr>
        <w:t xml:space="preserve">reference databases for Mozambique show large gaps and even some of the most abundant </w:t>
      </w:r>
      <w:sdt>
        <w:sdtPr>
          <w:tag w:val="goog_rdk_177"/>
          <w:id w:val="1199443194"/>
        </w:sdtPr>
        <w:sdtEndPr/>
        <w:sdtContent/>
      </w:sdt>
      <w:r>
        <w:rPr>
          <w:rFonts w:ascii="Times New Roman" w:eastAsia="Times New Roman" w:hAnsi="Times New Roman" w:cs="Times New Roman"/>
          <w:sz w:val="24"/>
          <w:szCs w:val="24"/>
        </w:rPr>
        <w:t xml:space="preserve">species failed to match known reference sequences. </w:t>
      </w:r>
      <w:r w:rsidR="00D5153E">
        <w:rPr>
          <w:rFonts w:ascii="Times New Roman" w:eastAsia="Times New Roman" w:hAnsi="Times New Roman" w:cs="Times New Roman"/>
          <w:sz w:val="24"/>
          <w:szCs w:val="24"/>
        </w:rPr>
        <w:t>Further</w:t>
      </w:r>
      <w:r>
        <w:rPr>
          <w:rFonts w:ascii="Times New Roman" w:eastAsia="Times New Roman" w:hAnsi="Times New Roman" w:cs="Times New Roman"/>
          <w:sz w:val="24"/>
          <w:szCs w:val="24"/>
        </w:rPr>
        <w:t xml:space="preserve">, we found substantial </w:t>
      </w:r>
      <w:sdt>
        <w:sdtPr>
          <w:tag w:val="goog_rdk_178"/>
          <w:id w:val="-500351568"/>
        </w:sdtPr>
        <w:sdtEndPr/>
        <w:sdtContent>
          <w:r>
            <w:rPr>
              <w:rFonts w:ascii="Times New Roman" w:eastAsia="Times New Roman" w:hAnsi="Times New Roman" w:cs="Times New Roman"/>
              <w:sz w:val="24"/>
              <w:szCs w:val="24"/>
            </w:rPr>
            <w:t>species-recovery</w:t>
          </w:r>
        </w:sdtContent>
      </w:sdt>
      <w:r>
        <w:rPr>
          <w:rFonts w:ascii="Times New Roman" w:eastAsia="Times New Roman" w:hAnsi="Times New Roman" w:cs="Times New Roman"/>
          <w:sz w:val="24"/>
          <w:szCs w:val="24"/>
        </w:rPr>
        <w:t xml:space="preserve"> trade-offs between </w:t>
      </w:r>
      <w:sdt>
        <w:sdtPr>
          <w:tag w:val="goog_rdk_181"/>
          <w:id w:val="-1697385362"/>
        </w:sdtPr>
        <w:sdtEndPr/>
        <w:sdtContent>
          <w:r>
            <w:rPr>
              <w:rFonts w:ascii="Times New Roman" w:eastAsia="Times New Roman" w:hAnsi="Times New Roman" w:cs="Times New Roman"/>
              <w:sz w:val="24"/>
              <w:szCs w:val="24"/>
            </w:rPr>
            <w:t xml:space="preserve">the </w:t>
          </w:r>
        </w:sdtContent>
      </w:sdt>
      <w:r>
        <w:rPr>
          <w:rFonts w:ascii="Times New Roman" w:eastAsia="Times New Roman" w:hAnsi="Times New Roman" w:cs="Times New Roman"/>
          <w:sz w:val="24"/>
          <w:szCs w:val="24"/>
        </w:rPr>
        <w:t>different primer sets</w:t>
      </w:r>
      <w:r w:rsidR="00EC7864">
        <w:rPr>
          <w:rFonts w:ascii="Times New Roman" w:eastAsia="Times New Roman" w:hAnsi="Times New Roman" w:cs="Times New Roman"/>
          <w:sz w:val="24"/>
          <w:szCs w:val="24"/>
        </w:rPr>
        <w:t>. However, these trade-offs</w:t>
      </w:r>
      <w:r w:rsidR="00D5153E">
        <w:rPr>
          <w:rFonts w:ascii="Times New Roman" w:eastAsia="Times New Roman" w:hAnsi="Times New Roman" w:cs="Times New Roman"/>
          <w:sz w:val="24"/>
          <w:szCs w:val="24"/>
        </w:rPr>
        <w:t xml:space="preserve"> can be overcome by </w:t>
      </w:r>
      <w:r w:rsidR="003B63D8">
        <w:rPr>
          <w:rFonts w:ascii="Times New Roman" w:eastAsia="Times New Roman" w:hAnsi="Times New Roman" w:cs="Times New Roman"/>
          <w:sz w:val="24"/>
          <w:szCs w:val="24"/>
        </w:rPr>
        <w:t>us</w:t>
      </w:r>
      <w:r w:rsidR="00EC7864">
        <w:rPr>
          <w:rFonts w:ascii="Times New Roman" w:eastAsia="Times New Roman" w:hAnsi="Times New Roman" w:cs="Times New Roman"/>
          <w:sz w:val="24"/>
          <w:szCs w:val="24"/>
        </w:rPr>
        <w:t xml:space="preserve">ing </w:t>
      </w:r>
      <w:r w:rsidR="003B63D8">
        <w:rPr>
          <w:rFonts w:ascii="Times New Roman" w:eastAsia="Times New Roman" w:hAnsi="Times New Roman" w:cs="Times New Roman"/>
          <w:sz w:val="24"/>
          <w:szCs w:val="24"/>
        </w:rPr>
        <w:t>multiple primers combined with data-merging approaches</w:t>
      </w:r>
      <w:r w:rsidR="00D5153E">
        <w:rPr>
          <w:rFonts w:ascii="Times New Roman" w:eastAsia="Times New Roman" w:hAnsi="Times New Roman" w:cs="Times New Roman"/>
          <w:sz w:val="24"/>
          <w:szCs w:val="24"/>
        </w:rPr>
        <w:t xml:space="preserve"> such as the one </w:t>
      </w:r>
      <w:sdt>
        <w:sdtPr>
          <w:tag w:val="goog_rdk_182"/>
          <w:id w:val="-1643272022"/>
        </w:sdtPr>
        <w:sdtEndPr/>
        <w:sdtContent/>
      </w:sdt>
      <w:r>
        <w:rPr>
          <w:rFonts w:ascii="Times New Roman" w:eastAsia="Times New Roman" w:hAnsi="Times New Roman" w:cs="Times New Roman"/>
          <w:sz w:val="24"/>
          <w:szCs w:val="24"/>
        </w:rPr>
        <w:t xml:space="preserve">developed </w:t>
      </w:r>
      <w:r w:rsidR="00D5153E">
        <w:rPr>
          <w:rFonts w:ascii="Times New Roman" w:eastAsia="Times New Roman" w:hAnsi="Times New Roman" w:cs="Times New Roman"/>
          <w:sz w:val="24"/>
          <w:szCs w:val="24"/>
        </w:rPr>
        <w:t>here</w:t>
      </w:r>
      <w:r>
        <w:rPr>
          <w:rFonts w:ascii="Times New Roman" w:eastAsia="Times New Roman" w:hAnsi="Times New Roman" w:cs="Times New Roman"/>
          <w:sz w:val="24"/>
          <w:szCs w:val="24"/>
        </w:rPr>
        <w:t xml:space="preserve">. </w:t>
      </w:r>
      <w:r w:rsidR="00EC7864">
        <w:rPr>
          <w:rFonts w:ascii="Times New Roman" w:eastAsia="Times New Roman" w:hAnsi="Times New Roman" w:cs="Times New Roman"/>
          <w:sz w:val="24"/>
          <w:szCs w:val="24"/>
        </w:rPr>
        <w:t>Hence, o</w:t>
      </w:r>
      <w:r>
        <w:rPr>
          <w:rFonts w:ascii="Times New Roman" w:eastAsia="Times New Roman" w:hAnsi="Times New Roman" w:cs="Times New Roman"/>
          <w:sz w:val="24"/>
          <w:szCs w:val="24"/>
        </w:rPr>
        <w:t xml:space="preserve">ur results demonstrate that once </w:t>
      </w:r>
      <w:r w:rsidR="00994538">
        <w:rPr>
          <w:rFonts w:ascii="Times New Roman" w:eastAsia="Times New Roman" w:hAnsi="Times New Roman" w:cs="Times New Roman"/>
          <w:sz w:val="24"/>
          <w:szCs w:val="24"/>
        </w:rPr>
        <w:t>methodological</w:t>
      </w:r>
      <w:r>
        <w:rPr>
          <w:rFonts w:ascii="Times New Roman" w:eastAsia="Times New Roman" w:hAnsi="Times New Roman" w:cs="Times New Roman"/>
          <w:sz w:val="24"/>
          <w:szCs w:val="24"/>
        </w:rPr>
        <w:t xml:space="preserve"> hurdles are overcome, eDNA-based monitoring techniques can be </w:t>
      </w:r>
      <w:r w:rsidR="00994538">
        <w:rPr>
          <w:rFonts w:ascii="Times New Roman" w:eastAsia="Times New Roman" w:hAnsi="Times New Roman" w:cs="Times New Roman"/>
          <w:sz w:val="24"/>
          <w:szCs w:val="24"/>
        </w:rPr>
        <w:t>powerful</w:t>
      </w:r>
      <w:r>
        <w:rPr>
          <w:rFonts w:ascii="Times New Roman" w:eastAsia="Times New Roman" w:hAnsi="Times New Roman" w:cs="Times New Roman"/>
          <w:sz w:val="24"/>
          <w:szCs w:val="24"/>
        </w:rPr>
        <w:t xml:space="preserve"> tools to address the diverse conservation challenges encountered in coastal habitats of SSA.</w:t>
      </w:r>
    </w:p>
    <w:p w14:paraId="5817D232" w14:textId="77777777" w:rsidR="00CB1EFC" w:rsidRDefault="00CB1EFC" w:rsidP="00CB1EFC">
      <w:pPr>
        <w:spacing w:after="0" w:line="480" w:lineRule="auto"/>
        <w:ind w:firstLine="227"/>
        <w:jc w:val="both"/>
        <w:rPr>
          <w:rFonts w:ascii="Times New Roman" w:eastAsia="Times New Roman" w:hAnsi="Times New Roman" w:cs="Times New Roman"/>
          <w:i/>
          <w:sz w:val="24"/>
          <w:szCs w:val="24"/>
        </w:rPr>
      </w:pPr>
      <w:r>
        <w:rPr>
          <w:rFonts w:ascii="Times New Roman" w:eastAsia="Times New Roman" w:hAnsi="Times New Roman" w:cs="Times New Roman"/>
          <w:i/>
          <w:sz w:val="24"/>
          <w:szCs w:val="24"/>
        </w:rPr>
        <w:t>Primer selection</w:t>
      </w:r>
    </w:p>
    <w:p w14:paraId="24E7AC0C" w14:textId="11833C59" w:rsidR="00CB1EFC" w:rsidRPr="006E4769" w:rsidRDefault="00CB1EFC" w:rsidP="00CB1EFC">
      <w:pPr>
        <w:spacing w:after="0" w:line="480" w:lineRule="auto"/>
        <w:ind w:firstLine="227"/>
        <w:jc w:val="both"/>
        <w:rPr>
          <w:rFonts w:ascii="Times New Roman" w:eastAsia="Times New Roman" w:hAnsi="Times New Roman" w:cs="Times New Roman"/>
          <w:sz w:val="24"/>
          <w:szCs w:val="24"/>
        </w:rPr>
      </w:pPr>
      <w:r w:rsidRPr="006E4769">
        <w:rPr>
          <w:rFonts w:ascii="Times New Roman" w:eastAsia="Times New Roman" w:hAnsi="Times New Roman" w:cs="Times New Roman"/>
          <w:sz w:val="24"/>
          <w:szCs w:val="24"/>
        </w:rPr>
        <w:t>In this study, we used two 12S primer sets, which have</w:t>
      </w:r>
      <w:sdt>
        <w:sdtPr>
          <w:rPr>
            <w:rFonts w:ascii="Times New Roman" w:hAnsi="Times New Roman" w:cs="Times New Roman"/>
            <w:sz w:val="24"/>
            <w:szCs w:val="24"/>
          </w:rPr>
          <w:tag w:val="goog_rdk_186"/>
          <w:id w:val="3328589"/>
        </w:sdtPr>
        <w:sdtEndPr/>
        <w:sdtContent>
          <w:r w:rsidRPr="006E4769">
            <w:rPr>
              <w:rFonts w:ascii="Times New Roman" w:eastAsia="Times New Roman" w:hAnsi="Times New Roman" w:cs="Times New Roman"/>
              <w:sz w:val="24"/>
              <w:szCs w:val="24"/>
            </w:rPr>
            <w:t xml:space="preserve"> previously been</w:t>
          </w:r>
        </w:sdtContent>
      </w:sdt>
      <w:r w:rsidRPr="006E4769">
        <w:rPr>
          <w:rFonts w:ascii="Times New Roman" w:eastAsia="Times New Roman" w:hAnsi="Times New Roman" w:cs="Times New Roman"/>
          <w:sz w:val="24"/>
          <w:szCs w:val="24"/>
        </w:rPr>
        <w:t xml:space="preserve"> </w:t>
      </w:r>
      <w:sdt>
        <w:sdtPr>
          <w:rPr>
            <w:rFonts w:ascii="Times New Roman" w:hAnsi="Times New Roman" w:cs="Times New Roman"/>
            <w:sz w:val="24"/>
            <w:szCs w:val="24"/>
          </w:rPr>
          <w:tag w:val="goog_rdk_187"/>
          <w:id w:val="1313608217"/>
        </w:sdtPr>
        <w:sdtEndPr/>
        <w:sdtContent>
          <w:r w:rsidRPr="006E4769">
            <w:rPr>
              <w:rFonts w:ascii="Times New Roman" w:eastAsia="Times New Roman" w:hAnsi="Times New Roman" w:cs="Times New Roman"/>
              <w:sz w:val="24"/>
              <w:szCs w:val="24"/>
            </w:rPr>
            <w:t xml:space="preserve">shown </w:t>
          </w:r>
        </w:sdtContent>
      </w:sdt>
      <w:r w:rsidRPr="006E4769">
        <w:rPr>
          <w:rFonts w:ascii="Times New Roman" w:eastAsia="Times New Roman" w:hAnsi="Times New Roman" w:cs="Times New Roman"/>
          <w:sz w:val="24"/>
          <w:szCs w:val="24"/>
        </w:rPr>
        <w:t>to outperform assays targeting other gene regions</w:t>
      </w:r>
      <w:r w:rsidR="003011F6">
        <w:rPr>
          <w:rFonts w:ascii="Times New Roman" w:eastAsia="Times New Roman" w:hAnsi="Times New Roman" w:cs="Times New Roman"/>
          <w:sz w:val="24"/>
          <w:szCs w:val="24"/>
        </w:rPr>
        <w:t xml:space="preserve"> for fish community </w:t>
      </w:r>
      <w:r w:rsidR="00323E91">
        <w:rPr>
          <w:rFonts w:ascii="Times New Roman" w:eastAsia="Times New Roman" w:hAnsi="Times New Roman" w:cs="Times New Roman"/>
          <w:sz w:val="24"/>
          <w:szCs w:val="24"/>
        </w:rPr>
        <w:t>assessments</w:t>
      </w:r>
      <w:r w:rsidRPr="006E4769">
        <w:rPr>
          <w:rFonts w:ascii="Times New Roman" w:eastAsia="Times New Roman" w:hAnsi="Times New Roman" w:cs="Times New Roman"/>
          <w:sz w:val="24"/>
          <w:szCs w:val="24"/>
        </w:rPr>
        <w:t xml:space="preserve"> </w:t>
      </w:r>
      <w:r w:rsidR="00053D91">
        <w:rPr>
          <w:rFonts w:ascii="Times New Roman" w:eastAsia="Times New Roman" w:hAnsi="Times New Roman" w:cs="Times New Roman"/>
          <w:sz w:val="24"/>
          <w:szCs w:val="24"/>
        </w:rPr>
        <w:fldChar w:fldCharType="begin"/>
      </w:r>
      <w:r w:rsidR="00E9149F">
        <w:rPr>
          <w:rFonts w:ascii="Times New Roman" w:eastAsia="Times New Roman" w:hAnsi="Times New Roman" w:cs="Times New Roman"/>
          <w:sz w:val="24"/>
          <w:szCs w:val="24"/>
        </w:rPr>
        <w:instrText xml:space="preserve"> ADDIN ZOTERO_ITEM CSL_CITATION {"citationID":"jjbtuG5k","properties":{"unsorted":true,"formattedCitation":"(Kelly et al., 2014; M. Miya et al., 2015; Collins et al., 2019; Milan et al., 2020; Schenekar et al., 2020; Zhang et al., 2020; Polanco et al., 2021)","plainCitation":"(Kelly et al., 2014; M. Miya et al., 2015; Collins et al., 2019; Milan et al., 2020; Schenekar et al., 2020; Zhang et al., 2020; Polanco et al., 2021)","noteIndex":0},"citationItems":[{"id":9586,"uris":["http://zotero.org/users/3033072/items/HXDEDTRM"],"uri":["http://zotero.org/users/3033072/items/HXDEDTRM"],"itemData":{"id":9586,"type":"article-journal","container-title":"PLoS ONE","DOI":"10.1371/journal.pone.0086175","ISSN":"1932-6203","issue":"1","language":"en","page":"e86175","source":"CrossRef","title":"Using Environmental DNA to Census Marine Fishes in a Large Mesocosm","volume":"9","author":[{"family":"Kelly","given":"Ryan P."},{"family":"Port","given":"Jesse A."},{"family":"Yamahara","given":"Kevan M."},{"family":"Crowder","given":"Larry B."}],"editor":[{"family":"Hofmann","given":"Gretchen E."}],"issued":{"date-parts":[["2014",1,15]]}}},{"id":9693,"uris":["http://zotero.org/users/3033072/items/C85RZ8FD"],"uri":["http://zotero.org/users/3033072/items/C85RZ8FD"],"itemData":{"id":9693,"type":"article-journal","container-title":"Royal Society Open Science","DOI":"10.1098/rsos.150088","ISSN":"2054-5703","issue":"7","language":"en","page":"150088","source":"CrossRef","title":"MiFish, a set of universal PCR primers for metabarcoding environmental DNA from fishes: detection of more than 230 subtropical marine species","title-short":"MiFish, a set of universal PCR primers for metabarcoding environmental DNA from fishes","volume":"2","author":[{"family":"Miya","given":"M."},{"family":"Sato","given":"Y."},{"family":"Fukunaga","given":"T."},{"family":"Sado","given":"T."},{"family":"Poulsen","given":"J. Y."},{"family":"Sato","given":"K."},{"family":"Minamoto","given":"T."},{"family":"Yamamoto","given":"S."},{"family":"Yamanaka","given":"H."},{"family":"Araki","given":"H."},{"family":"Kondoh","given":"M."},{"family":"Iwasaki","given":"W."}],"issued":{"date-parts":[["2015",7]]}}},{"id":7231,"uris":["http://zotero.org/users/3033072/items/GN6L5YGY"],"uri":["http://zotero.org/users/3033072/items/GN6L5YGY"],"itemData":{"id":7231,"type":"article-journal","container-title":"Methods in Ecology and Evolution","DOI":"10.1111/2041-210X.13276","ISSN":"2041-210X, 2041-210X","journalAbbreviation":"Methods Ecol Evol","language":"en","page":"2041-210X.13276","source":"DOI.org (Crossref)","title":"Non‐specific amplification compromises environmental &lt;span style=\"font-variant:small-caps;\"&gt;DNA&lt;/span&gt; metabarcoding with &lt;span style=\"font-variant:small-caps;\"&gt;COI&lt;/span&gt;","title-short":"Non‐specific amplification compromises environmental &lt;span style=\"font-variant","author":[{"family":"Collins","given":"Rupert A."},{"family":"Bakker","given":"Judith"},{"family":"Wangensteen","given":"Owen S."},{"family":"Soto","given":"Ana Z."},{"family":"Corrigan","given":"Laura"},{"family":"Sims","given":"David W."},{"family":"Genner","given":"Martin J."},{"family":"Mariani","given":"Stefano"}],"issued":{"date-parts":[["2019",8,2]]}}},{"id":10971,"uris":["http://zotero.org/users/3033072/items/6D9ELEKH"],"uri":["http://zotero.org/users/3033072/items/6D9ELEKH"],"itemData":{"id":10971,"type":"article-journal","abstract":"Abstract\n            The megadiverse Neotropical fish fauna lacks a comprehensive and reliable DNA reference database, which hampers precise species identification and DNA based biodiversity assessment in the region. Here, we developed a mitochondrial 12S ribosomal DNA reference database for 67 fish species, representing 54 genera, 25 families, and six major Neotropical orders. We aimed to develop mini-barcode markers (i.e. amplicons with less than 200 bp) suitable for DNA metabarcoding by evaluating the taxonomic resolution of full-length and mini-barcodes and to determine a threshold value for fish species delimitation using 12S. Evaluation of the target amplicons demonstrated that both full-length library (565 bp) and mini-barcodes (193 bp) contain enough taxonomic resolution to differentiate all 67 fish species. For species delimitation, interspecific genetic distance threshold values of 0.4% and 0.55% were defined using full-length and mini-barcodes, respectively. A custom reference database and specific mini-barcode markers are important assets for ecoregion scale DNA based biodiversity assessments (such as environmental DNA) that can help with the complex task of conserving the megadiverse Neotropical ichthyofauna.","container-title":"Scientific Reports","DOI":"10.1038/s41598-020-74902-3","ISSN":"2045-2322","issue":"1","journalAbbreviation":"Sci Rep","language":"en","page":"17966","source":"DOI.org (Crossref)","title":"New 12S metabarcoding primers for enhanced Neotropical freshwater fish biodiversity assessment","volume":"10","author":[{"family":"Milan","given":"David T."},{"family":"Mendes","given":"Izabela S."},{"family":"Damasceno","given":"Júnio S."},{"family":"Teixeira","given":"Daniel F."},{"family":"Sales","given":"Naiara G."},{"family":"Carvalho","given":"Daniel C."}],"issued":{"date-parts":[["2020",12]]}}},{"id":10568,"uris":["http://zotero.org/users/3033072/items/PHTEFPIS"],"uri":["http://zotero.org/users/3033072/items/PHTEFPIS"],"itemData":{"id":10568,"type":"article-journal","abstract":"Biodiversity monitoring via environmental DNA, particularly metabarcoding, is evolving into a powerful assessment tool for riverine systems. However, for metabarcoding to be fully integrated into standardized monitoring programmes, some current challenges concerning sampling design, laboratory workflow, and data analysis need to be overcome. Here, we review some of these major challenges and potential solutions. We further illustrate three potential pitfalls, namely the choice of suitable metabarcoding primers, the necessity of complete reference databases, and varying assay sensitivities, by a reappraisal of our-own recently carried out metabarcoding study in the Volga headwaters. TaqMan qPCRs had detected catfish (Silurus glanis) and European eel (Anguilla anguilla), whereas metabarcoding had not, in the same samples. Furthermore, after extending the genetic reference database by 12 additional species and re-analysing the metabarcoding data, we additionally detected the Siberian spiny loach (Cobitis sibirica) and Ukrainian brook lamprey (Eudontomyzon mariae) and reassigned the operational taxonomic units previously assigned to Misgurnus fossilis to Cobitis sibirica. In silico analysis of metabarcoding primer efficiencies revealed considerable variability among primer pairs and among target species, which could lead to strong primer bias and potential false-negatives in metabarcoding studies if not properly compensated for. These results highlight some of the pitfalls of eDNA-metabarcoding as a means of monitoring fish biodiversity in large rivers, which need to be considered in order to fully unleash the full potential of these approaches for freshwater biodiversity monitoring.","container-title":"River Research and Applications","DOI":"10.1002/rra.3610","ISSN":"1535-1459, 1535-1467","journalAbbreviation":"River Res Applic","language":"en","page":"rra.3610","source":"DOI.org (Crossref)","title":"Reference databases, primer choice, and assay sensitivity for environmental metabarcoding: Lessons learnt from a re‐evaluation of an eDNA fish assessment in the Volga headwaters","title-short":"Reference databases, primer choice, and assay sensitivity for environmental metabarcoding","author":[{"family":"Schenekar","given":"Tamara"},{"family":"Schletterer","given":"Martin"},{"family":"Lecaudey","given":"Laurène A."},{"family":"Weiss","given":"Steven J."}],"issued":{"date-parts":[["2020",3]]}}},{"id":10925,"uris":["http://zotero.org/users/3033072/items/3NRT9G2X"],"uri":["http://zotero.org/users/3033072/items/3NRT9G2X"],"itemData":{"id":10925,"</w:instrText>
      </w:r>
      <w:r w:rsidR="00E9149F" w:rsidRPr="00E9149F">
        <w:rPr>
          <w:rFonts w:ascii="Times New Roman" w:eastAsia="Times New Roman" w:hAnsi="Times New Roman" w:cs="Times New Roman"/>
          <w:sz w:val="24"/>
          <w:szCs w:val="24"/>
          <w:lang w:val="fr-FR"/>
        </w:rPr>
        <w:instrText xml:space="preserve">type":"article-journal","container-title":"Methods in Ecology and Evolution","language":"en","page":"45","source":"Zotero","title":"A comprehensive and comparative evaluation of primers for metabarcoding eDNA from fish","author":[{"family":"Zhang","given":"Shan"},{"family":"Zhao","given":"Jindong"},{"family":"Yao","given":"Meng"}],"issued":{"date-parts":[["2020"]]}}},{"id":11383,"uris":["http://zotero.org/users/3033072/items/CDPM3DK7"],"uri":["http://zotero.org/users/3033072/items/CDPM3DK7"],"itemData":{"id":11383,"type":"article-journal","container-title":"Environmental DNA","DOI":"10.1002/edn3.232","ISSN":"2637-4943, 2637-4943","journalAbbreviation":"Environmental DNA","language":"en","page":"edn3.232","source":"DOI.org (Crossref)","title":"Comparing the performance of 12S mitochondrial primers for fish environmental DNA across ecosystems","author":[{"family":"Polanco","given":"Andrea"},{"family":"Richards","given":"Eilísh"},{"family":"Flück","given":"Benjamin"},{"family":"Valentini","given":"Alice"},{"family":"Altermatt","given":"Florian"},{"family":"Brosse","given":"Sébastien"},{"family":"Walser","given":"Jean‐Claude"},{"family":"Eme","given":"David"},{"family":"Marques","given":"Virginie"},{"family":"Manel","given":"Stéphanie"},{"family":"Albouy","given":"Camille"},{"family":"Dejean","given":"Tony"},{"family":"Pellissier","given":"Loïc"}],"issued":{"date-parts":[["2021",7,6]]}}}],"schema":"https://github.com/citation-style-language/schema/raw/master/csl-citation.json"} </w:instrText>
      </w:r>
      <w:r w:rsidR="00053D91">
        <w:rPr>
          <w:rFonts w:ascii="Times New Roman" w:eastAsia="Times New Roman" w:hAnsi="Times New Roman" w:cs="Times New Roman"/>
          <w:sz w:val="24"/>
          <w:szCs w:val="24"/>
        </w:rPr>
        <w:fldChar w:fldCharType="separate"/>
      </w:r>
      <w:r w:rsidR="00E9149F" w:rsidRPr="00E9149F">
        <w:rPr>
          <w:rFonts w:ascii="Times New Roman" w:hAnsi="Times New Roman" w:cs="Times New Roman"/>
          <w:sz w:val="24"/>
          <w:lang w:val="fr-FR"/>
        </w:rPr>
        <w:t>(Kelly et al., 2014; M. Miya et al., 2015; Collins et al., 2019; Milan et al., 2020; Schenekar et al., 2020; Zhang et al., 2020; Polanco et al., 2021)</w:t>
      </w:r>
      <w:r w:rsidR="00053D91">
        <w:rPr>
          <w:rFonts w:ascii="Times New Roman" w:eastAsia="Times New Roman" w:hAnsi="Times New Roman" w:cs="Times New Roman"/>
          <w:sz w:val="24"/>
          <w:szCs w:val="24"/>
        </w:rPr>
        <w:fldChar w:fldCharType="end"/>
      </w:r>
      <w:r w:rsidRPr="00053D91">
        <w:rPr>
          <w:rFonts w:ascii="Times New Roman" w:eastAsia="Times New Roman" w:hAnsi="Times New Roman" w:cs="Times New Roman"/>
          <w:sz w:val="24"/>
          <w:szCs w:val="24"/>
          <w:lang w:val="fr-FR"/>
        </w:rPr>
        <w:t xml:space="preserve">. </w:t>
      </w:r>
      <w:r w:rsidRPr="006E4769">
        <w:rPr>
          <w:rFonts w:ascii="Times New Roman" w:eastAsia="Times New Roman" w:hAnsi="Times New Roman" w:cs="Times New Roman"/>
          <w:sz w:val="24"/>
          <w:szCs w:val="24"/>
        </w:rPr>
        <w:t xml:space="preserve">Although the two primer sets reached similar results in </w:t>
      </w:r>
      <w:sdt>
        <w:sdtPr>
          <w:rPr>
            <w:rFonts w:ascii="Times New Roman" w:hAnsi="Times New Roman" w:cs="Times New Roman"/>
            <w:sz w:val="24"/>
            <w:szCs w:val="24"/>
          </w:rPr>
          <w:tag w:val="goog_rdk_191"/>
          <w:id w:val="916829736"/>
        </w:sdtPr>
        <w:sdtEndPr/>
        <w:sdtContent>
          <w:r w:rsidRPr="006E4769">
            <w:rPr>
              <w:rFonts w:ascii="Times New Roman" w:eastAsia="Times New Roman" w:hAnsi="Times New Roman" w:cs="Times New Roman"/>
              <w:sz w:val="24"/>
              <w:szCs w:val="24"/>
            </w:rPr>
            <w:t>some</w:t>
          </w:r>
        </w:sdtContent>
      </w:sdt>
      <w:r w:rsidRPr="006E4769">
        <w:rPr>
          <w:rFonts w:ascii="Times New Roman" w:eastAsia="Times New Roman" w:hAnsi="Times New Roman" w:cs="Times New Roman"/>
          <w:sz w:val="24"/>
          <w:szCs w:val="24"/>
        </w:rPr>
        <w:t xml:space="preserve"> regards (e.g., alpha diversity, community characterization), we found </w:t>
      </w:r>
      <w:r w:rsidR="00994538">
        <w:rPr>
          <w:rFonts w:ascii="Times New Roman" w:eastAsia="Times New Roman" w:hAnsi="Times New Roman" w:cs="Times New Roman"/>
          <w:sz w:val="24"/>
          <w:szCs w:val="24"/>
        </w:rPr>
        <w:t xml:space="preserve">also </w:t>
      </w:r>
      <w:r w:rsidRPr="006E4769">
        <w:rPr>
          <w:rFonts w:ascii="Times New Roman" w:eastAsia="Times New Roman" w:hAnsi="Times New Roman" w:cs="Times New Roman"/>
          <w:sz w:val="24"/>
          <w:szCs w:val="24"/>
        </w:rPr>
        <w:t xml:space="preserve">substantial trade-offs in primer </w:t>
      </w:r>
      <w:r w:rsidR="00994538">
        <w:rPr>
          <w:rFonts w:ascii="Times New Roman" w:eastAsia="Times New Roman" w:hAnsi="Times New Roman" w:cs="Times New Roman"/>
          <w:sz w:val="24"/>
          <w:szCs w:val="24"/>
        </w:rPr>
        <w:t>performance</w:t>
      </w:r>
      <w:r w:rsidRPr="006E4769">
        <w:rPr>
          <w:rFonts w:ascii="Times New Roman" w:eastAsia="Times New Roman" w:hAnsi="Times New Roman" w:cs="Times New Roman"/>
          <w:sz w:val="24"/>
          <w:szCs w:val="24"/>
        </w:rPr>
        <w:t xml:space="preserve">. Similar trade-offs among metabarcoding primer sets have already been encountered in previous studies evaluating a wider primer range </w:t>
      </w:r>
      <w:r w:rsidR="00053D91">
        <w:rPr>
          <w:rFonts w:ascii="Times New Roman" w:eastAsia="Times New Roman" w:hAnsi="Times New Roman" w:cs="Times New Roman"/>
          <w:sz w:val="24"/>
          <w:szCs w:val="24"/>
        </w:rPr>
        <w:fldChar w:fldCharType="begin"/>
      </w:r>
      <w:r w:rsidR="00053D91">
        <w:rPr>
          <w:rFonts w:ascii="Times New Roman" w:eastAsia="Times New Roman" w:hAnsi="Times New Roman" w:cs="Times New Roman"/>
          <w:sz w:val="24"/>
          <w:szCs w:val="24"/>
        </w:rPr>
        <w:instrText xml:space="preserve"> ADDIN ZOTERO_ITEM CSL_CITATION {"citationID":"BabqTjiO","properties":{"formattedCitation":"(Polanco et al., 2021)","plainCitation":"(Polanco et al., 2021)","noteIndex":0},"citationItems":[{"id":11383,"uris":["http://zotero.org/users/3033072/items/CDPM3DK7"],"uri":["http://zotero.org/users/3033072/items/CDPM3DK7"],"itemData":{"id":11383,"type":"article-journal","container-title":"Environmental DNA","DOI":"10.1002/edn3.232","ISSN":"2637-4943, 2637-4943","journalAbbreviation":"Environmental DNA","language":"en","page":"edn3.232","source":"DOI.org (Crossref)","title":"Comparing the performance of 12S mitochondrial primers for fish environmental DNA across ecosystems","author":[{"family":"Polanco","given":"Andrea"},{"family":"Richards","given":"Eilísh"},{"family":"Flück","given":"Benjamin"},{"family":"Valentini","given":"Alice"},{"family":"Altermatt","given":"Florian"},{"family":"Brosse","given":"Sébastien"},{"family":"Walser","given":"Jean‐Claude"},{"family":"Eme","given":"David"},{"family":"Marques","given":"Virginie"},{"family":"Manel","given":"Stéphanie"},{"family":"Albouy","given":"Camille"},{"family":"Dejean","given":"Tony"},{"family":"Pellissier","given":"Loïc"}],"issued":{"date-parts":[["2021",7,6]]}}}],"schema":"https://github.com/citation-style-language/schema/raw/master/csl-citation.json"} </w:instrText>
      </w:r>
      <w:r w:rsidR="00053D91">
        <w:rPr>
          <w:rFonts w:ascii="Times New Roman" w:eastAsia="Times New Roman" w:hAnsi="Times New Roman" w:cs="Times New Roman"/>
          <w:sz w:val="24"/>
          <w:szCs w:val="24"/>
        </w:rPr>
        <w:fldChar w:fldCharType="separate"/>
      </w:r>
      <w:r w:rsidR="00053D91" w:rsidRPr="00053D91">
        <w:rPr>
          <w:rFonts w:ascii="Times New Roman" w:hAnsi="Times New Roman" w:cs="Times New Roman"/>
          <w:sz w:val="24"/>
        </w:rPr>
        <w:t>(Polanco et al., 2021)</w:t>
      </w:r>
      <w:r w:rsidR="00053D91">
        <w:rPr>
          <w:rFonts w:ascii="Times New Roman" w:eastAsia="Times New Roman" w:hAnsi="Times New Roman" w:cs="Times New Roman"/>
          <w:sz w:val="24"/>
          <w:szCs w:val="24"/>
        </w:rPr>
        <w:fldChar w:fldCharType="end"/>
      </w:r>
      <w:r w:rsidRPr="006E4769">
        <w:rPr>
          <w:rFonts w:ascii="Times New Roman" w:eastAsia="Times New Roman" w:hAnsi="Times New Roman" w:cs="Times New Roman"/>
          <w:sz w:val="24"/>
          <w:szCs w:val="24"/>
        </w:rPr>
        <w:t>. For example, “</w:t>
      </w:r>
      <w:proofErr w:type="spellStart"/>
      <w:r w:rsidRPr="006E4769">
        <w:rPr>
          <w:rFonts w:ascii="Times New Roman" w:eastAsia="Times New Roman" w:hAnsi="Times New Roman" w:cs="Times New Roman"/>
          <w:sz w:val="24"/>
          <w:szCs w:val="24"/>
        </w:rPr>
        <w:t>teleo</w:t>
      </w:r>
      <w:proofErr w:type="spellEnd"/>
      <w:r w:rsidRPr="006E4769">
        <w:rPr>
          <w:rFonts w:ascii="Times New Roman" w:eastAsia="Times New Roman" w:hAnsi="Times New Roman" w:cs="Times New Roman"/>
          <w:sz w:val="24"/>
          <w:szCs w:val="24"/>
        </w:rPr>
        <w:t xml:space="preserve">” primers targeting 12S </w:t>
      </w:r>
      <w:sdt>
        <w:sdtPr>
          <w:rPr>
            <w:rFonts w:ascii="Times New Roman" w:hAnsi="Times New Roman" w:cs="Times New Roman"/>
            <w:sz w:val="24"/>
            <w:szCs w:val="24"/>
          </w:rPr>
          <w:tag w:val="goog_rdk_193"/>
          <w:id w:val="2062906672"/>
        </w:sdtPr>
        <w:sdtEndPr/>
        <w:sdtContent/>
      </w:sdt>
      <w:proofErr w:type="spellStart"/>
      <w:r w:rsidRPr="006E4769">
        <w:rPr>
          <w:rFonts w:ascii="Times New Roman" w:eastAsia="Times New Roman" w:hAnsi="Times New Roman" w:cs="Times New Roman"/>
          <w:sz w:val="24"/>
          <w:szCs w:val="24"/>
        </w:rPr>
        <w:t>mtDNA</w:t>
      </w:r>
      <w:proofErr w:type="spellEnd"/>
      <w:r w:rsidRPr="006E4769">
        <w:rPr>
          <w:rFonts w:ascii="Times New Roman" w:eastAsia="Times New Roman" w:hAnsi="Times New Roman" w:cs="Times New Roman"/>
          <w:sz w:val="24"/>
          <w:szCs w:val="24"/>
        </w:rPr>
        <w:t xml:space="preserve"> </w:t>
      </w:r>
      <w:r w:rsidR="008C6415">
        <w:rPr>
          <w:rFonts w:ascii="Times New Roman" w:eastAsia="Times New Roman" w:hAnsi="Times New Roman" w:cs="Times New Roman"/>
          <w:sz w:val="24"/>
          <w:szCs w:val="24"/>
        </w:rPr>
        <w:fldChar w:fldCharType="begin"/>
      </w:r>
      <w:r w:rsidR="008C6415">
        <w:rPr>
          <w:rFonts w:ascii="Times New Roman" w:eastAsia="Times New Roman" w:hAnsi="Times New Roman" w:cs="Times New Roman"/>
          <w:sz w:val="24"/>
          <w:szCs w:val="24"/>
        </w:rPr>
        <w:instrText xml:space="preserve"> ADDIN ZOTERO_ITEM CSL_CITATION {"citationID":"pffEOOvD","properties":{"formattedCitation":"(Valentini et al., 2016)","plainCitation":"(Valentini et al., 2016)","noteIndex":0},"citationItems":[{"id":9934,"uris":["http://zotero.org/users/3033072/items/ZU9F93C9"],"uri":["http://zotero.org/users/3033072/items/ZU9F93C9"],"itemData":{"id":9934,"type":"article-journal","container-title":"Molecular Ecology","DOI":"10.1111/mec.13428","ISSN":"09621083","issue":"4","language":"en","page":"929-942","source":"CrossRef","title":"Next-generation monitoring of aquatic biodiversity using environmental DNA metabarcoding","volume":"25","author":[{"family":"Valentini","given":"Alice"},{"family":"Taberlet","given":"Pierre"},{"family":"Miaud","given":"Claude"},{"family":"Civade","given":"Raphaël"},{"family":"Herder","given":"Jelger"},{"family":"Thomsen","given":"Philip Francis"},{"family":"Bellemain","given":"Eva"},{"family":"Besnard","given":"Aurélien"},{"family":"Coissac","given":"Eric"},{"family":"Boyer","given":"Frédéric"},{"family":"Gaboriaud","given":"Coline"},{"family":"Jean","given":"Pauline"},{"family":"Poulet","given":"Nicolas"},{"family":"Roset","given":"Nicolas"},{"family":"Copp","given":"Gordon H."},{"family":"Geniez","given":"Philippe"},{"family":"Pont","given":"Didier"},{"family":"Argillier","given":"Christine"},{"family":"Baudoin","given":"Jean-Marc"},{"family":"Peroux","given":"Tiphaine"},{"family":"Crivelli","given":"Alain J."},{"family":"Olivier","given":"Anthony"},{"family":"Acqueberge","given":"Manon"},{"family":"Le Brun","given":"Matthieu"},{"family":"Møller","given":"Peter R."},{"family":"Willerslev","given":"Eske"},{"family":"Dejean","given":"Tony"}],"issued":{"date-parts":[["2016",2]]}}}],"schema":"https://github.com/citation-style-language/schema/raw/master/csl-citation.json"} </w:instrText>
      </w:r>
      <w:r w:rsidR="008C6415">
        <w:rPr>
          <w:rFonts w:ascii="Times New Roman" w:eastAsia="Times New Roman" w:hAnsi="Times New Roman" w:cs="Times New Roman"/>
          <w:sz w:val="24"/>
          <w:szCs w:val="24"/>
        </w:rPr>
        <w:fldChar w:fldCharType="separate"/>
      </w:r>
      <w:r w:rsidR="008C6415" w:rsidRPr="008C6415">
        <w:rPr>
          <w:rFonts w:ascii="Times New Roman" w:hAnsi="Times New Roman" w:cs="Times New Roman"/>
          <w:sz w:val="24"/>
        </w:rPr>
        <w:t>(Valentini et al., 2016)</w:t>
      </w:r>
      <w:r w:rsidR="008C6415">
        <w:rPr>
          <w:rFonts w:ascii="Times New Roman" w:eastAsia="Times New Roman" w:hAnsi="Times New Roman" w:cs="Times New Roman"/>
          <w:sz w:val="24"/>
          <w:szCs w:val="24"/>
        </w:rPr>
        <w:fldChar w:fldCharType="end"/>
      </w:r>
      <w:r w:rsidRPr="006E4769">
        <w:rPr>
          <w:rFonts w:ascii="Times New Roman" w:eastAsia="Times New Roman" w:hAnsi="Times New Roman" w:cs="Times New Roman"/>
          <w:sz w:val="24"/>
          <w:szCs w:val="24"/>
        </w:rPr>
        <w:t xml:space="preserve"> have been shown to recover higher species richness compared to MiFish primers, despite the higher power of the latter to discriminate among taxa at species, genus and family levels </w:t>
      </w:r>
      <w:r w:rsidR="008C6415">
        <w:rPr>
          <w:rFonts w:ascii="Times New Roman" w:eastAsia="Times New Roman" w:hAnsi="Times New Roman" w:cs="Times New Roman"/>
          <w:sz w:val="24"/>
          <w:szCs w:val="24"/>
        </w:rPr>
        <w:fldChar w:fldCharType="begin"/>
      </w:r>
      <w:r w:rsidR="008C6415">
        <w:rPr>
          <w:rFonts w:ascii="Times New Roman" w:eastAsia="Times New Roman" w:hAnsi="Times New Roman" w:cs="Times New Roman"/>
          <w:sz w:val="24"/>
          <w:szCs w:val="24"/>
        </w:rPr>
        <w:instrText xml:space="preserve"> ADDIN ZOTERO_ITEM CSL_CITATION {"citationID":"AjyIvl46","properties":{"formattedCitation":"(Polanco et al., 2021)","plainCitation":"(Polanco et al., 2021)","noteIndex":0},"citationItems":[{"id":11383,"uris":["http://zotero.org/users/3033072/items/CDPM3DK7"],"uri":["http://zotero.org/users/3033072/items/CDPM3DK7"],"itemData":{"id":11383,"type":"article-journal","container-title":"Environmental DNA","DOI":"10.1002/edn3.232","ISSN":"2637-4943, 2637-4943","journalAbbreviation":"Environmental DNA","language":"en","page":"edn3.232","source":"DOI.org (Crossref)","title":"Comparing the performance of 12S mitochondrial primers for fish environmental DNA across ecosystems","author":[{"family":"Polanco","given":"Andrea"},{"family":"Richards","given":"Eilísh"},{"family":"Flück","given":"Benjamin"},{"family":"Valentini","given":"Alice"},{"family":"Altermatt","given":"Florian"},{"family":"Brosse","given":"Sébastien"},{"family":"Walser","given":"Jean‐Claude"},{"family":"Eme","given":"David"},{"family":"Marques","given":"Virginie"},{"family":"Manel","given":"Stéphanie"},{"family":"Albouy","given":"Camille"},{"family":"Dejean","given":"Tony"},{"family":"Pellissier","given":"Loïc"}],"issued":{"date-parts":[["2021",7,6]]}}}],"schema":"https://github.com/citation-style-language/schema/raw/master/csl-citation.json"} </w:instrText>
      </w:r>
      <w:r w:rsidR="008C6415">
        <w:rPr>
          <w:rFonts w:ascii="Times New Roman" w:eastAsia="Times New Roman" w:hAnsi="Times New Roman" w:cs="Times New Roman"/>
          <w:sz w:val="24"/>
          <w:szCs w:val="24"/>
        </w:rPr>
        <w:fldChar w:fldCharType="separate"/>
      </w:r>
      <w:r w:rsidR="008C6415" w:rsidRPr="008C6415">
        <w:rPr>
          <w:rFonts w:ascii="Times New Roman" w:hAnsi="Times New Roman" w:cs="Times New Roman"/>
          <w:sz w:val="24"/>
        </w:rPr>
        <w:t>(Polanco et al., 2021)</w:t>
      </w:r>
      <w:r w:rsidR="008C6415">
        <w:rPr>
          <w:rFonts w:ascii="Times New Roman" w:eastAsia="Times New Roman" w:hAnsi="Times New Roman" w:cs="Times New Roman"/>
          <w:sz w:val="24"/>
          <w:szCs w:val="24"/>
        </w:rPr>
        <w:fldChar w:fldCharType="end"/>
      </w:r>
      <w:r w:rsidRPr="006E4769">
        <w:rPr>
          <w:rFonts w:ascii="Times New Roman" w:eastAsia="Times New Roman" w:hAnsi="Times New Roman" w:cs="Times New Roman"/>
          <w:sz w:val="24"/>
          <w:szCs w:val="24"/>
        </w:rPr>
        <w:t xml:space="preserve">. In our </w:t>
      </w:r>
      <w:r w:rsidR="00994538">
        <w:rPr>
          <w:rFonts w:ascii="Times New Roman" w:eastAsia="Times New Roman" w:hAnsi="Times New Roman" w:cs="Times New Roman"/>
          <w:sz w:val="24"/>
          <w:szCs w:val="24"/>
        </w:rPr>
        <w:t>application in</w:t>
      </w:r>
      <w:r w:rsidR="00C76094">
        <w:rPr>
          <w:rFonts w:ascii="Times New Roman" w:eastAsia="Times New Roman" w:hAnsi="Times New Roman" w:cs="Times New Roman"/>
          <w:sz w:val="24"/>
          <w:szCs w:val="24"/>
        </w:rPr>
        <w:t xml:space="preserve"> Mozambique, </w:t>
      </w:r>
      <w:r w:rsidRPr="006E4769">
        <w:rPr>
          <w:rFonts w:ascii="Times New Roman" w:eastAsia="Times New Roman" w:hAnsi="Times New Roman" w:cs="Times New Roman"/>
          <w:sz w:val="24"/>
          <w:szCs w:val="24"/>
        </w:rPr>
        <w:t xml:space="preserve">MiFish primers detected a substantially higher number of fish OTUs across all samples, whilst </w:t>
      </w:r>
      <w:r w:rsidR="002E3461">
        <w:rPr>
          <w:rFonts w:ascii="Times New Roman" w:eastAsia="Times New Roman" w:hAnsi="Times New Roman" w:cs="Times New Roman"/>
          <w:sz w:val="24"/>
          <w:szCs w:val="24"/>
        </w:rPr>
        <w:t>Riaz</w:t>
      </w:r>
      <w:r w:rsidRPr="006E4769">
        <w:rPr>
          <w:rFonts w:ascii="Times New Roman" w:eastAsia="Times New Roman" w:hAnsi="Times New Roman" w:cs="Times New Roman"/>
          <w:sz w:val="24"/>
          <w:szCs w:val="24"/>
        </w:rPr>
        <w:t xml:space="preserve"> primers facilitated the detection of </w:t>
      </w:r>
      <w:sdt>
        <w:sdtPr>
          <w:rPr>
            <w:rFonts w:ascii="Times New Roman" w:hAnsi="Times New Roman" w:cs="Times New Roman"/>
            <w:sz w:val="24"/>
            <w:szCs w:val="24"/>
          </w:rPr>
          <w:tag w:val="goog_rdk_194"/>
          <w:id w:val="-201016775"/>
        </w:sdtPr>
        <w:sdtEndPr/>
        <w:sdtContent>
          <w:r w:rsidRPr="006E4769">
            <w:rPr>
              <w:rFonts w:ascii="Times New Roman" w:eastAsia="Times New Roman" w:hAnsi="Times New Roman" w:cs="Times New Roman"/>
              <w:sz w:val="24"/>
              <w:szCs w:val="24"/>
            </w:rPr>
            <w:t>a</w:t>
          </w:r>
        </w:sdtContent>
      </w:sdt>
      <w:r w:rsidRPr="006E4769">
        <w:rPr>
          <w:rFonts w:ascii="Times New Roman" w:eastAsia="Times New Roman" w:hAnsi="Times New Roman" w:cs="Times New Roman"/>
          <w:sz w:val="24"/>
          <w:szCs w:val="24"/>
        </w:rPr>
        <w:t xml:space="preserve"> 50% </w:t>
      </w:r>
      <w:sdt>
        <w:sdtPr>
          <w:rPr>
            <w:rFonts w:ascii="Times New Roman" w:hAnsi="Times New Roman" w:cs="Times New Roman"/>
            <w:sz w:val="24"/>
            <w:szCs w:val="24"/>
          </w:rPr>
          <w:tag w:val="goog_rdk_196"/>
          <w:id w:val="831637968"/>
        </w:sdtPr>
        <w:sdtEndPr/>
        <w:sdtContent>
          <w:r w:rsidRPr="006E4769">
            <w:rPr>
              <w:rFonts w:ascii="Times New Roman" w:eastAsia="Times New Roman" w:hAnsi="Times New Roman" w:cs="Times New Roman"/>
              <w:sz w:val="24"/>
              <w:szCs w:val="24"/>
            </w:rPr>
            <w:t>higher number</w:t>
          </w:r>
        </w:sdtContent>
      </w:sdt>
      <w:r w:rsidRPr="006E4769">
        <w:rPr>
          <w:rFonts w:ascii="Times New Roman" w:eastAsia="Times New Roman" w:hAnsi="Times New Roman" w:cs="Times New Roman"/>
          <w:sz w:val="24"/>
          <w:szCs w:val="24"/>
        </w:rPr>
        <w:t xml:space="preserve"> </w:t>
      </w:r>
      <w:sdt>
        <w:sdtPr>
          <w:rPr>
            <w:rFonts w:ascii="Times New Roman" w:hAnsi="Times New Roman" w:cs="Times New Roman"/>
            <w:sz w:val="24"/>
            <w:szCs w:val="24"/>
          </w:rPr>
          <w:tag w:val="goog_rdk_197"/>
          <w:id w:val="-1774311769"/>
        </w:sdtPr>
        <w:sdtEndPr/>
        <w:sdtContent>
          <w:r w:rsidRPr="006E4769">
            <w:rPr>
              <w:rFonts w:ascii="Times New Roman" w:eastAsia="Times New Roman" w:hAnsi="Times New Roman" w:cs="Times New Roman"/>
              <w:sz w:val="24"/>
              <w:szCs w:val="24"/>
            </w:rPr>
            <w:t xml:space="preserve">of </w:t>
          </w:r>
        </w:sdtContent>
      </w:sdt>
      <w:r w:rsidRPr="006E4769">
        <w:rPr>
          <w:rFonts w:ascii="Times New Roman" w:eastAsia="Times New Roman" w:hAnsi="Times New Roman" w:cs="Times New Roman"/>
          <w:sz w:val="24"/>
          <w:szCs w:val="24"/>
        </w:rPr>
        <w:t xml:space="preserve">threatened fish species. Further, </w:t>
      </w:r>
      <w:r w:rsidR="002E3461">
        <w:rPr>
          <w:rFonts w:ascii="Times New Roman" w:eastAsia="Times New Roman" w:hAnsi="Times New Roman" w:cs="Times New Roman"/>
          <w:sz w:val="24"/>
          <w:szCs w:val="24"/>
        </w:rPr>
        <w:t>Riaz</w:t>
      </w:r>
      <w:r w:rsidRPr="006E4769">
        <w:rPr>
          <w:rFonts w:ascii="Times New Roman" w:eastAsia="Times New Roman" w:hAnsi="Times New Roman" w:cs="Times New Roman"/>
          <w:sz w:val="24"/>
          <w:szCs w:val="24"/>
        </w:rPr>
        <w:t xml:space="preserve"> primers </w:t>
      </w:r>
      <w:sdt>
        <w:sdtPr>
          <w:rPr>
            <w:rFonts w:ascii="Times New Roman" w:hAnsi="Times New Roman" w:cs="Times New Roman"/>
            <w:sz w:val="24"/>
            <w:szCs w:val="24"/>
          </w:rPr>
          <w:tag w:val="goog_rdk_198"/>
          <w:id w:val="696743300"/>
        </w:sdtPr>
        <w:sdtEndPr/>
        <w:sdtContent>
          <w:r w:rsidRPr="006E4769">
            <w:rPr>
              <w:rFonts w:ascii="Times New Roman" w:eastAsia="Times New Roman" w:hAnsi="Times New Roman" w:cs="Times New Roman"/>
              <w:sz w:val="24"/>
              <w:szCs w:val="24"/>
            </w:rPr>
            <w:t xml:space="preserve">are designed </w:t>
          </w:r>
        </w:sdtContent>
      </w:sdt>
      <w:r w:rsidRPr="006E4769">
        <w:rPr>
          <w:rFonts w:ascii="Times New Roman" w:eastAsia="Times New Roman" w:hAnsi="Times New Roman" w:cs="Times New Roman"/>
          <w:sz w:val="24"/>
          <w:szCs w:val="24"/>
        </w:rPr>
        <w:t>more general</w:t>
      </w:r>
      <w:sdt>
        <w:sdtPr>
          <w:rPr>
            <w:rFonts w:ascii="Times New Roman" w:hAnsi="Times New Roman" w:cs="Times New Roman"/>
            <w:sz w:val="24"/>
            <w:szCs w:val="24"/>
          </w:rPr>
          <w:tag w:val="goog_rdk_199"/>
          <w:id w:val="-1631011282"/>
        </w:sdtPr>
        <w:sdtEndPr/>
        <w:sdtContent>
          <w:r w:rsidRPr="006E4769">
            <w:rPr>
              <w:rFonts w:ascii="Times New Roman" w:eastAsia="Times New Roman" w:hAnsi="Times New Roman" w:cs="Times New Roman"/>
              <w:sz w:val="24"/>
              <w:szCs w:val="24"/>
            </w:rPr>
            <w:t>ly to target vertebrate taxa,</w:t>
          </w:r>
        </w:sdtContent>
      </w:sdt>
      <w:r w:rsidRPr="006E4769">
        <w:rPr>
          <w:rFonts w:ascii="Times New Roman" w:eastAsia="Times New Roman" w:hAnsi="Times New Roman" w:cs="Times New Roman"/>
          <w:sz w:val="24"/>
          <w:szCs w:val="24"/>
        </w:rPr>
        <w:t xml:space="preserve"> and have the advantage of providing data on water birds and other taxa of </w:t>
      </w:r>
      <w:r w:rsidR="00F210D7">
        <w:rPr>
          <w:rFonts w:ascii="Times New Roman" w:eastAsia="Times New Roman" w:hAnsi="Times New Roman" w:cs="Times New Roman"/>
          <w:sz w:val="24"/>
          <w:szCs w:val="24"/>
        </w:rPr>
        <w:t xml:space="preserve">potential </w:t>
      </w:r>
      <w:r w:rsidRPr="006E4769">
        <w:rPr>
          <w:rFonts w:ascii="Times New Roman" w:eastAsia="Times New Roman" w:hAnsi="Times New Roman" w:cs="Times New Roman"/>
          <w:sz w:val="24"/>
          <w:szCs w:val="24"/>
        </w:rPr>
        <w:t xml:space="preserve">interest </w:t>
      </w:r>
      <w:r w:rsidRPr="006E4769">
        <w:rPr>
          <w:rFonts w:ascii="Times New Roman" w:eastAsia="Times New Roman" w:hAnsi="Times New Roman" w:cs="Times New Roman"/>
          <w:sz w:val="24"/>
          <w:szCs w:val="24"/>
        </w:rPr>
        <w:lastRenderedPageBreak/>
        <w:t xml:space="preserve">(in Mozambique, </w:t>
      </w:r>
      <w:r>
        <w:rPr>
          <w:rFonts w:ascii="Times New Roman" w:eastAsia="Times New Roman" w:hAnsi="Times New Roman" w:cs="Times New Roman"/>
          <w:sz w:val="24"/>
          <w:szCs w:val="24"/>
        </w:rPr>
        <w:t xml:space="preserve">this may help to detect </w:t>
      </w:r>
      <w:r w:rsidR="00277A30">
        <w:rPr>
          <w:rFonts w:ascii="Times New Roman" w:eastAsia="Times New Roman" w:hAnsi="Times New Roman" w:cs="Times New Roman"/>
          <w:sz w:val="24"/>
          <w:szCs w:val="24"/>
        </w:rPr>
        <w:t>e.g.,</w:t>
      </w:r>
      <w:r>
        <w:rPr>
          <w:rFonts w:ascii="Times New Roman" w:eastAsia="Times New Roman" w:hAnsi="Times New Roman" w:cs="Times New Roman"/>
          <w:sz w:val="24"/>
          <w:szCs w:val="24"/>
        </w:rPr>
        <w:t xml:space="preserve"> Dugongs and other </w:t>
      </w:r>
      <w:r w:rsidRPr="006E4769">
        <w:rPr>
          <w:rFonts w:ascii="Times New Roman" w:eastAsia="Times New Roman" w:hAnsi="Times New Roman" w:cs="Times New Roman"/>
          <w:sz w:val="24"/>
          <w:szCs w:val="24"/>
        </w:rPr>
        <w:t xml:space="preserve">critically endangered </w:t>
      </w:r>
      <w:r>
        <w:rPr>
          <w:rFonts w:ascii="Times New Roman" w:eastAsia="Times New Roman" w:hAnsi="Times New Roman" w:cs="Times New Roman"/>
          <w:sz w:val="24"/>
          <w:szCs w:val="24"/>
        </w:rPr>
        <w:t>marine vertebrates</w:t>
      </w:r>
      <w:r w:rsidRPr="006E4769">
        <w:rPr>
          <w:rFonts w:ascii="Times New Roman" w:eastAsia="Times New Roman" w:hAnsi="Times New Roman" w:cs="Times New Roman"/>
          <w:sz w:val="24"/>
          <w:szCs w:val="24"/>
        </w:rPr>
        <w:t xml:space="preserve">). However, this lower specificity </w:t>
      </w:r>
      <w:r w:rsidR="00C76094">
        <w:rPr>
          <w:rFonts w:ascii="Times New Roman" w:eastAsia="Times New Roman" w:hAnsi="Times New Roman" w:cs="Times New Roman"/>
          <w:sz w:val="24"/>
          <w:szCs w:val="24"/>
        </w:rPr>
        <w:t>means</w:t>
      </w:r>
      <w:r w:rsidRPr="006E4769">
        <w:rPr>
          <w:rFonts w:ascii="Times New Roman" w:eastAsia="Times New Roman" w:hAnsi="Times New Roman" w:cs="Times New Roman"/>
          <w:sz w:val="24"/>
          <w:szCs w:val="24"/>
        </w:rPr>
        <w:t xml:space="preserve"> abundant non-fish eDNA may overlay the molecular signal of target fish species </w:t>
      </w:r>
      <w:r w:rsidR="00661272">
        <w:rPr>
          <w:rFonts w:ascii="Times New Roman" w:eastAsia="Times New Roman" w:hAnsi="Times New Roman" w:cs="Times New Roman"/>
          <w:sz w:val="24"/>
          <w:szCs w:val="24"/>
        </w:rPr>
        <w:fldChar w:fldCharType="begin"/>
      </w:r>
      <w:r w:rsidR="00661272">
        <w:rPr>
          <w:rFonts w:ascii="Times New Roman" w:eastAsia="Times New Roman" w:hAnsi="Times New Roman" w:cs="Times New Roman"/>
          <w:sz w:val="24"/>
          <w:szCs w:val="24"/>
        </w:rPr>
        <w:instrText xml:space="preserve"> ADDIN ZOTERO_ITEM CSL_CITATION {"citationID":"n1Y3dz1l","properties":{"formattedCitation":"(Zhang et al., 2020)","plainCitation":"(Zhang et al., 2020)","noteIndex":0},"citationItems":[{"id":10925,"uris":["http://zotero.org/users/3033072/items/3NRT9G2X"],"uri":["http://zotero.org/users/3033072/items/3NRT9G2X"],"itemData":{"id":10925,"type":"article-journal","container-title":"Methods in Ecology and Evolution","language":"en","page":"45","source":"Zotero","title":"A comprehensive and comparative evaluation of primers for metabarcoding eDNA from fish","author":[{"family":"Zhang","given":"Shan"},{"family":"Zhao","given":"Jindong"},{"family":"Yao","given":"Meng"}],"issued":{"date-parts":[["2020"]]}}}],"schema":"https://github.com/citation-style-language/schema/raw/master/csl-citation.json"} </w:instrText>
      </w:r>
      <w:r w:rsidR="00661272">
        <w:rPr>
          <w:rFonts w:ascii="Times New Roman" w:eastAsia="Times New Roman" w:hAnsi="Times New Roman" w:cs="Times New Roman"/>
          <w:sz w:val="24"/>
          <w:szCs w:val="24"/>
        </w:rPr>
        <w:fldChar w:fldCharType="separate"/>
      </w:r>
      <w:r w:rsidR="00661272" w:rsidRPr="00661272">
        <w:rPr>
          <w:rFonts w:ascii="Times New Roman" w:hAnsi="Times New Roman" w:cs="Times New Roman"/>
          <w:sz w:val="24"/>
        </w:rPr>
        <w:t>(Zhang et al., 2020)</w:t>
      </w:r>
      <w:r w:rsidR="00661272">
        <w:rPr>
          <w:rFonts w:ascii="Times New Roman" w:eastAsia="Times New Roman" w:hAnsi="Times New Roman" w:cs="Times New Roman"/>
          <w:sz w:val="24"/>
          <w:szCs w:val="24"/>
        </w:rPr>
        <w:fldChar w:fldCharType="end"/>
      </w:r>
      <w:r w:rsidRPr="006E4769">
        <w:rPr>
          <w:rFonts w:ascii="Times New Roman" w:eastAsia="Times New Roman" w:hAnsi="Times New Roman" w:cs="Times New Roman"/>
          <w:sz w:val="24"/>
          <w:szCs w:val="24"/>
        </w:rPr>
        <w:t xml:space="preserve">. In our study, this resulted in </w:t>
      </w:r>
      <w:r>
        <w:rPr>
          <w:rFonts w:ascii="Times New Roman" w:eastAsia="Times New Roman" w:hAnsi="Times New Roman" w:cs="Times New Roman"/>
          <w:sz w:val="24"/>
          <w:szCs w:val="24"/>
        </w:rPr>
        <w:t xml:space="preserve">seven samples </w:t>
      </w:r>
      <w:r w:rsidR="00637DF5">
        <w:rPr>
          <w:rFonts w:ascii="Times New Roman" w:eastAsia="Times New Roman" w:hAnsi="Times New Roman" w:cs="Times New Roman"/>
          <w:sz w:val="24"/>
          <w:szCs w:val="24"/>
        </w:rPr>
        <w:t>with</w:t>
      </w:r>
      <w:r>
        <w:rPr>
          <w:rFonts w:ascii="Times New Roman" w:eastAsia="Times New Roman" w:hAnsi="Times New Roman" w:cs="Times New Roman"/>
          <w:sz w:val="24"/>
          <w:szCs w:val="24"/>
        </w:rPr>
        <w:t xml:space="preserve"> substantially </w:t>
      </w:r>
      <w:r w:rsidR="00483BBB">
        <w:rPr>
          <w:rFonts w:ascii="Times New Roman" w:hAnsi="Times New Roman" w:cs="Times New Roman"/>
          <w:sz w:val="24"/>
          <w:szCs w:val="24"/>
        </w:rPr>
        <w:t>fish</w:t>
      </w:r>
      <w:r w:rsidR="00637DF5">
        <w:rPr>
          <w:rFonts w:ascii="Times New Roman" w:hAnsi="Times New Roman" w:cs="Times New Roman"/>
          <w:sz w:val="24"/>
          <w:szCs w:val="24"/>
        </w:rPr>
        <w:t xml:space="preserve"> sequence reads</w:t>
      </w:r>
      <w:r>
        <w:rPr>
          <w:rFonts w:ascii="Times New Roman" w:eastAsia="Times New Roman" w:hAnsi="Times New Roman" w:cs="Times New Roman"/>
          <w:sz w:val="24"/>
          <w:szCs w:val="24"/>
        </w:rPr>
        <w:t xml:space="preserve">, which </w:t>
      </w:r>
      <w:r w:rsidR="00483BBB">
        <w:rPr>
          <w:rFonts w:ascii="Times New Roman" w:eastAsia="Times New Roman" w:hAnsi="Times New Roman" w:cs="Times New Roman"/>
          <w:sz w:val="24"/>
          <w:szCs w:val="24"/>
        </w:rPr>
        <w:t>translates into a lower</w:t>
      </w:r>
      <w:r>
        <w:rPr>
          <w:rFonts w:ascii="Times New Roman" w:eastAsia="Times New Roman" w:hAnsi="Times New Roman" w:cs="Times New Roman"/>
          <w:sz w:val="24"/>
          <w:szCs w:val="24"/>
        </w:rPr>
        <w:t xml:space="preserve"> detection power and</w:t>
      </w:r>
      <w:r w:rsidR="00637DF5">
        <w:rPr>
          <w:rFonts w:ascii="Times New Roman" w:eastAsia="Times New Roman" w:hAnsi="Times New Roman" w:cs="Times New Roman"/>
          <w:sz w:val="24"/>
          <w:szCs w:val="24"/>
        </w:rPr>
        <w:t xml:space="preserve"> a</w:t>
      </w:r>
      <w:r>
        <w:rPr>
          <w:rFonts w:ascii="Times New Roman" w:eastAsia="Times New Roman" w:hAnsi="Times New Roman" w:cs="Times New Roman"/>
          <w:sz w:val="24"/>
          <w:szCs w:val="24"/>
        </w:rPr>
        <w:t xml:space="preserve"> higher risk of false </w:t>
      </w:r>
      <w:r w:rsidR="00483BBB">
        <w:rPr>
          <w:rFonts w:ascii="Times New Roman" w:eastAsia="Times New Roman" w:hAnsi="Times New Roman" w:cs="Times New Roman"/>
          <w:sz w:val="24"/>
          <w:szCs w:val="24"/>
        </w:rPr>
        <w:t>negative</w:t>
      </w:r>
      <w:r>
        <w:rPr>
          <w:rFonts w:ascii="Times New Roman" w:eastAsia="Times New Roman" w:hAnsi="Times New Roman" w:cs="Times New Roman"/>
          <w:sz w:val="24"/>
          <w:szCs w:val="24"/>
        </w:rPr>
        <w:t xml:space="preserve"> results for our primary target group. </w:t>
      </w:r>
      <w:r w:rsidRPr="006E4769">
        <w:rPr>
          <w:rFonts w:ascii="Times New Roman" w:eastAsia="Times New Roman" w:hAnsi="Times New Roman" w:cs="Times New Roman"/>
          <w:sz w:val="24"/>
          <w:szCs w:val="24"/>
        </w:rPr>
        <w:t>Hence, the optimal choice of</w:t>
      </w:r>
      <w:r w:rsidR="00483BBB">
        <w:rPr>
          <w:rFonts w:ascii="Times New Roman" w:eastAsia="Times New Roman" w:hAnsi="Times New Roman" w:cs="Times New Roman"/>
          <w:sz w:val="24"/>
          <w:szCs w:val="24"/>
        </w:rPr>
        <w:t xml:space="preserve"> the</w:t>
      </w:r>
      <w:r w:rsidRPr="006E4769">
        <w:rPr>
          <w:rFonts w:ascii="Times New Roman" w:eastAsia="Times New Roman" w:hAnsi="Times New Roman" w:cs="Times New Roman"/>
          <w:sz w:val="24"/>
          <w:szCs w:val="24"/>
        </w:rPr>
        <w:t xml:space="preserve"> primer</w:t>
      </w:r>
      <w:r w:rsidR="00483BBB">
        <w:rPr>
          <w:rFonts w:ascii="Times New Roman" w:eastAsia="Times New Roman" w:hAnsi="Times New Roman" w:cs="Times New Roman"/>
          <w:sz w:val="24"/>
          <w:szCs w:val="24"/>
        </w:rPr>
        <w:t>s</w:t>
      </w:r>
      <w:r w:rsidRPr="006E4769">
        <w:rPr>
          <w:rFonts w:ascii="Times New Roman" w:eastAsia="Times New Roman" w:hAnsi="Times New Roman" w:cs="Times New Roman"/>
          <w:sz w:val="24"/>
          <w:szCs w:val="24"/>
        </w:rPr>
        <w:t xml:space="preserve"> </w:t>
      </w:r>
      <w:r w:rsidR="00483BBB">
        <w:rPr>
          <w:rFonts w:ascii="Times New Roman" w:eastAsia="Times New Roman" w:hAnsi="Times New Roman" w:cs="Times New Roman"/>
          <w:sz w:val="24"/>
          <w:szCs w:val="24"/>
        </w:rPr>
        <w:t>for fish community characterisation</w:t>
      </w:r>
      <w:r w:rsidRPr="006E4769">
        <w:rPr>
          <w:rFonts w:ascii="Times New Roman" w:eastAsia="Times New Roman" w:hAnsi="Times New Roman" w:cs="Times New Roman"/>
          <w:sz w:val="24"/>
          <w:szCs w:val="24"/>
        </w:rPr>
        <w:t xml:space="preserve"> will depend on specific conservation and research targets and will need to be </w:t>
      </w:r>
      <w:r>
        <w:rPr>
          <w:rFonts w:ascii="Times New Roman" w:hAnsi="Times New Roman" w:cs="Times New Roman"/>
          <w:sz w:val="24"/>
          <w:szCs w:val="24"/>
        </w:rPr>
        <w:t>determined</w:t>
      </w:r>
      <w:r w:rsidRPr="006E4769">
        <w:rPr>
          <w:rFonts w:ascii="Times New Roman" w:eastAsia="Times New Roman" w:hAnsi="Times New Roman" w:cs="Times New Roman"/>
          <w:sz w:val="24"/>
          <w:szCs w:val="24"/>
        </w:rPr>
        <w:t xml:space="preserve"> on a case-by-case basis. </w:t>
      </w:r>
    </w:p>
    <w:p w14:paraId="48A6AADB" w14:textId="1B26224B" w:rsidR="00CB1EFC" w:rsidRDefault="00CB1EFC" w:rsidP="00CB1EFC">
      <w:pPr>
        <w:spacing w:after="0" w:line="480" w:lineRule="auto"/>
        <w:ind w:firstLine="22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A possibility to </w:t>
      </w:r>
      <w:sdt>
        <w:sdtPr>
          <w:tag w:val="goog_rdk_205"/>
          <w:id w:val="-1321191811"/>
        </w:sdtPr>
        <w:sdtEndPr/>
        <w:sdtContent>
          <w:r>
            <w:rPr>
              <w:rFonts w:ascii="Times New Roman" w:eastAsia="Times New Roman" w:hAnsi="Times New Roman" w:cs="Times New Roman"/>
              <w:sz w:val="24"/>
              <w:szCs w:val="24"/>
            </w:rPr>
            <w:t>capitalise on the strengths</w:t>
          </w:r>
        </w:sdtContent>
      </w:sdt>
      <w:sdt>
        <w:sdtPr>
          <w:tag w:val="goog_rdk_206"/>
          <w:id w:val="-1444379753"/>
        </w:sdtPr>
        <w:sdtEndPr/>
        <w:sdtContent>
          <w:r>
            <w:t xml:space="preserve"> </w:t>
          </w:r>
        </w:sdtContent>
      </w:sdt>
      <w:r>
        <w:rPr>
          <w:rFonts w:ascii="Times New Roman" w:eastAsia="Times New Roman" w:hAnsi="Times New Roman" w:cs="Times New Roman"/>
          <w:sz w:val="24"/>
          <w:szCs w:val="24"/>
        </w:rPr>
        <w:t xml:space="preserve">of individual primer sets is to apply multiple primer sets and merge the resulting datasets following, e.g., the procedure developed in our study (Box 1). However, the procedure is not trivial, </w:t>
      </w:r>
      <w:r w:rsidR="000E6126">
        <w:rPr>
          <w:rFonts w:ascii="Times New Roman" w:eastAsia="Times New Roman" w:hAnsi="Times New Roman" w:cs="Times New Roman"/>
          <w:sz w:val="24"/>
          <w:szCs w:val="24"/>
        </w:rPr>
        <w:t>as</w:t>
      </w:r>
      <w:r w:rsidR="00FC452F">
        <w:rPr>
          <w:rFonts w:ascii="Times New Roman" w:eastAsia="Times New Roman" w:hAnsi="Times New Roman" w:cs="Times New Roman"/>
          <w:sz w:val="24"/>
          <w:szCs w:val="24"/>
        </w:rPr>
        <w:t xml:space="preserve"> uncertainties and</w:t>
      </w:r>
      <w:r w:rsidR="000E6126">
        <w:rPr>
          <w:rFonts w:ascii="Times New Roman" w:eastAsia="Times New Roman" w:hAnsi="Times New Roman" w:cs="Times New Roman"/>
          <w:sz w:val="24"/>
          <w:szCs w:val="24"/>
        </w:rPr>
        <w:t xml:space="preserve"> errors during taxonomic </w:t>
      </w:r>
      <w:sdt>
        <w:sdtPr>
          <w:tag w:val="goog_rdk_209"/>
          <w:id w:val="-484246549"/>
        </w:sdtPr>
        <w:sdtEndPr/>
        <w:sdtContent>
          <w:r w:rsidR="000E6126">
            <w:rPr>
              <w:rFonts w:ascii="Times New Roman" w:eastAsia="Times New Roman" w:hAnsi="Times New Roman" w:cs="Times New Roman"/>
              <w:sz w:val="24"/>
              <w:szCs w:val="24"/>
            </w:rPr>
            <w:t>assignment</w:t>
          </w:r>
        </w:sdtContent>
      </w:sdt>
      <w:r w:rsidR="000E6126">
        <w:rPr>
          <w:rFonts w:ascii="Times New Roman" w:eastAsia="Times New Roman" w:hAnsi="Times New Roman" w:cs="Times New Roman"/>
          <w:sz w:val="24"/>
          <w:szCs w:val="24"/>
        </w:rPr>
        <w:t xml:space="preserve"> can potentially result </w:t>
      </w:r>
      <w:r w:rsidR="009F3AB1">
        <w:rPr>
          <w:rFonts w:ascii="Times New Roman" w:eastAsia="Times New Roman" w:hAnsi="Times New Roman" w:cs="Times New Roman"/>
          <w:sz w:val="24"/>
          <w:szCs w:val="24"/>
        </w:rPr>
        <w:t xml:space="preserve">in </w:t>
      </w:r>
      <w:r w:rsidR="000E6126">
        <w:rPr>
          <w:rFonts w:ascii="Times New Roman" w:eastAsia="Times New Roman" w:hAnsi="Times New Roman" w:cs="Times New Roman"/>
          <w:sz w:val="24"/>
          <w:szCs w:val="24"/>
        </w:rPr>
        <w:t>both under and overestimation of species richness</w:t>
      </w:r>
      <w:r w:rsidR="009F3AB1">
        <w:rPr>
          <w:rFonts w:ascii="Times New Roman" w:eastAsia="Times New Roman" w:hAnsi="Times New Roman" w:cs="Times New Roman"/>
          <w:sz w:val="24"/>
          <w:szCs w:val="24"/>
        </w:rPr>
        <w:t xml:space="preserve"> during the data-merging process. </w:t>
      </w:r>
      <w:r>
        <w:rPr>
          <w:rFonts w:ascii="Times New Roman" w:eastAsia="Times New Roman" w:hAnsi="Times New Roman" w:cs="Times New Roman"/>
          <w:sz w:val="24"/>
          <w:szCs w:val="24"/>
        </w:rPr>
        <w:t xml:space="preserve">One potential challenge is that </w:t>
      </w:r>
      <w:sdt>
        <w:sdtPr>
          <w:tag w:val="goog_rdk_214"/>
          <w:id w:val="1650022378"/>
        </w:sdtPr>
        <w:sdtEndPr/>
        <w:sdtContent/>
      </w:sdt>
      <w:r>
        <w:rPr>
          <w:rFonts w:ascii="Times New Roman" w:eastAsia="Times New Roman" w:hAnsi="Times New Roman" w:cs="Times New Roman"/>
          <w:sz w:val="24"/>
          <w:szCs w:val="24"/>
        </w:rPr>
        <w:t xml:space="preserve">cross-contamination </w:t>
      </w:r>
      <w:r w:rsidR="00966E90">
        <w:rPr>
          <w:rFonts w:ascii="Times New Roman" w:eastAsia="Times New Roman" w:hAnsi="Times New Roman" w:cs="Times New Roman"/>
          <w:sz w:val="24"/>
          <w:szCs w:val="24"/>
        </w:rPr>
        <w:t xml:space="preserve">or tag jumps </w:t>
      </w:r>
      <w:r>
        <w:rPr>
          <w:rFonts w:ascii="Times New Roman" w:eastAsia="Times New Roman" w:hAnsi="Times New Roman" w:cs="Times New Roman"/>
          <w:sz w:val="24"/>
          <w:szCs w:val="24"/>
        </w:rPr>
        <w:t>during MiSeq sequencing runs (Schnell, Bohmann, &amp; Gilbert, 2015; Bohmann et al., 2021) can potentially be amplified</w:t>
      </w:r>
      <w:sdt>
        <w:sdtPr>
          <w:tag w:val="goog_rdk_215"/>
          <w:id w:val="-596410330"/>
        </w:sdtPr>
        <w:sdtEndPr/>
        <w:sdtContent/>
      </w:sdt>
      <w:r>
        <w:rPr>
          <w:rFonts w:ascii="Times New Roman" w:eastAsia="Times New Roman" w:hAnsi="Times New Roman" w:cs="Times New Roman"/>
          <w:sz w:val="24"/>
          <w:szCs w:val="24"/>
        </w:rPr>
        <w:t xml:space="preserve"> by data merging and lead to an inflation of </w:t>
      </w:r>
      <w:r w:rsidR="00483BBB">
        <w:rPr>
          <w:rFonts w:ascii="Times New Roman" w:eastAsia="Times New Roman" w:hAnsi="Times New Roman" w:cs="Times New Roman"/>
          <w:sz w:val="24"/>
          <w:szCs w:val="24"/>
        </w:rPr>
        <w:t xml:space="preserve">the </w:t>
      </w:r>
      <w:r>
        <w:rPr>
          <w:rFonts w:ascii="Times New Roman" w:eastAsia="Times New Roman" w:hAnsi="Times New Roman" w:cs="Times New Roman"/>
          <w:sz w:val="24"/>
          <w:szCs w:val="24"/>
        </w:rPr>
        <w:t>species richness</w:t>
      </w:r>
      <w:r w:rsidR="00483BBB">
        <w:rPr>
          <w:rFonts w:ascii="Times New Roman" w:eastAsia="Times New Roman" w:hAnsi="Times New Roman" w:cs="Times New Roman"/>
          <w:sz w:val="24"/>
          <w:szCs w:val="24"/>
        </w:rPr>
        <w:t xml:space="preserve"> per sample</w:t>
      </w:r>
      <w:r>
        <w:rPr>
          <w:rFonts w:ascii="Times New Roman" w:eastAsia="Times New Roman" w:hAnsi="Times New Roman" w:cs="Times New Roman"/>
          <w:sz w:val="24"/>
          <w:szCs w:val="24"/>
        </w:rPr>
        <w:t>. On the other hand, the power of combining datasets to detect false negative results</w:t>
      </w:r>
      <w:r w:rsidR="00635169">
        <w:rPr>
          <w:rFonts w:ascii="Times New Roman" w:eastAsia="Times New Roman" w:hAnsi="Times New Roman" w:cs="Times New Roman"/>
          <w:sz w:val="24"/>
          <w:szCs w:val="24"/>
        </w:rPr>
        <w:t xml:space="preserve"> in one assay, a major strength of the merging procedure,</w:t>
      </w:r>
      <w:r>
        <w:rPr>
          <w:rFonts w:ascii="Times New Roman" w:eastAsia="Times New Roman" w:hAnsi="Times New Roman" w:cs="Times New Roman"/>
          <w:sz w:val="24"/>
          <w:szCs w:val="24"/>
        </w:rPr>
        <w:t xml:space="preserve"> is </w:t>
      </w:r>
      <w:sdt>
        <w:sdtPr>
          <w:tag w:val="goog_rdk_213"/>
          <w:id w:val="-163548768"/>
        </w:sdtPr>
        <w:sdtEndPr/>
        <w:sdtContent/>
      </w:sdt>
      <w:r>
        <w:rPr>
          <w:rFonts w:ascii="Times New Roman" w:eastAsia="Times New Roman" w:hAnsi="Times New Roman" w:cs="Times New Roman"/>
          <w:sz w:val="24"/>
          <w:szCs w:val="24"/>
        </w:rPr>
        <w:t>lower when reference databases are incomplete. For example, merging data entries of the two assays that have both been assigned to the same species, is much more robust than merging entries that only were assigned to family-level. H</w:t>
      </w:r>
      <w:sdt>
        <w:sdtPr>
          <w:tag w:val="goog_rdk_216"/>
          <w:id w:val="-1225129609"/>
        </w:sdtPr>
        <w:sdtEndPr/>
        <w:sdtContent/>
      </w:sdt>
      <w:r>
        <w:rPr>
          <w:rFonts w:ascii="Times New Roman" w:eastAsia="Times New Roman" w:hAnsi="Times New Roman" w:cs="Times New Roman"/>
          <w:sz w:val="24"/>
          <w:szCs w:val="24"/>
        </w:rPr>
        <w:t>owever, in spite of these methodological challenges, data merging approaches have the power to resolve primer-related trade-offs</w:t>
      </w:r>
      <w:r w:rsidR="00635169">
        <w:rPr>
          <w:rFonts w:ascii="Times New Roman" w:eastAsia="Times New Roman" w:hAnsi="Times New Roman" w:cs="Times New Roman"/>
          <w:sz w:val="24"/>
          <w:szCs w:val="24"/>
        </w:rPr>
        <w:t>, provide more robust estimates of local biodiversity</w:t>
      </w:r>
      <w:r>
        <w:rPr>
          <w:rFonts w:ascii="Times New Roman" w:eastAsia="Times New Roman" w:hAnsi="Times New Roman" w:cs="Times New Roman"/>
          <w:sz w:val="24"/>
          <w:szCs w:val="24"/>
        </w:rPr>
        <w:t xml:space="preserve"> and enhance </w:t>
      </w:r>
      <w:r w:rsidR="00635169">
        <w:rPr>
          <w:rFonts w:ascii="Times New Roman" w:eastAsia="Times New Roman" w:hAnsi="Times New Roman" w:cs="Times New Roman"/>
          <w:sz w:val="24"/>
          <w:szCs w:val="24"/>
        </w:rPr>
        <w:t xml:space="preserve">community </w:t>
      </w:r>
      <w:r>
        <w:rPr>
          <w:rFonts w:ascii="Times New Roman" w:eastAsia="Times New Roman" w:hAnsi="Times New Roman" w:cs="Times New Roman"/>
          <w:sz w:val="24"/>
          <w:szCs w:val="24"/>
        </w:rPr>
        <w:t>data quality to support a more robust conservation planning.</w:t>
      </w:r>
    </w:p>
    <w:p w14:paraId="5C4CCF99" w14:textId="77777777" w:rsidR="00CB1EFC" w:rsidRDefault="00DB4C60" w:rsidP="00CB1EFC">
      <w:pPr>
        <w:spacing w:after="0" w:line="480" w:lineRule="auto"/>
        <w:ind w:firstLine="227"/>
        <w:jc w:val="both"/>
        <w:rPr>
          <w:rFonts w:ascii="Times New Roman" w:eastAsia="Times New Roman" w:hAnsi="Times New Roman" w:cs="Times New Roman"/>
          <w:sz w:val="24"/>
          <w:szCs w:val="24"/>
        </w:rPr>
      </w:pPr>
      <w:r>
        <w:rPr>
          <w:rFonts w:ascii="Times New Roman" w:eastAsia="Times New Roman" w:hAnsi="Times New Roman" w:cs="Times New Roman"/>
          <w:i/>
          <w:sz w:val="24"/>
          <w:szCs w:val="24"/>
        </w:rPr>
        <w:t>Ecological considerations and reference databases</w:t>
      </w:r>
      <w:bookmarkStart w:id="3" w:name="_Hlk101685863"/>
    </w:p>
    <w:p w14:paraId="7B1BD784" w14:textId="5BD6F6B6" w:rsidR="00AA054B" w:rsidRDefault="00DB263B" w:rsidP="00CB1EFC">
      <w:pPr>
        <w:spacing w:after="0" w:line="480" w:lineRule="auto"/>
        <w:ind w:firstLine="22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Costal habitats</w:t>
      </w:r>
      <w:r w:rsidR="00DB4C60">
        <w:rPr>
          <w:rFonts w:ascii="Times New Roman" w:eastAsia="Times New Roman" w:hAnsi="Times New Roman" w:cs="Times New Roman"/>
          <w:sz w:val="24"/>
          <w:szCs w:val="24"/>
        </w:rPr>
        <w:t xml:space="preserve"> contributing to the Mozambique’s exclusive economic zone sustain approximately half of the country’s population living in coastal areas </w:t>
      </w:r>
      <w:r w:rsidR="00966E90">
        <w:rPr>
          <w:rFonts w:ascii="Times New Roman" w:eastAsia="Times New Roman" w:hAnsi="Times New Roman" w:cs="Times New Roman"/>
          <w:sz w:val="24"/>
          <w:szCs w:val="24"/>
        </w:rPr>
        <w:fldChar w:fldCharType="begin"/>
      </w:r>
      <w:r w:rsidR="00966E90">
        <w:rPr>
          <w:rFonts w:ascii="Times New Roman" w:eastAsia="Times New Roman" w:hAnsi="Times New Roman" w:cs="Times New Roman"/>
          <w:sz w:val="24"/>
          <w:szCs w:val="24"/>
        </w:rPr>
        <w:instrText xml:space="preserve"> ADDIN ZOTERO_ITEM CSL_CITATION {"citationID":"VKppI89v","properties":{"formattedCitation":"(Hoguane, Jose, Francisco, &amp; Simbine, 2018)","plainCitation":"(Hoguane, Jose, Francisco, &amp; Simbine, 2018)","noteIndex":0},"citationItems":[{"id":11577,"uris":["http://zotero.org/users/3033072/items/2TVVFJ7I"],"uri":["http://zotero.org/users/3033072/items/2TVVFJ7I"],"itemData":{"id":11577,"type":"report","collection-title":"Fish and Fisheries Product Trade and Marketing","event-place":"Nairobi, Kenya","genre":"Fish Trade and Marketing for Food Security and Livelihoods in Africa","publisher":"African Union Inter-African Bureau for Animal Resources","publisher-place":"Nairobi, Kenya","title":"Informal fish trade in Mozambique - major fishing centres, trade routes and cross border trade","author":[{"family":"Hoguane","given":"Antonio Mubango"},{"family":"Jose","given":"Joana Alberto"},{"family":"Francisco","given":"Rodrigues"},{"family":"Simbine","given":"Rosa Lorenco"}],"issued":{"date-parts":[["2018"]]}}}],"schema":"https://github.com/citation-style-language/schema/raw/master/csl-citation.json"} </w:instrText>
      </w:r>
      <w:r w:rsidR="00966E90">
        <w:rPr>
          <w:rFonts w:ascii="Times New Roman" w:eastAsia="Times New Roman" w:hAnsi="Times New Roman" w:cs="Times New Roman"/>
          <w:sz w:val="24"/>
          <w:szCs w:val="24"/>
        </w:rPr>
        <w:fldChar w:fldCharType="separate"/>
      </w:r>
      <w:r w:rsidR="00966E90" w:rsidRPr="00966E90">
        <w:rPr>
          <w:rFonts w:ascii="Times New Roman" w:hAnsi="Times New Roman" w:cs="Times New Roman"/>
          <w:sz w:val="24"/>
        </w:rPr>
        <w:t>(Hoguane, Jose, Francisco, &amp; Simbine, 2018)</w:t>
      </w:r>
      <w:r w:rsidR="00966E90">
        <w:rPr>
          <w:rFonts w:ascii="Times New Roman" w:eastAsia="Times New Roman" w:hAnsi="Times New Roman" w:cs="Times New Roman"/>
          <w:sz w:val="24"/>
          <w:szCs w:val="24"/>
        </w:rPr>
        <w:fldChar w:fldCharType="end"/>
      </w:r>
      <w:r w:rsidR="00966E90">
        <w:rPr>
          <w:rFonts w:ascii="Times New Roman" w:eastAsia="Times New Roman" w:hAnsi="Times New Roman" w:cs="Times New Roman"/>
          <w:sz w:val="24"/>
          <w:szCs w:val="24"/>
        </w:rPr>
        <w:t>.</w:t>
      </w:r>
      <w:r w:rsidR="00DB4C60">
        <w:rPr>
          <w:rFonts w:ascii="Times New Roman" w:eastAsia="Times New Roman" w:hAnsi="Times New Roman" w:cs="Times New Roman"/>
          <w:sz w:val="24"/>
          <w:szCs w:val="24"/>
        </w:rPr>
        <w:t xml:space="preserve"> In our study, the application of eDNA-metabarcoding facilitated </w:t>
      </w:r>
      <w:r w:rsidR="00DB4C60">
        <w:rPr>
          <w:rFonts w:ascii="Times New Roman" w:eastAsia="Times New Roman" w:hAnsi="Times New Roman" w:cs="Times New Roman"/>
          <w:sz w:val="24"/>
          <w:szCs w:val="24"/>
        </w:rPr>
        <w:lastRenderedPageBreak/>
        <w:t xml:space="preserve">the detection of a large range of economically important as well as threatened fish taxa. However, there were also several gaps in our taxonomic assessment. A major </w:t>
      </w:r>
      <w:r w:rsidR="00683311">
        <w:rPr>
          <w:rFonts w:ascii="Times New Roman" w:eastAsia="Times New Roman" w:hAnsi="Times New Roman" w:cs="Times New Roman"/>
          <w:sz w:val="24"/>
          <w:szCs w:val="24"/>
        </w:rPr>
        <w:t>shortcoming</w:t>
      </w:r>
      <w:r w:rsidR="00DB4C60">
        <w:rPr>
          <w:rFonts w:ascii="Times New Roman" w:eastAsia="Times New Roman" w:hAnsi="Times New Roman" w:cs="Times New Roman"/>
          <w:sz w:val="24"/>
          <w:szCs w:val="24"/>
        </w:rPr>
        <w:t xml:space="preserve"> of currently available fish metabarcoding primers is their poor coverage of elasmobranch </w:t>
      </w:r>
      <w:r w:rsidR="00BF3F58">
        <w:rPr>
          <w:rFonts w:ascii="Times New Roman" w:eastAsia="Times New Roman" w:hAnsi="Times New Roman" w:cs="Times New Roman"/>
          <w:sz w:val="24"/>
          <w:szCs w:val="24"/>
        </w:rPr>
        <w:t xml:space="preserve">species </w:t>
      </w:r>
      <w:r w:rsidR="00966E90">
        <w:rPr>
          <w:rFonts w:ascii="Times New Roman" w:eastAsia="Times New Roman" w:hAnsi="Times New Roman" w:cs="Times New Roman"/>
          <w:sz w:val="24"/>
          <w:szCs w:val="24"/>
        </w:rPr>
        <w:fldChar w:fldCharType="begin"/>
      </w:r>
      <w:r w:rsidR="00966E90">
        <w:rPr>
          <w:rFonts w:ascii="Times New Roman" w:eastAsia="Times New Roman" w:hAnsi="Times New Roman" w:cs="Times New Roman"/>
          <w:sz w:val="24"/>
          <w:szCs w:val="24"/>
        </w:rPr>
        <w:instrText xml:space="preserve"> ADDIN ZOTERO_ITEM CSL_CITATION {"citationID":"0c7KMHUf","properties":{"formattedCitation":"(Asbury et al., 2021)","plainCitation":"(Asbury et al., 2021)","noteIndex":0},"citationItems":[{"id":11572,"uris":["http://zotero.org/users/3033072/items/3WVJ49T6"],"uri":["http://zotero.org/users/3033072/items/3WVJ49T6"],"itemData":{"id":11572,"type":"article-journal","abstract":"In recent decades, a combination of increasing demand and economic globalisation has created a global market for elasmobranch products, especially the highly prized shark fins for Asian markets. Morphological species identification, as well as traditional cytochrome c oxidase subunit I (COI) barcoding of shark fins and other products, become challenging when in a processed state (such as dried or bleached shark fins). Here a mini-barcoding multiplex assay was applied to determine the species of origin in case studies from southern Africa involving confiscated shark fins in different states of processing. This highlights that the illegal shark fin trade in southern Africa to a large extent comprises threatened species. Matching of sequences of the confiscated fins against public databases revealed several threatened species, including the CITES-listed species Carcharodon carcharias, Carcharhinus longimanus, Isurus oxyrinchus, Rhynchobatus djiddensis and Sphyrna lewini. The findings highlight the need for improved trade monitoring, such as to eliminate illegal trade in shark fins, which can in part be achieved through more widespread genetic sampling of internationally traded products. However, a major limitation to DNA barcoding in general lies in the lack of curated voucher specimens available on public databases. To facilitate the application of molecular methods in a more comprehensive evaluation of elasmobranch trade regionally, a concerted effort to create reliable curated sequence data is recommended.","container-title":"African Journal of Marine Science","DOI":"10.2989/1814232X.2021.1996459","ISSN":"1814-232X, 1814-2338","issue":"4","journalAbbreviation":"African Journal of Marine Science","language":"en","page":"511-520","source":"DOI.org (Crossref)","title":"Application of DNA mini-barcoding reveals illegal trade in endangered shark products in southern Africa","volume":"43","author":[{"family":"Asbury","given":"Ta"},{"family":"Bennett","given":"R"},{"family":"Price","given":"As"},{"family":"Silva","given":"C","non-dropping-particle":"da"},{"family":"Bürgener","given":"M"},{"family":"Klein","given":"Jd"},{"family":"Maduna","given":"Sn"},{"family":"Sidat","given":"N"},{"family":"Fernando","given":"S"},{"family":"Bester-van der Merwe","given":"Ae"}],"issued":{"date-parts":[["2021",10,2]]}}}],"schema":"https://github.com/citation-style-language/schema/raw/master/csl-citation.json"} </w:instrText>
      </w:r>
      <w:r w:rsidR="00966E90">
        <w:rPr>
          <w:rFonts w:ascii="Times New Roman" w:eastAsia="Times New Roman" w:hAnsi="Times New Roman" w:cs="Times New Roman"/>
          <w:sz w:val="24"/>
          <w:szCs w:val="24"/>
        </w:rPr>
        <w:fldChar w:fldCharType="separate"/>
      </w:r>
      <w:r w:rsidR="00966E90" w:rsidRPr="00966E90">
        <w:rPr>
          <w:rFonts w:ascii="Times New Roman" w:hAnsi="Times New Roman" w:cs="Times New Roman"/>
          <w:sz w:val="24"/>
        </w:rPr>
        <w:t>(Asbury et al., 2021)</w:t>
      </w:r>
      <w:r w:rsidR="00966E90">
        <w:rPr>
          <w:rFonts w:ascii="Times New Roman" w:eastAsia="Times New Roman" w:hAnsi="Times New Roman" w:cs="Times New Roman"/>
          <w:sz w:val="24"/>
          <w:szCs w:val="24"/>
        </w:rPr>
        <w:fldChar w:fldCharType="end"/>
      </w:r>
      <w:r w:rsidR="00DB4C60">
        <w:rPr>
          <w:rFonts w:ascii="Times New Roman" w:eastAsia="Times New Roman" w:hAnsi="Times New Roman" w:cs="Times New Roman"/>
          <w:sz w:val="24"/>
          <w:szCs w:val="24"/>
        </w:rPr>
        <w:t xml:space="preserve">. </w:t>
      </w:r>
      <w:r w:rsidR="00683311">
        <w:rPr>
          <w:rFonts w:ascii="Times New Roman" w:eastAsia="Times New Roman" w:hAnsi="Times New Roman" w:cs="Times New Roman"/>
          <w:sz w:val="24"/>
          <w:szCs w:val="24"/>
        </w:rPr>
        <w:t xml:space="preserve">Whilst </w:t>
      </w:r>
      <w:sdt>
        <w:sdtPr>
          <w:tag w:val="goog_rdk_225"/>
          <w:id w:val="-2086448731"/>
        </w:sdtPr>
        <w:sdtEndPr/>
        <w:sdtContent/>
      </w:sdt>
      <w:r w:rsidR="00683311">
        <w:rPr>
          <w:rFonts w:ascii="Times New Roman" w:eastAsia="Times New Roman" w:hAnsi="Times New Roman" w:cs="Times New Roman"/>
          <w:sz w:val="24"/>
          <w:szCs w:val="24"/>
        </w:rPr>
        <w:t>MiFish primers rarely detect elasmobranch taxa</w:t>
      </w:r>
      <w:r w:rsidR="00DB4C60">
        <w:rPr>
          <w:rFonts w:ascii="Times New Roman" w:eastAsia="Times New Roman" w:hAnsi="Times New Roman" w:cs="Times New Roman"/>
          <w:sz w:val="24"/>
          <w:szCs w:val="24"/>
        </w:rPr>
        <w:t xml:space="preserve"> </w:t>
      </w:r>
      <w:r w:rsidR="00966E90">
        <w:rPr>
          <w:rFonts w:ascii="Times New Roman" w:eastAsia="Times New Roman" w:hAnsi="Times New Roman" w:cs="Times New Roman"/>
          <w:sz w:val="24"/>
          <w:szCs w:val="24"/>
        </w:rPr>
        <w:fldChar w:fldCharType="begin"/>
      </w:r>
      <w:r w:rsidR="00E9149F">
        <w:rPr>
          <w:rFonts w:ascii="Times New Roman" w:eastAsia="Times New Roman" w:hAnsi="Times New Roman" w:cs="Times New Roman"/>
          <w:sz w:val="24"/>
          <w:szCs w:val="24"/>
        </w:rPr>
        <w:instrText xml:space="preserve"> ADDIN ZOTERO_ITEM CSL_CITATION {"citationID":"F0lGegiZ","properties":{"formattedCitation":"(Masaki Miya, Gotoh, &amp; Sado, 2020)","plainCitation":"(Masaki Miya, Gotoh, &amp; Sado, 2020)","noteIndex":0},"citationItems":[{"id":10912,"uris":["http://zotero.org/users/3033072/items/ZB6LH92T"],"uri":["http://zotero.org/users/3033072/items/ZB6LH92T"],"itemData":{"id":10912,"type":"article-journal","abstract":"We reviewed the current methodology and practices of the DNA metabarcoding approach using a universal PCR primer pair MiFish, which co-amplifies a short fragment of fish DNA (approx. 170 bp from the mitochondrial 12S rRNA gene) across a wide variety of taxa. This method has mostly been applied to biodiversity monitoring using environmental DNA (eDNA) shed from fish and, coupled with next-generation sequencing technologies, has enabled massively parallel sequencing of several hundred eDNA samples simultaneously. Since the publication of its technical outline in 2015, this method has been widely used in various aquatic environments in and around the six continents, and MiFish primers have demonstrably outperformed other competing primers. Here, we outline the technical progress in this method over the last 5 years and highlight some case studies on marine, freshwater, and estuarine fish communities. Additionally, we discuss various applications of MiFish metabarcoding to non-fish organisms, single-species detection systems, quantitative biodiversity monitoring, and bulk DNA samples other than eDNA. By recognizing the MiFish eDNA metabarcoding strengths and limitations, we argue that this method is useful for ecosystem conservation strategies and the sustainable use of fishery resources in “ecosystembased fishery management” through continuous biodiversity monitoring at multiple sites.","container-title":"Fisheries Science","DOI":"10.1007/s12562-020-01461-x","ISSN":"0919-9268, 1444-2906","journalAbbreviation":"Fish Sci","language":"en","source":"DOI.org (Crossref)","title":"MiFish metabarcoding: a high-throughput approach for simultaneous detection of multiple fish species from environmental DNA and other samples","title-short":"MiFish metabarcoding","URL":"http://link.springer.com/10.1007/s12562-020-01461-x","author":[{"family":"Miya","given":"Masaki"},{"family":"Gotoh","given":"Ryo O."},{"family":"Sado","given":"Tetsuya"}],"accessed":{"date-parts":[["2020",9,15]]},"issued":{"date-parts":[["2020",9,15]]}}}],"schema":"https://github.com/citation-style-language/schema/raw/master/csl-citation.json"} </w:instrText>
      </w:r>
      <w:r w:rsidR="00966E90">
        <w:rPr>
          <w:rFonts w:ascii="Times New Roman" w:eastAsia="Times New Roman" w:hAnsi="Times New Roman" w:cs="Times New Roman"/>
          <w:sz w:val="24"/>
          <w:szCs w:val="24"/>
        </w:rPr>
        <w:fldChar w:fldCharType="separate"/>
      </w:r>
      <w:r w:rsidR="00E9149F" w:rsidRPr="00E9149F">
        <w:rPr>
          <w:rFonts w:ascii="Times New Roman" w:hAnsi="Times New Roman" w:cs="Times New Roman"/>
          <w:sz w:val="24"/>
        </w:rPr>
        <w:t>(Masaki Miya, Gotoh, &amp; Sado, 2020)</w:t>
      </w:r>
      <w:r w:rsidR="00966E90">
        <w:rPr>
          <w:rFonts w:ascii="Times New Roman" w:eastAsia="Times New Roman" w:hAnsi="Times New Roman" w:cs="Times New Roman"/>
          <w:sz w:val="24"/>
          <w:szCs w:val="24"/>
        </w:rPr>
        <w:fldChar w:fldCharType="end"/>
      </w:r>
      <w:r w:rsidR="00683311">
        <w:rPr>
          <w:rFonts w:ascii="Times New Roman" w:eastAsia="Times New Roman" w:hAnsi="Times New Roman" w:cs="Times New Roman"/>
          <w:sz w:val="24"/>
          <w:szCs w:val="24"/>
        </w:rPr>
        <w:t xml:space="preserve">, Riaz </w:t>
      </w:r>
      <w:sdt>
        <w:sdtPr>
          <w:tag w:val="goog_rdk_228"/>
          <w:id w:val="1768963526"/>
        </w:sdtPr>
        <w:sdtEndPr/>
        <w:sdtContent>
          <w:r w:rsidR="00683311">
            <w:rPr>
              <w:rFonts w:ascii="Times New Roman" w:eastAsia="Times New Roman" w:hAnsi="Times New Roman" w:cs="Times New Roman"/>
              <w:sz w:val="24"/>
              <w:szCs w:val="24"/>
            </w:rPr>
            <w:t xml:space="preserve">primers </w:t>
          </w:r>
        </w:sdtContent>
      </w:sdt>
      <w:r w:rsidR="00683311">
        <w:rPr>
          <w:rFonts w:ascii="Times New Roman" w:eastAsia="Times New Roman" w:hAnsi="Times New Roman" w:cs="Times New Roman"/>
          <w:sz w:val="24"/>
          <w:szCs w:val="24"/>
        </w:rPr>
        <w:t xml:space="preserve">revealed the presence of the critically endangered </w:t>
      </w:r>
      <w:proofErr w:type="spellStart"/>
      <w:r w:rsidR="00683311">
        <w:rPr>
          <w:rFonts w:ascii="Times New Roman" w:eastAsia="Times New Roman" w:hAnsi="Times New Roman" w:cs="Times New Roman"/>
          <w:sz w:val="24"/>
          <w:szCs w:val="24"/>
        </w:rPr>
        <w:t>bowmouth</w:t>
      </w:r>
      <w:proofErr w:type="spellEnd"/>
      <w:r w:rsidR="00683311">
        <w:rPr>
          <w:rFonts w:ascii="Times New Roman" w:eastAsia="Times New Roman" w:hAnsi="Times New Roman" w:cs="Times New Roman"/>
          <w:sz w:val="24"/>
          <w:szCs w:val="24"/>
        </w:rPr>
        <w:t xml:space="preserve"> guitarfish </w:t>
      </w:r>
      <w:proofErr w:type="spellStart"/>
      <w:r w:rsidR="00683311">
        <w:rPr>
          <w:rFonts w:ascii="Times New Roman" w:eastAsia="Times New Roman" w:hAnsi="Times New Roman" w:cs="Times New Roman"/>
          <w:i/>
          <w:sz w:val="24"/>
          <w:szCs w:val="24"/>
        </w:rPr>
        <w:t>Rhina</w:t>
      </w:r>
      <w:proofErr w:type="spellEnd"/>
      <w:r w:rsidR="00683311">
        <w:rPr>
          <w:rFonts w:ascii="Times New Roman" w:eastAsia="Times New Roman" w:hAnsi="Times New Roman" w:cs="Times New Roman"/>
          <w:i/>
          <w:sz w:val="24"/>
          <w:szCs w:val="24"/>
        </w:rPr>
        <w:t xml:space="preserve"> </w:t>
      </w:r>
      <w:proofErr w:type="spellStart"/>
      <w:r w:rsidR="00683311">
        <w:rPr>
          <w:rFonts w:ascii="Times New Roman" w:eastAsia="Times New Roman" w:hAnsi="Times New Roman" w:cs="Times New Roman"/>
          <w:i/>
          <w:sz w:val="24"/>
          <w:szCs w:val="24"/>
        </w:rPr>
        <w:t>ancylostoma</w:t>
      </w:r>
      <w:proofErr w:type="spellEnd"/>
      <w:sdt>
        <w:sdtPr>
          <w:tag w:val="goog_rdk_229"/>
          <w:id w:val="466861225"/>
        </w:sdtPr>
        <w:sdtEndPr/>
        <w:sdtContent>
          <w:r w:rsidR="00683311">
            <w:rPr>
              <w:rFonts w:ascii="Times New Roman" w:eastAsia="Times New Roman" w:hAnsi="Times New Roman" w:cs="Times New Roman"/>
              <w:i/>
              <w:sz w:val="24"/>
              <w:szCs w:val="24"/>
            </w:rPr>
            <w:t>,</w:t>
          </w:r>
        </w:sdtContent>
      </w:sdt>
      <w:r w:rsidR="00683311">
        <w:rPr>
          <w:rFonts w:ascii="Times New Roman" w:eastAsia="Times New Roman" w:hAnsi="Times New Roman" w:cs="Times New Roman"/>
          <w:sz w:val="24"/>
          <w:szCs w:val="24"/>
        </w:rPr>
        <w:t xml:space="preserve"> as well as the threatened cownose ray </w:t>
      </w:r>
      <w:proofErr w:type="spellStart"/>
      <w:r w:rsidR="00683311">
        <w:rPr>
          <w:rFonts w:ascii="Times New Roman" w:eastAsia="Times New Roman" w:hAnsi="Times New Roman" w:cs="Times New Roman"/>
          <w:i/>
          <w:sz w:val="24"/>
          <w:szCs w:val="24"/>
        </w:rPr>
        <w:t>Rhinoptera</w:t>
      </w:r>
      <w:proofErr w:type="spellEnd"/>
      <w:r w:rsidR="00683311">
        <w:rPr>
          <w:rFonts w:ascii="Times New Roman" w:eastAsia="Times New Roman" w:hAnsi="Times New Roman" w:cs="Times New Roman"/>
          <w:i/>
          <w:sz w:val="24"/>
          <w:szCs w:val="24"/>
        </w:rPr>
        <w:t xml:space="preserve"> </w:t>
      </w:r>
      <w:proofErr w:type="spellStart"/>
      <w:r w:rsidR="00683311">
        <w:rPr>
          <w:rFonts w:ascii="Times New Roman" w:eastAsia="Times New Roman" w:hAnsi="Times New Roman" w:cs="Times New Roman"/>
          <w:i/>
          <w:sz w:val="24"/>
          <w:szCs w:val="24"/>
        </w:rPr>
        <w:t>jayakari</w:t>
      </w:r>
      <w:proofErr w:type="spellEnd"/>
      <w:sdt>
        <w:sdtPr>
          <w:tag w:val="goog_rdk_230"/>
          <w:id w:val="-197471250"/>
        </w:sdtPr>
        <w:sdtEndPr/>
        <w:sdtContent>
          <w:r w:rsidR="00683311">
            <w:rPr>
              <w:rFonts w:ascii="Times New Roman" w:eastAsia="Times New Roman" w:hAnsi="Times New Roman" w:cs="Times New Roman"/>
              <w:i/>
              <w:sz w:val="24"/>
              <w:szCs w:val="24"/>
            </w:rPr>
            <w:t>,</w:t>
          </w:r>
        </w:sdtContent>
      </w:sdt>
      <w:r w:rsidR="00683311">
        <w:rPr>
          <w:rFonts w:ascii="Times New Roman" w:eastAsia="Times New Roman" w:hAnsi="Times New Roman" w:cs="Times New Roman"/>
          <w:sz w:val="24"/>
          <w:szCs w:val="24"/>
        </w:rPr>
        <w:t xml:space="preserve"> and whiptail stingray </w:t>
      </w:r>
      <w:r w:rsidR="00683311">
        <w:rPr>
          <w:rFonts w:ascii="Times New Roman" w:eastAsia="Times New Roman" w:hAnsi="Times New Roman" w:cs="Times New Roman"/>
          <w:i/>
          <w:sz w:val="24"/>
          <w:szCs w:val="24"/>
        </w:rPr>
        <w:t xml:space="preserve">Himantura </w:t>
      </w:r>
      <w:r w:rsidR="00683311">
        <w:rPr>
          <w:rFonts w:ascii="Times New Roman" w:eastAsia="Times New Roman" w:hAnsi="Times New Roman" w:cs="Times New Roman"/>
          <w:sz w:val="24"/>
          <w:szCs w:val="24"/>
        </w:rPr>
        <w:t xml:space="preserve">spp. in Inhambane Bay. </w:t>
      </w:r>
      <w:r w:rsidR="00DB4C60">
        <w:rPr>
          <w:rFonts w:ascii="Times New Roman" w:eastAsia="Times New Roman" w:hAnsi="Times New Roman" w:cs="Times New Roman"/>
          <w:sz w:val="24"/>
          <w:szCs w:val="24"/>
        </w:rPr>
        <w:t>However, these species only represent a fraction of the elasmobranch communities present in the target ecosystems</w:t>
      </w:r>
      <w:r w:rsidR="00B313D2">
        <w:rPr>
          <w:rFonts w:ascii="Times New Roman" w:eastAsia="Times New Roman" w:hAnsi="Times New Roman" w:cs="Times New Roman"/>
          <w:sz w:val="24"/>
          <w:szCs w:val="24"/>
        </w:rPr>
        <w:t xml:space="preserve"> </w:t>
      </w:r>
      <w:r w:rsidR="00E9149F">
        <w:rPr>
          <w:rFonts w:ascii="Times New Roman" w:eastAsia="Times New Roman" w:hAnsi="Times New Roman" w:cs="Times New Roman"/>
          <w:sz w:val="24"/>
          <w:szCs w:val="24"/>
        </w:rPr>
        <w:fldChar w:fldCharType="begin"/>
      </w:r>
      <w:r w:rsidR="00E9149F">
        <w:rPr>
          <w:rFonts w:ascii="Times New Roman" w:eastAsia="Times New Roman" w:hAnsi="Times New Roman" w:cs="Times New Roman"/>
          <w:sz w:val="24"/>
          <w:szCs w:val="24"/>
        </w:rPr>
        <w:instrText xml:space="preserve"> ADDIN ZOTERO_ITEM CSL_CITATION {"citationID":"JjQJf79p","properties":{"unsorted":true,"formattedCitation":"(Schneider et al., 2005; Ebert, Dando, &amp; Fowler, 2021)","plainCitation":"(Schneider et al., 2005; Ebert, Dando, &amp; Fowler, 2021)","noteIndex":0},"citationItems":[{"id":11368,"uris":["http://zotero.org/users/3033072/items/6TCEPJTY"],"uri":["http://zotero.org/users/3033072/items/6TCEPJTY"],"itemData":{"id":11368,"type":"report","abstract":"A checklist of vertebrates of Mozambique was elaborated by means of revision of monographic and web-based resources. During interviews of native speakers made in various parts of Mozambique, vernacular names of vertebrates in the 20 most important languages were </w:instrText>
      </w:r>
      <w:r w:rsidR="00E9149F" w:rsidRPr="00E9149F">
        <w:rPr>
          <w:rFonts w:ascii="Times New Roman" w:eastAsia="Times New Roman" w:hAnsi="Times New Roman" w:cs="Times New Roman"/>
          <w:sz w:val="24"/>
          <w:szCs w:val="24"/>
        </w:rPr>
        <w:instrText xml:space="preserve">assessed and included in the checklist as well as their common names in Portuguese and English. Additional information such as the category of Red List of threatened species, conservation status according to the Forest and Wildlife Law and Regulation of Mozambique, the Convention on the International Trade in Endangered Species of Flora and Fauna (CITES) and the Convention on Migratory Species (CMS) is provided.","event-place":"Maputo","genre":"Forestry Department and Eduardo Mondlane University","language":"en","page":"19","publisher-place":"Maputo","source":"Zotero","title":"Checklist and Centres of Vertebrate Diversity in Mozambique","author":[{"family":"Schneider","given":"Michael F"},{"family":"Buramuge","given":"Victorino A"},{"family":"Aliasse","given":"Luís"},{"family":"Serfontein","given":"Filipa"}],"issued":{"date-parts":[["2005"]]}}},{"id":11575,"uris":["http://zotero.org/users/3033072/items/MA2M3KRQ"],"uri":["http://zotero.org/users/3033072/items/MA2M3KRQ"],"itemData":{"id":11575,"type":"book","collection-title":"Wild Nature Press","event-place":"Princeton","publisher":"Princeton University Press","publisher-place":"Princeton","title":"Sharks of the World: A Complete Guide","URL":"https://doi.org/10.1515/9780691210872","author":[{"family":"Ebert","given":"David A."},{"family":"Dando","given":"Marc"},{"family":"Fowler","given":"Sarah"}],"issued":{"date-parts":[["2021"]]}}}],"schema":"https://github.com/citation-style-language/schema/raw/master/csl-citation.json"} </w:instrText>
      </w:r>
      <w:r w:rsidR="00E9149F">
        <w:rPr>
          <w:rFonts w:ascii="Times New Roman" w:eastAsia="Times New Roman" w:hAnsi="Times New Roman" w:cs="Times New Roman"/>
          <w:sz w:val="24"/>
          <w:szCs w:val="24"/>
        </w:rPr>
        <w:fldChar w:fldCharType="separate"/>
      </w:r>
      <w:r w:rsidR="00E9149F" w:rsidRPr="00E9149F">
        <w:rPr>
          <w:rFonts w:ascii="Times New Roman" w:hAnsi="Times New Roman" w:cs="Times New Roman"/>
          <w:sz w:val="24"/>
        </w:rPr>
        <w:t>(Schneider et al., 2005; Ebert, Dando, &amp; Fowler, 2021)</w:t>
      </w:r>
      <w:r w:rsidR="00E9149F">
        <w:rPr>
          <w:rFonts w:ascii="Times New Roman" w:eastAsia="Times New Roman" w:hAnsi="Times New Roman" w:cs="Times New Roman"/>
          <w:sz w:val="24"/>
          <w:szCs w:val="24"/>
        </w:rPr>
        <w:fldChar w:fldCharType="end"/>
      </w:r>
      <w:r w:rsidR="00242D33" w:rsidRPr="00E9149F">
        <w:rPr>
          <w:rFonts w:ascii="Times New Roman" w:eastAsia="Times New Roman" w:hAnsi="Times New Roman" w:cs="Times New Roman"/>
          <w:sz w:val="24"/>
          <w:szCs w:val="24"/>
        </w:rPr>
        <w:t xml:space="preserve">. </w:t>
      </w:r>
      <w:r w:rsidR="00DB4C60">
        <w:rPr>
          <w:rFonts w:ascii="Times New Roman" w:eastAsia="Times New Roman" w:hAnsi="Times New Roman" w:cs="Times New Roman"/>
          <w:sz w:val="24"/>
          <w:szCs w:val="24"/>
        </w:rPr>
        <w:t xml:space="preserve">Hence, a refinement of currently available metabarcoding primers targeting ray and shark species is urgently required to complement eDNA-based assessments of threatened marine fish communities </w:t>
      </w:r>
      <w:r w:rsidR="00E9149F">
        <w:rPr>
          <w:rFonts w:ascii="Times New Roman" w:eastAsia="Times New Roman" w:hAnsi="Times New Roman" w:cs="Times New Roman"/>
          <w:sz w:val="24"/>
          <w:szCs w:val="24"/>
        </w:rPr>
        <w:fldChar w:fldCharType="begin"/>
      </w:r>
      <w:r w:rsidR="00E9149F">
        <w:rPr>
          <w:rFonts w:ascii="Times New Roman" w:eastAsia="Times New Roman" w:hAnsi="Times New Roman" w:cs="Times New Roman"/>
          <w:sz w:val="24"/>
          <w:szCs w:val="24"/>
        </w:rPr>
        <w:instrText xml:space="preserve"> ADDIN ZOTERO_ITEM CSL_CITATION {"citationID":"so3t91Df","properties":{"formattedCitation":"(Asbury et al., 2021)","plainCitation":"(Asbury et al., 2021)","noteIndex":0},"citationItems":[{"id":11572,"uris":["http://zotero.org/users/3033072/items/3WVJ49T6"],"uri":["http://zotero.org/users/3033072/items/3WVJ49T6"],"itemData":{"id":11572,"type":"article-journal","abstract":"In recent decades, a combination of increasing demand and economic globalisation has created a global market for elasmobranch products, especially the highly prized shark fins for Asian markets. Morphological species identification, as well as traditional cytochrome c oxidase subunit I (COI) barcoding of shark fins and other products, become challenging when in a processed state (such as dried or bleached shark fins). Here a mini-barcoding multiplex assay was applied to determine the species of origin in case studies from southern Africa involving confiscated shark fins in different states of processing. This highlights that the illegal shark fin trade in southern Africa to a large extent comprises threatened species. Matching of sequences of the confiscated fins against public databases revealed several threatened species, including the CITES-listed species Carcharodon carcharias, Carcharhinus longimanus, Isurus oxyrinchus, Rhynchobatus djiddensis and Sphyrna lewini. The findings highlight the need for improved trade monitoring, such as to eliminate illegal trade in shark fins, which can in part be achieved through more widespread genetic sampling of internationally traded products. However, a major limitation to DNA barcoding in general lies in the lack of curated voucher specimens available on public databases. To facilitate the application of molecular methods in a more comprehensive evaluation of elasmobranch trade regionally, a concerted effort to create reliable curated sequence data is recommended.","container-title":"African Journal of Marine Science","DOI":"10.2989/1814232X.2021.1996459","ISSN":"1814-232X, 1814-2338","issue":"4","journalAbbreviation":"African Journal of Marine Science","language":"en","page":"511-520","source":"DOI.org (Crossref)","title":"Application of DNA mini-barcoding reveals illegal trade in endangered shark products in southern Africa","volume":"43","author":[{"family":"Asbury","given":"Ta"},{"family":"Bennett","given":"R"},{"family":"Price","given":"As"},{"family":"Silva","given":"C","non-dropping-particle":"da"},{"family":"Bürgener","given":"M"},{"family":"Klein","given":"Jd"},{"family":"Maduna","given":"Sn"},{"family":"Sidat","given":"N"},{"family":"Fernando","given":"S"},{"family":"Bester-van der Merwe","given":"Ae"}],"issued":{"date-parts":[["2021",10,2]]}}}],"schema":"https://github.com/citation-style-language/schema/raw/master/csl-citation.json"} </w:instrText>
      </w:r>
      <w:r w:rsidR="00E9149F">
        <w:rPr>
          <w:rFonts w:ascii="Times New Roman" w:eastAsia="Times New Roman" w:hAnsi="Times New Roman" w:cs="Times New Roman"/>
          <w:sz w:val="24"/>
          <w:szCs w:val="24"/>
        </w:rPr>
        <w:fldChar w:fldCharType="separate"/>
      </w:r>
      <w:r w:rsidR="00E9149F" w:rsidRPr="00E9149F">
        <w:rPr>
          <w:rFonts w:ascii="Times New Roman" w:hAnsi="Times New Roman" w:cs="Times New Roman"/>
          <w:sz w:val="24"/>
        </w:rPr>
        <w:t>(Asbury et al., 2021)</w:t>
      </w:r>
      <w:r w:rsidR="00E9149F">
        <w:rPr>
          <w:rFonts w:ascii="Times New Roman" w:eastAsia="Times New Roman" w:hAnsi="Times New Roman" w:cs="Times New Roman"/>
          <w:sz w:val="24"/>
          <w:szCs w:val="24"/>
        </w:rPr>
        <w:fldChar w:fldCharType="end"/>
      </w:r>
      <w:r w:rsidR="00DB4C60">
        <w:rPr>
          <w:rFonts w:ascii="Times New Roman" w:eastAsia="Times New Roman" w:hAnsi="Times New Roman" w:cs="Times New Roman"/>
          <w:sz w:val="24"/>
          <w:szCs w:val="24"/>
        </w:rPr>
        <w:t xml:space="preserve">. </w:t>
      </w:r>
    </w:p>
    <w:bookmarkEnd w:id="3"/>
    <w:p w14:paraId="4A267BFB" w14:textId="479741FB" w:rsidR="008E5EDD" w:rsidRDefault="00DB4C60" w:rsidP="008E5EDD">
      <w:pPr>
        <w:spacing w:after="0" w:line="480" w:lineRule="auto"/>
        <w:ind w:firstLine="22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Moreover, we found large temporal turn-over of the threatened fish species recorded with both primer sets in Inhambane Bay. These differences might result from changes in habitat use as the sampling period between July and September marks the transition from the rainy to the dry season. However, there might also be other factors contributing to the observed differences. First, threatened species are often rare and difficult to detect. The resulting low eDNA concentrations shed by these rare species increases the stochasticity of their detection </w:t>
      </w:r>
      <w:r w:rsidR="002E19F3">
        <w:rPr>
          <w:rFonts w:ascii="Times New Roman" w:eastAsia="Times New Roman" w:hAnsi="Times New Roman" w:cs="Times New Roman"/>
          <w:sz w:val="24"/>
          <w:szCs w:val="24"/>
        </w:rPr>
        <w:fldChar w:fldCharType="begin"/>
      </w:r>
      <w:r w:rsidR="002E19F3">
        <w:rPr>
          <w:rFonts w:ascii="Times New Roman" w:eastAsia="Times New Roman" w:hAnsi="Times New Roman" w:cs="Times New Roman"/>
          <w:sz w:val="24"/>
          <w:szCs w:val="24"/>
        </w:rPr>
        <w:instrText xml:space="preserve"> ADDIN ZOTERO_ITEM CSL_CITATION {"citationID":"srF5JgT2","properties":{"formattedCitation":"(Currier, Morris, Wilson, &amp; Freeland, 2018)","plainCitation":"(Currier, Morris, Wilson, &amp; Freeland, 2018)","noteIndex":0},"citationItems":[{"id":10084,"uris":["http://zotero.org/users/3033072/items/UNW9TYBS"],"uri":["http://zotero.org/users/3033072/items/UNW9TYBS"],"itemData":{"id":10084,"type":"article-journal","container-title":"Aquatic Conservation: Marine and Freshwater Ecosystems","DOI":"10.1002/aqc.2869","ISSN":"10527613","language":"en","source":"CrossRef","title":"Validation of environmental DNA (eDNA) as a detection tool for at-risk freshwater pearly mussel species (Bivalvia: Unionidae)","title-short":"Validation of environmental DNA (eDNA) as a detection tool for at-risk freshwater pearly mussel species (Bivalvia","URL":"http://doi.wiley.com/10.1002/aqc.2869","author":[{"family":"Currier","given":"Charise A."},{"family":"Morris","given":"Todd J."},{"family":"Wilson","given":"Chris C."},{"family":"Freeland","given":"Joanna R."}],"accessed":{"date-parts":[["2018",2,12]]},"issued":{"date-parts":[["2018",2,9]]}}}],"schema":"https://github.com/citation-style-language/schema/raw/master/csl-citation.json"} </w:instrText>
      </w:r>
      <w:r w:rsidR="002E19F3">
        <w:rPr>
          <w:rFonts w:ascii="Times New Roman" w:eastAsia="Times New Roman" w:hAnsi="Times New Roman" w:cs="Times New Roman"/>
          <w:sz w:val="24"/>
          <w:szCs w:val="24"/>
        </w:rPr>
        <w:fldChar w:fldCharType="separate"/>
      </w:r>
      <w:r w:rsidR="002E19F3" w:rsidRPr="002E19F3">
        <w:rPr>
          <w:rFonts w:ascii="Times New Roman" w:hAnsi="Times New Roman" w:cs="Times New Roman"/>
          <w:sz w:val="24"/>
        </w:rPr>
        <w:t>(Currier, Morris, Wilson, &amp; Freeland, 2018)</w:t>
      </w:r>
      <w:r w:rsidR="002E19F3">
        <w:rPr>
          <w:rFonts w:ascii="Times New Roman" w:eastAsia="Times New Roman" w:hAnsi="Times New Roman" w:cs="Times New Roman"/>
          <w:sz w:val="24"/>
          <w:szCs w:val="24"/>
        </w:rPr>
        <w:fldChar w:fldCharType="end"/>
      </w:r>
      <w:r>
        <w:rPr>
          <w:rFonts w:ascii="Times New Roman" w:eastAsia="Times New Roman" w:hAnsi="Times New Roman" w:cs="Times New Roman"/>
          <w:sz w:val="24"/>
          <w:szCs w:val="24"/>
        </w:rPr>
        <w:t xml:space="preserve"> and make sample comparisons </w:t>
      </w:r>
      <w:r w:rsidR="00242D33">
        <w:rPr>
          <w:rFonts w:ascii="Times New Roman" w:eastAsia="Times New Roman" w:hAnsi="Times New Roman" w:cs="Times New Roman"/>
          <w:sz w:val="24"/>
          <w:szCs w:val="24"/>
        </w:rPr>
        <w:t>based on rare species less comparable</w:t>
      </w:r>
      <w:r>
        <w:rPr>
          <w:rFonts w:ascii="Times New Roman" w:eastAsia="Times New Roman" w:hAnsi="Times New Roman" w:cs="Times New Roman"/>
          <w:sz w:val="24"/>
          <w:szCs w:val="24"/>
        </w:rPr>
        <w:t xml:space="preserve">, especially </w:t>
      </w:r>
      <w:r w:rsidR="00242D33">
        <w:rPr>
          <w:rFonts w:ascii="Times New Roman" w:eastAsia="Times New Roman" w:hAnsi="Times New Roman" w:cs="Times New Roman"/>
          <w:sz w:val="24"/>
          <w:szCs w:val="24"/>
        </w:rPr>
        <w:t>field</w:t>
      </w:r>
      <w:r>
        <w:rPr>
          <w:rFonts w:ascii="Times New Roman" w:eastAsia="Times New Roman" w:hAnsi="Times New Roman" w:cs="Times New Roman"/>
          <w:sz w:val="24"/>
          <w:szCs w:val="24"/>
        </w:rPr>
        <w:t xml:space="preserve"> replication </w:t>
      </w:r>
      <w:r w:rsidR="00242D33">
        <w:rPr>
          <w:rFonts w:ascii="Times New Roman" w:eastAsia="Times New Roman" w:hAnsi="Times New Roman" w:cs="Times New Roman"/>
          <w:sz w:val="24"/>
          <w:szCs w:val="24"/>
        </w:rPr>
        <w:t>is low</w:t>
      </w:r>
      <w:r>
        <w:rPr>
          <w:rFonts w:ascii="Times New Roman" w:eastAsia="Times New Roman" w:hAnsi="Times New Roman" w:cs="Times New Roman"/>
          <w:sz w:val="24"/>
          <w:szCs w:val="24"/>
        </w:rPr>
        <w:t xml:space="preserve"> </w:t>
      </w:r>
      <w:r w:rsidR="002E19F3">
        <w:rPr>
          <w:rFonts w:ascii="Times New Roman" w:eastAsia="Times New Roman" w:hAnsi="Times New Roman" w:cs="Times New Roman"/>
          <w:sz w:val="24"/>
          <w:szCs w:val="24"/>
        </w:rPr>
        <w:fldChar w:fldCharType="begin"/>
      </w:r>
      <w:r w:rsidR="002E19F3">
        <w:rPr>
          <w:rFonts w:ascii="Times New Roman" w:eastAsia="Times New Roman" w:hAnsi="Times New Roman" w:cs="Times New Roman"/>
          <w:sz w:val="24"/>
          <w:szCs w:val="24"/>
        </w:rPr>
        <w:instrText xml:space="preserve"> ADDIN ZOTERO_ITEM CSL_CITATION {"citationID":"twFQU9Eg","properties":{"formattedCitation":"(Mauvisseau et al., 2019)","plainCitation":"(Mauvisseau et al., 2019)","noteIndex":0},"citationItems":[{"id":6109,"uris":["http://zotero.org/users/3033072/items/4KMNRVXG"],"uri":["http://zotero.org/users/3033072/items/4KMNRVXG"],"itemData":{"id":6109,"type":"article-journal","container-title":"Scientific Reports","DOI":"10.1038/s41598-018-37001-y","ISSN":"2045-2322","issue":"1","language":"en","source":"Crossref","title":"Influence of accuracy, repeatability and detection probability in the reliability of species-specific eDNA based approaches","URL":"http://www.nature.com/articles/s41598-018-37001-y","volume":"9","author":[{"family":"Mauvisseau","given":"Quentin"},{"family":"Burian","given":"Alfred"},{"family":"Gibson","given":"Ceri"},{"family":"Brys","given":"Rein"},{"family":"Ramsey","given":"Andrew"},{"family":"Sweet","given":"Michael"}],"accessed":{"date-parts":[["2019",1,24]]},"issued":{"date-parts":[["2019"]]}}}],"schema":"https://github.com/citation-style-language/schema/raw/master/csl-citation.json"} </w:instrText>
      </w:r>
      <w:r w:rsidR="002E19F3">
        <w:rPr>
          <w:rFonts w:ascii="Times New Roman" w:eastAsia="Times New Roman" w:hAnsi="Times New Roman" w:cs="Times New Roman"/>
          <w:sz w:val="24"/>
          <w:szCs w:val="24"/>
        </w:rPr>
        <w:fldChar w:fldCharType="separate"/>
      </w:r>
      <w:r w:rsidR="002E19F3" w:rsidRPr="002E19F3">
        <w:rPr>
          <w:rFonts w:ascii="Times New Roman" w:hAnsi="Times New Roman" w:cs="Times New Roman"/>
          <w:sz w:val="24"/>
        </w:rPr>
        <w:t>(Mauvisseau et al., 2019)</w:t>
      </w:r>
      <w:r w:rsidR="002E19F3">
        <w:rPr>
          <w:rFonts w:ascii="Times New Roman" w:eastAsia="Times New Roman" w:hAnsi="Times New Roman" w:cs="Times New Roman"/>
          <w:sz w:val="24"/>
          <w:szCs w:val="24"/>
        </w:rPr>
        <w:fldChar w:fldCharType="end"/>
      </w:r>
      <w:r>
        <w:rPr>
          <w:rFonts w:ascii="Times New Roman" w:eastAsia="Times New Roman" w:hAnsi="Times New Roman" w:cs="Times New Roman"/>
          <w:sz w:val="24"/>
          <w:szCs w:val="24"/>
        </w:rPr>
        <w:t xml:space="preserve">. Second, sampling conducted by local community members was not repeated at the same locations in both time periods. In July/August more sampling points from the outer Bay were recorded, whereas in September sampling focused more on the endpoints of the lagoons (Fig. S5). Hence, spatial differences might have been a confounding factor </w:t>
      </w:r>
      <w:r w:rsidR="00242D33">
        <w:rPr>
          <w:rFonts w:ascii="Times New Roman" w:eastAsia="Times New Roman" w:hAnsi="Times New Roman" w:cs="Times New Roman"/>
          <w:sz w:val="24"/>
          <w:szCs w:val="24"/>
        </w:rPr>
        <w:t>of</w:t>
      </w:r>
      <w:r>
        <w:rPr>
          <w:rFonts w:ascii="Times New Roman" w:eastAsia="Times New Roman" w:hAnsi="Times New Roman" w:cs="Times New Roman"/>
          <w:sz w:val="24"/>
          <w:szCs w:val="24"/>
        </w:rPr>
        <w:t xml:space="preserve"> temporal </w:t>
      </w:r>
      <w:r w:rsidR="00242D33">
        <w:rPr>
          <w:rFonts w:ascii="Times New Roman" w:eastAsia="Times New Roman" w:hAnsi="Times New Roman" w:cs="Times New Roman"/>
          <w:sz w:val="24"/>
          <w:szCs w:val="24"/>
        </w:rPr>
        <w:t>effects on</w:t>
      </w:r>
      <w:r>
        <w:rPr>
          <w:rFonts w:ascii="Times New Roman" w:eastAsia="Times New Roman" w:hAnsi="Times New Roman" w:cs="Times New Roman"/>
          <w:sz w:val="24"/>
          <w:szCs w:val="24"/>
        </w:rPr>
        <w:t xml:space="preserve"> community composition recorded </w:t>
      </w:r>
      <w:r w:rsidR="00491777">
        <w:rPr>
          <w:rFonts w:ascii="Times New Roman" w:eastAsia="Times New Roman" w:hAnsi="Times New Roman" w:cs="Times New Roman"/>
          <w:sz w:val="24"/>
          <w:szCs w:val="24"/>
        </w:rPr>
        <w:t xml:space="preserve">in </w:t>
      </w:r>
      <w:r>
        <w:rPr>
          <w:rFonts w:ascii="Times New Roman" w:eastAsia="Times New Roman" w:hAnsi="Times New Roman" w:cs="Times New Roman"/>
          <w:sz w:val="24"/>
          <w:szCs w:val="24"/>
        </w:rPr>
        <w:t xml:space="preserve">our study. Nonetheless, large </w:t>
      </w:r>
      <w:proofErr w:type="spellStart"/>
      <w:r>
        <w:rPr>
          <w:rFonts w:ascii="Times New Roman" w:eastAsia="Times New Roman" w:hAnsi="Times New Roman" w:cs="Times New Roman"/>
          <w:sz w:val="24"/>
          <w:szCs w:val="24"/>
        </w:rPr>
        <w:t>spatio</w:t>
      </w:r>
      <w:proofErr w:type="spellEnd"/>
      <w:r>
        <w:rPr>
          <w:rFonts w:ascii="Times New Roman" w:eastAsia="Times New Roman" w:hAnsi="Times New Roman" w:cs="Times New Roman"/>
          <w:sz w:val="24"/>
          <w:szCs w:val="24"/>
        </w:rPr>
        <w:t xml:space="preserve">-temporal differences in the </w:t>
      </w:r>
      <w:r>
        <w:rPr>
          <w:rFonts w:ascii="Times New Roman" w:eastAsia="Times New Roman" w:hAnsi="Times New Roman" w:cs="Times New Roman"/>
          <w:sz w:val="24"/>
          <w:szCs w:val="24"/>
        </w:rPr>
        <w:lastRenderedPageBreak/>
        <w:t xml:space="preserve">occurrence of threatened species are an important finding </w:t>
      </w:r>
      <w:r w:rsidR="00336286">
        <w:rPr>
          <w:rFonts w:ascii="Times New Roman" w:eastAsia="Times New Roman" w:hAnsi="Times New Roman" w:cs="Times New Roman"/>
          <w:sz w:val="24"/>
          <w:szCs w:val="24"/>
        </w:rPr>
        <w:t xml:space="preserve">for the implementation of temporary fishing restrictions and other </w:t>
      </w:r>
      <w:r>
        <w:rPr>
          <w:rFonts w:ascii="Times New Roman" w:eastAsia="Times New Roman" w:hAnsi="Times New Roman" w:cs="Times New Roman"/>
          <w:sz w:val="24"/>
          <w:szCs w:val="24"/>
        </w:rPr>
        <w:t>habitat management</w:t>
      </w:r>
      <w:r w:rsidR="00336286">
        <w:rPr>
          <w:rFonts w:ascii="Times New Roman" w:eastAsia="Times New Roman" w:hAnsi="Times New Roman" w:cs="Times New Roman"/>
          <w:sz w:val="24"/>
          <w:szCs w:val="24"/>
        </w:rPr>
        <w:t xml:space="preserve"> strategies</w:t>
      </w:r>
      <w:r>
        <w:rPr>
          <w:rFonts w:ascii="Times New Roman" w:eastAsia="Times New Roman" w:hAnsi="Times New Roman" w:cs="Times New Roman"/>
          <w:sz w:val="24"/>
          <w:szCs w:val="24"/>
        </w:rPr>
        <w:t>.</w:t>
      </w:r>
    </w:p>
    <w:p w14:paraId="71770622" w14:textId="2CD533F9" w:rsidR="00415040" w:rsidRDefault="00D15412" w:rsidP="00415040">
      <w:pPr>
        <w:spacing w:after="0" w:line="480" w:lineRule="auto"/>
        <w:ind w:firstLine="22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A critical </w:t>
      </w:r>
      <w:r w:rsidR="00DB4C60">
        <w:rPr>
          <w:rFonts w:ascii="Times New Roman" w:eastAsia="Times New Roman" w:hAnsi="Times New Roman" w:cs="Times New Roman"/>
          <w:sz w:val="24"/>
          <w:szCs w:val="24"/>
        </w:rPr>
        <w:t>measure that will increase the ecological insight generated through eDNA applications in Mozambique</w:t>
      </w:r>
      <w:r>
        <w:rPr>
          <w:rFonts w:ascii="Times New Roman" w:eastAsia="Times New Roman" w:hAnsi="Times New Roman" w:cs="Times New Roman"/>
          <w:sz w:val="24"/>
          <w:szCs w:val="24"/>
        </w:rPr>
        <w:t xml:space="preserve"> and in many Sub-Saharan</w:t>
      </w:r>
      <w:r w:rsidR="00DB4C60">
        <w:rPr>
          <w:rFonts w:ascii="Times New Roman" w:eastAsia="Times New Roman" w:hAnsi="Times New Roman" w:cs="Times New Roman"/>
          <w:sz w:val="24"/>
          <w:szCs w:val="24"/>
        </w:rPr>
        <w:t xml:space="preserve"> countries is the improvement of available reference databases. In our study, species level assignment was merely 26.5%, a very low rate compared to what can be achieved with fish reads </w:t>
      </w:r>
      <w:r>
        <w:rPr>
          <w:rFonts w:ascii="Times New Roman" w:eastAsia="Times New Roman" w:hAnsi="Times New Roman" w:cs="Times New Roman"/>
          <w:sz w:val="24"/>
          <w:szCs w:val="24"/>
        </w:rPr>
        <w:t xml:space="preserve">in well-studied temperate regions </w:t>
      </w:r>
      <w:r w:rsidR="00DB4C60">
        <w:rPr>
          <w:rFonts w:ascii="Times New Roman" w:eastAsia="Times New Roman" w:hAnsi="Times New Roman" w:cs="Times New Roman"/>
          <w:sz w:val="24"/>
          <w:szCs w:val="24"/>
        </w:rPr>
        <w:t xml:space="preserve">(for example, up to &gt;90% in </w:t>
      </w:r>
      <w:r w:rsidR="002E19F3">
        <w:rPr>
          <w:rFonts w:ascii="Times New Roman" w:eastAsia="Times New Roman" w:hAnsi="Times New Roman" w:cs="Times New Roman"/>
          <w:sz w:val="24"/>
          <w:szCs w:val="24"/>
        </w:rPr>
        <w:fldChar w:fldCharType="begin"/>
      </w:r>
      <w:r w:rsidR="002E19F3">
        <w:rPr>
          <w:rFonts w:ascii="Times New Roman" w:eastAsia="Times New Roman" w:hAnsi="Times New Roman" w:cs="Times New Roman"/>
          <w:sz w:val="24"/>
          <w:szCs w:val="24"/>
        </w:rPr>
        <w:instrText xml:space="preserve"> ADDIN ZOTERO_ITEM CSL_CITATION {"citationID":"Cqn4EOpu","properties":{"formattedCitation":"(Collins et al., 2019)","plainCitation":"(Collins et al., 2019)","noteIndex":0},"citationItems":[{"id":7231,"uris":["http://zotero.org/users/3033072/items/GN6L5YGY"],"uri":["http://zotero.org/users/3033072/items/GN6L5YGY"],"itemData":{"id":7231,"type":"article-journal","container-title":"Methods in Ecology and Evolution","DOI":"10.1111/2041-210X.13276","ISSN":"2041-210X, 2041-210X","journalAbbreviation":"Methods Ecol Evol","language":"en","page":"2041-210X.13276","source":"DOI.org (Crossref)","title":"Non‐specific amplification compromises environmental &lt;span style=\"font-variant:small-caps;\"&gt;DNA&lt;/span&gt; metabarcoding with &lt;span style=\"font-variant:small-caps;\"&gt;COI&lt;/span&gt;","title-short":"Non‐specific amplification compromises environmental &lt;span style=\"font-variant","author":[{"family":"Collins","given":"Rupert A."},{"family":"Bakker","given":"Judith"},{"family":"Wangensteen","given":"Owen S."},{"family":"Soto","given":"Ana Z."},{"family":"Corrigan","given":"Laura"},{"family":"Sims","given":"David W."},{"family":"Genner","given":"Martin J."},{"family":"Mariani","given":"Stefano"}],"issued":{"date-parts":[["2019",8,2]]}}}],"schema":"https://github.com/citation-style-language/schema/raw/master/csl-citation.json"} </w:instrText>
      </w:r>
      <w:r w:rsidR="002E19F3">
        <w:rPr>
          <w:rFonts w:ascii="Times New Roman" w:eastAsia="Times New Roman" w:hAnsi="Times New Roman" w:cs="Times New Roman"/>
          <w:sz w:val="24"/>
          <w:szCs w:val="24"/>
        </w:rPr>
        <w:fldChar w:fldCharType="separate"/>
      </w:r>
      <w:r w:rsidR="002E19F3" w:rsidRPr="002E19F3">
        <w:rPr>
          <w:rFonts w:ascii="Times New Roman" w:hAnsi="Times New Roman" w:cs="Times New Roman"/>
          <w:sz w:val="24"/>
        </w:rPr>
        <w:t>Collins et al., 2019)</w:t>
      </w:r>
      <w:r w:rsidR="002E19F3">
        <w:rPr>
          <w:rFonts w:ascii="Times New Roman" w:eastAsia="Times New Roman" w:hAnsi="Times New Roman" w:cs="Times New Roman"/>
          <w:sz w:val="24"/>
          <w:szCs w:val="24"/>
        </w:rPr>
        <w:fldChar w:fldCharType="end"/>
      </w:r>
      <w:r w:rsidR="00DB4C60">
        <w:rPr>
          <w:rFonts w:ascii="Times New Roman" w:eastAsia="Times New Roman" w:hAnsi="Times New Roman" w:cs="Times New Roman"/>
          <w:sz w:val="24"/>
          <w:szCs w:val="24"/>
        </w:rPr>
        <w:t>. Low species</w:t>
      </w:r>
      <w:r>
        <w:rPr>
          <w:rFonts w:ascii="Times New Roman" w:eastAsia="Times New Roman" w:hAnsi="Times New Roman" w:cs="Times New Roman"/>
          <w:sz w:val="24"/>
          <w:szCs w:val="24"/>
        </w:rPr>
        <w:t>-level</w:t>
      </w:r>
      <w:r w:rsidR="00DB4C60">
        <w:rPr>
          <w:rFonts w:ascii="Times New Roman" w:eastAsia="Times New Roman" w:hAnsi="Times New Roman" w:cs="Times New Roman"/>
          <w:sz w:val="24"/>
          <w:szCs w:val="24"/>
        </w:rPr>
        <w:t xml:space="preserve"> assignment can partly be attributed to targeting the 12S region instead of COI, which is the most common marker used for fish phylogeny and taxonomic classification </w:t>
      </w:r>
      <w:r w:rsidR="00C82026">
        <w:rPr>
          <w:rFonts w:ascii="Times New Roman" w:eastAsia="Times New Roman" w:hAnsi="Times New Roman" w:cs="Times New Roman"/>
          <w:sz w:val="24"/>
          <w:szCs w:val="24"/>
        </w:rPr>
        <w:fldChar w:fldCharType="begin"/>
      </w:r>
      <w:r w:rsidR="00C82026">
        <w:rPr>
          <w:rFonts w:ascii="Times New Roman" w:eastAsia="Times New Roman" w:hAnsi="Times New Roman" w:cs="Times New Roman"/>
          <w:sz w:val="24"/>
          <w:szCs w:val="24"/>
        </w:rPr>
        <w:instrText xml:space="preserve"> ADDIN ZOTERO_ITEM CSL_CITATION {"citationID":"zP9Ill8Z","properties":{"formattedCitation":"(Zhang et al., 2020)","plainCitation":"(Zhang et al., 2020)","noteIndex":0},"citationItems":[{"id":10925,"uris":["http://zotero.org/users/3033072/items/3NRT9G2X"],"uri":["http://zotero.org/users/3033072/items/3NRT9G2X"],"itemData":{"id":10925,"type":"article-journal","container-title":"Methods in Ecology and Evolution","language":"en","page":"45","source":"Zotero","title":"A comprehensive and comparative evaluation of primers for metabarcoding eDNA from fish","author":[{"family":"Zhang","given":"Shan"},{"family":"Zhao","given":"Jindong"},{"family":"Yao","given":"Meng"}],"issued":{"date-parts":[["2020"]]}}}],"schema":"https://github.com/citation-style-language/schema/raw/master/csl-citation.json"} </w:instrText>
      </w:r>
      <w:r w:rsidR="00C82026">
        <w:rPr>
          <w:rFonts w:ascii="Times New Roman" w:eastAsia="Times New Roman" w:hAnsi="Times New Roman" w:cs="Times New Roman"/>
          <w:sz w:val="24"/>
          <w:szCs w:val="24"/>
        </w:rPr>
        <w:fldChar w:fldCharType="separate"/>
      </w:r>
      <w:r w:rsidR="00C82026" w:rsidRPr="00C82026">
        <w:rPr>
          <w:rFonts w:ascii="Times New Roman" w:hAnsi="Times New Roman" w:cs="Times New Roman"/>
          <w:sz w:val="24"/>
        </w:rPr>
        <w:t>(Zhang et al., 2020)</w:t>
      </w:r>
      <w:r w:rsidR="00C82026">
        <w:rPr>
          <w:rFonts w:ascii="Times New Roman" w:eastAsia="Times New Roman" w:hAnsi="Times New Roman" w:cs="Times New Roman"/>
          <w:sz w:val="24"/>
          <w:szCs w:val="24"/>
        </w:rPr>
        <w:fldChar w:fldCharType="end"/>
      </w:r>
      <w:r w:rsidR="00DB4C60">
        <w:rPr>
          <w:rFonts w:ascii="Times New Roman" w:eastAsia="Times New Roman" w:hAnsi="Times New Roman" w:cs="Times New Roman"/>
          <w:sz w:val="24"/>
          <w:szCs w:val="24"/>
        </w:rPr>
        <w:t>. However, the use of COI as target region results in the amplification of many non-target taxa such as invertebrate, bacteria</w:t>
      </w:r>
      <w:r>
        <w:rPr>
          <w:rFonts w:ascii="Times New Roman" w:eastAsia="Times New Roman" w:hAnsi="Times New Roman" w:cs="Times New Roman"/>
          <w:sz w:val="24"/>
          <w:szCs w:val="24"/>
        </w:rPr>
        <w:t>l</w:t>
      </w:r>
      <w:r w:rsidR="00DB4C60">
        <w:rPr>
          <w:rFonts w:ascii="Times New Roman" w:eastAsia="Times New Roman" w:hAnsi="Times New Roman" w:cs="Times New Roman"/>
          <w:sz w:val="24"/>
          <w:szCs w:val="24"/>
        </w:rPr>
        <w:t xml:space="preserve">, and human DNA </w:t>
      </w:r>
      <w:r w:rsidR="00C82026">
        <w:rPr>
          <w:rFonts w:ascii="Times New Roman" w:eastAsia="Times New Roman" w:hAnsi="Times New Roman" w:cs="Times New Roman"/>
          <w:sz w:val="24"/>
          <w:szCs w:val="24"/>
        </w:rPr>
        <w:fldChar w:fldCharType="begin"/>
      </w:r>
      <w:r w:rsidR="00C82026">
        <w:rPr>
          <w:rFonts w:ascii="Times New Roman" w:eastAsia="Times New Roman" w:hAnsi="Times New Roman" w:cs="Times New Roman"/>
          <w:sz w:val="24"/>
          <w:szCs w:val="24"/>
        </w:rPr>
        <w:instrText xml:space="preserve"> ADDIN ZOTERO_ITEM CSL_CITATION {"citationID":"PyVyZIL0","properties":{"unsorted":true,"formattedCitation":"(G\\uc0\\u252{}nther, Knebelsberger, Neumann, Laakmann, &amp; Mart\\uc0\\u237{}nez Arbizu, 2018; Collins et al., 2019)","plainCitation":"(Günther, Knebelsberger, Neumann, Laakmann, &amp; Martínez Arbizu, 2018; Collins et al., 2019)","noteIndex":0},"citationItems":[{"id":4818,"uris":["http://zotero.org/users/3033072/items/8NQ5TH9V"],"uri":["http://zotero.org/users/3033072/items/8NQ5TH9V"],"itemData":{"id":4818,"type":"article-journal","container-title":"Scientific Reports","DOI":"10.1038/s41598-018-32917-x","ISSN":"2045-2322","issue":"1","language":"en","source":"Crossref","title":"Metabarcoding of marine environmental DNA based on mitochondrial and nuclear genes","URL":"http://www.nature.com/articles/s41598-018-32917-x","volume":"8","author":[{"family":"Günther","given":"Babett"},{"family":"Knebelsberger","given":"Thomas"},{"family":"Neumann","given":"Hermann"},{"family":"Laakmann","given":"Silke"},{"family":"Martínez Arbizu","given":"Pedro"}],"accessed":{"date-parts":[["2018",10,6]]},"issued":{"date-parts":[["2018",12]]}}},{"id":7231,"uris":["http://zotero.org/users/3033072/items/GN6L5YGY"],"uri":["http://zotero.org/users/3033072/items/GN6L5YGY"],"itemData":{"id":7231,"type":"article-journal","container-title":"Methods in Ecology and Evolution","DOI":"10.1111/2041-210X.13276","ISSN":"2041-210X, 2041-210X","journalAbbreviation":"Methods Ecol Evol","language":"en","page":"2041-210X.13276","source":"DOI.org (Crossref)","title":"Non‐specific amplification compromises environmental &lt;span style=\"font-variant:small-caps;\"&gt;DNA&lt;/span&gt; metabarcoding with &lt;span style=\"font-variant:small-caps;\"&gt;COI&lt;/span&gt;","title-short":"Non‐specific amplification compromises environmental &lt;span style=\"font-variant","author":[{"family":"Collins","given":"Rupert A."},{"family":"Bakker","given":"Judith"},{"family":"Wangensteen","given":"Owen S."},{"family":"Soto","given":"Ana Z."},{"family":"Corrigan","given":"Laura"},{"family":"Sims","given":"David W."},{"family":"Genner","given":"Martin J."},{"family":"Mariani","given":"Stefano"}],"issued":{"date-parts":[["2019",8,2]]}}}],"schema":"https://github.com/citation-style-language/schema/raw/master/csl-citation.json"} </w:instrText>
      </w:r>
      <w:r w:rsidR="00C82026">
        <w:rPr>
          <w:rFonts w:ascii="Times New Roman" w:eastAsia="Times New Roman" w:hAnsi="Times New Roman" w:cs="Times New Roman"/>
          <w:sz w:val="24"/>
          <w:szCs w:val="24"/>
        </w:rPr>
        <w:fldChar w:fldCharType="separate"/>
      </w:r>
      <w:r w:rsidR="00C82026" w:rsidRPr="00C82026">
        <w:rPr>
          <w:rFonts w:ascii="Times New Roman" w:hAnsi="Times New Roman" w:cs="Times New Roman"/>
          <w:sz w:val="24"/>
          <w:szCs w:val="24"/>
        </w:rPr>
        <w:t>(Günther, Knebelsberger, Neumann, Laakmann, &amp; Martínez Arbizu, 2018; Collins et al., 2019)</w:t>
      </w:r>
      <w:r w:rsidR="00C82026">
        <w:rPr>
          <w:rFonts w:ascii="Times New Roman" w:eastAsia="Times New Roman" w:hAnsi="Times New Roman" w:cs="Times New Roman"/>
          <w:sz w:val="24"/>
          <w:szCs w:val="24"/>
        </w:rPr>
        <w:fldChar w:fldCharType="end"/>
      </w:r>
      <w:r w:rsidR="00DB4C60">
        <w:rPr>
          <w:rFonts w:ascii="Times New Roman" w:eastAsia="Times New Roman" w:hAnsi="Times New Roman" w:cs="Times New Roman"/>
          <w:sz w:val="24"/>
          <w:szCs w:val="24"/>
        </w:rPr>
        <w:t>, which can substantially decrease the detection power for fish as a target taxa of eDNA primers sets. Another reason for the low species assignment rates is that Mozambique</w:t>
      </w:r>
      <w:r w:rsidR="009A29CD">
        <w:rPr>
          <w:rFonts w:ascii="Times New Roman" w:eastAsia="Times New Roman" w:hAnsi="Times New Roman" w:cs="Times New Roman"/>
          <w:sz w:val="24"/>
          <w:szCs w:val="24"/>
        </w:rPr>
        <w:t xml:space="preserve"> is expected to still host a relatively high number of </w:t>
      </w:r>
      <w:r w:rsidR="00DB4C60">
        <w:rPr>
          <w:rFonts w:ascii="Times New Roman" w:eastAsia="Times New Roman" w:hAnsi="Times New Roman" w:cs="Times New Roman"/>
          <w:sz w:val="24"/>
          <w:szCs w:val="24"/>
        </w:rPr>
        <w:t xml:space="preserve"> </w:t>
      </w:r>
      <w:r w:rsidR="009A29CD">
        <w:rPr>
          <w:rFonts w:ascii="Times New Roman" w:eastAsia="Times New Roman" w:hAnsi="Times New Roman" w:cs="Times New Roman"/>
          <w:sz w:val="24"/>
          <w:szCs w:val="24"/>
        </w:rPr>
        <w:t>un</w:t>
      </w:r>
      <w:r w:rsidR="00DB4C60">
        <w:rPr>
          <w:rFonts w:ascii="Times New Roman" w:eastAsia="Times New Roman" w:hAnsi="Times New Roman" w:cs="Times New Roman"/>
          <w:sz w:val="24"/>
          <w:szCs w:val="24"/>
        </w:rPr>
        <w:t xml:space="preserve">described </w:t>
      </w:r>
      <w:r w:rsidR="009A29CD">
        <w:rPr>
          <w:rFonts w:ascii="Times New Roman" w:eastAsia="Times New Roman" w:hAnsi="Times New Roman" w:cs="Times New Roman"/>
          <w:sz w:val="24"/>
          <w:szCs w:val="24"/>
        </w:rPr>
        <w:t xml:space="preserve">fish species </w:t>
      </w:r>
      <w:r w:rsidR="00C82026">
        <w:rPr>
          <w:rFonts w:ascii="Times New Roman" w:eastAsia="Times New Roman" w:hAnsi="Times New Roman" w:cs="Times New Roman"/>
          <w:sz w:val="24"/>
          <w:szCs w:val="24"/>
        </w:rPr>
        <w:fldChar w:fldCharType="begin"/>
      </w:r>
      <w:r w:rsidR="00C82026">
        <w:rPr>
          <w:rFonts w:ascii="Times New Roman" w:eastAsia="Times New Roman" w:hAnsi="Times New Roman" w:cs="Times New Roman"/>
          <w:sz w:val="24"/>
          <w:szCs w:val="24"/>
        </w:rPr>
        <w:instrText xml:space="preserve"> ADDIN ZOTERO_ITEM CSL_CITATION {"citationID":"7CLNO8K0","properties":{"formattedCitation":"(Gell &amp; Whittington, 2002)","plainCitation":"(Gell &amp; Whittington, 2002)","noteIndex":0},"citationItems":[{"id":11366,"uris":["http://zotero.org/users/3033072/items/VIK89KG3"],"uri":["http://zotero.org/users/3033072/items/VIK89KG3"],"itemData":{"id":11366,"type":"article-journal","abstract":"The diversity of fishes in seagrass beds at Quirimba Island, northern Mozambique, was studied by sampling artisanal fisheries catches from seine nets and fish traps. In total, 46 629 fish were sampled from seinenet catches and 249 species of fish in 62 families were identified. A total of 3544 fish were sampled from fish traps and 61 species in 24 families were identified. Five species accounted for &gt;60% of total fish biomass: Siganus sutor, Leptoscarus vaigiensis, Lethrinus variegatus, Lethrinus lentjan and Gerres oyena. Some species were present in the seagrass mainly as juveniles, some at all life stages and some as adults only. Catch compositions from the two fishing gears were different; samples from seine nets were dominated by the five species mentioned above, whereas samples from traps were dominated by the seagrass parrotfish Leptoscarus vaigiensis. The importance of seagrass beds for fish biodiversity must be considered in future conservation management decisions.","container-title":"Marine and Freshwater Research","DOI":"10.1071/MF01125","ISSN":"1323-1650","issue":"2","journalAbbreviation":"Mar. Freshwater Res.","language":"en","page":"115","source":"DOI.org (Crossref)","title":"Diversity of fishes in seagrass beds in the Quirimba Archipelago, northern Mozambique","volume":"53","author":[{"family":"Gell","given":"Fiona R."},{"family":"Whittington","given":"Mark W."}],"issued":{"date-parts":[["2002"]]}}}],"schema":"https://github.com/citation-style-language/schema/raw/master/csl-citation.json"} </w:instrText>
      </w:r>
      <w:r w:rsidR="00C82026">
        <w:rPr>
          <w:rFonts w:ascii="Times New Roman" w:eastAsia="Times New Roman" w:hAnsi="Times New Roman" w:cs="Times New Roman"/>
          <w:sz w:val="24"/>
          <w:szCs w:val="24"/>
        </w:rPr>
        <w:fldChar w:fldCharType="separate"/>
      </w:r>
      <w:r w:rsidR="00C82026" w:rsidRPr="00C82026">
        <w:rPr>
          <w:rFonts w:ascii="Times New Roman" w:hAnsi="Times New Roman" w:cs="Times New Roman"/>
          <w:sz w:val="24"/>
        </w:rPr>
        <w:t>(Gell &amp; Whittington, 2002)</w:t>
      </w:r>
      <w:r w:rsidR="00C82026">
        <w:rPr>
          <w:rFonts w:ascii="Times New Roman" w:eastAsia="Times New Roman" w:hAnsi="Times New Roman" w:cs="Times New Roman"/>
          <w:sz w:val="24"/>
          <w:szCs w:val="24"/>
        </w:rPr>
        <w:fldChar w:fldCharType="end"/>
      </w:r>
      <w:r w:rsidR="00DB4C60">
        <w:rPr>
          <w:rFonts w:ascii="Times New Roman" w:eastAsia="Times New Roman" w:hAnsi="Times New Roman" w:cs="Times New Roman"/>
          <w:sz w:val="24"/>
          <w:szCs w:val="24"/>
        </w:rPr>
        <w:t xml:space="preserve">. In this context, eDNA applications coupled with more complete reference databases might aid in the detection of previously undescribed species, eventually facilitating their description </w:t>
      </w:r>
      <w:r w:rsidR="00C82026">
        <w:rPr>
          <w:rFonts w:ascii="Times New Roman" w:eastAsia="Times New Roman" w:hAnsi="Times New Roman" w:cs="Times New Roman"/>
          <w:sz w:val="24"/>
          <w:szCs w:val="24"/>
        </w:rPr>
        <w:fldChar w:fldCharType="begin"/>
      </w:r>
      <w:r w:rsidR="00C82026">
        <w:rPr>
          <w:rFonts w:ascii="Times New Roman" w:eastAsia="Times New Roman" w:hAnsi="Times New Roman" w:cs="Times New Roman"/>
          <w:sz w:val="24"/>
          <w:szCs w:val="24"/>
        </w:rPr>
        <w:instrText xml:space="preserve"> ADDIN ZOTERO_ITEM CSL_CITATION {"citationID":"3Xapsyd9","properties":{"formattedCitation":"(Zinger et al., 2020)","plainCitation":"(Zinger et al., 2020)","noteIndex":0},"citationItems":[{"id":10558,"uris":["http://zotero.org/users/3033072/items/4PI8DUWI"],"uri":["http://zotero.org/users/3033072/items/4PI8DUWI"],"itemData":{"id":10558,"type":"chapter","abstract":"The rainforests of the Neotropics shelter a vast diversity of plant, animal and microscopic species that provide critical ecosystem goods and services for both local and worldwide populations. These environments face a major crisis due to increased deforestation, pollution, and climate change, emphasizing the need for more effective conservation efforts. The adequate monitoring of these ecosystems has proven a complex and time consuming endeavour, which depends on ever dwindling taxonomic expertise. To date, many species remain undiscovered, let alone described, with otherwise limited information regarding known species population distributions and densities. Overcoming these knowledge shortfalls and practical limitations is becoming increasingly possible through techniques based on environmental DNA (eDNA), i.e., DNA that can be obtained from environmental samples (e.g. tissues, soil, sediment, water, etc.). When coupled with high-throughput sequencing, these techniques now enable realistic, cost-effective, and standardisable biodiversity assessments. This opens up enormous opportunities for advancing our understanding of complex and species-rich tropical communities, but also in facilitating large-scale biomonitoring programs in the neotropics. In this review, we provide a brief introduction to eDNA methods, and an overview of their current and potential uses in both terrestrial and aquatic ecosystems of neotropical rainforests. We also discuss the limits and challenges of these methods for our understanding and monitoring of biodiversity, as well as future research and applied perspectives of these techniques in neotropical rainforests, and beyond.","container-title":"Advances in Ecological Research","language":"en","note":"DOI: 10.1016/bs.aecr.2020.01.001","page":"S0065250420300015","publisher":"Elsevier","source":"DOI.org (Crossref)","title":"Advances and prospects of environmental DNA in neotropical rainforests","URL":"https://linkinghub.elsevier.com/retrieve/pii/S0065250420300015","author":[{"family":"Zinger","given":"Lucie"},{"family":"Donald","given":"Julian"},{"family":"Brosse","given":"Sébastien"},{"family":"Gonzalez","given":"Mailyn Adriana"},{"family":"Iribar","given":"Amaia"},{"family":"Leroy","given":"Céline"},{"family":"Murienne","given":"Jérôme"},{"family":"Orivel","given":"Jérôme"},{"family":"Schimann","given":"Heidy"},{"family":"Taberlet","given":"Pierre"},{"family":"Lopes","given":"Carla Martins"}],"accessed":{"date-parts":[["2020",3,3]]},"issued":{"date-parts":[["2020"]]}}}],"schema":"https://github.com/citation-style-language/schema/raw/master/csl-citation.json"} </w:instrText>
      </w:r>
      <w:r w:rsidR="00C82026">
        <w:rPr>
          <w:rFonts w:ascii="Times New Roman" w:eastAsia="Times New Roman" w:hAnsi="Times New Roman" w:cs="Times New Roman"/>
          <w:sz w:val="24"/>
          <w:szCs w:val="24"/>
        </w:rPr>
        <w:fldChar w:fldCharType="separate"/>
      </w:r>
      <w:r w:rsidR="00C82026" w:rsidRPr="00C82026">
        <w:rPr>
          <w:rFonts w:ascii="Times New Roman" w:hAnsi="Times New Roman" w:cs="Times New Roman"/>
          <w:sz w:val="24"/>
        </w:rPr>
        <w:t>(Zinger et al., 2020)</w:t>
      </w:r>
      <w:r w:rsidR="00C82026">
        <w:rPr>
          <w:rFonts w:ascii="Times New Roman" w:eastAsia="Times New Roman" w:hAnsi="Times New Roman" w:cs="Times New Roman"/>
          <w:sz w:val="24"/>
          <w:szCs w:val="24"/>
        </w:rPr>
        <w:fldChar w:fldCharType="end"/>
      </w:r>
      <w:r w:rsidR="00DB4C60">
        <w:rPr>
          <w:rFonts w:ascii="Times New Roman" w:eastAsia="Times New Roman" w:hAnsi="Times New Roman" w:cs="Times New Roman"/>
          <w:sz w:val="24"/>
          <w:szCs w:val="24"/>
        </w:rPr>
        <w:t>.</w:t>
      </w:r>
    </w:p>
    <w:p w14:paraId="4CFA4446" w14:textId="77777777" w:rsidR="00415040" w:rsidRDefault="00DB4C60" w:rsidP="00415040">
      <w:pPr>
        <w:spacing w:after="0" w:line="480" w:lineRule="auto"/>
        <w:ind w:firstLine="227"/>
        <w:jc w:val="both"/>
        <w:rPr>
          <w:rFonts w:ascii="Times New Roman" w:eastAsia="Times New Roman" w:hAnsi="Times New Roman" w:cs="Times New Roman"/>
          <w:sz w:val="24"/>
          <w:szCs w:val="24"/>
        </w:rPr>
      </w:pPr>
      <w:r>
        <w:rPr>
          <w:rFonts w:ascii="Times New Roman" w:eastAsia="Times New Roman" w:hAnsi="Times New Roman" w:cs="Times New Roman"/>
          <w:i/>
          <w:sz w:val="24"/>
          <w:szCs w:val="24"/>
        </w:rPr>
        <w:t>Possible future improvements</w:t>
      </w:r>
    </w:p>
    <w:p w14:paraId="7315D21C" w14:textId="2FE93CCF" w:rsidR="00AA054B" w:rsidRDefault="00DB4C60" w:rsidP="00333AAC">
      <w:pPr>
        <w:spacing w:after="0" w:line="480" w:lineRule="auto"/>
        <w:ind w:firstLine="22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The regular and reliable monitoring of coastal fish communities in </w:t>
      </w:r>
      <w:r w:rsidR="009A29CD">
        <w:rPr>
          <w:rFonts w:ascii="Times New Roman" w:eastAsia="Times New Roman" w:hAnsi="Times New Roman" w:cs="Times New Roman"/>
          <w:sz w:val="24"/>
          <w:szCs w:val="24"/>
        </w:rPr>
        <w:t>SSA</w:t>
      </w:r>
      <w:r>
        <w:rPr>
          <w:rFonts w:ascii="Times New Roman" w:eastAsia="Times New Roman" w:hAnsi="Times New Roman" w:cs="Times New Roman"/>
          <w:sz w:val="24"/>
          <w:szCs w:val="24"/>
        </w:rPr>
        <w:t xml:space="preserve"> will require a cost-effective, scalable, highly sensitive, and robust surveying method. </w:t>
      </w:r>
      <w:r w:rsidR="00192E0E">
        <w:rPr>
          <w:rFonts w:ascii="Times New Roman" w:eastAsia="Times New Roman" w:hAnsi="Times New Roman" w:cs="Times New Roman"/>
          <w:sz w:val="24"/>
          <w:szCs w:val="24"/>
        </w:rPr>
        <w:t>Our results demonstrate that the</w:t>
      </w:r>
      <w:r>
        <w:rPr>
          <w:rFonts w:ascii="Times New Roman" w:eastAsia="Times New Roman" w:hAnsi="Times New Roman" w:cs="Times New Roman"/>
          <w:sz w:val="24"/>
          <w:szCs w:val="24"/>
        </w:rPr>
        <w:t xml:space="preserve"> eDNA-based approach</w:t>
      </w:r>
      <w:r w:rsidR="00173A62">
        <w:rPr>
          <w:rFonts w:ascii="Times New Roman" w:eastAsia="Times New Roman" w:hAnsi="Times New Roman" w:cs="Times New Roman"/>
          <w:sz w:val="24"/>
          <w:szCs w:val="24"/>
        </w:rPr>
        <w:t xml:space="preserve"> used in this study </w:t>
      </w:r>
      <w:r w:rsidR="00192E0E">
        <w:rPr>
          <w:rFonts w:ascii="Times New Roman" w:eastAsia="Times New Roman" w:hAnsi="Times New Roman" w:cs="Times New Roman"/>
          <w:sz w:val="24"/>
          <w:szCs w:val="24"/>
        </w:rPr>
        <w:t>can fulfil these requirements if it is appropria</w:t>
      </w:r>
      <w:r w:rsidR="004675F5">
        <w:rPr>
          <w:rFonts w:ascii="Times New Roman" w:eastAsia="Times New Roman" w:hAnsi="Times New Roman" w:cs="Times New Roman"/>
          <w:sz w:val="24"/>
          <w:szCs w:val="24"/>
        </w:rPr>
        <w:t>tely</w:t>
      </w:r>
      <w:r w:rsidR="00192E0E">
        <w:rPr>
          <w:rFonts w:ascii="Times New Roman" w:eastAsia="Times New Roman" w:hAnsi="Times New Roman" w:cs="Times New Roman"/>
          <w:sz w:val="24"/>
          <w:szCs w:val="24"/>
        </w:rPr>
        <w:t xml:space="preserve"> adjusted to management needs. Sensitivity of assessments could for example </w:t>
      </w:r>
      <w:r w:rsidR="004675F5">
        <w:rPr>
          <w:rFonts w:ascii="Times New Roman" w:eastAsia="Times New Roman" w:hAnsi="Times New Roman" w:cs="Times New Roman"/>
          <w:sz w:val="24"/>
          <w:szCs w:val="24"/>
        </w:rPr>
        <w:t xml:space="preserve">be </w:t>
      </w:r>
      <w:r w:rsidR="00192E0E">
        <w:rPr>
          <w:rFonts w:ascii="Times New Roman" w:eastAsia="Times New Roman" w:hAnsi="Times New Roman" w:cs="Times New Roman"/>
          <w:sz w:val="24"/>
          <w:szCs w:val="24"/>
        </w:rPr>
        <w:t xml:space="preserve">further increased if the </w:t>
      </w:r>
      <w:r>
        <w:rPr>
          <w:rFonts w:ascii="Times New Roman" w:eastAsia="Times New Roman" w:hAnsi="Times New Roman" w:cs="Times New Roman"/>
          <w:sz w:val="24"/>
          <w:szCs w:val="24"/>
        </w:rPr>
        <w:t>highly heterogeneously distribut</w:t>
      </w:r>
      <w:r w:rsidR="00415040">
        <w:rPr>
          <w:rFonts w:ascii="Times New Roman" w:eastAsia="Times New Roman" w:hAnsi="Times New Roman" w:cs="Times New Roman"/>
          <w:sz w:val="24"/>
          <w:szCs w:val="24"/>
        </w:rPr>
        <w:t>ion of eDNA</w:t>
      </w:r>
      <w:r>
        <w:rPr>
          <w:rFonts w:ascii="Times New Roman" w:eastAsia="Times New Roman" w:hAnsi="Times New Roman" w:cs="Times New Roman"/>
          <w:sz w:val="24"/>
          <w:szCs w:val="24"/>
        </w:rPr>
        <w:t xml:space="preserve"> in natural habitats </w:t>
      </w:r>
      <w:r w:rsidR="00C82026">
        <w:rPr>
          <w:rFonts w:ascii="Times New Roman" w:eastAsia="Times New Roman" w:hAnsi="Times New Roman" w:cs="Times New Roman"/>
          <w:sz w:val="24"/>
          <w:szCs w:val="24"/>
        </w:rPr>
        <w:fldChar w:fldCharType="begin"/>
      </w:r>
      <w:r w:rsidR="00C82026">
        <w:rPr>
          <w:rFonts w:ascii="Times New Roman" w:eastAsia="Times New Roman" w:hAnsi="Times New Roman" w:cs="Times New Roman"/>
          <w:sz w:val="24"/>
          <w:szCs w:val="24"/>
        </w:rPr>
        <w:instrText xml:space="preserve"> ADDIN ZOTERO_ITEM CSL_CITATION {"citationID":"oQjjfhJr","properties":{"formattedCitation":"(Troth, Sweet, Nightingale, &amp; Burian, 2021)","plainCitation":"(Troth, Sweet, Nightingale, &amp; Burian, 2021)","noteIndex":0},"citationItems":[{"id":10739,"uris":["http://zotero.org/users/3033072/items/IDDQHGUE"],"uri":["http://zotero.org/users/3033072/items/IDDQHGUE"],"itemData":{"id":10739,"type":"article-journal","container-title":"Science of The Total Environment","DOI":"https://doi.org/10.1016/j.scitotenv.2020.144466","title":"Seasonality, DNA degradation and spatial heterogeneity as drivers of eDNA detection dynamics","author":[{"family":"Troth","given":"Christopher"},{"family":"Sweet","given":"Michael"},{"family":"Nightingale","given":"Jen"},{"family":"Burian","given":"Alfred"}],"issued":{"date-parts":[["2021"]]}}}],"schema":"https://github.com/citation-style-language/schema/raw/master/csl-citation.json"} </w:instrText>
      </w:r>
      <w:r w:rsidR="00C82026">
        <w:rPr>
          <w:rFonts w:ascii="Times New Roman" w:eastAsia="Times New Roman" w:hAnsi="Times New Roman" w:cs="Times New Roman"/>
          <w:sz w:val="24"/>
          <w:szCs w:val="24"/>
        </w:rPr>
        <w:fldChar w:fldCharType="separate"/>
      </w:r>
      <w:r w:rsidR="00C82026" w:rsidRPr="00C82026">
        <w:rPr>
          <w:rFonts w:ascii="Times New Roman" w:hAnsi="Times New Roman" w:cs="Times New Roman"/>
          <w:sz w:val="24"/>
        </w:rPr>
        <w:t>(Troth, Sweet, Nightingale, &amp; Burian, 2021)</w:t>
      </w:r>
      <w:r w:rsidR="00C82026">
        <w:rPr>
          <w:rFonts w:ascii="Times New Roman" w:eastAsia="Times New Roman" w:hAnsi="Times New Roman" w:cs="Times New Roman"/>
          <w:sz w:val="24"/>
          <w:szCs w:val="24"/>
        </w:rPr>
        <w:fldChar w:fldCharType="end"/>
      </w:r>
      <w:r>
        <w:rPr>
          <w:rFonts w:ascii="Times New Roman" w:eastAsia="Times New Roman" w:hAnsi="Times New Roman" w:cs="Times New Roman"/>
          <w:sz w:val="24"/>
          <w:szCs w:val="24"/>
        </w:rPr>
        <w:t xml:space="preserve"> </w:t>
      </w:r>
      <w:r w:rsidR="00415040">
        <w:rPr>
          <w:rFonts w:ascii="Times New Roman" w:eastAsia="Times New Roman" w:hAnsi="Times New Roman" w:cs="Times New Roman"/>
          <w:sz w:val="24"/>
          <w:szCs w:val="24"/>
        </w:rPr>
        <w:t>is accounted for by an</w:t>
      </w:r>
      <w:r>
        <w:rPr>
          <w:rFonts w:ascii="Times New Roman" w:eastAsia="Times New Roman" w:hAnsi="Times New Roman" w:cs="Times New Roman"/>
          <w:sz w:val="24"/>
          <w:szCs w:val="24"/>
        </w:rPr>
        <w:t xml:space="preserve"> increase </w:t>
      </w:r>
      <w:r w:rsidR="00415040">
        <w:rPr>
          <w:rFonts w:ascii="Times New Roman" w:eastAsia="Times New Roman" w:hAnsi="Times New Roman" w:cs="Times New Roman"/>
          <w:sz w:val="24"/>
          <w:szCs w:val="24"/>
        </w:rPr>
        <w:t xml:space="preserve">in </w:t>
      </w:r>
      <w:r>
        <w:rPr>
          <w:rFonts w:ascii="Times New Roman" w:eastAsia="Times New Roman" w:hAnsi="Times New Roman" w:cs="Times New Roman"/>
          <w:sz w:val="24"/>
          <w:szCs w:val="24"/>
        </w:rPr>
        <w:t xml:space="preserve">the number of field replicates </w:t>
      </w:r>
      <w:r w:rsidR="00C82026">
        <w:rPr>
          <w:rFonts w:ascii="Times New Roman" w:eastAsia="Times New Roman" w:hAnsi="Times New Roman" w:cs="Times New Roman"/>
          <w:sz w:val="24"/>
          <w:szCs w:val="24"/>
        </w:rPr>
        <w:fldChar w:fldCharType="begin"/>
      </w:r>
      <w:r w:rsidR="00C82026">
        <w:rPr>
          <w:rFonts w:ascii="Times New Roman" w:eastAsia="Times New Roman" w:hAnsi="Times New Roman" w:cs="Times New Roman"/>
          <w:sz w:val="24"/>
          <w:szCs w:val="24"/>
        </w:rPr>
        <w:instrText xml:space="preserve"> ADDIN ZOTERO_ITEM CSL_CITATION {"citationID":"YZ8ZpDbN","properties":{"formattedCitation":"(Capo, Spong, K\\uc0\\u246{}nigsson, &amp; Bystr\\uc0\\u246{}m, 2019; Mauvisseau et al., 2019)","plainCitation":"(Capo, Spong, Königsson, &amp; Byström, 2019; Mauvisseau et al., 2019)","noteIndex":0},"citationItems":[{"id":10391,"uris":["http://zotero.org/users/3033072/items/XIQIA4LE"],"uri":["http://zotero.org/users/3033072/items/XIQIA4LE"],"itemData":{"id":10391,"type":"article-journal","abstract":"The quantification of the abundance of aquatic organisms via the use of environmental DNA (eDNA) molecules present in water is potentially a useful tool for efficient and noninvasive population monitoring. However, questions remain about the reliability of molecular methods. Among the factors that can hamper the reliability of the eDNA quantification, we investigated the influence of five filtration methods (filter pore size, filter type) and filtered water volume (1 and 2 L) on the total eDNA and the fish eDNA concentrations of two species, brown trout (Salmo trutta) and Arctic char (Salvelinus alpinus) from tanks with known number of individuals and biomass. We applied a droplet digital PCR (ddPCR) approach to DNA extracted from water samples collected from two cultivation tanks (each of them containing one of the targeted species). Results showed that the quantification of fish eDNA concentrations of both species varies with filtration methods. More specifically, the 0.45‐µm Sterivex enclosed filters were identified to recover the highest eDNA concentrations. Difficulties to filter 2 L water samples were present for small pore size filters (≤0.45 µm) and likely caused by filter clogging. To overcome issues related to filter clogging, common in studies aiming to quantify fish eDNA molecules from water samples, we recommend a procedure involving filtration of multiple 1 L water samples with 0.45‐µm enclosed filters, to recover both high quality and high concentrations of eDNA from targeted species, and subsequent processing of independent DNA extracts with the ddPCR method.","container-title":"Enviro</w:instrText>
      </w:r>
      <w:r w:rsidR="00C82026" w:rsidRPr="009962A9">
        <w:rPr>
          <w:rFonts w:ascii="Times New Roman" w:eastAsia="Times New Roman" w:hAnsi="Times New Roman" w:cs="Times New Roman"/>
          <w:sz w:val="24"/>
          <w:szCs w:val="24"/>
        </w:rPr>
        <w:instrText>nmental DNA","DOI":"10.1002/edn3.52","ISSN":"2637-4943, 263</w:instrText>
      </w:r>
      <w:r w:rsidR="00C82026" w:rsidRPr="00C82026">
        <w:rPr>
          <w:rFonts w:ascii="Times New Roman" w:eastAsia="Times New Roman" w:hAnsi="Times New Roman" w:cs="Times New Roman"/>
          <w:sz w:val="24"/>
          <w:szCs w:val="24"/>
        </w:rPr>
        <w:instrText xml:space="preserve">7-4943","journalAbbreviation":"Environmental DNA","language":"en","page":"edn3.52","source":"DOI.org (Crossref)","title":"Effects of filtration methods and water volume on the quantification of brown trout ( &lt;i&gt;Salmo trutta&lt;/i&gt; ) and Arctic char ( &lt;i&gt;Salvelinus alpinus&lt;/i&gt; ) eDNA concentrations via droplet digital PCR","author":[{"family":"Capo","given":"Eric"},{"family":"Spong","given":"Göran"},{"family":"Königsson","given":"Helena"},{"family":"Byström","given":"Pär"}],"issued":{"date-parts":[["2019",11,17]]}}},{"id":6109,"uris":["http://zotero.org/users/3033072/items/4KMNRVXG"],"uri":["http://zotero.org/users/3033072/items/4KMNRVXG"],"itemData":{"id":6109,"type":"article-journal","container-title":"Scientific Reports","DOI":"10.1038/s41598-018-37001-y","ISSN":"2045-2322","issue":"1","language":"en","source":"Crossref","title":"Influence of accuracy, repeatability and detection probability in the reliability of species-specific eDNA based approaches","URL":"http://www.nature.com/articles/s41598-018-37001-y","volume":"9","author":[{"family":"Mauvisseau","given":"Quentin"},{"family":"Burian","given":"Alfred"},{"family":"Gibson","given":"Ceri"},{"family":"Brys","given":"Rein"},{"family":"Ramsey","given":"Andrew"},{"family":"Sweet","given":"Michael"}],"accessed":{"date-parts":[["2019",1,24]]},"issued":{"date-parts":[["2019"]]}}}],"schema":"https://github.com/citation-style-language/schema/raw/master/csl-citation.json"} </w:instrText>
      </w:r>
      <w:r w:rsidR="00C82026">
        <w:rPr>
          <w:rFonts w:ascii="Times New Roman" w:eastAsia="Times New Roman" w:hAnsi="Times New Roman" w:cs="Times New Roman"/>
          <w:sz w:val="24"/>
          <w:szCs w:val="24"/>
        </w:rPr>
        <w:fldChar w:fldCharType="separate"/>
      </w:r>
      <w:r w:rsidR="00C82026" w:rsidRPr="00C82026">
        <w:rPr>
          <w:rFonts w:ascii="Times New Roman" w:hAnsi="Times New Roman" w:cs="Times New Roman"/>
          <w:sz w:val="24"/>
          <w:szCs w:val="24"/>
        </w:rPr>
        <w:t xml:space="preserve">(Capo, </w:t>
      </w:r>
      <w:proofErr w:type="spellStart"/>
      <w:r w:rsidR="00C82026" w:rsidRPr="00C82026">
        <w:rPr>
          <w:rFonts w:ascii="Times New Roman" w:hAnsi="Times New Roman" w:cs="Times New Roman"/>
          <w:sz w:val="24"/>
          <w:szCs w:val="24"/>
        </w:rPr>
        <w:t>Spong</w:t>
      </w:r>
      <w:proofErr w:type="spellEnd"/>
      <w:r w:rsidR="00C82026" w:rsidRPr="00C82026">
        <w:rPr>
          <w:rFonts w:ascii="Times New Roman" w:hAnsi="Times New Roman" w:cs="Times New Roman"/>
          <w:sz w:val="24"/>
          <w:szCs w:val="24"/>
        </w:rPr>
        <w:t xml:space="preserve">, </w:t>
      </w:r>
      <w:proofErr w:type="spellStart"/>
      <w:r w:rsidR="00C82026" w:rsidRPr="00C82026">
        <w:rPr>
          <w:rFonts w:ascii="Times New Roman" w:hAnsi="Times New Roman" w:cs="Times New Roman"/>
          <w:sz w:val="24"/>
          <w:szCs w:val="24"/>
        </w:rPr>
        <w:t>Königsson</w:t>
      </w:r>
      <w:proofErr w:type="spellEnd"/>
      <w:r w:rsidR="00C82026" w:rsidRPr="00C82026">
        <w:rPr>
          <w:rFonts w:ascii="Times New Roman" w:hAnsi="Times New Roman" w:cs="Times New Roman"/>
          <w:sz w:val="24"/>
          <w:szCs w:val="24"/>
        </w:rPr>
        <w:t>, &amp; Byström, 2019; Mauvisseau et al., 2019)</w:t>
      </w:r>
      <w:r w:rsidR="00C82026">
        <w:rPr>
          <w:rFonts w:ascii="Times New Roman" w:eastAsia="Times New Roman" w:hAnsi="Times New Roman" w:cs="Times New Roman"/>
          <w:sz w:val="24"/>
          <w:szCs w:val="24"/>
        </w:rPr>
        <w:fldChar w:fldCharType="end"/>
      </w:r>
      <w:r w:rsidRPr="00C82026">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 xml:space="preserve">Implementation of field replication would also enable the application of </w:t>
      </w:r>
      <w:r w:rsidR="00415040">
        <w:rPr>
          <w:rFonts w:ascii="Times New Roman" w:eastAsia="Times New Roman" w:hAnsi="Times New Roman" w:cs="Times New Roman"/>
          <w:sz w:val="24"/>
          <w:szCs w:val="24"/>
        </w:rPr>
        <w:t>occupancy models and other</w:t>
      </w:r>
      <w:r>
        <w:rPr>
          <w:rFonts w:ascii="Times New Roman" w:eastAsia="Times New Roman" w:hAnsi="Times New Roman" w:cs="Times New Roman"/>
          <w:sz w:val="24"/>
          <w:szCs w:val="24"/>
        </w:rPr>
        <w:t xml:space="preserve"> post-processing </w:t>
      </w:r>
      <w:r>
        <w:rPr>
          <w:rFonts w:ascii="Times New Roman" w:eastAsia="Times New Roman" w:hAnsi="Times New Roman" w:cs="Times New Roman"/>
          <w:sz w:val="24"/>
          <w:szCs w:val="24"/>
        </w:rPr>
        <w:lastRenderedPageBreak/>
        <w:t xml:space="preserve">tools to increase the robustness of data interpretation and decision-making processes </w:t>
      </w:r>
      <w:r w:rsidR="00C82026">
        <w:rPr>
          <w:rFonts w:ascii="Times New Roman" w:eastAsia="Times New Roman" w:hAnsi="Times New Roman" w:cs="Times New Roman"/>
          <w:sz w:val="24"/>
          <w:szCs w:val="24"/>
        </w:rPr>
        <w:fldChar w:fldCharType="begin"/>
      </w:r>
      <w:r w:rsidR="00C82026">
        <w:rPr>
          <w:rFonts w:ascii="Times New Roman" w:eastAsia="Times New Roman" w:hAnsi="Times New Roman" w:cs="Times New Roman"/>
          <w:sz w:val="24"/>
          <w:szCs w:val="24"/>
        </w:rPr>
        <w:instrText xml:space="preserve"> ADDIN ZOTERO_ITEM CSL_CITATION {"citationID":"FCzkbx3Z","properties":{"formattedCitation":"(Burian et al., 2021)","plainCitation":"(Burian et al., 2021)","noteIndex":0},"citationItems":[{"id":11098,"uris":["http://zotero.org/users/3033072/items/5HDRKLMR"],"uri":["http://zotero.org/users/3033072/items/5HDRKLMR"],"itemData":{"id":11098,"type":"article-journal","abstract":"Global declines in biodiversity highlight the need to effectively monitor the density and distribution of threatened species. In recent years, molecular survey methods detecting DNA released by target-s­ pecies into their environment (eDNA) have been rapidly on the rise. Despite providing new, cost-e­ffective tools for conservation, eDNA-­based methods are prone to errors. Best field and laboratory practices can mitigate some, but the risks of errors cannot be eliminated and need to be accounted for. Here, we synthesize recent advances in data processing tools that increase the reliability of interpretations drawn from eDNA data. We review advances in occupancy models to consider spatial data-s­tructures and simultaneously assess rates of false positive and negative results. Further, we introduce process-­based models and the integration of metabarcoding data as complementing approaches to increase the reliability of target-s­ pecies assessments. These tools will be most effective when capitalizing on multi-s­ ource data sets collating eDNA with classical survey and citizen-­ science approaches, paving the way for more robust decision-­making processes in conservation planning.","container-title":"Molecular Ecology Resources","DOI":"10.1111/1755-0998.13367","ISSN":"1755-098X, 1755-0998","journalAbbreviation":"Mol Ecol Resour","language":"en","page":"1755-0998.13367","source":"DOI.org (Crossref)","title":"Improving the reliability of eDNA data interpretation","author":[{"family":"Burian","given":"Alfred"},{"family":"Mauvisseau","given":"Quentin"},{"family":"Bulling","given":"Mark"},{"family":"Domisch","given":"Sami"},{"family":"Qian","given":"Song"},{"family":"Sweet","given":"Michael"}],"issued":{"date-parts":[["2021",3,25]]}}}],"schema":"https://github.com/citation-style-language/schema/raw/master/csl-citation.json"} </w:instrText>
      </w:r>
      <w:r w:rsidR="00C82026">
        <w:rPr>
          <w:rFonts w:ascii="Times New Roman" w:eastAsia="Times New Roman" w:hAnsi="Times New Roman" w:cs="Times New Roman"/>
          <w:sz w:val="24"/>
          <w:szCs w:val="24"/>
        </w:rPr>
        <w:fldChar w:fldCharType="separate"/>
      </w:r>
      <w:r w:rsidR="00C82026" w:rsidRPr="00C82026">
        <w:rPr>
          <w:rFonts w:ascii="Times New Roman" w:hAnsi="Times New Roman" w:cs="Times New Roman"/>
          <w:sz w:val="24"/>
        </w:rPr>
        <w:t>(Burian et al., 2021)</w:t>
      </w:r>
      <w:r w:rsidR="00C82026">
        <w:rPr>
          <w:rFonts w:ascii="Times New Roman" w:eastAsia="Times New Roman" w:hAnsi="Times New Roman" w:cs="Times New Roman"/>
          <w:sz w:val="24"/>
          <w:szCs w:val="24"/>
        </w:rPr>
        <w:fldChar w:fldCharType="end"/>
      </w:r>
      <w:r>
        <w:rPr>
          <w:rFonts w:ascii="Times New Roman" w:eastAsia="Times New Roman" w:hAnsi="Times New Roman" w:cs="Times New Roman"/>
          <w:sz w:val="24"/>
          <w:szCs w:val="24"/>
        </w:rPr>
        <w:t xml:space="preserve">. Another </w:t>
      </w:r>
      <w:r w:rsidR="00415040">
        <w:rPr>
          <w:rFonts w:ascii="Times New Roman" w:eastAsia="Times New Roman" w:hAnsi="Times New Roman" w:cs="Times New Roman"/>
          <w:sz w:val="24"/>
          <w:szCs w:val="24"/>
        </w:rPr>
        <w:t xml:space="preserve">exciting possibility is to </w:t>
      </w:r>
      <w:r w:rsidR="009A29CD">
        <w:rPr>
          <w:rFonts w:ascii="Times New Roman" w:eastAsia="Times New Roman" w:hAnsi="Times New Roman" w:cs="Times New Roman"/>
          <w:sz w:val="24"/>
          <w:szCs w:val="24"/>
        </w:rPr>
        <w:t>combine</w:t>
      </w:r>
      <w:r w:rsidR="00415040">
        <w:rPr>
          <w:rFonts w:ascii="Times New Roman" w:eastAsia="Times New Roman" w:hAnsi="Times New Roman" w:cs="Times New Roman"/>
          <w:sz w:val="24"/>
          <w:szCs w:val="24"/>
        </w:rPr>
        <w:t xml:space="preserve"> metabarcoding with the quantification </w:t>
      </w:r>
      <w:r>
        <w:rPr>
          <w:rFonts w:ascii="Times New Roman" w:eastAsia="Times New Roman" w:hAnsi="Times New Roman" w:cs="Times New Roman"/>
          <w:sz w:val="24"/>
          <w:szCs w:val="24"/>
        </w:rPr>
        <w:t xml:space="preserve">of eDNA </w:t>
      </w:r>
      <w:r w:rsidR="00415040">
        <w:rPr>
          <w:rFonts w:ascii="Times New Roman" w:eastAsia="Times New Roman" w:hAnsi="Times New Roman" w:cs="Times New Roman"/>
          <w:sz w:val="24"/>
          <w:szCs w:val="24"/>
        </w:rPr>
        <w:t xml:space="preserve">in a sample </w:t>
      </w:r>
      <w:r w:rsidR="00C82026">
        <w:rPr>
          <w:rFonts w:ascii="Times New Roman" w:eastAsia="Times New Roman" w:hAnsi="Times New Roman" w:cs="Times New Roman"/>
          <w:sz w:val="24"/>
          <w:szCs w:val="24"/>
        </w:rPr>
        <w:fldChar w:fldCharType="begin"/>
      </w:r>
      <w:r w:rsidR="004E3D44">
        <w:rPr>
          <w:rFonts w:ascii="Times New Roman" w:eastAsia="Times New Roman" w:hAnsi="Times New Roman" w:cs="Times New Roman"/>
          <w:sz w:val="24"/>
          <w:szCs w:val="24"/>
        </w:rPr>
        <w:instrText xml:space="preserve"> ADDIN ZOTERO_ITEM CSL_CITATION {"citationID":"HGAsrdSP","properties":{"unsorted":true,"formattedCitation":"(Shelton et al., 2019; Everts et al., 2021)","plainCitation":"(Shelton et al., 2019; Everts et al., 2021)","noteIndex":0},"citationItems":[{"id":7196,"uris":["http://zotero.org/users/3033072/items/KXLAKPV8"],"uri":["http://zotero.org/users/3033072/items/KXLAKPV8"],"itemData":{"id":7196,"type":"article-journal","abstract":"Species of conservation interest are often rare or elusive, and often require labor-intensive population surveys for management. Sampling genetic traces of such species from environmental media such as water, air, or soil (environmental DNA; eDNA) can provide noninvasive and cost-eﬀective means of monitoring. However, eDNA results may not align with traditional survey methods (e.g., visual, net) making it diﬃcult to interpret eDNA results. We present the results of parallel beach seine and quantitative-PCR (qPCR) surveys of a threatened Chinook salmon (Oncorhynchus tshawytscha) from Skagit Bay, an estuary in Washington, USA. Our replicated design and hierarchical statistical model assesses the abundance, biomass, and DNA concentration at two spatial scales (site- and population-) over ﬁve months. We ﬁnd both eDNA- and seine-derived abundance indices reﬂect the seasonal migration of salmon; at the population-scale, eDNA and seines provide virtually identical quantitative information. At the site scale, the methods are less correlated, suggesting the methods reveal diﬀerent information about a patchily distributed species. Environmental DNA may act to smooth otherwise patchy biological signals in space and time. Reduced within-site variability for eDNA relative to seines suggests that eDNA may oﬀer more precise population estimates. We partition sources of variability in space and time and compare eDNA and seine surveys – a ﬁrst, to our knowledge – and so reveal the behavior of eDNA in the ﬁeld. Our results underscore the value of using eDNA in conjunction with traditional surveys. Combining eDNA and seine estimates should improve the population data on which management of threatened species depends.","container-title":"Biological Conservation","DOI":"10.1016/j.biocon.2019.07.003","ISSN":"00063207","journalAbbreviation":"Biological Conservation","language":"en","page":"383-391","source":"DOI.org (Crossref)","title":"Environmental DNA provides quantitative estimates of a threatened salmon species","volume":"237","author":[{"family":"Shelton","given":"Andrew Olaf"},{"family":"Kelly","given":"Ryan P."},{"family":"O'Donnell","given":"James L."},{"family":"Park","given":"Linda"},{"family":"Schwenke","given":"Piper"},{"family":"Greene","given":"Correigh"},{"family":"Henderson","given":"Richard A."},{"family":"Beamer","given":"Eric M."}],"issued":{"date-parts":[["2019",9]]}}},{"id":11181,"uris":["http://zotero.org/users/3033072/items/LSGZBSJI"],"uri":["http://zotero.org/users/3033072/items/LSGZBSJI"],"itemData":{"id":11181,"type":"article-journal","abstract":"Abstract\n            \n              The invasive American bullfrog (\n              Lithobates catesbeianus\n              ) imperils freshwater biodiversity worldwide. Effective management hinges on early detection of incipient invasions and subsequent rapid response, as established populations are extremely difficult to eradicate. Although environmental DNA (eDNA) detection methods provide a highly sensitive alternative to conventional surveillance techniques, extensive testing is imperative to generate reliable output. Here, we tested and compared the performance of two primer/probe assays to detect and quantify the abundance of bullfrogs in Western Europe in silico and in situ using digital droplet PCR (ddPCR). Although both assays proved to be equally target-specific and sensitive, one outperformed the other in ddPCR detection resolution (i.e\n              .\n              , distinguishing groups of target-positive and target-negative droplets), and hence was selected for further analyses. Mesocosm experiments revealed that tadpole abundance and biomass explained 99% of the variation in eDNA concentration. Because per individual eDNA emission rates did not differ significantly among tadpoles and juveniles, and adults mostly reside out of the water, eDNA concentration can be used as an approximation of l</w:instrText>
      </w:r>
      <w:r w:rsidR="004E3D44" w:rsidRPr="004E3D44">
        <w:rPr>
          <w:rFonts w:ascii="Times New Roman" w:eastAsia="Times New Roman" w:hAnsi="Times New Roman" w:cs="Times New Roman"/>
          <w:sz w:val="24"/>
          <w:szCs w:val="24"/>
        </w:rPr>
        <w:instrText xml:space="preserve">ocal bullfrog abundance in natural populations. Seasonal eDNA patterns in three colonized ponds showed parallel fluctuations in bullfrog eDNA concentration. An increase in eDNA concentration was detected in spring, followed by a strong peak coinciding with the breeding season (August, September or October), and continuously low eDNA concentrations during winter. With this study, we report the validation process required for appropriately implementing eDNA barcoding analyses in lentic systems. We demonstrate that this technique can serve as a solid and reliable tool to detect the early stages of bullfrog invasions and to quantify temporal changes in abundance that will be useful in coordinating large-scale bullfrog eradication programs and evaluating their efficiency.","container-title":"Scientific Reports","DOI":"10.1038/s41598-021-90771-w","ISSN":"2045-2322","issue":"1","journalAbbreviation":"Sci Rep","language":"en","page":"11282","source":"DOI.org (Crossref)","title":"Accurate detection and quantification of seasonal abundance of American bullfrog (Lithobates catesbeianus) using ddPCR eDNA assays","volume":"11","author":[{"family":"Everts","given":"Teun"},{"family":"Halfmaerten","given":"David"},{"family":"Neyrinck","given":"Sabrina"},{"family":"De Regge","given":"Nico"},{"family":"Jacquemyn","given":"Hans"},{"family":"Brys","given":"Rein"}],"issued":{"date-parts":[["2021",12]]}}}],"schema":"https://github.com/citation-style-language/schema/raw/master/csl-citation.json"} </w:instrText>
      </w:r>
      <w:r w:rsidR="00C82026">
        <w:rPr>
          <w:rFonts w:ascii="Times New Roman" w:eastAsia="Times New Roman" w:hAnsi="Times New Roman" w:cs="Times New Roman"/>
          <w:sz w:val="24"/>
          <w:szCs w:val="24"/>
        </w:rPr>
        <w:fldChar w:fldCharType="separate"/>
      </w:r>
      <w:r w:rsidR="004E3D44" w:rsidRPr="004E3D44">
        <w:rPr>
          <w:rFonts w:ascii="Times New Roman" w:hAnsi="Times New Roman" w:cs="Times New Roman"/>
          <w:sz w:val="24"/>
        </w:rPr>
        <w:t>(Shelton et al., 2019; Everts et al., 2021)</w:t>
      </w:r>
      <w:r w:rsidR="00C82026">
        <w:rPr>
          <w:rFonts w:ascii="Times New Roman" w:eastAsia="Times New Roman" w:hAnsi="Times New Roman" w:cs="Times New Roman"/>
          <w:sz w:val="24"/>
          <w:szCs w:val="24"/>
        </w:rPr>
        <w:fldChar w:fldCharType="end"/>
      </w:r>
      <w:r w:rsidR="00333AAC" w:rsidRPr="004E3D44">
        <w:rPr>
          <w:rFonts w:ascii="Times New Roman" w:eastAsia="Times New Roman" w:hAnsi="Times New Roman" w:cs="Times New Roman"/>
          <w:sz w:val="24"/>
          <w:szCs w:val="24"/>
        </w:rPr>
        <w:t xml:space="preserve">. </w:t>
      </w:r>
      <w:r w:rsidR="00333AAC">
        <w:rPr>
          <w:rFonts w:ascii="Times New Roman" w:eastAsia="Times New Roman" w:hAnsi="Times New Roman" w:cs="Times New Roman"/>
          <w:sz w:val="24"/>
          <w:szCs w:val="24"/>
        </w:rPr>
        <w:t>Such quantification</w:t>
      </w:r>
      <w:r>
        <w:rPr>
          <w:rFonts w:ascii="Times New Roman" w:eastAsia="Times New Roman" w:hAnsi="Times New Roman" w:cs="Times New Roman"/>
          <w:sz w:val="24"/>
          <w:szCs w:val="24"/>
        </w:rPr>
        <w:t xml:space="preserve"> using </w:t>
      </w:r>
      <w:r w:rsidR="00333AAC">
        <w:rPr>
          <w:rFonts w:ascii="Times New Roman" w:eastAsia="Times New Roman" w:hAnsi="Times New Roman" w:cs="Times New Roman"/>
          <w:sz w:val="24"/>
          <w:szCs w:val="24"/>
        </w:rPr>
        <w:t>for example</w:t>
      </w:r>
      <w:r>
        <w:rPr>
          <w:rFonts w:ascii="Times New Roman" w:eastAsia="Times New Roman" w:hAnsi="Times New Roman" w:cs="Times New Roman"/>
          <w:sz w:val="24"/>
          <w:szCs w:val="24"/>
        </w:rPr>
        <w:t xml:space="preserve"> qPCR and droplet </w:t>
      </w:r>
      <w:r w:rsidR="00333AAC">
        <w:rPr>
          <w:rFonts w:ascii="Times New Roman" w:eastAsia="Times New Roman" w:hAnsi="Times New Roman" w:cs="Times New Roman"/>
          <w:sz w:val="24"/>
          <w:szCs w:val="24"/>
        </w:rPr>
        <w:t xml:space="preserve">digital </w:t>
      </w:r>
      <w:r>
        <w:rPr>
          <w:rFonts w:ascii="Times New Roman" w:eastAsia="Times New Roman" w:hAnsi="Times New Roman" w:cs="Times New Roman"/>
          <w:sz w:val="24"/>
          <w:szCs w:val="24"/>
        </w:rPr>
        <w:t>PCR (ddPCR)</w:t>
      </w:r>
      <w:r w:rsidR="00333AAC">
        <w:rPr>
          <w:rFonts w:ascii="Times New Roman" w:eastAsia="Times New Roman" w:hAnsi="Times New Roman" w:cs="Times New Roman"/>
          <w:sz w:val="24"/>
          <w:szCs w:val="24"/>
        </w:rPr>
        <w:t xml:space="preserve">, can be used to infer </w:t>
      </w:r>
      <w:r>
        <w:rPr>
          <w:rFonts w:ascii="Times New Roman" w:eastAsia="Times New Roman" w:hAnsi="Times New Roman" w:cs="Times New Roman"/>
          <w:sz w:val="24"/>
          <w:szCs w:val="24"/>
        </w:rPr>
        <w:t xml:space="preserve">fish biomass </w:t>
      </w:r>
      <w:r w:rsidR="004E3D44">
        <w:rPr>
          <w:rFonts w:ascii="Times New Roman" w:eastAsia="Times New Roman" w:hAnsi="Times New Roman" w:cs="Times New Roman"/>
          <w:sz w:val="24"/>
          <w:szCs w:val="24"/>
        </w:rPr>
        <w:fldChar w:fldCharType="begin"/>
      </w:r>
      <w:r w:rsidR="004E3D44">
        <w:rPr>
          <w:rFonts w:ascii="Times New Roman" w:eastAsia="Times New Roman" w:hAnsi="Times New Roman" w:cs="Times New Roman"/>
          <w:sz w:val="24"/>
          <w:szCs w:val="24"/>
        </w:rPr>
        <w:instrText xml:space="preserve"> ADDIN ZOTERO_ITEM CSL_CITATION {"citationID":"KkL8T1rI","properties":{"formattedCitation":"(Brys et al., 2020; Mauvisseau et al., 2021)","plainCitation":"(Brys et al., 2020; Mauvisseau et al., 2021)","noteIndex":0},"citationItems":[{"id":10582,"uris":["http://zotero.org/users/3033072/items/U4ELBH42"],"uri":["http://zotero.org/users/3033072/items/U4ELBH42"],"itemData":{"id":10582,"type":"article-journal","container-title":"Journal of Fish Biology","DOI":"10.1111/jfb.14315","ISSN":"0022-1112, 1095-8649","journalAbbreviation":"J Fish Biol","language":"en","page":"jfb.14315","source":"DOI.org (Crossref)","title":"Reliable eDNA detection and quantification of the European weather loach ( &lt;i&gt;Misgurnus fossilis&lt;/i&gt; )","author":[{"family":"Brys","given":"Rein"},{"family":"Halfmaerten","given":"David"},{"family":"Neyrinck","given":"Sabrina"},{"family":"Mauvisseau","given":"Quentin"},{"family":"Auwerx","given":"Johan"},{"family":"Sweet","given":"Michael"},{"family":"Mergeay","given":"Joachim"}],"issued":{"date-parts":[["2020",3,10]]}}},{"id":11074,"uris":["http://zotero.org/users/3033072/items/XJSXLP96"],"uri":["http://zotero.org/users/3033072/items/XJSXLP96"],"itemData":{"id":11074,"type":"article-journal","abstract":"Molecular-­based monitoring relying on environmental DNA (eDNA) detection became routinely used around the world in the last few years, especially in aquatic environments. The large potential and increasing applications of this technique calls for technical improvements to optimize the reliability of these surveys. An important technical aspect in the eDNA workflow is the appropriate preservation of samples taken in the field, as it can significantly affect eDNA recovery and ultimately false negative rates. In this study, we explored the efficiency of five different preservation strategies by using a controlled mesocosm experiment in which we included three fish communities of different composition. Specifically, we compared eDNA recovery in DNA extractions (a) performed immediately following collection, or after eight months storage from (b) frozen filters, (c) unfiltered water samples stored at −20°C, and filters preserved at room temperature with (d) Longmire and (e) Sarkosyl buffer. Effects of different preservation strategies were quantified using ddPCR measurements of three fish species (Neogobius melanostomus, Rutilus rutilus, and Lota lota) and total fish DNA content using group-­specific primers for Teleostei. Samples extracted immediately following collection without any further preservation yielded significantly less DNA compared to the other approaches. Overall, Longmire's buffer facilitated the best eDNA recovery across all fish species although approaches such as filter freezing or the use of Sarkosyl buffer yielded similar recovery results. Relative measurement variability, an important indicator for reliable eDNA quantification, was lowest when using Longmire's and Sarkosyl buffers and generally decreased when increasing eDNA quantity. Overall, our results clearly highlight the significant impact of sample preservation and how this can substantially affect the performance and reliability of eDNA-b­ ased approaches.","container-title":"Environmental DNA","DOI":"10.1002/edn3.188","ISSN":"2637-4943, 2637-4943","journalAbbreviation":"Environmental DNA","language":"en","page":"edn3.188","source":"DOI.org (Crossref)","title":"Effects of preservation strategies on environmental DNA detection and quantification using ddPCR","author":[{"family":"Mauvisseau","given":"Quentin"},{"family":"Halfmaerten","given":"David"},{"family":"Neyrinck","given":"Sabrina"},{"family":"Burian","given":"Alfred"},{"family":"Brys","given":"Rein"}],"issued":{"date-parts":[["2021",2,11]]}}}],"schema":"https://github.com/citation-style-language/schema/raw/master/csl-citation.json"} </w:instrText>
      </w:r>
      <w:r w:rsidR="004E3D44">
        <w:rPr>
          <w:rFonts w:ascii="Times New Roman" w:eastAsia="Times New Roman" w:hAnsi="Times New Roman" w:cs="Times New Roman"/>
          <w:sz w:val="24"/>
          <w:szCs w:val="24"/>
        </w:rPr>
        <w:fldChar w:fldCharType="separate"/>
      </w:r>
      <w:r w:rsidR="004E3D44" w:rsidRPr="004E3D44">
        <w:rPr>
          <w:rFonts w:ascii="Times New Roman" w:hAnsi="Times New Roman" w:cs="Times New Roman"/>
          <w:sz w:val="24"/>
        </w:rPr>
        <w:t>(Brys et al., 2020; Mauvisseau et al., 2021)</w:t>
      </w:r>
      <w:r w:rsidR="004E3D44">
        <w:rPr>
          <w:rFonts w:ascii="Times New Roman" w:eastAsia="Times New Roman" w:hAnsi="Times New Roman" w:cs="Times New Roman"/>
          <w:sz w:val="24"/>
          <w:szCs w:val="24"/>
        </w:rPr>
        <w:fldChar w:fldCharType="end"/>
      </w:r>
      <w:r w:rsidR="00333AAC">
        <w:rPr>
          <w:rFonts w:ascii="Times New Roman" w:eastAsia="Times New Roman" w:hAnsi="Times New Roman" w:cs="Times New Roman"/>
          <w:sz w:val="24"/>
          <w:szCs w:val="24"/>
        </w:rPr>
        <w:t xml:space="preserve">, which would </w:t>
      </w:r>
      <w:r w:rsidR="005346C6">
        <w:rPr>
          <w:rFonts w:ascii="Times New Roman" w:eastAsia="Times New Roman" w:hAnsi="Times New Roman" w:cs="Times New Roman"/>
          <w:sz w:val="24"/>
          <w:szCs w:val="24"/>
        </w:rPr>
        <w:t xml:space="preserve">provide very valuable additional information for the </w:t>
      </w:r>
      <w:r w:rsidR="00D77152">
        <w:rPr>
          <w:rFonts w:ascii="Times New Roman" w:eastAsia="Times New Roman" w:hAnsi="Times New Roman" w:cs="Times New Roman"/>
          <w:sz w:val="24"/>
          <w:szCs w:val="24"/>
        </w:rPr>
        <w:t xml:space="preserve">sustainable </w:t>
      </w:r>
      <w:r w:rsidR="005346C6">
        <w:rPr>
          <w:rFonts w:ascii="Times New Roman" w:eastAsia="Times New Roman" w:hAnsi="Times New Roman" w:cs="Times New Roman"/>
          <w:sz w:val="24"/>
          <w:szCs w:val="24"/>
        </w:rPr>
        <w:t>management of fish stocks</w:t>
      </w:r>
      <w:r>
        <w:rPr>
          <w:rFonts w:ascii="Times New Roman" w:eastAsia="Times New Roman" w:hAnsi="Times New Roman" w:cs="Times New Roman"/>
          <w:sz w:val="24"/>
          <w:szCs w:val="24"/>
        </w:rPr>
        <w:t>.</w:t>
      </w:r>
    </w:p>
    <w:p w14:paraId="272A7BC7" w14:textId="25CAEE56" w:rsidR="00AA054B" w:rsidRDefault="00EE4568" w:rsidP="00F66885">
      <w:pPr>
        <w:spacing w:after="0" w:line="480" w:lineRule="auto"/>
        <w:ind w:firstLine="22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Finally, current monitoring strategies in most Sub-Saharan countries rely strongly on centralised implementation structures, which are linked to substantial travel and field sampling costs. Our results and earlier studies have shown that eDNA-based tools provide an excellent basis for </w:t>
      </w:r>
      <w:r w:rsidR="000170AC">
        <w:rPr>
          <w:rFonts w:ascii="Times New Roman" w:eastAsia="Times New Roman" w:hAnsi="Times New Roman" w:cs="Times New Roman"/>
          <w:sz w:val="24"/>
          <w:szCs w:val="24"/>
        </w:rPr>
        <w:t xml:space="preserve">decentralised </w:t>
      </w:r>
      <w:r>
        <w:rPr>
          <w:rFonts w:ascii="Times New Roman" w:eastAsia="Times New Roman" w:hAnsi="Times New Roman" w:cs="Times New Roman"/>
          <w:sz w:val="24"/>
          <w:szCs w:val="24"/>
        </w:rPr>
        <w:t xml:space="preserve">community-based monitoring and citizen science initiatives </w:t>
      </w:r>
      <w:r w:rsidR="00FD038B">
        <w:rPr>
          <w:rFonts w:ascii="Times New Roman" w:eastAsia="Times New Roman" w:hAnsi="Times New Roman" w:cs="Times New Roman"/>
          <w:sz w:val="24"/>
          <w:szCs w:val="24"/>
        </w:rPr>
        <w:fldChar w:fldCharType="begin"/>
      </w:r>
      <w:r w:rsidR="00FD038B">
        <w:rPr>
          <w:rFonts w:ascii="Times New Roman" w:eastAsia="Times New Roman" w:hAnsi="Times New Roman" w:cs="Times New Roman"/>
          <w:sz w:val="24"/>
          <w:szCs w:val="24"/>
        </w:rPr>
        <w:instrText xml:space="preserve"> ADDIN ZOTERO_ITEM CSL_CITATION {"citationID":"fX11809u","properties":{"unsorted":true,"formattedCitation":"(Biggs et al., 2015; Aylagas et al., 2020; Howell, LaRue, &amp; Flanagan, 2021)","plainCitation":"(Biggs et al., 2015; Aylagas et al., 2020; Howell, LaRue, &amp; Flanagan, 2021)","noteIndex":0},"citationItems":[{"id":9623,"uris":["http://zotero.org/users/3033072/items/P3HV8UGU"],"uri":["http://zotero.org/users/3033072/items/P3HV8UGU"],"itemData":{"id":9623,"type":"article-journal","container-title":"Biological Conservation","DOI":"10.1016/j.biocon.2014.11.029","ISSN":"00063207","language":"en","page":"19-28","source":"CrossRef","title":"Using eDNA to develop a national citizen science-based monitoring programme for the great crested newt (&lt;i&gt;Triturus cristatus&lt;/i&gt;)","volume":"183","author":[{"family":"Biggs","given":"Jeremy"},{"family":"Ewald","given":"Naomi"},{"family":"Valentini","given":"Alice"},{"family":"Gaboriaud","given":"Coline"},{"family":"Dejean","given":"Tony"},{"family":"Griffiths","given":"Richard A."},{"family":"Foster","given":"Jim"},{"family":"Wilkinson","given":"John W."},{"family":"Arnell","given":"Andy"},{"family":"Brotherton","given":"Peter"},{"family":"Williams","given":"Penny"},{"family":"Dunn","given":"Francesca"}],"issued":{"date-parts":[["2015"]]}}},{"id":10801,"uris":["http://zotero.org/users/3033072/items/3BTUYZGT"],"uri":["http://zotero.org/users/3033072/items/3BTUYZGT"],"itemData":{"id":10801,"type":"article-journal","abstract":"Molecular-based approaches can provide timely biodiversity assessments, showing an immense potential to facilitate decision-making in marine environmental management. However, the uptake of molecular data into environmental policy remains minimal. Here, we showcase a selection of local to global scale studies applying molecular-based methodologies for environmental management at various stages of implementation. Drawing upon lessons learned from these case-studies, we provide a roadmap to facilitate applications of DNA-based methods to marine policies and to overcome the existing challenges. The main impediment identified is the need for standardized protocols to guarantee data comparison across spatial and temporal scales. Adoption of Translational Molecular Ecology – the sustained collaboration between molecular ecologists and stakeholders, will enhance consensus with regards to the objectives, methods, and outcomes of environmental management projects. Establishing a sustained dialogue among stakeholders is the key to accelerating the adoption of molecular-based approaches for marine monitoring and assessment.","container-title":"Science of The Total Environment","DOI":"10.1016/j.scitotenv.2020.140780","ISSN":"00489697","journalAbbreviation":"Science of The Total Environment","language":"en","page":"140780","source":"DOI.org (Crossref)","title":"Translational Molecular Ecology in practice: Linking DNA-based methods to actionable marine environmental management","title-short":"Translational Molecular Ecology in practice","volume":"744","author":[{"family":"Aylagas","given":"Eva"},{"family":"Borja","given":"Angel"},{"family":"Pochon","given":"Xavier"},{"family":"Zaiko","given":"Anastasija"},{"family":"Keeley","given":"Nigel"},{"family":"Bruce","given":"Kat"},{"family":"Hong","given":"Peiying"},{"family":"Ruiz","given":"Gregory M."},{"family":"Stein","given":"Eric D."},{"family":"Theroux","given":"Susanna"},{"family":"Geraldi","given":"Nathan"},{"family":"Ortega","given":"Alejandra"},{"family":"Gajdzik","given":"Laura"},{"family":"Coker","given":"Darren J."},{"family":"Katan","given":"Yasser"},{"family":"Hikmawan","given":"Tyas"},{"family":"Saleem","given":"Ammar"},{"family":"Alamer","given":"Sultan"},{"family":"Jones","given":"Burton H."},{"family":"Duarte","given":"Carlos M."},{"family":"Pearman","given":"John"},{"family":"Carvalho","given":"Susana"}],"issued":{"date-parts":[["2020",11]]}}},{"id":11407,"uris":["http://zotero.org/users/3033072/items/D3FE766W"],"uri":["http://zotero.org/users/3033072/items/D3FE766W"],"itemData":{"id":11407,"type":"article-journal","abstract":"Antarctica is home to numerous species that are vulnerable to environmental change, and assessing species responses requires long-term monitoring. However, Antarctica’s extreme nature presents limitations to conducting the type of long-term or broad-scale studies necessary for understanding changes in community composition. In this paper, we evaluate the potential for the use of environmental DNA (eDNA) methods in expanding scientiﬁc research eﬀorts for biodiversity monitoring and conservation genetics in Antarctica. Through a systematic literature review, we identify that most Antarctic eDNA studies have focused on microbial metabarcoding using samples from soil, sediment, snow, and water. Few eDNA studies in Antarctica have focused on vertebrate biodiversity or population genetics, but we highlight several examples that have eﬀectively and creatively used eDNA to study vertebrates. We highlight the potential for the use of portable sequencing technologies in the future of Antarctic eDNA research. We conclude that eDNA could be a valuable tool for researchers in their eﬀorts to assess, monitor, and conserve biodiversity in the Antarctic.","container-title":"New Zealand Journal of Zoology","DOI":"10.1080/03014223.2021.1900299","ISSN":"0301-4223, 1175-8821","issue":"3-4","journalAbbreviation":"New Zealand Journal of Zoology","language":"en","page":"245-262","source":"DOI.org (Crossref)","title":"Environmental DNA as a tool for monitoring Antarctic vertebrates","volume":"48","author":[{"family":"Howell","given":"Lucy"},{"family":"LaRue","given":"Michelle"},{"family":"Flanagan","given":"Sarah P."}],"issued":{"date-parts":[["2021",10,2]]}}}],"schema":"https://github.com/citation-style-language/schema/raw/master/csl-citation.json"} </w:instrText>
      </w:r>
      <w:r w:rsidR="00FD038B">
        <w:rPr>
          <w:rFonts w:ascii="Times New Roman" w:eastAsia="Times New Roman" w:hAnsi="Times New Roman" w:cs="Times New Roman"/>
          <w:sz w:val="24"/>
          <w:szCs w:val="24"/>
        </w:rPr>
        <w:fldChar w:fldCharType="separate"/>
      </w:r>
      <w:r w:rsidR="00FD038B" w:rsidRPr="00FD038B">
        <w:rPr>
          <w:rFonts w:ascii="Times New Roman" w:hAnsi="Times New Roman" w:cs="Times New Roman"/>
          <w:sz w:val="24"/>
        </w:rPr>
        <w:t>(Biggs et al., 2015; Aylagas et al., 2020; Howell, LaRue, &amp; Flanagan, 2021)</w:t>
      </w:r>
      <w:r w:rsidR="00FD038B">
        <w:rPr>
          <w:rFonts w:ascii="Times New Roman" w:eastAsia="Times New Roman" w:hAnsi="Times New Roman" w:cs="Times New Roman"/>
          <w:sz w:val="24"/>
          <w:szCs w:val="24"/>
        </w:rPr>
        <w:fldChar w:fldCharType="end"/>
      </w:r>
      <w:r w:rsidR="000170AC">
        <w:rPr>
          <w:rFonts w:ascii="Times New Roman" w:eastAsia="Times New Roman" w:hAnsi="Times New Roman" w:cs="Times New Roman"/>
          <w:sz w:val="24"/>
          <w:szCs w:val="24"/>
        </w:rPr>
        <w:t>. Such initiatives would be very well suited to complemented centralised survey efforts and thereby help to reduce associated costs for flights, per diems, boat time, fuel, etc. The freed</w:t>
      </w:r>
      <w:r w:rsidR="00ED2D76">
        <w:rPr>
          <w:rFonts w:ascii="Times New Roman" w:eastAsia="Times New Roman" w:hAnsi="Times New Roman" w:cs="Times New Roman"/>
          <w:sz w:val="24"/>
          <w:szCs w:val="24"/>
        </w:rPr>
        <w:t>-up</w:t>
      </w:r>
      <w:r w:rsidR="000170AC">
        <w:rPr>
          <w:rFonts w:ascii="Times New Roman" w:eastAsia="Times New Roman" w:hAnsi="Times New Roman" w:cs="Times New Roman"/>
          <w:sz w:val="24"/>
          <w:szCs w:val="24"/>
        </w:rPr>
        <w:t xml:space="preserve"> resources could then be used to extent survey efforts </w:t>
      </w:r>
      <w:r w:rsidR="00ED2D76">
        <w:rPr>
          <w:rFonts w:ascii="Times New Roman" w:eastAsia="Times New Roman" w:hAnsi="Times New Roman" w:cs="Times New Roman"/>
          <w:sz w:val="24"/>
          <w:szCs w:val="24"/>
        </w:rPr>
        <w:t>and the coverage of</w:t>
      </w:r>
      <w:r w:rsidR="000170AC">
        <w:rPr>
          <w:rFonts w:ascii="Times New Roman" w:eastAsia="Times New Roman" w:hAnsi="Times New Roman" w:cs="Times New Roman"/>
          <w:sz w:val="24"/>
          <w:szCs w:val="24"/>
        </w:rPr>
        <w:t xml:space="preserve"> remote and currently often marginalised regions. </w:t>
      </w:r>
      <w:r w:rsidR="00ED2D76">
        <w:rPr>
          <w:rFonts w:ascii="Times New Roman" w:eastAsia="Times New Roman" w:hAnsi="Times New Roman" w:cs="Times New Roman"/>
          <w:sz w:val="24"/>
          <w:szCs w:val="24"/>
        </w:rPr>
        <w:t xml:space="preserve">eDNA preservation techniques can </w:t>
      </w:r>
      <w:r w:rsidR="008636FC">
        <w:rPr>
          <w:rFonts w:ascii="Times New Roman" w:eastAsia="Times New Roman" w:hAnsi="Times New Roman" w:cs="Times New Roman"/>
          <w:sz w:val="24"/>
          <w:szCs w:val="24"/>
        </w:rPr>
        <w:t>play an important role</w:t>
      </w:r>
      <w:r w:rsidR="00C43156">
        <w:rPr>
          <w:rFonts w:ascii="Times New Roman" w:eastAsia="Times New Roman" w:hAnsi="Times New Roman" w:cs="Times New Roman"/>
          <w:sz w:val="24"/>
          <w:szCs w:val="24"/>
        </w:rPr>
        <w:t xml:space="preserve"> in</w:t>
      </w:r>
      <w:r w:rsidR="008636FC">
        <w:rPr>
          <w:rFonts w:ascii="Times New Roman" w:eastAsia="Times New Roman" w:hAnsi="Times New Roman" w:cs="Times New Roman"/>
          <w:sz w:val="24"/>
          <w:szCs w:val="24"/>
        </w:rPr>
        <w:t xml:space="preserve"> </w:t>
      </w:r>
      <w:r w:rsidR="00ED2D76">
        <w:rPr>
          <w:rFonts w:ascii="Times New Roman" w:eastAsia="Times New Roman" w:hAnsi="Times New Roman" w:cs="Times New Roman"/>
          <w:sz w:val="24"/>
          <w:szCs w:val="24"/>
        </w:rPr>
        <w:t>support</w:t>
      </w:r>
      <w:r w:rsidR="008636FC">
        <w:rPr>
          <w:rFonts w:ascii="Times New Roman" w:eastAsia="Times New Roman" w:hAnsi="Times New Roman" w:cs="Times New Roman"/>
          <w:sz w:val="24"/>
          <w:szCs w:val="24"/>
        </w:rPr>
        <w:t>ing</w:t>
      </w:r>
      <w:r w:rsidR="00ED2D76">
        <w:rPr>
          <w:rFonts w:ascii="Times New Roman" w:eastAsia="Times New Roman" w:hAnsi="Times New Roman" w:cs="Times New Roman"/>
          <w:sz w:val="24"/>
          <w:szCs w:val="24"/>
        </w:rPr>
        <w:t xml:space="preserve"> such efforts as they facilitate</w:t>
      </w:r>
      <w:r w:rsidR="00C43156">
        <w:rPr>
          <w:rFonts w:ascii="Times New Roman" w:eastAsia="Times New Roman" w:hAnsi="Times New Roman" w:cs="Times New Roman"/>
          <w:sz w:val="24"/>
          <w:szCs w:val="24"/>
        </w:rPr>
        <w:t xml:space="preserve"> the</w:t>
      </w:r>
      <w:r w:rsidR="00ED2D76">
        <w:rPr>
          <w:rFonts w:ascii="Times New Roman" w:eastAsia="Times New Roman" w:hAnsi="Times New Roman" w:cs="Times New Roman"/>
          <w:sz w:val="24"/>
          <w:szCs w:val="24"/>
        </w:rPr>
        <w:t xml:space="preserve"> storage of samples at ambient temperatures without </w:t>
      </w:r>
      <w:r w:rsidR="008636FC">
        <w:rPr>
          <w:rFonts w:ascii="Times New Roman" w:eastAsia="Times New Roman" w:hAnsi="Times New Roman" w:cs="Times New Roman"/>
          <w:sz w:val="24"/>
          <w:szCs w:val="24"/>
        </w:rPr>
        <w:t>eDNA</w:t>
      </w:r>
      <w:r w:rsidR="00ED2D76">
        <w:rPr>
          <w:rFonts w:ascii="Times New Roman" w:eastAsia="Times New Roman" w:hAnsi="Times New Roman" w:cs="Times New Roman"/>
          <w:sz w:val="24"/>
          <w:szCs w:val="24"/>
        </w:rPr>
        <w:t xml:space="preserve"> degradation </w:t>
      </w:r>
      <w:r w:rsidR="008636FC">
        <w:rPr>
          <w:rFonts w:ascii="Times New Roman" w:eastAsia="Times New Roman" w:hAnsi="Times New Roman" w:cs="Times New Roman"/>
          <w:sz w:val="24"/>
          <w:szCs w:val="24"/>
        </w:rPr>
        <w:t xml:space="preserve">for several months </w:t>
      </w:r>
      <w:r w:rsidR="00617238">
        <w:rPr>
          <w:rFonts w:ascii="Times New Roman" w:eastAsia="Times New Roman" w:hAnsi="Times New Roman" w:cs="Times New Roman"/>
          <w:sz w:val="24"/>
          <w:szCs w:val="24"/>
        </w:rPr>
        <w:fldChar w:fldCharType="begin"/>
      </w:r>
      <w:r w:rsidR="00617238">
        <w:rPr>
          <w:rFonts w:ascii="Times New Roman" w:eastAsia="Times New Roman" w:hAnsi="Times New Roman" w:cs="Times New Roman"/>
          <w:sz w:val="24"/>
          <w:szCs w:val="24"/>
        </w:rPr>
        <w:instrText xml:space="preserve"> ADDIN ZOTERO_ITEM CSL_CITATION {"citationID":"y5t45DsK","properties":{"formattedCitation":"(Mauvisseau et al., 2021)","plainCitation":"(Mauvisseau et al., 2021)","noteIndex":0},"citationItems":[{"id":11074,"uris":["http://zotero.org/users/3033072/items/XJSXLP96"],"uri":["http://zotero.org/users/3033072/items/XJSXLP96"],"itemData":{"id":11074,"type":"article-journal","abstract":"Molecular-­based monitoring relying on environmental DNA (eDNA) detection became routinely used around the world in the last few years, especially in aquatic environments. The large potential and increasing applications of this technique calls for technical improvements to optimize the reliability of these surveys. An important technical aspect in the eDNA workflow is the appropriate preservation of samples taken in the field, as it can significantly affect eDNA recovery and ultimately false negative rates. In this study, we explored the efficiency of five different preservation strategies by using a controlled mesocosm experiment in which we included three fish communities of different composition. Specifically, we compared eDNA recovery in DNA extractions (a) performed immediately following collection, or after eight months storage from (b) frozen filters, (c) unfiltered water samples stored at −20°C, and filters preserved at room temperature with (d) Longmire and (e) Sarkosyl buffer. Effects of different preservation strategies were quantified using ddPCR measurements of three fish species (Neogobius melanostomus, Rutilus rutilus, and Lota lota) and total fish DNA content using group-­specific primers for Teleostei. Samples extracted immediately following collection without any further preservation yielded significantly less DNA compared to the other approaches. Overall, Longmire's buffer facilitated the best eDNA recovery across all fish species although approaches such as filter freezing or the use of Sarkosyl buffer yielded similar recovery results. Relative measurement variability, an important indicator for reliable eDNA quantification, was lowest when using Longmire's and Sarkosyl buffers and generally decreased when increasing eDNA quantity. Overall, our results clearly highlight the significant impact of sample preservation and how this can substantially affect the performance and reliability of eDNA-b­ ased approaches.","container-title":"Environmental DNA","DOI":"10.1002/edn3.188","ISSN":"2637-4943, 2637-4943","journalAbbreviation":"Environmental DNA","language":"en","page":"edn3.188","source":"DOI.org (Crossref)","title":"Effects of preservation strategies on environmental DNA detection and quantification using ddPCR","author":[{"family":"Mauvisseau","given":"Quentin"},{"family":"Halfmaerten","given":"David"},{"family":"Neyrinck","given":"Sabrina"},{"family":"Burian","given":"Alfred"},{"family":"Brys","given":"Rein"}],"issued":{"date-parts":[["2021",2,11]]}}}],"schema":"https://github.com/citation-style-language/schema/raw/master/csl-citation.json"} </w:instrText>
      </w:r>
      <w:r w:rsidR="00617238">
        <w:rPr>
          <w:rFonts w:ascii="Times New Roman" w:eastAsia="Times New Roman" w:hAnsi="Times New Roman" w:cs="Times New Roman"/>
          <w:sz w:val="24"/>
          <w:szCs w:val="24"/>
        </w:rPr>
        <w:fldChar w:fldCharType="separate"/>
      </w:r>
      <w:r w:rsidR="00617238" w:rsidRPr="00617238">
        <w:rPr>
          <w:rFonts w:ascii="Times New Roman" w:hAnsi="Times New Roman" w:cs="Times New Roman"/>
          <w:sz w:val="24"/>
        </w:rPr>
        <w:t>(Mauvisseau et al., 2021)</w:t>
      </w:r>
      <w:r w:rsidR="00617238">
        <w:rPr>
          <w:rFonts w:ascii="Times New Roman" w:eastAsia="Times New Roman" w:hAnsi="Times New Roman" w:cs="Times New Roman"/>
          <w:sz w:val="24"/>
          <w:szCs w:val="24"/>
        </w:rPr>
        <w:fldChar w:fldCharType="end"/>
      </w:r>
      <w:r w:rsidR="00ED2D76">
        <w:rPr>
          <w:rFonts w:ascii="Times New Roman" w:eastAsia="Times New Roman" w:hAnsi="Times New Roman" w:cs="Times New Roman"/>
          <w:sz w:val="24"/>
          <w:szCs w:val="24"/>
        </w:rPr>
        <w:t xml:space="preserve">. </w:t>
      </w:r>
      <w:r w:rsidR="007819F4">
        <w:rPr>
          <w:rFonts w:ascii="Times New Roman" w:eastAsia="Times New Roman" w:hAnsi="Times New Roman" w:cs="Times New Roman"/>
          <w:sz w:val="24"/>
          <w:szCs w:val="24"/>
        </w:rPr>
        <w:t>A</w:t>
      </w:r>
      <w:r w:rsidR="00B83421">
        <w:rPr>
          <w:rFonts w:ascii="Times New Roman" w:eastAsia="Times New Roman" w:hAnsi="Times New Roman" w:cs="Times New Roman"/>
          <w:sz w:val="24"/>
          <w:szCs w:val="24"/>
        </w:rPr>
        <w:t>dditionally, a</w:t>
      </w:r>
      <w:r w:rsidR="007819F4">
        <w:rPr>
          <w:rFonts w:ascii="Times New Roman" w:eastAsia="Times New Roman" w:hAnsi="Times New Roman" w:cs="Times New Roman"/>
          <w:sz w:val="24"/>
          <w:szCs w:val="24"/>
        </w:rPr>
        <w:t xml:space="preserve"> stronger integration </w:t>
      </w:r>
      <w:r w:rsidR="00DB4C60">
        <w:rPr>
          <w:rFonts w:ascii="Times New Roman" w:eastAsia="Times New Roman" w:hAnsi="Times New Roman" w:cs="Times New Roman"/>
          <w:sz w:val="24"/>
          <w:szCs w:val="24"/>
        </w:rPr>
        <w:t xml:space="preserve">of </w:t>
      </w:r>
      <w:r w:rsidR="007819F4">
        <w:rPr>
          <w:rFonts w:ascii="Times New Roman" w:eastAsia="Times New Roman" w:hAnsi="Times New Roman" w:cs="Times New Roman"/>
          <w:sz w:val="24"/>
          <w:szCs w:val="24"/>
        </w:rPr>
        <w:t xml:space="preserve">local </w:t>
      </w:r>
      <w:r w:rsidR="00DB4C60">
        <w:rPr>
          <w:rFonts w:ascii="Times New Roman" w:eastAsia="Times New Roman" w:hAnsi="Times New Roman" w:cs="Times New Roman"/>
          <w:sz w:val="24"/>
          <w:szCs w:val="24"/>
        </w:rPr>
        <w:t>communit</w:t>
      </w:r>
      <w:r w:rsidR="007819F4">
        <w:rPr>
          <w:rFonts w:ascii="Times New Roman" w:eastAsia="Times New Roman" w:hAnsi="Times New Roman" w:cs="Times New Roman"/>
          <w:sz w:val="24"/>
          <w:szCs w:val="24"/>
        </w:rPr>
        <w:t xml:space="preserve">ies </w:t>
      </w:r>
      <w:r w:rsidR="00DB4C60">
        <w:rPr>
          <w:rFonts w:ascii="Times New Roman" w:eastAsia="Times New Roman" w:hAnsi="Times New Roman" w:cs="Times New Roman"/>
          <w:sz w:val="24"/>
          <w:szCs w:val="24"/>
        </w:rPr>
        <w:t xml:space="preserve">into environmental monitoring </w:t>
      </w:r>
      <w:r w:rsidR="00911212">
        <w:rPr>
          <w:rFonts w:ascii="Times New Roman" w:eastAsia="Times New Roman" w:hAnsi="Times New Roman" w:cs="Times New Roman"/>
          <w:sz w:val="24"/>
          <w:szCs w:val="24"/>
        </w:rPr>
        <w:t>often</w:t>
      </w:r>
      <w:r w:rsidR="007819F4">
        <w:rPr>
          <w:rFonts w:ascii="Times New Roman" w:eastAsia="Times New Roman" w:hAnsi="Times New Roman" w:cs="Times New Roman"/>
          <w:sz w:val="24"/>
          <w:szCs w:val="24"/>
        </w:rPr>
        <w:t xml:space="preserve"> </w:t>
      </w:r>
      <w:r w:rsidR="00B83421">
        <w:rPr>
          <w:rFonts w:ascii="Times New Roman" w:eastAsia="Times New Roman" w:hAnsi="Times New Roman" w:cs="Times New Roman"/>
          <w:sz w:val="24"/>
          <w:szCs w:val="24"/>
        </w:rPr>
        <w:t xml:space="preserve">leads </w:t>
      </w:r>
      <w:r w:rsidR="007819F4">
        <w:rPr>
          <w:rFonts w:ascii="Times New Roman" w:eastAsia="Times New Roman" w:hAnsi="Times New Roman" w:cs="Times New Roman"/>
          <w:sz w:val="24"/>
          <w:szCs w:val="24"/>
        </w:rPr>
        <w:t xml:space="preserve">to </w:t>
      </w:r>
      <w:r w:rsidR="009A29CD">
        <w:rPr>
          <w:rFonts w:ascii="Times New Roman" w:eastAsia="Times New Roman" w:hAnsi="Times New Roman" w:cs="Times New Roman"/>
          <w:sz w:val="24"/>
          <w:szCs w:val="24"/>
        </w:rPr>
        <w:t>in</w:t>
      </w:r>
      <w:r w:rsidR="007819F4">
        <w:rPr>
          <w:rFonts w:ascii="Times New Roman" w:eastAsia="Times New Roman" w:hAnsi="Times New Roman" w:cs="Times New Roman"/>
          <w:sz w:val="24"/>
          <w:szCs w:val="24"/>
        </w:rPr>
        <w:t>crease</w:t>
      </w:r>
      <w:r w:rsidR="00B83421">
        <w:rPr>
          <w:rFonts w:ascii="Times New Roman" w:eastAsia="Times New Roman" w:hAnsi="Times New Roman" w:cs="Times New Roman"/>
          <w:sz w:val="24"/>
          <w:szCs w:val="24"/>
        </w:rPr>
        <w:t>d</w:t>
      </w:r>
      <w:r w:rsidR="007819F4">
        <w:rPr>
          <w:rFonts w:ascii="Times New Roman" w:eastAsia="Times New Roman" w:hAnsi="Times New Roman" w:cs="Times New Roman"/>
          <w:sz w:val="24"/>
          <w:szCs w:val="24"/>
        </w:rPr>
        <w:t xml:space="preserve"> </w:t>
      </w:r>
      <w:r w:rsidR="009A29CD">
        <w:rPr>
          <w:rFonts w:ascii="Times New Roman" w:eastAsia="Times New Roman" w:hAnsi="Times New Roman" w:cs="Times New Roman"/>
          <w:sz w:val="24"/>
          <w:szCs w:val="24"/>
        </w:rPr>
        <w:t xml:space="preserve">agency and </w:t>
      </w:r>
      <w:r w:rsidR="007819F4">
        <w:rPr>
          <w:rFonts w:ascii="Times New Roman" w:eastAsia="Times New Roman" w:hAnsi="Times New Roman" w:cs="Times New Roman"/>
          <w:sz w:val="24"/>
          <w:szCs w:val="24"/>
        </w:rPr>
        <w:t>environmental awareness</w:t>
      </w:r>
      <w:r w:rsidR="00DB4C60">
        <w:rPr>
          <w:rFonts w:ascii="Times New Roman" w:eastAsia="Times New Roman" w:hAnsi="Times New Roman" w:cs="Times New Roman"/>
          <w:sz w:val="24"/>
          <w:szCs w:val="24"/>
        </w:rPr>
        <w:t xml:space="preserve"> </w:t>
      </w:r>
      <w:r w:rsidR="006B1FC1">
        <w:rPr>
          <w:rFonts w:ascii="Times New Roman" w:eastAsia="Times New Roman" w:hAnsi="Times New Roman" w:cs="Times New Roman"/>
          <w:sz w:val="24"/>
          <w:szCs w:val="24"/>
        </w:rPr>
        <w:fldChar w:fldCharType="begin"/>
      </w:r>
      <w:r w:rsidR="006B1FC1">
        <w:rPr>
          <w:rFonts w:ascii="Times New Roman" w:eastAsia="Times New Roman" w:hAnsi="Times New Roman" w:cs="Times New Roman"/>
          <w:sz w:val="24"/>
          <w:szCs w:val="24"/>
        </w:rPr>
        <w:instrText xml:space="preserve"> ADDIN ZOTERO_ITEM CSL_CITATION {"citationID":"WkUzojwj","properties":{"formattedCitation":"(Trimble &amp; Berkes, 2013; Wiber, Charles, Kearney, &amp; Berkes, 2009)","plainCitation":"(Trimble &amp; Berkes, 2013; Wiber, Charles, Kearney, &amp; Berkes, 2009)","noteIndex":0},"citationItems":[{"id":11611,"uris":["http://zotero.org/users/3033072/items/XCJY5MZD"],"uri":["http://zotero.org/users/3033072/items/XCJY5MZD"],"itemData":{"id":11611,"type":"article-journal","abstract":"Participatory research has become increasingly common in natural resources management. Even though participatory research is considered a strategy to facilitate co-management, there is little empirical evidence supporting this. The objective of the present paper is to analyze the contributions of participatory research to help encourage the emergence of co-management, based on a case study in Piriápolis artisanal ﬁshery in coastal Uruguay (where management has been topedown). We argue that participatory research involving artisanal ﬁshers, government, and other stakeholders (university scientists and NGOs) can be a key stimulus towards co-management. We build this argument by considering “seven faces” by which co-management can be analyzed: (1) as power sharing; (2) as institution building; (3) as trust building; (4) as process; (5) as learning and knowledge co-production; (6) as problem solving; and (7) as governance. Our ﬁndings show that participatory research had an impact on these various faces: (1) power was shared when making research decisions; (2) a multi-stakeholder group (POPA), with a common vision and goals, was created; (3) trust among participants increased; (4) the process of group formation was valued by participants; (5) stakeholders learned skills for participation; (6) two problemsolving exercises were conducted; and (7) a diversity of stakeholders of the initial problem identiﬁed by ﬁshers (sea lions’ impact on long-line ﬁshery) participated in the process. The case shows that participatory research functions as a platform which enhances learning and knowledge co-production among stakeholders, paving the way towards future co-management.","container-title":"Journal of Environmental Management","DOI":"10.1016/j.jenvman.2013.06.032","ISSN":"03014797","journalAbbreviation":"Journal of Environmental Management","language":"en","page":"768-778","source":"DOI.org (Crossref)","title":"Participatory research towards co-management: Lessons from artisanal fisheries in coastal Uruguay","title-short":"Participatory research towards co-management","volume":"128","author":[{"family":"Trimble","given":"Micaela"},{"family":"Berkes","given":"Fikret"}],"issued":{"date-parts":[["2013",10]]}}},{"id":11610,"uris":["http://zotero.org/users/3033072/items/DYIFH5ZE"],"uri":["http://zotero.org/users/3033072/items/DYIFH5ZE"],"itemData":{"id":11610,"type":"article-journal","abstract":"This paper reports on the outcomes of a project that engaged researchers and ﬁshers together in adapting participatory social science approaches to the purposes and the constraints of communitybased ﬁsher organizations. The work was carried out in the Scotia-Fundy Region of Atlantic Canada (the Bay of Fundy and Scotian Shelf) between 1999 and 2003. After a period of reﬂection on what was collectively learned from our experiences in this project, the academics went back to the community partners in a recent workshop for further discussion and reﬁnement of the lessons. We conclude that true participatory ﬁshery research, utilized in support of community-based management, can be a particularly powerful tool. However, it has few effective shortcuts, it must deal early in the research process with power imbalances, and it should involve signiﬁcant political engagement and empowerment through co-learning. This assessment of participatory research in coastal ﬁsheries also has signiﬁcant implications for how we think of social capital and on how we may develop communitybased resource management for a sustainable future.","container-title":"Marine Policy","DOI":"10.1016/j.marpol.2008.05.009","ISSN":"0308597X","issue":"1","journalAbbreviation":"Marine Policy","language":"en","page":"172-179","source":"DOI.org (Crossref)","title":"Enhancing community empowerment through participatory fisheries research","volume":"33","author":[{"family":"Wiber","given":"Melanie"},{"family":"Charles","given":"Anthony"},{"family":"Kearney","given":"John"},{"family":"Berkes","given":"Fikret"}],"issued":{"date-parts":[["2009",1]]}}}],"schema":"https://github.com/citation-style-language/schema/raw/master/csl-citation.json"} </w:instrText>
      </w:r>
      <w:r w:rsidR="006B1FC1">
        <w:rPr>
          <w:rFonts w:ascii="Times New Roman" w:eastAsia="Times New Roman" w:hAnsi="Times New Roman" w:cs="Times New Roman"/>
          <w:sz w:val="24"/>
          <w:szCs w:val="24"/>
        </w:rPr>
        <w:fldChar w:fldCharType="separate"/>
      </w:r>
      <w:r w:rsidR="006B1FC1" w:rsidRPr="006B1FC1">
        <w:rPr>
          <w:rFonts w:ascii="Times New Roman" w:hAnsi="Times New Roman" w:cs="Times New Roman"/>
          <w:sz w:val="24"/>
        </w:rPr>
        <w:t>(Trimble &amp; Berkes, 2013; Wiber, Charles, Kearney, &amp; Berkes, 2009)</w:t>
      </w:r>
      <w:r w:rsidR="006B1FC1">
        <w:rPr>
          <w:rFonts w:ascii="Times New Roman" w:eastAsia="Times New Roman" w:hAnsi="Times New Roman" w:cs="Times New Roman"/>
          <w:sz w:val="24"/>
          <w:szCs w:val="24"/>
        </w:rPr>
        <w:fldChar w:fldCharType="end"/>
      </w:r>
      <w:r w:rsidR="0046184C">
        <w:rPr>
          <w:rFonts w:ascii="Times New Roman" w:eastAsia="Times New Roman" w:hAnsi="Times New Roman" w:cs="Times New Roman"/>
          <w:sz w:val="24"/>
          <w:szCs w:val="24"/>
        </w:rPr>
        <w:t>.</w:t>
      </w:r>
      <w:r w:rsidR="00B83421">
        <w:rPr>
          <w:rFonts w:ascii="Times New Roman" w:eastAsia="Times New Roman" w:hAnsi="Times New Roman" w:cs="Times New Roman"/>
          <w:sz w:val="24"/>
          <w:szCs w:val="24"/>
        </w:rPr>
        <w:t xml:space="preserve"> Sub-Saharan Africa, costal resources are </w:t>
      </w:r>
      <w:r w:rsidR="00911212">
        <w:rPr>
          <w:rFonts w:ascii="Times New Roman" w:eastAsia="Times New Roman" w:hAnsi="Times New Roman" w:cs="Times New Roman"/>
          <w:sz w:val="24"/>
          <w:szCs w:val="24"/>
        </w:rPr>
        <w:t xml:space="preserve">often primarily </w:t>
      </w:r>
      <w:r w:rsidR="008636FC">
        <w:rPr>
          <w:rFonts w:ascii="Times New Roman" w:eastAsia="Times New Roman" w:hAnsi="Times New Roman" w:cs="Times New Roman"/>
          <w:sz w:val="24"/>
          <w:szCs w:val="24"/>
        </w:rPr>
        <w:t>managed and administrated</w:t>
      </w:r>
      <w:r w:rsidR="00911212">
        <w:rPr>
          <w:rFonts w:ascii="Times New Roman" w:eastAsia="Times New Roman" w:hAnsi="Times New Roman" w:cs="Times New Roman"/>
          <w:sz w:val="24"/>
          <w:szCs w:val="24"/>
        </w:rPr>
        <w:t xml:space="preserve"> by local communities and such ‘side-effects’</w:t>
      </w:r>
      <w:r w:rsidR="00AE2A05">
        <w:rPr>
          <w:rFonts w:ascii="Times New Roman" w:eastAsia="Times New Roman" w:hAnsi="Times New Roman" w:cs="Times New Roman"/>
          <w:sz w:val="24"/>
          <w:szCs w:val="24"/>
        </w:rPr>
        <w:t xml:space="preserve"> of community-based monitoring</w:t>
      </w:r>
      <w:r w:rsidR="00911212">
        <w:rPr>
          <w:rFonts w:ascii="Times New Roman" w:eastAsia="Times New Roman" w:hAnsi="Times New Roman" w:cs="Times New Roman"/>
          <w:sz w:val="24"/>
          <w:szCs w:val="24"/>
        </w:rPr>
        <w:t xml:space="preserve"> can be equally important for conservation as the availability of reliable monitoring data. Consequently, eDNA-based </w:t>
      </w:r>
      <w:r w:rsidR="00C43156">
        <w:rPr>
          <w:rFonts w:ascii="Times New Roman" w:eastAsia="Times New Roman" w:hAnsi="Times New Roman" w:cs="Times New Roman"/>
          <w:sz w:val="24"/>
          <w:szCs w:val="24"/>
        </w:rPr>
        <w:t>method</w:t>
      </w:r>
      <w:r w:rsidR="00911212">
        <w:rPr>
          <w:rFonts w:ascii="Times New Roman" w:eastAsia="Times New Roman" w:hAnsi="Times New Roman" w:cs="Times New Roman"/>
          <w:sz w:val="24"/>
          <w:szCs w:val="24"/>
        </w:rPr>
        <w:t xml:space="preserve">s can provide powerful tools </w:t>
      </w:r>
      <w:r w:rsidR="0039414B">
        <w:rPr>
          <w:rFonts w:ascii="Times New Roman" w:eastAsia="Times New Roman" w:hAnsi="Times New Roman" w:cs="Times New Roman"/>
          <w:sz w:val="24"/>
          <w:szCs w:val="24"/>
        </w:rPr>
        <w:t xml:space="preserve">that help to attain a sustainable use of costal ecosystems. </w:t>
      </w:r>
      <w:r w:rsidR="00F66885">
        <w:rPr>
          <w:rFonts w:ascii="Times New Roman" w:eastAsia="Times New Roman" w:hAnsi="Times New Roman" w:cs="Times New Roman"/>
          <w:sz w:val="24"/>
          <w:szCs w:val="24"/>
        </w:rPr>
        <w:t xml:space="preserve">Critical further </w:t>
      </w:r>
      <w:r w:rsidR="0039414B">
        <w:rPr>
          <w:rFonts w:ascii="Times New Roman" w:eastAsia="Times New Roman" w:hAnsi="Times New Roman" w:cs="Times New Roman"/>
          <w:sz w:val="24"/>
          <w:szCs w:val="24"/>
        </w:rPr>
        <w:t xml:space="preserve">steps to attain this goal will be the development of local analytical infrastructure, the </w:t>
      </w:r>
      <w:r w:rsidR="00F66885">
        <w:rPr>
          <w:rFonts w:ascii="Times New Roman" w:eastAsia="Times New Roman" w:hAnsi="Times New Roman" w:cs="Times New Roman"/>
          <w:sz w:val="24"/>
          <w:szCs w:val="24"/>
        </w:rPr>
        <w:t xml:space="preserve">complementation of local genetic reference </w:t>
      </w:r>
      <w:r w:rsidR="006E4AB2">
        <w:rPr>
          <w:rFonts w:ascii="Times New Roman" w:eastAsia="Times New Roman" w:hAnsi="Times New Roman" w:cs="Times New Roman"/>
          <w:sz w:val="24"/>
          <w:szCs w:val="24"/>
        </w:rPr>
        <w:t>databases,</w:t>
      </w:r>
      <w:r w:rsidR="00F66885">
        <w:rPr>
          <w:rFonts w:ascii="Times New Roman" w:eastAsia="Times New Roman" w:hAnsi="Times New Roman" w:cs="Times New Roman"/>
          <w:sz w:val="24"/>
          <w:szCs w:val="24"/>
        </w:rPr>
        <w:t xml:space="preserve"> and the establishment of suitable organisational structures to facilitate routine monitoring</w:t>
      </w:r>
      <w:r w:rsidR="00DB4C60">
        <w:rPr>
          <w:rFonts w:ascii="Times New Roman" w:eastAsia="Times New Roman" w:hAnsi="Times New Roman" w:cs="Times New Roman"/>
          <w:sz w:val="24"/>
          <w:szCs w:val="24"/>
        </w:rPr>
        <w:t xml:space="preserve">.  </w:t>
      </w:r>
    </w:p>
    <w:p w14:paraId="23DB41A9" w14:textId="04EA9F12" w:rsidR="00AA054B" w:rsidRDefault="00B31B11">
      <w:pPr>
        <w:spacing w:before="240" w:after="240" w:line="480" w:lineRule="auto"/>
        <w:jc w:val="both"/>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Acknowledgements:</w:t>
      </w:r>
      <w:r>
        <w:rPr>
          <w:rFonts w:ascii="Times New Roman" w:eastAsia="Times New Roman" w:hAnsi="Times New Roman" w:cs="Times New Roman"/>
          <w:sz w:val="24"/>
          <w:szCs w:val="24"/>
        </w:rPr>
        <w:t xml:space="preserve"> The authors extend thanks to community champions who helped collect samples: </w:t>
      </w:r>
      <w:proofErr w:type="spellStart"/>
      <w:r>
        <w:rPr>
          <w:rFonts w:ascii="Times New Roman" w:eastAsia="Times New Roman" w:hAnsi="Times New Roman" w:cs="Times New Roman"/>
          <w:sz w:val="24"/>
          <w:szCs w:val="24"/>
        </w:rPr>
        <w:t>Hortência</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Dércio</w:t>
      </w:r>
      <w:proofErr w:type="spellEnd"/>
      <w:r>
        <w:rPr>
          <w:rFonts w:ascii="Times New Roman" w:eastAsia="Times New Roman" w:hAnsi="Times New Roman" w:cs="Times New Roman"/>
          <w:sz w:val="24"/>
          <w:szCs w:val="24"/>
        </w:rPr>
        <w:t xml:space="preserve"> Joaquim, Anselmo António </w:t>
      </w:r>
      <w:proofErr w:type="spellStart"/>
      <w:r>
        <w:rPr>
          <w:rFonts w:ascii="Times New Roman" w:eastAsia="Times New Roman" w:hAnsi="Times New Roman" w:cs="Times New Roman"/>
          <w:sz w:val="24"/>
          <w:szCs w:val="24"/>
        </w:rPr>
        <w:t>Inguane</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Nilza</w:t>
      </w:r>
      <w:proofErr w:type="spellEnd"/>
      <w:r>
        <w:rPr>
          <w:rFonts w:ascii="Times New Roman" w:eastAsia="Times New Roman" w:hAnsi="Times New Roman" w:cs="Times New Roman"/>
          <w:sz w:val="24"/>
          <w:szCs w:val="24"/>
        </w:rPr>
        <w:t xml:space="preserve"> Joaquim, </w:t>
      </w:r>
      <w:proofErr w:type="spellStart"/>
      <w:r>
        <w:rPr>
          <w:rFonts w:ascii="Times New Roman" w:eastAsia="Times New Roman" w:hAnsi="Times New Roman" w:cs="Times New Roman"/>
          <w:sz w:val="24"/>
          <w:szCs w:val="24"/>
        </w:rPr>
        <w:t>Hélio</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Pascoal</w:t>
      </w:r>
      <w:proofErr w:type="spellEnd"/>
      <w:r>
        <w:rPr>
          <w:rFonts w:ascii="Times New Roman" w:eastAsia="Times New Roman" w:hAnsi="Times New Roman" w:cs="Times New Roman"/>
          <w:sz w:val="24"/>
          <w:szCs w:val="24"/>
        </w:rPr>
        <w:t xml:space="preserve">, Ilda </w:t>
      </w:r>
      <w:proofErr w:type="spellStart"/>
      <w:r>
        <w:rPr>
          <w:rFonts w:ascii="Times New Roman" w:eastAsia="Times New Roman" w:hAnsi="Times New Roman" w:cs="Times New Roman"/>
          <w:sz w:val="24"/>
          <w:szCs w:val="24"/>
        </w:rPr>
        <w:t>Godido</w:t>
      </w:r>
      <w:proofErr w:type="spellEnd"/>
      <w:r>
        <w:rPr>
          <w:rFonts w:ascii="Times New Roman" w:eastAsia="Times New Roman" w:hAnsi="Times New Roman" w:cs="Times New Roman"/>
          <w:sz w:val="24"/>
          <w:szCs w:val="24"/>
        </w:rPr>
        <w:t xml:space="preserve"> Cipriano, </w:t>
      </w:r>
      <w:proofErr w:type="spellStart"/>
      <w:r>
        <w:rPr>
          <w:rFonts w:ascii="Times New Roman" w:eastAsia="Times New Roman" w:hAnsi="Times New Roman" w:cs="Times New Roman"/>
          <w:sz w:val="24"/>
          <w:szCs w:val="24"/>
        </w:rPr>
        <w:t>Godido</w:t>
      </w:r>
      <w:proofErr w:type="spellEnd"/>
      <w:r>
        <w:rPr>
          <w:rFonts w:ascii="Times New Roman" w:eastAsia="Times New Roman" w:hAnsi="Times New Roman" w:cs="Times New Roman"/>
          <w:sz w:val="24"/>
          <w:szCs w:val="24"/>
        </w:rPr>
        <w:t xml:space="preserve"> Cipriano Junior, </w:t>
      </w:r>
      <w:proofErr w:type="spellStart"/>
      <w:r>
        <w:rPr>
          <w:rFonts w:ascii="Times New Roman" w:eastAsia="Times New Roman" w:hAnsi="Times New Roman" w:cs="Times New Roman"/>
          <w:sz w:val="24"/>
          <w:szCs w:val="24"/>
        </w:rPr>
        <w:t>Lúcia</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Amosse</w:t>
      </w:r>
      <w:proofErr w:type="spellEnd"/>
      <w:r>
        <w:rPr>
          <w:rFonts w:ascii="Times New Roman" w:eastAsia="Times New Roman" w:hAnsi="Times New Roman" w:cs="Times New Roman"/>
          <w:sz w:val="24"/>
          <w:szCs w:val="24"/>
        </w:rPr>
        <w:t xml:space="preserve">. Additional thanks go to other NatureMetrics (Molly </w:t>
      </w:r>
      <w:proofErr w:type="spellStart"/>
      <w:r>
        <w:rPr>
          <w:rFonts w:ascii="Times New Roman" w:eastAsia="Times New Roman" w:hAnsi="Times New Roman" w:cs="Times New Roman"/>
          <w:sz w:val="24"/>
          <w:szCs w:val="24"/>
        </w:rPr>
        <w:t>Czachur</w:t>
      </w:r>
      <w:proofErr w:type="spellEnd"/>
      <w:r>
        <w:rPr>
          <w:rFonts w:ascii="Times New Roman" w:eastAsia="Times New Roman" w:hAnsi="Times New Roman" w:cs="Times New Roman"/>
          <w:sz w:val="24"/>
          <w:szCs w:val="24"/>
        </w:rPr>
        <w:t xml:space="preserve">) and Wildlife Conservation Society staff (Afonso </w:t>
      </w:r>
      <w:proofErr w:type="spellStart"/>
      <w:r>
        <w:rPr>
          <w:rFonts w:ascii="Times New Roman" w:eastAsia="Times New Roman" w:hAnsi="Times New Roman" w:cs="Times New Roman"/>
          <w:sz w:val="24"/>
          <w:szCs w:val="24"/>
        </w:rPr>
        <w:t>Madope</w:t>
      </w:r>
      <w:proofErr w:type="spellEnd"/>
      <w:r>
        <w:rPr>
          <w:rFonts w:ascii="Times New Roman" w:eastAsia="Times New Roman" w:hAnsi="Times New Roman" w:cs="Times New Roman"/>
          <w:sz w:val="24"/>
          <w:szCs w:val="24"/>
        </w:rPr>
        <w:t xml:space="preserve">, </w:t>
      </w:r>
      <w:sdt>
        <w:sdtPr>
          <w:tag w:val="goog_rdk_324"/>
          <w:id w:val="1214780602"/>
        </w:sdtPr>
        <w:sdtEndPr/>
        <w:sdtContent/>
      </w:sdt>
      <w:r>
        <w:rPr>
          <w:rFonts w:ascii="Times New Roman" w:eastAsia="Times New Roman" w:hAnsi="Times New Roman" w:cs="Times New Roman"/>
          <w:sz w:val="24"/>
          <w:szCs w:val="24"/>
        </w:rPr>
        <w:t xml:space="preserve">Erica Bernardo) for their support of field campaigns and Jan-Marcus </w:t>
      </w:r>
      <w:proofErr w:type="spellStart"/>
      <w:r>
        <w:rPr>
          <w:rFonts w:ascii="Times New Roman" w:eastAsia="Times New Roman" w:hAnsi="Times New Roman" w:cs="Times New Roman"/>
          <w:sz w:val="24"/>
          <w:szCs w:val="24"/>
        </w:rPr>
        <w:t>Hellström</w:t>
      </w:r>
      <w:proofErr w:type="spellEnd"/>
      <w:r>
        <w:rPr>
          <w:rFonts w:ascii="Times New Roman" w:eastAsia="Times New Roman" w:hAnsi="Times New Roman" w:cs="Times New Roman"/>
          <w:sz w:val="24"/>
          <w:szCs w:val="24"/>
        </w:rPr>
        <w:t xml:space="preserve">, who supported the project as communication specialist. Thanks goes also to </w:t>
      </w:r>
      <w:r w:rsidR="00DB4C60">
        <w:rPr>
          <w:rFonts w:ascii="Times New Roman" w:eastAsia="Times New Roman" w:hAnsi="Times New Roman" w:cs="Times New Roman"/>
          <w:sz w:val="24"/>
          <w:szCs w:val="24"/>
        </w:rPr>
        <w:t xml:space="preserve">the Natural History Museum and </w:t>
      </w:r>
      <w:r>
        <w:rPr>
          <w:rFonts w:ascii="Times New Roman" w:eastAsia="Times New Roman" w:hAnsi="Times New Roman" w:cs="Times New Roman"/>
          <w:sz w:val="24"/>
          <w:szCs w:val="24"/>
        </w:rPr>
        <w:t xml:space="preserve">the </w:t>
      </w:r>
      <w:r w:rsidR="00DB4C60">
        <w:rPr>
          <w:rFonts w:ascii="Times New Roman" w:eastAsia="Times New Roman" w:hAnsi="Times New Roman" w:cs="Times New Roman"/>
          <w:sz w:val="24"/>
          <w:szCs w:val="24"/>
        </w:rPr>
        <w:t>National Institute of Fisheries Research</w:t>
      </w:r>
      <w:r>
        <w:rPr>
          <w:rFonts w:ascii="Times New Roman" w:eastAsia="Times New Roman" w:hAnsi="Times New Roman" w:cs="Times New Roman"/>
          <w:sz w:val="24"/>
          <w:szCs w:val="24"/>
        </w:rPr>
        <w:t xml:space="preserve"> for their help in establishing the research network and the permits facilitating this project.</w:t>
      </w:r>
    </w:p>
    <w:p w14:paraId="2D72A4FF" w14:textId="77777777" w:rsidR="00AA054B" w:rsidRDefault="00DB4C60">
      <w:pPr>
        <w:spacing w:before="240" w:after="240" w:line="480" w:lineRule="auto"/>
        <w:jc w:val="both"/>
        <w:rPr>
          <w:rFonts w:ascii="Times New Roman" w:eastAsia="Times New Roman" w:hAnsi="Times New Roman" w:cs="Times New Roman"/>
          <w:sz w:val="24"/>
          <w:szCs w:val="24"/>
        </w:rPr>
      </w:pPr>
      <w:r>
        <w:rPr>
          <w:rFonts w:ascii="Times New Roman" w:eastAsia="Times New Roman" w:hAnsi="Times New Roman" w:cs="Times New Roman"/>
          <w:b/>
          <w:sz w:val="24"/>
          <w:szCs w:val="24"/>
        </w:rPr>
        <w:t>Funding:</w:t>
      </w:r>
      <w:r>
        <w:rPr>
          <w:rFonts w:ascii="Times New Roman" w:eastAsia="Times New Roman" w:hAnsi="Times New Roman" w:cs="Times New Roman"/>
          <w:sz w:val="24"/>
          <w:szCs w:val="24"/>
        </w:rPr>
        <w:t xml:space="preserve"> Innovate UK and the Global Challenges Research Fund is thanked for the financial support to the project (Project No. 45622).</w:t>
      </w:r>
    </w:p>
    <w:p w14:paraId="223091BF" w14:textId="5293A99A" w:rsidR="00AA054B" w:rsidRDefault="00DB4C60">
      <w:pPr>
        <w:spacing w:before="240" w:after="240" w:line="480" w:lineRule="auto"/>
        <w:jc w:val="both"/>
        <w:rPr>
          <w:rFonts w:ascii="Times New Roman" w:eastAsia="Times New Roman" w:hAnsi="Times New Roman" w:cs="Times New Roman"/>
          <w:sz w:val="24"/>
          <w:szCs w:val="24"/>
        </w:rPr>
      </w:pPr>
      <w:r>
        <w:rPr>
          <w:rFonts w:ascii="Times New Roman" w:eastAsia="Times New Roman" w:hAnsi="Times New Roman" w:cs="Times New Roman"/>
          <w:b/>
          <w:sz w:val="24"/>
          <w:szCs w:val="24"/>
        </w:rPr>
        <w:t>Author contributions:</w:t>
      </w:r>
      <w:r>
        <w:rPr>
          <w:rFonts w:ascii="Times New Roman" w:eastAsia="Times New Roman" w:hAnsi="Times New Roman" w:cs="Times New Roman"/>
          <w:sz w:val="24"/>
          <w:szCs w:val="24"/>
        </w:rPr>
        <w:t xml:space="preserve">  </w:t>
      </w:r>
      <w:r w:rsidRPr="00B31B11">
        <w:rPr>
          <w:rFonts w:ascii="Times New Roman" w:eastAsia="Times New Roman" w:hAnsi="Times New Roman" w:cs="Times New Roman"/>
          <w:bCs/>
          <w:sz w:val="24"/>
          <w:szCs w:val="24"/>
        </w:rPr>
        <w:t>KB and VRG designed the study and facilitated training of local stakeholders</w:t>
      </w:r>
      <w:r w:rsidR="00B31B11" w:rsidRPr="00B31B11">
        <w:rPr>
          <w:rFonts w:ascii="Times New Roman" w:eastAsia="Times New Roman" w:hAnsi="Times New Roman" w:cs="Times New Roman"/>
          <w:bCs/>
          <w:sz w:val="24"/>
          <w:szCs w:val="24"/>
        </w:rPr>
        <w:t>.</w:t>
      </w:r>
      <w:r w:rsidRPr="00B31B11">
        <w:rPr>
          <w:rFonts w:ascii="Times New Roman" w:eastAsia="Times New Roman" w:hAnsi="Times New Roman" w:cs="Times New Roman"/>
          <w:bCs/>
          <w:sz w:val="24"/>
          <w:szCs w:val="24"/>
        </w:rPr>
        <w:t xml:space="preserve"> HC/AS/LS/NS, conducted and </w:t>
      </w:r>
      <w:r w:rsidR="00B31B11" w:rsidRPr="00B31B11">
        <w:rPr>
          <w:rFonts w:ascii="Times New Roman" w:eastAsia="Times New Roman" w:hAnsi="Times New Roman" w:cs="Times New Roman"/>
          <w:bCs/>
          <w:sz w:val="24"/>
          <w:szCs w:val="24"/>
        </w:rPr>
        <w:t>organised</w:t>
      </w:r>
      <w:r w:rsidRPr="00B31B11">
        <w:rPr>
          <w:rFonts w:ascii="Times New Roman" w:eastAsia="Times New Roman" w:hAnsi="Times New Roman" w:cs="Times New Roman"/>
          <w:bCs/>
          <w:sz w:val="24"/>
          <w:szCs w:val="24"/>
        </w:rPr>
        <w:t xml:space="preserve"> field sample collection. LB, JB performed laboratory analysis, ACP/SC undertook bioinformatics assessments. AB, MQ and ACP performed the data analysis and AB and MQ wrote</w:t>
      </w:r>
      <w:r>
        <w:rPr>
          <w:rFonts w:ascii="Times New Roman" w:eastAsia="Times New Roman" w:hAnsi="Times New Roman" w:cs="Times New Roman"/>
          <w:sz w:val="24"/>
          <w:szCs w:val="24"/>
        </w:rPr>
        <w:t xml:space="preserve"> the first draft of the manuscript. All co-authors provided comments and helped revising the manuscript.</w:t>
      </w:r>
    </w:p>
    <w:p w14:paraId="15DA7F6A" w14:textId="77777777" w:rsidR="00523265" w:rsidRPr="00523265" w:rsidRDefault="00523265" w:rsidP="00523265">
      <w:pPr>
        <w:spacing w:before="240" w:after="240" w:line="480" w:lineRule="auto"/>
        <w:jc w:val="both"/>
        <w:rPr>
          <w:rFonts w:ascii="Times New Roman" w:eastAsia="Times New Roman" w:hAnsi="Times New Roman" w:cs="Times New Roman"/>
          <w:b/>
          <w:bCs/>
          <w:sz w:val="24"/>
          <w:szCs w:val="24"/>
        </w:rPr>
      </w:pPr>
      <w:r w:rsidRPr="00523265">
        <w:rPr>
          <w:rFonts w:ascii="Times New Roman" w:eastAsia="Times New Roman" w:hAnsi="Times New Roman" w:cs="Times New Roman"/>
          <w:b/>
          <w:bCs/>
          <w:sz w:val="24"/>
          <w:szCs w:val="24"/>
        </w:rPr>
        <w:t>Data availability statement</w:t>
      </w:r>
    </w:p>
    <w:p w14:paraId="05DE4BAC" w14:textId="4F7DCDAF" w:rsidR="00523265" w:rsidRDefault="00523265" w:rsidP="00523265">
      <w:pPr>
        <w:spacing w:before="240" w:after="240" w:line="480" w:lineRule="auto"/>
        <w:jc w:val="both"/>
        <w:rPr>
          <w:rFonts w:ascii="Times New Roman" w:eastAsia="Times New Roman" w:hAnsi="Times New Roman" w:cs="Times New Roman"/>
          <w:sz w:val="24"/>
          <w:szCs w:val="24"/>
        </w:rPr>
      </w:pPr>
      <w:r w:rsidRPr="00523265">
        <w:rPr>
          <w:rFonts w:ascii="Times New Roman" w:eastAsia="Times New Roman" w:hAnsi="Times New Roman" w:cs="Times New Roman"/>
          <w:sz w:val="24"/>
          <w:szCs w:val="24"/>
        </w:rPr>
        <w:t>Data</w:t>
      </w:r>
      <w:r>
        <w:rPr>
          <w:rFonts w:ascii="Times New Roman" w:eastAsia="Times New Roman" w:hAnsi="Times New Roman" w:cs="Times New Roman"/>
          <w:sz w:val="24"/>
          <w:szCs w:val="24"/>
        </w:rPr>
        <w:t xml:space="preserve"> and R-script</w:t>
      </w:r>
      <w:r w:rsidRPr="00523265">
        <w:rPr>
          <w:rFonts w:ascii="Times New Roman" w:eastAsia="Times New Roman" w:hAnsi="Times New Roman" w:cs="Times New Roman"/>
          <w:sz w:val="24"/>
          <w:szCs w:val="24"/>
        </w:rPr>
        <w:t xml:space="preserve"> are provided in supplementary information.</w:t>
      </w:r>
    </w:p>
    <w:p w14:paraId="13A82477" w14:textId="77777777" w:rsidR="00D17F4F" w:rsidRDefault="00DB4C60" w:rsidP="00D17F4F">
      <w:pPr>
        <w:pStyle w:val="Bibliographie"/>
        <w:rPr>
          <w:rFonts w:eastAsia="Times New Roman"/>
          <w:lang w:val="de-DE"/>
        </w:rPr>
      </w:pPr>
      <w:r w:rsidRPr="00084C2D">
        <w:rPr>
          <w:rFonts w:ascii="Times New Roman" w:eastAsia="Times New Roman" w:hAnsi="Times New Roman" w:cs="Times New Roman"/>
          <w:b/>
          <w:sz w:val="24"/>
          <w:szCs w:val="24"/>
          <w:lang w:val="de-DE"/>
        </w:rPr>
        <w:t>References</w:t>
      </w:r>
      <w:r w:rsidRPr="00166EC3">
        <w:rPr>
          <w:rFonts w:eastAsia="Times New Roman"/>
          <w:lang w:val="de-DE"/>
        </w:rPr>
        <w:t>:</w:t>
      </w:r>
    </w:p>
    <w:p w14:paraId="23EDE660" w14:textId="77777777" w:rsidR="00F6383E" w:rsidRDefault="00D17F4F" w:rsidP="00D17F4F">
      <w:pPr>
        <w:pStyle w:val="Bibliographie"/>
      </w:pPr>
      <w:r>
        <w:rPr>
          <w:rFonts w:eastAsia="Times New Roman"/>
          <w:lang w:val="de-DE"/>
        </w:rPr>
        <w:fldChar w:fldCharType="begin"/>
      </w:r>
      <w:r>
        <w:rPr>
          <w:rFonts w:eastAsia="Times New Roman"/>
          <w:lang w:val="de-DE"/>
        </w:rPr>
        <w:instrText xml:space="preserve"> ADDIN ZOTERO_BIBL {"uncited":[],"omitted":[],"custom":[]} CSL_BIBLIOGRAPHY </w:instrText>
      </w:r>
      <w:r>
        <w:rPr>
          <w:rFonts w:eastAsia="Times New Roman"/>
          <w:lang w:val="de-DE"/>
        </w:rPr>
        <w:fldChar w:fldCharType="separate"/>
      </w:r>
      <w:r w:rsidRPr="00D17F4F">
        <w:rPr>
          <w:rFonts w:ascii="Times New Roman" w:hAnsi="Times New Roman" w:cs="Times New Roman"/>
          <w:sz w:val="24"/>
        </w:rPr>
        <w:t xml:space="preserve">Asbury, T., Bennett, R., Price, A., da Silva, C., Bürgener, M., Klein, J., … Bester-van der Merwe, A. (2021). Application of DNA mini-barcoding reveals illegal trade in endangered shark products in southern Africa. </w:t>
      </w:r>
      <w:r w:rsidRPr="00D17F4F">
        <w:rPr>
          <w:rFonts w:ascii="Times New Roman" w:hAnsi="Times New Roman" w:cs="Times New Roman"/>
          <w:i/>
          <w:iCs/>
          <w:sz w:val="24"/>
        </w:rPr>
        <w:t>African Journal of Marine Science</w:t>
      </w:r>
      <w:r w:rsidRPr="00D17F4F">
        <w:rPr>
          <w:rFonts w:ascii="Times New Roman" w:hAnsi="Times New Roman" w:cs="Times New Roman"/>
          <w:sz w:val="24"/>
        </w:rPr>
        <w:t xml:space="preserve">, </w:t>
      </w:r>
      <w:r w:rsidRPr="00D17F4F">
        <w:rPr>
          <w:rFonts w:ascii="Times New Roman" w:hAnsi="Times New Roman" w:cs="Times New Roman"/>
          <w:i/>
          <w:iCs/>
          <w:sz w:val="24"/>
        </w:rPr>
        <w:t>43</w:t>
      </w:r>
      <w:r w:rsidRPr="00D17F4F">
        <w:rPr>
          <w:rFonts w:ascii="Times New Roman" w:hAnsi="Times New Roman" w:cs="Times New Roman"/>
          <w:sz w:val="24"/>
        </w:rPr>
        <w:t>(4), 511–520. doi: 10.2989/1814232X.</w:t>
      </w:r>
      <w:r w:rsidR="00F6383E" w:rsidRPr="00F6383E">
        <w:t xml:space="preserve"> </w:t>
      </w:r>
    </w:p>
    <w:p w14:paraId="5AE51D33" w14:textId="218C7193" w:rsidR="00D17F4F" w:rsidRDefault="00F6383E" w:rsidP="00D17F4F">
      <w:pPr>
        <w:pStyle w:val="Bibliographie"/>
        <w:rPr>
          <w:rFonts w:ascii="Times New Roman" w:hAnsi="Times New Roman" w:cs="Times New Roman"/>
          <w:sz w:val="24"/>
        </w:rPr>
      </w:pPr>
      <w:r w:rsidRPr="00F6383E">
        <w:rPr>
          <w:rFonts w:ascii="Times New Roman" w:hAnsi="Times New Roman" w:cs="Times New Roman"/>
          <w:sz w:val="24"/>
        </w:rPr>
        <w:t xml:space="preserve">Alberdi, A., Aizpurua, O., Bohmann, K., Gopalakrishnan, S., Lynggaard, C., Nielsen, M., &amp; Gilbert, M. T. P. (2019). Promises and pitfalls of using high‐throughput sequencing </w:t>
      </w:r>
      <w:r w:rsidRPr="00F6383E">
        <w:rPr>
          <w:rFonts w:ascii="Times New Roman" w:hAnsi="Times New Roman" w:cs="Times New Roman"/>
          <w:sz w:val="24"/>
        </w:rPr>
        <w:lastRenderedPageBreak/>
        <w:t xml:space="preserve">for diet analysis. Molecular Ecology Resources, 19, 327–348. doi: 10.1111/1755-0998.12960 </w:t>
      </w:r>
      <w:r w:rsidR="00D17F4F" w:rsidRPr="00D17F4F">
        <w:rPr>
          <w:rFonts w:ascii="Times New Roman" w:hAnsi="Times New Roman" w:cs="Times New Roman"/>
          <w:sz w:val="24"/>
        </w:rPr>
        <w:t>2021.1996459</w:t>
      </w:r>
    </w:p>
    <w:p w14:paraId="4CBF3B12" w14:textId="77777777" w:rsidR="00F6383E" w:rsidRPr="00F6383E" w:rsidRDefault="00F6383E" w:rsidP="00F6383E"/>
    <w:p w14:paraId="229E0DD0" w14:textId="77777777" w:rsidR="00D17F4F" w:rsidRPr="00D17F4F" w:rsidRDefault="00D17F4F" w:rsidP="00D17F4F">
      <w:pPr>
        <w:pStyle w:val="Bibliographie"/>
        <w:rPr>
          <w:rFonts w:ascii="Times New Roman" w:hAnsi="Times New Roman" w:cs="Times New Roman"/>
          <w:sz w:val="24"/>
        </w:rPr>
      </w:pPr>
      <w:r w:rsidRPr="00D17F4F">
        <w:rPr>
          <w:rFonts w:ascii="Times New Roman" w:hAnsi="Times New Roman" w:cs="Times New Roman"/>
          <w:sz w:val="24"/>
        </w:rPr>
        <w:t xml:space="preserve">Aylagas, E., Borja, A., Pochon, X., Zaiko, A., Keeley, N., Bruce, K., … Carvalho, S. (2020). Translational Molecular Ecology in practice: Linking DNA-based methods to actionable marine environmental management. </w:t>
      </w:r>
      <w:r w:rsidRPr="00D17F4F">
        <w:rPr>
          <w:rFonts w:ascii="Times New Roman" w:hAnsi="Times New Roman" w:cs="Times New Roman"/>
          <w:i/>
          <w:iCs/>
          <w:sz w:val="24"/>
        </w:rPr>
        <w:t>Science of The Total Environment</w:t>
      </w:r>
      <w:r w:rsidRPr="00D17F4F">
        <w:rPr>
          <w:rFonts w:ascii="Times New Roman" w:hAnsi="Times New Roman" w:cs="Times New Roman"/>
          <w:sz w:val="24"/>
        </w:rPr>
        <w:t xml:space="preserve">, </w:t>
      </w:r>
      <w:r w:rsidRPr="00D17F4F">
        <w:rPr>
          <w:rFonts w:ascii="Times New Roman" w:hAnsi="Times New Roman" w:cs="Times New Roman"/>
          <w:i/>
          <w:iCs/>
          <w:sz w:val="24"/>
        </w:rPr>
        <w:t>744</w:t>
      </w:r>
      <w:r w:rsidRPr="00D17F4F">
        <w:rPr>
          <w:rFonts w:ascii="Times New Roman" w:hAnsi="Times New Roman" w:cs="Times New Roman"/>
          <w:sz w:val="24"/>
        </w:rPr>
        <w:t>, 140780. doi: 10.1016/j.scitotenv.2020.140780</w:t>
      </w:r>
    </w:p>
    <w:p w14:paraId="2484A7B3" w14:textId="77777777" w:rsidR="00D17F4F" w:rsidRPr="00D17F4F" w:rsidRDefault="00D17F4F" w:rsidP="00D17F4F">
      <w:pPr>
        <w:pStyle w:val="Bibliographie"/>
        <w:rPr>
          <w:rFonts w:ascii="Times New Roman" w:hAnsi="Times New Roman" w:cs="Times New Roman"/>
          <w:sz w:val="24"/>
        </w:rPr>
      </w:pPr>
      <w:r w:rsidRPr="00D17F4F">
        <w:rPr>
          <w:rFonts w:ascii="Times New Roman" w:hAnsi="Times New Roman" w:cs="Times New Roman"/>
          <w:sz w:val="24"/>
        </w:rPr>
        <w:t xml:space="preserve">Behrenfeld, M. (2011). Uncertain future for ocean algae. </w:t>
      </w:r>
      <w:r w:rsidRPr="00D17F4F">
        <w:rPr>
          <w:rFonts w:ascii="Times New Roman" w:hAnsi="Times New Roman" w:cs="Times New Roman"/>
          <w:i/>
          <w:iCs/>
          <w:sz w:val="24"/>
        </w:rPr>
        <w:t>Nature Climate Change</w:t>
      </w:r>
      <w:r w:rsidRPr="00D17F4F">
        <w:rPr>
          <w:rFonts w:ascii="Times New Roman" w:hAnsi="Times New Roman" w:cs="Times New Roman"/>
          <w:sz w:val="24"/>
        </w:rPr>
        <w:t xml:space="preserve">, </w:t>
      </w:r>
      <w:r w:rsidRPr="00D17F4F">
        <w:rPr>
          <w:rFonts w:ascii="Times New Roman" w:hAnsi="Times New Roman" w:cs="Times New Roman"/>
          <w:i/>
          <w:iCs/>
          <w:sz w:val="24"/>
        </w:rPr>
        <w:t>1</w:t>
      </w:r>
      <w:r w:rsidRPr="00D17F4F">
        <w:rPr>
          <w:rFonts w:ascii="Times New Roman" w:hAnsi="Times New Roman" w:cs="Times New Roman"/>
          <w:sz w:val="24"/>
        </w:rPr>
        <w:t>(1), 33–34. doi: 10.1038/nclimate1069</w:t>
      </w:r>
    </w:p>
    <w:p w14:paraId="10224E47" w14:textId="77777777" w:rsidR="00D17F4F" w:rsidRPr="00D17F4F" w:rsidRDefault="00D17F4F" w:rsidP="00D17F4F">
      <w:pPr>
        <w:pStyle w:val="Bibliographie"/>
        <w:rPr>
          <w:rFonts w:ascii="Times New Roman" w:hAnsi="Times New Roman" w:cs="Times New Roman"/>
          <w:sz w:val="24"/>
        </w:rPr>
      </w:pPr>
      <w:r w:rsidRPr="00D17F4F">
        <w:rPr>
          <w:rFonts w:ascii="Times New Roman" w:hAnsi="Times New Roman" w:cs="Times New Roman"/>
          <w:sz w:val="24"/>
        </w:rPr>
        <w:t>Biggs, J., Ewald, N., Valentini, A., Gaboriaud, C., Dejean, T., Griffiths, R. A., … Dunn, F. (2015). Using eDNA to develop a national citizen science-based monitoring programme for the great crested newt (</w:t>
      </w:r>
      <w:r w:rsidRPr="00D17F4F">
        <w:rPr>
          <w:rFonts w:ascii="Times New Roman" w:hAnsi="Times New Roman" w:cs="Times New Roman"/>
          <w:i/>
          <w:iCs/>
          <w:sz w:val="24"/>
        </w:rPr>
        <w:t>Triturus cristatus</w:t>
      </w:r>
      <w:r w:rsidRPr="00D17F4F">
        <w:rPr>
          <w:rFonts w:ascii="Times New Roman" w:hAnsi="Times New Roman" w:cs="Times New Roman"/>
          <w:sz w:val="24"/>
        </w:rPr>
        <w:t xml:space="preserve">). </w:t>
      </w:r>
      <w:r w:rsidRPr="00D17F4F">
        <w:rPr>
          <w:rFonts w:ascii="Times New Roman" w:hAnsi="Times New Roman" w:cs="Times New Roman"/>
          <w:i/>
          <w:iCs/>
          <w:sz w:val="24"/>
        </w:rPr>
        <w:t>Biological Conservation</w:t>
      </w:r>
      <w:r w:rsidRPr="00D17F4F">
        <w:rPr>
          <w:rFonts w:ascii="Times New Roman" w:hAnsi="Times New Roman" w:cs="Times New Roman"/>
          <w:sz w:val="24"/>
        </w:rPr>
        <w:t xml:space="preserve">, </w:t>
      </w:r>
      <w:r w:rsidRPr="00D17F4F">
        <w:rPr>
          <w:rFonts w:ascii="Times New Roman" w:hAnsi="Times New Roman" w:cs="Times New Roman"/>
          <w:i/>
          <w:iCs/>
          <w:sz w:val="24"/>
        </w:rPr>
        <w:t>183</w:t>
      </w:r>
      <w:r w:rsidRPr="00D17F4F">
        <w:rPr>
          <w:rFonts w:ascii="Times New Roman" w:hAnsi="Times New Roman" w:cs="Times New Roman"/>
          <w:sz w:val="24"/>
        </w:rPr>
        <w:t>, 19–28. doi: 10.1016/j.biocon.2014.11.029</w:t>
      </w:r>
    </w:p>
    <w:p w14:paraId="0F21C1E1" w14:textId="77777777" w:rsidR="00D17F4F" w:rsidRPr="00D17F4F" w:rsidRDefault="00D17F4F" w:rsidP="00D17F4F">
      <w:pPr>
        <w:pStyle w:val="Bibliographie"/>
        <w:rPr>
          <w:rFonts w:ascii="Times New Roman" w:hAnsi="Times New Roman" w:cs="Times New Roman"/>
          <w:sz w:val="24"/>
        </w:rPr>
      </w:pPr>
      <w:r w:rsidRPr="00D17F4F">
        <w:rPr>
          <w:rFonts w:ascii="Times New Roman" w:hAnsi="Times New Roman" w:cs="Times New Roman"/>
          <w:sz w:val="24"/>
        </w:rPr>
        <w:t xml:space="preserve">Blackman, R. C., Osathanunkul, M., Brantschen, J., Di Muri, C., Harper, L. R., Mächler, E., … Altermatt, F. (2021). Mapping biodiversity hotspots of fish communities in subtropical streams through environmental DNA. </w:t>
      </w:r>
      <w:r w:rsidRPr="00D17F4F">
        <w:rPr>
          <w:rFonts w:ascii="Times New Roman" w:hAnsi="Times New Roman" w:cs="Times New Roman"/>
          <w:i/>
          <w:iCs/>
          <w:sz w:val="24"/>
        </w:rPr>
        <w:t>Scientific Reports</w:t>
      </w:r>
      <w:r w:rsidRPr="00D17F4F">
        <w:rPr>
          <w:rFonts w:ascii="Times New Roman" w:hAnsi="Times New Roman" w:cs="Times New Roman"/>
          <w:sz w:val="24"/>
        </w:rPr>
        <w:t xml:space="preserve">, </w:t>
      </w:r>
      <w:r w:rsidRPr="00D17F4F">
        <w:rPr>
          <w:rFonts w:ascii="Times New Roman" w:hAnsi="Times New Roman" w:cs="Times New Roman"/>
          <w:i/>
          <w:iCs/>
          <w:sz w:val="24"/>
        </w:rPr>
        <w:t>11</w:t>
      </w:r>
      <w:r w:rsidRPr="00D17F4F">
        <w:rPr>
          <w:rFonts w:ascii="Times New Roman" w:hAnsi="Times New Roman" w:cs="Times New Roman"/>
          <w:sz w:val="24"/>
        </w:rPr>
        <w:t>(1), 10375. doi: 10.1038/s41598-021-89942-6</w:t>
      </w:r>
    </w:p>
    <w:p w14:paraId="1D177E2D" w14:textId="77777777" w:rsidR="00D17F4F" w:rsidRPr="00D17F4F" w:rsidRDefault="00D17F4F" w:rsidP="00D17F4F">
      <w:pPr>
        <w:pStyle w:val="Bibliographie"/>
        <w:rPr>
          <w:rFonts w:ascii="Times New Roman" w:hAnsi="Times New Roman" w:cs="Times New Roman"/>
          <w:sz w:val="24"/>
        </w:rPr>
      </w:pPr>
      <w:r w:rsidRPr="00D17F4F">
        <w:rPr>
          <w:rFonts w:ascii="Times New Roman" w:hAnsi="Times New Roman" w:cs="Times New Roman"/>
          <w:sz w:val="24"/>
        </w:rPr>
        <w:t xml:space="preserve">Brys, R., Halfmaerten, D., Neyrinck, S., Mauvisseau, Q., Auwerx, J., Sweet, M., &amp; Mergeay, J. (2020). Reliable eDNA detection and quantification of the European weather loach ( </w:t>
      </w:r>
      <w:r w:rsidRPr="00D17F4F">
        <w:rPr>
          <w:rFonts w:ascii="Times New Roman" w:hAnsi="Times New Roman" w:cs="Times New Roman"/>
          <w:i/>
          <w:iCs/>
          <w:sz w:val="24"/>
        </w:rPr>
        <w:t>Misgurnus fossilis</w:t>
      </w:r>
      <w:r w:rsidRPr="00D17F4F">
        <w:rPr>
          <w:rFonts w:ascii="Times New Roman" w:hAnsi="Times New Roman" w:cs="Times New Roman"/>
          <w:sz w:val="24"/>
        </w:rPr>
        <w:t xml:space="preserve"> ). </w:t>
      </w:r>
      <w:r w:rsidRPr="00D17F4F">
        <w:rPr>
          <w:rFonts w:ascii="Times New Roman" w:hAnsi="Times New Roman" w:cs="Times New Roman"/>
          <w:i/>
          <w:iCs/>
          <w:sz w:val="24"/>
        </w:rPr>
        <w:t>Journal of Fish Biology</w:t>
      </w:r>
      <w:r w:rsidRPr="00D17F4F">
        <w:rPr>
          <w:rFonts w:ascii="Times New Roman" w:hAnsi="Times New Roman" w:cs="Times New Roman"/>
          <w:sz w:val="24"/>
        </w:rPr>
        <w:t>, jfb.14315. doi: 10.1111/jfb.14315</w:t>
      </w:r>
    </w:p>
    <w:p w14:paraId="295048FC" w14:textId="77777777" w:rsidR="00D17F4F" w:rsidRPr="00D17F4F" w:rsidRDefault="00D17F4F" w:rsidP="00D17F4F">
      <w:pPr>
        <w:pStyle w:val="Bibliographie"/>
        <w:rPr>
          <w:rFonts w:ascii="Times New Roman" w:hAnsi="Times New Roman" w:cs="Times New Roman"/>
          <w:sz w:val="24"/>
        </w:rPr>
      </w:pPr>
      <w:r w:rsidRPr="00D17F4F">
        <w:rPr>
          <w:rFonts w:ascii="Times New Roman" w:hAnsi="Times New Roman" w:cs="Times New Roman"/>
          <w:sz w:val="24"/>
        </w:rPr>
        <w:t xml:space="preserve">Burian, A., Mauvisseau, Q., Bulling, M., Domisch, S., Qian, S., &amp; Sweet, M. (2021). Improving the reliability of eDNA data interpretation. </w:t>
      </w:r>
      <w:r w:rsidRPr="00D17F4F">
        <w:rPr>
          <w:rFonts w:ascii="Times New Roman" w:hAnsi="Times New Roman" w:cs="Times New Roman"/>
          <w:i/>
          <w:iCs/>
          <w:sz w:val="24"/>
        </w:rPr>
        <w:t>Molecular Ecology Resources</w:t>
      </w:r>
      <w:r w:rsidRPr="00D17F4F">
        <w:rPr>
          <w:rFonts w:ascii="Times New Roman" w:hAnsi="Times New Roman" w:cs="Times New Roman"/>
          <w:sz w:val="24"/>
        </w:rPr>
        <w:t>, 1755-0998.13367. doi: 10.1111/1755-0998.13367</w:t>
      </w:r>
    </w:p>
    <w:p w14:paraId="080CADB6" w14:textId="77777777" w:rsidR="00D17F4F" w:rsidRPr="00D17F4F" w:rsidRDefault="00D17F4F" w:rsidP="00D17F4F">
      <w:pPr>
        <w:pStyle w:val="Bibliographie"/>
        <w:rPr>
          <w:rFonts w:ascii="Times New Roman" w:hAnsi="Times New Roman" w:cs="Times New Roman"/>
          <w:sz w:val="24"/>
        </w:rPr>
      </w:pPr>
      <w:r w:rsidRPr="00D17F4F">
        <w:rPr>
          <w:rFonts w:ascii="Times New Roman" w:hAnsi="Times New Roman" w:cs="Times New Roman"/>
          <w:sz w:val="24"/>
        </w:rPr>
        <w:t xml:space="preserve">Capo, E., Spong, G., Königsson, H., &amp; Byström, P. (2019). Effects of filtration methods and water volume on the quantification of brown trout ( </w:t>
      </w:r>
      <w:r w:rsidRPr="00D17F4F">
        <w:rPr>
          <w:rFonts w:ascii="Times New Roman" w:hAnsi="Times New Roman" w:cs="Times New Roman"/>
          <w:i/>
          <w:iCs/>
          <w:sz w:val="24"/>
        </w:rPr>
        <w:t>Salmo trutta</w:t>
      </w:r>
      <w:r w:rsidRPr="00D17F4F">
        <w:rPr>
          <w:rFonts w:ascii="Times New Roman" w:hAnsi="Times New Roman" w:cs="Times New Roman"/>
          <w:sz w:val="24"/>
        </w:rPr>
        <w:t xml:space="preserve"> ) and Arctic char ( </w:t>
      </w:r>
      <w:r w:rsidRPr="00D17F4F">
        <w:rPr>
          <w:rFonts w:ascii="Times New Roman" w:hAnsi="Times New Roman" w:cs="Times New Roman"/>
          <w:i/>
          <w:iCs/>
          <w:sz w:val="24"/>
        </w:rPr>
        <w:lastRenderedPageBreak/>
        <w:t>Salvelinus alpinus</w:t>
      </w:r>
      <w:r w:rsidRPr="00D17F4F">
        <w:rPr>
          <w:rFonts w:ascii="Times New Roman" w:hAnsi="Times New Roman" w:cs="Times New Roman"/>
          <w:sz w:val="24"/>
        </w:rPr>
        <w:t xml:space="preserve"> ) eDNA concentrations via droplet digital PCR. </w:t>
      </w:r>
      <w:r w:rsidRPr="00D17F4F">
        <w:rPr>
          <w:rFonts w:ascii="Times New Roman" w:hAnsi="Times New Roman" w:cs="Times New Roman"/>
          <w:i/>
          <w:iCs/>
          <w:sz w:val="24"/>
        </w:rPr>
        <w:t>Environmental DNA</w:t>
      </w:r>
      <w:r w:rsidRPr="00D17F4F">
        <w:rPr>
          <w:rFonts w:ascii="Times New Roman" w:hAnsi="Times New Roman" w:cs="Times New Roman"/>
          <w:sz w:val="24"/>
        </w:rPr>
        <w:t>, edn3.52. doi: 10.1002/edn3.52</w:t>
      </w:r>
    </w:p>
    <w:p w14:paraId="6970E180" w14:textId="77777777" w:rsidR="00D17F4F" w:rsidRPr="00D17F4F" w:rsidRDefault="00D17F4F" w:rsidP="00D17F4F">
      <w:pPr>
        <w:pStyle w:val="Bibliographie"/>
        <w:rPr>
          <w:rFonts w:ascii="Times New Roman" w:hAnsi="Times New Roman" w:cs="Times New Roman"/>
          <w:sz w:val="24"/>
        </w:rPr>
      </w:pPr>
      <w:r w:rsidRPr="00D17F4F">
        <w:rPr>
          <w:rFonts w:ascii="Times New Roman" w:hAnsi="Times New Roman" w:cs="Times New Roman"/>
          <w:sz w:val="24"/>
        </w:rPr>
        <w:t xml:space="preserve">Clements, C. F., Blanchard, J. L., Nash, K. L., Hindell, M. A., &amp; Ozgul, A. (2017). Body size shifts and early warning signals precede the historic collapse of whale stocks. </w:t>
      </w:r>
      <w:r w:rsidRPr="00D17F4F">
        <w:rPr>
          <w:rFonts w:ascii="Times New Roman" w:hAnsi="Times New Roman" w:cs="Times New Roman"/>
          <w:i/>
          <w:iCs/>
          <w:sz w:val="24"/>
        </w:rPr>
        <w:t>Nature Ecology &amp; Evolution</w:t>
      </w:r>
      <w:r w:rsidRPr="00D17F4F">
        <w:rPr>
          <w:rFonts w:ascii="Times New Roman" w:hAnsi="Times New Roman" w:cs="Times New Roman"/>
          <w:sz w:val="24"/>
        </w:rPr>
        <w:t xml:space="preserve">, </w:t>
      </w:r>
      <w:r w:rsidRPr="00D17F4F">
        <w:rPr>
          <w:rFonts w:ascii="Times New Roman" w:hAnsi="Times New Roman" w:cs="Times New Roman"/>
          <w:i/>
          <w:iCs/>
          <w:sz w:val="24"/>
        </w:rPr>
        <w:t>1</w:t>
      </w:r>
      <w:r w:rsidRPr="00D17F4F">
        <w:rPr>
          <w:rFonts w:ascii="Times New Roman" w:hAnsi="Times New Roman" w:cs="Times New Roman"/>
          <w:sz w:val="24"/>
        </w:rPr>
        <w:t>(7), 0188. doi: 10.1038/s41559-017-0188</w:t>
      </w:r>
    </w:p>
    <w:p w14:paraId="2A87E928" w14:textId="77777777" w:rsidR="00D17F4F" w:rsidRPr="00D17F4F" w:rsidRDefault="00D17F4F" w:rsidP="00D17F4F">
      <w:pPr>
        <w:pStyle w:val="Bibliographie"/>
        <w:rPr>
          <w:rFonts w:ascii="Times New Roman" w:hAnsi="Times New Roman" w:cs="Times New Roman"/>
          <w:sz w:val="24"/>
        </w:rPr>
      </w:pPr>
      <w:r w:rsidRPr="00D17F4F">
        <w:rPr>
          <w:rFonts w:ascii="Times New Roman" w:hAnsi="Times New Roman" w:cs="Times New Roman"/>
          <w:sz w:val="24"/>
        </w:rPr>
        <w:t xml:space="preserve">Collins, R. A., Bakker, J., Wangensteen, O. S., Soto, A. Z., Corrigan, L., Sims, D. W., … Mariani, S. (2019). Non‐specific amplification compromises environmental </w:t>
      </w:r>
      <w:r w:rsidRPr="00D17F4F">
        <w:rPr>
          <w:rFonts w:ascii="Times New Roman" w:hAnsi="Times New Roman" w:cs="Times New Roman"/>
          <w:smallCaps/>
          <w:sz w:val="24"/>
        </w:rPr>
        <w:t>DNA</w:t>
      </w:r>
      <w:r w:rsidRPr="00D17F4F">
        <w:rPr>
          <w:rFonts w:ascii="Times New Roman" w:hAnsi="Times New Roman" w:cs="Times New Roman"/>
          <w:sz w:val="24"/>
        </w:rPr>
        <w:t xml:space="preserve"> metabarcoding with </w:t>
      </w:r>
      <w:r w:rsidRPr="00D17F4F">
        <w:rPr>
          <w:rFonts w:ascii="Times New Roman" w:hAnsi="Times New Roman" w:cs="Times New Roman"/>
          <w:smallCaps/>
          <w:sz w:val="24"/>
        </w:rPr>
        <w:t>COI</w:t>
      </w:r>
      <w:r w:rsidRPr="00D17F4F">
        <w:rPr>
          <w:rFonts w:ascii="Times New Roman" w:hAnsi="Times New Roman" w:cs="Times New Roman"/>
          <w:sz w:val="24"/>
        </w:rPr>
        <w:t xml:space="preserve">. </w:t>
      </w:r>
      <w:r w:rsidRPr="00D17F4F">
        <w:rPr>
          <w:rFonts w:ascii="Times New Roman" w:hAnsi="Times New Roman" w:cs="Times New Roman"/>
          <w:i/>
          <w:iCs/>
          <w:sz w:val="24"/>
        </w:rPr>
        <w:t>Methods in Ecology and Evolution</w:t>
      </w:r>
      <w:r w:rsidRPr="00D17F4F">
        <w:rPr>
          <w:rFonts w:ascii="Times New Roman" w:hAnsi="Times New Roman" w:cs="Times New Roman"/>
          <w:sz w:val="24"/>
        </w:rPr>
        <w:t>, 2041-210X.13276. doi: 10.1111/2041-210X.13276</w:t>
      </w:r>
    </w:p>
    <w:p w14:paraId="3B086E76" w14:textId="77777777" w:rsidR="00D17F4F" w:rsidRPr="00D17F4F" w:rsidRDefault="00D17F4F" w:rsidP="00D17F4F">
      <w:pPr>
        <w:pStyle w:val="Bibliographie"/>
        <w:rPr>
          <w:rFonts w:ascii="Times New Roman" w:hAnsi="Times New Roman" w:cs="Times New Roman"/>
          <w:sz w:val="24"/>
        </w:rPr>
      </w:pPr>
      <w:r w:rsidRPr="00D17F4F">
        <w:rPr>
          <w:rFonts w:ascii="Times New Roman" w:hAnsi="Times New Roman" w:cs="Times New Roman"/>
          <w:sz w:val="24"/>
        </w:rPr>
        <w:t xml:space="preserve">Currier, C. A., Morris, T. J., Wilson, C. C., &amp; Freeland, J. R. (2018). Validation of environmental DNA (eDNA) as a detection tool for at-risk freshwater pearly mussel species (Bivalvia: Unionidae). </w:t>
      </w:r>
      <w:r w:rsidRPr="00D17F4F">
        <w:rPr>
          <w:rFonts w:ascii="Times New Roman" w:hAnsi="Times New Roman" w:cs="Times New Roman"/>
          <w:i/>
          <w:iCs/>
          <w:sz w:val="24"/>
        </w:rPr>
        <w:t>Aquatic Conservation: Marine and Freshwater Ecosystems</w:t>
      </w:r>
      <w:r w:rsidRPr="00D17F4F">
        <w:rPr>
          <w:rFonts w:ascii="Times New Roman" w:hAnsi="Times New Roman" w:cs="Times New Roman"/>
          <w:sz w:val="24"/>
        </w:rPr>
        <w:t>. doi: 10.1002/aqc.2869</w:t>
      </w:r>
    </w:p>
    <w:p w14:paraId="4D8270EB" w14:textId="77777777" w:rsidR="00D17F4F" w:rsidRPr="00D17F4F" w:rsidRDefault="00D17F4F" w:rsidP="00D17F4F">
      <w:pPr>
        <w:pStyle w:val="Bibliographie"/>
        <w:rPr>
          <w:rFonts w:ascii="Times New Roman" w:hAnsi="Times New Roman" w:cs="Times New Roman"/>
          <w:sz w:val="24"/>
        </w:rPr>
      </w:pPr>
      <w:r w:rsidRPr="00D17F4F">
        <w:rPr>
          <w:rFonts w:ascii="Times New Roman" w:hAnsi="Times New Roman" w:cs="Times New Roman"/>
          <w:sz w:val="24"/>
        </w:rPr>
        <w:t xml:space="preserve">Doney, S. C., Ruckelshaus, M., Emmett Duffy, J., Barry, J. P., Chan, F., English, C. A., … Talley, L. D. (2012). Climate Change Impacts on Marine Ecosystems. </w:t>
      </w:r>
      <w:r w:rsidRPr="00D17F4F">
        <w:rPr>
          <w:rFonts w:ascii="Times New Roman" w:hAnsi="Times New Roman" w:cs="Times New Roman"/>
          <w:i/>
          <w:iCs/>
          <w:sz w:val="24"/>
        </w:rPr>
        <w:t>Annual Review of Marine Science</w:t>
      </w:r>
      <w:r w:rsidRPr="00D17F4F">
        <w:rPr>
          <w:rFonts w:ascii="Times New Roman" w:hAnsi="Times New Roman" w:cs="Times New Roman"/>
          <w:sz w:val="24"/>
        </w:rPr>
        <w:t xml:space="preserve">, </w:t>
      </w:r>
      <w:r w:rsidRPr="00D17F4F">
        <w:rPr>
          <w:rFonts w:ascii="Times New Roman" w:hAnsi="Times New Roman" w:cs="Times New Roman"/>
          <w:i/>
          <w:iCs/>
          <w:sz w:val="24"/>
        </w:rPr>
        <w:t>4</w:t>
      </w:r>
      <w:r w:rsidRPr="00D17F4F">
        <w:rPr>
          <w:rFonts w:ascii="Times New Roman" w:hAnsi="Times New Roman" w:cs="Times New Roman"/>
          <w:sz w:val="24"/>
        </w:rPr>
        <w:t>(1), 11–37. doi: 10.1146/annurev-marine-041911-111611</w:t>
      </w:r>
    </w:p>
    <w:p w14:paraId="2032CF39" w14:textId="77777777" w:rsidR="00D17F4F" w:rsidRPr="00D17F4F" w:rsidRDefault="00D17F4F" w:rsidP="00D17F4F">
      <w:pPr>
        <w:pStyle w:val="Bibliographie"/>
        <w:rPr>
          <w:rFonts w:ascii="Times New Roman" w:hAnsi="Times New Roman" w:cs="Times New Roman"/>
          <w:sz w:val="24"/>
        </w:rPr>
      </w:pPr>
      <w:r w:rsidRPr="00D17F4F">
        <w:rPr>
          <w:rFonts w:ascii="Times New Roman" w:hAnsi="Times New Roman" w:cs="Times New Roman"/>
          <w:sz w:val="24"/>
        </w:rPr>
        <w:t xml:space="preserve">Ebert, D. A., Dando, M., &amp; Fowler, S. (2021). </w:t>
      </w:r>
      <w:r w:rsidRPr="00D17F4F">
        <w:rPr>
          <w:rFonts w:ascii="Times New Roman" w:hAnsi="Times New Roman" w:cs="Times New Roman"/>
          <w:i/>
          <w:iCs/>
          <w:sz w:val="24"/>
        </w:rPr>
        <w:t>Sharks of the World: A Complete Guide</w:t>
      </w:r>
      <w:r w:rsidRPr="00D17F4F">
        <w:rPr>
          <w:rFonts w:ascii="Times New Roman" w:hAnsi="Times New Roman" w:cs="Times New Roman"/>
          <w:sz w:val="24"/>
        </w:rPr>
        <w:t>. Princeton: Princeton University Press. Retrieved from https://doi.org/10.1515/9780691210872</w:t>
      </w:r>
    </w:p>
    <w:p w14:paraId="58448E1B" w14:textId="77777777" w:rsidR="00D17F4F" w:rsidRPr="00D17F4F" w:rsidRDefault="00D17F4F" w:rsidP="00D17F4F">
      <w:pPr>
        <w:pStyle w:val="Bibliographie"/>
        <w:rPr>
          <w:rFonts w:ascii="Times New Roman" w:hAnsi="Times New Roman" w:cs="Times New Roman"/>
          <w:sz w:val="24"/>
        </w:rPr>
      </w:pPr>
      <w:r w:rsidRPr="00D17F4F">
        <w:rPr>
          <w:rFonts w:ascii="Times New Roman" w:hAnsi="Times New Roman" w:cs="Times New Roman"/>
          <w:sz w:val="24"/>
        </w:rPr>
        <w:t xml:space="preserve">Edgar, R. C. (2010). Search and clustering orders of magnitude faster than BLAST. </w:t>
      </w:r>
      <w:r w:rsidRPr="00D17F4F">
        <w:rPr>
          <w:rFonts w:ascii="Times New Roman" w:hAnsi="Times New Roman" w:cs="Times New Roman"/>
          <w:i/>
          <w:iCs/>
          <w:sz w:val="24"/>
        </w:rPr>
        <w:t>Bioinformatics</w:t>
      </w:r>
      <w:r w:rsidRPr="00D17F4F">
        <w:rPr>
          <w:rFonts w:ascii="Times New Roman" w:hAnsi="Times New Roman" w:cs="Times New Roman"/>
          <w:sz w:val="24"/>
        </w:rPr>
        <w:t xml:space="preserve">, </w:t>
      </w:r>
      <w:r w:rsidRPr="00D17F4F">
        <w:rPr>
          <w:rFonts w:ascii="Times New Roman" w:hAnsi="Times New Roman" w:cs="Times New Roman"/>
          <w:i/>
          <w:iCs/>
          <w:sz w:val="24"/>
        </w:rPr>
        <w:t>26</w:t>
      </w:r>
      <w:r w:rsidRPr="00D17F4F">
        <w:rPr>
          <w:rFonts w:ascii="Times New Roman" w:hAnsi="Times New Roman" w:cs="Times New Roman"/>
          <w:sz w:val="24"/>
        </w:rPr>
        <w:t>(19), 2460–2461. doi: 10.1093/bioinformatics/btq461</w:t>
      </w:r>
    </w:p>
    <w:p w14:paraId="590C77D3" w14:textId="77777777" w:rsidR="00D17F4F" w:rsidRPr="00D17F4F" w:rsidRDefault="00D17F4F" w:rsidP="00D17F4F">
      <w:pPr>
        <w:pStyle w:val="Bibliographie"/>
        <w:rPr>
          <w:rFonts w:ascii="Times New Roman" w:hAnsi="Times New Roman" w:cs="Times New Roman"/>
          <w:sz w:val="24"/>
        </w:rPr>
      </w:pPr>
      <w:r w:rsidRPr="00D17F4F">
        <w:rPr>
          <w:rFonts w:ascii="Times New Roman" w:hAnsi="Times New Roman" w:cs="Times New Roman"/>
          <w:sz w:val="24"/>
        </w:rPr>
        <w:t xml:space="preserve">Edgar, R. C. (2016). UNOISE2: Improved error-correction for Illumina 16S and ITS amplicon sequencing. </w:t>
      </w:r>
      <w:r w:rsidRPr="00D17F4F">
        <w:rPr>
          <w:rFonts w:ascii="Times New Roman" w:hAnsi="Times New Roman" w:cs="Times New Roman"/>
          <w:i/>
          <w:iCs/>
          <w:sz w:val="24"/>
        </w:rPr>
        <w:t>BioRxiv</w:t>
      </w:r>
      <w:r w:rsidRPr="00D17F4F">
        <w:rPr>
          <w:rFonts w:ascii="Times New Roman" w:hAnsi="Times New Roman" w:cs="Times New Roman"/>
          <w:sz w:val="24"/>
        </w:rPr>
        <w:t>. doi: 10.1101/081257</w:t>
      </w:r>
    </w:p>
    <w:p w14:paraId="4E5DC792" w14:textId="77777777" w:rsidR="00D17F4F" w:rsidRPr="00D17F4F" w:rsidRDefault="00D17F4F" w:rsidP="00D17F4F">
      <w:pPr>
        <w:pStyle w:val="Bibliographie"/>
        <w:rPr>
          <w:rFonts w:ascii="Times New Roman" w:hAnsi="Times New Roman" w:cs="Times New Roman"/>
          <w:sz w:val="24"/>
        </w:rPr>
      </w:pPr>
      <w:r w:rsidRPr="00D17F4F">
        <w:rPr>
          <w:rFonts w:ascii="Times New Roman" w:hAnsi="Times New Roman" w:cs="Times New Roman"/>
          <w:sz w:val="24"/>
        </w:rPr>
        <w:t xml:space="preserve">Everts, T., Halfmaerten, D., Neyrinck, S., De Regge, N., Jacquemyn, H., &amp; Brys, R. (2021). Accurate detection and quantification of seasonal abundance of American bullfrog </w:t>
      </w:r>
      <w:r w:rsidRPr="00D17F4F">
        <w:rPr>
          <w:rFonts w:ascii="Times New Roman" w:hAnsi="Times New Roman" w:cs="Times New Roman"/>
          <w:sz w:val="24"/>
        </w:rPr>
        <w:lastRenderedPageBreak/>
        <w:t xml:space="preserve">(Lithobates catesbeianus) using ddPCR eDNA assays. </w:t>
      </w:r>
      <w:r w:rsidRPr="00D17F4F">
        <w:rPr>
          <w:rFonts w:ascii="Times New Roman" w:hAnsi="Times New Roman" w:cs="Times New Roman"/>
          <w:i/>
          <w:iCs/>
          <w:sz w:val="24"/>
        </w:rPr>
        <w:t>Scientific Reports</w:t>
      </w:r>
      <w:r w:rsidRPr="00D17F4F">
        <w:rPr>
          <w:rFonts w:ascii="Times New Roman" w:hAnsi="Times New Roman" w:cs="Times New Roman"/>
          <w:sz w:val="24"/>
        </w:rPr>
        <w:t xml:space="preserve">, </w:t>
      </w:r>
      <w:r w:rsidRPr="00D17F4F">
        <w:rPr>
          <w:rFonts w:ascii="Times New Roman" w:hAnsi="Times New Roman" w:cs="Times New Roman"/>
          <w:i/>
          <w:iCs/>
          <w:sz w:val="24"/>
        </w:rPr>
        <w:t>11</w:t>
      </w:r>
      <w:r w:rsidRPr="00D17F4F">
        <w:rPr>
          <w:rFonts w:ascii="Times New Roman" w:hAnsi="Times New Roman" w:cs="Times New Roman"/>
          <w:sz w:val="24"/>
        </w:rPr>
        <w:t>(1), 11282. doi: 10.1038/s41598-021-90771-w</w:t>
      </w:r>
    </w:p>
    <w:p w14:paraId="7EBE17C8" w14:textId="77777777" w:rsidR="00D17F4F" w:rsidRPr="00D17F4F" w:rsidRDefault="00D17F4F" w:rsidP="00D17F4F">
      <w:pPr>
        <w:pStyle w:val="Bibliographie"/>
        <w:rPr>
          <w:rFonts w:ascii="Times New Roman" w:hAnsi="Times New Roman" w:cs="Times New Roman"/>
          <w:sz w:val="24"/>
        </w:rPr>
      </w:pPr>
      <w:r w:rsidRPr="00D17F4F">
        <w:rPr>
          <w:rFonts w:ascii="Times New Roman" w:hAnsi="Times New Roman" w:cs="Times New Roman"/>
          <w:sz w:val="24"/>
        </w:rPr>
        <w:t xml:space="preserve">Floros, C., Schleyer, M. H., &amp; Maggs, J. Q. (2013). Fish as indicators of diving and fishing pressure on high-latitude coral reefs. </w:t>
      </w:r>
      <w:r w:rsidRPr="00D17F4F">
        <w:rPr>
          <w:rFonts w:ascii="Times New Roman" w:hAnsi="Times New Roman" w:cs="Times New Roman"/>
          <w:i/>
          <w:iCs/>
          <w:sz w:val="24"/>
        </w:rPr>
        <w:t>Ocean &amp; Coastal Management</w:t>
      </w:r>
      <w:r w:rsidRPr="00D17F4F">
        <w:rPr>
          <w:rFonts w:ascii="Times New Roman" w:hAnsi="Times New Roman" w:cs="Times New Roman"/>
          <w:sz w:val="24"/>
        </w:rPr>
        <w:t xml:space="preserve">, </w:t>
      </w:r>
      <w:r w:rsidRPr="00D17F4F">
        <w:rPr>
          <w:rFonts w:ascii="Times New Roman" w:hAnsi="Times New Roman" w:cs="Times New Roman"/>
          <w:i/>
          <w:iCs/>
          <w:sz w:val="24"/>
        </w:rPr>
        <w:t>84</w:t>
      </w:r>
      <w:r w:rsidRPr="00D17F4F">
        <w:rPr>
          <w:rFonts w:ascii="Times New Roman" w:hAnsi="Times New Roman" w:cs="Times New Roman"/>
          <w:sz w:val="24"/>
        </w:rPr>
        <w:t>, 130–139. doi: 10.1016/j.ocecoaman.2013.08.005</w:t>
      </w:r>
    </w:p>
    <w:p w14:paraId="5DA35B80" w14:textId="77777777" w:rsidR="00D17F4F" w:rsidRPr="00D17F4F" w:rsidRDefault="00D17F4F" w:rsidP="00D17F4F">
      <w:pPr>
        <w:pStyle w:val="Bibliographie"/>
        <w:rPr>
          <w:rFonts w:ascii="Times New Roman" w:hAnsi="Times New Roman" w:cs="Times New Roman"/>
          <w:sz w:val="24"/>
        </w:rPr>
      </w:pPr>
      <w:r w:rsidRPr="00D17F4F">
        <w:rPr>
          <w:rFonts w:ascii="Times New Roman" w:hAnsi="Times New Roman" w:cs="Times New Roman"/>
          <w:sz w:val="24"/>
        </w:rPr>
        <w:t xml:space="preserve">Gell, F. R., &amp; Whittington, M. W. (2002). Diversity of fishes in seagrass beds in the Quirimba Archipelago, northern Mozambique. </w:t>
      </w:r>
      <w:r w:rsidRPr="00D17F4F">
        <w:rPr>
          <w:rFonts w:ascii="Times New Roman" w:hAnsi="Times New Roman" w:cs="Times New Roman"/>
          <w:i/>
          <w:iCs/>
          <w:sz w:val="24"/>
        </w:rPr>
        <w:t>Marine and Freshwater Research</w:t>
      </w:r>
      <w:r w:rsidRPr="00D17F4F">
        <w:rPr>
          <w:rFonts w:ascii="Times New Roman" w:hAnsi="Times New Roman" w:cs="Times New Roman"/>
          <w:sz w:val="24"/>
        </w:rPr>
        <w:t xml:space="preserve">, </w:t>
      </w:r>
      <w:r w:rsidRPr="00D17F4F">
        <w:rPr>
          <w:rFonts w:ascii="Times New Roman" w:hAnsi="Times New Roman" w:cs="Times New Roman"/>
          <w:i/>
          <w:iCs/>
          <w:sz w:val="24"/>
        </w:rPr>
        <w:t>53</w:t>
      </w:r>
      <w:r w:rsidRPr="00D17F4F">
        <w:rPr>
          <w:rFonts w:ascii="Times New Roman" w:hAnsi="Times New Roman" w:cs="Times New Roman"/>
          <w:sz w:val="24"/>
        </w:rPr>
        <w:t>(2), 115. doi: 10.1071/MF01125</w:t>
      </w:r>
    </w:p>
    <w:p w14:paraId="5EFA237A" w14:textId="77777777" w:rsidR="00D17F4F" w:rsidRPr="00D17F4F" w:rsidRDefault="00D17F4F" w:rsidP="00D17F4F">
      <w:pPr>
        <w:pStyle w:val="Bibliographie"/>
        <w:rPr>
          <w:rFonts w:ascii="Times New Roman" w:hAnsi="Times New Roman" w:cs="Times New Roman"/>
          <w:sz w:val="24"/>
        </w:rPr>
      </w:pPr>
      <w:r w:rsidRPr="00D17F4F">
        <w:rPr>
          <w:rFonts w:ascii="Times New Roman" w:hAnsi="Times New Roman" w:cs="Times New Roman"/>
          <w:sz w:val="24"/>
        </w:rPr>
        <w:t xml:space="preserve">Gilbey, J., Carvalho, G., Castilho, R., Coscia, I., Coulson, M. W., Dahle, G., … Volckaert, F. A. M. (2021). Life in a drop: Sampling environmental DNA for marine fishery management and ecosystem monitoring. </w:t>
      </w:r>
      <w:r w:rsidRPr="00D17F4F">
        <w:rPr>
          <w:rFonts w:ascii="Times New Roman" w:hAnsi="Times New Roman" w:cs="Times New Roman"/>
          <w:i/>
          <w:iCs/>
          <w:sz w:val="24"/>
        </w:rPr>
        <w:t>Marine Policy</w:t>
      </w:r>
      <w:r w:rsidRPr="00D17F4F">
        <w:rPr>
          <w:rFonts w:ascii="Times New Roman" w:hAnsi="Times New Roman" w:cs="Times New Roman"/>
          <w:sz w:val="24"/>
        </w:rPr>
        <w:t xml:space="preserve">, </w:t>
      </w:r>
      <w:r w:rsidRPr="00D17F4F">
        <w:rPr>
          <w:rFonts w:ascii="Times New Roman" w:hAnsi="Times New Roman" w:cs="Times New Roman"/>
          <w:i/>
          <w:iCs/>
          <w:sz w:val="24"/>
        </w:rPr>
        <w:t>124</w:t>
      </w:r>
      <w:r w:rsidRPr="00D17F4F">
        <w:rPr>
          <w:rFonts w:ascii="Times New Roman" w:hAnsi="Times New Roman" w:cs="Times New Roman"/>
          <w:sz w:val="24"/>
        </w:rPr>
        <w:t>, 104331. doi: 10.1016/j.marpol.2020.104331</w:t>
      </w:r>
    </w:p>
    <w:p w14:paraId="3D2FE154" w14:textId="77777777" w:rsidR="00D17F4F" w:rsidRPr="00D17F4F" w:rsidRDefault="00D17F4F" w:rsidP="00D17F4F">
      <w:pPr>
        <w:pStyle w:val="Bibliographie"/>
        <w:rPr>
          <w:rFonts w:ascii="Times New Roman" w:hAnsi="Times New Roman" w:cs="Times New Roman"/>
          <w:sz w:val="24"/>
        </w:rPr>
      </w:pPr>
      <w:r w:rsidRPr="00D17F4F">
        <w:rPr>
          <w:rFonts w:ascii="Times New Roman" w:hAnsi="Times New Roman" w:cs="Times New Roman"/>
          <w:sz w:val="24"/>
        </w:rPr>
        <w:t xml:space="preserve">Griffiths, C. L. (2005). Coastal marine biodiversity in East Africa. </w:t>
      </w:r>
      <w:r w:rsidRPr="00D17F4F">
        <w:rPr>
          <w:rFonts w:ascii="Times New Roman" w:hAnsi="Times New Roman" w:cs="Times New Roman"/>
          <w:i/>
          <w:iCs/>
          <w:sz w:val="24"/>
        </w:rPr>
        <w:t>INDIAN J. MAR. SCI.</w:t>
      </w:r>
      <w:r w:rsidRPr="00D17F4F">
        <w:rPr>
          <w:rFonts w:ascii="Times New Roman" w:hAnsi="Times New Roman" w:cs="Times New Roman"/>
          <w:sz w:val="24"/>
        </w:rPr>
        <w:t xml:space="preserve">, </w:t>
      </w:r>
      <w:r w:rsidRPr="00D17F4F">
        <w:rPr>
          <w:rFonts w:ascii="Times New Roman" w:hAnsi="Times New Roman" w:cs="Times New Roman"/>
          <w:i/>
          <w:iCs/>
          <w:sz w:val="24"/>
        </w:rPr>
        <w:t>34</w:t>
      </w:r>
      <w:r w:rsidRPr="00D17F4F">
        <w:rPr>
          <w:rFonts w:ascii="Times New Roman" w:hAnsi="Times New Roman" w:cs="Times New Roman"/>
          <w:sz w:val="24"/>
        </w:rPr>
        <w:t>, 7.</w:t>
      </w:r>
    </w:p>
    <w:p w14:paraId="70E41D78" w14:textId="77777777" w:rsidR="00D17F4F" w:rsidRPr="00D17F4F" w:rsidRDefault="00D17F4F" w:rsidP="00D17F4F">
      <w:pPr>
        <w:pStyle w:val="Bibliographie"/>
        <w:rPr>
          <w:rFonts w:ascii="Times New Roman" w:hAnsi="Times New Roman" w:cs="Times New Roman"/>
          <w:sz w:val="24"/>
        </w:rPr>
      </w:pPr>
      <w:r w:rsidRPr="00D17F4F">
        <w:rPr>
          <w:rFonts w:ascii="Times New Roman" w:hAnsi="Times New Roman" w:cs="Times New Roman"/>
          <w:sz w:val="24"/>
        </w:rPr>
        <w:t xml:space="preserve">Günther, B., Knebelsberger, T., Neumann, H., Laakmann, S., &amp; Martínez Arbizu, P. (2018). Metabarcoding of marine environmental DNA based on mitochondrial and nuclear genes. </w:t>
      </w:r>
      <w:r w:rsidRPr="00D17F4F">
        <w:rPr>
          <w:rFonts w:ascii="Times New Roman" w:hAnsi="Times New Roman" w:cs="Times New Roman"/>
          <w:i/>
          <w:iCs/>
          <w:sz w:val="24"/>
        </w:rPr>
        <w:t>Scientific Reports</w:t>
      </w:r>
      <w:r w:rsidRPr="00D17F4F">
        <w:rPr>
          <w:rFonts w:ascii="Times New Roman" w:hAnsi="Times New Roman" w:cs="Times New Roman"/>
          <w:sz w:val="24"/>
        </w:rPr>
        <w:t xml:space="preserve">, </w:t>
      </w:r>
      <w:r w:rsidRPr="00D17F4F">
        <w:rPr>
          <w:rFonts w:ascii="Times New Roman" w:hAnsi="Times New Roman" w:cs="Times New Roman"/>
          <w:i/>
          <w:iCs/>
          <w:sz w:val="24"/>
        </w:rPr>
        <w:t>8</w:t>
      </w:r>
      <w:r w:rsidRPr="00D17F4F">
        <w:rPr>
          <w:rFonts w:ascii="Times New Roman" w:hAnsi="Times New Roman" w:cs="Times New Roman"/>
          <w:sz w:val="24"/>
        </w:rPr>
        <w:t>(1). doi: 10.1038/s41598-018-32917-x</w:t>
      </w:r>
    </w:p>
    <w:p w14:paraId="7A4B6925" w14:textId="77777777" w:rsidR="00D17F4F" w:rsidRPr="00D17F4F" w:rsidRDefault="00D17F4F" w:rsidP="00D17F4F">
      <w:pPr>
        <w:pStyle w:val="Bibliographie"/>
        <w:rPr>
          <w:rFonts w:ascii="Times New Roman" w:hAnsi="Times New Roman" w:cs="Times New Roman"/>
          <w:sz w:val="24"/>
        </w:rPr>
      </w:pPr>
      <w:r w:rsidRPr="00D17F4F">
        <w:rPr>
          <w:rFonts w:ascii="Times New Roman" w:hAnsi="Times New Roman" w:cs="Times New Roman"/>
          <w:sz w:val="24"/>
        </w:rPr>
        <w:t xml:space="preserve">Hajibabaei, M., Porter, T. M., Wright, M., &amp; Rudar, J. (2019). COI metabarcoding primer choice affects richness and recovery of indicator taxa in freshwater systems. </w:t>
      </w:r>
      <w:r w:rsidRPr="00D17F4F">
        <w:rPr>
          <w:rFonts w:ascii="Times New Roman" w:hAnsi="Times New Roman" w:cs="Times New Roman"/>
          <w:i/>
          <w:iCs/>
          <w:sz w:val="24"/>
        </w:rPr>
        <w:t>PLOS ONE</w:t>
      </w:r>
      <w:r w:rsidRPr="00D17F4F">
        <w:rPr>
          <w:rFonts w:ascii="Times New Roman" w:hAnsi="Times New Roman" w:cs="Times New Roman"/>
          <w:sz w:val="24"/>
        </w:rPr>
        <w:t xml:space="preserve">, </w:t>
      </w:r>
      <w:r w:rsidRPr="00D17F4F">
        <w:rPr>
          <w:rFonts w:ascii="Times New Roman" w:hAnsi="Times New Roman" w:cs="Times New Roman"/>
          <w:i/>
          <w:iCs/>
          <w:sz w:val="24"/>
        </w:rPr>
        <w:t>14</w:t>
      </w:r>
      <w:r w:rsidRPr="00D17F4F">
        <w:rPr>
          <w:rFonts w:ascii="Times New Roman" w:hAnsi="Times New Roman" w:cs="Times New Roman"/>
          <w:sz w:val="24"/>
        </w:rPr>
        <w:t>(9), e0220953. doi: 10.1371/journal.pone.0220953</w:t>
      </w:r>
    </w:p>
    <w:p w14:paraId="3A0DA7A7" w14:textId="77777777" w:rsidR="00D17F4F" w:rsidRPr="00D17F4F" w:rsidRDefault="00D17F4F" w:rsidP="00D17F4F">
      <w:pPr>
        <w:pStyle w:val="Bibliographie"/>
        <w:rPr>
          <w:rFonts w:ascii="Times New Roman" w:hAnsi="Times New Roman" w:cs="Times New Roman"/>
          <w:sz w:val="24"/>
        </w:rPr>
      </w:pPr>
      <w:r w:rsidRPr="00D17F4F">
        <w:rPr>
          <w:rFonts w:ascii="Times New Roman" w:hAnsi="Times New Roman" w:cs="Times New Roman"/>
          <w:sz w:val="24"/>
        </w:rPr>
        <w:t xml:space="preserve">Hänfling, B., Lawson Handley, L., Read, D. S., Hahn, C., Li, J., Nichols, P., … Winfield, I. J. (2016). Environmental DNA metabarcoding of lake fish communities reflects long-term data from established survey methods. </w:t>
      </w:r>
      <w:r w:rsidRPr="00D17F4F">
        <w:rPr>
          <w:rFonts w:ascii="Times New Roman" w:hAnsi="Times New Roman" w:cs="Times New Roman"/>
          <w:i/>
          <w:iCs/>
          <w:sz w:val="24"/>
        </w:rPr>
        <w:t>Molecular Ecology</w:t>
      </w:r>
      <w:r w:rsidRPr="00D17F4F">
        <w:rPr>
          <w:rFonts w:ascii="Times New Roman" w:hAnsi="Times New Roman" w:cs="Times New Roman"/>
          <w:sz w:val="24"/>
        </w:rPr>
        <w:t xml:space="preserve">, </w:t>
      </w:r>
      <w:r w:rsidRPr="00D17F4F">
        <w:rPr>
          <w:rFonts w:ascii="Times New Roman" w:hAnsi="Times New Roman" w:cs="Times New Roman"/>
          <w:i/>
          <w:iCs/>
          <w:sz w:val="24"/>
        </w:rPr>
        <w:t>25</w:t>
      </w:r>
      <w:r w:rsidRPr="00D17F4F">
        <w:rPr>
          <w:rFonts w:ascii="Times New Roman" w:hAnsi="Times New Roman" w:cs="Times New Roman"/>
          <w:sz w:val="24"/>
        </w:rPr>
        <w:t>(13), 3101–3119. doi: 10.1111/mec.13660</w:t>
      </w:r>
    </w:p>
    <w:p w14:paraId="38E58B35" w14:textId="77777777" w:rsidR="00D17F4F" w:rsidRPr="00D17F4F" w:rsidRDefault="00D17F4F" w:rsidP="00D17F4F">
      <w:pPr>
        <w:pStyle w:val="Bibliographie"/>
        <w:rPr>
          <w:rFonts w:ascii="Times New Roman" w:hAnsi="Times New Roman" w:cs="Times New Roman"/>
          <w:sz w:val="24"/>
        </w:rPr>
      </w:pPr>
      <w:r w:rsidRPr="00D17F4F">
        <w:rPr>
          <w:rFonts w:ascii="Times New Roman" w:hAnsi="Times New Roman" w:cs="Times New Roman"/>
          <w:sz w:val="24"/>
        </w:rPr>
        <w:t xml:space="preserve">Hoguane, A. M., Jose, J. A., Francisco, R., &amp; Simbine, R. L. (2018). </w:t>
      </w:r>
      <w:r w:rsidRPr="00D17F4F">
        <w:rPr>
          <w:rFonts w:ascii="Times New Roman" w:hAnsi="Times New Roman" w:cs="Times New Roman"/>
          <w:i/>
          <w:iCs/>
          <w:sz w:val="24"/>
        </w:rPr>
        <w:t>Informal fish trade in Mozambique—Major fishing centres, trade routes and cross border trade</w:t>
      </w:r>
      <w:r w:rsidRPr="00D17F4F">
        <w:rPr>
          <w:rFonts w:ascii="Times New Roman" w:hAnsi="Times New Roman" w:cs="Times New Roman"/>
          <w:sz w:val="24"/>
        </w:rPr>
        <w:t xml:space="preserve"> [Fish Trade </w:t>
      </w:r>
      <w:r w:rsidRPr="00D17F4F">
        <w:rPr>
          <w:rFonts w:ascii="Times New Roman" w:hAnsi="Times New Roman" w:cs="Times New Roman"/>
          <w:sz w:val="24"/>
        </w:rPr>
        <w:lastRenderedPageBreak/>
        <w:t>and Marketing for Food Security and Livelihoods in Africa]. Nairobi, Kenya: African Union Inter-African Bureau for Animal Resources.</w:t>
      </w:r>
    </w:p>
    <w:p w14:paraId="591A4C6A" w14:textId="77777777" w:rsidR="00D17F4F" w:rsidRPr="00D17F4F" w:rsidRDefault="00D17F4F" w:rsidP="00D17F4F">
      <w:pPr>
        <w:pStyle w:val="Bibliographie"/>
        <w:rPr>
          <w:rFonts w:ascii="Times New Roman" w:hAnsi="Times New Roman" w:cs="Times New Roman"/>
          <w:sz w:val="24"/>
        </w:rPr>
      </w:pPr>
      <w:r w:rsidRPr="00D17F4F">
        <w:rPr>
          <w:rFonts w:ascii="Times New Roman" w:hAnsi="Times New Roman" w:cs="Times New Roman"/>
          <w:sz w:val="24"/>
        </w:rPr>
        <w:t xml:space="preserve">Howell, L., LaRue, M., &amp; Flanagan, S. P. (2021). Environmental DNA as a tool for monitoring Antarctic vertebrates. </w:t>
      </w:r>
      <w:r w:rsidRPr="00D17F4F">
        <w:rPr>
          <w:rFonts w:ascii="Times New Roman" w:hAnsi="Times New Roman" w:cs="Times New Roman"/>
          <w:i/>
          <w:iCs/>
          <w:sz w:val="24"/>
        </w:rPr>
        <w:t>New Zealand Journal of Zoology</w:t>
      </w:r>
      <w:r w:rsidRPr="00D17F4F">
        <w:rPr>
          <w:rFonts w:ascii="Times New Roman" w:hAnsi="Times New Roman" w:cs="Times New Roman"/>
          <w:sz w:val="24"/>
        </w:rPr>
        <w:t xml:space="preserve">, </w:t>
      </w:r>
      <w:r w:rsidRPr="00D17F4F">
        <w:rPr>
          <w:rFonts w:ascii="Times New Roman" w:hAnsi="Times New Roman" w:cs="Times New Roman"/>
          <w:i/>
          <w:iCs/>
          <w:sz w:val="24"/>
        </w:rPr>
        <w:t>48</w:t>
      </w:r>
      <w:r w:rsidRPr="00D17F4F">
        <w:rPr>
          <w:rFonts w:ascii="Times New Roman" w:hAnsi="Times New Roman" w:cs="Times New Roman"/>
          <w:sz w:val="24"/>
        </w:rPr>
        <w:t>(3–4), 245–262. doi: 10.1080/03014223.2021.1900299</w:t>
      </w:r>
    </w:p>
    <w:p w14:paraId="60F26861" w14:textId="77777777" w:rsidR="00D17F4F" w:rsidRPr="00D17F4F" w:rsidRDefault="00D17F4F" w:rsidP="00D17F4F">
      <w:pPr>
        <w:pStyle w:val="Bibliographie"/>
        <w:rPr>
          <w:rFonts w:ascii="Times New Roman" w:hAnsi="Times New Roman" w:cs="Times New Roman"/>
          <w:sz w:val="24"/>
        </w:rPr>
      </w:pPr>
      <w:r w:rsidRPr="00D17F4F">
        <w:rPr>
          <w:rFonts w:ascii="Times New Roman" w:hAnsi="Times New Roman" w:cs="Times New Roman"/>
          <w:sz w:val="24"/>
        </w:rPr>
        <w:t xml:space="preserve">Hughes, T. P., Barnes, M. L., Bellwood, D. R., Cinner, J. E., Cumming, G. S., Jackson, J. B. C., … Scheffer, M. (2017). Coral reefs in the Anthropocene. </w:t>
      </w:r>
      <w:r w:rsidRPr="00D17F4F">
        <w:rPr>
          <w:rFonts w:ascii="Times New Roman" w:hAnsi="Times New Roman" w:cs="Times New Roman"/>
          <w:i/>
          <w:iCs/>
          <w:sz w:val="24"/>
        </w:rPr>
        <w:t>Nature</w:t>
      </w:r>
      <w:r w:rsidRPr="00D17F4F">
        <w:rPr>
          <w:rFonts w:ascii="Times New Roman" w:hAnsi="Times New Roman" w:cs="Times New Roman"/>
          <w:sz w:val="24"/>
        </w:rPr>
        <w:t xml:space="preserve">, </w:t>
      </w:r>
      <w:r w:rsidRPr="00D17F4F">
        <w:rPr>
          <w:rFonts w:ascii="Times New Roman" w:hAnsi="Times New Roman" w:cs="Times New Roman"/>
          <w:i/>
          <w:iCs/>
          <w:sz w:val="24"/>
        </w:rPr>
        <w:t>546</w:t>
      </w:r>
      <w:r w:rsidRPr="00D17F4F">
        <w:rPr>
          <w:rFonts w:ascii="Times New Roman" w:hAnsi="Times New Roman" w:cs="Times New Roman"/>
          <w:sz w:val="24"/>
        </w:rPr>
        <w:t>(7656), 82–90. doi: 10.1038/nature22901</w:t>
      </w:r>
    </w:p>
    <w:p w14:paraId="4E9B4454" w14:textId="77777777" w:rsidR="00D17F4F" w:rsidRPr="00D17F4F" w:rsidRDefault="00D17F4F" w:rsidP="00D17F4F">
      <w:pPr>
        <w:pStyle w:val="Bibliographie"/>
        <w:rPr>
          <w:rFonts w:ascii="Times New Roman" w:hAnsi="Times New Roman" w:cs="Times New Roman"/>
          <w:sz w:val="24"/>
        </w:rPr>
      </w:pPr>
      <w:r w:rsidRPr="00D17F4F">
        <w:rPr>
          <w:rFonts w:ascii="Times New Roman" w:hAnsi="Times New Roman" w:cs="Times New Roman"/>
          <w:sz w:val="24"/>
        </w:rPr>
        <w:t xml:space="preserve">Ibe, G. O., &amp; Amikuzuno, J. (2019). Climate change in Sub-Saharan Africa: A menace to agricultural productivity and ecological protection. </w:t>
      </w:r>
      <w:r w:rsidRPr="00D17F4F">
        <w:rPr>
          <w:rFonts w:ascii="Times New Roman" w:hAnsi="Times New Roman" w:cs="Times New Roman"/>
          <w:i/>
          <w:iCs/>
          <w:sz w:val="24"/>
        </w:rPr>
        <w:t>Journal of Applied Sciences and Environmental Management</w:t>
      </w:r>
      <w:r w:rsidRPr="00D17F4F">
        <w:rPr>
          <w:rFonts w:ascii="Times New Roman" w:hAnsi="Times New Roman" w:cs="Times New Roman"/>
          <w:sz w:val="24"/>
        </w:rPr>
        <w:t xml:space="preserve">, </w:t>
      </w:r>
      <w:r w:rsidRPr="00D17F4F">
        <w:rPr>
          <w:rFonts w:ascii="Times New Roman" w:hAnsi="Times New Roman" w:cs="Times New Roman"/>
          <w:i/>
          <w:iCs/>
          <w:sz w:val="24"/>
        </w:rPr>
        <w:t>23</w:t>
      </w:r>
      <w:r w:rsidRPr="00D17F4F">
        <w:rPr>
          <w:rFonts w:ascii="Times New Roman" w:hAnsi="Times New Roman" w:cs="Times New Roman"/>
          <w:sz w:val="24"/>
        </w:rPr>
        <w:t>(2), 329. doi: 10.4314/jasem.v23i2.20</w:t>
      </w:r>
    </w:p>
    <w:p w14:paraId="3599245B" w14:textId="77777777" w:rsidR="00D17F4F" w:rsidRPr="00D17F4F" w:rsidRDefault="00D17F4F" w:rsidP="00D17F4F">
      <w:pPr>
        <w:pStyle w:val="Bibliographie"/>
        <w:rPr>
          <w:rFonts w:ascii="Times New Roman" w:hAnsi="Times New Roman" w:cs="Times New Roman"/>
          <w:sz w:val="24"/>
        </w:rPr>
      </w:pPr>
      <w:r w:rsidRPr="00D17F4F">
        <w:rPr>
          <w:rFonts w:ascii="Times New Roman" w:hAnsi="Times New Roman" w:cs="Times New Roman"/>
          <w:sz w:val="24"/>
        </w:rPr>
        <w:t xml:space="preserve">IUCN. (2021). The IUCN Red List of Threatened Species. </w:t>
      </w:r>
      <w:r w:rsidRPr="00D17F4F">
        <w:rPr>
          <w:rFonts w:ascii="Times New Roman" w:hAnsi="Times New Roman" w:cs="Times New Roman"/>
          <w:i/>
          <w:iCs/>
          <w:sz w:val="24"/>
        </w:rPr>
        <w:t>Https://Www.Iucnredlist.Org</w:t>
      </w:r>
      <w:r w:rsidRPr="00D17F4F">
        <w:rPr>
          <w:rFonts w:ascii="Times New Roman" w:hAnsi="Times New Roman" w:cs="Times New Roman"/>
          <w:sz w:val="24"/>
        </w:rPr>
        <w:t xml:space="preserve">, </w:t>
      </w:r>
      <w:r w:rsidRPr="00D17F4F">
        <w:rPr>
          <w:rFonts w:ascii="Times New Roman" w:hAnsi="Times New Roman" w:cs="Times New Roman"/>
          <w:i/>
          <w:iCs/>
          <w:sz w:val="24"/>
        </w:rPr>
        <w:t>Version 2021-3</w:t>
      </w:r>
      <w:r w:rsidRPr="00D17F4F">
        <w:rPr>
          <w:rFonts w:ascii="Times New Roman" w:hAnsi="Times New Roman" w:cs="Times New Roman"/>
          <w:sz w:val="24"/>
        </w:rPr>
        <w:t>.</w:t>
      </w:r>
    </w:p>
    <w:p w14:paraId="4F1488BB" w14:textId="77777777" w:rsidR="00D17F4F" w:rsidRPr="00D17F4F" w:rsidRDefault="00D17F4F" w:rsidP="00D17F4F">
      <w:pPr>
        <w:pStyle w:val="Bibliographie"/>
        <w:rPr>
          <w:rFonts w:ascii="Times New Roman" w:hAnsi="Times New Roman" w:cs="Times New Roman"/>
          <w:sz w:val="24"/>
          <w:lang w:val="fr-FR"/>
        </w:rPr>
      </w:pPr>
      <w:r w:rsidRPr="00D17F4F">
        <w:rPr>
          <w:rFonts w:ascii="Times New Roman" w:hAnsi="Times New Roman" w:cs="Times New Roman"/>
          <w:sz w:val="24"/>
        </w:rPr>
        <w:t xml:space="preserve">Jackman, J. M., Benvenuto, C., Coscia, I., Oliveira Carvalho, C., Ready, J. S., Boubli, J. P., … Guimarães Sales, N. (2021). eDNA in a bottleneck: Obstacles to fish metabarcoding studies in megadiverse freshwater systems. </w:t>
      </w:r>
      <w:r w:rsidRPr="00D17F4F">
        <w:rPr>
          <w:rFonts w:ascii="Times New Roman" w:hAnsi="Times New Roman" w:cs="Times New Roman"/>
          <w:i/>
          <w:iCs/>
          <w:sz w:val="24"/>
          <w:lang w:val="fr-FR"/>
        </w:rPr>
        <w:t>Environmental DNA</w:t>
      </w:r>
      <w:r w:rsidRPr="00D17F4F">
        <w:rPr>
          <w:rFonts w:ascii="Times New Roman" w:hAnsi="Times New Roman" w:cs="Times New Roman"/>
          <w:sz w:val="24"/>
          <w:lang w:val="fr-FR"/>
        </w:rPr>
        <w:t xml:space="preserve">, </w:t>
      </w:r>
      <w:r w:rsidRPr="00D17F4F">
        <w:rPr>
          <w:rFonts w:ascii="Times New Roman" w:hAnsi="Times New Roman" w:cs="Times New Roman"/>
          <w:i/>
          <w:iCs/>
          <w:sz w:val="24"/>
          <w:lang w:val="fr-FR"/>
        </w:rPr>
        <w:t>3</w:t>
      </w:r>
      <w:r w:rsidRPr="00D17F4F">
        <w:rPr>
          <w:rFonts w:ascii="Times New Roman" w:hAnsi="Times New Roman" w:cs="Times New Roman"/>
          <w:sz w:val="24"/>
          <w:lang w:val="fr-FR"/>
        </w:rPr>
        <w:t>(4), 837–849. doi: 10.1002/edn3.191</w:t>
      </w:r>
    </w:p>
    <w:p w14:paraId="61CE4752" w14:textId="77777777" w:rsidR="00D17F4F" w:rsidRPr="00D17F4F" w:rsidRDefault="00D17F4F" w:rsidP="00D17F4F">
      <w:pPr>
        <w:pStyle w:val="Bibliographie"/>
        <w:rPr>
          <w:rFonts w:ascii="Times New Roman" w:hAnsi="Times New Roman" w:cs="Times New Roman"/>
          <w:sz w:val="24"/>
        </w:rPr>
      </w:pPr>
      <w:r w:rsidRPr="00D17F4F">
        <w:rPr>
          <w:rFonts w:ascii="Times New Roman" w:hAnsi="Times New Roman" w:cs="Times New Roman"/>
          <w:sz w:val="24"/>
          <w:lang w:val="fr-FR"/>
        </w:rPr>
        <w:t xml:space="preserve">Jacquet, J., Fox, H., Motta, H., Ngusaru, A., &amp; Zeller, D. (2010). </w:t>
      </w:r>
      <w:r w:rsidRPr="00D17F4F">
        <w:rPr>
          <w:rFonts w:ascii="Times New Roman" w:hAnsi="Times New Roman" w:cs="Times New Roman"/>
          <w:sz w:val="24"/>
        </w:rPr>
        <w:t xml:space="preserve">Few data but many fish: Marine small-scale fisheries catches for Mozambique and Tanzania. </w:t>
      </w:r>
      <w:r w:rsidRPr="00D17F4F">
        <w:rPr>
          <w:rFonts w:ascii="Times New Roman" w:hAnsi="Times New Roman" w:cs="Times New Roman"/>
          <w:i/>
          <w:iCs/>
          <w:sz w:val="24"/>
        </w:rPr>
        <w:t>African Journal of Marine Science</w:t>
      </w:r>
      <w:r w:rsidRPr="00D17F4F">
        <w:rPr>
          <w:rFonts w:ascii="Times New Roman" w:hAnsi="Times New Roman" w:cs="Times New Roman"/>
          <w:sz w:val="24"/>
        </w:rPr>
        <w:t xml:space="preserve">, </w:t>
      </w:r>
      <w:r w:rsidRPr="00D17F4F">
        <w:rPr>
          <w:rFonts w:ascii="Times New Roman" w:hAnsi="Times New Roman" w:cs="Times New Roman"/>
          <w:i/>
          <w:iCs/>
          <w:sz w:val="24"/>
        </w:rPr>
        <w:t>32</w:t>
      </w:r>
      <w:r w:rsidRPr="00D17F4F">
        <w:rPr>
          <w:rFonts w:ascii="Times New Roman" w:hAnsi="Times New Roman" w:cs="Times New Roman"/>
          <w:sz w:val="24"/>
        </w:rPr>
        <w:t>(2), 197–206. doi: 10.2989/1814232X.2010.501559</w:t>
      </w:r>
    </w:p>
    <w:p w14:paraId="41930961" w14:textId="77777777" w:rsidR="00D17F4F" w:rsidRPr="00D17F4F" w:rsidRDefault="00D17F4F" w:rsidP="00D17F4F">
      <w:pPr>
        <w:pStyle w:val="Bibliographie"/>
        <w:rPr>
          <w:rFonts w:ascii="Times New Roman" w:hAnsi="Times New Roman" w:cs="Times New Roman"/>
          <w:sz w:val="24"/>
        </w:rPr>
      </w:pPr>
      <w:r w:rsidRPr="00D17F4F">
        <w:rPr>
          <w:rFonts w:ascii="Times New Roman" w:hAnsi="Times New Roman" w:cs="Times New Roman"/>
          <w:sz w:val="24"/>
        </w:rPr>
        <w:t xml:space="preserve">Jerde, C. L., Wilson, E. A., &amp; Dressler, T. L. (2019). Measuring global fish species richness with eDNA metabarcoding. </w:t>
      </w:r>
      <w:r w:rsidRPr="00D17F4F">
        <w:rPr>
          <w:rFonts w:ascii="Times New Roman" w:hAnsi="Times New Roman" w:cs="Times New Roman"/>
          <w:i/>
          <w:iCs/>
          <w:sz w:val="24"/>
        </w:rPr>
        <w:t>Molecular Ecology Resources</w:t>
      </w:r>
      <w:r w:rsidRPr="00D17F4F">
        <w:rPr>
          <w:rFonts w:ascii="Times New Roman" w:hAnsi="Times New Roman" w:cs="Times New Roman"/>
          <w:sz w:val="24"/>
        </w:rPr>
        <w:t xml:space="preserve">, </w:t>
      </w:r>
      <w:r w:rsidRPr="00D17F4F">
        <w:rPr>
          <w:rFonts w:ascii="Times New Roman" w:hAnsi="Times New Roman" w:cs="Times New Roman"/>
          <w:i/>
          <w:iCs/>
          <w:sz w:val="24"/>
        </w:rPr>
        <w:t>19</w:t>
      </w:r>
      <w:r w:rsidRPr="00D17F4F">
        <w:rPr>
          <w:rFonts w:ascii="Times New Roman" w:hAnsi="Times New Roman" w:cs="Times New Roman"/>
          <w:sz w:val="24"/>
        </w:rPr>
        <w:t>(1), 19–22. doi: 10.1111/1755-0998.12929</w:t>
      </w:r>
    </w:p>
    <w:p w14:paraId="40DB99FE" w14:textId="77777777" w:rsidR="00D17F4F" w:rsidRPr="00D17F4F" w:rsidRDefault="00D17F4F" w:rsidP="00D17F4F">
      <w:pPr>
        <w:pStyle w:val="Bibliographie"/>
        <w:rPr>
          <w:rFonts w:ascii="Times New Roman" w:hAnsi="Times New Roman" w:cs="Times New Roman"/>
          <w:sz w:val="24"/>
        </w:rPr>
      </w:pPr>
      <w:r w:rsidRPr="00D17F4F">
        <w:rPr>
          <w:rFonts w:ascii="Times New Roman" w:hAnsi="Times New Roman" w:cs="Times New Roman"/>
          <w:sz w:val="24"/>
        </w:rPr>
        <w:t xml:space="preserve">Kelly, R. P., Port, J. A., Yamahara, K. M., &amp; Crowder, L. B. (2014). Using Environmental DNA to Census Marine Fishes in a Large Mesocosm. </w:t>
      </w:r>
      <w:r w:rsidRPr="00D17F4F">
        <w:rPr>
          <w:rFonts w:ascii="Times New Roman" w:hAnsi="Times New Roman" w:cs="Times New Roman"/>
          <w:i/>
          <w:iCs/>
          <w:sz w:val="24"/>
        </w:rPr>
        <w:t>PLoS ONE</w:t>
      </w:r>
      <w:r w:rsidRPr="00D17F4F">
        <w:rPr>
          <w:rFonts w:ascii="Times New Roman" w:hAnsi="Times New Roman" w:cs="Times New Roman"/>
          <w:sz w:val="24"/>
        </w:rPr>
        <w:t xml:space="preserve">, </w:t>
      </w:r>
      <w:r w:rsidRPr="00D17F4F">
        <w:rPr>
          <w:rFonts w:ascii="Times New Roman" w:hAnsi="Times New Roman" w:cs="Times New Roman"/>
          <w:i/>
          <w:iCs/>
          <w:sz w:val="24"/>
        </w:rPr>
        <w:t>9</w:t>
      </w:r>
      <w:r w:rsidRPr="00D17F4F">
        <w:rPr>
          <w:rFonts w:ascii="Times New Roman" w:hAnsi="Times New Roman" w:cs="Times New Roman"/>
          <w:sz w:val="24"/>
        </w:rPr>
        <w:t>(1), e86175. doi: 10.1371/journal.pone.0086175</w:t>
      </w:r>
    </w:p>
    <w:p w14:paraId="43AF7140" w14:textId="77777777" w:rsidR="00D17F4F" w:rsidRPr="00D17F4F" w:rsidRDefault="00D17F4F" w:rsidP="00D17F4F">
      <w:pPr>
        <w:pStyle w:val="Bibliographie"/>
        <w:rPr>
          <w:rFonts w:ascii="Times New Roman" w:hAnsi="Times New Roman" w:cs="Times New Roman"/>
          <w:sz w:val="24"/>
        </w:rPr>
      </w:pPr>
      <w:r w:rsidRPr="00D17F4F">
        <w:rPr>
          <w:rFonts w:ascii="Times New Roman" w:hAnsi="Times New Roman" w:cs="Times New Roman"/>
          <w:sz w:val="24"/>
        </w:rPr>
        <w:lastRenderedPageBreak/>
        <w:t xml:space="preserve">Kolding, J., van Zwieten, P., Marttin, F., &amp; Poulain, F. (2016). </w:t>
      </w:r>
      <w:r w:rsidRPr="00D17F4F">
        <w:rPr>
          <w:rFonts w:ascii="Times New Roman" w:hAnsi="Times New Roman" w:cs="Times New Roman"/>
          <w:i/>
          <w:iCs/>
          <w:sz w:val="24"/>
        </w:rPr>
        <w:t>Fisheries in the Drylands of sub-Saharan Africa</w:t>
      </w:r>
      <w:r w:rsidRPr="00D17F4F">
        <w:rPr>
          <w:rFonts w:ascii="Times New Roman" w:hAnsi="Times New Roman" w:cs="Times New Roman"/>
          <w:sz w:val="24"/>
        </w:rPr>
        <w:t xml:space="preserve"> (No. Fisheries and Aquaculture Circular No.1118; p. 64). Rome: FOOD AND AGRICULTURE ORGANIZATION OF THE UNITED NATIONS.</w:t>
      </w:r>
    </w:p>
    <w:p w14:paraId="3C988522" w14:textId="77777777" w:rsidR="00D17F4F" w:rsidRPr="00D17F4F" w:rsidRDefault="00D17F4F" w:rsidP="00D17F4F">
      <w:pPr>
        <w:pStyle w:val="Bibliographie"/>
        <w:rPr>
          <w:rFonts w:ascii="Times New Roman" w:hAnsi="Times New Roman" w:cs="Times New Roman"/>
          <w:sz w:val="24"/>
        </w:rPr>
      </w:pPr>
      <w:r w:rsidRPr="00D17F4F">
        <w:rPr>
          <w:rFonts w:ascii="Times New Roman" w:hAnsi="Times New Roman" w:cs="Times New Roman"/>
          <w:sz w:val="24"/>
        </w:rPr>
        <w:t xml:space="preserve">Küper, W., Sommer, J. H., Lovett, J. C., Mutke, J., Linder, H. P., Beentje, H. J., … Barthlott, W. (2004). Africa’s Hotspots of Biodiversity Redefined. </w:t>
      </w:r>
      <w:r w:rsidRPr="00D17F4F">
        <w:rPr>
          <w:rFonts w:ascii="Times New Roman" w:hAnsi="Times New Roman" w:cs="Times New Roman"/>
          <w:i/>
          <w:iCs/>
          <w:sz w:val="24"/>
        </w:rPr>
        <w:t>Annals of the Missouri Botanical Garden</w:t>
      </w:r>
      <w:r w:rsidRPr="00D17F4F">
        <w:rPr>
          <w:rFonts w:ascii="Times New Roman" w:hAnsi="Times New Roman" w:cs="Times New Roman"/>
          <w:sz w:val="24"/>
        </w:rPr>
        <w:t xml:space="preserve">, </w:t>
      </w:r>
      <w:r w:rsidRPr="00D17F4F">
        <w:rPr>
          <w:rFonts w:ascii="Times New Roman" w:hAnsi="Times New Roman" w:cs="Times New Roman"/>
          <w:i/>
          <w:iCs/>
          <w:sz w:val="24"/>
        </w:rPr>
        <w:t>91</w:t>
      </w:r>
      <w:r w:rsidRPr="00D17F4F">
        <w:rPr>
          <w:rFonts w:ascii="Times New Roman" w:hAnsi="Times New Roman" w:cs="Times New Roman"/>
          <w:sz w:val="24"/>
        </w:rPr>
        <w:t>(4), 252–535.</w:t>
      </w:r>
    </w:p>
    <w:p w14:paraId="42383DDF" w14:textId="77777777" w:rsidR="00D17F4F" w:rsidRPr="00D17F4F" w:rsidRDefault="00D17F4F" w:rsidP="00D17F4F">
      <w:pPr>
        <w:pStyle w:val="Bibliographie"/>
        <w:rPr>
          <w:rFonts w:ascii="Times New Roman" w:hAnsi="Times New Roman" w:cs="Times New Roman"/>
          <w:sz w:val="24"/>
        </w:rPr>
      </w:pPr>
      <w:r w:rsidRPr="00D17F4F">
        <w:rPr>
          <w:rFonts w:ascii="Times New Roman" w:hAnsi="Times New Roman" w:cs="Times New Roman"/>
          <w:sz w:val="24"/>
        </w:rPr>
        <w:t xml:space="preserve">Larson, E. R., Graham, B. M., Achury, R., Coon, J. J., Daniels, M. K., Gambrell, D. K., … Suarez, A. V. (2020). From </w:t>
      </w:r>
      <w:r w:rsidRPr="00D17F4F">
        <w:rPr>
          <w:rFonts w:ascii="Times New Roman" w:hAnsi="Times New Roman" w:cs="Times New Roman"/>
          <w:smallCaps/>
          <w:sz w:val="24"/>
        </w:rPr>
        <w:t>eDNA</w:t>
      </w:r>
      <w:r w:rsidRPr="00D17F4F">
        <w:rPr>
          <w:rFonts w:ascii="Times New Roman" w:hAnsi="Times New Roman" w:cs="Times New Roman"/>
          <w:sz w:val="24"/>
        </w:rPr>
        <w:t xml:space="preserve"> to citizen science: Emerging tools for the early detection of invasive species. </w:t>
      </w:r>
      <w:r w:rsidRPr="00D17F4F">
        <w:rPr>
          <w:rFonts w:ascii="Times New Roman" w:hAnsi="Times New Roman" w:cs="Times New Roman"/>
          <w:i/>
          <w:iCs/>
          <w:sz w:val="24"/>
        </w:rPr>
        <w:t>Frontiers in Ecology and the Environment</w:t>
      </w:r>
      <w:r w:rsidRPr="00D17F4F">
        <w:rPr>
          <w:rFonts w:ascii="Times New Roman" w:hAnsi="Times New Roman" w:cs="Times New Roman"/>
          <w:sz w:val="24"/>
        </w:rPr>
        <w:t>, fee.2162. doi: 10.1002/fee.2162</w:t>
      </w:r>
    </w:p>
    <w:p w14:paraId="02AA69A9" w14:textId="77777777" w:rsidR="00D17F4F" w:rsidRPr="00D17F4F" w:rsidRDefault="00D17F4F" w:rsidP="00D17F4F">
      <w:pPr>
        <w:pStyle w:val="Bibliographie"/>
        <w:rPr>
          <w:rFonts w:ascii="Times New Roman" w:hAnsi="Times New Roman" w:cs="Times New Roman"/>
          <w:sz w:val="24"/>
        </w:rPr>
      </w:pPr>
      <w:r w:rsidRPr="00D17F4F">
        <w:rPr>
          <w:rFonts w:ascii="Times New Roman" w:hAnsi="Times New Roman" w:cs="Times New Roman"/>
          <w:sz w:val="24"/>
        </w:rPr>
        <w:t>Legendre, P. (2018). lmodel2: Model II Regression (Version 1.7-3) [R (≥ 2.14.0)]. Retrieved from https://cran.r-project.org/web/packages/lmodel2/index.html</w:t>
      </w:r>
    </w:p>
    <w:p w14:paraId="5EA41D1C" w14:textId="77777777" w:rsidR="00D17F4F" w:rsidRPr="00D17F4F" w:rsidRDefault="00D17F4F" w:rsidP="00D17F4F">
      <w:pPr>
        <w:pStyle w:val="Bibliographie"/>
        <w:rPr>
          <w:rFonts w:ascii="Times New Roman" w:hAnsi="Times New Roman" w:cs="Times New Roman"/>
          <w:sz w:val="24"/>
        </w:rPr>
      </w:pPr>
      <w:r w:rsidRPr="00D17F4F">
        <w:rPr>
          <w:rFonts w:ascii="Times New Roman" w:hAnsi="Times New Roman" w:cs="Times New Roman"/>
          <w:sz w:val="24"/>
        </w:rPr>
        <w:t xml:space="preserve">Lynggaard, C., Bertelsen, M. F., Jensen, C. V., Johnson, M. S., Frøslev, T. G., Olsen, M. T., &amp; Bohmann, K. (2022). Airborne environmental DNA for terrestrial vertebrate community monitoring. </w:t>
      </w:r>
      <w:r w:rsidRPr="00D17F4F">
        <w:rPr>
          <w:rFonts w:ascii="Times New Roman" w:hAnsi="Times New Roman" w:cs="Times New Roman"/>
          <w:i/>
          <w:iCs/>
          <w:sz w:val="24"/>
        </w:rPr>
        <w:t>Current Biology</w:t>
      </w:r>
      <w:r w:rsidRPr="00D17F4F">
        <w:rPr>
          <w:rFonts w:ascii="Times New Roman" w:hAnsi="Times New Roman" w:cs="Times New Roman"/>
          <w:sz w:val="24"/>
        </w:rPr>
        <w:t>, S0960982221016900. doi: 10.1016/j.cub.2021.12.014</w:t>
      </w:r>
    </w:p>
    <w:p w14:paraId="58FD9529" w14:textId="77777777" w:rsidR="00D17F4F" w:rsidRPr="00D17F4F" w:rsidRDefault="00D17F4F" w:rsidP="00D17F4F">
      <w:pPr>
        <w:pStyle w:val="Bibliographie"/>
        <w:rPr>
          <w:rFonts w:ascii="Times New Roman" w:hAnsi="Times New Roman" w:cs="Times New Roman"/>
          <w:sz w:val="24"/>
        </w:rPr>
      </w:pPr>
      <w:r w:rsidRPr="00D17F4F">
        <w:rPr>
          <w:rFonts w:ascii="Times New Roman" w:hAnsi="Times New Roman" w:cs="Times New Roman"/>
          <w:sz w:val="24"/>
        </w:rPr>
        <w:t xml:space="preserve">Marshall, A. D., Dudgeon, C. L., &amp; Bennett, M. B. (2011). Size and structure of a photographically identified population of manta rays Manta alfredi in southern Mozambique. </w:t>
      </w:r>
      <w:r w:rsidRPr="00D17F4F">
        <w:rPr>
          <w:rFonts w:ascii="Times New Roman" w:hAnsi="Times New Roman" w:cs="Times New Roman"/>
          <w:i/>
          <w:iCs/>
          <w:sz w:val="24"/>
        </w:rPr>
        <w:t>Marine Biology</w:t>
      </w:r>
      <w:r w:rsidRPr="00D17F4F">
        <w:rPr>
          <w:rFonts w:ascii="Times New Roman" w:hAnsi="Times New Roman" w:cs="Times New Roman"/>
          <w:sz w:val="24"/>
        </w:rPr>
        <w:t xml:space="preserve">, </w:t>
      </w:r>
      <w:r w:rsidRPr="00D17F4F">
        <w:rPr>
          <w:rFonts w:ascii="Times New Roman" w:hAnsi="Times New Roman" w:cs="Times New Roman"/>
          <w:i/>
          <w:iCs/>
          <w:sz w:val="24"/>
        </w:rPr>
        <w:t>158</w:t>
      </w:r>
      <w:r w:rsidRPr="00D17F4F">
        <w:rPr>
          <w:rFonts w:ascii="Times New Roman" w:hAnsi="Times New Roman" w:cs="Times New Roman"/>
          <w:sz w:val="24"/>
        </w:rPr>
        <w:t>(5), 1111–1124. doi: 10.1007/s00227-011-1634-6</w:t>
      </w:r>
    </w:p>
    <w:p w14:paraId="13503C82" w14:textId="77777777" w:rsidR="00D17F4F" w:rsidRPr="00D17F4F" w:rsidRDefault="00D17F4F" w:rsidP="00D17F4F">
      <w:pPr>
        <w:pStyle w:val="Bibliographie"/>
        <w:rPr>
          <w:rFonts w:ascii="Times New Roman" w:hAnsi="Times New Roman" w:cs="Times New Roman"/>
          <w:sz w:val="24"/>
        </w:rPr>
      </w:pPr>
      <w:r w:rsidRPr="00D17F4F">
        <w:rPr>
          <w:rFonts w:ascii="Times New Roman" w:hAnsi="Times New Roman" w:cs="Times New Roman"/>
          <w:sz w:val="24"/>
        </w:rPr>
        <w:t xml:space="preserve">Martin, M. (2011). Cutadapt removes adapter sequences from high-throughput sequencing reads. </w:t>
      </w:r>
      <w:r w:rsidRPr="00D17F4F">
        <w:rPr>
          <w:rFonts w:ascii="Times New Roman" w:hAnsi="Times New Roman" w:cs="Times New Roman"/>
          <w:i/>
          <w:iCs/>
          <w:sz w:val="24"/>
        </w:rPr>
        <w:t>EMBnet. Journal</w:t>
      </w:r>
      <w:r w:rsidRPr="00D17F4F">
        <w:rPr>
          <w:rFonts w:ascii="Times New Roman" w:hAnsi="Times New Roman" w:cs="Times New Roman"/>
          <w:sz w:val="24"/>
        </w:rPr>
        <w:t xml:space="preserve">, </w:t>
      </w:r>
      <w:r w:rsidRPr="00D17F4F">
        <w:rPr>
          <w:rFonts w:ascii="Times New Roman" w:hAnsi="Times New Roman" w:cs="Times New Roman"/>
          <w:i/>
          <w:iCs/>
          <w:sz w:val="24"/>
        </w:rPr>
        <w:t>17</w:t>
      </w:r>
      <w:r w:rsidRPr="00D17F4F">
        <w:rPr>
          <w:rFonts w:ascii="Times New Roman" w:hAnsi="Times New Roman" w:cs="Times New Roman"/>
          <w:sz w:val="24"/>
        </w:rPr>
        <w:t>(1), 3.</w:t>
      </w:r>
    </w:p>
    <w:p w14:paraId="082E0F50" w14:textId="77777777" w:rsidR="00D17F4F" w:rsidRPr="00D17F4F" w:rsidRDefault="00D17F4F" w:rsidP="00D17F4F">
      <w:pPr>
        <w:pStyle w:val="Bibliographie"/>
        <w:rPr>
          <w:rFonts w:ascii="Times New Roman" w:hAnsi="Times New Roman" w:cs="Times New Roman"/>
          <w:sz w:val="24"/>
        </w:rPr>
      </w:pPr>
      <w:r w:rsidRPr="00D17F4F">
        <w:rPr>
          <w:rFonts w:ascii="Times New Roman" w:hAnsi="Times New Roman" w:cs="Times New Roman"/>
          <w:sz w:val="24"/>
        </w:rPr>
        <w:t xml:space="preserve">Mauvisseau, Q., Burian, A., Gibson, C., Brys, R., Ramsey, A., &amp; Sweet, M. (2019). Influence of accuracy, repeatability and detection probability in the reliability of species-specific eDNA based approaches. </w:t>
      </w:r>
      <w:r w:rsidRPr="00D17F4F">
        <w:rPr>
          <w:rFonts w:ascii="Times New Roman" w:hAnsi="Times New Roman" w:cs="Times New Roman"/>
          <w:i/>
          <w:iCs/>
          <w:sz w:val="24"/>
        </w:rPr>
        <w:t>Scientific Reports</w:t>
      </w:r>
      <w:r w:rsidRPr="00D17F4F">
        <w:rPr>
          <w:rFonts w:ascii="Times New Roman" w:hAnsi="Times New Roman" w:cs="Times New Roman"/>
          <w:sz w:val="24"/>
        </w:rPr>
        <w:t xml:space="preserve">, </w:t>
      </w:r>
      <w:r w:rsidRPr="00D17F4F">
        <w:rPr>
          <w:rFonts w:ascii="Times New Roman" w:hAnsi="Times New Roman" w:cs="Times New Roman"/>
          <w:i/>
          <w:iCs/>
          <w:sz w:val="24"/>
        </w:rPr>
        <w:t>9</w:t>
      </w:r>
      <w:r w:rsidRPr="00D17F4F">
        <w:rPr>
          <w:rFonts w:ascii="Times New Roman" w:hAnsi="Times New Roman" w:cs="Times New Roman"/>
          <w:sz w:val="24"/>
        </w:rPr>
        <w:t>(1). doi: 10.1038/s41598-018-37001-y</w:t>
      </w:r>
    </w:p>
    <w:p w14:paraId="6A0E197F" w14:textId="77777777" w:rsidR="00D17F4F" w:rsidRPr="00D17F4F" w:rsidRDefault="00D17F4F" w:rsidP="00D17F4F">
      <w:pPr>
        <w:pStyle w:val="Bibliographie"/>
        <w:rPr>
          <w:rFonts w:ascii="Times New Roman" w:hAnsi="Times New Roman" w:cs="Times New Roman"/>
          <w:sz w:val="24"/>
        </w:rPr>
      </w:pPr>
      <w:r w:rsidRPr="00D17F4F">
        <w:rPr>
          <w:rFonts w:ascii="Times New Roman" w:hAnsi="Times New Roman" w:cs="Times New Roman"/>
          <w:sz w:val="24"/>
        </w:rPr>
        <w:lastRenderedPageBreak/>
        <w:t xml:space="preserve">Mauvisseau, Q., Halfmaerten, D., Neyrinck, S., Burian, A., &amp; Brys, R. (2021). Effects of preservation strategies on environmental DNA detection and quantification using ddPCR. </w:t>
      </w:r>
      <w:r w:rsidRPr="00D17F4F">
        <w:rPr>
          <w:rFonts w:ascii="Times New Roman" w:hAnsi="Times New Roman" w:cs="Times New Roman"/>
          <w:i/>
          <w:iCs/>
          <w:sz w:val="24"/>
        </w:rPr>
        <w:t>Environmental DNA</w:t>
      </w:r>
      <w:r w:rsidRPr="00D17F4F">
        <w:rPr>
          <w:rFonts w:ascii="Times New Roman" w:hAnsi="Times New Roman" w:cs="Times New Roman"/>
          <w:sz w:val="24"/>
        </w:rPr>
        <w:t>, edn3.188. doi: 10.1002/edn3.188</w:t>
      </w:r>
    </w:p>
    <w:p w14:paraId="39F50823" w14:textId="77777777" w:rsidR="00D17F4F" w:rsidRPr="00D17F4F" w:rsidRDefault="00D17F4F" w:rsidP="00D17F4F">
      <w:pPr>
        <w:pStyle w:val="Bibliographie"/>
        <w:rPr>
          <w:rFonts w:ascii="Times New Roman" w:hAnsi="Times New Roman" w:cs="Times New Roman"/>
          <w:sz w:val="24"/>
        </w:rPr>
      </w:pPr>
      <w:r w:rsidRPr="00D17F4F">
        <w:rPr>
          <w:rFonts w:ascii="Times New Roman" w:hAnsi="Times New Roman" w:cs="Times New Roman"/>
          <w:sz w:val="24"/>
        </w:rPr>
        <w:t xml:space="preserve">Milan, D. T., Mendes, I. S., Damasceno, J. S., Teixeira, D. F., Sales, N. G., &amp; Carvalho, D. C. (2020). New 12S metabarcoding primers for enhanced Neotropical freshwater fish biodiversity assessment. </w:t>
      </w:r>
      <w:r w:rsidRPr="00D17F4F">
        <w:rPr>
          <w:rFonts w:ascii="Times New Roman" w:hAnsi="Times New Roman" w:cs="Times New Roman"/>
          <w:i/>
          <w:iCs/>
          <w:sz w:val="24"/>
        </w:rPr>
        <w:t>Scientific Reports</w:t>
      </w:r>
      <w:r w:rsidRPr="00D17F4F">
        <w:rPr>
          <w:rFonts w:ascii="Times New Roman" w:hAnsi="Times New Roman" w:cs="Times New Roman"/>
          <w:sz w:val="24"/>
        </w:rPr>
        <w:t xml:space="preserve">, </w:t>
      </w:r>
      <w:r w:rsidRPr="00D17F4F">
        <w:rPr>
          <w:rFonts w:ascii="Times New Roman" w:hAnsi="Times New Roman" w:cs="Times New Roman"/>
          <w:i/>
          <w:iCs/>
          <w:sz w:val="24"/>
        </w:rPr>
        <w:t>10</w:t>
      </w:r>
      <w:r w:rsidRPr="00D17F4F">
        <w:rPr>
          <w:rFonts w:ascii="Times New Roman" w:hAnsi="Times New Roman" w:cs="Times New Roman"/>
          <w:sz w:val="24"/>
        </w:rPr>
        <w:t>(1), 17966. doi: 10.1038/s41598-020-74902-3</w:t>
      </w:r>
    </w:p>
    <w:p w14:paraId="0845E8E1" w14:textId="77777777" w:rsidR="00D17F4F" w:rsidRPr="00D17F4F" w:rsidRDefault="00D17F4F" w:rsidP="00D17F4F">
      <w:pPr>
        <w:pStyle w:val="Bibliographie"/>
        <w:rPr>
          <w:rFonts w:ascii="Times New Roman" w:hAnsi="Times New Roman" w:cs="Times New Roman"/>
          <w:sz w:val="24"/>
        </w:rPr>
      </w:pPr>
      <w:r w:rsidRPr="00D17F4F">
        <w:rPr>
          <w:rFonts w:ascii="Times New Roman" w:hAnsi="Times New Roman" w:cs="Times New Roman"/>
          <w:sz w:val="24"/>
        </w:rPr>
        <w:t xml:space="preserve">Miya, M., Sato, Y., Fukunaga, T., Sado, T., Poulsen, J. Y., Sato, K., … Iwasaki, W. (2015). MiFish, a set of universal PCR primers for metabarcoding environmental DNA from fishes: Detection of more than 230 subtropical marine species. </w:t>
      </w:r>
      <w:r w:rsidRPr="00D17F4F">
        <w:rPr>
          <w:rFonts w:ascii="Times New Roman" w:hAnsi="Times New Roman" w:cs="Times New Roman"/>
          <w:i/>
          <w:iCs/>
          <w:sz w:val="24"/>
        </w:rPr>
        <w:t>Royal Society Open Science</w:t>
      </w:r>
      <w:r w:rsidRPr="00D17F4F">
        <w:rPr>
          <w:rFonts w:ascii="Times New Roman" w:hAnsi="Times New Roman" w:cs="Times New Roman"/>
          <w:sz w:val="24"/>
        </w:rPr>
        <w:t xml:space="preserve">, </w:t>
      </w:r>
      <w:r w:rsidRPr="00D17F4F">
        <w:rPr>
          <w:rFonts w:ascii="Times New Roman" w:hAnsi="Times New Roman" w:cs="Times New Roman"/>
          <w:i/>
          <w:iCs/>
          <w:sz w:val="24"/>
        </w:rPr>
        <w:t>2</w:t>
      </w:r>
      <w:r w:rsidRPr="00D17F4F">
        <w:rPr>
          <w:rFonts w:ascii="Times New Roman" w:hAnsi="Times New Roman" w:cs="Times New Roman"/>
          <w:sz w:val="24"/>
        </w:rPr>
        <w:t>(7), 150088. doi: 10.1098/rsos.150088</w:t>
      </w:r>
    </w:p>
    <w:p w14:paraId="7D03C21F" w14:textId="77777777" w:rsidR="00D17F4F" w:rsidRPr="00D17F4F" w:rsidRDefault="00D17F4F" w:rsidP="00D17F4F">
      <w:pPr>
        <w:pStyle w:val="Bibliographie"/>
        <w:rPr>
          <w:rFonts w:ascii="Times New Roman" w:hAnsi="Times New Roman" w:cs="Times New Roman"/>
          <w:sz w:val="24"/>
        </w:rPr>
      </w:pPr>
      <w:r w:rsidRPr="00D17F4F">
        <w:rPr>
          <w:rFonts w:ascii="Times New Roman" w:hAnsi="Times New Roman" w:cs="Times New Roman"/>
          <w:sz w:val="24"/>
        </w:rPr>
        <w:t xml:space="preserve">Miya, Masaki, Gotoh, R. O., &amp; Sado, T. (2020). MiFish metabarcoding: A high-throughput approach for simultaneous detection of multiple fish species from environmental DNA and other samples. </w:t>
      </w:r>
      <w:r w:rsidRPr="00D17F4F">
        <w:rPr>
          <w:rFonts w:ascii="Times New Roman" w:hAnsi="Times New Roman" w:cs="Times New Roman"/>
          <w:i/>
          <w:iCs/>
          <w:sz w:val="24"/>
        </w:rPr>
        <w:t>Fisheries Science</w:t>
      </w:r>
      <w:r w:rsidRPr="00D17F4F">
        <w:rPr>
          <w:rFonts w:ascii="Times New Roman" w:hAnsi="Times New Roman" w:cs="Times New Roman"/>
          <w:sz w:val="24"/>
        </w:rPr>
        <w:t>. doi: 10.1007/s12562-020-01461-x</w:t>
      </w:r>
    </w:p>
    <w:p w14:paraId="143B1CEB" w14:textId="77777777" w:rsidR="00D17F4F" w:rsidRPr="00D17F4F" w:rsidRDefault="00D17F4F" w:rsidP="00D17F4F">
      <w:pPr>
        <w:pStyle w:val="Bibliographie"/>
        <w:rPr>
          <w:rFonts w:ascii="Times New Roman" w:hAnsi="Times New Roman" w:cs="Times New Roman"/>
          <w:sz w:val="24"/>
          <w:lang w:val="fr-FR"/>
        </w:rPr>
      </w:pPr>
      <w:r w:rsidRPr="00D17F4F">
        <w:rPr>
          <w:rFonts w:ascii="Times New Roman" w:hAnsi="Times New Roman" w:cs="Times New Roman"/>
          <w:sz w:val="24"/>
        </w:rPr>
        <w:t xml:space="preserve">Nielsen, J. R., Degnbol, P., Viswanathan, K. K., Ahmed, M., Hara, M., &amp; Abdullah, N. M. R. (2004). Fisheries co-management—an institutional innovation? Lessons from South East Asia and Southern Africa. </w:t>
      </w:r>
      <w:r w:rsidRPr="00D17F4F">
        <w:rPr>
          <w:rFonts w:ascii="Times New Roman" w:hAnsi="Times New Roman" w:cs="Times New Roman"/>
          <w:i/>
          <w:iCs/>
          <w:sz w:val="24"/>
          <w:lang w:val="fr-FR"/>
        </w:rPr>
        <w:t>Marine Policy</w:t>
      </w:r>
      <w:r w:rsidRPr="00D17F4F">
        <w:rPr>
          <w:rFonts w:ascii="Times New Roman" w:hAnsi="Times New Roman" w:cs="Times New Roman"/>
          <w:sz w:val="24"/>
          <w:lang w:val="fr-FR"/>
        </w:rPr>
        <w:t xml:space="preserve">, </w:t>
      </w:r>
      <w:r w:rsidRPr="00D17F4F">
        <w:rPr>
          <w:rFonts w:ascii="Times New Roman" w:hAnsi="Times New Roman" w:cs="Times New Roman"/>
          <w:i/>
          <w:iCs/>
          <w:sz w:val="24"/>
          <w:lang w:val="fr-FR"/>
        </w:rPr>
        <w:t>28</w:t>
      </w:r>
      <w:r w:rsidRPr="00D17F4F">
        <w:rPr>
          <w:rFonts w:ascii="Times New Roman" w:hAnsi="Times New Roman" w:cs="Times New Roman"/>
          <w:sz w:val="24"/>
          <w:lang w:val="fr-FR"/>
        </w:rPr>
        <w:t>(2), 151–160. doi: 10.1016/S0308-597X(03)00083-6</w:t>
      </w:r>
    </w:p>
    <w:p w14:paraId="3AD12E60" w14:textId="77777777" w:rsidR="00D17F4F" w:rsidRPr="00D17F4F" w:rsidRDefault="00D17F4F" w:rsidP="00D17F4F">
      <w:pPr>
        <w:pStyle w:val="Bibliographie"/>
        <w:rPr>
          <w:rFonts w:ascii="Times New Roman" w:hAnsi="Times New Roman" w:cs="Times New Roman"/>
          <w:sz w:val="24"/>
        </w:rPr>
      </w:pPr>
      <w:r w:rsidRPr="00D17F4F">
        <w:rPr>
          <w:rFonts w:ascii="Times New Roman" w:hAnsi="Times New Roman" w:cs="Times New Roman"/>
          <w:sz w:val="24"/>
          <w:lang w:val="fr-FR"/>
        </w:rPr>
        <w:t xml:space="preserve">Polanco, A., Richards, E., Flück, B., Valentini, A., Altermatt, F., Brosse, S., … Pellissier, L. (2021). </w:t>
      </w:r>
      <w:r w:rsidRPr="00D17F4F">
        <w:rPr>
          <w:rFonts w:ascii="Times New Roman" w:hAnsi="Times New Roman" w:cs="Times New Roman"/>
          <w:sz w:val="24"/>
        </w:rPr>
        <w:t xml:space="preserve">Comparing the performance of 12S mitochondrial primers for fish environmental DNA across ecosystems. </w:t>
      </w:r>
      <w:r w:rsidRPr="00D17F4F">
        <w:rPr>
          <w:rFonts w:ascii="Times New Roman" w:hAnsi="Times New Roman" w:cs="Times New Roman"/>
          <w:i/>
          <w:iCs/>
          <w:sz w:val="24"/>
        </w:rPr>
        <w:t>Environmental DNA</w:t>
      </w:r>
      <w:r w:rsidRPr="00D17F4F">
        <w:rPr>
          <w:rFonts w:ascii="Times New Roman" w:hAnsi="Times New Roman" w:cs="Times New Roman"/>
          <w:sz w:val="24"/>
        </w:rPr>
        <w:t>, edn3.232. doi: 10.1002/edn3.232</w:t>
      </w:r>
    </w:p>
    <w:p w14:paraId="05ECEBE6" w14:textId="77777777" w:rsidR="00D17F4F" w:rsidRPr="00D17F4F" w:rsidRDefault="00D17F4F" w:rsidP="00D17F4F">
      <w:pPr>
        <w:pStyle w:val="Bibliographie"/>
        <w:rPr>
          <w:rFonts w:ascii="Times New Roman" w:hAnsi="Times New Roman" w:cs="Times New Roman"/>
          <w:sz w:val="24"/>
        </w:rPr>
      </w:pPr>
      <w:r w:rsidRPr="00D17F4F">
        <w:rPr>
          <w:rFonts w:ascii="Times New Roman" w:hAnsi="Times New Roman" w:cs="Times New Roman"/>
          <w:sz w:val="24"/>
        </w:rPr>
        <w:t xml:space="preserve">Ramin, B. (2009). Slums, climate change and human health in sub-Saharan Africa. </w:t>
      </w:r>
      <w:r w:rsidRPr="00D17F4F">
        <w:rPr>
          <w:rFonts w:ascii="Times New Roman" w:hAnsi="Times New Roman" w:cs="Times New Roman"/>
          <w:i/>
          <w:iCs/>
          <w:sz w:val="24"/>
        </w:rPr>
        <w:t>Bulletin of the World Health Organization</w:t>
      </w:r>
      <w:r w:rsidRPr="00D17F4F">
        <w:rPr>
          <w:rFonts w:ascii="Times New Roman" w:hAnsi="Times New Roman" w:cs="Times New Roman"/>
          <w:sz w:val="24"/>
        </w:rPr>
        <w:t xml:space="preserve">, </w:t>
      </w:r>
      <w:r w:rsidRPr="00D17F4F">
        <w:rPr>
          <w:rFonts w:ascii="Times New Roman" w:hAnsi="Times New Roman" w:cs="Times New Roman"/>
          <w:i/>
          <w:iCs/>
          <w:sz w:val="24"/>
        </w:rPr>
        <w:t>87</w:t>
      </w:r>
      <w:r w:rsidRPr="00D17F4F">
        <w:rPr>
          <w:rFonts w:ascii="Times New Roman" w:hAnsi="Times New Roman" w:cs="Times New Roman"/>
          <w:sz w:val="24"/>
        </w:rPr>
        <w:t>(12), 886–886. doi: 10.2471/BLT.09.073445</w:t>
      </w:r>
    </w:p>
    <w:p w14:paraId="6D2293EB" w14:textId="77777777" w:rsidR="00D17F4F" w:rsidRPr="00D17F4F" w:rsidRDefault="00D17F4F" w:rsidP="00D17F4F">
      <w:pPr>
        <w:pStyle w:val="Bibliographie"/>
        <w:rPr>
          <w:rFonts w:ascii="Times New Roman" w:hAnsi="Times New Roman" w:cs="Times New Roman"/>
          <w:sz w:val="24"/>
        </w:rPr>
      </w:pPr>
      <w:r w:rsidRPr="00D17F4F">
        <w:rPr>
          <w:rFonts w:ascii="Times New Roman" w:hAnsi="Times New Roman" w:cs="Times New Roman"/>
          <w:sz w:val="24"/>
        </w:rPr>
        <w:lastRenderedPageBreak/>
        <w:t xml:space="preserve">Riaz, T., Shehzad, W., Viari, A., Pompanon, F., Taberlet, P., &amp; Coissac, E. (2011). ecoPrimers: Inference of new DNA barcode markers from whole genome sequence analysis. </w:t>
      </w:r>
      <w:r w:rsidRPr="00D17F4F">
        <w:rPr>
          <w:rFonts w:ascii="Times New Roman" w:hAnsi="Times New Roman" w:cs="Times New Roman"/>
          <w:i/>
          <w:iCs/>
          <w:sz w:val="24"/>
        </w:rPr>
        <w:t>Nucleic Acids Research</w:t>
      </w:r>
      <w:r w:rsidRPr="00D17F4F">
        <w:rPr>
          <w:rFonts w:ascii="Times New Roman" w:hAnsi="Times New Roman" w:cs="Times New Roman"/>
          <w:sz w:val="24"/>
        </w:rPr>
        <w:t xml:space="preserve">, </w:t>
      </w:r>
      <w:r w:rsidRPr="00D17F4F">
        <w:rPr>
          <w:rFonts w:ascii="Times New Roman" w:hAnsi="Times New Roman" w:cs="Times New Roman"/>
          <w:i/>
          <w:iCs/>
          <w:sz w:val="24"/>
        </w:rPr>
        <w:t>39</w:t>
      </w:r>
      <w:r w:rsidRPr="00D17F4F">
        <w:rPr>
          <w:rFonts w:ascii="Times New Roman" w:hAnsi="Times New Roman" w:cs="Times New Roman"/>
          <w:sz w:val="24"/>
        </w:rPr>
        <w:t>(21), e145–e145. doi: 10.1093/nar/gkr732</w:t>
      </w:r>
    </w:p>
    <w:p w14:paraId="62919581" w14:textId="77777777" w:rsidR="00D17F4F" w:rsidRPr="00D17F4F" w:rsidRDefault="00D17F4F" w:rsidP="00D17F4F">
      <w:pPr>
        <w:pStyle w:val="Bibliographie"/>
        <w:rPr>
          <w:rFonts w:ascii="Times New Roman" w:hAnsi="Times New Roman" w:cs="Times New Roman"/>
          <w:sz w:val="24"/>
        </w:rPr>
      </w:pPr>
      <w:r w:rsidRPr="00D17F4F">
        <w:rPr>
          <w:rFonts w:ascii="Times New Roman" w:hAnsi="Times New Roman" w:cs="Times New Roman"/>
          <w:sz w:val="24"/>
        </w:rPr>
        <w:t xml:space="preserve">Ruppert, K. M., Kline, R. J., &amp; Rahman, M. S. (2019). Past, present, and future perspectives of environmental DNA (eDNA) metabarcoding: A systematic review in methods, monitoring, and applications of global eDNA. </w:t>
      </w:r>
      <w:r w:rsidRPr="00D17F4F">
        <w:rPr>
          <w:rFonts w:ascii="Times New Roman" w:hAnsi="Times New Roman" w:cs="Times New Roman"/>
          <w:i/>
          <w:iCs/>
          <w:sz w:val="24"/>
        </w:rPr>
        <w:t>Global Ecology and Conservation</w:t>
      </w:r>
      <w:r w:rsidRPr="00D17F4F">
        <w:rPr>
          <w:rFonts w:ascii="Times New Roman" w:hAnsi="Times New Roman" w:cs="Times New Roman"/>
          <w:sz w:val="24"/>
        </w:rPr>
        <w:t xml:space="preserve">, </w:t>
      </w:r>
      <w:r w:rsidRPr="00D17F4F">
        <w:rPr>
          <w:rFonts w:ascii="Times New Roman" w:hAnsi="Times New Roman" w:cs="Times New Roman"/>
          <w:i/>
          <w:iCs/>
          <w:sz w:val="24"/>
        </w:rPr>
        <w:t>17</w:t>
      </w:r>
      <w:r w:rsidRPr="00D17F4F">
        <w:rPr>
          <w:rFonts w:ascii="Times New Roman" w:hAnsi="Times New Roman" w:cs="Times New Roman"/>
          <w:sz w:val="24"/>
        </w:rPr>
        <w:t>, e00547. doi: 10.1016/j.gecco.2019.e00547</w:t>
      </w:r>
    </w:p>
    <w:p w14:paraId="06216EE0" w14:textId="77777777" w:rsidR="00D17F4F" w:rsidRPr="00D17F4F" w:rsidRDefault="00D17F4F" w:rsidP="00D17F4F">
      <w:pPr>
        <w:pStyle w:val="Bibliographie"/>
        <w:rPr>
          <w:rFonts w:ascii="Times New Roman" w:hAnsi="Times New Roman" w:cs="Times New Roman"/>
          <w:sz w:val="24"/>
        </w:rPr>
      </w:pPr>
      <w:r w:rsidRPr="00D17F4F">
        <w:rPr>
          <w:rFonts w:ascii="Times New Roman" w:hAnsi="Times New Roman" w:cs="Times New Roman"/>
          <w:sz w:val="24"/>
        </w:rPr>
        <w:t xml:space="preserve">Samoilys, M. A., Osuka, K., Mussa, J., Rosendo, S., Riddell, M., Diade, M., … Koldewey, H. (2019). An integrated assessment of coastal fisheries in Mozambique for conservation planning. </w:t>
      </w:r>
      <w:r w:rsidRPr="00D17F4F">
        <w:rPr>
          <w:rFonts w:ascii="Times New Roman" w:hAnsi="Times New Roman" w:cs="Times New Roman"/>
          <w:i/>
          <w:iCs/>
          <w:sz w:val="24"/>
        </w:rPr>
        <w:t>Ocean &amp; Coastal Management</w:t>
      </w:r>
      <w:r w:rsidRPr="00D17F4F">
        <w:rPr>
          <w:rFonts w:ascii="Times New Roman" w:hAnsi="Times New Roman" w:cs="Times New Roman"/>
          <w:sz w:val="24"/>
        </w:rPr>
        <w:t xml:space="preserve">, </w:t>
      </w:r>
      <w:r w:rsidRPr="00D17F4F">
        <w:rPr>
          <w:rFonts w:ascii="Times New Roman" w:hAnsi="Times New Roman" w:cs="Times New Roman"/>
          <w:i/>
          <w:iCs/>
          <w:sz w:val="24"/>
        </w:rPr>
        <w:t>182</w:t>
      </w:r>
      <w:r w:rsidRPr="00D17F4F">
        <w:rPr>
          <w:rFonts w:ascii="Times New Roman" w:hAnsi="Times New Roman" w:cs="Times New Roman"/>
          <w:sz w:val="24"/>
        </w:rPr>
        <w:t>, 104924. doi: 10.1016/j.ocecoaman.2019.104924</w:t>
      </w:r>
    </w:p>
    <w:p w14:paraId="4BA74843" w14:textId="77777777" w:rsidR="00D17F4F" w:rsidRPr="00D17F4F" w:rsidRDefault="00D17F4F" w:rsidP="00D17F4F">
      <w:pPr>
        <w:pStyle w:val="Bibliographie"/>
        <w:rPr>
          <w:rFonts w:ascii="Times New Roman" w:hAnsi="Times New Roman" w:cs="Times New Roman"/>
          <w:sz w:val="24"/>
        </w:rPr>
      </w:pPr>
      <w:r w:rsidRPr="00D17F4F">
        <w:rPr>
          <w:rFonts w:ascii="Times New Roman" w:hAnsi="Times New Roman" w:cs="Times New Roman"/>
          <w:sz w:val="24"/>
        </w:rPr>
        <w:t xml:space="preserve">San Llorente Capdevila, A., Kokimova, A., Sinha Ray, S., Avellán, T., Kim, J., &amp; Kirschke, S. (2020). Success factors for citizen science projects in water quality monitoring. </w:t>
      </w:r>
      <w:r w:rsidRPr="00D17F4F">
        <w:rPr>
          <w:rFonts w:ascii="Times New Roman" w:hAnsi="Times New Roman" w:cs="Times New Roman"/>
          <w:i/>
          <w:iCs/>
          <w:sz w:val="24"/>
        </w:rPr>
        <w:t>Science of The Total Environment</w:t>
      </w:r>
      <w:r w:rsidRPr="00D17F4F">
        <w:rPr>
          <w:rFonts w:ascii="Times New Roman" w:hAnsi="Times New Roman" w:cs="Times New Roman"/>
          <w:sz w:val="24"/>
        </w:rPr>
        <w:t xml:space="preserve">, </w:t>
      </w:r>
      <w:r w:rsidRPr="00D17F4F">
        <w:rPr>
          <w:rFonts w:ascii="Times New Roman" w:hAnsi="Times New Roman" w:cs="Times New Roman"/>
          <w:i/>
          <w:iCs/>
          <w:sz w:val="24"/>
        </w:rPr>
        <w:t>728</w:t>
      </w:r>
      <w:r w:rsidRPr="00D17F4F">
        <w:rPr>
          <w:rFonts w:ascii="Times New Roman" w:hAnsi="Times New Roman" w:cs="Times New Roman"/>
          <w:sz w:val="24"/>
        </w:rPr>
        <w:t>, 137843. doi: 10.1016/j.scitotenv.2020.137843</w:t>
      </w:r>
    </w:p>
    <w:p w14:paraId="6B8C17B7" w14:textId="77777777" w:rsidR="00D17F4F" w:rsidRPr="00D17F4F" w:rsidRDefault="00D17F4F" w:rsidP="00D17F4F">
      <w:pPr>
        <w:pStyle w:val="Bibliographie"/>
        <w:rPr>
          <w:rFonts w:ascii="Times New Roman" w:hAnsi="Times New Roman" w:cs="Times New Roman"/>
          <w:sz w:val="24"/>
        </w:rPr>
      </w:pPr>
      <w:r w:rsidRPr="00D17F4F">
        <w:rPr>
          <w:rFonts w:ascii="Times New Roman" w:hAnsi="Times New Roman" w:cs="Times New Roman"/>
          <w:sz w:val="24"/>
        </w:rPr>
        <w:t xml:space="preserve">Schenekar, T., Schletterer, M., Lecaudey, L. A., &amp; Weiss, S. J. (2020). Reference databases, primer choice, and assay sensitivity for environmental metabarcoding: Lessons learnt from a re‐evaluation of an eDNA fish assessment in the Volga headwaters. </w:t>
      </w:r>
      <w:r w:rsidRPr="00D17F4F">
        <w:rPr>
          <w:rFonts w:ascii="Times New Roman" w:hAnsi="Times New Roman" w:cs="Times New Roman"/>
          <w:i/>
          <w:iCs/>
          <w:sz w:val="24"/>
        </w:rPr>
        <w:t>River Research and Applications</w:t>
      </w:r>
      <w:r w:rsidRPr="00D17F4F">
        <w:rPr>
          <w:rFonts w:ascii="Times New Roman" w:hAnsi="Times New Roman" w:cs="Times New Roman"/>
          <w:sz w:val="24"/>
        </w:rPr>
        <w:t>, rra.3610. doi: 10.1002/rra.3610</w:t>
      </w:r>
    </w:p>
    <w:p w14:paraId="7876BE77" w14:textId="77777777" w:rsidR="00D17F4F" w:rsidRPr="00D17F4F" w:rsidRDefault="00D17F4F" w:rsidP="00D17F4F">
      <w:pPr>
        <w:pStyle w:val="Bibliographie"/>
        <w:rPr>
          <w:rFonts w:ascii="Times New Roman" w:hAnsi="Times New Roman" w:cs="Times New Roman"/>
          <w:sz w:val="24"/>
        </w:rPr>
      </w:pPr>
      <w:r w:rsidRPr="00D17F4F">
        <w:rPr>
          <w:rFonts w:ascii="Times New Roman" w:hAnsi="Times New Roman" w:cs="Times New Roman"/>
          <w:sz w:val="24"/>
        </w:rPr>
        <w:t xml:space="preserve">Schneider, M. F., Buramuge, V. A., Aliasse, L., &amp; Serfontein, F. (2005). </w:t>
      </w:r>
      <w:r w:rsidRPr="00D17F4F">
        <w:rPr>
          <w:rFonts w:ascii="Times New Roman" w:hAnsi="Times New Roman" w:cs="Times New Roman"/>
          <w:i/>
          <w:iCs/>
          <w:sz w:val="24"/>
        </w:rPr>
        <w:t>Checklist and Centres of Vertebrate Diversity in Mozambique</w:t>
      </w:r>
      <w:r w:rsidRPr="00D17F4F">
        <w:rPr>
          <w:rFonts w:ascii="Times New Roman" w:hAnsi="Times New Roman" w:cs="Times New Roman"/>
          <w:sz w:val="24"/>
        </w:rPr>
        <w:t xml:space="preserve"> (p. 19) [Forestry Department and Eduardo Mondlane University]. Maputo.</w:t>
      </w:r>
    </w:p>
    <w:p w14:paraId="7E75C626" w14:textId="77777777" w:rsidR="00D17F4F" w:rsidRPr="00D17F4F" w:rsidRDefault="00D17F4F" w:rsidP="00D17F4F">
      <w:pPr>
        <w:pStyle w:val="Bibliographie"/>
        <w:rPr>
          <w:rFonts w:ascii="Times New Roman" w:hAnsi="Times New Roman" w:cs="Times New Roman"/>
          <w:sz w:val="24"/>
        </w:rPr>
      </w:pPr>
      <w:r w:rsidRPr="00D17F4F">
        <w:rPr>
          <w:rFonts w:ascii="Times New Roman" w:hAnsi="Times New Roman" w:cs="Times New Roman"/>
          <w:sz w:val="24"/>
        </w:rPr>
        <w:t xml:space="preserve">Shelton, A. O., Kelly, R. P., O’Donnell, J. L., Park, L., Schwenke, P., Greene, C., … Beamer, E. M. (2019). Environmental DNA provides quantitative estimates of a threatened salmon species. </w:t>
      </w:r>
      <w:r w:rsidRPr="00D17F4F">
        <w:rPr>
          <w:rFonts w:ascii="Times New Roman" w:hAnsi="Times New Roman" w:cs="Times New Roman"/>
          <w:i/>
          <w:iCs/>
          <w:sz w:val="24"/>
        </w:rPr>
        <w:t>Biological Conservation</w:t>
      </w:r>
      <w:r w:rsidRPr="00D17F4F">
        <w:rPr>
          <w:rFonts w:ascii="Times New Roman" w:hAnsi="Times New Roman" w:cs="Times New Roman"/>
          <w:sz w:val="24"/>
        </w:rPr>
        <w:t xml:space="preserve">, </w:t>
      </w:r>
      <w:r w:rsidRPr="00D17F4F">
        <w:rPr>
          <w:rFonts w:ascii="Times New Roman" w:hAnsi="Times New Roman" w:cs="Times New Roman"/>
          <w:i/>
          <w:iCs/>
          <w:sz w:val="24"/>
        </w:rPr>
        <w:t>237</w:t>
      </w:r>
      <w:r w:rsidRPr="00D17F4F">
        <w:rPr>
          <w:rFonts w:ascii="Times New Roman" w:hAnsi="Times New Roman" w:cs="Times New Roman"/>
          <w:sz w:val="24"/>
        </w:rPr>
        <w:t>, 383–391. doi: 10.1016/j.biocon.2019.07.003</w:t>
      </w:r>
    </w:p>
    <w:p w14:paraId="073FA7CE" w14:textId="77777777" w:rsidR="00D17F4F" w:rsidRPr="00D17F4F" w:rsidRDefault="00D17F4F" w:rsidP="00D17F4F">
      <w:pPr>
        <w:pStyle w:val="Bibliographie"/>
        <w:rPr>
          <w:rFonts w:ascii="Times New Roman" w:hAnsi="Times New Roman" w:cs="Times New Roman"/>
          <w:sz w:val="24"/>
        </w:rPr>
      </w:pPr>
      <w:r w:rsidRPr="00D17F4F">
        <w:rPr>
          <w:rFonts w:ascii="Times New Roman" w:hAnsi="Times New Roman" w:cs="Times New Roman"/>
          <w:sz w:val="24"/>
        </w:rPr>
        <w:lastRenderedPageBreak/>
        <w:t xml:space="preserve">Sowman, M., &amp; Cardoso, P. (2010). Small-scale fisheries and food security strategies in countries in the Benguela Current Large Marine Ecosystem (BCLME) region: Angola, Namibia and South Africa. </w:t>
      </w:r>
      <w:r w:rsidRPr="00D17F4F">
        <w:rPr>
          <w:rFonts w:ascii="Times New Roman" w:hAnsi="Times New Roman" w:cs="Times New Roman"/>
          <w:i/>
          <w:iCs/>
          <w:sz w:val="24"/>
        </w:rPr>
        <w:t>Marine Policy</w:t>
      </w:r>
      <w:r w:rsidRPr="00D17F4F">
        <w:rPr>
          <w:rFonts w:ascii="Times New Roman" w:hAnsi="Times New Roman" w:cs="Times New Roman"/>
          <w:sz w:val="24"/>
        </w:rPr>
        <w:t xml:space="preserve">, </w:t>
      </w:r>
      <w:r w:rsidRPr="00D17F4F">
        <w:rPr>
          <w:rFonts w:ascii="Times New Roman" w:hAnsi="Times New Roman" w:cs="Times New Roman"/>
          <w:i/>
          <w:iCs/>
          <w:sz w:val="24"/>
        </w:rPr>
        <w:t>34</w:t>
      </w:r>
      <w:r w:rsidRPr="00D17F4F">
        <w:rPr>
          <w:rFonts w:ascii="Times New Roman" w:hAnsi="Times New Roman" w:cs="Times New Roman"/>
          <w:sz w:val="24"/>
        </w:rPr>
        <w:t>(6), 1163–1170. doi: 10.1016/j.marpol.2010.03.016</w:t>
      </w:r>
    </w:p>
    <w:p w14:paraId="30153106" w14:textId="77777777" w:rsidR="00D17F4F" w:rsidRPr="00D17F4F" w:rsidRDefault="00D17F4F" w:rsidP="00D17F4F">
      <w:pPr>
        <w:pStyle w:val="Bibliographie"/>
        <w:rPr>
          <w:rFonts w:ascii="Times New Roman" w:hAnsi="Times New Roman" w:cs="Times New Roman"/>
          <w:sz w:val="24"/>
        </w:rPr>
      </w:pPr>
      <w:r w:rsidRPr="00D17F4F">
        <w:rPr>
          <w:rFonts w:ascii="Times New Roman" w:hAnsi="Times New Roman" w:cs="Times New Roman"/>
          <w:sz w:val="24"/>
        </w:rPr>
        <w:t xml:space="preserve">Spens, J., Evans, A. R., Halfmaerten, D., Knudsen, S. W., Sengupta, M. E., Mak, S. S. T., … Hellström, M. (2017). Comparison of capture and storage methods for aqueous macrobial eDNA using an optimized extraction protocol: Advantage of enclosed filter. </w:t>
      </w:r>
      <w:r w:rsidRPr="00D17F4F">
        <w:rPr>
          <w:rFonts w:ascii="Times New Roman" w:hAnsi="Times New Roman" w:cs="Times New Roman"/>
          <w:i/>
          <w:iCs/>
          <w:sz w:val="24"/>
        </w:rPr>
        <w:t>Methods in Ecology and Evolution</w:t>
      </w:r>
      <w:r w:rsidRPr="00D17F4F">
        <w:rPr>
          <w:rFonts w:ascii="Times New Roman" w:hAnsi="Times New Roman" w:cs="Times New Roman"/>
          <w:sz w:val="24"/>
        </w:rPr>
        <w:t xml:space="preserve">, </w:t>
      </w:r>
      <w:r w:rsidRPr="00D17F4F">
        <w:rPr>
          <w:rFonts w:ascii="Times New Roman" w:hAnsi="Times New Roman" w:cs="Times New Roman"/>
          <w:i/>
          <w:iCs/>
          <w:sz w:val="24"/>
        </w:rPr>
        <w:t>8</w:t>
      </w:r>
      <w:r w:rsidRPr="00D17F4F">
        <w:rPr>
          <w:rFonts w:ascii="Times New Roman" w:hAnsi="Times New Roman" w:cs="Times New Roman"/>
          <w:sz w:val="24"/>
        </w:rPr>
        <w:t>(5), 635–645. doi: 10.1111/2041-210X.12683</w:t>
      </w:r>
    </w:p>
    <w:p w14:paraId="38068CF2" w14:textId="77777777" w:rsidR="00D17F4F" w:rsidRPr="00D17F4F" w:rsidRDefault="00D17F4F" w:rsidP="00D17F4F">
      <w:pPr>
        <w:pStyle w:val="Bibliographie"/>
        <w:rPr>
          <w:rFonts w:ascii="Times New Roman" w:hAnsi="Times New Roman" w:cs="Times New Roman"/>
          <w:sz w:val="24"/>
        </w:rPr>
      </w:pPr>
      <w:r w:rsidRPr="00D17F4F">
        <w:rPr>
          <w:rFonts w:ascii="Times New Roman" w:hAnsi="Times New Roman" w:cs="Times New Roman"/>
          <w:sz w:val="24"/>
        </w:rPr>
        <w:t xml:space="preserve">Stuart, S., Adams, R., &amp; Jenkins, M. (1990). </w:t>
      </w:r>
      <w:r w:rsidRPr="00D17F4F">
        <w:rPr>
          <w:rFonts w:ascii="Times New Roman" w:hAnsi="Times New Roman" w:cs="Times New Roman"/>
          <w:i/>
          <w:iCs/>
          <w:sz w:val="24"/>
        </w:rPr>
        <w:t>Biodiversity in sub-saharan Africa and its islands: Conservation, management and sustainable use</w:t>
      </w:r>
      <w:r w:rsidRPr="00D17F4F">
        <w:rPr>
          <w:rFonts w:ascii="Times New Roman" w:hAnsi="Times New Roman" w:cs="Times New Roman"/>
          <w:sz w:val="24"/>
        </w:rPr>
        <w:t xml:space="preserve"> (Occasional Papers of the IUCN Species Survival Commission No. 6; p. 251). IUCN - The World Conservation Union. Retrieved from IUCN - The World Conservation Union website: https://portals.iucn.org/library/sites/library/files/styles/publication/public/book_covers/BC-SSC-OP-006.jpg</w:t>
      </w:r>
    </w:p>
    <w:p w14:paraId="6E59EA9D" w14:textId="77777777" w:rsidR="00D17F4F" w:rsidRPr="00D17F4F" w:rsidRDefault="00D17F4F" w:rsidP="00D17F4F">
      <w:pPr>
        <w:pStyle w:val="Bibliographie"/>
        <w:rPr>
          <w:rFonts w:ascii="Times New Roman" w:hAnsi="Times New Roman" w:cs="Times New Roman"/>
          <w:sz w:val="24"/>
        </w:rPr>
      </w:pPr>
      <w:r w:rsidRPr="00D17F4F">
        <w:rPr>
          <w:rFonts w:ascii="Times New Roman" w:hAnsi="Times New Roman" w:cs="Times New Roman"/>
          <w:sz w:val="24"/>
        </w:rPr>
        <w:t xml:space="preserve">Stuart-Smith, R. D., Brown, C. J., Ceccarelli, D. M., &amp; Edgar, G. J. (2018). Ecosystem restructuring along the Great Barrier Reef following mass coral bleaching. </w:t>
      </w:r>
      <w:r w:rsidRPr="00D17F4F">
        <w:rPr>
          <w:rFonts w:ascii="Times New Roman" w:hAnsi="Times New Roman" w:cs="Times New Roman"/>
          <w:i/>
          <w:iCs/>
          <w:sz w:val="24"/>
        </w:rPr>
        <w:t>Nature</w:t>
      </w:r>
      <w:r w:rsidRPr="00D17F4F">
        <w:rPr>
          <w:rFonts w:ascii="Times New Roman" w:hAnsi="Times New Roman" w:cs="Times New Roman"/>
          <w:sz w:val="24"/>
        </w:rPr>
        <w:t xml:space="preserve">, </w:t>
      </w:r>
      <w:r w:rsidRPr="00D17F4F">
        <w:rPr>
          <w:rFonts w:ascii="Times New Roman" w:hAnsi="Times New Roman" w:cs="Times New Roman"/>
          <w:i/>
          <w:iCs/>
          <w:sz w:val="24"/>
        </w:rPr>
        <w:t>560</w:t>
      </w:r>
      <w:r w:rsidRPr="00D17F4F">
        <w:rPr>
          <w:rFonts w:ascii="Times New Roman" w:hAnsi="Times New Roman" w:cs="Times New Roman"/>
          <w:sz w:val="24"/>
        </w:rPr>
        <w:t>(7716), 92–96. doi: 10.1038/s41586-018-0359-9</w:t>
      </w:r>
    </w:p>
    <w:p w14:paraId="0A8A8CEA" w14:textId="77777777" w:rsidR="00D17F4F" w:rsidRPr="00D17F4F" w:rsidRDefault="00D17F4F" w:rsidP="00D17F4F">
      <w:pPr>
        <w:pStyle w:val="Bibliographie"/>
        <w:rPr>
          <w:rFonts w:ascii="Times New Roman" w:hAnsi="Times New Roman" w:cs="Times New Roman"/>
          <w:sz w:val="24"/>
        </w:rPr>
      </w:pPr>
      <w:r w:rsidRPr="00D17F4F">
        <w:rPr>
          <w:rFonts w:ascii="Times New Roman" w:hAnsi="Times New Roman" w:cs="Times New Roman"/>
          <w:sz w:val="24"/>
        </w:rPr>
        <w:t xml:space="preserve">Thomsen, P. F., Kielgast, J., Iversen, L. L., Wiuf, C., Rasmussen, M., Gilbert, M. T. P., … Willerslev, E. (2011). Monitoring endangered freshwater biodiversity using environmental DNA: SPECIES MONITORING BY ENVIRONMENTAL DNA. </w:t>
      </w:r>
      <w:r w:rsidRPr="00D17F4F">
        <w:rPr>
          <w:rFonts w:ascii="Times New Roman" w:hAnsi="Times New Roman" w:cs="Times New Roman"/>
          <w:i/>
          <w:iCs/>
          <w:sz w:val="24"/>
        </w:rPr>
        <w:t>Molecular Ecology</w:t>
      </w:r>
      <w:r w:rsidRPr="00D17F4F">
        <w:rPr>
          <w:rFonts w:ascii="Times New Roman" w:hAnsi="Times New Roman" w:cs="Times New Roman"/>
          <w:sz w:val="24"/>
        </w:rPr>
        <w:t xml:space="preserve">, </w:t>
      </w:r>
      <w:r w:rsidRPr="00D17F4F">
        <w:rPr>
          <w:rFonts w:ascii="Times New Roman" w:hAnsi="Times New Roman" w:cs="Times New Roman"/>
          <w:i/>
          <w:iCs/>
          <w:sz w:val="24"/>
        </w:rPr>
        <w:t>21</w:t>
      </w:r>
      <w:r w:rsidRPr="00D17F4F">
        <w:rPr>
          <w:rFonts w:ascii="Times New Roman" w:hAnsi="Times New Roman" w:cs="Times New Roman"/>
          <w:sz w:val="24"/>
        </w:rPr>
        <w:t>(11), 2565–2573. doi: 10.1111/j.1365-294X.2011.05418.x</w:t>
      </w:r>
    </w:p>
    <w:p w14:paraId="004C9480" w14:textId="77777777" w:rsidR="00D17F4F" w:rsidRPr="00D17F4F" w:rsidRDefault="00D17F4F" w:rsidP="00D17F4F">
      <w:pPr>
        <w:pStyle w:val="Bibliographie"/>
        <w:rPr>
          <w:rFonts w:ascii="Times New Roman" w:hAnsi="Times New Roman" w:cs="Times New Roman"/>
          <w:sz w:val="24"/>
        </w:rPr>
      </w:pPr>
      <w:r w:rsidRPr="00D17F4F">
        <w:rPr>
          <w:rFonts w:ascii="Times New Roman" w:hAnsi="Times New Roman" w:cs="Times New Roman"/>
          <w:sz w:val="24"/>
        </w:rPr>
        <w:t xml:space="preserve">Trimble, M., &amp; Berkes, F. (2013). Participatory research towards co-management: Lessons from artisanal fisheries in coastal Uruguay. </w:t>
      </w:r>
      <w:r w:rsidRPr="00D17F4F">
        <w:rPr>
          <w:rFonts w:ascii="Times New Roman" w:hAnsi="Times New Roman" w:cs="Times New Roman"/>
          <w:i/>
          <w:iCs/>
          <w:sz w:val="24"/>
        </w:rPr>
        <w:t>Journal of Environmental Management</w:t>
      </w:r>
      <w:r w:rsidRPr="00D17F4F">
        <w:rPr>
          <w:rFonts w:ascii="Times New Roman" w:hAnsi="Times New Roman" w:cs="Times New Roman"/>
          <w:sz w:val="24"/>
        </w:rPr>
        <w:t xml:space="preserve">, </w:t>
      </w:r>
      <w:r w:rsidRPr="00D17F4F">
        <w:rPr>
          <w:rFonts w:ascii="Times New Roman" w:hAnsi="Times New Roman" w:cs="Times New Roman"/>
          <w:i/>
          <w:iCs/>
          <w:sz w:val="24"/>
        </w:rPr>
        <w:t>128</w:t>
      </w:r>
      <w:r w:rsidRPr="00D17F4F">
        <w:rPr>
          <w:rFonts w:ascii="Times New Roman" w:hAnsi="Times New Roman" w:cs="Times New Roman"/>
          <w:sz w:val="24"/>
        </w:rPr>
        <w:t>, 768–778. doi: 10.1016/j.jenvman.2013.06.032</w:t>
      </w:r>
    </w:p>
    <w:p w14:paraId="14E99B6A" w14:textId="77777777" w:rsidR="00D17F4F" w:rsidRPr="00D17F4F" w:rsidRDefault="00D17F4F" w:rsidP="00D17F4F">
      <w:pPr>
        <w:pStyle w:val="Bibliographie"/>
        <w:rPr>
          <w:rFonts w:ascii="Times New Roman" w:hAnsi="Times New Roman" w:cs="Times New Roman"/>
          <w:sz w:val="24"/>
        </w:rPr>
      </w:pPr>
      <w:r w:rsidRPr="00D17F4F">
        <w:rPr>
          <w:rFonts w:ascii="Times New Roman" w:hAnsi="Times New Roman" w:cs="Times New Roman"/>
          <w:sz w:val="24"/>
        </w:rPr>
        <w:lastRenderedPageBreak/>
        <w:t xml:space="preserve">Troth, C., Sweet, M., Nightingale, J., &amp; Burian, A. (2021). Seasonality, DNA degradation and spatial heterogeneity as drivers of eDNA detection dynamics. </w:t>
      </w:r>
      <w:r w:rsidRPr="00D17F4F">
        <w:rPr>
          <w:rFonts w:ascii="Times New Roman" w:hAnsi="Times New Roman" w:cs="Times New Roman"/>
          <w:i/>
          <w:iCs/>
          <w:sz w:val="24"/>
        </w:rPr>
        <w:t>Science of The Total Environment</w:t>
      </w:r>
      <w:r w:rsidRPr="00D17F4F">
        <w:rPr>
          <w:rFonts w:ascii="Times New Roman" w:hAnsi="Times New Roman" w:cs="Times New Roman"/>
          <w:sz w:val="24"/>
        </w:rPr>
        <w:t>. doi: https://doi.org/10.1016/j.scitotenv.2020.144466</w:t>
      </w:r>
    </w:p>
    <w:p w14:paraId="60FBEBBA" w14:textId="77777777" w:rsidR="00D17F4F" w:rsidRPr="00D17F4F" w:rsidRDefault="00D17F4F" w:rsidP="00D17F4F">
      <w:pPr>
        <w:pStyle w:val="Bibliographie"/>
        <w:rPr>
          <w:rFonts w:ascii="Times New Roman" w:hAnsi="Times New Roman" w:cs="Times New Roman"/>
          <w:sz w:val="24"/>
        </w:rPr>
      </w:pPr>
      <w:r w:rsidRPr="00D17F4F">
        <w:rPr>
          <w:rFonts w:ascii="Times New Roman" w:hAnsi="Times New Roman" w:cs="Times New Roman"/>
          <w:sz w:val="24"/>
        </w:rPr>
        <w:t>United Nations. (2021, December 1). Retrieved from Population Division World Population Prospects 2019 website: https://population.un.org/wpp/DataQuery/</w:t>
      </w:r>
    </w:p>
    <w:p w14:paraId="3B8F2BF3" w14:textId="77777777" w:rsidR="00D17F4F" w:rsidRPr="00D17F4F" w:rsidRDefault="00D17F4F" w:rsidP="00D17F4F">
      <w:pPr>
        <w:pStyle w:val="Bibliographie"/>
        <w:rPr>
          <w:rFonts w:ascii="Times New Roman" w:hAnsi="Times New Roman" w:cs="Times New Roman"/>
          <w:sz w:val="24"/>
        </w:rPr>
      </w:pPr>
      <w:r w:rsidRPr="00D17F4F">
        <w:rPr>
          <w:rFonts w:ascii="Times New Roman" w:hAnsi="Times New Roman" w:cs="Times New Roman"/>
          <w:sz w:val="24"/>
        </w:rPr>
        <w:t xml:space="preserve">Valentini, A., Taberlet, P., Miaud, C., Civade, R., Herder, J., Thomsen, P. F., … Dejean, T. (2016). Next-generation monitoring of aquatic biodiversity using environmental DNA metabarcoding. </w:t>
      </w:r>
      <w:r w:rsidRPr="00D17F4F">
        <w:rPr>
          <w:rFonts w:ascii="Times New Roman" w:hAnsi="Times New Roman" w:cs="Times New Roman"/>
          <w:i/>
          <w:iCs/>
          <w:sz w:val="24"/>
        </w:rPr>
        <w:t>Molecular Ecology</w:t>
      </w:r>
      <w:r w:rsidRPr="00D17F4F">
        <w:rPr>
          <w:rFonts w:ascii="Times New Roman" w:hAnsi="Times New Roman" w:cs="Times New Roman"/>
          <w:sz w:val="24"/>
        </w:rPr>
        <w:t xml:space="preserve">, </w:t>
      </w:r>
      <w:r w:rsidRPr="00D17F4F">
        <w:rPr>
          <w:rFonts w:ascii="Times New Roman" w:hAnsi="Times New Roman" w:cs="Times New Roman"/>
          <w:i/>
          <w:iCs/>
          <w:sz w:val="24"/>
        </w:rPr>
        <w:t>25</w:t>
      </w:r>
      <w:r w:rsidRPr="00D17F4F">
        <w:rPr>
          <w:rFonts w:ascii="Times New Roman" w:hAnsi="Times New Roman" w:cs="Times New Roman"/>
          <w:sz w:val="24"/>
        </w:rPr>
        <w:t>(4), 929–942. doi: 10.1111/mec.13428</w:t>
      </w:r>
    </w:p>
    <w:p w14:paraId="7E95CC1C" w14:textId="77777777" w:rsidR="00D17F4F" w:rsidRPr="00D17F4F" w:rsidRDefault="00D17F4F" w:rsidP="00D17F4F">
      <w:pPr>
        <w:pStyle w:val="Bibliographie"/>
        <w:rPr>
          <w:rFonts w:ascii="Times New Roman" w:hAnsi="Times New Roman" w:cs="Times New Roman"/>
          <w:sz w:val="24"/>
        </w:rPr>
      </w:pPr>
      <w:r w:rsidRPr="00D17F4F">
        <w:rPr>
          <w:rFonts w:ascii="Times New Roman" w:hAnsi="Times New Roman" w:cs="Times New Roman"/>
          <w:sz w:val="24"/>
        </w:rPr>
        <w:t xml:space="preserve">Wang, S., Yan, Z., Hänfling, B., Zheng, X., Wang, P., Fan, J., &amp; Li, J. (2021). Methodology of fish eDNA and its applications in ecology and environment. </w:t>
      </w:r>
      <w:r w:rsidRPr="00D17F4F">
        <w:rPr>
          <w:rFonts w:ascii="Times New Roman" w:hAnsi="Times New Roman" w:cs="Times New Roman"/>
          <w:i/>
          <w:iCs/>
          <w:sz w:val="24"/>
        </w:rPr>
        <w:t>Science of The Total Environment</w:t>
      </w:r>
      <w:r w:rsidRPr="00D17F4F">
        <w:rPr>
          <w:rFonts w:ascii="Times New Roman" w:hAnsi="Times New Roman" w:cs="Times New Roman"/>
          <w:sz w:val="24"/>
        </w:rPr>
        <w:t xml:space="preserve">, </w:t>
      </w:r>
      <w:r w:rsidRPr="00D17F4F">
        <w:rPr>
          <w:rFonts w:ascii="Times New Roman" w:hAnsi="Times New Roman" w:cs="Times New Roman"/>
          <w:i/>
          <w:iCs/>
          <w:sz w:val="24"/>
        </w:rPr>
        <w:t>755</w:t>
      </w:r>
      <w:r w:rsidRPr="00D17F4F">
        <w:rPr>
          <w:rFonts w:ascii="Times New Roman" w:hAnsi="Times New Roman" w:cs="Times New Roman"/>
          <w:sz w:val="24"/>
        </w:rPr>
        <w:t>, 142622. doi: 10.1016/j.scitotenv.2020.142622</w:t>
      </w:r>
    </w:p>
    <w:p w14:paraId="53C44F46" w14:textId="77777777" w:rsidR="00D17F4F" w:rsidRPr="00D17F4F" w:rsidRDefault="00D17F4F" w:rsidP="00D17F4F">
      <w:pPr>
        <w:pStyle w:val="Bibliographie"/>
        <w:rPr>
          <w:rFonts w:ascii="Times New Roman" w:hAnsi="Times New Roman" w:cs="Times New Roman"/>
          <w:sz w:val="24"/>
        </w:rPr>
      </w:pPr>
      <w:r w:rsidRPr="00D17F4F">
        <w:rPr>
          <w:rFonts w:ascii="Times New Roman" w:hAnsi="Times New Roman" w:cs="Times New Roman"/>
          <w:sz w:val="24"/>
        </w:rPr>
        <w:t xml:space="preserve">Wiber, M., Charles, A., Kearney, J., &amp; Berkes, F. (2009). Enhancing community empowerment through participatory fisheries research. </w:t>
      </w:r>
      <w:r w:rsidRPr="00D17F4F">
        <w:rPr>
          <w:rFonts w:ascii="Times New Roman" w:hAnsi="Times New Roman" w:cs="Times New Roman"/>
          <w:i/>
          <w:iCs/>
          <w:sz w:val="24"/>
        </w:rPr>
        <w:t>Marine Policy</w:t>
      </w:r>
      <w:r w:rsidRPr="00D17F4F">
        <w:rPr>
          <w:rFonts w:ascii="Times New Roman" w:hAnsi="Times New Roman" w:cs="Times New Roman"/>
          <w:sz w:val="24"/>
        </w:rPr>
        <w:t xml:space="preserve">, </w:t>
      </w:r>
      <w:r w:rsidRPr="00D17F4F">
        <w:rPr>
          <w:rFonts w:ascii="Times New Roman" w:hAnsi="Times New Roman" w:cs="Times New Roman"/>
          <w:i/>
          <w:iCs/>
          <w:sz w:val="24"/>
        </w:rPr>
        <w:t>33</w:t>
      </w:r>
      <w:r w:rsidRPr="00D17F4F">
        <w:rPr>
          <w:rFonts w:ascii="Times New Roman" w:hAnsi="Times New Roman" w:cs="Times New Roman"/>
          <w:sz w:val="24"/>
        </w:rPr>
        <w:t>(1), 172–179. doi: 10.1016/j.marpol.2008.05.009</w:t>
      </w:r>
    </w:p>
    <w:p w14:paraId="2D220912" w14:textId="77777777" w:rsidR="00D17F4F" w:rsidRPr="00D17F4F" w:rsidRDefault="00D17F4F" w:rsidP="00D17F4F">
      <w:pPr>
        <w:pStyle w:val="Bibliographie"/>
        <w:rPr>
          <w:rFonts w:ascii="Times New Roman" w:hAnsi="Times New Roman" w:cs="Times New Roman"/>
          <w:sz w:val="24"/>
          <w:lang w:val="fr-FR"/>
        </w:rPr>
      </w:pPr>
      <w:r w:rsidRPr="00D17F4F">
        <w:rPr>
          <w:rFonts w:ascii="Times New Roman" w:hAnsi="Times New Roman" w:cs="Times New Roman"/>
          <w:sz w:val="24"/>
        </w:rPr>
        <w:t xml:space="preserve">Yamamoto, S., Minami, K., Fukaya, K., Takahashi, K., Sawada, H., Murakami, H., … Kondoh, M. (2016). Environmental DNA as a ‘Snapshot’ of Fish Distribution: A Case Study of Japanese Jack Mackerel in Maizuru Bay, Sea of Japan. </w:t>
      </w:r>
      <w:r w:rsidRPr="00D17F4F">
        <w:rPr>
          <w:rFonts w:ascii="Times New Roman" w:hAnsi="Times New Roman" w:cs="Times New Roman"/>
          <w:i/>
          <w:iCs/>
          <w:sz w:val="24"/>
          <w:lang w:val="fr-FR"/>
        </w:rPr>
        <w:t>PLOS ONE</w:t>
      </w:r>
      <w:r w:rsidRPr="00D17F4F">
        <w:rPr>
          <w:rFonts w:ascii="Times New Roman" w:hAnsi="Times New Roman" w:cs="Times New Roman"/>
          <w:sz w:val="24"/>
          <w:lang w:val="fr-FR"/>
        </w:rPr>
        <w:t xml:space="preserve">, </w:t>
      </w:r>
      <w:r w:rsidRPr="00D17F4F">
        <w:rPr>
          <w:rFonts w:ascii="Times New Roman" w:hAnsi="Times New Roman" w:cs="Times New Roman"/>
          <w:i/>
          <w:iCs/>
          <w:sz w:val="24"/>
          <w:lang w:val="fr-FR"/>
        </w:rPr>
        <w:t>11</w:t>
      </w:r>
      <w:r w:rsidRPr="00D17F4F">
        <w:rPr>
          <w:rFonts w:ascii="Times New Roman" w:hAnsi="Times New Roman" w:cs="Times New Roman"/>
          <w:sz w:val="24"/>
          <w:lang w:val="fr-FR"/>
        </w:rPr>
        <w:t>(3), e0149786. doi: 10.1371/journal.pone.0149786</w:t>
      </w:r>
    </w:p>
    <w:p w14:paraId="0DC2CCD0" w14:textId="77777777" w:rsidR="00D17F4F" w:rsidRPr="00D17F4F" w:rsidRDefault="00D17F4F" w:rsidP="00D17F4F">
      <w:pPr>
        <w:pStyle w:val="Bibliographie"/>
        <w:rPr>
          <w:rFonts w:ascii="Times New Roman" w:hAnsi="Times New Roman" w:cs="Times New Roman"/>
          <w:sz w:val="24"/>
        </w:rPr>
      </w:pPr>
      <w:r w:rsidRPr="00D17F4F">
        <w:rPr>
          <w:rFonts w:ascii="Times New Roman" w:hAnsi="Times New Roman" w:cs="Times New Roman"/>
          <w:sz w:val="24"/>
          <w:lang w:val="fr-FR"/>
        </w:rPr>
        <w:t xml:space="preserve">Zeeberg, J., Corten, A., &amp; de Graaf, E. (2006). </w:t>
      </w:r>
      <w:r w:rsidRPr="00D17F4F">
        <w:rPr>
          <w:rFonts w:ascii="Times New Roman" w:hAnsi="Times New Roman" w:cs="Times New Roman"/>
          <w:sz w:val="24"/>
        </w:rPr>
        <w:t xml:space="preserve">Bycatch and release of pelagic megafauna in industrial trawler fisheries off Northwest Africa. </w:t>
      </w:r>
      <w:r w:rsidRPr="00D17F4F">
        <w:rPr>
          <w:rFonts w:ascii="Times New Roman" w:hAnsi="Times New Roman" w:cs="Times New Roman"/>
          <w:i/>
          <w:iCs/>
          <w:sz w:val="24"/>
        </w:rPr>
        <w:t>Fisheries Research</w:t>
      </w:r>
      <w:r w:rsidRPr="00D17F4F">
        <w:rPr>
          <w:rFonts w:ascii="Times New Roman" w:hAnsi="Times New Roman" w:cs="Times New Roman"/>
          <w:sz w:val="24"/>
        </w:rPr>
        <w:t xml:space="preserve">, </w:t>
      </w:r>
      <w:r w:rsidRPr="00D17F4F">
        <w:rPr>
          <w:rFonts w:ascii="Times New Roman" w:hAnsi="Times New Roman" w:cs="Times New Roman"/>
          <w:i/>
          <w:iCs/>
          <w:sz w:val="24"/>
        </w:rPr>
        <w:t>78</w:t>
      </w:r>
      <w:r w:rsidRPr="00D17F4F">
        <w:rPr>
          <w:rFonts w:ascii="Times New Roman" w:hAnsi="Times New Roman" w:cs="Times New Roman"/>
          <w:sz w:val="24"/>
        </w:rPr>
        <w:t>(2–3), 186–195. doi: 10.1016/j.fishres.2006.01.012</w:t>
      </w:r>
    </w:p>
    <w:p w14:paraId="0537EFCE" w14:textId="77777777" w:rsidR="00D17F4F" w:rsidRPr="00D17F4F" w:rsidRDefault="00D17F4F" w:rsidP="00D17F4F">
      <w:pPr>
        <w:pStyle w:val="Bibliographie"/>
        <w:rPr>
          <w:rFonts w:ascii="Times New Roman" w:hAnsi="Times New Roman" w:cs="Times New Roman"/>
          <w:sz w:val="24"/>
        </w:rPr>
      </w:pPr>
      <w:r w:rsidRPr="00D17F4F">
        <w:rPr>
          <w:rFonts w:ascii="Times New Roman" w:hAnsi="Times New Roman" w:cs="Times New Roman"/>
          <w:sz w:val="24"/>
        </w:rPr>
        <w:t xml:space="preserve">Zhang, S., Zhao, J., &amp; Yao, M. (2020). A comprehensive and comparative evaluation of primers for metabarcoding eDNA from fish. </w:t>
      </w:r>
      <w:r w:rsidRPr="00D17F4F">
        <w:rPr>
          <w:rFonts w:ascii="Times New Roman" w:hAnsi="Times New Roman" w:cs="Times New Roman"/>
          <w:i/>
          <w:iCs/>
          <w:sz w:val="24"/>
        </w:rPr>
        <w:t>Methods in Ecology and Evolution</w:t>
      </w:r>
      <w:r w:rsidRPr="00D17F4F">
        <w:rPr>
          <w:rFonts w:ascii="Times New Roman" w:hAnsi="Times New Roman" w:cs="Times New Roman"/>
          <w:sz w:val="24"/>
        </w:rPr>
        <w:t>, 45.</w:t>
      </w:r>
    </w:p>
    <w:p w14:paraId="4DF753B4" w14:textId="77777777" w:rsidR="00D17F4F" w:rsidRPr="00D17F4F" w:rsidRDefault="00D17F4F" w:rsidP="00D17F4F">
      <w:pPr>
        <w:pStyle w:val="Bibliographie"/>
        <w:rPr>
          <w:rFonts w:ascii="Times New Roman" w:hAnsi="Times New Roman" w:cs="Times New Roman"/>
          <w:sz w:val="24"/>
        </w:rPr>
      </w:pPr>
      <w:r w:rsidRPr="00D17F4F">
        <w:rPr>
          <w:rFonts w:ascii="Times New Roman" w:hAnsi="Times New Roman" w:cs="Times New Roman"/>
          <w:sz w:val="24"/>
        </w:rPr>
        <w:t xml:space="preserve">Zinger, L., Donald, J., Brosse, S., Gonzalez, M. A., Iribar, A., Leroy, C., … Lopes, C. M. (2020). Advances and prospects of environmental DNA in neotropical rainforests. In </w:t>
      </w:r>
      <w:r w:rsidRPr="00D17F4F">
        <w:rPr>
          <w:rFonts w:ascii="Times New Roman" w:hAnsi="Times New Roman" w:cs="Times New Roman"/>
          <w:i/>
          <w:iCs/>
          <w:sz w:val="24"/>
        </w:rPr>
        <w:lastRenderedPageBreak/>
        <w:t>Advances in Ecological Research</w:t>
      </w:r>
      <w:r w:rsidRPr="00D17F4F">
        <w:rPr>
          <w:rFonts w:ascii="Times New Roman" w:hAnsi="Times New Roman" w:cs="Times New Roman"/>
          <w:sz w:val="24"/>
        </w:rPr>
        <w:t xml:space="preserve"> (p. S0065250420300015). Elsevier. doi: 10.1016/bs.aecr.2020.01.001</w:t>
      </w:r>
    </w:p>
    <w:p w14:paraId="133C51FD" w14:textId="2305D8A5" w:rsidR="00AA054B" w:rsidRDefault="00D17F4F" w:rsidP="00D17F4F">
      <w:pPr>
        <w:spacing w:before="240" w:after="240" w:line="48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lang w:val="de-DE"/>
        </w:rPr>
        <w:fldChar w:fldCharType="end"/>
      </w:r>
    </w:p>
    <w:p w14:paraId="0C22188D" w14:textId="77777777" w:rsidR="00AA054B" w:rsidRDefault="00AA054B">
      <w:pPr>
        <w:spacing w:before="240" w:after="240" w:line="480" w:lineRule="auto"/>
        <w:jc w:val="both"/>
        <w:rPr>
          <w:rFonts w:ascii="Times New Roman" w:eastAsia="Times New Roman" w:hAnsi="Times New Roman" w:cs="Times New Roman"/>
          <w:sz w:val="24"/>
          <w:szCs w:val="24"/>
        </w:rPr>
      </w:pPr>
    </w:p>
    <w:p w14:paraId="13149132" w14:textId="77777777" w:rsidR="00AA054B" w:rsidRDefault="00AA054B">
      <w:pPr>
        <w:spacing w:before="240" w:after="240" w:line="480" w:lineRule="auto"/>
        <w:jc w:val="both"/>
        <w:rPr>
          <w:rFonts w:ascii="Times New Roman" w:eastAsia="Times New Roman" w:hAnsi="Times New Roman" w:cs="Times New Roman"/>
          <w:sz w:val="24"/>
          <w:szCs w:val="24"/>
        </w:rPr>
      </w:pPr>
    </w:p>
    <w:p w14:paraId="1712F8F1" w14:textId="77777777" w:rsidR="00AA054B" w:rsidRDefault="00DB4C60">
      <w:pPr>
        <w:spacing w:before="240" w:after="240" w:line="480" w:lineRule="auto"/>
        <w:jc w:val="both"/>
        <w:rPr>
          <w:rFonts w:ascii="Times New Roman" w:eastAsia="Times New Roman" w:hAnsi="Times New Roman" w:cs="Times New Roman"/>
          <w:b/>
          <w:sz w:val="24"/>
          <w:szCs w:val="24"/>
        </w:rPr>
      </w:pPr>
      <w:r>
        <w:br w:type="page"/>
      </w:r>
    </w:p>
    <w:p w14:paraId="4DE4FDDB" w14:textId="77777777" w:rsidR="00AA054B" w:rsidRDefault="00DB4C60">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Figure legends</w:t>
      </w:r>
    </w:p>
    <w:p w14:paraId="7537A275" w14:textId="77777777" w:rsidR="00903497" w:rsidRDefault="00903497" w:rsidP="00903497">
      <w:pPr>
        <w:jc w:val="both"/>
        <w:rPr>
          <w:rFonts w:ascii="Times New Roman" w:eastAsia="Times New Roman" w:hAnsi="Times New Roman" w:cs="Times New Roman"/>
          <w:sz w:val="24"/>
          <w:szCs w:val="24"/>
        </w:rPr>
      </w:pPr>
      <w:bookmarkStart w:id="4" w:name="_im8sh7c42axq" w:colFirst="0" w:colLast="0"/>
      <w:bookmarkEnd w:id="4"/>
      <w:r>
        <w:rPr>
          <w:rFonts w:ascii="Times New Roman" w:eastAsia="Times New Roman" w:hAnsi="Times New Roman" w:cs="Times New Roman"/>
          <w:b/>
          <w:sz w:val="24"/>
          <w:szCs w:val="24"/>
        </w:rPr>
        <w:t>Fig. 1</w:t>
      </w:r>
      <w:r>
        <w:rPr>
          <w:rFonts w:ascii="Times New Roman" w:eastAsia="Times New Roman" w:hAnsi="Times New Roman" w:cs="Times New Roman"/>
          <w:sz w:val="24"/>
          <w:szCs w:val="24"/>
        </w:rPr>
        <w:t>: Location of sampling sites along the Southern coastline of Mozambique (</w:t>
      </w:r>
      <w:r>
        <w:rPr>
          <w:rFonts w:ascii="Times New Roman" w:eastAsia="Times New Roman" w:hAnsi="Times New Roman" w:cs="Times New Roman"/>
          <w:i/>
          <w:sz w:val="24"/>
          <w:szCs w:val="24"/>
        </w:rPr>
        <w:t>n</w:t>
      </w:r>
      <w:r>
        <w:rPr>
          <w:rFonts w:ascii="Times New Roman" w:eastAsia="Times New Roman" w:hAnsi="Times New Roman" w:cs="Times New Roman"/>
          <w:sz w:val="24"/>
          <w:szCs w:val="24"/>
        </w:rPr>
        <w:t xml:space="preserve"> = 47). The number of recorded OTUs is reflected by the size of the dots and the number of threatened species that have been recorded is indicated by colour intensity. A focus area of our study was Inhambane bay, which is highlighted by a black rectangular in </w:t>
      </w:r>
      <w:r>
        <w:rPr>
          <w:rFonts w:ascii="Times New Roman" w:eastAsia="Times New Roman" w:hAnsi="Times New Roman" w:cs="Times New Roman"/>
          <w:b/>
          <w:sz w:val="24"/>
          <w:szCs w:val="24"/>
        </w:rPr>
        <w:t>A</w:t>
      </w:r>
      <w:r>
        <w:rPr>
          <w:rFonts w:ascii="Times New Roman" w:eastAsia="Times New Roman" w:hAnsi="Times New Roman" w:cs="Times New Roman"/>
          <w:sz w:val="24"/>
          <w:szCs w:val="24"/>
        </w:rPr>
        <w:t xml:space="preserve"> and in greater detail in </w:t>
      </w:r>
      <w:r>
        <w:rPr>
          <w:rFonts w:ascii="Times New Roman" w:eastAsia="Times New Roman" w:hAnsi="Times New Roman" w:cs="Times New Roman"/>
          <w:b/>
          <w:sz w:val="24"/>
          <w:szCs w:val="24"/>
        </w:rPr>
        <w:t>B</w:t>
      </w:r>
      <w:r>
        <w:rPr>
          <w:rFonts w:ascii="Times New Roman" w:eastAsia="Times New Roman" w:hAnsi="Times New Roman" w:cs="Times New Roman"/>
          <w:sz w:val="24"/>
          <w:szCs w:val="24"/>
        </w:rPr>
        <w:t>.</w:t>
      </w:r>
    </w:p>
    <w:p w14:paraId="726064CD" w14:textId="77777777" w:rsidR="00903497" w:rsidRDefault="00903497" w:rsidP="00903497">
      <w:pPr>
        <w:jc w:val="both"/>
        <w:rPr>
          <w:rFonts w:ascii="Times New Roman" w:eastAsia="Times New Roman" w:hAnsi="Times New Roman" w:cs="Times New Roman"/>
          <w:sz w:val="24"/>
          <w:szCs w:val="24"/>
        </w:rPr>
      </w:pPr>
      <w:r>
        <w:rPr>
          <w:rFonts w:ascii="Times New Roman" w:eastAsia="Times New Roman" w:hAnsi="Times New Roman" w:cs="Times New Roman"/>
          <w:b/>
          <w:sz w:val="24"/>
          <w:szCs w:val="24"/>
        </w:rPr>
        <w:t>Fig. 2</w:t>
      </w:r>
      <w:r>
        <w:rPr>
          <w:rFonts w:ascii="Times New Roman" w:eastAsia="Times New Roman" w:hAnsi="Times New Roman" w:cs="Times New Roman"/>
          <w:sz w:val="24"/>
          <w:szCs w:val="24"/>
        </w:rPr>
        <w:t>: Comparison of richness and success of species assignment in datasets generated with MiFish and Riaz primers. Displayed are the number of bony fish OTUs, threatened species (including fish and other vertebrates) and fish taxa at the order levels (</w:t>
      </w:r>
      <w:r>
        <w:rPr>
          <w:rFonts w:ascii="Times New Roman" w:eastAsia="Times New Roman" w:hAnsi="Times New Roman" w:cs="Times New Roman"/>
          <w:b/>
          <w:sz w:val="24"/>
          <w:szCs w:val="24"/>
        </w:rPr>
        <w:t>B</w:t>
      </w:r>
      <w:r>
        <w:rPr>
          <w:rFonts w:ascii="Times New Roman" w:eastAsia="Times New Roman" w:hAnsi="Times New Roman" w:cs="Times New Roman"/>
          <w:sz w:val="24"/>
          <w:szCs w:val="24"/>
        </w:rPr>
        <w:t>) and the assignment success of the two primer sets at the family, genus, and species level (</w:t>
      </w:r>
      <w:r>
        <w:rPr>
          <w:rFonts w:ascii="Times New Roman" w:eastAsia="Times New Roman" w:hAnsi="Times New Roman" w:cs="Times New Roman"/>
          <w:b/>
          <w:sz w:val="24"/>
          <w:szCs w:val="24"/>
        </w:rPr>
        <w:t>B</w:t>
      </w:r>
      <w:r>
        <w:rPr>
          <w:rFonts w:ascii="Times New Roman" w:eastAsia="Times New Roman" w:hAnsi="Times New Roman" w:cs="Times New Roman"/>
          <w:sz w:val="24"/>
          <w:szCs w:val="24"/>
        </w:rPr>
        <w:t xml:space="preserve">). In </w:t>
      </w:r>
      <w:r>
        <w:rPr>
          <w:rFonts w:ascii="Times New Roman" w:eastAsia="Times New Roman" w:hAnsi="Times New Roman" w:cs="Times New Roman"/>
          <w:b/>
          <w:sz w:val="24"/>
          <w:szCs w:val="24"/>
        </w:rPr>
        <w:t>C</w:t>
      </w:r>
      <w:r>
        <w:rPr>
          <w:rFonts w:ascii="Times New Roman" w:eastAsia="Times New Roman" w:hAnsi="Times New Roman" w:cs="Times New Roman"/>
          <w:sz w:val="24"/>
          <w:szCs w:val="24"/>
        </w:rPr>
        <w:t xml:space="preserve">, the OTU richness per sample and in </w:t>
      </w:r>
      <w:r w:rsidRPr="00FA6A36">
        <w:rPr>
          <w:rFonts w:ascii="Times New Roman" w:eastAsia="Times New Roman" w:hAnsi="Times New Roman" w:cs="Times New Roman"/>
          <w:b/>
          <w:bCs/>
          <w:sz w:val="24"/>
          <w:szCs w:val="24"/>
        </w:rPr>
        <w:t>D</w:t>
      </w:r>
      <w:r>
        <w:rPr>
          <w:rFonts w:ascii="Times New Roman" w:eastAsia="Times New Roman" w:hAnsi="Times New Roman" w:cs="Times New Roman"/>
          <w:sz w:val="24"/>
          <w:szCs w:val="24"/>
        </w:rPr>
        <w:t xml:space="preserve">, the comparative taxonomic coverage at the genus level for the two primer sets is presented. The comparative taxonomic coverage is thereby defined as the proportion of genus that were recorded by both primers at a specific site. In </w:t>
      </w:r>
      <w:r>
        <w:rPr>
          <w:rFonts w:ascii="Times New Roman" w:eastAsia="Times New Roman" w:hAnsi="Times New Roman" w:cs="Times New Roman"/>
          <w:b/>
          <w:sz w:val="24"/>
          <w:szCs w:val="24"/>
        </w:rPr>
        <w:t>E</w:t>
      </w:r>
      <w:r>
        <w:rPr>
          <w:rFonts w:ascii="Times New Roman" w:eastAsia="Times New Roman" w:hAnsi="Times New Roman" w:cs="Times New Roman"/>
          <w:sz w:val="24"/>
          <w:szCs w:val="24"/>
        </w:rPr>
        <w:t xml:space="preserve">, the OTU richness per sample is compared between the two primer sets with the red line indicating the 1:1 ratio and the black line representing the model 2 regression slope. The confidence interval of the regression slopes included 1 (0.74-1.24) and is indicated as a grey band. </w:t>
      </w:r>
      <w:r>
        <w:rPr>
          <w:rFonts w:ascii="Times New Roman" w:eastAsia="Times New Roman" w:hAnsi="Times New Roman" w:cs="Times New Roman"/>
          <w:b/>
          <w:sz w:val="24"/>
          <w:szCs w:val="24"/>
        </w:rPr>
        <w:t>C</w:t>
      </w:r>
      <w:r>
        <w:rPr>
          <w:rFonts w:ascii="Times New Roman" w:eastAsia="Times New Roman" w:hAnsi="Times New Roman" w:cs="Times New Roman"/>
          <w:sz w:val="24"/>
          <w:szCs w:val="24"/>
        </w:rPr>
        <w:t>-</w:t>
      </w:r>
      <w:r>
        <w:rPr>
          <w:rFonts w:ascii="Times New Roman" w:eastAsia="Times New Roman" w:hAnsi="Times New Roman" w:cs="Times New Roman"/>
          <w:b/>
          <w:sz w:val="24"/>
          <w:szCs w:val="24"/>
        </w:rPr>
        <w:t>E</w:t>
      </w:r>
      <w:r>
        <w:rPr>
          <w:rFonts w:ascii="Times New Roman" w:eastAsia="Times New Roman" w:hAnsi="Times New Roman" w:cs="Times New Roman"/>
          <w:sz w:val="24"/>
          <w:szCs w:val="24"/>
        </w:rPr>
        <w:t xml:space="preserve"> are all based on samples that are amplified by both primer sets and on rarefied data to account for a potentially confounding effect of differential sequencing depth. </w:t>
      </w:r>
    </w:p>
    <w:p w14:paraId="770807E0" w14:textId="23175674" w:rsidR="00903497" w:rsidRDefault="00903497" w:rsidP="00903497">
      <w:pPr>
        <w:jc w:val="both"/>
        <w:rPr>
          <w:rFonts w:ascii="Times New Roman" w:eastAsia="Times New Roman" w:hAnsi="Times New Roman" w:cs="Times New Roman"/>
          <w:sz w:val="24"/>
          <w:szCs w:val="24"/>
        </w:rPr>
      </w:pPr>
      <w:r>
        <w:rPr>
          <w:rFonts w:ascii="Times New Roman" w:eastAsia="Times New Roman" w:hAnsi="Times New Roman" w:cs="Times New Roman"/>
          <w:b/>
          <w:sz w:val="24"/>
          <w:szCs w:val="24"/>
        </w:rPr>
        <w:t>Fig. 3</w:t>
      </w:r>
      <w:r>
        <w:rPr>
          <w:rFonts w:ascii="Times New Roman" w:eastAsia="Times New Roman" w:hAnsi="Times New Roman" w:cs="Times New Roman"/>
          <w:sz w:val="24"/>
          <w:szCs w:val="24"/>
        </w:rPr>
        <w:t>: Comparison among results generated with Riaz and MiFish primer sets to capture patterns in fish community composition. Displayed are results of a non-metric dimension scaling (NMDS) of datasets based on MiFish (</w:t>
      </w:r>
      <w:r>
        <w:rPr>
          <w:rFonts w:ascii="Times New Roman" w:eastAsia="Times New Roman" w:hAnsi="Times New Roman" w:cs="Times New Roman"/>
          <w:b/>
          <w:sz w:val="24"/>
          <w:szCs w:val="24"/>
        </w:rPr>
        <w:t>A</w:t>
      </w:r>
      <w:r>
        <w:rPr>
          <w:rFonts w:ascii="Times New Roman" w:eastAsia="Times New Roman" w:hAnsi="Times New Roman" w:cs="Times New Roman"/>
          <w:sz w:val="24"/>
          <w:szCs w:val="24"/>
        </w:rPr>
        <w:t>) and Riaz primers (</w:t>
      </w:r>
      <w:r>
        <w:rPr>
          <w:rFonts w:ascii="Times New Roman" w:eastAsia="Times New Roman" w:hAnsi="Times New Roman" w:cs="Times New Roman"/>
          <w:b/>
          <w:sz w:val="24"/>
          <w:szCs w:val="24"/>
        </w:rPr>
        <w:t>B</w:t>
      </w:r>
      <w:r>
        <w:rPr>
          <w:rFonts w:ascii="Times New Roman" w:eastAsia="Times New Roman" w:hAnsi="Times New Roman" w:cs="Times New Roman"/>
          <w:sz w:val="24"/>
          <w:szCs w:val="24"/>
        </w:rPr>
        <w:t xml:space="preserve">) reflecting similarity in community composition within specific environments. The relationship of community similarities obtained by the two primer sets is depicted in </w:t>
      </w:r>
      <w:r>
        <w:rPr>
          <w:rFonts w:ascii="Times New Roman" w:eastAsia="Times New Roman" w:hAnsi="Times New Roman" w:cs="Times New Roman"/>
          <w:b/>
          <w:sz w:val="24"/>
          <w:szCs w:val="24"/>
        </w:rPr>
        <w:t>C</w:t>
      </w:r>
      <w:r>
        <w:rPr>
          <w:rFonts w:ascii="Times New Roman" w:eastAsia="Times New Roman" w:hAnsi="Times New Roman" w:cs="Times New Roman"/>
          <w:sz w:val="24"/>
          <w:szCs w:val="24"/>
        </w:rPr>
        <w:t xml:space="preserve">, with the red line representing the prediction of a model 2 regression. In </w:t>
      </w:r>
      <w:r>
        <w:rPr>
          <w:rFonts w:ascii="Times New Roman" w:eastAsia="Times New Roman" w:hAnsi="Times New Roman" w:cs="Times New Roman"/>
          <w:b/>
          <w:sz w:val="24"/>
          <w:szCs w:val="24"/>
        </w:rPr>
        <w:t>D</w:t>
      </w:r>
      <w:r>
        <w:rPr>
          <w:rFonts w:ascii="Times New Roman" w:eastAsia="Times New Roman" w:hAnsi="Times New Roman" w:cs="Times New Roman"/>
          <w:sz w:val="24"/>
          <w:szCs w:val="24"/>
        </w:rPr>
        <w:t xml:space="preserve">, the number of genera in perciform and non-perciform fish are presented for both primer sets in a Venn-diagram. We chose these presentation as </w:t>
      </w:r>
      <w:r w:rsidR="00D17F4F">
        <w:rPr>
          <w:rFonts w:ascii="Times New Roman" w:eastAsia="Times New Roman" w:hAnsi="Times New Roman" w:cs="Times New Roman"/>
          <w:sz w:val="24"/>
          <w:szCs w:val="24"/>
        </w:rPr>
        <w:t>perciforms</w:t>
      </w:r>
      <w:r>
        <w:rPr>
          <w:rFonts w:ascii="Times New Roman" w:eastAsia="Times New Roman" w:hAnsi="Times New Roman" w:cs="Times New Roman"/>
          <w:sz w:val="24"/>
          <w:szCs w:val="24"/>
        </w:rPr>
        <w:t xml:space="preserve"> were better covered by MiFish and non-</w:t>
      </w:r>
      <w:r w:rsidR="00D17F4F">
        <w:rPr>
          <w:rFonts w:ascii="Times New Roman" w:eastAsia="Times New Roman" w:hAnsi="Times New Roman" w:cs="Times New Roman"/>
          <w:sz w:val="24"/>
          <w:szCs w:val="24"/>
        </w:rPr>
        <w:t>perciform</w:t>
      </w:r>
      <w:r>
        <w:rPr>
          <w:rFonts w:ascii="Times New Roman" w:eastAsia="Times New Roman" w:hAnsi="Times New Roman" w:cs="Times New Roman"/>
          <w:sz w:val="24"/>
          <w:szCs w:val="24"/>
        </w:rPr>
        <w:t xml:space="preserve"> were better covered by Riaz primers, highlighting primer-specific differences in group resolution.</w:t>
      </w:r>
    </w:p>
    <w:p w14:paraId="0A2322E0" w14:textId="77777777" w:rsidR="00903497" w:rsidRDefault="00903497" w:rsidP="00903497">
      <w:pPr>
        <w:jc w:val="both"/>
        <w:rPr>
          <w:rFonts w:ascii="Times New Roman" w:eastAsia="Times New Roman" w:hAnsi="Times New Roman" w:cs="Times New Roman"/>
          <w:sz w:val="24"/>
          <w:szCs w:val="24"/>
        </w:rPr>
      </w:pPr>
      <w:r>
        <w:rPr>
          <w:rFonts w:ascii="Times New Roman" w:eastAsia="Times New Roman" w:hAnsi="Times New Roman" w:cs="Times New Roman"/>
          <w:b/>
          <w:sz w:val="24"/>
          <w:szCs w:val="24"/>
        </w:rPr>
        <w:t>Fig. 4</w:t>
      </w:r>
      <w:r>
        <w:rPr>
          <w:rFonts w:ascii="Times New Roman" w:eastAsia="Times New Roman" w:hAnsi="Times New Roman" w:cs="Times New Roman"/>
          <w:sz w:val="24"/>
          <w:szCs w:val="24"/>
        </w:rPr>
        <w:t>: Heat map displaying differences in species occurrence in non-marine sites, in Inhambane bay, and in the most Southern part of the Mozambican coast (between the South African border and Maputo). Displayed are the 10 most abundant species (blue), species of high commercial interest (green), and threatened species (red). Abundant OTUs that were not assigned to species level are displayed with the lowest taxonomic resolution available.</w:t>
      </w:r>
    </w:p>
    <w:p w14:paraId="22A1AFE7" w14:textId="77777777" w:rsidR="00385784" w:rsidRDefault="00385784" w:rsidP="00385784">
      <w:pPr>
        <w:rPr>
          <w:rFonts w:ascii="Times New Roman" w:eastAsia="Times New Roman" w:hAnsi="Times New Roman" w:cs="Times New Roman"/>
          <w:sz w:val="24"/>
          <w:szCs w:val="24"/>
        </w:rPr>
      </w:pPr>
      <w:r>
        <w:rPr>
          <w:rFonts w:ascii="Times New Roman" w:eastAsia="Times New Roman" w:hAnsi="Times New Roman" w:cs="Times New Roman"/>
          <w:sz w:val="24"/>
          <w:szCs w:val="24"/>
        </w:rPr>
        <w:br w:type="page"/>
      </w:r>
    </w:p>
    <w:p w14:paraId="2FE5F58E" w14:textId="77777777" w:rsidR="00385784" w:rsidRDefault="00385784" w:rsidP="00385784">
      <w:pPr>
        <w:jc w:val="both"/>
      </w:pPr>
      <w:r>
        <w:rPr>
          <w:noProof/>
        </w:rPr>
        <w:lastRenderedPageBreak/>
        <w:drawing>
          <wp:inline distT="0" distB="0" distL="0" distR="0" wp14:anchorId="7DEA1DBC" wp14:editId="1983B713">
            <wp:extent cx="4248150" cy="3614420"/>
            <wp:effectExtent l="0" t="0" r="0" b="0"/>
            <wp:docPr id="2" name="image4.png"/>
            <wp:cNvGraphicFramePr/>
            <a:graphic xmlns:a="http://schemas.openxmlformats.org/drawingml/2006/main">
              <a:graphicData uri="http://schemas.openxmlformats.org/drawingml/2006/picture">
                <pic:pic xmlns:pic="http://schemas.openxmlformats.org/drawingml/2006/picture">
                  <pic:nvPicPr>
                    <pic:cNvPr id="2" name="image4.png"/>
                    <pic:cNvPicPr/>
                  </pic:nvPicPr>
                  <pic:blipFill>
                    <a:blip r:embed="rId8"/>
                    <a:srcRect/>
                    <a:stretch>
                      <a:fillRect/>
                    </a:stretch>
                  </pic:blipFill>
                  <pic:spPr>
                    <a:xfrm>
                      <a:off x="0" y="0"/>
                      <a:ext cx="4248150" cy="3614420"/>
                    </a:xfrm>
                    <a:prstGeom prst="rect">
                      <a:avLst/>
                    </a:prstGeom>
                    <a:ln/>
                  </pic:spPr>
                </pic:pic>
              </a:graphicData>
            </a:graphic>
          </wp:inline>
        </w:drawing>
      </w:r>
    </w:p>
    <w:p w14:paraId="240A0AC0" w14:textId="77777777" w:rsidR="00385784" w:rsidRDefault="00385784" w:rsidP="00385784">
      <w:pPr>
        <w:jc w:val="both"/>
      </w:pPr>
      <w:r>
        <w:t>Fig. 1</w:t>
      </w:r>
    </w:p>
    <w:p w14:paraId="304B2A23" w14:textId="77777777" w:rsidR="00385784" w:rsidRDefault="00385784" w:rsidP="00385784">
      <w:r>
        <w:br w:type="page"/>
      </w:r>
    </w:p>
    <w:p w14:paraId="4E9C5801" w14:textId="77777777" w:rsidR="00385784" w:rsidRDefault="00385784" w:rsidP="00385784"/>
    <w:p w14:paraId="5EE90FA7" w14:textId="77777777" w:rsidR="00385784" w:rsidRDefault="00385784" w:rsidP="00385784">
      <w:pPr>
        <w:jc w:val="both"/>
      </w:pPr>
      <w:r>
        <w:rPr>
          <w:noProof/>
        </w:rPr>
        <w:drawing>
          <wp:inline distT="0" distB="0" distL="0" distR="0" wp14:anchorId="6D131E74" wp14:editId="11843E15">
            <wp:extent cx="5760720" cy="453390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pic:cNvPicPr/>
                  </pic:nvPicPr>
                  <pic:blipFill rotWithShape="1">
                    <a:blip r:embed="rId9">
                      <a:extLst>
                        <a:ext uri="{28A0092B-C50C-407E-A947-70E740481C1C}">
                          <a14:useLocalDpi xmlns:a14="http://schemas.microsoft.com/office/drawing/2010/main" val="0"/>
                        </a:ext>
                      </a:extLst>
                    </a:blip>
                    <a:srcRect b="6410"/>
                    <a:stretch/>
                  </pic:blipFill>
                  <pic:spPr bwMode="auto">
                    <a:xfrm>
                      <a:off x="0" y="0"/>
                      <a:ext cx="5760720" cy="4533900"/>
                    </a:xfrm>
                    <a:prstGeom prst="rect">
                      <a:avLst/>
                    </a:prstGeom>
                    <a:ln>
                      <a:noFill/>
                    </a:ln>
                    <a:extLst>
                      <a:ext uri="{53640926-AAD7-44D8-BBD7-CCE9431645EC}">
                        <a14:shadowObscured xmlns:a14="http://schemas.microsoft.com/office/drawing/2010/main"/>
                      </a:ext>
                    </a:extLst>
                  </pic:spPr>
                </pic:pic>
              </a:graphicData>
            </a:graphic>
          </wp:inline>
        </w:drawing>
      </w:r>
    </w:p>
    <w:p w14:paraId="2E0A6C16" w14:textId="77777777" w:rsidR="00385784" w:rsidRDefault="00385784" w:rsidP="00385784">
      <w:pPr>
        <w:jc w:val="both"/>
      </w:pPr>
      <w:r>
        <w:t>Fig . 2</w:t>
      </w:r>
    </w:p>
    <w:p w14:paraId="60E1497A" w14:textId="77777777" w:rsidR="00385784" w:rsidRDefault="00385784" w:rsidP="00385784">
      <w:pPr>
        <w:jc w:val="both"/>
      </w:pPr>
      <w:r>
        <w:rPr>
          <w:noProof/>
        </w:rPr>
        <w:lastRenderedPageBreak/>
        <w:drawing>
          <wp:inline distT="0" distB="0" distL="0" distR="0" wp14:anchorId="194E5B83" wp14:editId="6E1966B0">
            <wp:extent cx="5760720" cy="500761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pic:cNvPicPr/>
                  </pic:nvPicPr>
                  <pic:blipFill>
                    <a:blip r:embed="rId10">
                      <a:extLst>
                        <a:ext uri="{28A0092B-C50C-407E-A947-70E740481C1C}">
                          <a14:useLocalDpi xmlns:a14="http://schemas.microsoft.com/office/drawing/2010/main" val="0"/>
                        </a:ext>
                      </a:extLst>
                    </a:blip>
                    <a:stretch>
                      <a:fillRect/>
                    </a:stretch>
                  </pic:blipFill>
                  <pic:spPr>
                    <a:xfrm>
                      <a:off x="0" y="0"/>
                      <a:ext cx="5760720" cy="5007610"/>
                    </a:xfrm>
                    <a:prstGeom prst="rect">
                      <a:avLst/>
                    </a:prstGeom>
                  </pic:spPr>
                </pic:pic>
              </a:graphicData>
            </a:graphic>
          </wp:inline>
        </w:drawing>
      </w:r>
    </w:p>
    <w:p w14:paraId="3DCCC415" w14:textId="77777777" w:rsidR="00385784" w:rsidRDefault="00385784" w:rsidP="00385784">
      <w:pPr>
        <w:jc w:val="both"/>
      </w:pPr>
      <w:r>
        <w:t>Fig. 3</w:t>
      </w:r>
    </w:p>
    <w:p w14:paraId="738B2FA5" w14:textId="77777777" w:rsidR="00385784" w:rsidRDefault="00385784" w:rsidP="00385784">
      <w:pPr>
        <w:jc w:val="both"/>
      </w:pPr>
    </w:p>
    <w:p w14:paraId="3DAFBADD" w14:textId="77777777" w:rsidR="00385784" w:rsidRDefault="00385784" w:rsidP="00385784">
      <w:pPr>
        <w:jc w:val="both"/>
      </w:pPr>
      <w:r>
        <w:rPr>
          <w:noProof/>
        </w:rPr>
        <w:lastRenderedPageBreak/>
        <w:drawing>
          <wp:inline distT="0" distB="0" distL="0" distR="0" wp14:anchorId="5F854D52" wp14:editId="17F42579">
            <wp:extent cx="3848100" cy="5790430"/>
            <wp:effectExtent l="0" t="0" r="0" b="127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11">
                      <a:extLst>
                        <a:ext uri="{28A0092B-C50C-407E-A947-70E740481C1C}">
                          <a14:useLocalDpi xmlns:a14="http://schemas.microsoft.com/office/drawing/2010/main" val="0"/>
                        </a:ext>
                      </a:extLst>
                    </a:blip>
                    <a:stretch>
                      <a:fillRect/>
                    </a:stretch>
                  </pic:blipFill>
                  <pic:spPr>
                    <a:xfrm>
                      <a:off x="0" y="0"/>
                      <a:ext cx="3851900" cy="5796147"/>
                    </a:xfrm>
                    <a:prstGeom prst="rect">
                      <a:avLst/>
                    </a:prstGeom>
                  </pic:spPr>
                </pic:pic>
              </a:graphicData>
            </a:graphic>
          </wp:inline>
        </w:drawing>
      </w:r>
    </w:p>
    <w:p w14:paraId="19A075BF" w14:textId="77777777" w:rsidR="00385784" w:rsidRDefault="00385784" w:rsidP="00385784">
      <w:pPr>
        <w:jc w:val="both"/>
      </w:pPr>
      <w:r>
        <w:t>Fig. 4</w:t>
      </w:r>
    </w:p>
    <w:p w14:paraId="2675DB4E" w14:textId="3C828CB4" w:rsidR="00AA054B" w:rsidRPr="00385784" w:rsidRDefault="00385784" w:rsidP="00385784">
      <w:pPr>
        <w:jc w:val="both"/>
        <w:rPr>
          <w:rFonts w:ascii="Times New Roman" w:eastAsia="Times New Roman" w:hAnsi="Times New Roman" w:cs="Times New Roman"/>
          <w:sz w:val="24"/>
          <w:szCs w:val="24"/>
        </w:rPr>
      </w:pPr>
      <w:r w:rsidRPr="00BC031C">
        <w:rPr>
          <w:rFonts w:ascii="Times New Roman" w:eastAsia="Times New Roman" w:hAnsi="Times New Roman" w:cs="Times New Roman"/>
          <w:b/>
          <w:noProof/>
          <w:sz w:val="24"/>
          <w:szCs w:val="24"/>
        </w:rPr>
        <w:lastRenderedPageBreak/>
        <mc:AlternateContent>
          <mc:Choice Requires="wps">
            <w:drawing>
              <wp:anchor distT="45720" distB="45720" distL="114300" distR="114300" simplePos="0" relativeHeight="251659264" behindDoc="0" locked="0" layoutInCell="1" allowOverlap="1" wp14:anchorId="0C4E4EE7" wp14:editId="0A05416E">
                <wp:simplePos x="0" y="0"/>
                <wp:positionH relativeFrom="margin">
                  <wp:align>right</wp:align>
                </wp:positionH>
                <wp:positionV relativeFrom="paragraph">
                  <wp:posOffset>0</wp:posOffset>
                </wp:positionV>
                <wp:extent cx="5727700" cy="9387840"/>
                <wp:effectExtent l="0" t="0" r="25400" b="2286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27700" cy="9387840"/>
                        </a:xfrm>
                        <a:prstGeom prst="rect">
                          <a:avLst/>
                        </a:prstGeom>
                        <a:solidFill>
                          <a:srgbClr val="FFFFFF"/>
                        </a:solidFill>
                        <a:ln w="9525">
                          <a:solidFill>
                            <a:srgbClr val="000000"/>
                          </a:solidFill>
                          <a:miter lim="800000"/>
                          <a:headEnd/>
                          <a:tailEnd/>
                        </a:ln>
                      </wps:spPr>
                      <wps:txbx>
                        <w:txbxContent>
                          <w:p w14:paraId="37222FA5" w14:textId="77777777" w:rsidR="00385784" w:rsidRPr="00293579" w:rsidRDefault="00385784" w:rsidP="00385784">
                            <w:pPr>
                              <w:spacing w:after="0" w:line="240" w:lineRule="auto"/>
                              <w:jc w:val="both"/>
                              <w:rPr>
                                <w:rFonts w:ascii="Times New Roman" w:eastAsia="Times New Roman" w:hAnsi="Times New Roman" w:cs="Times New Roman"/>
                                <w:sz w:val="24"/>
                                <w:szCs w:val="24"/>
                              </w:rPr>
                            </w:pPr>
                            <w:r w:rsidRPr="00293579">
                              <w:rPr>
                                <w:rFonts w:ascii="Times New Roman" w:eastAsia="Times New Roman" w:hAnsi="Times New Roman" w:cs="Times New Roman"/>
                                <w:b/>
                                <w:sz w:val="24"/>
                                <w:szCs w:val="24"/>
                              </w:rPr>
                              <w:t>Box 1</w:t>
                            </w:r>
                            <w:r w:rsidRPr="00293579">
                              <w:rPr>
                                <w:rFonts w:ascii="Times New Roman" w:eastAsia="Times New Roman" w:hAnsi="Times New Roman" w:cs="Times New Roman"/>
                                <w:sz w:val="24"/>
                                <w:szCs w:val="24"/>
                              </w:rPr>
                              <w:t xml:space="preserve">: The rapid development of eDNA-based technologies has led to the availability of multiple primer sets for individual taxonomic groups. Different primer sets are associated with specific advantages leading at times to substantial trade-offs in primer choice </w:t>
                            </w:r>
                            <w:hyperlink r:id="rId12">
                              <w:r w:rsidRPr="00293579">
                                <w:rPr>
                                  <w:rFonts w:ascii="Times New Roman" w:eastAsia="Times New Roman" w:hAnsi="Times New Roman" w:cs="Times New Roman"/>
                                  <w:sz w:val="24"/>
                                  <w:szCs w:val="24"/>
                                </w:rPr>
                                <w:t>(Alberdi et al., 2019)</w:t>
                              </w:r>
                            </w:hyperlink>
                            <w:r w:rsidRPr="00293579">
                              <w:rPr>
                                <w:rFonts w:ascii="Times New Roman" w:eastAsia="Times New Roman" w:hAnsi="Times New Roman" w:cs="Times New Roman"/>
                                <w:sz w:val="24"/>
                                <w:szCs w:val="24"/>
                              </w:rPr>
                              <w:t xml:space="preserve">. Although a combination of primers is often recommended to increase species coverage </w:t>
                            </w:r>
                            <w:hyperlink r:id="rId13">
                              <w:r w:rsidRPr="00293579">
                                <w:rPr>
                                  <w:rFonts w:ascii="Times New Roman" w:eastAsia="Times New Roman" w:hAnsi="Times New Roman" w:cs="Times New Roman"/>
                                  <w:sz w:val="24"/>
                                  <w:szCs w:val="24"/>
                                </w:rPr>
                                <w:t>(Blackman et al., 2021)</w:t>
                              </w:r>
                            </w:hyperlink>
                            <w:r w:rsidRPr="00293579">
                              <w:rPr>
                                <w:rFonts w:ascii="Times New Roman" w:eastAsia="Times New Roman" w:hAnsi="Times New Roman" w:cs="Times New Roman"/>
                                <w:sz w:val="24"/>
                                <w:szCs w:val="24"/>
                              </w:rPr>
                              <w:t>, the merging of resulting datasets is not trivial and standard procedures have not yet been developed. Caveats include systematic under- or overestimation of species richness, the distortion of relative abundance measures, and increased risk of contamination and sequencing errors (see SI for detailed discussion). These can be mitigated but not ultimately resolved, especially when reference databases are incomplete, and hence merging procedures need to be implemented with caution.</w:t>
                            </w:r>
                          </w:p>
                          <w:p w14:paraId="358AA8E1" w14:textId="77777777" w:rsidR="00385784" w:rsidRPr="00293579" w:rsidRDefault="00385784" w:rsidP="00385784">
                            <w:pPr>
                              <w:spacing w:after="120" w:line="240" w:lineRule="auto"/>
                              <w:ind w:firstLine="227"/>
                              <w:jc w:val="both"/>
                              <w:rPr>
                                <w:rFonts w:ascii="Times New Roman" w:eastAsia="Times New Roman" w:hAnsi="Times New Roman" w:cs="Times New Roman"/>
                                <w:sz w:val="24"/>
                                <w:szCs w:val="24"/>
                              </w:rPr>
                            </w:pPr>
                            <w:r w:rsidRPr="00293579">
                              <w:rPr>
                                <w:rFonts w:ascii="Times New Roman" w:eastAsia="Times New Roman" w:hAnsi="Times New Roman" w:cs="Times New Roman"/>
                                <w:sz w:val="24"/>
                                <w:szCs w:val="24"/>
                              </w:rPr>
                              <w:t xml:space="preserve">Nonetheless, the application of multiple assays and subsequent combination with data merging procedures can be an effective solution to resolve trade-offs in primer choice and improve the robustness of eDNA-based monitoring. The simplest data merging approach, which helps to decrease the risk of false negative results, is to include species that occur in either one of the datasets into a presence-absence matrix. However, such basic approaches are linked to potential inflation of species richness and result into the loss of relative abundance data. We developed here a more refined data-merging approach is based on the three simple procedures (Box Fig. 1). These rules are implemented separately for each sample and have the advantage to reduce the risk of false negative detections, result in more robust species richness estimates and allow to maintain relative abundance data </w:t>
                            </w:r>
                            <w:r>
                              <w:rPr>
                                <w:rFonts w:ascii="Times New Roman" w:eastAsia="Times New Roman" w:hAnsi="Times New Roman" w:cs="Times New Roman"/>
                                <w:sz w:val="24"/>
                                <w:szCs w:val="24"/>
                              </w:rPr>
                              <w:t>as basis for more detailed community assessments</w:t>
                            </w:r>
                            <w:r w:rsidRPr="00293579">
                              <w:rPr>
                                <w:rFonts w:ascii="Times New Roman" w:eastAsia="Times New Roman" w:hAnsi="Times New Roman" w:cs="Times New Roman"/>
                                <w:sz w:val="24"/>
                                <w:szCs w:val="24"/>
                              </w:rPr>
                              <w:t xml:space="preserve">. </w:t>
                            </w:r>
                          </w:p>
                          <w:p w14:paraId="237D94B6" w14:textId="77777777" w:rsidR="00385784" w:rsidRDefault="00385784" w:rsidP="00385784">
                            <w:pPr>
                              <w:spacing w:after="0" w:line="240" w:lineRule="auto"/>
                              <w:jc w:val="center"/>
                              <w:rPr>
                                <w:rFonts w:ascii="Times New Roman" w:hAnsi="Times New Roman" w:cs="Times New Roman"/>
                                <w:sz w:val="24"/>
                                <w:szCs w:val="24"/>
                              </w:rPr>
                            </w:pPr>
                            <w:r>
                              <w:rPr>
                                <w:rFonts w:ascii="Times New Roman" w:eastAsia="Times New Roman" w:hAnsi="Times New Roman" w:cs="Times New Roman"/>
                                <w:noProof/>
                                <w:sz w:val="24"/>
                                <w:szCs w:val="24"/>
                              </w:rPr>
                              <w:drawing>
                                <wp:inline distT="19050" distB="19050" distL="19050" distR="19050" wp14:anchorId="0A0CD61B" wp14:editId="297E7DA9">
                                  <wp:extent cx="5258118" cy="3027600"/>
                                  <wp:effectExtent l="0" t="0" r="0" b="0"/>
                                  <wp:docPr id="4"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4"/>
                                          <a:srcRect/>
                                          <a:stretch>
                                            <a:fillRect/>
                                          </a:stretch>
                                        </pic:blipFill>
                                        <pic:spPr>
                                          <a:xfrm>
                                            <a:off x="0" y="0"/>
                                            <a:ext cx="5258118" cy="3027600"/>
                                          </a:xfrm>
                                          <a:prstGeom prst="rect">
                                            <a:avLst/>
                                          </a:prstGeom>
                                          <a:ln w="9525">
                                            <a:noFill/>
                                            <a:prstDash val="solid"/>
                                          </a:ln>
                                        </pic:spPr>
                                      </pic:pic>
                                    </a:graphicData>
                                  </a:graphic>
                                </wp:inline>
                              </w:drawing>
                            </w:r>
                          </w:p>
                          <w:p w14:paraId="23BEBCD8" w14:textId="77777777" w:rsidR="00385784" w:rsidRPr="00293579" w:rsidRDefault="00385784" w:rsidP="00385784">
                            <w:pPr>
                              <w:spacing w:before="120" w:after="0" w:line="240" w:lineRule="auto"/>
                              <w:jc w:val="both"/>
                              <w:rPr>
                                <w:rFonts w:ascii="Times New Roman" w:hAnsi="Times New Roman" w:cs="Times New Roman"/>
                              </w:rPr>
                            </w:pPr>
                            <w:r w:rsidRPr="00293579">
                              <w:rPr>
                                <w:rFonts w:ascii="Times New Roman" w:eastAsia="Times New Roman" w:hAnsi="Times New Roman" w:cs="Times New Roman"/>
                                <w:b/>
                              </w:rPr>
                              <w:t>Box Fig. 1</w:t>
                            </w:r>
                            <w:r w:rsidRPr="00293579">
                              <w:rPr>
                                <w:rFonts w:ascii="Times New Roman" w:eastAsia="Times New Roman" w:hAnsi="Times New Roman" w:cs="Times New Roman"/>
                              </w:rPr>
                              <w:t>: Schematic overview of the merging procedure</w:t>
                            </w:r>
                            <w:r>
                              <w:rPr>
                                <w:rFonts w:ascii="Times New Roman" w:eastAsia="Times New Roman" w:hAnsi="Times New Roman" w:cs="Times New Roman"/>
                              </w:rPr>
                              <w:t xml:space="preserve"> developed in this study</w:t>
                            </w:r>
                            <w:r w:rsidRPr="00293579">
                              <w:rPr>
                                <w:rFonts w:ascii="Times New Roman" w:eastAsia="Times New Roman" w:hAnsi="Times New Roman" w:cs="Times New Roman"/>
                              </w:rPr>
                              <w:t xml:space="preserve">. Circles represent taxa, numbers below indicate the OTU counts for a taxon using MiFish (blue) and Riaz (yellow) primers. An example is provided where not all taxa were identified to species level. </w:t>
                            </w:r>
                            <w:r>
                              <w:rPr>
                                <w:rFonts w:ascii="Times New Roman" w:eastAsia="Times New Roman" w:hAnsi="Times New Roman" w:cs="Times New Roman"/>
                              </w:rPr>
                              <w:t>As first step</w:t>
                            </w:r>
                            <w:r w:rsidRPr="00293579">
                              <w:rPr>
                                <w:rFonts w:ascii="Times New Roman" w:eastAsia="Times New Roman" w:hAnsi="Times New Roman" w:cs="Times New Roman"/>
                              </w:rPr>
                              <w:t xml:space="preserve">, the dataset with a higher OTU count at the order level is used as the primary dataset and the respective OTUs are included in the merged dataset. Then, the secondary data set, which has a lower taxa count at the order level, is used to detect false negatives in the primary dataset. False negatives are identified as taxa that are present in both reference taxonomies but for the sample of interest only found in the secondary dataset (e.g. species 2, which is added to the merged dataset to prevent a false negative). An X </w:t>
                            </w:r>
                            <w:r>
                              <w:rPr>
                                <w:rFonts w:ascii="Times New Roman" w:eastAsia="Times New Roman" w:hAnsi="Times New Roman" w:cs="Times New Roman"/>
                              </w:rPr>
                              <w:t>signifies</w:t>
                            </w:r>
                            <w:r w:rsidRPr="00293579">
                              <w:rPr>
                                <w:rFonts w:ascii="Times New Roman" w:eastAsia="Times New Roman" w:hAnsi="Times New Roman" w:cs="Times New Roman"/>
                              </w:rPr>
                              <w:t xml:space="preserve"> that</w:t>
                            </w:r>
                            <w:r>
                              <w:rPr>
                                <w:rFonts w:ascii="Times New Roman" w:eastAsia="Times New Roman" w:hAnsi="Times New Roman" w:cs="Times New Roman"/>
                              </w:rPr>
                              <w:t xml:space="preserve"> a species</w:t>
                            </w:r>
                            <w:r w:rsidRPr="00293579">
                              <w:rPr>
                                <w:rFonts w:ascii="Times New Roman" w:eastAsia="Times New Roman" w:hAnsi="Times New Roman" w:cs="Times New Roman"/>
                              </w:rPr>
                              <w:t xml:space="preserve"> is missing in a reference taxonomy and hence in the example above no statement can be made about whether or not species 3 is a false negative. Finally, an additional control mechanism is implemented to detect false negatives based on the number of OTUs </w:t>
                            </w:r>
                            <w:r>
                              <w:rPr>
                                <w:rFonts w:ascii="Times New Roman" w:eastAsia="Times New Roman" w:hAnsi="Times New Roman" w:cs="Times New Roman"/>
                              </w:rPr>
                              <w:t>assigned</w:t>
                            </w:r>
                            <w:r w:rsidRPr="00293579">
                              <w:rPr>
                                <w:rFonts w:ascii="Times New Roman" w:eastAsia="Times New Roman" w:hAnsi="Times New Roman" w:cs="Times New Roman"/>
                              </w:rPr>
                              <w:t xml:space="preserve"> to a taxon. E.g., see genus 4: even though none of the OTUs are identified to species level, the secondary dataset contains more OTUs of that genus indicating again a false negative in the primary dataset. Further methodological details and an r-script for are provided in the SI.</w:t>
                            </w:r>
                          </w:p>
                          <w:p w14:paraId="675F832F" w14:textId="77777777" w:rsidR="00385784" w:rsidRDefault="00385784" w:rsidP="00385784">
                            <w:pPr>
                              <w:spacing w:after="0" w:line="240" w:lineRule="auto"/>
                              <w:rPr>
                                <w:rFonts w:ascii="Times New Roman" w:hAnsi="Times New Roman" w:cs="Times New Roman"/>
                                <w:sz w:val="24"/>
                                <w:szCs w:val="24"/>
                              </w:rPr>
                            </w:pPr>
                          </w:p>
                          <w:p w14:paraId="56387E4F" w14:textId="77777777" w:rsidR="00385784" w:rsidRDefault="00385784" w:rsidP="00385784">
                            <w:pPr>
                              <w:spacing w:after="0" w:line="240" w:lineRule="auto"/>
                              <w:rPr>
                                <w:rFonts w:ascii="Times New Roman" w:hAnsi="Times New Roman" w:cs="Times New Roman"/>
                                <w:sz w:val="24"/>
                                <w:szCs w:val="24"/>
                              </w:rPr>
                            </w:pPr>
                          </w:p>
                          <w:p w14:paraId="50528D8A" w14:textId="77777777" w:rsidR="00385784" w:rsidRPr="00BC031C" w:rsidRDefault="00385784" w:rsidP="00385784">
                            <w:pPr>
                              <w:spacing w:after="0" w:line="240" w:lineRule="auto"/>
                              <w:rPr>
                                <w:rFonts w:ascii="Times New Roman" w:hAnsi="Times New Roman" w:cs="Times New Roman"/>
                                <w:sz w:val="24"/>
                                <w:szCs w:val="24"/>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0C4E4EE7" id="_x0000_t202" coordsize="21600,21600" o:spt="202" path="m,l,21600r21600,l21600,xe">
                <v:stroke joinstyle="miter"/>
                <v:path gradientshapeok="t" o:connecttype="rect"/>
              </v:shapetype>
              <v:shape id="Text Box 2" o:spid="_x0000_s1026" type="#_x0000_t202" style="position:absolute;left:0;text-align:left;margin-left:399.8pt;margin-top:0;width:451pt;height:739.2pt;z-index:251659264;visibility:visible;mso-wrap-style:square;mso-width-percent:0;mso-height-percent:0;mso-wrap-distance-left:9pt;mso-wrap-distance-top:3.6pt;mso-wrap-distance-right:9pt;mso-wrap-distance-bottom:3.6pt;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">
                <v:textbox>
                  <w:txbxContent>
                    <w:p w14:paraId="37222FA5" w14:textId="77777777" w:rsidR="00385784" w:rsidRPr="00293579" w:rsidRDefault="00385784" w:rsidP="00385784">
                      <w:pPr>
                        <w:spacing w:after="0" w:line="240" w:lineRule="auto"/>
                        <w:jc w:val="both"/>
                        <w:rPr>
                          <w:rFonts w:ascii="Times New Roman" w:eastAsia="Times New Roman" w:hAnsi="Times New Roman" w:cs="Times New Roman"/>
                          <w:sz w:val="24"/>
                          <w:szCs w:val="24"/>
                        </w:rPr>
                      </w:pPr>
                      <w:r w:rsidRPr="00293579">
                        <w:rPr>
                          <w:rFonts w:ascii="Times New Roman" w:eastAsia="Times New Roman" w:hAnsi="Times New Roman" w:cs="Times New Roman"/>
                          <w:b/>
                          <w:sz w:val="24"/>
                          <w:szCs w:val="24"/>
                        </w:rPr>
                        <w:t>Box 1</w:t>
                      </w:r>
                      <w:r w:rsidRPr="00293579">
                        <w:rPr>
                          <w:rFonts w:ascii="Times New Roman" w:eastAsia="Times New Roman" w:hAnsi="Times New Roman" w:cs="Times New Roman"/>
                          <w:sz w:val="24"/>
                          <w:szCs w:val="24"/>
                        </w:rPr>
                        <w:t xml:space="preserve">: The rapid development of eDNA-based technologies has led to the availability of multiple primer sets for individual taxonomic groups. Different primer sets are associated with specific advantages leading at times to substantial trade-offs in primer choice </w:t>
                      </w:r>
                      <w:hyperlink r:id="rId15">
                        <w:r w:rsidRPr="00293579">
                          <w:rPr>
                            <w:rFonts w:ascii="Times New Roman" w:eastAsia="Times New Roman" w:hAnsi="Times New Roman" w:cs="Times New Roman"/>
                            <w:sz w:val="24"/>
                            <w:szCs w:val="24"/>
                          </w:rPr>
                          <w:t>(Alberdi et al., 2019)</w:t>
                        </w:r>
                      </w:hyperlink>
                      <w:r w:rsidRPr="00293579">
                        <w:rPr>
                          <w:rFonts w:ascii="Times New Roman" w:eastAsia="Times New Roman" w:hAnsi="Times New Roman" w:cs="Times New Roman"/>
                          <w:sz w:val="24"/>
                          <w:szCs w:val="24"/>
                        </w:rPr>
                        <w:t xml:space="preserve">. Although a combination of primers is often recommended to increase species coverage </w:t>
                      </w:r>
                      <w:hyperlink r:id="rId16">
                        <w:r w:rsidRPr="00293579">
                          <w:rPr>
                            <w:rFonts w:ascii="Times New Roman" w:eastAsia="Times New Roman" w:hAnsi="Times New Roman" w:cs="Times New Roman"/>
                            <w:sz w:val="24"/>
                            <w:szCs w:val="24"/>
                          </w:rPr>
                          <w:t>(Blackman et al., 2021)</w:t>
                        </w:r>
                      </w:hyperlink>
                      <w:r w:rsidRPr="00293579">
                        <w:rPr>
                          <w:rFonts w:ascii="Times New Roman" w:eastAsia="Times New Roman" w:hAnsi="Times New Roman" w:cs="Times New Roman"/>
                          <w:sz w:val="24"/>
                          <w:szCs w:val="24"/>
                        </w:rPr>
                        <w:t>, the merging of resulting datasets is not trivial and standard procedures have not yet been developed. Caveats include systematic under- or overestimation of species richness, the distortion of relative abundance measures, and increased risk of contamination and sequencing errors (see SI for detailed discussion). These can be mitigated but not ultimately resolved, especially when reference databases are incomplete, and hence merging procedures need to be implemented with caution.</w:t>
                      </w:r>
                    </w:p>
                    <w:p w14:paraId="358AA8E1" w14:textId="77777777" w:rsidR="00385784" w:rsidRPr="00293579" w:rsidRDefault="00385784" w:rsidP="00385784">
                      <w:pPr>
                        <w:spacing w:after="120" w:line="240" w:lineRule="auto"/>
                        <w:ind w:firstLine="227"/>
                        <w:jc w:val="both"/>
                        <w:rPr>
                          <w:rFonts w:ascii="Times New Roman" w:eastAsia="Times New Roman" w:hAnsi="Times New Roman" w:cs="Times New Roman"/>
                          <w:sz w:val="24"/>
                          <w:szCs w:val="24"/>
                        </w:rPr>
                      </w:pPr>
                      <w:r w:rsidRPr="00293579">
                        <w:rPr>
                          <w:rFonts w:ascii="Times New Roman" w:eastAsia="Times New Roman" w:hAnsi="Times New Roman" w:cs="Times New Roman"/>
                          <w:sz w:val="24"/>
                          <w:szCs w:val="24"/>
                        </w:rPr>
                        <w:t xml:space="preserve">Nonetheless, the application of multiple assays and subsequent combination with data merging procedures can be an effective solution to resolve trade-offs in primer choice and improve the robustness of eDNA-based monitoring. The simplest data merging approach, which helps to decrease the risk of false negative results, is to include species that occur in either one of the datasets into a presence-absence matrix. However, such basic approaches are linked to potential inflation of species richness and result into the loss of relative abundance data. We developed here a more refined data-merging approach is based on the three simple procedures (Box Fig. 1). These rules are implemented separately for each sample and have the advantage to reduce the risk of false negative detections, result in more robust species richness estimates and allow to maintain relative abundance data </w:t>
                      </w:r>
                      <w:r>
                        <w:rPr>
                          <w:rFonts w:ascii="Times New Roman" w:eastAsia="Times New Roman" w:hAnsi="Times New Roman" w:cs="Times New Roman"/>
                          <w:sz w:val="24"/>
                          <w:szCs w:val="24"/>
                        </w:rPr>
                        <w:t>as basis for more detailed community assessments</w:t>
                      </w:r>
                      <w:r w:rsidRPr="00293579">
                        <w:rPr>
                          <w:rFonts w:ascii="Times New Roman" w:eastAsia="Times New Roman" w:hAnsi="Times New Roman" w:cs="Times New Roman"/>
                          <w:sz w:val="24"/>
                          <w:szCs w:val="24"/>
                        </w:rPr>
                        <w:t xml:space="preserve">. </w:t>
                      </w:r>
                    </w:p>
                    <w:p w14:paraId="237D94B6" w14:textId="77777777" w:rsidR="00385784" w:rsidRDefault="00385784" w:rsidP="00385784">
                      <w:pPr>
                        <w:spacing w:after="0" w:line="240" w:lineRule="auto"/>
                        <w:jc w:val="center"/>
                        <w:rPr>
                          <w:rFonts w:ascii="Times New Roman" w:hAnsi="Times New Roman" w:cs="Times New Roman"/>
                          <w:sz w:val="24"/>
                          <w:szCs w:val="24"/>
                        </w:rPr>
                      </w:pPr>
                      <w:r>
                        <w:rPr>
                          <w:rFonts w:ascii="Times New Roman" w:eastAsia="Times New Roman" w:hAnsi="Times New Roman" w:cs="Times New Roman"/>
                          <w:noProof/>
                          <w:sz w:val="24"/>
                          <w:szCs w:val="24"/>
                        </w:rPr>
                        <w:drawing>
                          <wp:inline distT="19050" distB="19050" distL="19050" distR="19050" wp14:anchorId="0A0CD61B" wp14:editId="297E7DA9">
                            <wp:extent cx="5258118" cy="3027600"/>
                            <wp:effectExtent l="0" t="0" r="0" b="0"/>
                            <wp:docPr id="4"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4"/>
                                    <a:srcRect/>
                                    <a:stretch>
                                      <a:fillRect/>
                                    </a:stretch>
                                  </pic:blipFill>
                                  <pic:spPr>
                                    <a:xfrm>
                                      <a:off x="0" y="0"/>
                                      <a:ext cx="5258118" cy="3027600"/>
                                    </a:xfrm>
                                    <a:prstGeom prst="rect">
                                      <a:avLst/>
                                    </a:prstGeom>
                                    <a:ln w="9525">
                                      <a:noFill/>
                                      <a:prstDash val="solid"/>
                                    </a:ln>
                                  </pic:spPr>
                                </pic:pic>
                              </a:graphicData>
                            </a:graphic>
                          </wp:inline>
                        </w:drawing>
                      </w:r>
                    </w:p>
                    <w:p w14:paraId="23BEBCD8" w14:textId="77777777" w:rsidR="00385784" w:rsidRPr="00293579" w:rsidRDefault="00385784" w:rsidP="00385784">
                      <w:pPr>
                        <w:spacing w:before="120" w:after="0" w:line="240" w:lineRule="auto"/>
                        <w:jc w:val="both"/>
                        <w:rPr>
                          <w:rFonts w:ascii="Times New Roman" w:hAnsi="Times New Roman" w:cs="Times New Roman"/>
                        </w:rPr>
                      </w:pPr>
                      <w:r w:rsidRPr="00293579">
                        <w:rPr>
                          <w:rFonts w:ascii="Times New Roman" w:eastAsia="Times New Roman" w:hAnsi="Times New Roman" w:cs="Times New Roman"/>
                          <w:b/>
                        </w:rPr>
                        <w:t>Box Fig. 1</w:t>
                      </w:r>
                      <w:r w:rsidRPr="00293579">
                        <w:rPr>
                          <w:rFonts w:ascii="Times New Roman" w:eastAsia="Times New Roman" w:hAnsi="Times New Roman" w:cs="Times New Roman"/>
                        </w:rPr>
                        <w:t>: Schematic overview of the merging procedure</w:t>
                      </w:r>
                      <w:r>
                        <w:rPr>
                          <w:rFonts w:ascii="Times New Roman" w:eastAsia="Times New Roman" w:hAnsi="Times New Roman" w:cs="Times New Roman"/>
                        </w:rPr>
                        <w:t xml:space="preserve"> developed in this study</w:t>
                      </w:r>
                      <w:r w:rsidRPr="00293579">
                        <w:rPr>
                          <w:rFonts w:ascii="Times New Roman" w:eastAsia="Times New Roman" w:hAnsi="Times New Roman" w:cs="Times New Roman"/>
                        </w:rPr>
                        <w:t xml:space="preserve">. Circles represent taxa, numbers below indicate the OTU counts for a taxon using MiFish (blue) and Riaz (yellow) primers. An example is provided where not all taxa were identified to species level. </w:t>
                      </w:r>
                      <w:r>
                        <w:rPr>
                          <w:rFonts w:ascii="Times New Roman" w:eastAsia="Times New Roman" w:hAnsi="Times New Roman" w:cs="Times New Roman"/>
                        </w:rPr>
                        <w:t>As first step</w:t>
                      </w:r>
                      <w:r w:rsidRPr="00293579">
                        <w:rPr>
                          <w:rFonts w:ascii="Times New Roman" w:eastAsia="Times New Roman" w:hAnsi="Times New Roman" w:cs="Times New Roman"/>
                        </w:rPr>
                        <w:t xml:space="preserve">, the dataset with a higher OTU count at the order level is used as the primary dataset and the respective OTUs are included in the merged dataset. Then, the secondary data set, which has a lower taxa count at the order level, is used to detect false negatives in the primary dataset. False negatives are identified as taxa that are present in both reference taxonomies but for the sample of interest only found in the secondary dataset (e.g. species 2, which is added to the merged dataset to prevent a false negative). An X </w:t>
                      </w:r>
                      <w:r>
                        <w:rPr>
                          <w:rFonts w:ascii="Times New Roman" w:eastAsia="Times New Roman" w:hAnsi="Times New Roman" w:cs="Times New Roman"/>
                        </w:rPr>
                        <w:t>signifies</w:t>
                      </w:r>
                      <w:r w:rsidRPr="00293579">
                        <w:rPr>
                          <w:rFonts w:ascii="Times New Roman" w:eastAsia="Times New Roman" w:hAnsi="Times New Roman" w:cs="Times New Roman"/>
                        </w:rPr>
                        <w:t xml:space="preserve"> that</w:t>
                      </w:r>
                      <w:r>
                        <w:rPr>
                          <w:rFonts w:ascii="Times New Roman" w:eastAsia="Times New Roman" w:hAnsi="Times New Roman" w:cs="Times New Roman"/>
                        </w:rPr>
                        <w:t xml:space="preserve"> a species</w:t>
                      </w:r>
                      <w:r w:rsidRPr="00293579">
                        <w:rPr>
                          <w:rFonts w:ascii="Times New Roman" w:eastAsia="Times New Roman" w:hAnsi="Times New Roman" w:cs="Times New Roman"/>
                        </w:rPr>
                        <w:t xml:space="preserve"> is missing in a reference taxonomy and hence in the example above no statement can be made about whether or not species 3 is a false negative. Finally, an additional control mechanism is implemented to detect false negatives based on the number of OTUs </w:t>
                      </w:r>
                      <w:r>
                        <w:rPr>
                          <w:rFonts w:ascii="Times New Roman" w:eastAsia="Times New Roman" w:hAnsi="Times New Roman" w:cs="Times New Roman"/>
                        </w:rPr>
                        <w:t>assigned</w:t>
                      </w:r>
                      <w:r w:rsidRPr="00293579">
                        <w:rPr>
                          <w:rFonts w:ascii="Times New Roman" w:eastAsia="Times New Roman" w:hAnsi="Times New Roman" w:cs="Times New Roman"/>
                        </w:rPr>
                        <w:t xml:space="preserve"> to a taxon. E.g., see genus 4: even though none of the OTUs are identified to species level, the secondary dataset contains more OTUs of that genus indicating again a false negative in the primary dataset. Further methodological details and an r-script for are provided in the SI.</w:t>
                      </w:r>
                    </w:p>
                    <w:p w14:paraId="675F832F" w14:textId="77777777" w:rsidR="00385784" w:rsidRDefault="00385784" w:rsidP="00385784">
                      <w:pPr>
                        <w:spacing w:after="0" w:line="240" w:lineRule="auto"/>
                        <w:rPr>
                          <w:rFonts w:ascii="Times New Roman" w:hAnsi="Times New Roman" w:cs="Times New Roman"/>
                          <w:sz w:val="24"/>
                          <w:szCs w:val="24"/>
                        </w:rPr>
                      </w:pPr>
                    </w:p>
                    <w:p w14:paraId="56387E4F" w14:textId="77777777" w:rsidR="00385784" w:rsidRDefault="00385784" w:rsidP="00385784">
                      <w:pPr>
                        <w:spacing w:after="0" w:line="240" w:lineRule="auto"/>
                        <w:rPr>
                          <w:rFonts w:ascii="Times New Roman" w:hAnsi="Times New Roman" w:cs="Times New Roman"/>
                          <w:sz w:val="24"/>
                          <w:szCs w:val="24"/>
                        </w:rPr>
                      </w:pPr>
                    </w:p>
                    <w:p w14:paraId="50528D8A" w14:textId="77777777" w:rsidR="00385784" w:rsidRPr="00BC031C" w:rsidRDefault="00385784" w:rsidP="00385784">
                      <w:pPr>
                        <w:spacing w:after="0" w:line="240" w:lineRule="auto"/>
                        <w:rPr>
                          <w:rFonts w:ascii="Times New Roman" w:hAnsi="Times New Roman" w:cs="Times New Roman"/>
                          <w:sz w:val="24"/>
                          <w:szCs w:val="24"/>
                        </w:rPr>
                      </w:pPr>
                    </w:p>
                  </w:txbxContent>
                </v:textbox>
                <w10:wrap type="square" anchorx="margin"/>
              </v:shape>
            </w:pict>
          </mc:Fallback>
        </mc:AlternateContent>
      </w:r>
    </w:p>
    <w:sectPr w:rsidR="00AA054B" w:rsidRPr="00385784" w:rsidSect="00467FDF">
      <w:pgSz w:w="11906" w:h="16838"/>
      <w:pgMar w:top="1417" w:right="1417" w:bottom="1134" w:left="1417" w:header="708" w:footer="708" w:gutter="0"/>
      <w:lnNumType w:countBy="1" w:restart="continuous"/>
      <w:pgNumType w:start="1"/>
      <w:cols w:space="720"/>
      <w:docGrid w:linePitch="299"/>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A054B"/>
    <w:rsid w:val="00006294"/>
    <w:rsid w:val="000071C8"/>
    <w:rsid w:val="000123A9"/>
    <w:rsid w:val="00014FDF"/>
    <w:rsid w:val="000170AC"/>
    <w:rsid w:val="00017316"/>
    <w:rsid w:val="00047851"/>
    <w:rsid w:val="00053D91"/>
    <w:rsid w:val="00056824"/>
    <w:rsid w:val="00072285"/>
    <w:rsid w:val="00080533"/>
    <w:rsid w:val="00084C2D"/>
    <w:rsid w:val="00086F4C"/>
    <w:rsid w:val="00097F0B"/>
    <w:rsid w:val="000A047F"/>
    <w:rsid w:val="000A07FC"/>
    <w:rsid w:val="000E6126"/>
    <w:rsid w:val="000F6477"/>
    <w:rsid w:val="0010038C"/>
    <w:rsid w:val="00104139"/>
    <w:rsid w:val="00107E1D"/>
    <w:rsid w:val="00114766"/>
    <w:rsid w:val="00124799"/>
    <w:rsid w:val="00134824"/>
    <w:rsid w:val="00137721"/>
    <w:rsid w:val="00142845"/>
    <w:rsid w:val="001532F8"/>
    <w:rsid w:val="00166EC3"/>
    <w:rsid w:val="00173A62"/>
    <w:rsid w:val="00191770"/>
    <w:rsid w:val="00192E0E"/>
    <w:rsid w:val="00194C6D"/>
    <w:rsid w:val="00197E20"/>
    <w:rsid w:val="001B499F"/>
    <w:rsid w:val="001B584B"/>
    <w:rsid w:val="001C4C8E"/>
    <w:rsid w:val="001C6B72"/>
    <w:rsid w:val="001D4850"/>
    <w:rsid w:val="001E179F"/>
    <w:rsid w:val="001E3BE5"/>
    <w:rsid w:val="001F23D8"/>
    <w:rsid w:val="001F5104"/>
    <w:rsid w:val="001F57C0"/>
    <w:rsid w:val="001F6763"/>
    <w:rsid w:val="002055E0"/>
    <w:rsid w:val="00217A05"/>
    <w:rsid w:val="0022346A"/>
    <w:rsid w:val="00227681"/>
    <w:rsid w:val="0023309C"/>
    <w:rsid w:val="00242D33"/>
    <w:rsid w:val="002505EE"/>
    <w:rsid w:val="002510E8"/>
    <w:rsid w:val="00257A5C"/>
    <w:rsid w:val="00277280"/>
    <w:rsid w:val="00277A30"/>
    <w:rsid w:val="002D0559"/>
    <w:rsid w:val="002E10DC"/>
    <w:rsid w:val="002E19F3"/>
    <w:rsid w:val="002E3461"/>
    <w:rsid w:val="002E3EBA"/>
    <w:rsid w:val="002F54C8"/>
    <w:rsid w:val="00300DB5"/>
    <w:rsid w:val="003011F6"/>
    <w:rsid w:val="00301616"/>
    <w:rsid w:val="00303CBF"/>
    <w:rsid w:val="00316A7F"/>
    <w:rsid w:val="00323E91"/>
    <w:rsid w:val="0032748D"/>
    <w:rsid w:val="00327CDE"/>
    <w:rsid w:val="00333AAC"/>
    <w:rsid w:val="00336286"/>
    <w:rsid w:val="00342D6B"/>
    <w:rsid w:val="00345B64"/>
    <w:rsid w:val="0036591A"/>
    <w:rsid w:val="00381B29"/>
    <w:rsid w:val="00385784"/>
    <w:rsid w:val="0039414B"/>
    <w:rsid w:val="003B63D8"/>
    <w:rsid w:val="003B6945"/>
    <w:rsid w:val="003C2FD2"/>
    <w:rsid w:val="003D211E"/>
    <w:rsid w:val="0040177A"/>
    <w:rsid w:val="004044FC"/>
    <w:rsid w:val="00415040"/>
    <w:rsid w:val="0042085A"/>
    <w:rsid w:val="00423764"/>
    <w:rsid w:val="00441D19"/>
    <w:rsid w:val="0044663E"/>
    <w:rsid w:val="004559E2"/>
    <w:rsid w:val="0046184C"/>
    <w:rsid w:val="00462B1D"/>
    <w:rsid w:val="004675F5"/>
    <w:rsid w:val="00467FDF"/>
    <w:rsid w:val="00472A5B"/>
    <w:rsid w:val="00473178"/>
    <w:rsid w:val="00483BBB"/>
    <w:rsid w:val="00491777"/>
    <w:rsid w:val="004A5281"/>
    <w:rsid w:val="004A6867"/>
    <w:rsid w:val="004C7DF8"/>
    <w:rsid w:val="004E1A4E"/>
    <w:rsid w:val="004E2C71"/>
    <w:rsid w:val="004E3D44"/>
    <w:rsid w:val="004E4966"/>
    <w:rsid w:val="004F434A"/>
    <w:rsid w:val="00517E6C"/>
    <w:rsid w:val="00521A0D"/>
    <w:rsid w:val="00523265"/>
    <w:rsid w:val="00525114"/>
    <w:rsid w:val="005346C6"/>
    <w:rsid w:val="00547BF7"/>
    <w:rsid w:val="00552A52"/>
    <w:rsid w:val="005610BE"/>
    <w:rsid w:val="0057032C"/>
    <w:rsid w:val="00573B55"/>
    <w:rsid w:val="00582DD0"/>
    <w:rsid w:val="00587F46"/>
    <w:rsid w:val="00591528"/>
    <w:rsid w:val="005A5ED0"/>
    <w:rsid w:val="005B1867"/>
    <w:rsid w:val="005B52FB"/>
    <w:rsid w:val="005C08E4"/>
    <w:rsid w:val="005C1CB8"/>
    <w:rsid w:val="005D2C28"/>
    <w:rsid w:val="005D5CF8"/>
    <w:rsid w:val="005F6859"/>
    <w:rsid w:val="006033DC"/>
    <w:rsid w:val="006044DF"/>
    <w:rsid w:val="006105B8"/>
    <w:rsid w:val="00617238"/>
    <w:rsid w:val="006203A6"/>
    <w:rsid w:val="00635169"/>
    <w:rsid w:val="00637DF5"/>
    <w:rsid w:val="00647415"/>
    <w:rsid w:val="00653DEB"/>
    <w:rsid w:val="00661272"/>
    <w:rsid w:val="00674093"/>
    <w:rsid w:val="006809FF"/>
    <w:rsid w:val="00683311"/>
    <w:rsid w:val="00687516"/>
    <w:rsid w:val="00687890"/>
    <w:rsid w:val="00691EF0"/>
    <w:rsid w:val="00697862"/>
    <w:rsid w:val="006B1FC1"/>
    <w:rsid w:val="006C7B63"/>
    <w:rsid w:val="006C7F8F"/>
    <w:rsid w:val="006D165A"/>
    <w:rsid w:val="006E4AB2"/>
    <w:rsid w:val="006E66FE"/>
    <w:rsid w:val="006E6BC1"/>
    <w:rsid w:val="006F2AF1"/>
    <w:rsid w:val="006F3434"/>
    <w:rsid w:val="006F4492"/>
    <w:rsid w:val="006F6E49"/>
    <w:rsid w:val="0070298D"/>
    <w:rsid w:val="007101E8"/>
    <w:rsid w:val="00725BED"/>
    <w:rsid w:val="00730125"/>
    <w:rsid w:val="00735C45"/>
    <w:rsid w:val="0075737B"/>
    <w:rsid w:val="00773E58"/>
    <w:rsid w:val="007819F4"/>
    <w:rsid w:val="00784150"/>
    <w:rsid w:val="00784E00"/>
    <w:rsid w:val="00785400"/>
    <w:rsid w:val="007919D4"/>
    <w:rsid w:val="007B3775"/>
    <w:rsid w:val="007B6685"/>
    <w:rsid w:val="007C594F"/>
    <w:rsid w:val="007D2BEC"/>
    <w:rsid w:val="007E74C4"/>
    <w:rsid w:val="007F44FE"/>
    <w:rsid w:val="00816AE0"/>
    <w:rsid w:val="008268F1"/>
    <w:rsid w:val="00833F7E"/>
    <w:rsid w:val="00841F21"/>
    <w:rsid w:val="008458AD"/>
    <w:rsid w:val="008560B3"/>
    <w:rsid w:val="00860824"/>
    <w:rsid w:val="008636FC"/>
    <w:rsid w:val="008743A1"/>
    <w:rsid w:val="00874D6B"/>
    <w:rsid w:val="00875D39"/>
    <w:rsid w:val="008976E5"/>
    <w:rsid w:val="008B50A6"/>
    <w:rsid w:val="008B6AA8"/>
    <w:rsid w:val="008C6415"/>
    <w:rsid w:val="008D42FF"/>
    <w:rsid w:val="008D671F"/>
    <w:rsid w:val="008E2413"/>
    <w:rsid w:val="008E5EDD"/>
    <w:rsid w:val="008E7FA0"/>
    <w:rsid w:val="00900C65"/>
    <w:rsid w:val="00903497"/>
    <w:rsid w:val="00906924"/>
    <w:rsid w:val="00911212"/>
    <w:rsid w:val="00914ED0"/>
    <w:rsid w:val="00917714"/>
    <w:rsid w:val="009238C8"/>
    <w:rsid w:val="009358FF"/>
    <w:rsid w:val="009407CE"/>
    <w:rsid w:val="00951C8D"/>
    <w:rsid w:val="009534D0"/>
    <w:rsid w:val="00966E90"/>
    <w:rsid w:val="009770AB"/>
    <w:rsid w:val="00977C5B"/>
    <w:rsid w:val="009822BA"/>
    <w:rsid w:val="009839BE"/>
    <w:rsid w:val="0099311C"/>
    <w:rsid w:val="009932C5"/>
    <w:rsid w:val="00994538"/>
    <w:rsid w:val="009962A9"/>
    <w:rsid w:val="009A29CD"/>
    <w:rsid w:val="009B59E3"/>
    <w:rsid w:val="009E3B5E"/>
    <w:rsid w:val="009F05AF"/>
    <w:rsid w:val="009F3AB1"/>
    <w:rsid w:val="00A04EBC"/>
    <w:rsid w:val="00A2118E"/>
    <w:rsid w:val="00A23272"/>
    <w:rsid w:val="00A24D43"/>
    <w:rsid w:val="00A278C2"/>
    <w:rsid w:val="00A43EB0"/>
    <w:rsid w:val="00A458D0"/>
    <w:rsid w:val="00A71F85"/>
    <w:rsid w:val="00A76E79"/>
    <w:rsid w:val="00A8175D"/>
    <w:rsid w:val="00A837CE"/>
    <w:rsid w:val="00AA054B"/>
    <w:rsid w:val="00AD53E0"/>
    <w:rsid w:val="00AE2A05"/>
    <w:rsid w:val="00B13928"/>
    <w:rsid w:val="00B152BA"/>
    <w:rsid w:val="00B2673B"/>
    <w:rsid w:val="00B313D2"/>
    <w:rsid w:val="00B319BA"/>
    <w:rsid w:val="00B31B11"/>
    <w:rsid w:val="00B34FD3"/>
    <w:rsid w:val="00B52FF2"/>
    <w:rsid w:val="00B82C30"/>
    <w:rsid w:val="00B83421"/>
    <w:rsid w:val="00B9476F"/>
    <w:rsid w:val="00BC031C"/>
    <w:rsid w:val="00BD390C"/>
    <w:rsid w:val="00BD48C7"/>
    <w:rsid w:val="00BD4BEC"/>
    <w:rsid w:val="00BF3F58"/>
    <w:rsid w:val="00C03385"/>
    <w:rsid w:val="00C233D8"/>
    <w:rsid w:val="00C30E37"/>
    <w:rsid w:val="00C31628"/>
    <w:rsid w:val="00C43156"/>
    <w:rsid w:val="00C53127"/>
    <w:rsid w:val="00C57429"/>
    <w:rsid w:val="00C76094"/>
    <w:rsid w:val="00C76994"/>
    <w:rsid w:val="00C776E4"/>
    <w:rsid w:val="00C8088C"/>
    <w:rsid w:val="00C82026"/>
    <w:rsid w:val="00C8611D"/>
    <w:rsid w:val="00CB1EFC"/>
    <w:rsid w:val="00CB3FF7"/>
    <w:rsid w:val="00CB5117"/>
    <w:rsid w:val="00CC6962"/>
    <w:rsid w:val="00CF5149"/>
    <w:rsid w:val="00D15412"/>
    <w:rsid w:val="00D17F4F"/>
    <w:rsid w:val="00D26BDF"/>
    <w:rsid w:val="00D27541"/>
    <w:rsid w:val="00D31FC4"/>
    <w:rsid w:val="00D321FD"/>
    <w:rsid w:val="00D4292C"/>
    <w:rsid w:val="00D5153E"/>
    <w:rsid w:val="00D77152"/>
    <w:rsid w:val="00D97B47"/>
    <w:rsid w:val="00DA2DD7"/>
    <w:rsid w:val="00DA4C91"/>
    <w:rsid w:val="00DA5A8D"/>
    <w:rsid w:val="00DB263B"/>
    <w:rsid w:val="00DB461F"/>
    <w:rsid w:val="00DB4C60"/>
    <w:rsid w:val="00DC3884"/>
    <w:rsid w:val="00DD047B"/>
    <w:rsid w:val="00DD1C12"/>
    <w:rsid w:val="00DE6931"/>
    <w:rsid w:val="00E01262"/>
    <w:rsid w:val="00E01380"/>
    <w:rsid w:val="00E02D3F"/>
    <w:rsid w:val="00E35A90"/>
    <w:rsid w:val="00E470D6"/>
    <w:rsid w:val="00E61DF7"/>
    <w:rsid w:val="00E67779"/>
    <w:rsid w:val="00E9149F"/>
    <w:rsid w:val="00EA2354"/>
    <w:rsid w:val="00EA6742"/>
    <w:rsid w:val="00EB3F65"/>
    <w:rsid w:val="00EC7864"/>
    <w:rsid w:val="00ED2D76"/>
    <w:rsid w:val="00ED798B"/>
    <w:rsid w:val="00EE186B"/>
    <w:rsid w:val="00EE356C"/>
    <w:rsid w:val="00EE4568"/>
    <w:rsid w:val="00EF798E"/>
    <w:rsid w:val="00F011D7"/>
    <w:rsid w:val="00F2094B"/>
    <w:rsid w:val="00F210D7"/>
    <w:rsid w:val="00F25904"/>
    <w:rsid w:val="00F30796"/>
    <w:rsid w:val="00F37B9A"/>
    <w:rsid w:val="00F50830"/>
    <w:rsid w:val="00F50E9D"/>
    <w:rsid w:val="00F545B8"/>
    <w:rsid w:val="00F6383E"/>
    <w:rsid w:val="00F66885"/>
    <w:rsid w:val="00F704CE"/>
    <w:rsid w:val="00F718CC"/>
    <w:rsid w:val="00F73939"/>
    <w:rsid w:val="00F73BE2"/>
    <w:rsid w:val="00F87816"/>
    <w:rsid w:val="00F937C2"/>
    <w:rsid w:val="00F95C4C"/>
    <w:rsid w:val="00FA7372"/>
    <w:rsid w:val="00FC452F"/>
    <w:rsid w:val="00FD038B"/>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FCC8E43"/>
  <w15:docId w15:val="{F15A72C3-57D0-4E7F-A49A-95C0775B206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Calibri"/>
        <w:sz w:val="22"/>
        <w:szCs w:val="22"/>
        <w:lang w:val="en-GB" w:eastAsia="en-GB"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itre1">
    <w:name w:val="heading 1"/>
    <w:basedOn w:val="Normal"/>
    <w:next w:val="Normal"/>
    <w:uiPriority w:val="9"/>
    <w:qFormat/>
    <w:pPr>
      <w:spacing w:line="240" w:lineRule="auto"/>
      <w:outlineLvl w:val="0"/>
    </w:pPr>
    <w:rPr>
      <w:rFonts w:ascii="Times New Roman" w:eastAsia="Times New Roman" w:hAnsi="Times New Roman" w:cs="Times New Roman"/>
      <w:b/>
      <w:sz w:val="48"/>
      <w:szCs w:val="48"/>
    </w:rPr>
  </w:style>
  <w:style w:type="paragraph" w:styleId="Titre2">
    <w:name w:val="heading 2"/>
    <w:basedOn w:val="Normal"/>
    <w:next w:val="Normal"/>
    <w:uiPriority w:val="9"/>
    <w:semiHidden/>
    <w:unhideWhenUsed/>
    <w:qFormat/>
    <w:pPr>
      <w:keepNext/>
      <w:keepLines/>
      <w:spacing w:before="40" w:after="0"/>
      <w:outlineLvl w:val="1"/>
    </w:pPr>
    <w:rPr>
      <w:color w:val="2F5496"/>
      <w:sz w:val="26"/>
      <w:szCs w:val="26"/>
    </w:rPr>
  </w:style>
  <w:style w:type="paragraph" w:styleId="Titre3">
    <w:name w:val="heading 3"/>
    <w:basedOn w:val="Normal"/>
    <w:next w:val="Normal"/>
    <w:uiPriority w:val="9"/>
    <w:semiHidden/>
    <w:unhideWhenUsed/>
    <w:qFormat/>
    <w:pPr>
      <w:keepNext/>
      <w:keepLines/>
      <w:spacing w:before="40" w:after="0"/>
      <w:outlineLvl w:val="2"/>
    </w:pPr>
    <w:rPr>
      <w:color w:val="1F3863"/>
      <w:sz w:val="24"/>
      <w:szCs w:val="24"/>
    </w:rPr>
  </w:style>
  <w:style w:type="paragraph" w:styleId="Titre4">
    <w:name w:val="heading 4"/>
    <w:basedOn w:val="Normal"/>
    <w:next w:val="Normal"/>
    <w:uiPriority w:val="9"/>
    <w:semiHidden/>
    <w:unhideWhenUsed/>
    <w:qFormat/>
    <w:pPr>
      <w:keepNext/>
      <w:keepLines/>
      <w:spacing w:before="240" w:after="40"/>
      <w:outlineLvl w:val="3"/>
    </w:pPr>
    <w:rPr>
      <w:b/>
      <w:sz w:val="24"/>
      <w:szCs w:val="24"/>
    </w:rPr>
  </w:style>
  <w:style w:type="paragraph" w:styleId="Titre5">
    <w:name w:val="heading 5"/>
    <w:basedOn w:val="Normal"/>
    <w:next w:val="Normal"/>
    <w:uiPriority w:val="9"/>
    <w:semiHidden/>
    <w:unhideWhenUsed/>
    <w:qFormat/>
    <w:pPr>
      <w:keepNext/>
      <w:keepLines/>
      <w:spacing w:before="220" w:after="40"/>
      <w:outlineLvl w:val="4"/>
    </w:pPr>
    <w:rPr>
      <w:b/>
    </w:rPr>
  </w:style>
  <w:style w:type="paragraph" w:styleId="Titre6">
    <w:name w:val="heading 6"/>
    <w:basedOn w:val="Normal"/>
    <w:next w:val="Normal"/>
    <w:uiPriority w:val="9"/>
    <w:semiHidden/>
    <w:unhideWhenUsed/>
    <w:qFormat/>
    <w:pPr>
      <w:keepNext/>
      <w:keepLines/>
      <w:spacing w:before="200" w:after="40"/>
      <w:outlineLvl w:val="5"/>
    </w:pPr>
    <w:rPr>
      <w:b/>
      <w:sz w:val="20"/>
      <w:szCs w:val="20"/>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Titre">
    <w:name w:val="Title"/>
    <w:basedOn w:val="Normal"/>
    <w:next w:val="Normal"/>
    <w:uiPriority w:val="10"/>
    <w:qFormat/>
    <w:pPr>
      <w:keepNext/>
      <w:keepLines/>
      <w:spacing w:before="480" w:after="120"/>
    </w:pPr>
    <w:rPr>
      <w:b/>
      <w:sz w:val="72"/>
      <w:szCs w:val="72"/>
    </w:rPr>
  </w:style>
  <w:style w:type="paragraph" w:styleId="Sous-titr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paragraph" w:styleId="Commentaire">
    <w:name w:val="annotation text"/>
    <w:basedOn w:val="Normal"/>
    <w:link w:val="CommentaireCar"/>
    <w:uiPriority w:val="99"/>
    <w:semiHidden/>
    <w:unhideWhenUsed/>
    <w:pPr>
      <w:spacing w:line="240" w:lineRule="auto"/>
    </w:pPr>
    <w:rPr>
      <w:sz w:val="20"/>
      <w:szCs w:val="20"/>
    </w:rPr>
  </w:style>
  <w:style w:type="character" w:customStyle="1" w:styleId="CommentaireCar">
    <w:name w:val="Commentaire Car"/>
    <w:basedOn w:val="Policepardfaut"/>
    <w:link w:val="Commentaire"/>
    <w:uiPriority w:val="99"/>
    <w:semiHidden/>
    <w:rPr>
      <w:sz w:val="20"/>
      <w:szCs w:val="20"/>
    </w:rPr>
  </w:style>
  <w:style w:type="character" w:styleId="Marquedecommentaire">
    <w:name w:val="annotation reference"/>
    <w:basedOn w:val="Policepardfaut"/>
    <w:uiPriority w:val="99"/>
    <w:semiHidden/>
    <w:unhideWhenUsed/>
    <w:rPr>
      <w:sz w:val="16"/>
      <w:szCs w:val="16"/>
    </w:rPr>
  </w:style>
  <w:style w:type="paragraph" w:styleId="Objetducommentaire">
    <w:name w:val="annotation subject"/>
    <w:basedOn w:val="Commentaire"/>
    <w:next w:val="Commentaire"/>
    <w:link w:val="ObjetducommentaireCar"/>
    <w:uiPriority w:val="99"/>
    <w:semiHidden/>
    <w:unhideWhenUsed/>
    <w:rsid w:val="00784150"/>
    <w:rPr>
      <w:b/>
      <w:bCs/>
    </w:rPr>
  </w:style>
  <w:style w:type="character" w:customStyle="1" w:styleId="ObjetducommentaireCar">
    <w:name w:val="Objet du commentaire Car"/>
    <w:basedOn w:val="CommentaireCar"/>
    <w:link w:val="Objetducommentaire"/>
    <w:uiPriority w:val="99"/>
    <w:semiHidden/>
    <w:rsid w:val="00784150"/>
    <w:rPr>
      <w:b/>
      <w:bCs/>
      <w:sz w:val="20"/>
      <w:szCs w:val="20"/>
    </w:rPr>
  </w:style>
  <w:style w:type="paragraph" w:customStyle="1" w:styleId="articletext">
    <w:name w:val="article__text"/>
    <w:basedOn w:val="Normal"/>
    <w:rsid w:val="00784150"/>
    <w:pPr>
      <w:spacing w:before="100" w:beforeAutospacing="1" w:after="100" w:afterAutospacing="1" w:line="240" w:lineRule="auto"/>
    </w:pPr>
    <w:rPr>
      <w:rFonts w:ascii="Times New Roman" w:eastAsia="Times New Roman" w:hAnsi="Times New Roman" w:cs="Times New Roman"/>
      <w:sz w:val="24"/>
      <w:szCs w:val="24"/>
    </w:rPr>
  </w:style>
  <w:style w:type="character" w:styleId="Accentuation">
    <w:name w:val="Emphasis"/>
    <w:basedOn w:val="Policepardfaut"/>
    <w:uiPriority w:val="20"/>
    <w:qFormat/>
    <w:rsid w:val="00784150"/>
    <w:rPr>
      <w:i/>
      <w:iCs/>
    </w:rPr>
  </w:style>
  <w:style w:type="character" w:styleId="Lienhypertexte">
    <w:name w:val="Hyperlink"/>
    <w:basedOn w:val="Policepardfaut"/>
    <w:uiPriority w:val="99"/>
    <w:unhideWhenUsed/>
    <w:rsid w:val="0046184C"/>
    <w:rPr>
      <w:color w:val="0000FF" w:themeColor="hyperlink"/>
      <w:u w:val="single"/>
    </w:rPr>
  </w:style>
  <w:style w:type="character" w:styleId="Mentionnonrsolue">
    <w:name w:val="Unresolved Mention"/>
    <w:basedOn w:val="Policepardfaut"/>
    <w:uiPriority w:val="99"/>
    <w:semiHidden/>
    <w:unhideWhenUsed/>
    <w:rsid w:val="0046184C"/>
    <w:rPr>
      <w:color w:val="605E5C"/>
      <w:shd w:val="clear" w:color="auto" w:fill="E1DFDD"/>
    </w:rPr>
  </w:style>
  <w:style w:type="paragraph" w:styleId="Rvision">
    <w:name w:val="Revision"/>
    <w:hidden/>
    <w:uiPriority w:val="99"/>
    <w:semiHidden/>
    <w:rsid w:val="00080533"/>
    <w:pPr>
      <w:spacing w:after="0" w:line="240" w:lineRule="auto"/>
    </w:pPr>
  </w:style>
  <w:style w:type="character" w:styleId="Numrodeligne">
    <w:name w:val="line number"/>
    <w:basedOn w:val="Policepardfaut"/>
    <w:uiPriority w:val="99"/>
    <w:semiHidden/>
    <w:unhideWhenUsed/>
    <w:rsid w:val="00467FDF"/>
  </w:style>
  <w:style w:type="paragraph" w:styleId="Bibliographie">
    <w:name w:val="Bibliography"/>
    <w:basedOn w:val="Normal"/>
    <w:next w:val="Normal"/>
    <w:uiPriority w:val="37"/>
    <w:unhideWhenUsed/>
    <w:rsid w:val="00D17F4F"/>
    <w:pPr>
      <w:spacing w:after="0" w:line="480" w:lineRule="auto"/>
      <w:ind w:left="720" w:hanging="72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49915874">
      <w:bodyDiv w:val="1"/>
      <w:marLeft w:val="0"/>
      <w:marRight w:val="0"/>
      <w:marTop w:val="0"/>
      <w:marBottom w:val="0"/>
      <w:divBdr>
        <w:top w:val="none" w:sz="0" w:space="0" w:color="auto"/>
        <w:left w:val="none" w:sz="0" w:space="0" w:color="auto"/>
        <w:bottom w:val="none" w:sz="0" w:space="0" w:color="auto"/>
        <w:right w:val="none" w:sz="0" w:space="0" w:color="auto"/>
      </w:divBdr>
    </w:div>
    <w:div w:id="474756692">
      <w:bodyDiv w:val="1"/>
      <w:marLeft w:val="0"/>
      <w:marRight w:val="0"/>
      <w:marTop w:val="0"/>
      <w:marBottom w:val="0"/>
      <w:divBdr>
        <w:top w:val="none" w:sz="0" w:space="0" w:color="auto"/>
        <w:left w:val="none" w:sz="0" w:space="0" w:color="auto"/>
        <w:bottom w:val="none" w:sz="0" w:space="0" w:color="auto"/>
        <w:right w:val="none" w:sz="0" w:space="0" w:color="auto"/>
      </w:divBdr>
    </w:div>
    <w:div w:id="475681834">
      <w:bodyDiv w:val="1"/>
      <w:marLeft w:val="0"/>
      <w:marRight w:val="0"/>
      <w:marTop w:val="0"/>
      <w:marBottom w:val="0"/>
      <w:divBdr>
        <w:top w:val="none" w:sz="0" w:space="0" w:color="auto"/>
        <w:left w:val="none" w:sz="0" w:space="0" w:color="auto"/>
        <w:bottom w:val="none" w:sz="0" w:space="0" w:color="auto"/>
        <w:right w:val="none" w:sz="0" w:space="0" w:color="auto"/>
      </w:divBdr>
    </w:div>
    <w:div w:id="589311032">
      <w:bodyDiv w:val="1"/>
      <w:marLeft w:val="0"/>
      <w:marRight w:val="0"/>
      <w:marTop w:val="0"/>
      <w:marBottom w:val="0"/>
      <w:divBdr>
        <w:top w:val="none" w:sz="0" w:space="0" w:color="auto"/>
        <w:left w:val="none" w:sz="0" w:space="0" w:color="auto"/>
        <w:bottom w:val="none" w:sz="0" w:space="0" w:color="auto"/>
        <w:right w:val="none" w:sz="0" w:space="0" w:color="auto"/>
      </w:divBdr>
    </w:div>
    <w:div w:id="635642235">
      <w:bodyDiv w:val="1"/>
      <w:marLeft w:val="0"/>
      <w:marRight w:val="0"/>
      <w:marTop w:val="0"/>
      <w:marBottom w:val="0"/>
      <w:divBdr>
        <w:top w:val="none" w:sz="0" w:space="0" w:color="auto"/>
        <w:left w:val="none" w:sz="0" w:space="0" w:color="auto"/>
        <w:bottom w:val="none" w:sz="0" w:space="0" w:color="auto"/>
        <w:right w:val="none" w:sz="0" w:space="0" w:color="auto"/>
      </w:divBdr>
    </w:div>
    <w:div w:id="760755230">
      <w:bodyDiv w:val="1"/>
      <w:marLeft w:val="0"/>
      <w:marRight w:val="0"/>
      <w:marTop w:val="0"/>
      <w:marBottom w:val="0"/>
      <w:divBdr>
        <w:top w:val="none" w:sz="0" w:space="0" w:color="auto"/>
        <w:left w:val="none" w:sz="0" w:space="0" w:color="auto"/>
        <w:bottom w:val="none" w:sz="0" w:space="0" w:color="auto"/>
        <w:right w:val="none" w:sz="0" w:space="0" w:color="auto"/>
      </w:divBdr>
    </w:div>
    <w:div w:id="862092238">
      <w:bodyDiv w:val="1"/>
      <w:marLeft w:val="0"/>
      <w:marRight w:val="0"/>
      <w:marTop w:val="0"/>
      <w:marBottom w:val="0"/>
      <w:divBdr>
        <w:top w:val="none" w:sz="0" w:space="0" w:color="auto"/>
        <w:left w:val="none" w:sz="0" w:space="0" w:color="auto"/>
        <w:bottom w:val="none" w:sz="0" w:space="0" w:color="auto"/>
        <w:right w:val="none" w:sz="0" w:space="0" w:color="auto"/>
      </w:divBdr>
    </w:div>
    <w:div w:id="1043024269">
      <w:bodyDiv w:val="1"/>
      <w:marLeft w:val="0"/>
      <w:marRight w:val="0"/>
      <w:marTop w:val="0"/>
      <w:marBottom w:val="0"/>
      <w:divBdr>
        <w:top w:val="none" w:sz="0" w:space="0" w:color="auto"/>
        <w:left w:val="none" w:sz="0" w:space="0" w:color="auto"/>
        <w:bottom w:val="none" w:sz="0" w:space="0" w:color="auto"/>
        <w:right w:val="none" w:sz="0" w:space="0" w:color="auto"/>
      </w:divBdr>
    </w:div>
    <w:div w:id="1127553072">
      <w:bodyDiv w:val="1"/>
      <w:marLeft w:val="0"/>
      <w:marRight w:val="0"/>
      <w:marTop w:val="0"/>
      <w:marBottom w:val="0"/>
      <w:divBdr>
        <w:top w:val="none" w:sz="0" w:space="0" w:color="auto"/>
        <w:left w:val="none" w:sz="0" w:space="0" w:color="auto"/>
        <w:bottom w:val="none" w:sz="0" w:space="0" w:color="auto"/>
        <w:right w:val="none" w:sz="0" w:space="0" w:color="auto"/>
      </w:divBdr>
    </w:div>
    <w:div w:id="1318920948">
      <w:bodyDiv w:val="1"/>
      <w:marLeft w:val="0"/>
      <w:marRight w:val="0"/>
      <w:marTop w:val="0"/>
      <w:marBottom w:val="0"/>
      <w:divBdr>
        <w:top w:val="none" w:sz="0" w:space="0" w:color="auto"/>
        <w:left w:val="none" w:sz="0" w:space="0" w:color="auto"/>
        <w:bottom w:val="none" w:sz="0" w:space="0" w:color="auto"/>
        <w:right w:val="none" w:sz="0" w:space="0" w:color="auto"/>
      </w:divBdr>
    </w:div>
    <w:div w:id="1324505672">
      <w:bodyDiv w:val="1"/>
      <w:marLeft w:val="0"/>
      <w:marRight w:val="0"/>
      <w:marTop w:val="0"/>
      <w:marBottom w:val="0"/>
      <w:divBdr>
        <w:top w:val="none" w:sz="0" w:space="0" w:color="auto"/>
        <w:left w:val="none" w:sz="0" w:space="0" w:color="auto"/>
        <w:bottom w:val="none" w:sz="0" w:space="0" w:color="auto"/>
        <w:right w:val="none" w:sz="0" w:space="0" w:color="auto"/>
      </w:divBdr>
    </w:div>
    <w:div w:id="1729259258">
      <w:bodyDiv w:val="1"/>
      <w:marLeft w:val="0"/>
      <w:marRight w:val="0"/>
      <w:marTop w:val="0"/>
      <w:marBottom w:val="0"/>
      <w:divBdr>
        <w:top w:val="none" w:sz="0" w:space="0" w:color="auto"/>
        <w:left w:val="none" w:sz="0" w:space="0" w:color="auto"/>
        <w:bottom w:val="none" w:sz="0" w:space="0" w:color="auto"/>
        <w:right w:val="none" w:sz="0" w:space="0" w:color="auto"/>
      </w:divBdr>
    </w:div>
    <w:div w:id="1736588906">
      <w:bodyDiv w:val="1"/>
      <w:marLeft w:val="0"/>
      <w:marRight w:val="0"/>
      <w:marTop w:val="0"/>
      <w:marBottom w:val="0"/>
      <w:divBdr>
        <w:top w:val="none" w:sz="0" w:space="0" w:color="auto"/>
        <w:left w:val="none" w:sz="0" w:space="0" w:color="auto"/>
        <w:bottom w:val="none" w:sz="0" w:space="0" w:color="auto"/>
        <w:right w:val="none" w:sz="0" w:space="0" w:color="auto"/>
      </w:divBdr>
    </w:div>
    <w:div w:id="1768887592">
      <w:bodyDiv w:val="1"/>
      <w:marLeft w:val="0"/>
      <w:marRight w:val="0"/>
      <w:marTop w:val="0"/>
      <w:marBottom w:val="0"/>
      <w:divBdr>
        <w:top w:val="none" w:sz="0" w:space="0" w:color="auto"/>
        <w:left w:val="none" w:sz="0" w:space="0" w:color="auto"/>
        <w:bottom w:val="none" w:sz="0" w:space="0" w:color="auto"/>
        <w:right w:val="none" w:sz="0" w:space="0" w:color="auto"/>
      </w:divBdr>
    </w:div>
    <w:div w:id="1804234185">
      <w:bodyDiv w:val="1"/>
      <w:marLeft w:val="0"/>
      <w:marRight w:val="0"/>
      <w:marTop w:val="0"/>
      <w:marBottom w:val="0"/>
      <w:divBdr>
        <w:top w:val="none" w:sz="0" w:space="0" w:color="auto"/>
        <w:left w:val="none" w:sz="0" w:space="0" w:color="auto"/>
        <w:bottom w:val="none" w:sz="0" w:space="0" w:color="auto"/>
        <w:right w:val="none" w:sz="0" w:space="0" w:color="auto"/>
      </w:divBdr>
    </w:div>
    <w:div w:id="1807163854">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www.zotero.org/google-docs/?TcrVbj" TargetMode="External"/><Relationship Id="rId18"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hyperlink" Target="https://www.zotero.org/google-docs/?NBLlMg" TargetMode="External"/><Relationship Id="rId12" Type="http://schemas.openxmlformats.org/officeDocument/2006/relationships/hyperlink" Target="https://www.zotero.org/google-docs/?TJkolm" TargetMode="External"/><Relationship Id="rId17" Type="http://schemas.openxmlformats.org/officeDocument/2006/relationships/fontTable" Target="fontTable.xml"/><Relationship Id="rId2" Type="http://schemas.openxmlformats.org/officeDocument/2006/relationships/settings" Target="settings.xml"/><Relationship Id="rId16" Type="http://schemas.openxmlformats.org/officeDocument/2006/relationships/hyperlink" Target="https://www.zotero.org/google-docs/?TcrVbj" TargetMode="External"/><Relationship Id="rId1" Type="http://schemas.openxmlformats.org/officeDocument/2006/relationships/styles" Target="styles.xml"/><Relationship Id="rId6" Type="http://schemas.openxmlformats.org/officeDocument/2006/relationships/hyperlink" Target="https://orcid.org/0000-0003-1215-2987" TargetMode="External"/><Relationship Id="rId11" Type="http://schemas.openxmlformats.org/officeDocument/2006/relationships/image" Target="media/image4.png"/><Relationship Id="rId5" Type="http://schemas.openxmlformats.org/officeDocument/2006/relationships/hyperlink" Target="mailto:quentin.mauvisseau@gmail.com" TargetMode="External"/><Relationship Id="rId15" Type="http://schemas.openxmlformats.org/officeDocument/2006/relationships/hyperlink" Target="https://www.zotero.org/google-docs/?TJkolm" TargetMode="External"/><Relationship Id="rId10" Type="http://schemas.openxmlformats.org/officeDocument/2006/relationships/image" Target="media/image3.png"/><Relationship Id="rId4" Type="http://schemas.openxmlformats.org/officeDocument/2006/relationships/hyperlink" Target="mailto:flinserl@hotmail.com" TargetMode="External"/><Relationship Id="rId9" Type="http://schemas.openxmlformats.org/officeDocument/2006/relationships/image" Target="media/image2.png"/><Relationship Id="rId14" Type="http://schemas.openxmlformats.org/officeDocument/2006/relationships/image" Target="media/image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1456</TotalTime>
  <Pages>34</Pages>
  <Words>34859</Words>
  <Characters>198697</Characters>
  <Application>Microsoft Office Word</Application>
  <DocSecurity>0</DocSecurity>
  <Lines>1655</Lines>
  <Paragraphs>466</Paragraphs>
  <ScaleCrop>false</ScaleCrop>
  <HeadingPairs>
    <vt:vector size="4" baseType="variant">
      <vt:variant>
        <vt:lpstr>Titre</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233090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Alfred Burian</dc:creator>
  <cp:lastModifiedBy>Quentin Mauvisseau</cp:lastModifiedBy>
  <cp:revision>34</cp:revision>
  <dcterms:created xsi:type="dcterms:W3CDTF">2022-06-02T11:08:00Z</dcterms:created>
  <dcterms:modified xsi:type="dcterms:W3CDTF">2022-06-22T15:05:00Z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ZOTERO_PREF_1">
    <vt:lpwstr>&lt;data data-version="3" zotero-version="5.0.96.3"&gt;&lt;session id="PIGIR7sp"/&gt;&lt;style id="http://www.zotero.org/styles/molecular-ecology" hasBibliography="1" bibliographyStyleHasBeenSet="1"/&gt;&lt;prefs&gt;&lt;pref name="fieldType" value="Field"/&gt;&lt;pref name="automaticJour</vt:lpwstr>
  </property>
  <property fmtid="{D5CDD505-2E9C-101B-9397-08002B2CF9AE}" pid="3" name="ZOTERO_PREF_2">
    <vt:lpwstr>nalAbbreviations" value="true"/&gt;&lt;/prefs&gt;&lt;/data&gt;</vt:lpwstr>
  </property>
</Properties>
</file>