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30F40D" w14:textId="77777777" w:rsidR="007B149A" w:rsidRDefault="000E054D">
      <w:pPr>
        <w:pStyle w:val="Heading1"/>
        <w:spacing w:line="360" w:lineRule="auto"/>
      </w:pPr>
      <w:bookmarkStart w:id="0" w:name="1fob9te" w:colFirst="0" w:colLast="0"/>
      <w:bookmarkEnd w:id="0"/>
      <w:r>
        <w:t>Abstract</w:t>
      </w:r>
    </w:p>
    <w:p w14:paraId="2330F40E" w14:textId="77777777" w:rsidR="007B149A" w:rsidRDefault="000E054D">
      <w:pPr>
        <w:numPr>
          <w:ilvl w:val="0"/>
          <w:numId w:val="1"/>
        </w:numPr>
        <w:pBdr>
          <w:top w:val="nil"/>
          <w:left w:val="nil"/>
          <w:bottom w:val="nil"/>
          <w:right w:val="nil"/>
          <w:between w:val="nil"/>
        </w:pBdr>
        <w:spacing w:before="180" w:after="0" w:line="360" w:lineRule="auto"/>
      </w:pPr>
      <w:r>
        <w:rPr>
          <w:color w:val="000000"/>
        </w:rPr>
        <w:t xml:space="preserve">Classic evolutionary theory suggests that sexual dimorphism evolves primarily via sexual and fecundity selection. However, theory and evidence </w:t>
      </w:r>
      <w:proofErr w:type="gramStart"/>
      <w:r>
        <w:rPr>
          <w:color w:val="000000"/>
        </w:rPr>
        <w:t>is</w:t>
      </w:r>
      <w:proofErr w:type="gramEnd"/>
      <w:r>
        <w:rPr>
          <w:color w:val="000000"/>
        </w:rPr>
        <w:t xml:space="preserve"> beginning to accumulate suggesting that resource competition can drive the evolution of sexual dimorphism, </w:t>
      </w:r>
      <w:r>
        <w:t>via</w:t>
      </w:r>
      <w:r>
        <w:rPr>
          <w:color w:val="000000"/>
        </w:rPr>
        <w:t xml:space="preserve"> ecological character displacement between sexes. A key prediction of </w:t>
      </w:r>
      <w:r>
        <w:t>this</w:t>
      </w:r>
      <w:r>
        <w:rPr>
          <w:color w:val="000000"/>
        </w:rPr>
        <w:t xml:space="preserve"> hypothesis is that the extent of ecological divergence between sexes will be associated with the extent of sexual dimorphism. </w:t>
      </w:r>
    </w:p>
    <w:p w14:paraId="2330F40F" w14:textId="77777777" w:rsidR="007B149A" w:rsidRDefault="000E054D">
      <w:pPr>
        <w:numPr>
          <w:ilvl w:val="0"/>
          <w:numId w:val="1"/>
        </w:numPr>
        <w:pBdr>
          <w:top w:val="nil"/>
          <w:left w:val="nil"/>
          <w:bottom w:val="nil"/>
          <w:right w:val="nil"/>
          <w:between w:val="nil"/>
        </w:pBdr>
        <w:spacing w:after="0" w:line="360" w:lineRule="auto"/>
      </w:pPr>
      <w:r>
        <w:rPr>
          <w:color w:val="000000"/>
        </w:rPr>
        <w:t xml:space="preserve">As the stable isotope ratios of animal tissues provide a quantitative measure of various aspects of ecology, we carried out a meta-analysis examining associations between the extent of isotopic divergence between sexes and the extent of body size dimorphism. </w:t>
      </w:r>
      <w:proofErr w:type="gramStart"/>
      <w:r>
        <w:t xml:space="preserve">Our </w:t>
      </w:r>
      <w:r>
        <w:rPr>
          <w:color w:val="000000"/>
        </w:rPr>
        <w:t xml:space="preserve"> models</w:t>
      </w:r>
      <w:proofErr w:type="gramEnd"/>
      <w:r>
        <w:rPr>
          <w:color w:val="000000"/>
        </w:rPr>
        <w:t xml:space="preserve"> demonstrat</w:t>
      </w:r>
      <w:r>
        <w:t>e</w:t>
      </w:r>
      <w:r>
        <w:rPr>
          <w:color w:val="000000"/>
        </w:rPr>
        <w:t xml:space="preserve"> that large amounts of between-study variation in isotopic (ecological) divergence between sexes is due to systematic heterogeneity, </w:t>
      </w:r>
      <w:r>
        <w:t>which</w:t>
      </w:r>
      <w:r>
        <w:rPr>
          <w:color w:val="000000"/>
        </w:rPr>
        <w:t xml:space="preserve"> may be associated with the traits of study subjects. We then completed meta-regressions to examine whether the extent of isotopic divergence between sexes is associated with the extent of sexual size dimorphism. </w:t>
      </w:r>
    </w:p>
    <w:p w14:paraId="2330F410" w14:textId="77777777" w:rsidR="007B149A" w:rsidRDefault="000E054D">
      <w:pPr>
        <w:numPr>
          <w:ilvl w:val="0"/>
          <w:numId w:val="1"/>
        </w:numPr>
        <w:pBdr>
          <w:top w:val="nil"/>
          <w:left w:val="nil"/>
          <w:bottom w:val="nil"/>
          <w:right w:val="nil"/>
          <w:between w:val="nil"/>
        </w:pBdr>
        <w:spacing w:after="0" w:line="360" w:lineRule="auto"/>
      </w:pPr>
      <w:r>
        <w:t>We</w:t>
      </w:r>
      <w:r>
        <w:rPr>
          <w:color w:val="000000"/>
        </w:rPr>
        <w:t xml:space="preserve"> found a modest but significan</w:t>
      </w:r>
      <w:r>
        <w:t xml:space="preserve">tly </w:t>
      </w:r>
      <w:r>
        <w:rPr>
          <w:color w:val="000000"/>
        </w:rPr>
        <w:t xml:space="preserve">positive association between size dimorphism and sex differences in trophic level. Furthermore, the strength of this positive association varied between ecological contexts, increasing in species whose diets provide the greatest scope for trophic variation and in those for which body size is of greater relevance to feeding. </w:t>
      </w:r>
    </w:p>
    <w:p w14:paraId="2330F411" w14:textId="10BA3BC1" w:rsidR="007B149A" w:rsidRPr="001E4422" w:rsidRDefault="000E054D">
      <w:pPr>
        <w:numPr>
          <w:ilvl w:val="0"/>
          <w:numId w:val="1"/>
        </w:numPr>
        <w:pBdr>
          <w:top w:val="nil"/>
          <w:left w:val="nil"/>
          <w:bottom w:val="nil"/>
          <w:right w:val="nil"/>
          <w:between w:val="nil"/>
        </w:pBdr>
        <w:spacing w:after="180" w:line="360" w:lineRule="auto"/>
      </w:pPr>
      <w:r>
        <w:rPr>
          <w:color w:val="000000"/>
        </w:rPr>
        <w:t>Our results therefore provide further evidence that ecologically mediated selection, unrelated to reproduction, can contribute to the evolution of sexual dimorphism.</w:t>
      </w:r>
    </w:p>
    <w:p w14:paraId="221FA9D0" w14:textId="77777777" w:rsidR="001E4422" w:rsidRDefault="001E4422" w:rsidP="001E4422">
      <w:pPr>
        <w:pStyle w:val="Heading2"/>
        <w:spacing w:line="360" w:lineRule="auto"/>
      </w:pPr>
      <w:r>
        <w:t>Keywords:</w:t>
      </w:r>
    </w:p>
    <w:p w14:paraId="33C252CD" w14:textId="4AE0F4E0" w:rsidR="001E4422" w:rsidRDefault="001E4422" w:rsidP="001E4422">
      <w:pPr>
        <w:pBdr>
          <w:top w:val="nil"/>
          <w:left w:val="nil"/>
          <w:bottom w:val="nil"/>
          <w:right w:val="nil"/>
          <w:between w:val="nil"/>
        </w:pBdr>
        <w:spacing w:before="180" w:after="180" w:line="360" w:lineRule="auto"/>
        <w:rPr>
          <w:color w:val="000000"/>
        </w:rPr>
      </w:pPr>
      <w:r>
        <w:t xml:space="preserve">disruptive selection, </w:t>
      </w:r>
      <w:r>
        <w:rPr>
          <w:color w:val="000000"/>
        </w:rPr>
        <w:t xml:space="preserve">ecological character displacement, </w:t>
      </w:r>
      <w:r>
        <w:t xml:space="preserve">evolution, </w:t>
      </w:r>
      <w:r>
        <w:rPr>
          <w:color w:val="000000"/>
        </w:rPr>
        <w:t xml:space="preserve">resource competition, </w:t>
      </w:r>
      <w:r>
        <w:t xml:space="preserve">sexual dimorphism, </w:t>
      </w:r>
      <w:r>
        <w:rPr>
          <w:color w:val="000000"/>
        </w:rPr>
        <w:t>sexual selection</w:t>
      </w:r>
    </w:p>
    <w:p w14:paraId="53930DFD" w14:textId="77777777" w:rsidR="001E4422" w:rsidRDefault="001E4422" w:rsidP="001E4422">
      <w:pPr>
        <w:pBdr>
          <w:top w:val="nil"/>
          <w:left w:val="nil"/>
          <w:bottom w:val="nil"/>
          <w:right w:val="nil"/>
          <w:between w:val="nil"/>
        </w:pBdr>
        <w:spacing w:after="180" w:line="360" w:lineRule="auto"/>
        <w:ind w:left="360"/>
      </w:pPr>
    </w:p>
    <w:p w14:paraId="2330F414" w14:textId="77777777" w:rsidR="007B149A" w:rsidRDefault="000E054D">
      <w:pPr>
        <w:pStyle w:val="Heading1"/>
        <w:spacing w:line="360" w:lineRule="auto"/>
      </w:pPr>
      <w:bookmarkStart w:id="1" w:name="3znysh7" w:colFirst="0" w:colLast="0"/>
      <w:bookmarkStart w:id="2" w:name="2et92p0" w:colFirst="0" w:colLast="0"/>
      <w:bookmarkEnd w:id="1"/>
      <w:bookmarkEnd w:id="2"/>
      <w:r>
        <w:lastRenderedPageBreak/>
        <w:t>Introduction</w:t>
      </w:r>
    </w:p>
    <w:p w14:paraId="2330F415" w14:textId="77777777" w:rsidR="007B149A" w:rsidRDefault="000E054D">
      <w:pPr>
        <w:pStyle w:val="Heading2"/>
        <w:spacing w:line="360" w:lineRule="auto"/>
      </w:pPr>
      <w:bookmarkStart w:id="3" w:name="tyjcwt" w:colFirst="0" w:colLast="0"/>
      <w:bookmarkEnd w:id="3"/>
      <w:r>
        <w:t>Evolutionary Theory</w:t>
      </w:r>
    </w:p>
    <w:p w14:paraId="2330F416"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 Classic evolutionary theory posits that anisogamy, or variation between males and females in gametic investment, causes sex differences in optimum life history and reproductive strategy (Andersson 1994; Lehtonen et al. 2016). Evolution towards these sex specific optima ultimately produces phenotypic differences between males and females, known as sexual dimorphism (Parker and Pizzari 2015). One frequently observed sex difference is sexual size dimorphism, in which the mean body size of one sex exceeds that of the other (Fairbairn et al. 2007). Size dimorphism is typically predicted to arise via sexual selection when the reproductive success of one sex is limited by mating opportunities, and large size allows individuals of that sex to increase their matings. For example, the biggest male southern elephant seals (</w:t>
      </w:r>
      <w:r>
        <w:rPr>
          <w:i/>
          <w:color w:val="000000"/>
        </w:rPr>
        <w:t>Mirounga angustirostris</w:t>
      </w:r>
      <w:r>
        <w:rPr>
          <w:color w:val="000000"/>
        </w:rPr>
        <w:t>) are best able to monopolize females at breeding colonies (Le Boeuf et al. 2019). Alternatively, or additionally, size dimorphism may be favored by fecundity selection, when one sex’s reproductive success is limited by gamete production and gamete production relates to body size, such as in emydid turtles (Emydidae), in which larger females produce more eggs and are therefore more fecund (Stephens and Wiens 2009). It is this traditional view, that size dimorphism is primarily attributable to reproductive differences, which is best evidenced and dominates scientific literature and consensus (Blanckenhorn 2005).</w:t>
      </w:r>
    </w:p>
    <w:p w14:paraId="2330F417"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However, as far back as Darwin’s discussions of their “habits of life” (Darwin 1871, p.254), authors have noted that sexual dimorphisms can relate not only to each sex’s reproductive success, but also to their respective ecologies (Temeles 2000; Shine and Goiran 2021; Wasiljew et al. 2021). Divergence of the sexes along various biotic and abiotic niche axes (e.g., temperature, diet, habitat) should facilitate intersex niche partitioning, which may covary with sexual dimorphism in traits relevant to ecology (Herrel et al. 1999; Butler et al. 2007). For example, in the seabird </w:t>
      </w:r>
      <w:r>
        <w:rPr>
          <w:i/>
          <w:color w:val="000000"/>
        </w:rPr>
        <w:t>Sula nebouxii</w:t>
      </w:r>
      <w:r>
        <w:rPr>
          <w:i/>
        </w:rPr>
        <w:t>,</w:t>
      </w:r>
      <w:r>
        <w:rPr>
          <w:color w:val="000000"/>
        </w:rPr>
        <w:t xml:space="preserve"> larger females dive deeper and feed on larger prey than their male counterparts (Zavalaga et al. 2007). Theoretical work suggests that such ecological sexual dimorphisms can arise solely from ecologically mediated </w:t>
      </w:r>
      <w:proofErr w:type="gramStart"/>
      <w:r>
        <w:rPr>
          <w:color w:val="000000"/>
        </w:rPr>
        <w:t>natural selection, if</w:t>
      </w:r>
      <w:proofErr w:type="gramEnd"/>
      <w:r>
        <w:rPr>
          <w:color w:val="000000"/>
        </w:rPr>
        <w:t xml:space="preserve"> frequency </w:t>
      </w:r>
      <w:r>
        <w:rPr>
          <w:color w:val="000000"/>
        </w:rPr>
        <w:lastRenderedPageBreak/>
        <w:t>dependent competition for a resource produces disruptive selection. Under these circumstances, the sexes could evolve towards distinct phenotypes, which maximize resource acquisition, by facilitating divergence along niche axes (Slatkin 1984). This process of ecological character displacement between sexes is analogous to that between nascent species and offers an alternative evolutionary outcome to frequency-dependent resource competition (Bolnick and Doebeli 2003).</w:t>
      </w:r>
    </w:p>
    <w:p w14:paraId="2330F418" w14:textId="77777777" w:rsidR="007B149A" w:rsidRDefault="000E054D">
      <w:pPr>
        <w:pBdr>
          <w:top w:val="nil"/>
          <w:left w:val="nil"/>
          <w:bottom w:val="nil"/>
          <w:right w:val="nil"/>
          <w:between w:val="nil"/>
        </w:pBdr>
        <w:spacing w:before="180" w:after="180" w:line="360" w:lineRule="auto"/>
        <w:rPr>
          <w:color w:val="000000"/>
        </w:rPr>
      </w:pPr>
      <w:r>
        <w:rPr>
          <w:color w:val="000000"/>
        </w:rPr>
        <w:t>The ecological character displacement hypothesis for sexual dimorphism is perhaps best evidenced by a series of experiments by de Lisle and Rowe (2015), in which male and female salamanders (</w:t>
      </w:r>
      <w:r>
        <w:rPr>
          <w:i/>
          <w:color w:val="000000"/>
        </w:rPr>
        <w:t>Notophthalmus viridescens</w:t>
      </w:r>
      <w:r>
        <w:rPr>
          <w:color w:val="000000"/>
        </w:rPr>
        <w:t>) were placed in semi-natural mesocosms, at various competitor densities. In this species, sexual dimorphism in body size and feeding morphology corresponds to sex differences in diet and microhabitat. In de Lisle and Rowe’s study, growth rates, a fitness proxy, were lower in high density mesocosms. Furthermore, growth rates were found to change in response to sex ratio; whereby females grew faster in mesocosms with a male-biased sex ratio. This suggests that resource competition impacts fitness and that this impact is sex specific and alleviated, to some extent, by sexual dimorphism. Given such evidence, it is conceivable that ecologically mediated selection can play a role in the evolution of ecological sexual dimorphisms.</w:t>
      </w:r>
    </w:p>
    <w:p w14:paraId="2330F419"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One issue with theoretical models of ecological character displacement, however, is the lack of an </w:t>
      </w:r>
      <w:r>
        <w:rPr>
          <w:i/>
          <w:color w:val="000000"/>
        </w:rPr>
        <w:t>a priori</w:t>
      </w:r>
      <w:r>
        <w:rPr>
          <w:color w:val="000000"/>
        </w:rPr>
        <w:t xml:space="preserve"> justification for character displacement between sexes, as opposed to random subsets of populations (Bolnick and Doebeli 2003). As a result, an integrated view of reproductive competition and ecological character displacement provides the best model for the evolution of ecological sexual dimorphisms (de Lisle 2019; de Lisle et al. 2021). From this perspective, initial phenotypic divergence and/ or differing ecological optima between the sexes may usually arise due to anisogamy and reproductive differences (Maklakov et al. 2008; Sch</w:t>
      </w:r>
      <w:r>
        <w:t>ä</w:t>
      </w:r>
      <w:r>
        <w:rPr>
          <w:color w:val="000000"/>
        </w:rPr>
        <w:t xml:space="preserve">rer et al. 2012). For instance, reproductive differences may create sex differences in nutritional optima, leading to divergent foraging decisions and resource allocation (Morehouse et al. 2009; Raubenheimer and Simpson 2018). These initial differences may then be acted upon by disruptive natural selection, such that the observed differences between sexes emerge through both sexual and ecologically mediated selection. For example, intra-specific reversals in </w:t>
      </w:r>
      <w:r>
        <w:rPr>
          <w:color w:val="000000"/>
        </w:rPr>
        <w:lastRenderedPageBreak/>
        <w:t>the direction of python (</w:t>
      </w:r>
      <w:r>
        <w:rPr>
          <w:i/>
          <w:color w:val="000000"/>
        </w:rPr>
        <w:t>Morelia spilota</w:t>
      </w:r>
      <w:r>
        <w:rPr>
          <w:color w:val="000000"/>
        </w:rPr>
        <w:t>) size dimorphism track inter-population differences in mating system, but the degree of size dimorphism relates to available prey sizes (Pearson et al. 2002).</w:t>
      </w:r>
    </w:p>
    <w:p w14:paraId="2330F41A"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An outstanding and unresolved question concerns the importance of ecologically mediated selection for creating diversity in sexual dimorphisms. Here we address this question by investigating general associations across species between size dimorphism and ecological divergence in trophic level and </w:t>
      </w:r>
      <w:r>
        <w:t>basal carbon resources</w:t>
      </w:r>
      <w:r>
        <w:rPr>
          <w:color w:val="000000"/>
        </w:rPr>
        <w:t>. A central tenet of the ecological character displacement hypothesis is that the degree of dimorphism should scale positively with the degree of ecological divergence between sexes (de Lisle and Rowe 2015). It therefore follows that more sexually dimorphic species should generally show greater ecological divergence than less dimorphic species. Associations between sexual dimorphism and ecological divergence between sexes would suggest a greater role for ecology in the evolution of sexual dimorphism than previously appreciated. Ecological divergence related to size dimorphism could be exhibited by sex differences in ecological mean</w:t>
      </w:r>
      <w:r>
        <w:t>;</w:t>
      </w:r>
      <w:r>
        <w:rPr>
          <w:color w:val="000000"/>
        </w:rPr>
        <w:t xml:space="preserve"> for example, the larger sex may have access to larger prey and so feed on average at a higher trophic level (Mills et al. 2021). Furthermore, sexual size dimorphism could lead to sex differences in ecological variation, via numerous mechanisms. For example, the larger sex may be more variable if large size confers access to a greater range of resources (Voigt et al. 2018), or the smaller sex more variable if they are competitively subordinate (Wan et al. 2013). We therefore examine associations between size dimorphism and ecological differences between males and females, measured using stable isotope analysis. Stable isotope analysis is a common technique for analyzing foraging ecology and we outline our rationale for why it is appropriate for quantifying sex differences in feeding below. Our investigation uses a meta-analytic approach, synthesizing previously published stable isotope data on vertebrates, with a global geographical scope.</w:t>
      </w:r>
    </w:p>
    <w:p w14:paraId="2330F41B" w14:textId="77777777" w:rsidR="007B149A" w:rsidRDefault="000E054D">
      <w:pPr>
        <w:pStyle w:val="Heading2"/>
        <w:spacing w:line="360" w:lineRule="auto"/>
      </w:pPr>
      <w:bookmarkStart w:id="4" w:name="3dy6vkm" w:colFirst="0" w:colLast="0"/>
      <w:bookmarkEnd w:id="4"/>
      <w:r>
        <w:t>Stable Isotope Ecology</w:t>
      </w:r>
    </w:p>
    <w:p w14:paraId="2330F41C" w14:textId="77777777" w:rsidR="007B149A" w:rsidRDefault="000E054D">
      <w:pPr>
        <w:pBdr>
          <w:top w:val="nil"/>
          <w:left w:val="nil"/>
          <w:bottom w:val="nil"/>
          <w:right w:val="nil"/>
          <w:between w:val="nil"/>
        </w:pBdr>
        <w:spacing w:before="180" w:after="180" w:line="360" w:lineRule="auto"/>
        <w:rPr>
          <w:color w:val="000000"/>
        </w:rPr>
      </w:pPr>
      <w:r>
        <w:rPr>
          <w:color w:val="000000"/>
        </w:rPr>
        <w:t>Over recent decades, stable isotope analysis has become an effective tool used for investigating animal ecology (</w:t>
      </w:r>
      <w:r>
        <w:t xml:space="preserve">Hobson and Welch 1992; </w:t>
      </w:r>
      <w:r>
        <w:rPr>
          <w:color w:val="000000"/>
        </w:rPr>
        <w:t xml:space="preserve">Hobson 1999; Swan et al. 2020). Because the ratios of naturally occurring stable isotopes vary in the foods animals consume, and these ratios are </w:t>
      </w:r>
      <w:r>
        <w:rPr>
          <w:color w:val="000000"/>
        </w:rPr>
        <w:lastRenderedPageBreak/>
        <w:t xml:space="preserve">incorporated into animal tissues during formation, much can be revealed about an animal’s ecology by analyzing </w:t>
      </w:r>
      <w:r>
        <w:t>stable isotope</w:t>
      </w:r>
      <w:r>
        <w:rPr>
          <w:color w:val="000000"/>
        </w:rPr>
        <w:t xml:space="preserve"> ratios in its different tissues (Ponsard and Arditi 2000). Different isotopic systems provide alternative information about the animal from which they are sampled (Newton 2016), such that ratios of nitrogen stable isotopes (</w:t>
      </w:r>
      <m:oMath>
        <m:r>
          <w:rPr>
            <w:rFonts w:ascii="Cambria Math" w:hAnsi="Cambria Math"/>
          </w:rPr>
          <m:t>δ</m:t>
        </m:r>
      </m:oMath>
      <w:r>
        <w:rPr>
          <w:color w:val="000000"/>
          <w:vertAlign w:val="superscript"/>
        </w:rPr>
        <w:t>15</w:t>
      </w:r>
      <w:r>
        <w:rPr>
          <w:color w:val="000000"/>
        </w:rPr>
        <w:t xml:space="preserve">N, see methods for explanation of </w:t>
      </w:r>
      <m:oMath>
        <m:r>
          <w:rPr>
            <w:rFonts w:ascii="Cambria Math" w:hAnsi="Cambria Math"/>
          </w:rPr>
          <m:t>δ</m:t>
        </m:r>
      </m:oMath>
      <w:r>
        <w:rPr>
          <w:color w:val="000000"/>
        </w:rPr>
        <w:t xml:space="preserve"> notation) vary with trophic level (Caut et al. 2009) and ratios of carbon stable isotopes (</w:t>
      </w:r>
      <m:oMath>
        <m:r>
          <w:rPr>
            <w:rFonts w:ascii="Cambria Math" w:hAnsi="Cambria Math"/>
          </w:rPr>
          <m:t>δ</m:t>
        </m:r>
      </m:oMath>
      <w:r>
        <w:rPr>
          <w:color w:val="000000"/>
          <w:vertAlign w:val="superscript"/>
        </w:rPr>
        <w:t>13</w:t>
      </w:r>
      <w:r>
        <w:rPr>
          <w:color w:val="000000"/>
        </w:rPr>
        <w:t xml:space="preserve">C) vary with food chain basal resource (Farquhar et al.1989; Yoneyama et al. 2010). For example, relative </w:t>
      </w:r>
      <w:r>
        <w:rPr>
          <w:color w:val="000000"/>
          <w:vertAlign w:val="superscript"/>
        </w:rPr>
        <w:t>15</w:t>
      </w:r>
      <w:r>
        <w:rPr>
          <w:color w:val="000000"/>
        </w:rPr>
        <w:t>N enrichment of polar bears compared to seals indicate polar bears occupy a higher trophic level (Hobson et al. 2002). Combined stable isotope ratios of animal tissues thus allow inferences about individual niche, meaning ecological differences can be quantified at various levels, including niche differences between males and females, with greater difference in stable isotope ratios taken to indicate more ecological divergence (Foote et al. 2012, Lehmann et al. 2015).</w:t>
      </w:r>
    </w:p>
    <w:p w14:paraId="2330F41D"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Because stable isotope data tend to be reported reasonably consistently, the considerable stable isotope ecology literature provides an opportunity to investigate cross-species associations between sexual dimorphism and ecological (isotopic) sex differences. Of course, associations between dimorphism and isotopic sex differences would not necessarily indicate causation but would be consistent with predicted outcomes of ecological character displacement working in isolation, or reproductive differences creating the </w:t>
      </w:r>
      <w:r>
        <w:rPr>
          <w:i/>
          <w:color w:val="000000"/>
        </w:rPr>
        <w:t>opportunity</w:t>
      </w:r>
      <w:r>
        <w:rPr>
          <w:color w:val="000000"/>
        </w:rPr>
        <w:t xml:space="preserve"> for disruptive ecologically mediated selection. Regardless of which evolutionary mechanism is true in any individual species, the strength of cross-species associations between dimorphism and isotopic sex differences can indicate the general importance of ecologically mediated selection to the evolution of sexual dimorphism.</w:t>
      </w:r>
    </w:p>
    <w:p w14:paraId="2330F41E"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Our study achieves three main aims. Firstly, using meta-analytic models, we quantify between-study variation in isotopic sex differences in the stable isotope literature and the fraction of this variation due to systematic heterogeneity. In the context of meta-analysis, heterogeneity describes the amount of between-study variation in effect size that may be explained by </w:t>
      </w:r>
      <w:r>
        <w:t>predictor</w:t>
      </w:r>
      <w:r>
        <w:rPr>
          <w:color w:val="000000"/>
        </w:rPr>
        <w:t xml:space="preserve"> variables, such as the traits of study subjects. </w:t>
      </w:r>
      <w:r>
        <w:t>W</w:t>
      </w:r>
      <w:r>
        <w:rPr>
          <w:color w:val="000000"/>
        </w:rPr>
        <w:t>e next investigate how much heterogeneity in isotopic sex differences can be explained by size dimorphism. We use meta-regression models including size dimorphism as a</w:t>
      </w:r>
      <w:r>
        <w:t xml:space="preserve"> predictor</w:t>
      </w:r>
      <w:r>
        <w:rPr>
          <w:color w:val="000000"/>
        </w:rPr>
        <w:t xml:space="preserve"> variable, to examine associations </w:t>
      </w:r>
      <w:r>
        <w:rPr>
          <w:color w:val="000000"/>
        </w:rPr>
        <w:lastRenderedPageBreak/>
        <w:t>with isotopic sex differences</w:t>
      </w:r>
      <w:r>
        <w:t>,</w:t>
      </w:r>
      <w:r>
        <w:rPr>
          <w:color w:val="000000"/>
        </w:rPr>
        <w:t xml:space="preserve"> </w:t>
      </w:r>
      <w:r>
        <w:t>and</w:t>
      </w:r>
      <w:r>
        <w:rPr>
          <w:color w:val="000000"/>
        </w:rPr>
        <w:t xml:space="preserve"> interpret the strength of associations as an indicator of the amount of heterogeneity in ecological sex differences that is explained by sexual dimorphism.</w:t>
      </w:r>
    </w:p>
    <w:p w14:paraId="2330F41F" w14:textId="77777777" w:rsidR="007B149A" w:rsidRDefault="000E054D">
      <w:pPr>
        <w:pBdr>
          <w:top w:val="nil"/>
          <w:left w:val="nil"/>
          <w:bottom w:val="nil"/>
          <w:right w:val="nil"/>
          <w:between w:val="nil"/>
        </w:pBdr>
        <w:spacing w:before="180" w:after="180" w:line="360" w:lineRule="auto"/>
        <w:rPr>
          <w:color w:val="000000"/>
        </w:rPr>
      </w:pPr>
      <w:r>
        <w:t>We use</w:t>
      </w:r>
      <w:r>
        <w:rPr>
          <w:color w:val="000000"/>
        </w:rPr>
        <w:t xml:space="preserve"> size dimorphism as </w:t>
      </w:r>
      <w:r>
        <w:t>a</w:t>
      </w:r>
      <w:r>
        <w:rPr>
          <w:color w:val="000000"/>
        </w:rPr>
        <w:t xml:space="preserve"> </w:t>
      </w:r>
      <w:r>
        <w:t>predictor</w:t>
      </w:r>
      <w:r>
        <w:rPr>
          <w:color w:val="000000"/>
        </w:rPr>
        <w:t xml:space="preserve"> variable </w:t>
      </w:r>
      <w:r>
        <w:t xml:space="preserve">in our analyses </w:t>
      </w:r>
      <w:proofErr w:type="gramStart"/>
      <w:r>
        <w:t xml:space="preserve">despite </w:t>
      </w:r>
      <w:r>
        <w:rPr>
          <w:color w:val="000000"/>
        </w:rPr>
        <w:t xml:space="preserve"> </w:t>
      </w:r>
      <w:r>
        <w:t>our</w:t>
      </w:r>
      <w:proofErr w:type="gramEnd"/>
      <w:r>
        <w:t xml:space="preserve"> interest</w:t>
      </w:r>
      <w:r>
        <w:rPr>
          <w:color w:val="000000"/>
        </w:rPr>
        <w:t xml:space="preserve"> </w:t>
      </w:r>
      <w:r>
        <w:t>in its response to</w:t>
      </w:r>
      <w:r>
        <w:rPr>
          <w:color w:val="000000"/>
        </w:rPr>
        <w:t xml:space="preserve"> certain ecological contexts. </w:t>
      </w:r>
      <w:r>
        <w:t>Our choice</w:t>
      </w:r>
      <w:r>
        <w:rPr>
          <w:color w:val="000000"/>
        </w:rPr>
        <w:t xml:space="preserve"> is primarily </w:t>
      </w:r>
      <w:r>
        <w:t xml:space="preserve">pragmatic: </w:t>
      </w:r>
      <w:r>
        <w:rPr>
          <w:color w:val="000000"/>
        </w:rPr>
        <w:t xml:space="preserve"> </w:t>
      </w:r>
      <w:r>
        <w:t>the</w:t>
      </w:r>
      <w:r>
        <w:rPr>
          <w:color w:val="000000"/>
        </w:rPr>
        <w:t xml:space="preserve"> diversity of the stable isotope literature means </w:t>
      </w:r>
      <w:r>
        <w:t xml:space="preserve">we can readily compute effect sizes using means, </w:t>
      </w:r>
      <w:proofErr w:type="gramStart"/>
      <w:r>
        <w:t>errors</w:t>
      </w:r>
      <w:proofErr w:type="gramEnd"/>
      <w:r>
        <w:t xml:space="preserve"> and sample sizes</w:t>
      </w:r>
      <w:r>
        <w:rPr>
          <w:color w:val="000000"/>
        </w:rPr>
        <w:t xml:space="preserve"> for </w:t>
      </w:r>
      <w:r>
        <w:t>isotopic data of</w:t>
      </w:r>
      <w:r>
        <w:rPr>
          <w:color w:val="000000"/>
        </w:rPr>
        <w:t xml:space="preserve"> both sexes </w:t>
      </w:r>
      <w:r>
        <w:t>in</w:t>
      </w:r>
      <w:r>
        <w:rPr>
          <w:color w:val="000000"/>
        </w:rPr>
        <w:t xml:space="preserve"> many species</w:t>
      </w:r>
      <w:r>
        <w:t>. In contrast</w:t>
      </w:r>
      <w:r>
        <w:rPr>
          <w:color w:val="000000"/>
        </w:rPr>
        <w:t xml:space="preserve"> body size data </w:t>
      </w:r>
      <w:r>
        <w:t>are</w:t>
      </w:r>
      <w:r>
        <w:rPr>
          <w:color w:val="000000"/>
        </w:rPr>
        <w:t xml:space="preserve"> most commonly available as mean values, and therefore more suitable as a </w:t>
      </w:r>
      <w:r>
        <w:t>predictor</w:t>
      </w:r>
      <w:r>
        <w:rPr>
          <w:color w:val="000000"/>
        </w:rPr>
        <w:t xml:space="preserve"> variable. </w:t>
      </w:r>
    </w:p>
    <w:p w14:paraId="2330F420"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Finally, we examine the possibility that the influence of size dimorphism on feeding depends on ecological context. We first test whether species dietary class and/ or mean species size modify relationships between size dimorphism and isotopic sex differences. Dietary class may modify the impact of size dimorphism on isotopic sex differences because species consuming different diets differ in their trophic flexibility. For example, omnivores by definition feed at more trophic levels than herbivores, which should create more opportunity for size dimorphism to exert an influence on the trophic level of each sex. Mean species size (defined here as the mean of males and females) may influence the effects of size dimorphism by causing between-species differences in resource access, which may then impact the effects of size dimorphism on resource use within-species. For example, if size affects the maximum prey size available to each sex, size dimorphism may have a greater impact in smaller species that are already more limited concerning the size of their prey. Conversely, the greater absolute size of larger species may mean proportional size differences between males and females are more impactful on their respective interactions with other food web members. For example, one sex being 10% larger may have a greater impact on sex differences in prey access in bigger species, as a 10% size change in smaller species may not be a large enough absolute change for prey accessibility to differ between sexes. We quantify the potential influence of species dietary class and mean size by including them as additional </w:t>
      </w:r>
      <w:r>
        <w:t>predictor</w:t>
      </w:r>
      <w:r>
        <w:rPr>
          <w:color w:val="000000"/>
        </w:rPr>
        <w:t xml:space="preserve"> variables, alongside size dimorphism, in meta-regression models.</w:t>
      </w:r>
    </w:p>
    <w:p w14:paraId="2330F421"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Another possibility is that size dimorphism has the greatest ecological impact in carnivores that are gape-limited, meaning they can only consume prey smaller than themselves (Shine 1991; </w:t>
      </w:r>
      <w:r>
        <w:rPr>
          <w:color w:val="000000"/>
        </w:rPr>
        <w:lastRenderedPageBreak/>
        <w:t xml:space="preserve">Shine et al. 2003). For example, in an aquatic food chain formed of gape-limited fish, each species can consume all species smaller than </w:t>
      </w:r>
      <w:r>
        <w:t>it</w:t>
      </w:r>
      <w:r>
        <w:rPr>
          <w:color w:val="000000"/>
        </w:rPr>
        <w:t>sel</w:t>
      </w:r>
      <w:r>
        <w:t>f</w:t>
      </w:r>
      <w:r>
        <w:rPr>
          <w:color w:val="000000"/>
        </w:rPr>
        <w:t xml:space="preserve">, but no species the same size or larger. Trophic level should therefore closely track body size, with the largest fish at the highest trophic level. If a fish species in such a food chain were size dimorphic, the larger sex would have greater access to larger, higher trophic level prey, than the smaller sex, resulting in a difference between males and females in maximum possible trophic level. As optimal foraging theory predicts that predators often feed </w:t>
      </w:r>
      <w:r>
        <w:t xml:space="preserve">preferentially </w:t>
      </w:r>
      <w:r>
        <w:rPr>
          <w:color w:val="000000"/>
        </w:rPr>
        <w:t>on larger prey, due to greater energetic returns per prey item (</w:t>
      </w:r>
      <w:r>
        <w:t>Stephens and Krebs</w:t>
      </w:r>
      <w:r>
        <w:rPr>
          <w:color w:val="000000"/>
        </w:rPr>
        <w:t xml:space="preserve"> 1986; Dodrill et al. 2021), the larger sex in a dimorphic gape-limited fish would be predicted to feed at a higher trophic level. Conversely, non-gape-limited predators and scavengers, such as</w:t>
      </w:r>
      <w:r>
        <w:t xml:space="preserve"> cats</w:t>
      </w:r>
      <w:r>
        <w:rPr>
          <w:color w:val="000000"/>
        </w:rPr>
        <w:t xml:space="preserve">, can consume prey orders of magnitude larger than themselves, which may minimise any impact of size dimorphism on the trophic levels of each sex. Therefore, we investigate whether gape-limitation strengthens associations between size dimorphism and isotopic sex differences. We do this by completing a meta-regression using a dataset constrained to fish and snake species, which are presumed to be able to feed solely by swallowing whole prey and thus considered </w:t>
      </w:r>
      <w:proofErr w:type="gramStart"/>
      <w:r>
        <w:rPr>
          <w:color w:val="000000"/>
        </w:rPr>
        <w:t>gape-limited</w:t>
      </w:r>
      <w:proofErr w:type="gramEnd"/>
      <w:r>
        <w:rPr>
          <w:color w:val="000000"/>
        </w:rPr>
        <w:t>. The predictions from this model are then be compared to those from a model containing all other carnivores in our dataset, to assess whether the effect of size dimorphism on trophic sex differences is greater in gape-limited carnivores.</w:t>
      </w:r>
    </w:p>
    <w:p w14:paraId="2330F422" w14:textId="77777777" w:rsidR="007B149A" w:rsidRDefault="000E054D">
      <w:pPr>
        <w:pStyle w:val="Heading1"/>
        <w:spacing w:line="360" w:lineRule="auto"/>
      </w:pPr>
      <w:bookmarkStart w:id="5" w:name="1t3h5sf" w:colFirst="0" w:colLast="0"/>
      <w:bookmarkEnd w:id="5"/>
      <w:r>
        <w:t>Methods</w:t>
      </w:r>
    </w:p>
    <w:p w14:paraId="2330F423" w14:textId="77777777" w:rsidR="007B149A" w:rsidRDefault="000E054D">
      <w:pPr>
        <w:pBdr>
          <w:top w:val="nil"/>
          <w:left w:val="nil"/>
          <w:bottom w:val="nil"/>
          <w:right w:val="nil"/>
          <w:between w:val="nil"/>
        </w:pBdr>
        <w:spacing w:before="180" w:after="180" w:line="360" w:lineRule="auto"/>
        <w:rPr>
          <w:color w:val="000000"/>
        </w:rPr>
      </w:pPr>
      <w:r>
        <w:rPr>
          <w:color w:val="000000"/>
        </w:rPr>
        <w:t>Our meta-analytic approach and reporting was completed with reference to the guidelines laid out by O’Dea et al. (2021).</w:t>
      </w:r>
    </w:p>
    <w:p w14:paraId="2330F424" w14:textId="77777777" w:rsidR="007B149A" w:rsidRDefault="000E054D">
      <w:pPr>
        <w:pStyle w:val="Heading2"/>
        <w:spacing w:line="360" w:lineRule="auto"/>
      </w:pPr>
      <w:bookmarkStart w:id="6" w:name="4d34og8" w:colFirst="0" w:colLast="0"/>
      <w:bookmarkEnd w:id="6"/>
      <w:r>
        <w:t>Data Collection</w:t>
      </w:r>
    </w:p>
    <w:p w14:paraId="2330F425" w14:textId="77777777" w:rsidR="007B149A" w:rsidRDefault="000E054D">
      <w:pPr>
        <w:pBdr>
          <w:top w:val="nil"/>
          <w:left w:val="nil"/>
          <w:bottom w:val="nil"/>
          <w:right w:val="nil"/>
          <w:between w:val="nil"/>
        </w:pBdr>
        <w:spacing w:before="180" w:after="180" w:line="360" w:lineRule="auto"/>
        <w:rPr>
          <w:color w:val="000000"/>
        </w:rPr>
      </w:pPr>
      <w:r>
        <w:rPr>
          <w:color w:val="000000"/>
        </w:rPr>
        <w:t>We collated peer-reviewed literature available in the Web of Science Core Collection. The stable isotope literature is large, with the search term “stable isotope” returning ~76 500 studies at the time of writing. To constrain the search, we combined the following specific terms, using the default publication year range of 1900-2020, on 10/11/2020: Isotop* Nich</w:t>
      </w:r>
      <w:r>
        <w:rPr>
          <w:i/>
          <w:color w:val="000000"/>
        </w:rPr>
        <w:t xml:space="preserve">; </w:t>
      </w:r>
      <w:r>
        <w:rPr>
          <w:color w:val="000000"/>
        </w:rPr>
        <w:lastRenderedPageBreak/>
        <w:t>Isotop Nich* Male; Isotop* Nich* Female; Isotop* Nich* Male Female; Isotop* Nich* Sex Diff*; Isotop Nich* Dimorph; Isotop Dimorph*.</w:t>
      </w:r>
    </w:p>
    <w:p w14:paraId="2330F426" w14:textId="77777777" w:rsidR="007B149A" w:rsidRDefault="000E054D">
      <w:pPr>
        <w:keepNext/>
        <w:pBdr>
          <w:top w:val="nil"/>
          <w:left w:val="nil"/>
          <w:bottom w:val="nil"/>
          <w:right w:val="nil"/>
          <w:between w:val="nil"/>
        </w:pBdr>
        <w:spacing w:line="360" w:lineRule="auto"/>
        <w:rPr>
          <w:color w:val="000000"/>
        </w:rPr>
      </w:pPr>
      <w:r>
        <w:rPr>
          <w:noProof/>
          <w:color w:val="000000"/>
        </w:rPr>
        <w:drawing>
          <wp:inline distT="0" distB="0" distL="0" distR="0" wp14:anchorId="2330F7E6" wp14:editId="2330F7E7">
            <wp:extent cx="3295650" cy="5899150"/>
            <wp:effectExtent l="0" t="0" r="0" b="0"/>
            <wp:docPr id="9" name="image2.jpg" descr="Figure 1. Our sequence of study collation, screening and data extraction, alongside the number of studies excluded at each stage and included in the final analysis."/>
            <wp:cNvGraphicFramePr/>
            <a:graphic xmlns:a="http://schemas.openxmlformats.org/drawingml/2006/main">
              <a:graphicData uri="http://schemas.openxmlformats.org/drawingml/2006/picture">
                <pic:pic xmlns:pic="http://schemas.openxmlformats.org/drawingml/2006/picture">
                  <pic:nvPicPr>
                    <pic:cNvPr id="0" name="image2.jpg" descr="Figure 1. Our sequence of study collation, screening and data extraction, alongside the number of studies excluded at each stage and included in the final analysis."/>
                    <pic:cNvPicPr preferRelativeResize="0"/>
                  </pic:nvPicPr>
                  <pic:blipFill>
                    <a:blip r:embed="rId7"/>
                    <a:srcRect/>
                    <a:stretch>
                      <a:fillRect/>
                    </a:stretch>
                  </pic:blipFill>
                  <pic:spPr>
                    <a:xfrm>
                      <a:off x="0" y="0"/>
                      <a:ext cx="3295650" cy="5899150"/>
                    </a:xfrm>
                    <a:prstGeom prst="rect">
                      <a:avLst/>
                    </a:prstGeom>
                    <a:ln/>
                  </pic:spPr>
                </pic:pic>
              </a:graphicData>
            </a:graphic>
          </wp:inline>
        </w:drawing>
      </w:r>
    </w:p>
    <w:p w14:paraId="2330F427" w14:textId="77777777" w:rsidR="007B149A" w:rsidRDefault="000E054D">
      <w:pPr>
        <w:pBdr>
          <w:top w:val="nil"/>
          <w:left w:val="nil"/>
          <w:bottom w:val="nil"/>
          <w:right w:val="nil"/>
          <w:between w:val="nil"/>
        </w:pBdr>
        <w:spacing w:after="120" w:line="360" w:lineRule="auto"/>
        <w:rPr>
          <w:color w:val="000000"/>
        </w:rPr>
      </w:pPr>
      <w:r>
        <w:rPr>
          <w:b/>
          <w:color w:val="000000"/>
        </w:rPr>
        <w:t xml:space="preserve">Figure 1. </w:t>
      </w:r>
      <w:r>
        <w:rPr>
          <w:color w:val="000000"/>
        </w:rPr>
        <w:t>Our sequence of study collation, screening, and data extraction, alongside the number of studies excluded at each stage and included in the final analysis.</w:t>
      </w:r>
    </w:p>
    <w:p w14:paraId="2330F428"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Our searches returned 3489 studies, which we placed into a spreadsheet to highlight duplicates for manual removal. Removing duplicates resulted in 2807 studies for title and abstract screening. At this stage, we made the decision to constrain our analysis to the nitrogen and </w:t>
      </w:r>
      <w:r>
        <w:rPr>
          <w:color w:val="000000"/>
        </w:rPr>
        <w:lastRenderedPageBreak/>
        <w:t xml:space="preserve">carbon stable isotope systems, due to the relatively small number of studies using other systems that were returned by our search terms. We also rejected studies during title and abstract screening if they did not use bulk stable isotope analysis, used samples of human, museum, archeological or </w:t>
      </w:r>
      <w:r>
        <w:t>palaeontological</w:t>
      </w:r>
      <w:r>
        <w:rPr>
          <w:color w:val="000000"/>
        </w:rPr>
        <w:t xml:space="preserve"> origin, were review, comment, or method papers, or if the animals sampled were not wild, not adults, not vertebrates or if data were not available for both sexes. We then searched the remaining 1279 studies using the ctrl+F search function and, separately, the terms “sex”, “male” and “female”, excluding studies if they contained none of these terms, under the assumption that they did not contain stable isotope ratios for each sex and, if at least one term was present, checking for the presence of the required data. Additional reasons for exclusion were if the full text was inaccessible without purchase or contacting authors, presented incomplete data (mean, error or sample size missing), was not in English or was a paper correction. We then attempted to extract data from the remaining 210 studies</w:t>
      </w:r>
      <w:proofErr w:type="gramStart"/>
      <w:r>
        <w:t xml:space="preserve">. </w:t>
      </w:r>
      <w:r>
        <w:rPr>
          <w:color w:val="000000"/>
        </w:rPr>
        <w:t xml:space="preserve"> </w:t>
      </w:r>
      <w:proofErr w:type="gramEnd"/>
      <w:r>
        <w:t>Additional reasons for exclusion</w:t>
      </w:r>
      <w:r>
        <w:rPr>
          <w:color w:val="000000"/>
        </w:rPr>
        <w:t xml:space="preserve"> at this stage were if raw data w</w:t>
      </w:r>
      <w:r>
        <w:t>as</w:t>
      </w:r>
      <w:r>
        <w:rPr>
          <w:color w:val="000000"/>
        </w:rPr>
        <w:t xml:space="preserve"> presented as images with &gt;50 rows, if data were from an earlier study already included or if data extraction from figures was not possible. We extracted data from figures using a mouse pointer to individually select data points from an image of the figure, with the image calibrated to the axis values from the original figure; therefore, too much point overlap made this process inaccurate, because not all points could be selected for inclusion. The entire process provided 173 studies in which mean, standard deviation and sample sizes for each sex were presented in the manuscript, or could be calculated from raw data, or could be taken from model outputs, or extracted from figures. We collected data for any vertebrate species, from any global location and, if stable isotope ratios for each sex were presented for more than one tissue type, we entered each tissue as a separate row in our database.</w:t>
      </w:r>
    </w:p>
    <w:p w14:paraId="2330F429" w14:textId="77777777" w:rsidR="007B149A" w:rsidRDefault="000E054D">
      <w:pPr>
        <w:pStyle w:val="Heading2"/>
        <w:spacing w:line="360" w:lineRule="auto"/>
      </w:pPr>
      <w:bookmarkStart w:id="7" w:name="2s8eyo1" w:colFirst="0" w:colLast="0"/>
      <w:bookmarkEnd w:id="7"/>
      <w:r>
        <w:t>Effect Size Choice and Calculation</w:t>
      </w:r>
    </w:p>
    <w:p w14:paraId="2330F42A"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All the stable isotope data we collected were presented in permil units (‰). Permil units describe enrichment or depletion in heavy isotopes, relative to international standards, which exist for nitrogen, carbon, and all other commonly used systems in stable isotope analysis. For </w:t>
      </w:r>
      <w:r>
        <w:rPr>
          <w:color w:val="000000"/>
        </w:rPr>
        <w:lastRenderedPageBreak/>
        <w:t>example, the standard for nitrogen stable isotope ratios is atmospheric nitrogen (air). The relative enrichment or depletion is expressed using delta (</w:t>
      </w:r>
      <m:oMath>
        <m:r>
          <w:rPr>
            <w:rFonts w:ascii="Cambria Math" w:hAnsi="Cambria Math"/>
          </w:rPr>
          <m:t>δ</m:t>
        </m:r>
      </m:oMath>
      <w:r>
        <w:rPr>
          <w:color w:val="000000"/>
        </w:rPr>
        <w:t xml:space="preserve">) notation, such that: </w:t>
      </w:r>
    </w:p>
    <w:p w14:paraId="2330F42B" w14:textId="77777777" w:rsidR="007B149A" w:rsidRDefault="000E054D">
      <w:pPr>
        <w:spacing w:line="360" w:lineRule="auto"/>
        <w:jc w:val="center"/>
        <w:rPr>
          <w:rFonts w:ascii="Cambria Math" w:eastAsia="Cambria Math" w:hAnsi="Cambria Math" w:cs="Cambria Math"/>
          <w:color w:val="000000"/>
        </w:rPr>
      </w:pPr>
      <m:oMathPara>
        <m:oMath>
          <m:r>
            <w:rPr>
              <w:rFonts w:ascii="Cambria Math" w:eastAsia="Cambria Math" w:hAnsi="Cambria Math" w:cs="Cambria Math"/>
              <w:color w:val="000000"/>
            </w:rPr>
            <m:t xml:space="preserve">ẟ = </m:t>
          </m:r>
          <m:f>
            <m:fPr>
              <m:ctrlPr>
                <w:rPr>
                  <w:rFonts w:ascii="Cambria Math" w:eastAsia="Cambria Math" w:hAnsi="Cambria Math" w:cs="Cambria Math"/>
                  <w:color w:val="000000"/>
                </w:rPr>
              </m:ctrlPr>
            </m:fPr>
            <m:num>
              <m:r>
                <w:rPr>
                  <w:rFonts w:ascii="Cambria Math" w:eastAsia="Cambria Math" w:hAnsi="Cambria Math" w:cs="Cambria Math"/>
                  <w:color w:val="000000"/>
                </w:rPr>
                <m:t>(Rsample-Rstandard)</m:t>
              </m:r>
            </m:num>
            <m:den>
              <m:r>
                <w:rPr>
                  <w:rFonts w:ascii="Cambria Math" w:eastAsia="Cambria Math" w:hAnsi="Cambria Math" w:cs="Cambria Math"/>
                  <w:color w:val="000000"/>
                </w:rPr>
                <m:t>Rstandard</m:t>
              </m:r>
            </m:den>
          </m:f>
        </m:oMath>
      </m:oMathPara>
    </w:p>
    <w:p w14:paraId="2330F42C" w14:textId="77777777" w:rsidR="007B149A" w:rsidRDefault="007B149A">
      <w:pPr>
        <w:pBdr>
          <w:top w:val="nil"/>
          <w:left w:val="nil"/>
          <w:bottom w:val="nil"/>
          <w:right w:val="nil"/>
          <w:between w:val="nil"/>
        </w:pBdr>
        <w:spacing w:before="180" w:after="180" w:line="360" w:lineRule="auto"/>
        <w:rPr>
          <w:color w:val="000000"/>
        </w:rPr>
      </w:pPr>
    </w:p>
    <w:p w14:paraId="2330F42D" w14:textId="77777777" w:rsidR="007B149A" w:rsidRDefault="000E054D">
      <w:pPr>
        <w:pBdr>
          <w:top w:val="nil"/>
          <w:left w:val="nil"/>
          <w:bottom w:val="nil"/>
          <w:right w:val="nil"/>
          <w:between w:val="nil"/>
        </w:pBdr>
        <w:spacing w:before="180" w:after="180" w:line="360" w:lineRule="auto"/>
        <w:rPr>
          <w:color w:val="000000"/>
        </w:rPr>
      </w:pPr>
      <w:r>
        <w:rPr>
          <w:color w:val="000000"/>
        </w:rPr>
        <w:t>where R</w:t>
      </w:r>
      <w:r>
        <w:rPr>
          <w:color w:val="000000"/>
          <w:vertAlign w:val="subscript"/>
        </w:rPr>
        <w:t>sample</w:t>
      </w:r>
      <w:r>
        <w:rPr>
          <w:color w:val="000000"/>
        </w:rPr>
        <w:t xml:space="preserve"> equals the isotope ratio of the sample and R</w:t>
      </w:r>
      <w:r>
        <w:rPr>
          <w:color w:val="000000"/>
          <w:vertAlign w:val="subscript"/>
        </w:rPr>
        <w:t>standard</w:t>
      </w:r>
      <w:r>
        <w:rPr>
          <w:color w:val="000000"/>
        </w:rPr>
        <w:t xml:space="preserve"> equals the isotope ratio of the standard (</w:t>
      </w:r>
      <w:r>
        <w:rPr>
          <w:color w:val="000000"/>
          <w:sz w:val="22"/>
          <w:szCs w:val="22"/>
          <w:highlight w:val="white"/>
        </w:rPr>
        <w:t>McKinney et al. 1950</w:t>
      </w:r>
      <w:r>
        <w:rPr>
          <w:color w:val="000000"/>
        </w:rPr>
        <w:t xml:space="preserve">) where R = heavy isotope/light isotope, </w:t>
      </w:r>
      <w:proofErr w:type="gramStart"/>
      <w:r>
        <w:rPr>
          <w:color w:val="000000"/>
        </w:rPr>
        <w:t>e.g.</w:t>
      </w:r>
      <w:proofErr w:type="gramEnd"/>
      <w:r>
        <w:rPr>
          <w:color w:val="000000"/>
        </w:rPr>
        <w:t xml:space="preserve"> </w:t>
      </w:r>
      <w:r>
        <w:rPr>
          <w:color w:val="000000"/>
          <w:vertAlign w:val="superscript"/>
        </w:rPr>
        <w:t>15</w:t>
      </w:r>
      <w:r>
        <w:rPr>
          <w:color w:val="000000"/>
        </w:rPr>
        <w:t>N/</w:t>
      </w:r>
      <w:r>
        <w:rPr>
          <w:color w:val="000000"/>
          <w:vertAlign w:val="superscript"/>
        </w:rPr>
        <w:t>14</w:t>
      </w:r>
      <w:r>
        <w:rPr>
          <w:color w:val="000000"/>
        </w:rPr>
        <w:t xml:space="preserve">N. Thus, a positive ẟ value indicates enrichment in the heavier isotope (in this case </w:t>
      </w:r>
      <w:r>
        <w:rPr>
          <w:color w:val="000000"/>
          <w:vertAlign w:val="superscript"/>
        </w:rPr>
        <w:t>15</w:t>
      </w:r>
      <w:r>
        <w:rPr>
          <w:color w:val="000000"/>
        </w:rPr>
        <w:t>N) and a negative value indicates isotopic depletion of the sample, relative to the international standard. When comparing two sampling units, such as sex, a more positive (or less negative) value for one sex indicates enrichment in the heavy isotope relative to both the standard and the other sex. It is this difference between sexes in isotopic enrichment that we have used to calculate the effect sizes in our meta-analysis.</w:t>
      </w:r>
    </w:p>
    <w:p w14:paraId="2330F42E"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In ecology and evolution, it is common to use standardized effect sizes (Nakagawa and Santos 2012). However, as all studies from which we extracted data already expressed stable isotope data in permil units, further standardization was not necessary (Nakagawa and Cuthill 2007). Therefore, we have calculated mean differences between male and female stable isotope ratios as the raw mean difference between isotopic means of each sex, as found in each study. We calculated these with a positive mean difference indicating that males were </w:t>
      </w:r>
      <w:r>
        <w:rPr>
          <w:vertAlign w:val="superscript"/>
        </w:rPr>
        <w:t>15</w:t>
      </w:r>
      <w:r>
        <w:t xml:space="preserve">N or </w:t>
      </w:r>
      <w:r>
        <w:rPr>
          <w:vertAlign w:val="superscript"/>
        </w:rPr>
        <w:t>13</w:t>
      </w:r>
      <w:r>
        <w:t>C</w:t>
      </w:r>
      <w:r>
        <w:rPr>
          <w:color w:val="000000"/>
        </w:rPr>
        <w:t xml:space="preserve"> enriched compared to females and a negative mean difference indicating females were isotopically enriched compared to males. For example, a positive ẟ</w:t>
      </w:r>
      <w:r>
        <w:rPr>
          <w:color w:val="000000"/>
          <w:vertAlign w:val="superscript"/>
        </w:rPr>
        <w:t>15</w:t>
      </w:r>
      <w:r>
        <w:rPr>
          <w:color w:val="000000"/>
        </w:rPr>
        <w:t>N mean difference indicates that males feed, on average, at a higher trophic level.</w:t>
      </w:r>
    </w:p>
    <w:p w14:paraId="2330F42F"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Regarding meta-analyses of variation, two effect size measures are often recommended in ecology and evolution, which are the log Variability Ratio (lnVR) and the log Coefficient of Variation Ratio (lnCVR) (Senior et al. 2020). lnCVR has the advantage of allowing for mean-variance relationships in effect sizes (i.e., an increase in variance with mean value) (Senior et al. 2016): our data did not show any evidence of such relationships (Appendix 1). In addition, because lnCVR accounts for variation in mean value by expressing absolute variation as a </w:t>
      </w:r>
      <w:r>
        <w:rPr>
          <w:color w:val="000000"/>
        </w:rPr>
        <w:lastRenderedPageBreak/>
        <w:t xml:space="preserve">proportion of group mean, sex differences in isotopic variation </w:t>
      </w:r>
      <w:r>
        <w:t>could actually be misrepresented through this standardisation</w:t>
      </w:r>
      <w:r>
        <w:rPr>
          <w:color w:val="000000"/>
        </w:rPr>
        <w:t>. For example, if one sex is twice as enriched relative to the international standard as the other and shows twice as much variation, lnCVR would express this as equal variation. Conversely, as lnVR is calculated using the raw variation values for each group, with no accounting for mean values, the more enriched sex would also be shown to be twice as variable, more accurately representing each sex’s ecology. We therefore selected lnVR as our effect size metric for sex differences in variation.</w:t>
      </w:r>
    </w:p>
    <w:p w14:paraId="2330F430" w14:textId="77777777" w:rsidR="007B149A" w:rsidRDefault="000E054D">
      <w:pPr>
        <w:pBdr>
          <w:top w:val="nil"/>
          <w:left w:val="nil"/>
          <w:bottom w:val="nil"/>
          <w:right w:val="nil"/>
          <w:between w:val="nil"/>
        </w:pBdr>
        <w:spacing w:before="180" w:after="180" w:line="360" w:lineRule="auto"/>
        <w:rPr>
          <w:color w:val="000000"/>
        </w:rPr>
      </w:pPr>
      <w:r>
        <w:rPr>
          <w:color w:val="000000"/>
        </w:rPr>
        <w:t>Finally, we selected mass dimorphism (Kg) as our measure of size dimorphism, as this measure was most readily available for the highest number of vertebrates, allowing the taxonomic scope of our analysis to be as high as possible. Body masses for each sex were established using web searches, prioritizing data from peer-reviewed scientific studies, followed by published books and, if necessary, taxon</w:t>
      </w:r>
      <w:r>
        <w:t>-</w:t>
      </w:r>
      <w:r>
        <w:rPr>
          <w:color w:val="000000"/>
        </w:rPr>
        <w:t>specific websites. As reliable body mass data could not be obtained for all species, the number of studies in the analysis was reduced to 156. A list of data sources used in our meta-analys</w:t>
      </w:r>
      <w:r>
        <w:t>es are provided in the Data Sources section.</w:t>
      </w:r>
    </w:p>
    <w:p w14:paraId="2330F431" w14:textId="77777777" w:rsidR="007B149A" w:rsidRDefault="000E054D">
      <w:pPr>
        <w:pStyle w:val="Heading2"/>
        <w:spacing w:line="360" w:lineRule="auto"/>
      </w:pPr>
      <w:bookmarkStart w:id="8" w:name="17dp8vu" w:colFirst="0" w:colLast="0"/>
      <w:bookmarkEnd w:id="8"/>
      <w:r>
        <w:t>Model Choice and Structure</w:t>
      </w:r>
    </w:p>
    <w:p w14:paraId="2330F432"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All models used complete case analysis, meaning rows containing missing data for </w:t>
      </w:r>
      <w:r>
        <w:t>predictor</w:t>
      </w:r>
      <w:r>
        <w:rPr>
          <w:color w:val="000000"/>
        </w:rPr>
        <w:t xml:space="preserve"> variables or effect sizes (dependent variables) were removed from the analysis. We used </w:t>
      </w:r>
      <w:r>
        <w:t>multilevel</w:t>
      </w:r>
      <w:r>
        <w:rPr>
          <w:color w:val="000000"/>
        </w:rPr>
        <w:t xml:space="preserve"> meta-analytic models to quantify the amount of between-study variation that exists for each isotope and effect size and how much of this variation is due to systematic heterogeneity, as opposed to random sampling variation. We then used </w:t>
      </w:r>
      <w:r>
        <w:t>multilevel</w:t>
      </w:r>
      <w:r>
        <w:rPr>
          <w:color w:val="000000"/>
        </w:rPr>
        <w:t xml:space="preserve"> meta-regression models to investigate whether the systematic heterogeneity found could be explained by our </w:t>
      </w:r>
      <w:r>
        <w:t>predictor</w:t>
      </w:r>
      <w:r>
        <w:rPr>
          <w:color w:val="000000"/>
        </w:rPr>
        <w:t xml:space="preserve"> variables. To investigate the possibility that ecological character displacement between sexes could be a strong selective force on body size, we examined the strength of associations between size dimorphism and sex differences in isotopic mean and variance, for carbon and nitrogen. </w:t>
      </w:r>
    </w:p>
    <w:p w14:paraId="2330F433" w14:textId="77777777" w:rsidR="007B149A" w:rsidRDefault="000E054D">
      <w:pPr>
        <w:pBdr>
          <w:top w:val="nil"/>
          <w:left w:val="nil"/>
          <w:bottom w:val="nil"/>
          <w:right w:val="nil"/>
          <w:between w:val="nil"/>
        </w:pBdr>
        <w:spacing w:before="180" w:after="180" w:line="360" w:lineRule="auto"/>
        <w:rPr>
          <w:color w:val="000000"/>
        </w:rPr>
      </w:pPr>
      <w:r>
        <w:rPr>
          <w:color w:val="000000"/>
        </w:rPr>
        <w:t>To examine whether ecological</w:t>
      </w:r>
      <w:r>
        <w:t xml:space="preserve"> context</w:t>
      </w:r>
      <w:r>
        <w:rPr>
          <w:color w:val="000000"/>
        </w:rPr>
        <w:t xml:space="preserve"> can modify the potential for ecological character displacement, we ran meta-regressions using sex differences in mean nitrogen isotope as the </w:t>
      </w:r>
      <w:r>
        <w:rPr>
          <w:color w:val="000000"/>
        </w:rPr>
        <w:lastRenderedPageBreak/>
        <w:t xml:space="preserve">response variable, with additional </w:t>
      </w:r>
      <w:r>
        <w:t>predictor</w:t>
      </w:r>
      <w:r>
        <w:rPr>
          <w:color w:val="000000"/>
        </w:rPr>
        <w:t xml:space="preserve"> variables, dietary </w:t>
      </w:r>
      <w:proofErr w:type="gramStart"/>
      <w:r>
        <w:rPr>
          <w:color w:val="000000"/>
        </w:rPr>
        <w:t>class</w:t>
      </w:r>
      <w:proofErr w:type="gramEnd"/>
      <w:r>
        <w:rPr>
          <w:color w:val="000000"/>
        </w:rPr>
        <w:t xml:space="preserve"> and mean species size, included alongside size dimorphism. Dietary class constituted a categorical variable with three levels: carnivore, omnivore, herbivore. Mean size was a continuous variable, calculated by averaging the male and female mass data used for calculating size dimorphism. We ran models including dietary class and mean size separately and together, with and without all combinations of two- and three-way interactions. Three-way interactions were theoretically justified because, if mean species size could modify the effect of size dimorphism on trophic level, this modification may be more apparent in species with more inherent trophic flexibility, such as omnivores, than those with less, such as herbivores. In addition, sample size was large enough that the number of parameters to be estimated with three-way interactions did not prevent models converging. The best models were identified using AICc scores, with lower scores taken to indicate better models (Arnold et al. 2010). As a final test of whether ecological </w:t>
      </w:r>
      <w:r>
        <w:t>context</w:t>
      </w:r>
      <w:r>
        <w:rPr>
          <w:color w:val="000000"/>
        </w:rPr>
        <w:t xml:space="preserve"> may influence the strength of ecological character displacement, we quantified the effect of gape-limitation by running two meta-regressions including only size dimorphism as a </w:t>
      </w:r>
      <w:r>
        <w:t>predictor</w:t>
      </w:r>
      <w:r>
        <w:rPr>
          <w:color w:val="000000"/>
        </w:rPr>
        <w:t xml:space="preserve"> variable and limiting the datasets to gape-limited and non-gape-limited carnivores, in which size dimorphism may have differing impacts on sex differences in trophic level. </w:t>
      </w:r>
    </w:p>
    <w:p w14:paraId="2330F434" w14:textId="77777777" w:rsidR="007B149A" w:rsidRDefault="000E054D">
      <w:pPr>
        <w:pBdr>
          <w:top w:val="nil"/>
          <w:left w:val="nil"/>
          <w:bottom w:val="nil"/>
          <w:right w:val="nil"/>
          <w:between w:val="nil"/>
        </w:pBdr>
        <w:spacing w:before="180" w:after="180" w:line="360" w:lineRule="auto"/>
        <w:rPr>
          <w:color w:val="000000"/>
        </w:rPr>
      </w:pPr>
      <w:r>
        <w:t>Residuals of all models were approximately normally distributed; thus, no data transformations were used.</w:t>
      </w:r>
    </w:p>
    <w:p w14:paraId="2330F435" w14:textId="77777777" w:rsidR="007B149A" w:rsidRDefault="000E054D">
      <w:pPr>
        <w:pStyle w:val="Heading2"/>
        <w:spacing w:line="360" w:lineRule="auto"/>
      </w:pPr>
      <w:bookmarkStart w:id="9" w:name="3rdcrjn" w:colFirst="0" w:colLast="0"/>
      <w:bookmarkEnd w:id="9"/>
      <w:r>
        <w:t>Random Effects</w:t>
      </w:r>
    </w:p>
    <w:p w14:paraId="2330F436"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In all the above </w:t>
      </w:r>
      <w:r>
        <w:t>multilevel</w:t>
      </w:r>
      <w:r>
        <w:rPr>
          <w:color w:val="000000"/>
        </w:rPr>
        <w:t xml:space="preserve"> models we included study identity and species as random factors, to account for random sampling variation at both of these levels and to adequately account for pseudoreplication, since we potentially considered measures for several tissue samples from the same specimens.</w:t>
      </w:r>
    </w:p>
    <w:p w14:paraId="2330F437" w14:textId="77777777" w:rsidR="007B149A" w:rsidRDefault="000E054D">
      <w:pPr>
        <w:pStyle w:val="Heading2"/>
        <w:spacing w:line="360" w:lineRule="auto"/>
      </w:pPr>
      <w:bookmarkStart w:id="10" w:name="26in1rg" w:colFirst="0" w:colLast="0"/>
      <w:bookmarkEnd w:id="10"/>
      <w:r>
        <w:t>Publication Bias and Sensitivity Analysis</w:t>
      </w:r>
    </w:p>
    <w:p w14:paraId="2330F438"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Scientific literature may be subject to publication bias, whereby favorable results are preferentially published, thus skewing the results of meta-analyses. Funnel plots may be used to identify such biases, by visualizing the distribution of published effect sizes and whether this </w:t>
      </w:r>
      <w:r>
        <w:rPr>
          <w:color w:val="000000"/>
        </w:rPr>
        <w:lastRenderedPageBreak/>
        <w:t xml:space="preserve">distribution is skewed towards particular results. We therefore produced funnel plots to visualize the distribution of published effect sizes for isotopic sex differences. In addition, biases may arise when research builds upon influential results from poor quality or low power studies, leading to reduced effect sizes through time, as the true effect is quantified with repetition or higher quality studies. To test for such publication bias in isotopic sex differences, we ran meta-regressions using sex differences in isotopic mean and variance, for carbon and nitrogen, as the dependent variable and publication year as the only </w:t>
      </w:r>
      <w:r>
        <w:t>predictor</w:t>
      </w:r>
      <w:r>
        <w:rPr>
          <w:color w:val="000000"/>
        </w:rPr>
        <w:t xml:space="preserve"> variable.</w:t>
      </w:r>
    </w:p>
    <w:p w14:paraId="2330F439" w14:textId="77777777" w:rsidR="007B149A" w:rsidRDefault="000E054D">
      <w:pPr>
        <w:pBdr>
          <w:top w:val="nil"/>
          <w:left w:val="nil"/>
          <w:bottom w:val="nil"/>
          <w:right w:val="nil"/>
          <w:between w:val="nil"/>
        </w:pBdr>
        <w:spacing w:before="180" w:after="180" w:line="360" w:lineRule="auto"/>
        <w:rPr>
          <w:color w:val="000000"/>
        </w:rPr>
      </w:pPr>
      <w:r>
        <w:rPr>
          <w:color w:val="000000"/>
        </w:rPr>
        <w:t>The results of meta-analyses may also be sensitive to decisions about the weights assigned to individual studies, as well as to high influence data points (Koricheva et al. 2013). Meta-analytic models usually account for both within-study variance and between-study variance when assigning weights to individual study results. However, when between-study variance is high, within-study variance can be masked when weighting studies, potentially impacting model results. We therefore ran additional models using only the inverse of within-study variance to assign study weights, to determine the influence of our choice of weighting parameter. Finally, to analyze the sensitivity of our models to high influence data points, we completed leave-one-out analysis, to calculate Cook’s distances for each data point and ran additional models with high influence data points removed. The results of our tests of publication bias, alternate study weighting and sensitivity analysis, alongside justifications for final data inclusion and model choices can be found in Appendix 1.</w:t>
      </w:r>
    </w:p>
    <w:p w14:paraId="2330F43A" w14:textId="77777777" w:rsidR="007B149A" w:rsidRDefault="000E054D">
      <w:pPr>
        <w:pStyle w:val="Heading2"/>
        <w:spacing w:line="360" w:lineRule="auto"/>
      </w:pPr>
      <w:bookmarkStart w:id="11" w:name="lnxbz9" w:colFirst="0" w:colLast="0"/>
      <w:bookmarkEnd w:id="11"/>
      <w:r>
        <w:t>Software</w:t>
      </w:r>
    </w:p>
    <w:p w14:paraId="2330F43B" w14:textId="77777777" w:rsidR="007B149A" w:rsidRDefault="000E054D">
      <w:pPr>
        <w:pBdr>
          <w:top w:val="nil"/>
          <w:left w:val="nil"/>
          <w:bottom w:val="nil"/>
          <w:right w:val="nil"/>
          <w:between w:val="nil"/>
        </w:pBdr>
        <w:spacing w:before="180" w:after="180" w:line="360" w:lineRule="auto"/>
        <w:rPr>
          <w:color w:val="000000"/>
        </w:rPr>
      </w:pPr>
      <w:r>
        <w:rPr>
          <w:color w:val="000000"/>
        </w:rPr>
        <w:t>All data processing, analyses and plotting were completed using R v4.0.2. We used the R package ‘metaDigitise’ v1.0.1 (Pick, Nakagawa &amp; Noble, 2019) for all data extraction from figures and the package ‘metafor’ v.2.4-0 (Viechtbauer 2020) to calculate all effect sizes and to run all meta-analytic and meta-regression models. We created all plots using the R package ‘ggplot2’ v3.3.3 (Wickham et al. 2020).</w:t>
      </w:r>
    </w:p>
    <w:p w14:paraId="2330F43C" w14:textId="77777777" w:rsidR="007B149A" w:rsidRDefault="000E054D">
      <w:pPr>
        <w:pStyle w:val="Heading1"/>
        <w:spacing w:line="360" w:lineRule="auto"/>
      </w:pPr>
      <w:bookmarkStart w:id="12" w:name="35nkun2" w:colFirst="0" w:colLast="0"/>
      <w:bookmarkEnd w:id="12"/>
      <w:r>
        <w:lastRenderedPageBreak/>
        <w:t>Results</w:t>
      </w:r>
    </w:p>
    <w:p w14:paraId="2330F43D" w14:textId="77777777" w:rsidR="007B149A" w:rsidRDefault="000E054D">
      <w:pPr>
        <w:pStyle w:val="Heading2"/>
        <w:spacing w:line="360" w:lineRule="auto"/>
      </w:pPr>
      <w:bookmarkStart w:id="13" w:name="1ksv4uv" w:colFirst="0" w:colLast="0"/>
      <w:bookmarkEnd w:id="13"/>
      <w:r>
        <w:t>Dataset</w:t>
      </w:r>
    </w:p>
    <w:p w14:paraId="2330F43E"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Our final database contained isotopic information from 156 studies, covering 166 species. Mammals were the most common subphylum (n = 70), followed by birds (n = 60), fish (n = 19), reptiles (n = 17) and a single amphibian. The most dimorphic species were the turtle </w:t>
      </w:r>
      <w:r>
        <w:rPr>
          <w:i/>
          <w:color w:val="000000"/>
        </w:rPr>
        <w:t>Graptemys geographica</w:t>
      </w:r>
      <w:r>
        <w:rPr>
          <w:color w:val="000000"/>
        </w:rPr>
        <w:t>, in which females are 10x the mass of males and elephant seals (</w:t>
      </w:r>
      <w:r>
        <w:rPr>
          <w:i/>
          <w:color w:val="000000"/>
        </w:rPr>
        <w:t>Mirounga leonina</w:t>
      </w:r>
      <w:r>
        <w:rPr>
          <w:color w:val="000000"/>
        </w:rPr>
        <w:t xml:space="preserve">), with males seven times larger than females. The number of effect sizes used in the analyses was highest for </w:t>
      </w:r>
      <m:oMath>
        <m:r>
          <w:rPr>
            <w:rFonts w:ascii="Cambria Math" w:hAnsi="Cambria Math"/>
          </w:rPr>
          <m:t>δ</m:t>
        </m:r>
      </m:oMath>
      <w:r>
        <w:rPr>
          <w:color w:val="000000"/>
          <w:vertAlign w:val="superscript"/>
        </w:rPr>
        <w:t>15</w:t>
      </w:r>
      <w:r>
        <w:rPr>
          <w:color w:val="000000"/>
        </w:rPr>
        <w:t xml:space="preserve">N mean sex differences (n = 282), followed by </w:t>
      </w:r>
      <m:oMath>
        <m:r>
          <w:rPr>
            <w:rFonts w:ascii="Cambria Math" w:hAnsi="Cambria Math"/>
          </w:rPr>
          <m:t>δ</m:t>
        </m:r>
      </m:oMath>
      <w:r>
        <w:rPr>
          <w:color w:val="000000"/>
          <w:vertAlign w:val="superscript"/>
        </w:rPr>
        <w:t>13</w:t>
      </w:r>
      <w:r>
        <w:rPr>
          <w:color w:val="000000"/>
        </w:rPr>
        <w:t xml:space="preserve">C mean differences (n = 276), </w:t>
      </w:r>
      <m:oMath>
        <m:r>
          <w:rPr>
            <w:rFonts w:ascii="Cambria Math" w:hAnsi="Cambria Math"/>
          </w:rPr>
          <m:t>δ</m:t>
        </m:r>
      </m:oMath>
      <w:r>
        <w:rPr>
          <w:color w:val="000000"/>
          <w:vertAlign w:val="superscript"/>
        </w:rPr>
        <w:t>15</w:t>
      </w:r>
      <w:r>
        <w:rPr>
          <w:color w:val="000000"/>
        </w:rPr>
        <w:t xml:space="preserve">N lnVR (n = 272) and </w:t>
      </w:r>
      <m:oMath>
        <m:r>
          <w:rPr>
            <w:rFonts w:ascii="Cambria Math" w:hAnsi="Cambria Math"/>
          </w:rPr>
          <m:t>δ</m:t>
        </m:r>
      </m:oMath>
      <w:r>
        <w:rPr>
          <w:color w:val="000000"/>
          <w:vertAlign w:val="superscript"/>
        </w:rPr>
        <w:t>13</w:t>
      </w:r>
      <w:r>
        <w:rPr>
          <w:color w:val="000000"/>
        </w:rPr>
        <w:t>C lnVR (n = 266).</w:t>
      </w:r>
    </w:p>
    <w:p w14:paraId="2330F43F" w14:textId="77777777" w:rsidR="007B149A" w:rsidRDefault="000E054D">
      <w:pPr>
        <w:pStyle w:val="Heading3"/>
        <w:spacing w:line="360" w:lineRule="auto"/>
      </w:pPr>
      <w:bookmarkStart w:id="14" w:name="44sinio" w:colFirst="0" w:colLast="0"/>
      <w:bookmarkEnd w:id="14"/>
      <w:r>
        <w:t>1) Quantifying Heterogeneity in Between-Sex Isotopic Differences</w:t>
      </w:r>
    </w:p>
    <w:p w14:paraId="2330F440"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Heterogeneity was found for sex differences in mean </w:t>
      </w:r>
      <m:oMath>
        <m:r>
          <w:rPr>
            <w:rFonts w:ascii="Cambria Math" w:hAnsi="Cambria Math"/>
          </w:rPr>
          <m:t>δ</m:t>
        </m:r>
      </m:oMath>
      <w:r>
        <w:rPr>
          <w:color w:val="000000"/>
          <w:vertAlign w:val="superscript"/>
        </w:rPr>
        <w:t>15</w:t>
      </w:r>
      <w:r>
        <w:rPr>
          <w:color w:val="000000"/>
        </w:rPr>
        <w:t xml:space="preserve">N (trophic level) and </w:t>
      </w:r>
      <m:oMath>
        <m:r>
          <w:rPr>
            <w:rFonts w:ascii="Cambria Math" w:hAnsi="Cambria Math"/>
          </w:rPr>
          <m:t>δ</m:t>
        </m:r>
      </m:oMath>
      <w:r>
        <w:rPr>
          <w:color w:val="000000"/>
          <w:vertAlign w:val="superscript"/>
        </w:rPr>
        <w:t>13</w:t>
      </w:r>
      <w:r>
        <w:rPr>
          <w:color w:val="000000"/>
        </w:rPr>
        <w:t xml:space="preserve">C (food chain </w:t>
      </w:r>
      <w:r>
        <w:t>basal carbon resource</w:t>
      </w:r>
      <w:r>
        <w:rPr>
          <w:color w:val="000000"/>
        </w:rPr>
        <w:t xml:space="preserve">) and sex differences in </w:t>
      </w:r>
      <m:oMath>
        <m:r>
          <w:rPr>
            <w:rFonts w:ascii="Cambria Math" w:hAnsi="Cambria Math"/>
          </w:rPr>
          <m:t>δ</m:t>
        </m:r>
      </m:oMath>
      <w:r>
        <w:rPr>
          <w:color w:val="000000"/>
          <w:vertAlign w:val="superscript"/>
        </w:rPr>
        <w:t>15</w:t>
      </w:r>
      <w:r>
        <w:rPr>
          <w:color w:val="000000"/>
        </w:rPr>
        <w:t xml:space="preserve">N and </w:t>
      </w:r>
      <m:oMath>
        <m:r>
          <w:rPr>
            <w:rFonts w:ascii="Cambria Math" w:hAnsi="Cambria Math"/>
          </w:rPr>
          <m:t>δ</m:t>
        </m:r>
      </m:oMath>
      <w:r>
        <w:rPr>
          <w:color w:val="000000"/>
          <w:vertAlign w:val="superscript"/>
        </w:rPr>
        <w:t>13</w:t>
      </w:r>
      <w:r>
        <w:rPr>
          <w:color w:val="000000"/>
        </w:rPr>
        <w:t xml:space="preserve">C variation (Figure </w:t>
      </w:r>
      <w:r>
        <w:t>2</w:t>
      </w:r>
      <w:r>
        <w:rPr>
          <w:color w:val="000000"/>
        </w:rPr>
        <w:t>). The amount of heterogeneity due to systematic variation (I</w:t>
      </w:r>
      <w:r>
        <w:rPr>
          <w:color w:val="000000"/>
          <w:vertAlign w:val="superscript"/>
        </w:rPr>
        <w:t>2</w:t>
      </w:r>
      <w:r>
        <w:rPr>
          <w:color w:val="000000"/>
        </w:rPr>
        <w:t>), as opposed to random error was 90.</w:t>
      </w:r>
      <w:r>
        <w:t>57</w:t>
      </w:r>
      <w:r>
        <w:rPr>
          <w:color w:val="000000"/>
        </w:rPr>
        <w:t xml:space="preserve">% and 94.38% for </w:t>
      </w:r>
      <m:oMath>
        <m:r>
          <w:rPr>
            <w:rFonts w:ascii="Cambria Math" w:hAnsi="Cambria Math"/>
          </w:rPr>
          <m:t>δ</m:t>
        </m:r>
      </m:oMath>
      <w:r>
        <w:rPr>
          <w:color w:val="000000"/>
          <w:vertAlign w:val="superscript"/>
        </w:rPr>
        <w:t>15</w:t>
      </w:r>
      <w:r>
        <w:rPr>
          <w:color w:val="000000"/>
        </w:rPr>
        <w:t xml:space="preserve">N and </w:t>
      </w:r>
      <m:oMath>
        <m:r>
          <w:rPr>
            <w:rFonts w:ascii="Cambria Math" w:hAnsi="Cambria Math"/>
          </w:rPr>
          <m:t>δ</m:t>
        </m:r>
      </m:oMath>
      <w:r>
        <w:rPr>
          <w:color w:val="000000"/>
          <w:vertAlign w:val="superscript"/>
        </w:rPr>
        <w:t>13</w:t>
      </w:r>
      <w:r>
        <w:rPr>
          <w:color w:val="000000"/>
        </w:rPr>
        <w:t xml:space="preserve">C mean sex differences, respectively. Such high systematic heterogeneity indicates that almost all between-study variation in effect size can be explained by </w:t>
      </w:r>
      <w:r>
        <w:t>predictor</w:t>
      </w:r>
      <w:r>
        <w:rPr>
          <w:color w:val="000000"/>
        </w:rPr>
        <w:t xml:space="preserve"> variables. Regarding sex differences in isotopic variation, I</w:t>
      </w:r>
      <w:r>
        <w:rPr>
          <w:color w:val="000000"/>
          <w:vertAlign w:val="superscript"/>
        </w:rPr>
        <w:t>2</w:t>
      </w:r>
      <w:r>
        <w:rPr>
          <w:color w:val="000000"/>
        </w:rPr>
        <w:t xml:space="preserve"> was 64.</w:t>
      </w:r>
      <w:r>
        <w:t>2</w:t>
      </w:r>
      <w:r>
        <w:rPr>
          <w:color w:val="000000"/>
        </w:rPr>
        <w:t xml:space="preserve">% and 72.83% for </w:t>
      </w:r>
      <m:oMath>
        <m:r>
          <w:rPr>
            <w:rFonts w:ascii="Cambria Math" w:hAnsi="Cambria Math"/>
          </w:rPr>
          <m:t>δ</m:t>
        </m:r>
      </m:oMath>
      <w:r>
        <w:rPr>
          <w:color w:val="000000"/>
          <w:vertAlign w:val="superscript"/>
        </w:rPr>
        <w:t>15</w:t>
      </w:r>
      <w:r>
        <w:rPr>
          <w:color w:val="000000"/>
        </w:rPr>
        <w:t xml:space="preserve">N and </w:t>
      </w:r>
      <m:oMath>
        <m:r>
          <w:rPr>
            <w:rFonts w:ascii="Cambria Math" w:hAnsi="Cambria Math"/>
          </w:rPr>
          <m:t>δ</m:t>
        </m:r>
      </m:oMath>
      <w:r>
        <w:rPr>
          <w:color w:val="000000"/>
          <w:vertAlign w:val="superscript"/>
        </w:rPr>
        <w:t>13</w:t>
      </w:r>
      <w:r>
        <w:rPr>
          <w:color w:val="000000"/>
        </w:rPr>
        <w:t xml:space="preserve">C, respectively, indicating that the majority of heterogeneity in between-sex differences in isotopic variation may also be explained by </w:t>
      </w:r>
      <w:r>
        <w:t>predictor</w:t>
      </w:r>
      <w:r>
        <w:rPr>
          <w:color w:val="000000"/>
        </w:rPr>
        <w:t xml:space="preserve"> variables. In the case of nitrogen, one sex was at least twice as variable as the other in 8.5% cases</w:t>
      </w:r>
      <w:r>
        <w:t xml:space="preserve"> </w:t>
      </w:r>
      <w:r>
        <w:rPr>
          <w:color w:val="000000"/>
        </w:rPr>
        <w:t xml:space="preserve">and for carbon, in </w:t>
      </w:r>
      <w:r>
        <w:rPr>
          <w:color w:val="000000"/>
        </w:rPr>
        <w:lastRenderedPageBreak/>
        <w:t xml:space="preserve">13.1% </w:t>
      </w:r>
      <w:proofErr w:type="gramStart"/>
      <w:r>
        <w:rPr>
          <w:color w:val="000000"/>
        </w:rPr>
        <w:t>cases(</w:t>
      </w:r>
      <w:proofErr w:type="gramEnd"/>
      <w:r>
        <w:rPr>
          <w:color w:val="000000"/>
        </w:rPr>
        <w:t xml:space="preserve">Figure </w:t>
      </w:r>
      <w:r>
        <w:t>2</w:t>
      </w:r>
      <w:r>
        <w:rPr>
          <w:color w:val="000000"/>
        </w:rPr>
        <w:t xml:space="preserve">). </w:t>
      </w:r>
      <w:r>
        <w:rPr>
          <w:noProof/>
        </w:rPr>
        <w:drawing>
          <wp:inline distT="114300" distB="114300" distL="114300" distR="114300" wp14:anchorId="2330F7E8" wp14:editId="2330F7E9">
            <wp:extent cx="5943600" cy="5943600"/>
            <wp:effectExtent l="0" t="0" r="0" b="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8"/>
                    <a:srcRect/>
                    <a:stretch>
                      <a:fillRect/>
                    </a:stretch>
                  </pic:blipFill>
                  <pic:spPr>
                    <a:xfrm>
                      <a:off x="0" y="0"/>
                      <a:ext cx="5943600" cy="5943600"/>
                    </a:xfrm>
                    <a:prstGeom prst="rect">
                      <a:avLst/>
                    </a:prstGeom>
                    <a:ln/>
                  </pic:spPr>
                </pic:pic>
              </a:graphicData>
            </a:graphic>
          </wp:inline>
        </w:drawing>
      </w:r>
    </w:p>
    <w:p w14:paraId="2330F441" w14:textId="77777777" w:rsidR="007B149A" w:rsidRDefault="000E054D">
      <w:pPr>
        <w:pBdr>
          <w:top w:val="nil"/>
          <w:left w:val="nil"/>
          <w:bottom w:val="nil"/>
          <w:right w:val="nil"/>
          <w:between w:val="nil"/>
        </w:pBdr>
        <w:spacing w:after="120" w:line="360" w:lineRule="auto"/>
        <w:rPr>
          <w:color w:val="000000"/>
        </w:rPr>
      </w:pPr>
      <w:r>
        <w:rPr>
          <w:b/>
          <w:color w:val="000000"/>
        </w:rPr>
        <w:t xml:space="preserve">Figure 2. </w:t>
      </w:r>
      <w:r>
        <w:rPr>
          <w:color w:val="000000"/>
        </w:rPr>
        <w:t xml:space="preserve">Published stable isotope ratio sex differences for nitrogen mean (A), carbon mean (B), nitrogen variation (C) and carbon variation (D). In (A) and (B) each point represents the raw difference between male and female mean stable isotope ratio, of one tissue of one species. Positive values indicate higher values in males, negative values indicate higher values in females. In (C) and (D) each point represents the log </w:t>
      </w:r>
      <w:proofErr w:type="gramStart"/>
      <w:r>
        <w:rPr>
          <w:color w:val="000000"/>
        </w:rPr>
        <w:t>male:female</w:t>
      </w:r>
      <w:proofErr w:type="gramEnd"/>
      <w:r>
        <w:rPr>
          <w:color w:val="000000"/>
        </w:rPr>
        <w:t xml:space="preserve"> variability ratio of one tissue, of one species. Positive values indicate males showed more isotopic variation and those above </w:t>
      </w:r>
      <w:r>
        <w:rPr>
          <w:color w:val="000000"/>
        </w:rPr>
        <w:lastRenderedPageBreak/>
        <w:t xml:space="preserve">the dotted line indicate that males were more than twice as variable as females. Negative values indicate females showed more isotopic variation and those below the dotted line indicate that females were more than twice as variable as males. X axes </w:t>
      </w:r>
      <w:r>
        <w:t>constitute</w:t>
      </w:r>
      <w:r>
        <w:rPr>
          <w:color w:val="000000"/>
        </w:rPr>
        <w:t xml:space="preserve"> one category, with a jitter added to </w:t>
      </w:r>
      <w:r>
        <w:t>best display the data.</w:t>
      </w:r>
    </w:p>
    <w:p w14:paraId="2330F442" w14:textId="77777777" w:rsidR="007B149A" w:rsidRDefault="007B149A">
      <w:pPr>
        <w:pBdr>
          <w:top w:val="nil"/>
          <w:left w:val="nil"/>
          <w:bottom w:val="nil"/>
          <w:right w:val="nil"/>
          <w:between w:val="nil"/>
        </w:pBdr>
        <w:spacing w:before="180" w:after="180" w:line="360" w:lineRule="auto"/>
        <w:rPr>
          <w:color w:val="000000"/>
        </w:rPr>
      </w:pPr>
    </w:p>
    <w:p w14:paraId="2330F443" w14:textId="77777777" w:rsidR="007B149A" w:rsidRDefault="000E054D">
      <w:pPr>
        <w:pStyle w:val="Heading3"/>
        <w:spacing w:line="360" w:lineRule="auto"/>
      </w:pPr>
      <w:bookmarkStart w:id="15" w:name="2jxsxqh" w:colFirst="0" w:colLast="0"/>
      <w:bookmarkEnd w:id="15"/>
      <w:r>
        <w:t>2) Associations Between Isotopic Sex Difference and Size Dimorphism</w:t>
      </w:r>
    </w:p>
    <w:p w14:paraId="2330F444"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To examine the possibility that the evolution of size dimorphism relates to ecology, we carried out meta-regressions containing size dimorphism as the sole </w:t>
      </w:r>
      <w:r>
        <w:t xml:space="preserve">predictor </w:t>
      </w:r>
      <w:r>
        <w:rPr>
          <w:color w:val="000000"/>
        </w:rPr>
        <w:t xml:space="preserve">variable and found </w:t>
      </w:r>
      <w:r>
        <w:t>modest</w:t>
      </w:r>
      <w:r>
        <w:rPr>
          <w:color w:val="000000"/>
        </w:rPr>
        <w:t xml:space="preserve"> or non-existent associations with isotopic sex differences. The estimated effect size of size dimorphism on </w:t>
      </w:r>
      <m:oMath>
        <m:r>
          <w:rPr>
            <w:rFonts w:ascii="Cambria Math" w:hAnsi="Cambria Math"/>
          </w:rPr>
          <m:t>δ</m:t>
        </m:r>
      </m:oMath>
      <w:r>
        <w:rPr>
          <w:color w:val="000000"/>
          <w:vertAlign w:val="superscript"/>
        </w:rPr>
        <w:t>15</w:t>
      </w:r>
      <w:r>
        <w:rPr>
          <w:color w:val="000000"/>
        </w:rPr>
        <w:t xml:space="preserve">N mean difference was positive, but </w:t>
      </w:r>
      <w:r>
        <w:t>modest</w:t>
      </w:r>
      <w:r>
        <w:rPr>
          <w:color w:val="000000"/>
        </w:rPr>
        <w:t xml:space="preserve"> when compared to the variation in isotopic sex differences in our dataset [mean = 0.12</w:t>
      </w:r>
      <w:r>
        <w:t>7</w:t>
      </w:r>
      <w:r>
        <w:rPr>
          <w:color w:val="000000"/>
        </w:rPr>
        <w:t xml:space="preserve">, 95% CI: 0.06 - 0.19, </w:t>
      </w:r>
      <w:r>
        <w:rPr>
          <w:i/>
          <w:color w:val="000000"/>
        </w:rPr>
        <w:t>p</w:t>
      </w:r>
      <w:r>
        <w:rPr>
          <w:color w:val="000000"/>
        </w:rPr>
        <w:t>=</w:t>
      </w:r>
      <w:r>
        <w:t>&lt; 0.001</w:t>
      </w:r>
      <w:r>
        <w:rPr>
          <w:color w:val="000000"/>
        </w:rPr>
        <w:t xml:space="preserve">]. Models of relationships between size dimorphism and </w:t>
      </w:r>
      <m:oMath>
        <m:r>
          <w:rPr>
            <w:rFonts w:ascii="Cambria Math" w:hAnsi="Cambria Math"/>
          </w:rPr>
          <m:t>δ</m:t>
        </m:r>
      </m:oMath>
      <w:r>
        <w:rPr>
          <w:color w:val="000000"/>
          <w:vertAlign w:val="superscript"/>
        </w:rPr>
        <w:t>13</w:t>
      </w:r>
      <w:r>
        <w:rPr>
          <w:color w:val="000000"/>
        </w:rPr>
        <w:t xml:space="preserve">C mean differences, </w:t>
      </w:r>
      <m:oMath>
        <m:r>
          <w:rPr>
            <w:rFonts w:ascii="Cambria Math" w:hAnsi="Cambria Math"/>
          </w:rPr>
          <m:t>δ</m:t>
        </m:r>
      </m:oMath>
      <w:r>
        <w:rPr>
          <w:color w:val="000000"/>
          <w:vertAlign w:val="superscript"/>
        </w:rPr>
        <w:t>15</w:t>
      </w:r>
      <w:r>
        <w:rPr>
          <w:color w:val="000000"/>
        </w:rPr>
        <w:t xml:space="preserve">N variation and </w:t>
      </w:r>
      <m:oMath>
        <m:r>
          <w:rPr>
            <w:rFonts w:ascii="Cambria Math" w:hAnsi="Cambria Math"/>
          </w:rPr>
          <m:t>δ</m:t>
        </m:r>
      </m:oMath>
      <w:r>
        <w:rPr>
          <w:color w:val="000000"/>
          <w:vertAlign w:val="superscript"/>
        </w:rPr>
        <w:t>13</w:t>
      </w:r>
      <w:r>
        <w:rPr>
          <w:color w:val="000000"/>
        </w:rPr>
        <w:t>C variation produced estimate confidence bands that overlapped zero, indicating no signifi</w:t>
      </w:r>
      <w:r>
        <w:t xml:space="preserve">cant </w:t>
      </w:r>
      <w:r>
        <w:rPr>
          <w:color w:val="000000"/>
        </w:rPr>
        <w:t>associations between size dimorphism and these measures of isotopic sex differences. The predictions from these models, alongside their underlying raw data, are visualized in Figure 3.</w:t>
      </w:r>
      <w:r>
        <w:rPr>
          <w:noProof/>
        </w:rPr>
        <w:drawing>
          <wp:inline distT="114300" distB="114300" distL="114300" distR="114300" wp14:anchorId="2330F7EA" wp14:editId="2330F7EB">
            <wp:extent cx="5943600" cy="2971800"/>
            <wp:effectExtent l="0" t="0" r="0" b="0"/>
            <wp:docPr id="1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9"/>
                    <a:srcRect/>
                    <a:stretch>
                      <a:fillRect/>
                    </a:stretch>
                  </pic:blipFill>
                  <pic:spPr>
                    <a:xfrm>
                      <a:off x="0" y="0"/>
                      <a:ext cx="5943600" cy="2971800"/>
                    </a:xfrm>
                    <a:prstGeom prst="rect">
                      <a:avLst/>
                    </a:prstGeom>
                    <a:ln/>
                  </pic:spPr>
                </pic:pic>
              </a:graphicData>
            </a:graphic>
          </wp:inline>
        </w:drawing>
      </w:r>
    </w:p>
    <w:p w14:paraId="2330F445" w14:textId="77777777" w:rsidR="007B149A" w:rsidRDefault="000E054D">
      <w:pPr>
        <w:pBdr>
          <w:top w:val="nil"/>
          <w:left w:val="nil"/>
          <w:bottom w:val="nil"/>
          <w:right w:val="nil"/>
          <w:between w:val="nil"/>
        </w:pBdr>
        <w:spacing w:after="120" w:line="360" w:lineRule="auto"/>
        <w:rPr>
          <w:color w:val="000000"/>
        </w:rPr>
      </w:pPr>
      <w:r>
        <w:rPr>
          <w:b/>
          <w:color w:val="000000"/>
        </w:rPr>
        <w:lastRenderedPageBreak/>
        <w:t xml:space="preserve">Figure 3. </w:t>
      </w:r>
      <w:r>
        <w:rPr>
          <w:color w:val="000000"/>
        </w:rPr>
        <w:t xml:space="preserve">The relationship between </w:t>
      </w:r>
      <w:r>
        <w:t xml:space="preserve">sexual </w:t>
      </w:r>
      <w:r>
        <w:rPr>
          <w:color w:val="000000"/>
        </w:rPr>
        <w:t>size dimorphism and stable isotope sex differences in nitrogen mean (A), carbon mean (B), nitrogen variation (C) and carbon variation (D). Lines and 95% confidence intervals are based on meta-regression predictions. Data points are raw data, overlaid to visually assess how well size dimorphism explains isotopic sex differences.</w:t>
      </w:r>
    </w:p>
    <w:p w14:paraId="2330F446" w14:textId="77777777" w:rsidR="007B149A" w:rsidRDefault="000E054D">
      <w:pPr>
        <w:pStyle w:val="Heading3"/>
        <w:spacing w:line="360" w:lineRule="auto"/>
      </w:pPr>
      <w:bookmarkStart w:id="16" w:name="z337ya" w:colFirst="0" w:colLast="0"/>
      <w:bookmarkEnd w:id="16"/>
      <w:r>
        <w:t>3) Quantifying the Effects of Ecological Context</w:t>
      </w:r>
    </w:p>
    <w:p w14:paraId="2330F447" w14:textId="77777777" w:rsidR="007B149A" w:rsidRDefault="000E054D">
      <w:pPr>
        <w:pBdr>
          <w:top w:val="nil"/>
          <w:left w:val="nil"/>
          <w:bottom w:val="nil"/>
          <w:right w:val="nil"/>
          <w:between w:val="nil"/>
        </w:pBdr>
        <w:spacing w:before="180" w:after="180" w:line="360" w:lineRule="auto"/>
      </w:pPr>
      <w:r>
        <w:rPr>
          <w:color w:val="000000"/>
        </w:rPr>
        <w:t xml:space="preserve">To test the possibility that associations between size dimorphism and feeding vary in strength among ecological contexts, we used meta-regressions to test whether dietary class, mean size or gape-limitation modified the effect of size dimorphism on sex differences in trophic level. Model selection using AICc scores indicated that a model containing species </w:t>
      </w:r>
      <w:r>
        <w:t>mean size and dietary class</w:t>
      </w:r>
      <w:r>
        <w:rPr>
          <w:color w:val="000000"/>
        </w:rPr>
        <w:t xml:space="preserve"> as predictors of </w:t>
      </w:r>
      <m:oMath>
        <m:r>
          <w:rPr>
            <w:rFonts w:ascii="Cambria Math" w:hAnsi="Cambria Math"/>
          </w:rPr>
          <m:t>δ</m:t>
        </m:r>
      </m:oMath>
      <w:r>
        <w:rPr>
          <w:color w:val="000000"/>
          <w:vertAlign w:val="superscript"/>
        </w:rPr>
        <w:t>15</w:t>
      </w:r>
      <w:r>
        <w:rPr>
          <w:color w:val="000000"/>
        </w:rPr>
        <w:t>N sex differences, with an interaction between size dimorphism and dietary class, improved model fit (AICc = 5</w:t>
      </w:r>
      <w:r>
        <w:t>11</w:t>
      </w:r>
      <w:r>
        <w:rPr>
          <w:color w:val="000000"/>
        </w:rPr>
        <w:t>), compared to the size dimorphism only model above (AICc = 51</w:t>
      </w:r>
      <w:r>
        <w:t>7</w:t>
      </w:r>
      <w:r>
        <w:rPr>
          <w:color w:val="000000"/>
        </w:rPr>
        <w:t>). However, when</w:t>
      </w:r>
      <w:r>
        <w:t xml:space="preserve"> we fitted predictions using this model, we found the effect of dietary </w:t>
      </w:r>
      <w:proofErr w:type="gramStart"/>
      <w:r>
        <w:t>class  to</w:t>
      </w:r>
      <w:proofErr w:type="gramEnd"/>
      <w:r>
        <w:t xml:space="preserve"> confound that of mean size, inversing the predicted effect of mean size on sex differences in nitrogen mean, compared to the model summary. We therefore selected the two best models containing dietary class and mean size separately (which did not change our qualitative conclusions). The best model containing dietary class alongside size dimorphism (AICc = 513), contained an interaction between predictors, such that the association between size dimorphism and sex differences in nitrogen mean was absent in herbivores, moderate in carnivores [0.111, 95% CI: 0.0466-0.175, </w:t>
      </w:r>
      <w:r>
        <w:rPr>
          <w:i/>
        </w:rPr>
        <w:t>p</w:t>
      </w:r>
      <w:r>
        <w:t xml:space="preserve"> &lt;0.001] and strongest in omnivores [0.379, 95% CI: 0.0361-0.721, </w:t>
      </w:r>
      <w:r>
        <w:rPr>
          <w:i/>
        </w:rPr>
        <w:t>p</w:t>
      </w:r>
      <w:r>
        <w:t xml:space="preserve"> = 0.03] (Figure 4). </w:t>
      </w:r>
    </w:p>
    <w:p w14:paraId="2330F448" w14:textId="77777777" w:rsidR="007B149A" w:rsidRDefault="000E054D">
      <w:pPr>
        <w:pBdr>
          <w:top w:val="nil"/>
          <w:left w:val="nil"/>
          <w:bottom w:val="nil"/>
          <w:right w:val="nil"/>
          <w:between w:val="nil"/>
        </w:pBdr>
        <w:spacing w:before="180" w:after="180" w:line="360" w:lineRule="auto"/>
      </w:pPr>
      <w:r>
        <w:rPr>
          <w:noProof/>
        </w:rPr>
        <w:lastRenderedPageBreak/>
        <w:drawing>
          <wp:inline distT="114300" distB="114300" distL="114300" distR="114300" wp14:anchorId="2330F7EC" wp14:editId="2330F7ED">
            <wp:extent cx="5943600" cy="2971800"/>
            <wp:effectExtent l="0" t="0" r="0" b="0"/>
            <wp:docPr id="10"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0"/>
                    <a:srcRect/>
                    <a:stretch>
                      <a:fillRect/>
                    </a:stretch>
                  </pic:blipFill>
                  <pic:spPr>
                    <a:xfrm>
                      <a:off x="0" y="0"/>
                      <a:ext cx="5943600" cy="2971800"/>
                    </a:xfrm>
                    <a:prstGeom prst="rect">
                      <a:avLst/>
                    </a:prstGeom>
                    <a:ln/>
                  </pic:spPr>
                </pic:pic>
              </a:graphicData>
            </a:graphic>
          </wp:inline>
        </w:drawing>
      </w:r>
    </w:p>
    <w:p w14:paraId="2330F449" w14:textId="77777777" w:rsidR="007B149A" w:rsidRDefault="000E054D">
      <w:pPr>
        <w:spacing w:after="120" w:line="360" w:lineRule="auto"/>
      </w:pPr>
      <w:r>
        <w:rPr>
          <w:b/>
        </w:rPr>
        <w:t xml:space="preserve">Figure 4. </w:t>
      </w:r>
      <w:r>
        <w:t>The relationship between sexual size dimorphism and mean nitrogen stable isotope ratio sex differences in carnivores (A), omnivores (B) and herbivores (C). Lines and 95% confidence intervals are based on meta-regression predictions. Data points are raw data, overlaid to visually assess how well size dimorphism explains trophic sex differences in each dietary class.</w:t>
      </w:r>
    </w:p>
    <w:p w14:paraId="2330F44A" w14:textId="77777777" w:rsidR="007B149A" w:rsidRDefault="000E054D">
      <w:pPr>
        <w:pBdr>
          <w:top w:val="nil"/>
          <w:left w:val="nil"/>
          <w:bottom w:val="nil"/>
          <w:right w:val="nil"/>
          <w:between w:val="nil"/>
        </w:pBdr>
        <w:spacing w:before="180" w:after="180" w:line="360" w:lineRule="auto"/>
        <w:rPr>
          <w:color w:val="000000"/>
        </w:rPr>
      </w:pPr>
      <w:r>
        <w:t>The best model containing mean size alongside size dimorphism (AICc = 513</w:t>
      </w:r>
      <w:proofErr w:type="gramStart"/>
      <w:r>
        <w:t>)  contained</w:t>
      </w:r>
      <w:proofErr w:type="gramEnd"/>
      <w:r>
        <w:t xml:space="preserve"> an interaction, with a moderate effect of size dimorphism on sex differences in nitrogen mean  [0.151, 95% CI: 0.0863-0.216, </w:t>
      </w:r>
      <w:r>
        <w:rPr>
          <w:i/>
        </w:rPr>
        <w:t>p</w:t>
      </w:r>
      <w:r>
        <w:t xml:space="preserve"> &lt;0.001], that decreased modestly as species mean size increased [-0.00000799, 95% CI: -0.0000155 - -0.000000449, </w:t>
      </w:r>
      <w:r>
        <w:rPr>
          <w:i/>
        </w:rPr>
        <w:t>p</w:t>
      </w:r>
      <w:r>
        <w:t xml:space="preserve"> &lt;0.05]. Mean size had no effect on sex differences in nitrogen mean independent of size dimorphism (Figure 5).</w:t>
      </w:r>
    </w:p>
    <w:p w14:paraId="2330F44B" w14:textId="77777777" w:rsidR="007B149A" w:rsidRDefault="007B149A">
      <w:pPr>
        <w:pBdr>
          <w:top w:val="nil"/>
          <w:left w:val="nil"/>
          <w:bottom w:val="nil"/>
          <w:right w:val="nil"/>
          <w:between w:val="nil"/>
        </w:pBdr>
        <w:spacing w:before="180" w:after="180" w:line="360" w:lineRule="auto"/>
      </w:pPr>
    </w:p>
    <w:p w14:paraId="2330F44C" w14:textId="77777777" w:rsidR="007B149A" w:rsidRDefault="000E054D">
      <w:pPr>
        <w:pBdr>
          <w:top w:val="nil"/>
          <w:left w:val="nil"/>
          <w:bottom w:val="nil"/>
          <w:right w:val="nil"/>
          <w:between w:val="nil"/>
        </w:pBdr>
        <w:spacing w:before="180" w:after="180" w:line="360" w:lineRule="auto"/>
      </w:pPr>
      <w:r>
        <w:rPr>
          <w:noProof/>
        </w:rPr>
        <w:lastRenderedPageBreak/>
        <w:drawing>
          <wp:inline distT="114300" distB="114300" distL="114300" distR="114300" wp14:anchorId="2330F7EE" wp14:editId="2330F7EF">
            <wp:extent cx="5943600" cy="2971800"/>
            <wp:effectExtent l="0" t="0" r="0" b="0"/>
            <wp:docPr id="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1"/>
                    <a:srcRect/>
                    <a:stretch>
                      <a:fillRect/>
                    </a:stretch>
                  </pic:blipFill>
                  <pic:spPr>
                    <a:xfrm>
                      <a:off x="0" y="0"/>
                      <a:ext cx="5943600" cy="2971800"/>
                    </a:xfrm>
                    <a:prstGeom prst="rect">
                      <a:avLst/>
                    </a:prstGeom>
                    <a:ln/>
                  </pic:spPr>
                </pic:pic>
              </a:graphicData>
            </a:graphic>
          </wp:inline>
        </w:drawing>
      </w:r>
    </w:p>
    <w:p w14:paraId="2330F44D" w14:textId="77777777" w:rsidR="007B149A" w:rsidRDefault="000E054D">
      <w:pPr>
        <w:pBdr>
          <w:top w:val="nil"/>
          <w:left w:val="nil"/>
          <w:bottom w:val="nil"/>
          <w:right w:val="nil"/>
          <w:between w:val="nil"/>
        </w:pBdr>
        <w:spacing w:after="120" w:line="360" w:lineRule="auto"/>
        <w:rPr>
          <w:color w:val="000000"/>
        </w:rPr>
      </w:pPr>
      <w:r>
        <w:rPr>
          <w:b/>
          <w:color w:val="000000"/>
        </w:rPr>
        <w:t xml:space="preserve">Figure </w:t>
      </w:r>
      <w:r>
        <w:rPr>
          <w:b/>
        </w:rPr>
        <w:t>5</w:t>
      </w:r>
      <w:r>
        <w:rPr>
          <w:b/>
          <w:color w:val="000000"/>
        </w:rPr>
        <w:t xml:space="preserve">. </w:t>
      </w:r>
      <w:r>
        <w:rPr>
          <w:color w:val="000000"/>
        </w:rPr>
        <w:t>T</w:t>
      </w:r>
      <w:r>
        <w:t xml:space="preserve">he relationship between species mean size </w:t>
      </w:r>
      <w:proofErr w:type="gramStart"/>
      <w:r>
        <w:t xml:space="preserve">and </w:t>
      </w:r>
      <w:r>
        <w:rPr>
          <w:color w:val="000000"/>
        </w:rPr>
        <w:t xml:space="preserve"> </w:t>
      </w:r>
      <w:r>
        <w:t>mean</w:t>
      </w:r>
      <w:proofErr w:type="gramEnd"/>
      <w:r>
        <w:t xml:space="preserve"> nitrogen stable isotope ratio sex differences (D). </w:t>
      </w:r>
      <w:r>
        <w:rPr>
          <w:color w:val="000000"/>
        </w:rPr>
        <w:t>Lines and 95% confidence intervals are based on meta-regression predictions. Data points are raw data, overlaid to visually assess how well size dimorphism explains trophic sex differences in each dietary class.</w:t>
      </w:r>
    </w:p>
    <w:p w14:paraId="2330F44E" w14:textId="77777777" w:rsidR="007B149A" w:rsidRDefault="007B149A">
      <w:pPr>
        <w:pBdr>
          <w:top w:val="nil"/>
          <w:left w:val="nil"/>
          <w:bottom w:val="nil"/>
          <w:right w:val="nil"/>
          <w:between w:val="nil"/>
        </w:pBdr>
        <w:spacing w:after="120" w:line="360" w:lineRule="auto"/>
      </w:pPr>
    </w:p>
    <w:p w14:paraId="2330F44F" w14:textId="77777777" w:rsidR="007B149A" w:rsidRDefault="000E054D">
      <w:pPr>
        <w:spacing w:before="180" w:after="180" w:line="360" w:lineRule="auto"/>
      </w:pPr>
      <w:r>
        <w:t xml:space="preserve">Limiting the dataset to only gape-limited predators, in which trophic level is predicted to relate more closely to body size, resulted in a 92% increase in the estimated effect of size dimorphism on </w:t>
      </w:r>
      <m:oMath>
        <m:r>
          <w:rPr>
            <w:rFonts w:ascii="Cambria Math" w:hAnsi="Cambria Math"/>
          </w:rPr>
          <m:t>δ</m:t>
        </m:r>
      </m:oMath>
      <w:r>
        <w:rPr>
          <w:vertAlign w:val="superscript"/>
        </w:rPr>
        <w:t>15</w:t>
      </w:r>
      <w:r>
        <w:t xml:space="preserve">N mean difference [0.18, 95% CI: 0.0095-0.35, </w:t>
      </w:r>
      <w:r>
        <w:rPr>
          <w:i/>
        </w:rPr>
        <w:t>p</w:t>
      </w:r>
      <w:r>
        <w:t xml:space="preserve">&lt;0.05], relative to non-gape-limited [0.094, 95% CI: 0.023-0.17, </w:t>
      </w:r>
      <w:r>
        <w:rPr>
          <w:i/>
        </w:rPr>
        <w:t>p</w:t>
      </w:r>
      <w:r>
        <w:t>=0.01] (Figure 6).</w:t>
      </w:r>
    </w:p>
    <w:p w14:paraId="2330F450" w14:textId="77777777" w:rsidR="007B149A" w:rsidRDefault="007B149A">
      <w:pPr>
        <w:pBdr>
          <w:top w:val="nil"/>
          <w:left w:val="nil"/>
          <w:bottom w:val="nil"/>
          <w:right w:val="nil"/>
          <w:between w:val="nil"/>
        </w:pBdr>
        <w:spacing w:after="120" w:line="360" w:lineRule="auto"/>
      </w:pPr>
    </w:p>
    <w:p w14:paraId="2330F451" w14:textId="77777777" w:rsidR="007B149A" w:rsidRDefault="000E054D">
      <w:pPr>
        <w:keepNext/>
        <w:pBdr>
          <w:top w:val="nil"/>
          <w:left w:val="nil"/>
          <w:bottom w:val="nil"/>
          <w:right w:val="nil"/>
          <w:between w:val="nil"/>
        </w:pBdr>
        <w:spacing w:line="360" w:lineRule="auto"/>
        <w:rPr>
          <w:color w:val="000000"/>
        </w:rPr>
      </w:pPr>
      <w:r>
        <w:rPr>
          <w:noProof/>
        </w:rPr>
        <w:lastRenderedPageBreak/>
        <w:drawing>
          <wp:inline distT="114300" distB="114300" distL="114300" distR="114300" wp14:anchorId="2330F7F0" wp14:editId="2330F7F1">
            <wp:extent cx="5943600" cy="2971800"/>
            <wp:effectExtent l="0" t="0" r="0" b="0"/>
            <wp:docPr id="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2"/>
                    <a:srcRect/>
                    <a:stretch>
                      <a:fillRect/>
                    </a:stretch>
                  </pic:blipFill>
                  <pic:spPr>
                    <a:xfrm>
                      <a:off x="0" y="0"/>
                      <a:ext cx="5943600" cy="2971800"/>
                    </a:xfrm>
                    <a:prstGeom prst="rect">
                      <a:avLst/>
                    </a:prstGeom>
                    <a:ln/>
                  </pic:spPr>
                </pic:pic>
              </a:graphicData>
            </a:graphic>
          </wp:inline>
        </w:drawing>
      </w:r>
    </w:p>
    <w:p w14:paraId="2330F452" w14:textId="77777777" w:rsidR="007B149A" w:rsidRDefault="000E054D">
      <w:pPr>
        <w:pBdr>
          <w:top w:val="nil"/>
          <w:left w:val="nil"/>
          <w:bottom w:val="nil"/>
          <w:right w:val="nil"/>
          <w:between w:val="nil"/>
        </w:pBdr>
        <w:spacing w:after="120" w:line="360" w:lineRule="auto"/>
        <w:rPr>
          <w:color w:val="000000"/>
        </w:rPr>
      </w:pPr>
      <w:r>
        <w:rPr>
          <w:b/>
          <w:color w:val="000000"/>
        </w:rPr>
        <w:t xml:space="preserve">Figure </w:t>
      </w:r>
      <w:r>
        <w:rPr>
          <w:b/>
        </w:rPr>
        <w:t>6</w:t>
      </w:r>
      <w:r>
        <w:rPr>
          <w:b/>
          <w:color w:val="000000"/>
        </w:rPr>
        <w:t>.</w:t>
      </w:r>
      <w:r>
        <w:rPr>
          <w:color w:val="000000"/>
        </w:rPr>
        <w:t xml:space="preserve"> The relationship between sexual size dimorphism and mean nitrogen stable isotope ratio sex difference in gape-limited and non-gape-limited carnivores. Lines and 95% confidence intervals are based on meta-regression predictions. Data points are raw data for gape-limited carnivores, overlaid to assess how well size dimorphism explains trophic sex differences in gape-limited carnivores. Predictions based on gape-limited species are shown in grey (prediction line is dashed outside the raw data range) and for the non-gape-limited carnivores in red.</w:t>
      </w:r>
    </w:p>
    <w:p w14:paraId="2330F453" w14:textId="77777777" w:rsidR="007B149A" w:rsidRDefault="000E054D">
      <w:pPr>
        <w:pStyle w:val="Heading1"/>
        <w:spacing w:line="360" w:lineRule="auto"/>
      </w:pPr>
      <w:bookmarkStart w:id="17" w:name="3j2qqm3" w:colFirst="0" w:colLast="0"/>
      <w:bookmarkEnd w:id="17"/>
      <w:r>
        <w:t>Discussion</w:t>
      </w:r>
    </w:p>
    <w:p w14:paraId="2330F454"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Using meta-analytical methods, we examined cross species relationships between sexual size dimorphism and ecological divergence between sexes, measured using stable isotopes. We found that, across 166 globally distributed species, size dimorphism was weakly associated with sex differences in mean </w:t>
      </w:r>
      <m:oMath>
        <m:r>
          <w:rPr>
            <w:rFonts w:ascii="Cambria Math" w:hAnsi="Cambria Math"/>
          </w:rPr>
          <m:t>δ</m:t>
        </m:r>
      </m:oMath>
      <w:r>
        <w:rPr>
          <w:color w:val="000000"/>
          <w:vertAlign w:val="superscript"/>
        </w:rPr>
        <w:t>15</w:t>
      </w:r>
      <w:r>
        <w:rPr>
          <w:color w:val="000000"/>
        </w:rPr>
        <w:t xml:space="preserve">N (trophic level), but not mean </w:t>
      </w:r>
      <m:oMath>
        <m:r>
          <w:rPr>
            <w:rFonts w:ascii="Cambria Math" w:hAnsi="Cambria Math"/>
          </w:rPr>
          <m:t>δ</m:t>
        </m:r>
      </m:oMath>
      <w:r>
        <w:rPr>
          <w:color w:val="000000"/>
          <w:vertAlign w:val="superscript"/>
        </w:rPr>
        <w:t>13</w:t>
      </w:r>
      <w:r>
        <w:rPr>
          <w:color w:val="000000"/>
        </w:rPr>
        <w:t xml:space="preserve">C (food chain </w:t>
      </w:r>
      <w:r>
        <w:t>basal carbon resource</w:t>
      </w:r>
      <w:r>
        <w:rPr>
          <w:color w:val="000000"/>
        </w:rPr>
        <w:t xml:space="preserve">), or variation in either isotope. The relationship between size dimorphism and mean </w:t>
      </w:r>
      <m:oMath>
        <m:r>
          <w:rPr>
            <w:rFonts w:ascii="Cambria Math" w:hAnsi="Cambria Math"/>
          </w:rPr>
          <m:t>δ</m:t>
        </m:r>
      </m:oMath>
      <w:r>
        <w:rPr>
          <w:color w:val="000000"/>
          <w:vertAlign w:val="superscript"/>
        </w:rPr>
        <w:t>15</w:t>
      </w:r>
      <w:r>
        <w:rPr>
          <w:color w:val="000000"/>
        </w:rPr>
        <w:t xml:space="preserve">N was influenced by ecological context, however, being unrelated to species mean size and absent in herbivores, but present in carnivores and strongest in omnivores. Sex differences in </w:t>
      </w:r>
      <w:r>
        <w:rPr>
          <w:color w:val="000000"/>
        </w:rPr>
        <w:lastRenderedPageBreak/>
        <w:t>trophic level were also more strongly associated with size dimorphism in gape-limited than in non-gape-limited carnivores, as predicted by theory.</w:t>
      </w:r>
    </w:p>
    <w:p w14:paraId="2330F455" w14:textId="77777777" w:rsidR="007B149A" w:rsidRDefault="000E054D">
      <w:pPr>
        <w:pStyle w:val="Heading3"/>
        <w:spacing w:line="360" w:lineRule="auto"/>
      </w:pPr>
      <w:bookmarkStart w:id="18" w:name="1y810tw" w:colFirst="0" w:colLast="0"/>
      <w:bookmarkEnd w:id="18"/>
      <w:r>
        <w:t>1) Between-study heterogeneity exists in isotopic sex differences.</w:t>
      </w:r>
    </w:p>
    <w:p w14:paraId="2330F456" w14:textId="77777777" w:rsidR="007B149A" w:rsidRDefault="000E054D">
      <w:pPr>
        <w:pBdr>
          <w:top w:val="nil"/>
          <w:left w:val="nil"/>
          <w:bottom w:val="nil"/>
          <w:right w:val="nil"/>
          <w:between w:val="nil"/>
        </w:pBdr>
        <w:spacing w:before="180" w:after="180" w:line="360" w:lineRule="auto"/>
        <w:rPr>
          <w:b/>
          <w:sz w:val="68"/>
          <w:szCs w:val="68"/>
        </w:rPr>
      </w:pPr>
      <w:r>
        <w:rPr>
          <w:color w:val="000000"/>
        </w:rPr>
        <w:t xml:space="preserve">We found systematic between-study heterogeneity for between-sex differences in isotopic mean and variance, for nitrogen and carbon isotopes. Heterogeneity for sex differences in mean </w:t>
      </w:r>
      <m:oMath>
        <m:r>
          <w:rPr>
            <w:rFonts w:ascii="Cambria Math" w:hAnsi="Cambria Math"/>
          </w:rPr>
          <m:t>δ</m:t>
        </m:r>
      </m:oMath>
      <w:r>
        <w:rPr>
          <w:color w:val="000000"/>
          <w:vertAlign w:val="superscript"/>
        </w:rPr>
        <w:t>15</w:t>
      </w:r>
      <w:r>
        <w:rPr>
          <w:color w:val="000000"/>
        </w:rPr>
        <w:t xml:space="preserve">N and </w:t>
      </w:r>
      <m:oMath>
        <m:r>
          <w:rPr>
            <w:rFonts w:ascii="Cambria Math" w:hAnsi="Cambria Math"/>
          </w:rPr>
          <m:t>δ</m:t>
        </m:r>
      </m:oMath>
      <w:r>
        <w:rPr>
          <w:color w:val="000000"/>
          <w:vertAlign w:val="superscript"/>
        </w:rPr>
        <w:t>13</w:t>
      </w:r>
      <w:r>
        <w:rPr>
          <w:color w:val="000000"/>
        </w:rPr>
        <w:t xml:space="preserve">C indicates systematic between-study variation in the extent to which males and females feed at different trophic levels and in different food chains, respectively. The heterogeneity found for sex differences in </w:t>
      </w:r>
      <m:oMath>
        <m:r>
          <w:rPr>
            <w:rFonts w:ascii="Cambria Math" w:hAnsi="Cambria Math"/>
          </w:rPr>
          <m:t>δ</m:t>
        </m:r>
      </m:oMath>
      <w:r>
        <w:rPr>
          <w:color w:val="000000"/>
          <w:vertAlign w:val="superscript"/>
        </w:rPr>
        <w:t>15</w:t>
      </w:r>
      <w:proofErr w:type="gramStart"/>
      <w:r>
        <w:rPr>
          <w:color w:val="000000"/>
        </w:rPr>
        <w:t>N  and</w:t>
      </w:r>
      <w:proofErr w:type="gramEnd"/>
      <w:r>
        <w:rPr>
          <w:color w:val="000000"/>
        </w:rPr>
        <w:t xml:space="preserve"> </w:t>
      </w:r>
      <m:oMath>
        <m:r>
          <w:rPr>
            <w:rFonts w:ascii="Cambria Math" w:hAnsi="Cambria Math"/>
          </w:rPr>
          <m:t>δ</m:t>
        </m:r>
      </m:oMath>
      <w:r>
        <w:rPr>
          <w:color w:val="000000"/>
          <w:vertAlign w:val="superscript"/>
        </w:rPr>
        <w:t>13</w:t>
      </w:r>
      <w:r>
        <w:rPr>
          <w:color w:val="000000"/>
        </w:rPr>
        <w:t xml:space="preserve">C variation is suggestive of systematic between-study variation in the extent to which individuals </w:t>
      </w:r>
      <w:r>
        <w:t>exhibit</w:t>
      </w:r>
      <w:r>
        <w:rPr>
          <w:color w:val="000000"/>
        </w:rPr>
        <w:t xml:space="preserve"> trophic and food chain variability. </w:t>
      </w:r>
      <w:r>
        <w:t xml:space="preserve">Our meta-analytic models therefore indicated that large amounts of between-study variation in ecological sex differences may be explained by study-level variables. Though we found that sex differences in trophic level was related to size dimorphism, which we discuss presently, our analyses also highlight </w:t>
      </w:r>
      <w:proofErr w:type="gramStart"/>
      <w:r>
        <w:t>that large amounts of the ecological sex differences</w:t>
      </w:r>
      <w:proofErr w:type="gramEnd"/>
      <w:r>
        <w:t xml:space="preserve"> documented by the stable isotope literature remain open to explanation by further analyses, some suggestions for which we will also outline below. </w:t>
      </w:r>
      <w:r>
        <w:rPr>
          <w:highlight w:val="white"/>
        </w:rPr>
        <w:t>We hope our database provides a useful starting point for further investigations of sexual dimorphism and ecological differences between males and females</w:t>
      </w:r>
      <w:r>
        <w:t>.</w:t>
      </w:r>
    </w:p>
    <w:p w14:paraId="2330F457" w14:textId="77777777" w:rsidR="007B149A" w:rsidRDefault="000E054D">
      <w:pPr>
        <w:pStyle w:val="Heading3"/>
        <w:spacing w:line="360" w:lineRule="auto"/>
      </w:pPr>
      <w:bookmarkStart w:id="19" w:name="4i7ojhp" w:colFirst="0" w:colLast="0"/>
      <w:bookmarkEnd w:id="19"/>
      <w:r>
        <w:t>2) Size dimorphism is associated with sex differences in trophic level, but not food chain basal carbon resources or ecological variability.</w:t>
      </w:r>
    </w:p>
    <w:p w14:paraId="2330F458"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We found evidence that sexual size dimorphism does, in some instances, scale positively with ecological sex differences. Size dimorphism exhibited a moderate positive association with sex differences in mean </w:t>
      </w:r>
      <m:oMath>
        <m:r>
          <w:rPr>
            <w:rFonts w:ascii="Cambria Math" w:hAnsi="Cambria Math"/>
          </w:rPr>
          <m:t>δ</m:t>
        </m:r>
      </m:oMath>
      <w:r>
        <w:rPr>
          <w:color w:val="000000"/>
          <w:vertAlign w:val="superscript"/>
        </w:rPr>
        <w:t>15</w:t>
      </w:r>
      <w:r>
        <w:rPr>
          <w:color w:val="000000"/>
        </w:rPr>
        <w:t xml:space="preserve">N and thus explained some variation in trophic level differences between males and females. Previous cross-species investigations of the relationship between size dimorphism and </w:t>
      </w:r>
      <m:oMath>
        <m:r>
          <w:rPr>
            <w:rFonts w:ascii="Cambria Math" w:hAnsi="Cambria Math"/>
          </w:rPr>
          <m:t>δ</m:t>
        </m:r>
      </m:oMath>
      <w:r>
        <w:rPr>
          <w:color w:val="000000"/>
          <w:vertAlign w:val="superscript"/>
        </w:rPr>
        <w:t>15</w:t>
      </w:r>
      <w:r>
        <w:rPr>
          <w:color w:val="000000"/>
        </w:rPr>
        <w:t xml:space="preserve">N sex differences have often found inconsistencies, with size dimorphism sometimes relating to trophic differences and sometimes not (Phillips et al. 2011; Mancini et al. 2013). These inconsistencies are likely because the effect is </w:t>
      </w:r>
      <w:r>
        <w:t>probably modest</w:t>
      </w:r>
      <w:r>
        <w:rPr>
          <w:color w:val="000000"/>
        </w:rPr>
        <w:t xml:space="preserve"> and may be modified by a wide range of factors, as evidenced by the amount of unexplained </w:t>
      </w:r>
      <w:r>
        <w:rPr>
          <w:color w:val="000000"/>
        </w:rPr>
        <w:lastRenderedPageBreak/>
        <w:t xml:space="preserve">variation in our dataset. Thus, the size and scope of our analysis is likely the factor that has allowed us to find a clear but moderate effect of size dimorphism on trophic level differences between sexes. No relationships existed between size dimorphism and variation in </w:t>
      </w:r>
      <m:oMath>
        <m:r>
          <w:rPr>
            <w:rFonts w:ascii="Cambria Math" w:hAnsi="Cambria Math"/>
          </w:rPr>
          <m:t>δ</m:t>
        </m:r>
      </m:oMath>
      <w:r>
        <w:rPr>
          <w:color w:val="000000"/>
          <w:vertAlign w:val="superscript"/>
        </w:rPr>
        <w:t>13</w:t>
      </w:r>
      <w:r>
        <w:rPr>
          <w:color w:val="000000"/>
        </w:rPr>
        <w:t>C mean sex differences, or sex differences in variation in either isotope. Size dimorphism thus does not appear to have a systematic cross-species influence on sex differences in food chain</w:t>
      </w:r>
      <w:r>
        <w:t xml:space="preserve"> basal carbon resources</w:t>
      </w:r>
      <w:r>
        <w:rPr>
          <w:color w:val="000000"/>
        </w:rPr>
        <w:t xml:space="preserve"> or trophic variability. These results conflict somewhat with the conclusions of studies on individual species (Voigt et al. 2018; Calado et al. 2020). It may therefore be the case that size dimorphism is related to </w:t>
      </w:r>
      <w:r>
        <w:t xml:space="preserve">sex differences in basal carbon resources </w:t>
      </w:r>
      <w:r>
        <w:rPr>
          <w:color w:val="000000"/>
        </w:rPr>
        <w:t>and trophic variability in particular species or populations but does not provide a general explanation for these ecological sex differences across species.</w:t>
      </w:r>
    </w:p>
    <w:p w14:paraId="2330F459" w14:textId="77777777" w:rsidR="007B149A" w:rsidRDefault="000E054D">
      <w:pPr>
        <w:pStyle w:val="Heading3"/>
        <w:spacing w:line="360" w:lineRule="auto"/>
      </w:pPr>
      <w:bookmarkStart w:id="20" w:name="2xcytpi" w:colFirst="0" w:colLast="0"/>
      <w:bookmarkEnd w:id="20"/>
      <w:r>
        <w:t>3) Associations between size dimorphism and trophic sex differences are modified by dietary class and gape-limitation, but not mean size.</w:t>
      </w:r>
    </w:p>
    <w:p w14:paraId="2330F45A"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We found that ecological context influenced associations between size dimorphism and trophic sex differences. Dietary class modified the effect of size dimorphism on trophic differences between males and females, with no effect of dimorphism in herbivores, a moderate effect in carnivores and the strongest effect in </w:t>
      </w:r>
      <w:proofErr w:type="gramStart"/>
      <w:r>
        <w:rPr>
          <w:color w:val="000000"/>
        </w:rPr>
        <w:t>omnivores .</w:t>
      </w:r>
      <w:proofErr w:type="gramEnd"/>
      <w:r>
        <w:rPr>
          <w:color w:val="000000"/>
        </w:rPr>
        <w:t xml:space="preserve"> These results corroborate our prediction, that inherent differences in trophic flexibility would alter the impact of size dimorphism on trophic sex differences, and make sense given the respective feeding niches of the three dietary classes. As herbivores would be expected to feed exclusively on plants, they should only occupy the trophic position of primary consumer, leaving little scope for size dimorphism to influence trophic level. Carnivores may occupy any position from secondary consumer upwards, meaning each sex could take prey from one or multiple trophic levels. There is thus some opportunity in carnivores for trophic differences between the sexes to be influenced by size dimorphism, hence the moderate positive effect in our model. In contrast to the other two groups, omnivores would be expected to consume foods from a minimum of two trophic levels, leading to a greater probability of trophic differences between sexes and the largest opportunity for size dimorphism to influence this difference. This is likely why size dimorphism was most strongly associated with trophic sex differences in omnivores in our dataset. Together, these </w:t>
      </w:r>
      <w:r>
        <w:rPr>
          <w:color w:val="000000"/>
        </w:rPr>
        <w:lastRenderedPageBreak/>
        <w:t>results suggest that the impact of size dimorphism on trophic level differences between males and females is dependent on the ecological opportunity for feeding differences between sexes.</w:t>
      </w:r>
    </w:p>
    <w:p w14:paraId="2330F45B" w14:textId="77777777" w:rsidR="007B149A" w:rsidRDefault="000E054D">
      <w:pPr>
        <w:pBdr>
          <w:top w:val="nil"/>
          <w:left w:val="nil"/>
          <w:bottom w:val="nil"/>
          <w:right w:val="nil"/>
          <w:between w:val="nil"/>
        </w:pBdr>
        <w:spacing w:before="180" w:after="180" w:line="360" w:lineRule="auto"/>
      </w:pPr>
      <w:r>
        <w:t>An independent effect of species mean size was absent in our model. There was an interaction between mean size and size dimorphism, with the effect of size dimorphism falling slightly as mean size increased. However, this effect was multiple orders of magnitude lower than the analytical reproducibility of nitrogen stable isotope analysis. Thus, even though the model estimate was technically negative, we conclude that absolute species size has no modifying effect on the association between size dimorphism and trophic level differences between sexes.</w:t>
      </w:r>
    </w:p>
    <w:p w14:paraId="2330F45C" w14:textId="77777777" w:rsidR="007B149A" w:rsidRDefault="000E054D">
      <w:pPr>
        <w:pBdr>
          <w:top w:val="nil"/>
          <w:left w:val="nil"/>
          <w:bottom w:val="nil"/>
          <w:right w:val="nil"/>
          <w:between w:val="nil"/>
        </w:pBdr>
        <w:spacing w:before="180" w:after="180" w:line="360" w:lineRule="auto"/>
        <w:rPr>
          <w:b/>
        </w:rPr>
      </w:pPr>
      <w:r>
        <w:rPr>
          <w:color w:val="000000"/>
        </w:rPr>
        <w:t>The effect of size dimorphism on intersex trophic level differences is predicted to be greater in gape-limited species (Shine 1991; Shine 2000; Shine et al. 2003)</w:t>
      </w:r>
      <w:r>
        <w:t xml:space="preserve"> and w</w:t>
      </w:r>
      <w:r>
        <w:rPr>
          <w:color w:val="000000"/>
        </w:rPr>
        <w:t>hen we limited our analysis to gape-limited predators, the mean estimated effect of size dimorphism on trophic differences between sexes increased by 9</w:t>
      </w:r>
      <w:r>
        <w:t>2</w:t>
      </w:r>
      <w:r>
        <w:rPr>
          <w:color w:val="000000"/>
        </w:rPr>
        <w:t xml:space="preserve">%, relative to non-gape-limited carnivores, though the confidence intervals overlapped (Figure 4). There is substantial evidence available that larger gape increases maximum ingestible prey size and trophic level in fish and snakes (Web and Shine 1993; Persson et al. 1996; Nilsson and Bronmark 2003; Barnes and Beaudreau 2021). We thus interpret our results as evidence that size dimorphism has a greater impact on trophic level difference between males and females in gape-limited species. </w:t>
      </w:r>
      <w:r>
        <w:t>W</w:t>
      </w:r>
      <w:r>
        <w:rPr>
          <w:color w:val="000000"/>
        </w:rPr>
        <w:t xml:space="preserve">hen size dimorphism more directly impacts access to resources, it is </w:t>
      </w:r>
      <w:r>
        <w:t>more strongly</w:t>
      </w:r>
      <w:r>
        <w:rPr>
          <w:color w:val="000000"/>
        </w:rPr>
        <w:t xml:space="preserve"> associated with ecological differences between sexes.</w:t>
      </w:r>
    </w:p>
    <w:p w14:paraId="2330F45D"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In summary, we found the </w:t>
      </w:r>
      <w:r>
        <w:t>extent of</w:t>
      </w:r>
      <w:r>
        <w:rPr>
          <w:color w:val="000000"/>
        </w:rPr>
        <w:t xml:space="preserve"> size dimorphism to </w:t>
      </w:r>
      <w:r>
        <w:t>relate to the extent of trophic sex differences</w:t>
      </w:r>
      <w:r>
        <w:rPr>
          <w:color w:val="000000"/>
        </w:rPr>
        <w:t>, an a</w:t>
      </w:r>
      <w:r>
        <w:t xml:space="preserve">ssociation </w:t>
      </w:r>
      <w:r>
        <w:rPr>
          <w:color w:val="000000"/>
        </w:rPr>
        <w:t xml:space="preserve">that increased in strength when ecological opportunity for trophic variation was greatest and when size dimorphism was more ecologically relevant. </w:t>
      </w:r>
      <w:r>
        <w:t xml:space="preserve">These cross-species associations between size dimorphism and ecological sex differences are consistent with predictions from ecological character displacement theory (Shine 1989; de Lisle 2019; Introduction). Past comparative analyses of the sought we have conducted have used such directional cross-species associations to infer causation when investigating the evolutionary drivers of size dimorphism (Székely et al. 2004). We therefore believe that our results provide evidence linking size dimorphism to ecological sex differences, and that that link is causative, </w:t>
      </w:r>
      <w:r>
        <w:lastRenderedPageBreak/>
        <w:t xml:space="preserve">supporting earlier conclusions that sexual dimorphism evolves partly via ecological character displacement between sexes (Shine 1989; de Lisle and Rowe 2015; de Lisle 2019). </w:t>
      </w:r>
      <w:r>
        <w:rPr>
          <w:color w:val="000000"/>
        </w:rPr>
        <w:t>However, the weakness of the associations we found also support</w:t>
      </w:r>
      <w:r>
        <w:t>s the predictions of other authors that the role of ecological character displacement is relatively minor (Fairbairn 1997; de Lisle and Rowe 2015).</w:t>
      </w:r>
    </w:p>
    <w:p w14:paraId="2330F45E" w14:textId="77777777" w:rsidR="007B149A" w:rsidRDefault="000E054D">
      <w:pPr>
        <w:pBdr>
          <w:top w:val="nil"/>
          <w:left w:val="nil"/>
          <w:bottom w:val="nil"/>
          <w:right w:val="nil"/>
          <w:between w:val="nil"/>
        </w:pBdr>
        <w:spacing w:before="180" w:after="180" w:line="360" w:lineRule="auto"/>
        <w:rPr>
          <w:color w:val="000000"/>
        </w:rPr>
      </w:pPr>
      <w:r>
        <w:rPr>
          <w:color w:val="000000"/>
        </w:rPr>
        <w:t>Given this conclusion, and the remaining unexplained variation in our dataset, several questions arise from our meta-analysis that should form the subjects of future work. Firstly, if ecological character displacement plays only a minor role in the evolution of sexual dimorphism, what is its strength as a selective force, relative to other forms of disruptive selection on male and female traits? A weak role for ecologically mediated selection implies that sexual and fecundity selection are the main drivers of sexual dimorphism. However, a recent analysis found that size dimorphism was only weakly associated with sexual selection across species, leading the authors to suggest that “alternative mechanisms such as ecological character displacement may be crucial to understand the full diversity of (size dimorphism) in animals” (Janicke and Fromonteil 2021). Considering our own results, alongside their conclusion, we suggest that a future priority should be the incorporation of sexual, fecundity and ecologically mediated selection into single cross-species analyses, to quantify their relative importance to the evolution of size dimorphism.</w:t>
      </w:r>
    </w:p>
    <w:p w14:paraId="2330F45F" w14:textId="77777777" w:rsidR="007B149A" w:rsidRDefault="000E054D">
      <w:pPr>
        <w:pBdr>
          <w:top w:val="nil"/>
          <w:left w:val="nil"/>
          <w:bottom w:val="nil"/>
          <w:right w:val="nil"/>
          <w:between w:val="nil"/>
        </w:pBdr>
        <w:spacing w:before="180" w:after="180" w:line="360" w:lineRule="auto"/>
        <w:rPr>
          <w:color w:val="000000"/>
        </w:rPr>
      </w:pPr>
      <w:r>
        <w:rPr>
          <w:color w:val="000000"/>
        </w:rPr>
        <w:t>Secondly, why would ecological character displacement be weaker than other drivers of sexual dimorphism? One possibility is that the frequency</w:t>
      </w:r>
      <w:r>
        <w:t>-</w:t>
      </w:r>
      <w:r>
        <w:rPr>
          <w:color w:val="000000"/>
        </w:rPr>
        <w:t xml:space="preserve">dependent nature of resource competition means that the strength of competition falls as the sexes phenotypically diverge (de Lisle and Rowe 2015). Alternatively, divergence from the species mean phenotype, whilst alleviating resource competition, may itself entail fitness costs that eventually exceed those of competition for resources (Slatkin 1984; Bolnick and Doebeli 2003). Either possible scenario may place an upper limit on the extent to which ecologically mediated selection can drive character displacement between sexes. </w:t>
      </w:r>
      <w:proofErr w:type="gramStart"/>
      <w:r>
        <w:t>Therefore</w:t>
      </w:r>
      <w:proofErr w:type="gramEnd"/>
      <w:r>
        <w:t xml:space="preserve"> e</w:t>
      </w:r>
      <w:r>
        <w:rPr>
          <w:color w:val="000000"/>
        </w:rPr>
        <w:t>stablishing the mechanistic limitations on ecological character displacement between sexes should also become the focus of future investigations</w:t>
      </w:r>
      <w:r>
        <w:t>, most likely via modelling and experiment.</w:t>
      </w:r>
    </w:p>
    <w:p w14:paraId="2330F460" w14:textId="77777777" w:rsidR="007B149A" w:rsidRDefault="000E054D">
      <w:pPr>
        <w:pBdr>
          <w:top w:val="nil"/>
          <w:left w:val="nil"/>
          <w:bottom w:val="nil"/>
          <w:right w:val="nil"/>
          <w:between w:val="nil"/>
        </w:pBdr>
        <w:spacing w:before="180" w:after="180" w:line="360" w:lineRule="auto"/>
      </w:pPr>
      <w:r>
        <w:rPr>
          <w:color w:val="000000"/>
        </w:rPr>
        <w:lastRenderedPageBreak/>
        <w:t xml:space="preserve">A final question is what additional variables could be included in future analyses, to explain variation in ecological sex differences? Our analyses have highlighted </w:t>
      </w:r>
      <w:proofErr w:type="gramStart"/>
      <w:r>
        <w:rPr>
          <w:color w:val="000000"/>
        </w:rPr>
        <w:t>that high amounts of between-study variation</w:t>
      </w:r>
      <w:proofErr w:type="gramEnd"/>
      <w:r>
        <w:rPr>
          <w:color w:val="000000"/>
        </w:rPr>
        <w:t xml:space="preserve"> in our data remains unexplained, providing opportunities to use our database to investigate additional explanations of ecological differences between males and females. Importantly, isotopic values for an animal’s tissues may be affected by many factors, such as body size, body condition, diet quality and ontogenetic growth (Wolf et al. 2009; Carleton and Martinez de Rio 2010; Lecompte et al. 2011). Sex differences in any of these variables could potentially influence sex differences in isotopic signal and influence cross-species isotopic comparisons. However, their impact is often species-specific, so a comparative synthesis of the sort we have conducted would require species-level data to become widely available across many taxa. In relation to questioning why ecological sex differences evolve, nutritional requirements are one potential avenue of investigation. Males and females may target distinct sets of resources in order to meet sex specific nutritional needs, such as lactation or sexually selected signals (Thompson 2013; Harrison et al. 2017). These differences may influence foraging and other aspects of behavioral ecology (Morehouse et al. 2018). As stable isotopes in animal tissues vary with the foods animals consume, the sex differences in isotope ratio we have observed may be an illustration of males and females targeting distinct resources, to fulfill their own sex-specific nutritional requirements. Future investigations could therefore seek to quantify the strength of associations between-sex differences in nutritional requirements and stable isotopes values, which could contribute greatly to our understanding of why ecological differences arise between males and females</w:t>
      </w:r>
      <w:r>
        <w:t>.</w:t>
      </w:r>
    </w:p>
    <w:p w14:paraId="2330F461" w14:textId="77777777" w:rsidR="007B149A" w:rsidRDefault="007B149A">
      <w:pPr>
        <w:pBdr>
          <w:top w:val="nil"/>
          <w:left w:val="nil"/>
          <w:bottom w:val="nil"/>
          <w:right w:val="nil"/>
          <w:between w:val="nil"/>
        </w:pBdr>
        <w:spacing w:before="180" w:after="180" w:line="360" w:lineRule="auto"/>
      </w:pPr>
    </w:p>
    <w:p w14:paraId="2330F462" w14:textId="77777777" w:rsidR="007B149A" w:rsidRDefault="000E054D">
      <w:pPr>
        <w:pStyle w:val="Heading1"/>
        <w:spacing w:line="360" w:lineRule="auto"/>
      </w:pPr>
      <w:bookmarkStart w:id="21" w:name="_96fomj35sta0" w:colFirst="0" w:colLast="0"/>
      <w:bookmarkEnd w:id="21"/>
      <w:r>
        <w:t>References</w:t>
      </w:r>
    </w:p>
    <w:p w14:paraId="2330F463" w14:textId="77777777" w:rsidR="007B149A" w:rsidRDefault="007B149A">
      <w:pPr>
        <w:spacing w:line="360" w:lineRule="auto"/>
      </w:pPr>
    </w:p>
    <w:p w14:paraId="2330F464" w14:textId="77777777" w:rsidR="007B149A" w:rsidRDefault="000E054D">
      <w:pPr>
        <w:spacing w:before="240" w:after="240" w:line="360" w:lineRule="auto"/>
        <w:ind w:left="360"/>
        <w:rPr>
          <w:b/>
          <w:color w:val="222222"/>
          <w:highlight w:val="white"/>
        </w:rPr>
      </w:pPr>
      <w:r>
        <w:rPr>
          <w:b/>
          <w:color w:val="222222"/>
          <w:highlight w:val="white"/>
        </w:rPr>
        <w:t>Main Text:</w:t>
      </w:r>
    </w:p>
    <w:p w14:paraId="2330F465" w14:textId="77777777" w:rsidR="007B149A" w:rsidRDefault="000E054D">
      <w:pPr>
        <w:spacing w:before="240" w:after="240" w:line="360" w:lineRule="auto"/>
        <w:ind w:left="360"/>
        <w:rPr>
          <w:color w:val="222222"/>
          <w:highlight w:val="white"/>
        </w:rPr>
      </w:pPr>
      <w:r>
        <w:rPr>
          <w:color w:val="222222"/>
          <w:highlight w:val="white"/>
        </w:rPr>
        <w:lastRenderedPageBreak/>
        <w:t xml:space="preserve">Andersson, M., 1994. </w:t>
      </w:r>
      <w:r>
        <w:rPr>
          <w:i/>
          <w:color w:val="222222"/>
          <w:highlight w:val="white"/>
        </w:rPr>
        <w:t>Sexual selection</w:t>
      </w:r>
      <w:r>
        <w:rPr>
          <w:color w:val="222222"/>
          <w:highlight w:val="white"/>
        </w:rPr>
        <w:t xml:space="preserve">. Princeton University Press. </w:t>
      </w:r>
      <w:hyperlink r:id="rId13">
        <w:r>
          <w:rPr>
            <w:color w:val="1155CC"/>
            <w:highlight w:val="white"/>
            <w:u w:val="single"/>
          </w:rPr>
          <w:t>https://doi.org/10.1016/0169-5347(96)81042-1</w:t>
        </w:r>
      </w:hyperlink>
      <w:r>
        <w:rPr>
          <w:color w:val="222222"/>
          <w:highlight w:val="white"/>
        </w:rPr>
        <w:t xml:space="preserve"> </w:t>
      </w:r>
    </w:p>
    <w:p w14:paraId="2330F466" w14:textId="77777777" w:rsidR="007B149A" w:rsidRDefault="000E054D">
      <w:pPr>
        <w:spacing w:before="240" w:after="240" w:line="360" w:lineRule="auto"/>
        <w:ind w:left="360"/>
        <w:rPr>
          <w:color w:val="222222"/>
          <w:highlight w:val="white"/>
        </w:rPr>
      </w:pPr>
      <w:r>
        <w:rPr>
          <w:color w:val="222222"/>
          <w:highlight w:val="white"/>
        </w:rPr>
        <w:t xml:space="preserve">Arnold, T.W., 2010. Uninformative parameters and model selection using Akaike's Information Criterion. </w:t>
      </w:r>
      <w:r>
        <w:rPr>
          <w:i/>
          <w:color w:val="222222"/>
          <w:highlight w:val="white"/>
        </w:rPr>
        <w:t>The Journal of Wildlife Management</w:t>
      </w:r>
      <w:r>
        <w:rPr>
          <w:color w:val="222222"/>
          <w:highlight w:val="white"/>
        </w:rPr>
        <w:t xml:space="preserve">, </w:t>
      </w:r>
      <w:r>
        <w:rPr>
          <w:i/>
          <w:color w:val="222222"/>
          <w:highlight w:val="white"/>
        </w:rPr>
        <w:t>74</w:t>
      </w:r>
      <w:r>
        <w:rPr>
          <w:color w:val="222222"/>
          <w:highlight w:val="white"/>
        </w:rPr>
        <w:t xml:space="preserve">(6), pp.1175-1178. </w:t>
      </w:r>
      <w:hyperlink r:id="rId14">
        <w:r>
          <w:rPr>
            <w:color w:val="1155CC"/>
            <w:highlight w:val="white"/>
            <w:u w:val="single"/>
          </w:rPr>
          <w:t>https://doi.org/10.1111/j.1937-2817.2010.tb01236.x</w:t>
        </w:r>
      </w:hyperlink>
      <w:r>
        <w:rPr>
          <w:color w:val="222222"/>
          <w:highlight w:val="white"/>
        </w:rPr>
        <w:t xml:space="preserve"> </w:t>
      </w:r>
    </w:p>
    <w:p w14:paraId="2330F467" w14:textId="77777777" w:rsidR="007B149A" w:rsidRDefault="000E054D">
      <w:pPr>
        <w:spacing w:before="240" w:after="240" w:line="360" w:lineRule="auto"/>
        <w:ind w:left="360"/>
        <w:rPr>
          <w:color w:val="222222"/>
          <w:highlight w:val="white"/>
        </w:rPr>
      </w:pPr>
      <w:r>
        <w:rPr>
          <w:color w:val="222222"/>
          <w:highlight w:val="white"/>
        </w:rPr>
        <w:t xml:space="preserve">Barnes, C.L., Beaudreau, A.H. and Yamada, R.N., 2021. The Role of Size in Trophic Niche Separation between Two Groundfish Predators in Alaskan Waters. </w:t>
      </w:r>
      <w:r>
        <w:rPr>
          <w:i/>
          <w:color w:val="222222"/>
          <w:highlight w:val="white"/>
        </w:rPr>
        <w:t>Marine and Coastal Fisheries</w:t>
      </w:r>
      <w:r>
        <w:rPr>
          <w:color w:val="222222"/>
          <w:highlight w:val="white"/>
        </w:rPr>
        <w:t xml:space="preserve">, </w:t>
      </w:r>
      <w:r>
        <w:rPr>
          <w:i/>
          <w:color w:val="222222"/>
          <w:highlight w:val="white"/>
        </w:rPr>
        <w:t>13</w:t>
      </w:r>
      <w:r>
        <w:rPr>
          <w:color w:val="222222"/>
          <w:highlight w:val="white"/>
        </w:rPr>
        <w:t xml:space="preserve">(1), pp.69-84. </w:t>
      </w:r>
      <w:hyperlink r:id="rId15">
        <w:r>
          <w:rPr>
            <w:color w:val="1155CC"/>
            <w:highlight w:val="white"/>
            <w:u w:val="single"/>
          </w:rPr>
          <w:t>https://doi.org/10.1002/mcf2.10141</w:t>
        </w:r>
      </w:hyperlink>
      <w:r>
        <w:rPr>
          <w:color w:val="222222"/>
          <w:highlight w:val="white"/>
        </w:rPr>
        <w:t xml:space="preserve"> </w:t>
      </w:r>
    </w:p>
    <w:p w14:paraId="2330F468" w14:textId="77777777" w:rsidR="007B149A" w:rsidRDefault="000E054D">
      <w:pPr>
        <w:spacing w:before="240" w:after="240" w:line="360" w:lineRule="auto"/>
        <w:ind w:left="360"/>
        <w:rPr>
          <w:color w:val="222222"/>
          <w:highlight w:val="white"/>
        </w:rPr>
      </w:pPr>
      <w:r>
        <w:rPr>
          <w:color w:val="222222"/>
          <w:highlight w:val="white"/>
        </w:rPr>
        <w:t xml:space="preserve">Bolnick, D.I. and Doebeli, M., 2003. Sexual dimorphism and adaptive speciation: two sides of the same ecological coin. </w:t>
      </w:r>
      <w:r>
        <w:rPr>
          <w:i/>
          <w:color w:val="222222"/>
          <w:highlight w:val="white"/>
        </w:rPr>
        <w:t>Evolution</w:t>
      </w:r>
      <w:r>
        <w:rPr>
          <w:color w:val="222222"/>
          <w:highlight w:val="white"/>
        </w:rPr>
        <w:t xml:space="preserve">, </w:t>
      </w:r>
      <w:r>
        <w:rPr>
          <w:i/>
          <w:color w:val="222222"/>
          <w:highlight w:val="white"/>
        </w:rPr>
        <w:t>57</w:t>
      </w:r>
      <w:r>
        <w:rPr>
          <w:color w:val="222222"/>
          <w:highlight w:val="white"/>
        </w:rPr>
        <w:t xml:space="preserve">(11), pp.2433-2449. </w:t>
      </w:r>
      <w:hyperlink r:id="rId16">
        <w:r>
          <w:rPr>
            <w:color w:val="1155CC"/>
            <w:highlight w:val="white"/>
            <w:u w:val="single"/>
          </w:rPr>
          <w:t>https://doi.org/10.1002/mcf2.10141</w:t>
        </w:r>
      </w:hyperlink>
      <w:r>
        <w:rPr>
          <w:color w:val="222222"/>
          <w:highlight w:val="white"/>
        </w:rPr>
        <w:t xml:space="preserve"> </w:t>
      </w:r>
    </w:p>
    <w:p w14:paraId="2330F469" w14:textId="77777777" w:rsidR="007B149A" w:rsidRDefault="000E054D">
      <w:pPr>
        <w:spacing w:before="240" w:after="240" w:line="360" w:lineRule="auto"/>
        <w:ind w:left="360"/>
        <w:rPr>
          <w:color w:val="222222"/>
          <w:highlight w:val="white"/>
        </w:rPr>
      </w:pPr>
      <w:r>
        <w:rPr>
          <w:color w:val="222222"/>
          <w:highlight w:val="white"/>
        </w:rPr>
        <w:t xml:space="preserve">Blanckenhorn, W.U., 2005. Behavioral causes and consequences of sexual size dimorphism. </w:t>
      </w:r>
      <w:r>
        <w:rPr>
          <w:i/>
          <w:color w:val="222222"/>
          <w:highlight w:val="white"/>
        </w:rPr>
        <w:t>Ethology</w:t>
      </w:r>
      <w:r>
        <w:rPr>
          <w:color w:val="222222"/>
          <w:highlight w:val="white"/>
        </w:rPr>
        <w:t xml:space="preserve">, </w:t>
      </w:r>
      <w:r>
        <w:rPr>
          <w:i/>
          <w:color w:val="222222"/>
          <w:highlight w:val="white"/>
        </w:rPr>
        <w:t>111</w:t>
      </w:r>
      <w:r>
        <w:rPr>
          <w:color w:val="222222"/>
          <w:highlight w:val="white"/>
        </w:rPr>
        <w:t xml:space="preserve">(11), pp.977-1016. </w:t>
      </w:r>
      <w:hyperlink r:id="rId17">
        <w:r>
          <w:rPr>
            <w:color w:val="1155CC"/>
            <w:highlight w:val="white"/>
            <w:u w:val="single"/>
          </w:rPr>
          <w:t>https://doi.org/10.1111/j.1439-0310.2005.01147.x</w:t>
        </w:r>
      </w:hyperlink>
      <w:r>
        <w:rPr>
          <w:color w:val="222222"/>
          <w:highlight w:val="white"/>
        </w:rPr>
        <w:t xml:space="preserve"> </w:t>
      </w:r>
    </w:p>
    <w:p w14:paraId="2330F46A" w14:textId="77777777" w:rsidR="007B149A" w:rsidRDefault="000E054D">
      <w:pPr>
        <w:spacing w:before="240" w:after="240" w:line="360" w:lineRule="auto"/>
        <w:ind w:left="360"/>
        <w:rPr>
          <w:color w:val="222222"/>
          <w:highlight w:val="white"/>
        </w:rPr>
      </w:pPr>
      <w:r>
        <w:rPr>
          <w:color w:val="222222"/>
          <w:highlight w:val="white"/>
        </w:rPr>
        <w:t xml:space="preserve">Butler, M.A., Sawyer, S.A. and Losos, J.B., 2007. Sexual dimorphism and adaptive radiation in Anolis lizards. </w:t>
      </w:r>
      <w:r>
        <w:rPr>
          <w:i/>
          <w:color w:val="222222"/>
          <w:highlight w:val="white"/>
        </w:rPr>
        <w:t>Nature</w:t>
      </w:r>
      <w:r>
        <w:rPr>
          <w:color w:val="222222"/>
          <w:highlight w:val="white"/>
        </w:rPr>
        <w:t xml:space="preserve">, </w:t>
      </w:r>
      <w:r>
        <w:rPr>
          <w:i/>
          <w:color w:val="222222"/>
          <w:highlight w:val="white"/>
        </w:rPr>
        <w:t>447</w:t>
      </w:r>
      <w:r>
        <w:rPr>
          <w:color w:val="222222"/>
          <w:highlight w:val="white"/>
        </w:rPr>
        <w:t xml:space="preserve">(7141), pp.202-205. </w:t>
      </w:r>
      <w:hyperlink r:id="rId18">
        <w:r>
          <w:rPr>
            <w:color w:val="1155CC"/>
            <w:highlight w:val="white"/>
            <w:u w:val="single"/>
          </w:rPr>
          <w:t>https://doi.org/10.1038/nature05774</w:t>
        </w:r>
      </w:hyperlink>
      <w:r>
        <w:rPr>
          <w:color w:val="222222"/>
          <w:highlight w:val="white"/>
        </w:rPr>
        <w:t xml:space="preserve"> </w:t>
      </w:r>
    </w:p>
    <w:p w14:paraId="2330F46B" w14:textId="77777777" w:rsidR="007B149A" w:rsidRDefault="000E054D">
      <w:pPr>
        <w:spacing w:before="240" w:after="240" w:line="360" w:lineRule="auto"/>
        <w:ind w:left="360"/>
        <w:rPr>
          <w:color w:val="222222"/>
          <w:highlight w:val="white"/>
        </w:rPr>
      </w:pPr>
      <w:r>
        <w:rPr>
          <w:color w:val="222222"/>
          <w:highlight w:val="white"/>
        </w:rPr>
        <w:t xml:space="preserve">Calado, J.G., Paiva, V.H., Ceia, F.R., Gomes, P., Ramos, J.A. and Velando, A., 2020. Stable isotopes reveal year-round sexual trophic segregation in four yellow-legged gull colonies. </w:t>
      </w:r>
      <w:r>
        <w:rPr>
          <w:i/>
          <w:color w:val="222222"/>
          <w:highlight w:val="white"/>
        </w:rPr>
        <w:t>Marine Biology</w:t>
      </w:r>
      <w:r>
        <w:rPr>
          <w:color w:val="222222"/>
          <w:highlight w:val="white"/>
        </w:rPr>
        <w:t xml:space="preserve">, </w:t>
      </w:r>
      <w:r>
        <w:rPr>
          <w:i/>
          <w:color w:val="222222"/>
          <w:highlight w:val="white"/>
        </w:rPr>
        <w:t>167</w:t>
      </w:r>
      <w:r>
        <w:rPr>
          <w:color w:val="222222"/>
          <w:highlight w:val="white"/>
        </w:rPr>
        <w:t xml:space="preserve">(5), pp.1-11. </w:t>
      </w:r>
      <w:hyperlink r:id="rId19">
        <w:r>
          <w:rPr>
            <w:color w:val="1155CC"/>
            <w:highlight w:val="white"/>
            <w:u w:val="single"/>
          </w:rPr>
          <w:t>https://doi.org/10.1007/s00227-020-3676-0</w:t>
        </w:r>
      </w:hyperlink>
      <w:r>
        <w:rPr>
          <w:color w:val="222222"/>
          <w:highlight w:val="white"/>
        </w:rPr>
        <w:t xml:space="preserve"> </w:t>
      </w:r>
    </w:p>
    <w:p w14:paraId="2330F46C" w14:textId="77777777" w:rsidR="007B149A" w:rsidRDefault="000E054D">
      <w:pPr>
        <w:spacing w:before="240" w:after="240" w:line="360" w:lineRule="auto"/>
        <w:ind w:left="360"/>
        <w:rPr>
          <w:color w:val="222222"/>
          <w:highlight w:val="white"/>
        </w:rPr>
      </w:pPr>
      <w:r>
        <w:rPr>
          <w:color w:val="222222"/>
          <w:highlight w:val="white"/>
        </w:rPr>
        <w:t xml:space="preserve">Carleton, </w:t>
      </w:r>
      <w:proofErr w:type="gramStart"/>
      <w:r>
        <w:rPr>
          <w:color w:val="222222"/>
          <w:highlight w:val="white"/>
        </w:rPr>
        <w:t>S.A.</w:t>
      </w:r>
      <w:proofErr w:type="gramEnd"/>
      <w:r>
        <w:rPr>
          <w:color w:val="222222"/>
          <w:highlight w:val="white"/>
        </w:rPr>
        <w:t xml:space="preserve"> and Del Rio, C.M., 2010. Growth and catabolism in isotopic incorporation: a new formulation and experimental data. </w:t>
      </w:r>
      <w:r>
        <w:rPr>
          <w:i/>
          <w:color w:val="222222"/>
          <w:highlight w:val="white"/>
        </w:rPr>
        <w:t>Functional Ecology</w:t>
      </w:r>
      <w:r>
        <w:rPr>
          <w:color w:val="222222"/>
          <w:highlight w:val="white"/>
        </w:rPr>
        <w:t xml:space="preserve">, </w:t>
      </w:r>
      <w:r>
        <w:rPr>
          <w:i/>
          <w:color w:val="222222"/>
          <w:highlight w:val="white"/>
        </w:rPr>
        <w:t>24</w:t>
      </w:r>
      <w:r>
        <w:rPr>
          <w:color w:val="222222"/>
          <w:highlight w:val="white"/>
        </w:rPr>
        <w:t xml:space="preserve">(4), pp.805-812. </w:t>
      </w:r>
      <w:hyperlink r:id="rId20">
        <w:r>
          <w:rPr>
            <w:color w:val="1155CC"/>
            <w:highlight w:val="white"/>
            <w:u w:val="single"/>
          </w:rPr>
          <w:t>https://doi.org/10.1111/j.1365-2435.2010.01700.x</w:t>
        </w:r>
      </w:hyperlink>
      <w:r>
        <w:rPr>
          <w:color w:val="222222"/>
          <w:highlight w:val="white"/>
        </w:rPr>
        <w:t xml:space="preserve"> </w:t>
      </w:r>
    </w:p>
    <w:p w14:paraId="2330F46D" w14:textId="77777777" w:rsidR="007B149A" w:rsidRDefault="000E054D">
      <w:pPr>
        <w:spacing w:before="240" w:after="240" w:line="360" w:lineRule="auto"/>
        <w:ind w:left="360"/>
        <w:rPr>
          <w:color w:val="222222"/>
          <w:highlight w:val="white"/>
        </w:rPr>
      </w:pPr>
      <w:r>
        <w:rPr>
          <w:color w:val="222222"/>
          <w:highlight w:val="white"/>
        </w:rPr>
        <w:t xml:space="preserve">Caut, S., Angulo, E. and Courchamp, F., 2009. Variation in discrimination factors (Δ15N and Δ13C): the effect of diet isotopic values and applications for diet reconstruction. </w:t>
      </w:r>
      <w:r>
        <w:rPr>
          <w:i/>
          <w:color w:val="222222"/>
          <w:highlight w:val="white"/>
        </w:rPr>
        <w:t>Journal of Applied Ecology</w:t>
      </w:r>
      <w:r>
        <w:rPr>
          <w:color w:val="222222"/>
          <w:highlight w:val="white"/>
        </w:rPr>
        <w:t xml:space="preserve">, </w:t>
      </w:r>
      <w:r>
        <w:rPr>
          <w:i/>
          <w:color w:val="222222"/>
          <w:highlight w:val="white"/>
        </w:rPr>
        <w:t>46</w:t>
      </w:r>
      <w:r>
        <w:rPr>
          <w:color w:val="222222"/>
          <w:highlight w:val="white"/>
        </w:rPr>
        <w:t xml:space="preserve">(2), pp.443-453. </w:t>
      </w:r>
      <w:hyperlink r:id="rId21">
        <w:r>
          <w:rPr>
            <w:color w:val="1155CC"/>
            <w:highlight w:val="white"/>
            <w:u w:val="single"/>
          </w:rPr>
          <w:t>https://doi.org/10.1111/j.1365-2664.2009.01620.x</w:t>
        </w:r>
      </w:hyperlink>
      <w:r>
        <w:rPr>
          <w:color w:val="222222"/>
          <w:highlight w:val="white"/>
        </w:rPr>
        <w:t xml:space="preserve"> </w:t>
      </w:r>
    </w:p>
    <w:p w14:paraId="2330F46E" w14:textId="77777777" w:rsidR="007B149A" w:rsidRDefault="000E054D">
      <w:pPr>
        <w:spacing w:before="240" w:after="240" w:line="360" w:lineRule="auto"/>
        <w:ind w:left="360"/>
        <w:rPr>
          <w:color w:val="222222"/>
          <w:highlight w:val="white"/>
        </w:rPr>
      </w:pPr>
      <w:r>
        <w:rPr>
          <w:color w:val="222222"/>
          <w:highlight w:val="white"/>
        </w:rPr>
        <w:lastRenderedPageBreak/>
        <w:t xml:space="preserve">De Lisle, S.P., 2019. Understanding the evolution of ecological sex differences: Integrating character displacement and the Darwin‐Bateman paradigm. </w:t>
      </w:r>
      <w:r>
        <w:rPr>
          <w:i/>
          <w:color w:val="222222"/>
          <w:highlight w:val="white"/>
        </w:rPr>
        <w:t>Evolution Letters</w:t>
      </w:r>
      <w:r>
        <w:rPr>
          <w:color w:val="222222"/>
          <w:highlight w:val="white"/>
        </w:rPr>
        <w:t xml:space="preserve">, </w:t>
      </w:r>
      <w:r>
        <w:rPr>
          <w:i/>
          <w:color w:val="222222"/>
          <w:highlight w:val="white"/>
        </w:rPr>
        <w:t>3</w:t>
      </w:r>
      <w:r>
        <w:rPr>
          <w:color w:val="222222"/>
          <w:highlight w:val="white"/>
        </w:rPr>
        <w:t xml:space="preserve">(5), pp.434-447. </w:t>
      </w:r>
      <w:hyperlink r:id="rId22">
        <w:r>
          <w:rPr>
            <w:color w:val="1155CC"/>
            <w:highlight w:val="white"/>
            <w:u w:val="single"/>
          </w:rPr>
          <w:t>https://doi.org/10.1002/evl3.134</w:t>
        </w:r>
      </w:hyperlink>
      <w:r>
        <w:rPr>
          <w:color w:val="222222"/>
          <w:highlight w:val="white"/>
        </w:rPr>
        <w:t xml:space="preserve"> </w:t>
      </w:r>
    </w:p>
    <w:p w14:paraId="2330F46F" w14:textId="77777777" w:rsidR="007B149A" w:rsidRDefault="000E054D">
      <w:pPr>
        <w:spacing w:before="240" w:after="240" w:line="360" w:lineRule="auto"/>
        <w:ind w:left="360"/>
        <w:rPr>
          <w:color w:val="222222"/>
          <w:highlight w:val="white"/>
        </w:rPr>
      </w:pPr>
      <w:r>
        <w:rPr>
          <w:color w:val="222222"/>
          <w:highlight w:val="white"/>
        </w:rPr>
        <w:t xml:space="preserve">De Lisle, S.P., 2021. Peak shifts and extinction under sex-specific selection. </w:t>
      </w:r>
      <w:r>
        <w:rPr>
          <w:i/>
          <w:color w:val="222222"/>
          <w:highlight w:val="white"/>
        </w:rPr>
        <w:t>bioRxiv</w:t>
      </w:r>
      <w:r>
        <w:rPr>
          <w:color w:val="222222"/>
          <w:highlight w:val="white"/>
        </w:rPr>
        <w:t xml:space="preserve">. </w:t>
      </w:r>
      <w:hyperlink r:id="rId23">
        <w:r>
          <w:rPr>
            <w:color w:val="1155CC"/>
            <w:highlight w:val="white"/>
            <w:u w:val="single"/>
          </w:rPr>
          <w:t>https://doi.org/10.1101/2021.02.18.431780</w:t>
        </w:r>
      </w:hyperlink>
      <w:r>
        <w:rPr>
          <w:color w:val="222222"/>
          <w:highlight w:val="white"/>
        </w:rPr>
        <w:t xml:space="preserve"> </w:t>
      </w:r>
    </w:p>
    <w:p w14:paraId="2330F470" w14:textId="77777777" w:rsidR="007B149A" w:rsidRDefault="000E054D">
      <w:pPr>
        <w:spacing w:before="240" w:after="240" w:line="360" w:lineRule="auto"/>
        <w:ind w:left="360"/>
        <w:rPr>
          <w:color w:val="222222"/>
          <w:highlight w:val="white"/>
        </w:rPr>
      </w:pPr>
      <w:r>
        <w:rPr>
          <w:color w:val="222222"/>
          <w:highlight w:val="white"/>
        </w:rPr>
        <w:t xml:space="preserve">De Lisle, S.P. and Rowe, L., 2015. Ecological character displacement between the sexes. </w:t>
      </w:r>
      <w:r>
        <w:rPr>
          <w:i/>
          <w:color w:val="222222"/>
          <w:highlight w:val="white"/>
        </w:rPr>
        <w:t>The American Naturalist</w:t>
      </w:r>
      <w:r>
        <w:rPr>
          <w:color w:val="222222"/>
          <w:highlight w:val="white"/>
        </w:rPr>
        <w:t xml:space="preserve">, </w:t>
      </w:r>
      <w:r>
        <w:rPr>
          <w:i/>
          <w:color w:val="222222"/>
          <w:highlight w:val="white"/>
        </w:rPr>
        <w:t>186</w:t>
      </w:r>
      <w:r>
        <w:rPr>
          <w:color w:val="222222"/>
          <w:highlight w:val="white"/>
        </w:rPr>
        <w:t xml:space="preserve">(6), pp.693-707. </w:t>
      </w:r>
      <w:hyperlink r:id="rId24">
        <w:r>
          <w:rPr>
            <w:color w:val="1155CC"/>
            <w:highlight w:val="white"/>
            <w:u w:val="single"/>
          </w:rPr>
          <w:t>https://doi.org/10.1086/683775</w:t>
        </w:r>
      </w:hyperlink>
      <w:r>
        <w:rPr>
          <w:color w:val="222222"/>
          <w:highlight w:val="white"/>
        </w:rPr>
        <w:t xml:space="preserve"> </w:t>
      </w:r>
    </w:p>
    <w:p w14:paraId="2330F471" w14:textId="77777777" w:rsidR="007B149A" w:rsidRDefault="000E054D">
      <w:pPr>
        <w:spacing w:before="240" w:after="240" w:line="360" w:lineRule="auto"/>
        <w:ind w:left="360"/>
        <w:rPr>
          <w:color w:val="222222"/>
          <w:highlight w:val="white"/>
        </w:rPr>
      </w:pPr>
      <w:r>
        <w:rPr>
          <w:color w:val="222222"/>
          <w:highlight w:val="white"/>
        </w:rPr>
        <w:t xml:space="preserve">Darwin, C., 1871. The Descent of Man and Selection in Relation to Sex. </w:t>
      </w:r>
      <w:r>
        <w:rPr>
          <w:i/>
          <w:color w:val="222222"/>
          <w:highlight w:val="white"/>
        </w:rPr>
        <w:t>London: Murray</w:t>
      </w:r>
      <w:r>
        <w:rPr>
          <w:color w:val="222222"/>
          <w:highlight w:val="white"/>
        </w:rPr>
        <w:t xml:space="preserve">. </w:t>
      </w:r>
      <w:hyperlink r:id="rId25">
        <w:r>
          <w:rPr>
            <w:color w:val="1155CC"/>
            <w:highlight w:val="white"/>
            <w:u w:val="single"/>
          </w:rPr>
          <w:t>https://doi.org/10.1515/9781400820061</w:t>
        </w:r>
      </w:hyperlink>
      <w:r>
        <w:rPr>
          <w:color w:val="222222"/>
          <w:highlight w:val="white"/>
        </w:rPr>
        <w:t xml:space="preserve"> </w:t>
      </w:r>
    </w:p>
    <w:p w14:paraId="2330F472" w14:textId="77777777" w:rsidR="007B149A" w:rsidRDefault="000E054D">
      <w:pPr>
        <w:spacing w:before="240" w:after="240" w:line="360" w:lineRule="auto"/>
        <w:ind w:left="360"/>
        <w:rPr>
          <w:color w:val="222222"/>
          <w:highlight w:val="white"/>
        </w:rPr>
      </w:pPr>
      <w:r>
        <w:rPr>
          <w:color w:val="222222"/>
          <w:highlight w:val="white"/>
        </w:rPr>
        <w:t xml:space="preserve">Dodrill, M.J., Yackulic, C.B., Kennedy, T.A., Yard, M.D. and Korman, J., 2021. As the prey thickens: rainbow trout select prey based upon width not length. </w:t>
      </w:r>
      <w:r>
        <w:rPr>
          <w:i/>
          <w:color w:val="222222"/>
          <w:highlight w:val="white"/>
        </w:rPr>
        <w:t>Canadian Journal of Fisheries and Aquatic Sciences</w:t>
      </w:r>
      <w:r>
        <w:rPr>
          <w:color w:val="222222"/>
          <w:highlight w:val="white"/>
        </w:rPr>
        <w:t xml:space="preserve">, </w:t>
      </w:r>
      <w:r>
        <w:rPr>
          <w:i/>
          <w:color w:val="222222"/>
          <w:highlight w:val="white"/>
        </w:rPr>
        <w:t>99</w:t>
      </w:r>
      <w:r>
        <w:rPr>
          <w:color w:val="222222"/>
          <w:highlight w:val="white"/>
        </w:rPr>
        <w:t xml:space="preserve">(999), pp.1-11. </w:t>
      </w:r>
      <w:hyperlink r:id="rId26">
        <w:r>
          <w:rPr>
            <w:color w:val="1155CC"/>
            <w:highlight w:val="white"/>
            <w:u w:val="single"/>
          </w:rPr>
          <w:t>https://doi.org/10.1139/cjfas-2020-0113</w:t>
        </w:r>
      </w:hyperlink>
      <w:r>
        <w:rPr>
          <w:color w:val="222222"/>
          <w:highlight w:val="white"/>
        </w:rPr>
        <w:t xml:space="preserve"> </w:t>
      </w:r>
    </w:p>
    <w:p w14:paraId="2330F473" w14:textId="77777777" w:rsidR="007B149A" w:rsidRDefault="000E054D">
      <w:pPr>
        <w:spacing w:before="240" w:after="240" w:line="360" w:lineRule="auto"/>
        <w:ind w:left="360"/>
      </w:pPr>
      <w:r>
        <w:rPr>
          <w:color w:val="222222"/>
          <w:highlight w:val="white"/>
        </w:rPr>
        <w:t xml:space="preserve">Fairbairn, D.J., 1997. Allometry for sexual size dimorphism: pattern and process in the coevolution of body size in males and females. </w:t>
      </w:r>
      <w:r>
        <w:rPr>
          <w:i/>
        </w:rPr>
        <w:t>Annual review of ecology and systematics</w:t>
      </w:r>
      <w:r>
        <w:t xml:space="preserve">, </w:t>
      </w:r>
      <w:r>
        <w:rPr>
          <w:i/>
        </w:rPr>
        <w:t>28</w:t>
      </w:r>
      <w:r>
        <w:t xml:space="preserve">(1), pp.659-687. </w:t>
      </w:r>
      <w:hyperlink r:id="rId27">
        <w:r>
          <w:rPr>
            <w:color w:val="1155CC"/>
            <w:u w:val="single"/>
          </w:rPr>
          <w:t>https://doi.org/10.1146/annurev.ecolsys.28.1.659</w:t>
        </w:r>
      </w:hyperlink>
      <w:r>
        <w:t xml:space="preserve"> </w:t>
      </w:r>
    </w:p>
    <w:p w14:paraId="2330F474" w14:textId="77777777" w:rsidR="007B149A" w:rsidRDefault="000E054D">
      <w:pPr>
        <w:spacing w:before="240" w:after="240" w:line="360" w:lineRule="auto"/>
        <w:ind w:left="360"/>
        <w:rPr>
          <w:color w:val="222222"/>
          <w:highlight w:val="white"/>
        </w:rPr>
      </w:pPr>
      <w:r>
        <w:rPr>
          <w:color w:val="222222"/>
          <w:highlight w:val="white"/>
        </w:rPr>
        <w:t xml:space="preserve">Fairbairn, D.J., Blanckenhorn, W.U. and Székely, T., 2007. </w:t>
      </w:r>
      <w:r>
        <w:rPr>
          <w:i/>
          <w:color w:val="222222"/>
          <w:highlight w:val="white"/>
        </w:rPr>
        <w:t xml:space="preserve">Sex, </w:t>
      </w:r>
      <w:proofErr w:type="gramStart"/>
      <w:r>
        <w:rPr>
          <w:i/>
          <w:color w:val="222222"/>
          <w:highlight w:val="white"/>
        </w:rPr>
        <w:t>size</w:t>
      </w:r>
      <w:proofErr w:type="gramEnd"/>
      <w:r>
        <w:rPr>
          <w:i/>
          <w:color w:val="222222"/>
          <w:highlight w:val="white"/>
        </w:rPr>
        <w:t xml:space="preserve"> and gender roles: evolutionary studies of sexual size dimorphism</w:t>
      </w:r>
      <w:r>
        <w:rPr>
          <w:color w:val="222222"/>
          <w:highlight w:val="white"/>
        </w:rPr>
        <w:t xml:space="preserve">. Oxford University Press. </w:t>
      </w:r>
      <w:hyperlink r:id="rId28">
        <w:r>
          <w:rPr>
            <w:color w:val="1155CC"/>
            <w:highlight w:val="white"/>
            <w:u w:val="single"/>
          </w:rPr>
          <w:t>https://doi.org/10.1525/cond.2010.112.1.183</w:t>
        </w:r>
      </w:hyperlink>
      <w:r>
        <w:rPr>
          <w:color w:val="222222"/>
          <w:highlight w:val="white"/>
        </w:rPr>
        <w:t xml:space="preserve"> </w:t>
      </w:r>
    </w:p>
    <w:p w14:paraId="2330F475" w14:textId="77777777" w:rsidR="007B149A" w:rsidRDefault="000E054D">
      <w:pPr>
        <w:spacing w:before="240" w:after="240" w:line="360" w:lineRule="auto"/>
        <w:ind w:left="360"/>
        <w:rPr>
          <w:color w:val="222222"/>
          <w:highlight w:val="white"/>
        </w:rPr>
      </w:pPr>
      <w:r>
        <w:rPr>
          <w:color w:val="222222"/>
          <w:highlight w:val="white"/>
        </w:rPr>
        <w:t xml:space="preserve">Farquhar, G.D., Ehleringer, J.R. and Hubick, K.T., 1989. Carbon isotope discrimination and photosynthesis. </w:t>
      </w:r>
      <w:r>
        <w:rPr>
          <w:i/>
          <w:color w:val="222222"/>
          <w:highlight w:val="white"/>
        </w:rPr>
        <w:t>Annual review of plant biology</w:t>
      </w:r>
      <w:r>
        <w:rPr>
          <w:color w:val="222222"/>
          <w:highlight w:val="white"/>
        </w:rPr>
        <w:t xml:space="preserve">, </w:t>
      </w:r>
      <w:r>
        <w:rPr>
          <w:i/>
          <w:color w:val="222222"/>
          <w:highlight w:val="white"/>
        </w:rPr>
        <w:t>40</w:t>
      </w:r>
      <w:r>
        <w:rPr>
          <w:color w:val="222222"/>
          <w:highlight w:val="white"/>
        </w:rPr>
        <w:t xml:space="preserve">(1), pp.503-537. </w:t>
      </w:r>
      <w:hyperlink r:id="rId29">
        <w:r>
          <w:rPr>
            <w:color w:val="1155CC"/>
            <w:highlight w:val="white"/>
            <w:u w:val="single"/>
          </w:rPr>
          <w:t>https://doi.org/10.1146/annurev.pp.40.060189.002443</w:t>
        </w:r>
      </w:hyperlink>
      <w:r>
        <w:rPr>
          <w:color w:val="222222"/>
          <w:highlight w:val="white"/>
        </w:rPr>
        <w:t xml:space="preserve"> </w:t>
      </w:r>
    </w:p>
    <w:p w14:paraId="2330F476" w14:textId="77777777" w:rsidR="007B149A" w:rsidRDefault="000E054D">
      <w:pPr>
        <w:spacing w:before="240" w:after="240" w:line="360" w:lineRule="auto"/>
        <w:ind w:left="360"/>
        <w:rPr>
          <w:color w:val="222222"/>
          <w:highlight w:val="white"/>
        </w:rPr>
      </w:pPr>
      <w:r>
        <w:rPr>
          <w:color w:val="222222"/>
          <w:highlight w:val="white"/>
        </w:rPr>
        <w:t xml:space="preserve">Foote, A.D., Vester, H., Víkingsson, G.A. and Newton, J., 2012. Dietary variation within and between populations of northeast Atlantic killer whales, Orcinus orca, inferred from δ13C and δ15N analyses. </w:t>
      </w:r>
      <w:r>
        <w:rPr>
          <w:i/>
          <w:color w:val="222222"/>
          <w:highlight w:val="white"/>
        </w:rPr>
        <w:t>Marine Mammal Science</w:t>
      </w:r>
      <w:r>
        <w:rPr>
          <w:color w:val="222222"/>
          <w:highlight w:val="white"/>
        </w:rPr>
        <w:t xml:space="preserve">, </w:t>
      </w:r>
      <w:r>
        <w:rPr>
          <w:i/>
          <w:color w:val="222222"/>
          <w:highlight w:val="white"/>
        </w:rPr>
        <w:t>28</w:t>
      </w:r>
      <w:r>
        <w:rPr>
          <w:color w:val="222222"/>
          <w:highlight w:val="white"/>
        </w:rPr>
        <w:t xml:space="preserve">(4), </w:t>
      </w:r>
      <w:proofErr w:type="gramStart"/>
      <w:r>
        <w:rPr>
          <w:color w:val="222222"/>
          <w:highlight w:val="white"/>
        </w:rPr>
        <w:t>pp.E</w:t>
      </w:r>
      <w:proofErr w:type="gramEnd"/>
      <w:r>
        <w:rPr>
          <w:color w:val="222222"/>
          <w:highlight w:val="white"/>
        </w:rPr>
        <w:t xml:space="preserve">472-E485. </w:t>
      </w:r>
      <w:hyperlink r:id="rId30">
        <w:r>
          <w:rPr>
            <w:color w:val="1155CC"/>
            <w:highlight w:val="white"/>
            <w:u w:val="single"/>
          </w:rPr>
          <w:t>https://doi.org/10.1111/j.1748-7692.2012.00563.x</w:t>
        </w:r>
      </w:hyperlink>
      <w:r>
        <w:rPr>
          <w:color w:val="222222"/>
          <w:highlight w:val="white"/>
        </w:rPr>
        <w:t xml:space="preserve"> </w:t>
      </w:r>
    </w:p>
    <w:p w14:paraId="2330F477" w14:textId="77777777" w:rsidR="007B149A" w:rsidRDefault="000E054D">
      <w:pPr>
        <w:spacing w:before="240" w:after="240" w:line="360" w:lineRule="auto"/>
        <w:ind w:left="360"/>
        <w:rPr>
          <w:color w:val="222222"/>
          <w:highlight w:val="white"/>
        </w:rPr>
      </w:pPr>
      <w:r>
        <w:rPr>
          <w:color w:val="222222"/>
          <w:highlight w:val="white"/>
        </w:rPr>
        <w:lastRenderedPageBreak/>
        <w:t xml:space="preserve">Harrison, S.J., Godin, J.G.J. and Bertram, S.M., 2017. Influence of dietary nutrient balance on aggression and signalling in male field crickets. </w:t>
      </w:r>
      <w:r>
        <w:rPr>
          <w:i/>
          <w:color w:val="222222"/>
          <w:highlight w:val="white"/>
        </w:rPr>
        <w:t>Animal Behaviour</w:t>
      </w:r>
      <w:r>
        <w:rPr>
          <w:color w:val="222222"/>
          <w:highlight w:val="white"/>
        </w:rPr>
        <w:t xml:space="preserve">, </w:t>
      </w:r>
      <w:r>
        <w:rPr>
          <w:i/>
          <w:color w:val="222222"/>
          <w:highlight w:val="white"/>
        </w:rPr>
        <w:t>134</w:t>
      </w:r>
      <w:r>
        <w:rPr>
          <w:color w:val="222222"/>
          <w:highlight w:val="white"/>
        </w:rPr>
        <w:t xml:space="preserve">, pp.123-134. </w:t>
      </w:r>
      <w:hyperlink r:id="rId31">
        <w:r>
          <w:rPr>
            <w:color w:val="1155CC"/>
            <w:highlight w:val="white"/>
            <w:u w:val="single"/>
          </w:rPr>
          <w:t>https://doi.org/10.1016/j.anbehav.2017.10.006</w:t>
        </w:r>
      </w:hyperlink>
      <w:r>
        <w:rPr>
          <w:color w:val="222222"/>
          <w:highlight w:val="white"/>
        </w:rPr>
        <w:t xml:space="preserve"> </w:t>
      </w:r>
    </w:p>
    <w:p w14:paraId="2330F478" w14:textId="77777777" w:rsidR="007B149A" w:rsidRDefault="000E054D">
      <w:pPr>
        <w:spacing w:before="240" w:after="240" w:line="360" w:lineRule="auto"/>
        <w:ind w:left="360"/>
        <w:rPr>
          <w:color w:val="222222"/>
          <w:highlight w:val="white"/>
        </w:rPr>
      </w:pPr>
      <w:r>
        <w:rPr>
          <w:color w:val="222222"/>
          <w:highlight w:val="white"/>
        </w:rPr>
        <w:t xml:space="preserve">Herrel, A., Spithoven, L., Van Damme, R. and De Vree, F., 1999. Sexual dimorphism of head size in Gallotia galloti: testing the niche divergence hypothesis by functional analyses. </w:t>
      </w:r>
      <w:r>
        <w:rPr>
          <w:i/>
          <w:color w:val="222222"/>
          <w:highlight w:val="white"/>
        </w:rPr>
        <w:t>Functional Ecology</w:t>
      </w:r>
      <w:r>
        <w:rPr>
          <w:color w:val="222222"/>
          <w:highlight w:val="white"/>
        </w:rPr>
        <w:t xml:space="preserve">, </w:t>
      </w:r>
      <w:r>
        <w:rPr>
          <w:i/>
          <w:color w:val="222222"/>
          <w:highlight w:val="white"/>
        </w:rPr>
        <w:t>13</w:t>
      </w:r>
      <w:r>
        <w:rPr>
          <w:color w:val="222222"/>
          <w:highlight w:val="white"/>
        </w:rPr>
        <w:t xml:space="preserve">(3), pp.289-297. </w:t>
      </w:r>
      <w:hyperlink r:id="rId32">
        <w:r>
          <w:rPr>
            <w:color w:val="1155CC"/>
            <w:highlight w:val="white"/>
            <w:u w:val="single"/>
          </w:rPr>
          <w:t>https://doi.org/10.1046/j.1365-2435.1999.00305.x</w:t>
        </w:r>
      </w:hyperlink>
      <w:r>
        <w:rPr>
          <w:color w:val="222222"/>
          <w:highlight w:val="white"/>
        </w:rPr>
        <w:t xml:space="preserve"> </w:t>
      </w:r>
    </w:p>
    <w:p w14:paraId="2330F479" w14:textId="77777777" w:rsidR="007B149A" w:rsidRDefault="000E054D">
      <w:pPr>
        <w:spacing w:before="240" w:after="240" w:line="360" w:lineRule="auto"/>
        <w:ind w:left="360"/>
        <w:rPr>
          <w:color w:val="222222"/>
          <w:highlight w:val="white"/>
        </w:rPr>
      </w:pPr>
      <w:r>
        <w:rPr>
          <w:color w:val="222222"/>
          <w:highlight w:val="white"/>
        </w:rPr>
        <w:t xml:space="preserve">Hobson, K.A., 1999. Stable-carbon and nitrogen isotope ratios of songbird feathers grown in two terrestrial biomes: implications for evaluating trophic relationships and breeding origins. </w:t>
      </w:r>
      <w:r>
        <w:rPr>
          <w:i/>
          <w:color w:val="222222"/>
          <w:highlight w:val="white"/>
        </w:rPr>
        <w:t>The Condor</w:t>
      </w:r>
      <w:r>
        <w:rPr>
          <w:color w:val="222222"/>
          <w:highlight w:val="white"/>
        </w:rPr>
        <w:t xml:space="preserve">, </w:t>
      </w:r>
      <w:r>
        <w:rPr>
          <w:i/>
          <w:color w:val="222222"/>
          <w:highlight w:val="white"/>
        </w:rPr>
        <w:t>101</w:t>
      </w:r>
      <w:r>
        <w:rPr>
          <w:color w:val="222222"/>
          <w:highlight w:val="white"/>
        </w:rPr>
        <w:t xml:space="preserve">(4), pp.799-805. </w:t>
      </w:r>
      <w:hyperlink r:id="rId33">
        <w:r>
          <w:rPr>
            <w:color w:val="1155CC"/>
            <w:highlight w:val="white"/>
            <w:u w:val="single"/>
          </w:rPr>
          <w:t>https://doi.org/10.2307/1370067</w:t>
        </w:r>
      </w:hyperlink>
      <w:r>
        <w:rPr>
          <w:color w:val="222222"/>
          <w:highlight w:val="white"/>
        </w:rPr>
        <w:t xml:space="preserve"> </w:t>
      </w:r>
    </w:p>
    <w:p w14:paraId="2330F47A" w14:textId="77777777" w:rsidR="007B149A" w:rsidRDefault="000E054D">
      <w:pPr>
        <w:spacing w:before="240" w:after="240" w:line="360" w:lineRule="auto"/>
        <w:ind w:left="360"/>
        <w:rPr>
          <w:color w:val="222222"/>
          <w:highlight w:val="white"/>
        </w:rPr>
      </w:pPr>
      <w:r>
        <w:rPr>
          <w:color w:val="222222"/>
          <w:highlight w:val="white"/>
        </w:rPr>
        <w:t xml:space="preserve">Hobson, K.A. and Welch, H.E., 1992. Determination of trophic relationships within a high Arctic marine food web using δ 13 C and δ 15 N analysis. </w:t>
      </w:r>
      <w:r>
        <w:rPr>
          <w:i/>
          <w:color w:val="222222"/>
          <w:highlight w:val="white"/>
        </w:rPr>
        <w:t>Marine Ecology Progress Series</w:t>
      </w:r>
      <w:r>
        <w:rPr>
          <w:color w:val="222222"/>
          <w:highlight w:val="white"/>
        </w:rPr>
        <w:t xml:space="preserve">, pp.9-18. </w:t>
      </w:r>
      <w:hyperlink r:id="rId34">
        <w:r>
          <w:rPr>
            <w:color w:val="1155CC"/>
            <w:highlight w:val="white"/>
            <w:u w:val="single"/>
          </w:rPr>
          <w:t>http://www.jstor.org/stable/24829721</w:t>
        </w:r>
      </w:hyperlink>
      <w:r>
        <w:rPr>
          <w:color w:val="222222"/>
          <w:highlight w:val="white"/>
        </w:rPr>
        <w:t xml:space="preserve"> </w:t>
      </w:r>
    </w:p>
    <w:p w14:paraId="2330F47B" w14:textId="77777777" w:rsidR="007B149A" w:rsidRDefault="000E054D">
      <w:pPr>
        <w:spacing w:before="240" w:after="240" w:line="360" w:lineRule="auto"/>
        <w:ind w:left="360"/>
        <w:rPr>
          <w:color w:val="222222"/>
          <w:highlight w:val="white"/>
        </w:rPr>
      </w:pPr>
      <w:r>
        <w:rPr>
          <w:color w:val="222222"/>
          <w:highlight w:val="white"/>
        </w:rPr>
        <w:t xml:space="preserve">Hobson, K.A., Fisk, A., Karnovsky, N., Holst, M., Gagnon, J.M. and Fortier, M., 2002. A stable isotope (δ13C, δ15N) model for the North Water food web: implications for evaluating trophodynamics and the flow of energy and contaminants. </w:t>
      </w:r>
      <w:r>
        <w:rPr>
          <w:i/>
          <w:color w:val="222222"/>
          <w:highlight w:val="white"/>
        </w:rPr>
        <w:t>Deep Sea Research Part II: Topical Studies in Oceanography</w:t>
      </w:r>
      <w:r>
        <w:rPr>
          <w:color w:val="222222"/>
          <w:highlight w:val="white"/>
        </w:rPr>
        <w:t xml:space="preserve">, </w:t>
      </w:r>
      <w:r>
        <w:rPr>
          <w:i/>
          <w:color w:val="222222"/>
          <w:highlight w:val="white"/>
        </w:rPr>
        <w:t>49</w:t>
      </w:r>
      <w:r>
        <w:rPr>
          <w:color w:val="222222"/>
          <w:highlight w:val="white"/>
        </w:rPr>
        <w:t xml:space="preserve">(22-23), pp.5131-5150. </w:t>
      </w:r>
      <w:hyperlink r:id="rId35">
        <w:r>
          <w:rPr>
            <w:color w:val="1155CC"/>
            <w:highlight w:val="white"/>
            <w:u w:val="single"/>
          </w:rPr>
          <w:t>https://doi.org/10.1016/S0967-0645(02)00182-0</w:t>
        </w:r>
      </w:hyperlink>
      <w:r>
        <w:rPr>
          <w:color w:val="222222"/>
          <w:highlight w:val="white"/>
        </w:rPr>
        <w:t xml:space="preserve"> </w:t>
      </w:r>
    </w:p>
    <w:p w14:paraId="2330F47C" w14:textId="77777777" w:rsidR="007B149A" w:rsidRDefault="000E054D">
      <w:pPr>
        <w:spacing w:before="240" w:after="240" w:line="360" w:lineRule="auto"/>
        <w:ind w:left="360"/>
        <w:rPr>
          <w:color w:val="222222"/>
          <w:highlight w:val="white"/>
        </w:rPr>
      </w:pPr>
      <w:r>
        <w:rPr>
          <w:color w:val="222222"/>
          <w:highlight w:val="white"/>
        </w:rPr>
        <w:t xml:space="preserve">Janicke, T. and Fromonteil, S., 2021. Sexual selection and sexual size dimorphism in animals. </w:t>
      </w:r>
      <w:r>
        <w:rPr>
          <w:i/>
          <w:color w:val="222222"/>
          <w:highlight w:val="white"/>
        </w:rPr>
        <w:t>bioRxiv</w:t>
      </w:r>
      <w:r>
        <w:rPr>
          <w:color w:val="222222"/>
          <w:highlight w:val="white"/>
        </w:rPr>
        <w:t xml:space="preserve">. doi: </w:t>
      </w:r>
      <w:hyperlink r:id="rId36">
        <w:r>
          <w:rPr>
            <w:color w:val="1155CC"/>
            <w:highlight w:val="white"/>
            <w:u w:val="single"/>
          </w:rPr>
          <w:t>https://doi.org/10.1101/2021.05.10.443408</w:t>
        </w:r>
      </w:hyperlink>
      <w:r>
        <w:rPr>
          <w:color w:val="222222"/>
          <w:highlight w:val="white"/>
        </w:rPr>
        <w:t xml:space="preserve"> </w:t>
      </w:r>
    </w:p>
    <w:p w14:paraId="2330F47D" w14:textId="77777777" w:rsidR="007B149A" w:rsidRDefault="000E054D">
      <w:pPr>
        <w:spacing w:before="240" w:after="240" w:line="360" w:lineRule="auto"/>
        <w:ind w:left="360"/>
        <w:rPr>
          <w:color w:val="222222"/>
          <w:highlight w:val="white"/>
        </w:rPr>
      </w:pPr>
      <w:r>
        <w:rPr>
          <w:color w:val="222222"/>
          <w:highlight w:val="white"/>
        </w:rPr>
        <w:t xml:space="preserve">Koricheva, J., Gurevitch, J. and Mengersen, K. eds., 2013. </w:t>
      </w:r>
      <w:r>
        <w:rPr>
          <w:i/>
          <w:color w:val="222222"/>
          <w:highlight w:val="white"/>
        </w:rPr>
        <w:t>Handbook of meta-analysis in ecology and evolution</w:t>
      </w:r>
      <w:r>
        <w:rPr>
          <w:color w:val="222222"/>
          <w:highlight w:val="white"/>
        </w:rPr>
        <w:t xml:space="preserve">. Princeton University Press. </w:t>
      </w:r>
      <w:hyperlink r:id="rId37">
        <w:r>
          <w:rPr>
            <w:color w:val="1155CC"/>
            <w:highlight w:val="white"/>
            <w:u w:val="single"/>
          </w:rPr>
          <w:t>https://doi.org/10.1515/9781400846184</w:t>
        </w:r>
      </w:hyperlink>
      <w:r>
        <w:rPr>
          <w:color w:val="222222"/>
          <w:highlight w:val="white"/>
        </w:rPr>
        <w:t xml:space="preserve"> </w:t>
      </w:r>
    </w:p>
    <w:p w14:paraId="2330F47E" w14:textId="77777777" w:rsidR="007B149A" w:rsidRDefault="000E054D">
      <w:pPr>
        <w:spacing w:before="240" w:after="240" w:line="360" w:lineRule="auto"/>
        <w:ind w:left="360"/>
        <w:rPr>
          <w:color w:val="222222"/>
          <w:highlight w:val="white"/>
        </w:rPr>
      </w:pPr>
      <w:r>
        <w:rPr>
          <w:color w:val="222222"/>
          <w:highlight w:val="white"/>
        </w:rPr>
        <w:t xml:space="preserve">Le Boeuf, B., Condit, R. and Reiter, J., 2019. Lifetime reproductive success of northern elephant seals (Mirounga angustirostris). </w:t>
      </w:r>
      <w:r>
        <w:rPr>
          <w:i/>
          <w:color w:val="222222"/>
          <w:highlight w:val="white"/>
        </w:rPr>
        <w:t>Canadian Journal of Zoology</w:t>
      </w:r>
      <w:r>
        <w:rPr>
          <w:color w:val="222222"/>
          <w:highlight w:val="white"/>
        </w:rPr>
        <w:t xml:space="preserve">, </w:t>
      </w:r>
      <w:r>
        <w:rPr>
          <w:i/>
          <w:color w:val="222222"/>
          <w:highlight w:val="white"/>
        </w:rPr>
        <w:t>97</w:t>
      </w:r>
      <w:r>
        <w:rPr>
          <w:color w:val="222222"/>
          <w:highlight w:val="white"/>
        </w:rPr>
        <w:t xml:space="preserve">(12), pp.1203-1217. </w:t>
      </w:r>
      <w:hyperlink r:id="rId38">
        <w:r>
          <w:rPr>
            <w:color w:val="1155CC"/>
            <w:highlight w:val="white"/>
            <w:u w:val="single"/>
          </w:rPr>
          <w:t>https://doi.org/10.1139/cjz-2019-0104</w:t>
        </w:r>
      </w:hyperlink>
      <w:r>
        <w:rPr>
          <w:color w:val="222222"/>
          <w:highlight w:val="white"/>
        </w:rPr>
        <w:t xml:space="preserve"> </w:t>
      </w:r>
    </w:p>
    <w:p w14:paraId="2330F47F" w14:textId="77777777" w:rsidR="007B149A" w:rsidRDefault="000E054D">
      <w:pPr>
        <w:spacing w:before="240" w:after="240" w:line="360" w:lineRule="auto"/>
        <w:ind w:left="360"/>
        <w:rPr>
          <w:color w:val="222222"/>
          <w:highlight w:val="white"/>
        </w:rPr>
      </w:pPr>
      <w:r>
        <w:rPr>
          <w:color w:val="222222"/>
          <w:highlight w:val="white"/>
        </w:rPr>
        <w:lastRenderedPageBreak/>
        <w:t xml:space="preserve">Lecomte, N., Ahlstrøm, Ø., Ehrich, D., Fuglei, E., Ims, R.A. and Yoccoz, N.G., 2011. Intrapopulation variability shaping isotope discrimination and turnover: experimental evidence in arctic foxes. </w:t>
      </w:r>
      <w:r>
        <w:rPr>
          <w:i/>
          <w:color w:val="222222"/>
          <w:highlight w:val="white"/>
        </w:rPr>
        <w:t>PLoS One</w:t>
      </w:r>
      <w:r>
        <w:rPr>
          <w:color w:val="222222"/>
          <w:highlight w:val="white"/>
        </w:rPr>
        <w:t xml:space="preserve">, </w:t>
      </w:r>
      <w:r>
        <w:rPr>
          <w:i/>
          <w:color w:val="222222"/>
          <w:highlight w:val="white"/>
        </w:rPr>
        <w:t>6</w:t>
      </w:r>
      <w:r>
        <w:rPr>
          <w:color w:val="222222"/>
          <w:highlight w:val="white"/>
        </w:rPr>
        <w:t xml:space="preserve">(6), p.e21357. </w:t>
      </w:r>
      <w:hyperlink r:id="rId39">
        <w:r>
          <w:rPr>
            <w:color w:val="1155CC"/>
            <w:highlight w:val="white"/>
            <w:u w:val="single"/>
          </w:rPr>
          <w:t>https://doi.org/10.1371/journal.pone.0021357</w:t>
        </w:r>
      </w:hyperlink>
      <w:r>
        <w:rPr>
          <w:color w:val="222222"/>
          <w:highlight w:val="white"/>
        </w:rPr>
        <w:t xml:space="preserve"> </w:t>
      </w:r>
    </w:p>
    <w:p w14:paraId="2330F480" w14:textId="77777777" w:rsidR="007B149A" w:rsidRDefault="000E054D">
      <w:pPr>
        <w:spacing w:before="240" w:after="240" w:line="360" w:lineRule="auto"/>
        <w:ind w:left="360"/>
        <w:rPr>
          <w:color w:val="222222"/>
          <w:highlight w:val="white"/>
        </w:rPr>
      </w:pPr>
      <w:r>
        <w:rPr>
          <w:color w:val="222222"/>
          <w:highlight w:val="white"/>
        </w:rPr>
        <w:t xml:space="preserve">Lehmann, D., Mfune, J.K.E., Gewers, E., Brain, C. and Voigt, C.C., 2015. Individual variation of isotopic niches in grazing and browsing desert ungulates. </w:t>
      </w:r>
      <w:r>
        <w:rPr>
          <w:i/>
          <w:color w:val="222222"/>
          <w:highlight w:val="white"/>
        </w:rPr>
        <w:t>Oecologia</w:t>
      </w:r>
      <w:r>
        <w:rPr>
          <w:color w:val="222222"/>
          <w:highlight w:val="white"/>
        </w:rPr>
        <w:t xml:space="preserve">, </w:t>
      </w:r>
      <w:r>
        <w:rPr>
          <w:i/>
          <w:color w:val="222222"/>
          <w:highlight w:val="white"/>
        </w:rPr>
        <w:t>179</w:t>
      </w:r>
      <w:r>
        <w:rPr>
          <w:color w:val="222222"/>
          <w:highlight w:val="white"/>
        </w:rPr>
        <w:t xml:space="preserve">(1), pp.75-88. </w:t>
      </w:r>
      <w:hyperlink r:id="rId40">
        <w:r>
          <w:rPr>
            <w:color w:val="1155CC"/>
            <w:highlight w:val="white"/>
            <w:u w:val="single"/>
          </w:rPr>
          <w:t>https://doi.org/10.1007/s00442-015-3335-1</w:t>
        </w:r>
      </w:hyperlink>
      <w:r>
        <w:rPr>
          <w:color w:val="222222"/>
          <w:highlight w:val="white"/>
        </w:rPr>
        <w:t xml:space="preserve"> </w:t>
      </w:r>
    </w:p>
    <w:p w14:paraId="2330F481" w14:textId="77777777" w:rsidR="007B149A" w:rsidRDefault="000E054D">
      <w:pPr>
        <w:spacing w:before="240" w:after="240" w:line="360" w:lineRule="auto"/>
        <w:ind w:left="360"/>
        <w:rPr>
          <w:color w:val="222222"/>
          <w:highlight w:val="white"/>
        </w:rPr>
      </w:pPr>
      <w:r>
        <w:rPr>
          <w:color w:val="222222"/>
          <w:highlight w:val="white"/>
        </w:rPr>
        <w:t xml:space="preserve">Lehtonen, J., Parker, G.A. and Schärer, L., 2016. Why anisogamy drives ancestral sex roles. </w:t>
      </w:r>
      <w:r>
        <w:rPr>
          <w:i/>
          <w:color w:val="222222"/>
          <w:highlight w:val="white"/>
        </w:rPr>
        <w:t>Evolution</w:t>
      </w:r>
      <w:r>
        <w:rPr>
          <w:color w:val="222222"/>
          <w:highlight w:val="white"/>
        </w:rPr>
        <w:t xml:space="preserve">, </w:t>
      </w:r>
      <w:r>
        <w:rPr>
          <w:i/>
          <w:color w:val="222222"/>
          <w:highlight w:val="white"/>
        </w:rPr>
        <w:t>70</w:t>
      </w:r>
      <w:r>
        <w:rPr>
          <w:color w:val="222222"/>
          <w:highlight w:val="white"/>
        </w:rPr>
        <w:t xml:space="preserve">(5), pp.1129-1135. </w:t>
      </w:r>
      <w:hyperlink r:id="rId41">
        <w:r>
          <w:rPr>
            <w:color w:val="1155CC"/>
            <w:highlight w:val="white"/>
            <w:u w:val="single"/>
          </w:rPr>
          <w:t>https://doi.org/10.1111/evo.12926</w:t>
        </w:r>
      </w:hyperlink>
      <w:r>
        <w:rPr>
          <w:color w:val="222222"/>
          <w:highlight w:val="white"/>
        </w:rPr>
        <w:t xml:space="preserve"> </w:t>
      </w:r>
    </w:p>
    <w:p w14:paraId="2330F482" w14:textId="77777777" w:rsidR="007B149A" w:rsidRDefault="000E054D">
      <w:pPr>
        <w:spacing w:before="240" w:after="240" w:line="360" w:lineRule="auto"/>
        <w:ind w:left="360"/>
        <w:rPr>
          <w:color w:val="222222"/>
          <w:highlight w:val="white"/>
        </w:rPr>
      </w:pPr>
      <w:r>
        <w:rPr>
          <w:color w:val="222222"/>
          <w:highlight w:val="white"/>
        </w:rPr>
        <w:t xml:space="preserve">Maklakov, A.A., Simpson, S.J., Zajitschek, F., Hall, M.D., Dessmann, J., Clissold, F., Raubenheimer, D., Bonduriansky, R. and Brooks, R.C., 2008. Sex-specific fitness effects of nutrient intake on reproduction and lifespan. </w:t>
      </w:r>
      <w:r>
        <w:rPr>
          <w:i/>
          <w:color w:val="222222"/>
          <w:highlight w:val="white"/>
        </w:rPr>
        <w:t>Current Biology</w:t>
      </w:r>
      <w:r>
        <w:rPr>
          <w:color w:val="222222"/>
          <w:highlight w:val="white"/>
        </w:rPr>
        <w:t xml:space="preserve">, </w:t>
      </w:r>
      <w:r>
        <w:rPr>
          <w:i/>
          <w:color w:val="222222"/>
          <w:highlight w:val="white"/>
        </w:rPr>
        <w:t>18</w:t>
      </w:r>
      <w:r>
        <w:rPr>
          <w:color w:val="222222"/>
          <w:highlight w:val="white"/>
        </w:rPr>
        <w:t xml:space="preserve">(14), pp.1062-1066. </w:t>
      </w:r>
      <w:hyperlink r:id="rId42">
        <w:r>
          <w:rPr>
            <w:color w:val="1155CC"/>
            <w:highlight w:val="white"/>
            <w:u w:val="single"/>
          </w:rPr>
          <w:t>https://doi.org/10.1016/j.cub.2008.06.059</w:t>
        </w:r>
      </w:hyperlink>
      <w:r>
        <w:rPr>
          <w:color w:val="222222"/>
          <w:highlight w:val="white"/>
        </w:rPr>
        <w:t xml:space="preserve"> </w:t>
      </w:r>
    </w:p>
    <w:p w14:paraId="2330F483" w14:textId="77777777" w:rsidR="007B149A" w:rsidRDefault="000E054D">
      <w:pPr>
        <w:spacing w:before="240" w:after="240" w:line="360" w:lineRule="auto"/>
        <w:ind w:left="360"/>
        <w:rPr>
          <w:color w:val="222222"/>
          <w:highlight w:val="white"/>
        </w:rPr>
      </w:pPr>
      <w:r>
        <w:rPr>
          <w:color w:val="222222"/>
          <w:highlight w:val="white"/>
        </w:rPr>
        <w:t xml:space="preserve">Mancini, P.L., Bond, A.L., Hobson, K.A., Duarte, L.S. and Bugoni, L., 2013. Foraging segregation in tropical and polar seabirds: testing the intersexual competition hypothesis. </w:t>
      </w:r>
      <w:r>
        <w:rPr>
          <w:i/>
          <w:color w:val="222222"/>
          <w:highlight w:val="white"/>
        </w:rPr>
        <w:t>Journal of experimental marine biology and ecology</w:t>
      </w:r>
      <w:r>
        <w:rPr>
          <w:color w:val="222222"/>
          <w:highlight w:val="white"/>
        </w:rPr>
        <w:t xml:space="preserve">, </w:t>
      </w:r>
      <w:r>
        <w:rPr>
          <w:i/>
          <w:color w:val="222222"/>
          <w:highlight w:val="white"/>
        </w:rPr>
        <w:t>449</w:t>
      </w:r>
      <w:r>
        <w:rPr>
          <w:color w:val="222222"/>
          <w:highlight w:val="white"/>
        </w:rPr>
        <w:t xml:space="preserve">, pp.186-193. </w:t>
      </w:r>
      <w:hyperlink r:id="rId43">
        <w:r>
          <w:rPr>
            <w:color w:val="1155CC"/>
            <w:highlight w:val="white"/>
            <w:u w:val="single"/>
          </w:rPr>
          <w:t>https://doi.org/10.1016/j.jembe.2013.09.011</w:t>
        </w:r>
      </w:hyperlink>
      <w:r>
        <w:rPr>
          <w:color w:val="222222"/>
          <w:highlight w:val="white"/>
        </w:rPr>
        <w:t xml:space="preserve"> </w:t>
      </w:r>
    </w:p>
    <w:p w14:paraId="2330F484" w14:textId="77777777" w:rsidR="007B149A" w:rsidRDefault="000E054D">
      <w:pPr>
        <w:spacing w:before="240" w:after="240" w:line="360" w:lineRule="auto"/>
        <w:ind w:left="360"/>
        <w:rPr>
          <w:color w:val="222222"/>
          <w:highlight w:val="white"/>
        </w:rPr>
      </w:pPr>
      <w:r>
        <w:rPr>
          <w:color w:val="222222"/>
          <w:highlight w:val="white"/>
        </w:rPr>
        <w:t xml:space="preserve">McKinney, C.R., McCrea, J.M., Epstein, S., Allen, H.A. and Urey, H.C., 1950. Improvements in mass spectrometers for the measurement of small differences in isotope abundance ratios. </w:t>
      </w:r>
      <w:r>
        <w:rPr>
          <w:i/>
          <w:color w:val="222222"/>
          <w:highlight w:val="white"/>
        </w:rPr>
        <w:t>Review of Scientific Instruments</w:t>
      </w:r>
      <w:r>
        <w:rPr>
          <w:color w:val="222222"/>
          <w:highlight w:val="white"/>
        </w:rPr>
        <w:t xml:space="preserve">, </w:t>
      </w:r>
      <w:r>
        <w:rPr>
          <w:i/>
          <w:color w:val="222222"/>
          <w:highlight w:val="white"/>
        </w:rPr>
        <w:t>21</w:t>
      </w:r>
      <w:r>
        <w:rPr>
          <w:color w:val="222222"/>
          <w:highlight w:val="white"/>
        </w:rPr>
        <w:t xml:space="preserve">(8), pp.724-730. </w:t>
      </w:r>
      <w:hyperlink r:id="rId44">
        <w:r>
          <w:rPr>
            <w:color w:val="1155CC"/>
            <w:highlight w:val="white"/>
            <w:u w:val="single"/>
          </w:rPr>
          <w:t>https://doi.org/10.1063/1.1745698</w:t>
        </w:r>
      </w:hyperlink>
      <w:r>
        <w:rPr>
          <w:color w:val="222222"/>
          <w:highlight w:val="white"/>
        </w:rPr>
        <w:t xml:space="preserve"> </w:t>
      </w:r>
    </w:p>
    <w:p w14:paraId="2330F485" w14:textId="77777777" w:rsidR="007B149A" w:rsidRDefault="000E054D">
      <w:pPr>
        <w:spacing w:before="240" w:after="240" w:line="360" w:lineRule="auto"/>
        <w:ind w:left="360"/>
        <w:rPr>
          <w:color w:val="222222"/>
          <w:highlight w:val="white"/>
        </w:rPr>
      </w:pPr>
      <w:r>
        <w:rPr>
          <w:color w:val="222222"/>
          <w:highlight w:val="white"/>
        </w:rPr>
        <w:t xml:space="preserve">Mills, W.F., McGill, R.A., Cherel, Y., Votier, S.C. and Phillips, R.A., 2021. Stable isotopes demonstrate intraspecific variation in habitat use and trophic level of non‐breeding albatrosses. </w:t>
      </w:r>
      <w:r>
        <w:rPr>
          <w:i/>
          <w:color w:val="222222"/>
          <w:highlight w:val="white"/>
        </w:rPr>
        <w:t>Ibis</w:t>
      </w:r>
      <w:r>
        <w:rPr>
          <w:color w:val="222222"/>
          <w:highlight w:val="white"/>
        </w:rPr>
        <w:t xml:space="preserve">, </w:t>
      </w:r>
      <w:r>
        <w:rPr>
          <w:i/>
          <w:color w:val="222222"/>
          <w:highlight w:val="white"/>
        </w:rPr>
        <w:t>163</w:t>
      </w:r>
      <w:r>
        <w:rPr>
          <w:color w:val="222222"/>
          <w:highlight w:val="white"/>
        </w:rPr>
        <w:t xml:space="preserve">(2), pp.463-472. </w:t>
      </w:r>
      <w:hyperlink r:id="rId45">
        <w:r>
          <w:rPr>
            <w:color w:val="1155CC"/>
            <w:highlight w:val="white"/>
            <w:u w:val="single"/>
          </w:rPr>
          <w:t>https://doi.org/10.1111/ibi.12874</w:t>
        </w:r>
      </w:hyperlink>
      <w:r>
        <w:rPr>
          <w:color w:val="222222"/>
          <w:highlight w:val="white"/>
        </w:rPr>
        <w:t xml:space="preserve"> </w:t>
      </w:r>
    </w:p>
    <w:p w14:paraId="2330F486" w14:textId="77777777" w:rsidR="007B149A" w:rsidRDefault="000E054D">
      <w:pPr>
        <w:spacing w:before="240" w:after="240" w:line="360" w:lineRule="auto"/>
        <w:ind w:left="360"/>
        <w:rPr>
          <w:color w:val="222222"/>
          <w:highlight w:val="white"/>
        </w:rPr>
      </w:pPr>
      <w:r>
        <w:rPr>
          <w:color w:val="222222"/>
          <w:highlight w:val="white"/>
        </w:rPr>
        <w:t xml:space="preserve">Minagawa, M. and Wada, E., 1984. Stepwise enrichment of 15N along food chains: further evidence and the relation between δ15N and animal age. </w:t>
      </w:r>
      <w:r>
        <w:rPr>
          <w:i/>
          <w:color w:val="222222"/>
          <w:highlight w:val="white"/>
        </w:rPr>
        <w:t>Geochimica et cosmochimica acta</w:t>
      </w:r>
      <w:r>
        <w:rPr>
          <w:color w:val="222222"/>
          <w:highlight w:val="white"/>
        </w:rPr>
        <w:t xml:space="preserve">, </w:t>
      </w:r>
      <w:r>
        <w:rPr>
          <w:i/>
          <w:color w:val="222222"/>
          <w:highlight w:val="white"/>
        </w:rPr>
        <w:t>48</w:t>
      </w:r>
      <w:r>
        <w:rPr>
          <w:color w:val="222222"/>
          <w:highlight w:val="white"/>
        </w:rPr>
        <w:t xml:space="preserve">(5), pp.1135-1140. </w:t>
      </w:r>
      <w:hyperlink r:id="rId46">
        <w:r>
          <w:rPr>
            <w:color w:val="1155CC"/>
            <w:highlight w:val="white"/>
            <w:u w:val="single"/>
          </w:rPr>
          <w:t>https://doi.org/10.1016/0016-7037(84)90204-7</w:t>
        </w:r>
      </w:hyperlink>
      <w:r>
        <w:rPr>
          <w:color w:val="222222"/>
          <w:highlight w:val="white"/>
        </w:rPr>
        <w:t xml:space="preserve"> </w:t>
      </w:r>
    </w:p>
    <w:p w14:paraId="2330F487" w14:textId="77777777" w:rsidR="007B149A" w:rsidRDefault="000E054D">
      <w:pPr>
        <w:spacing w:before="240" w:after="240" w:line="360" w:lineRule="auto"/>
        <w:ind w:left="360"/>
        <w:rPr>
          <w:color w:val="222222"/>
          <w:highlight w:val="white"/>
        </w:rPr>
      </w:pPr>
      <w:r>
        <w:rPr>
          <w:color w:val="222222"/>
          <w:highlight w:val="white"/>
        </w:rPr>
        <w:lastRenderedPageBreak/>
        <w:t xml:space="preserve">Morehouse, N.I., Raubenheimer, D., Kay, </w:t>
      </w:r>
      <w:proofErr w:type="gramStart"/>
      <w:r>
        <w:rPr>
          <w:color w:val="222222"/>
          <w:highlight w:val="white"/>
        </w:rPr>
        <w:t>A.</w:t>
      </w:r>
      <w:proofErr w:type="gramEnd"/>
      <w:r>
        <w:rPr>
          <w:color w:val="222222"/>
          <w:highlight w:val="white"/>
        </w:rPr>
        <w:t xml:space="preserve"> and Bertram, S.M., 2020. Integrating nutritional and behavioral ecology: Mutual benefits and new frontiers. </w:t>
      </w:r>
      <w:r>
        <w:rPr>
          <w:i/>
          <w:color w:val="222222"/>
          <w:highlight w:val="white"/>
        </w:rPr>
        <w:t>Advances in the Study of Behavior</w:t>
      </w:r>
      <w:r>
        <w:rPr>
          <w:color w:val="222222"/>
          <w:highlight w:val="white"/>
        </w:rPr>
        <w:t xml:space="preserve">, </w:t>
      </w:r>
      <w:r>
        <w:rPr>
          <w:i/>
          <w:color w:val="222222"/>
          <w:highlight w:val="white"/>
        </w:rPr>
        <w:t>52</w:t>
      </w:r>
      <w:r>
        <w:rPr>
          <w:color w:val="222222"/>
          <w:highlight w:val="white"/>
        </w:rPr>
        <w:t xml:space="preserve">, pp.29-63. </w:t>
      </w:r>
      <w:hyperlink r:id="rId47">
        <w:r>
          <w:rPr>
            <w:color w:val="1155CC"/>
            <w:highlight w:val="white"/>
            <w:u w:val="single"/>
          </w:rPr>
          <w:t>https://doi.org/10.1016/bs.asb.2020.01.002</w:t>
        </w:r>
      </w:hyperlink>
      <w:r>
        <w:rPr>
          <w:color w:val="222222"/>
          <w:highlight w:val="white"/>
        </w:rPr>
        <w:t xml:space="preserve"> </w:t>
      </w:r>
    </w:p>
    <w:p w14:paraId="2330F488" w14:textId="77777777" w:rsidR="007B149A" w:rsidRDefault="000E054D">
      <w:pPr>
        <w:spacing w:before="240" w:after="240" w:line="360" w:lineRule="auto"/>
        <w:ind w:left="360"/>
        <w:rPr>
          <w:color w:val="222222"/>
          <w:highlight w:val="white"/>
        </w:rPr>
      </w:pPr>
      <w:r>
        <w:rPr>
          <w:color w:val="222222"/>
          <w:highlight w:val="white"/>
        </w:rPr>
        <w:t xml:space="preserve">Nakagawa, S. and Cuthill, I.C., 2007. Effect size, confidence interval and statistical significance: a practical guide for biologists. </w:t>
      </w:r>
      <w:r>
        <w:rPr>
          <w:i/>
          <w:color w:val="222222"/>
          <w:highlight w:val="white"/>
        </w:rPr>
        <w:t>Biological reviews</w:t>
      </w:r>
      <w:r>
        <w:rPr>
          <w:color w:val="222222"/>
          <w:highlight w:val="white"/>
        </w:rPr>
        <w:t xml:space="preserve">, </w:t>
      </w:r>
      <w:r>
        <w:rPr>
          <w:i/>
          <w:color w:val="222222"/>
          <w:highlight w:val="white"/>
        </w:rPr>
        <w:t>82</w:t>
      </w:r>
      <w:r>
        <w:rPr>
          <w:color w:val="222222"/>
          <w:highlight w:val="white"/>
        </w:rPr>
        <w:t xml:space="preserve">(4), pp.591-605. </w:t>
      </w:r>
      <w:hyperlink r:id="rId48">
        <w:r>
          <w:rPr>
            <w:color w:val="1155CC"/>
            <w:highlight w:val="white"/>
            <w:u w:val="single"/>
          </w:rPr>
          <w:t>https://doi.org/10.1111/j.1469-185X.2007.00027.x</w:t>
        </w:r>
      </w:hyperlink>
      <w:r>
        <w:rPr>
          <w:color w:val="222222"/>
          <w:highlight w:val="white"/>
        </w:rPr>
        <w:t xml:space="preserve"> </w:t>
      </w:r>
    </w:p>
    <w:p w14:paraId="2330F489" w14:textId="77777777" w:rsidR="007B149A" w:rsidRDefault="000E054D">
      <w:pPr>
        <w:spacing w:before="240" w:after="240" w:line="360" w:lineRule="auto"/>
        <w:ind w:left="360"/>
        <w:rPr>
          <w:color w:val="222222"/>
          <w:highlight w:val="white"/>
        </w:rPr>
      </w:pPr>
      <w:r>
        <w:rPr>
          <w:color w:val="222222"/>
          <w:highlight w:val="white"/>
        </w:rPr>
        <w:t xml:space="preserve">Nakagawa, </w:t>
      </w:r>
      <w:proofErr w:type="gramStart"/>
      <w:r>
        <w:rPr>
          <w:color w:val="222222"/>
          <w:highlight w:val="white"/>
        </w:rPr>
        <w:t>S.</w:t>
      </w:r>
      <w:proofErr w:type="gramEnd"/>
      <w:r>
        <w:rPr>
          <w:color w:val="222222"/>
          <w:highlight w:val="white"/>
        </w:rPr>
        <w:t xml:space="preserve"> and Santos, E.S., 2012. Methodological issues and advances in biological meta-analysis. </w:t>
      </w:r>
      <w:r>
        <w:rPr>
          <w:i/>
          <w:color w:val="222222"/>
          <w:highlight w:val="white"/>
        </w:rPr>
        <w:t>Evolutionary Ecology</w:t>
      </w:r>
      <w:r>
        <w:rPr>
          <w:color w:val="222222"/>
          <w:highlight w:val="white"/>
        </w:rPr>
        <w:t xml:space="preserve">, </w:t>
      </w:r>
      <w:r>
        <w:rPr>
          <w:i/>
          <w:color w:val="222222"/>
          <w:highlight w:val="white"/>
        </w:rPr>
        <w:t>26</w:t>
      </w:r>
      <w:r>
        <w:rPr>
          <w:color w:val="222222"/>
          <w:highlight w:val="white"/>
        </w:rPr>
        <w:t xml:space="preserve">(5), pp.1253-1274. </w:t>
      </w:r>
      <w:hyperlink r:id="rId49">
        <w:r>
          <w:rPr>
            <w:color w:val="1155CC"/>
            <w:highlight w:val="white"/>
            <w:u w:val="single"/>
          </w:rPr>
          <w:t>https://doi.org/10.1007/s10682-012-9555-5</w:t>
        </w:r>
      </w:hyperlink>
      <w:r>
        <w:rPr>
          <w:color w:val="222222"/>
          <w:highlight w:val="white"/>
        </w:rPr>
        <w:t xml:space="preserve"> </w:t>
      </w:r>
    </w:p>
    <w:p w14:paraId="2330F48A" w14:textId="77777777" w:rsidR="007B149A" w:rsidRDefault="000E054D">
      <w:pPr>
        <w:spacing w:before="240" w:after="240" w:line="360" w:lineRule="auto"/>
        <w:ind w:left="360"/>
        <w:rPr>
          <w:color w:val="222222"/>
          <w:highlight w:val="white"/>
        </w:rPr>
      </w:pPr>
      <w:r>
        <w:rPr>
          <w:color w:val="222222"/>
          <w:highlight w:val="white"/>
        </w:rPr>
        <w:t xml:space="preserve">Newton, J., 2016. Stable isotopes as tools in ecological research. </w:t>
      </w:r>
      <w:r>
        <w:rPr>
          <w:i/>
          <w:color w:val="222222"/>
          <w:highlight w:val="white"/>
        </w:rPr>
        <w:t>eLS</w:t>
      </w:r>
      <w:r>
        <w:rPr>
          <w:color w:val="222222"/>
          <w:highlight w:val="white"/>
        </w:rPr>
        <w:t xml:space="preserve">, pp.1-8. </w:t>
      </w:r>
      <w:hyperlink r:id="rId50">
        <w:r>
          <w:rPr>
            <w:color w:val="1155CC"/>
            <w:highlight w:val="white"/>
            <w:u w:val="single"/>
          </w:rPr>
          <w:t>https://doi.org/10.1002/9780470015902.a0021231.pub2</w:t>
        </w:r>
      </w:hyperlink>
      <w:r>
        <w:rPr>
          <w:color w:val="222222"/>
          <w:highlight w:val="white"/>
        </w:rPr>
        <w:t xml:space="preserve"> </w:t>
      </w:r>
    </w:p>
    <w:p w14:paraId="2330F48B" w14:textId="77777777" w:rsidR="007B149A" w:rsidRDefault="000E054D">
      <w:pPr>
        <w:spacing w:before="240" w:after="240" w:line="360" w:lineRule="auto"/>
        <w:ind w:left="360"/>
        <w:rPr>
          <w:color w:val="222222"/>
          <w:highlight w:val="white"/>
        </w:rPr>
      </w:pPr>
      <w:r>
        <w:rPr>
          <w:color w:val="222222"/>
          <w:highlight w:val="white"/>
        </w:rPr>
        <w:t xml:space="preserve">Nilsson, P.A. and Brönmark, C., 2000. Prey vulnerability to a gape‐size limited predator: behavioural and morphological impacts on northern pike piscivory. </w:t>
      </w:r>
      <w:r>
        <w:rPr>
          <w:i/>
          <w:color w:val="222222"/>
          <w:highlight w:val="white"/>
        </w:rPr>
        <w:t>Oikos</w:t>
      </w:r>
      <w:r>
        <w:rPr>
          <w:color w:val="222222"/>
          <w:highlight w:val="white"/>
        </w:rPr>
        <w:t xml:space="preserve">, </w:t>
      </w:r>
      <w:r>
        <w:rPr>
          <w:i/>
          <w:color w:val="222222"/>
          <w:highlight w:val="white"/>
        </w:rPr>
        <w:t>88</w:t>
      </w:r>
      <w:r>
        <w:rPr>
          <w:color w:val="222222"/>
          <w:highlight w:val="white"/>
        </w:rPr>
        <w:t xml:space="preserve">(3), pp.539-546. </w:t>
      </w:r>
      <w:hyperlink r:id="rId51">
        <w:r>
          <w:rPr>
            <w:color w:val="1155CC"/>
            <w:highlight w:val="white"/>
            <w:u w:val="single"/>
          </w:rPr>
          <w:t>https://doi.org/10.1034/j.1600-0706.2000.880310.x</w:t>
        </w:r>
      </w:hyperlink>
      <w:r>
        <w:rPr>
          <w:color w:val="222222"/>
          <w:highlight w:val="white"/>
        </w:rPr>
        <w:t xml:space="preserve"> </w:t>
      </w:r>
    </w:p>
    <w:p w14:paraId="2330F48C" w14:textId="77777777" w:rsidR="007B149A" w:rsidRDefault="000E054D">
      <w:pPr>
        <w:spacing w:before="240" w:after="240" w:line="360" w:lineRule="auto"/>
        <w:ind w:left="360"/>
        <w:rPr>
          <w:color w:val="222222"/>
          <w:highlight w:val="white"/>
        </w:rPr>
      </w:pPr>
      <w:r>
        <w:rPr>
          <w:color w:val="222222"/>
          <w:highlight w:val="white"/>
        </w:rPr>
        <w:t xml:space="preserve">O'Dea, R.E., Lagisz, M., Jennions, M.D., Koricheva, J., Noble, D.W., Parker, T.H., Gurevitch, J., Page, M.J., Stewart, G., Moher, D. and Nakagawa, S., 2021. Preferred reporting items for systematic reviews and meta‐analyses in ecology and evolutionary biology: a PRISMA extension. </w:t>
      </w:r>
      <w:r>
        <w:rPr>
          <w:i/>
          <w:color w:val="222222"/>
          <w:highlight w:val="white"/>
        </w:rPr>
        <w:t>Biological Reviews</w:t>
      </w:r>
      <w:r>
        <w:rPr>
          <w:color w:val="222222"/>
          <w:highlight w:val="white"/>
        </w:rPr>
        <w:t xml:space="preserve">. </w:t>
      </w:r>
      <w:hyperlink r:id="rId52">
        <w:r>
          <w:rPr>
            <w:color w:val="1155CC"/>
            <w:highlight w:val="white"/>
            <w:u w:val="single"/>
          </w:rPr>
          <w:t>https://doi.org/10.1111/brv.12721</w:t>
        </w:r>
      </w:hyperlink>
      <w:r>
        <w:rPr>
          <w:color w:val="222222"/>
          <w:highlight w:val="white"/>
        </w:rPr>
        <w:t xml:space="preserve"> </w:t>
      </w:r>
    </w:p>
    <w:p w14:paraId="2330F48D" w14:textId="77777777" w:rsidR="007B149A" w:rsidRDefault="000E054D">
      <w:pPr>
        <w:spacing w:before="240" w:after="240" w:line="360" w:lineRule="auto"/>
        <w:ind w:left="360"/>
        <w:rPr>
          <w:color w:val="222222"/>
          <w:highlight w:val="white"/>
        </w:rPr>
      </w:pPr>
      <w:r>
        <w:rPr>
          <w:color w:val="222222"/>
          <w:highlight w:val="white"/>
        </w:rPr>
        <w:t xml:space="preserve">Parker, G.A. and Pizzari, T., 2015. Sexual selection: the logical imperative. In </w:t>
      </w:r>
      <w:r>
        <w:rPr>
          <w:i/>
          <w:color w:val="222222"/>
          <w:highlight w:val="white"/>
        </w:rPr>
        <w:t>Current perspectives on sexual selection</w:t>
      </w:r>
      <w:r>
        <w:rPr>
          <w:color w:val="222222"/>
          <w:highlight w:val="white"/>
        </w:rPr>
        <w:t xml:space="preserve"> (pp. 119-163). Springer, Dordrecht. </w:t>
      </w:r>
      <w:hyperlink r:id="rId53">
        <w:r>
          <w:rPr>
            <w:color w:val="1155CC"/>
            <w:highlight w:val="white"/>
            <w:u w:val="single"/>
          </w:rPr>
          <w:t>https://doi.org/10.1007/978-94-017-9585-2_7</w:t>
        </w:r>
      </w:hyperlink>
      <w:r>
        <w:rPr>
          <w:color w:val="222222"/>
          <w:highlight w:val="white"/>
        </w:rPr>
        <w:t xml:space="preserve"> </w:t>
      </w:r>
    </w:p>
    <w:p w14:paraId="2330F48E" w14:textId="77777777" w:rsidR="007B149A" w:rsidRDefault="000E054D">
      <w:pPr>
        <w:spacing w:before="240" w:after="240" w:line="360" w:lineRule="auto"/>
        <w:ind w:left="360"/>
        <w:rPr>
          <w:color w:val="222222"/>
          <w:highlight w:val="white"/>
        </w:rPr>
      </w:pPr>
      <w:r>
        <w:rPr>
          <w:color w:val="222222"/>
          <w:highlight w:val="white"/>
        </w:rPr>
        <w:t xml:space="preserve">Pearson, D., Shine, R. and How, R., 2002. Sex-specific niche partitioning and sexual size dimorphism in Australian pythons (Morelia spilota imbricata). </w:t>
      </w:r>
      <w:r>
        <w:rPr>
          <w:i/>
          <w:color w:val="222222"/>
          <w:highlight w:val="white"/>
        </w:rPr>
        <w:t>Biological Journal of the Linnean Society</w:t>
      </w:r>
      <w:r>
        <w:rPr>
          <w:color w:val="222222"/>
          <w:highlight w:val="white"/>
        </w:rPr>
        <w:t xml:space="preserve">, </w:t>
      </w:r>
      <w:r>
        <w:rPr>
          <w:i/>
          <w:color w:val="222222"/>
          <w:highlight w:val="white"/>
        </w:rPr>
        <w:t>77</w:t>
      </w:r>
      <w:r>
        <w:rPr>
          <w:color w:val="222222"/>
          <w:highlight w:val="white"/>
        </w:rPr>
        <w:t xml:space="preserve">(1), pp.113-125. </w:t>
      </w:r>
      <w:hyperlink r:id="rId54">
        <w:r>
          <w:rPr>
            <w:color w:val="1155CC"/>
            <w:highlight w:val="white"/>
            <w:u w:val="single"/>
          </w:rPr>
          <w:t>https://doi.org/10.1046/j.1095-8312.1999.00075.x</w:t>
        </w:r>
      </w:hyperlink>
      <w:r>
        <w:rPr>
          <w:color w:val="222222"/>
          <w:highlight w:val="white"/>
        </w:rPr>
        <w:t xml:space="preserve"> </w:t>
      </w:r>
    </w:p>
    <w:p w14:paraId="2330F48F" w14:textId="77777777" w:rsidR="007B149A" w:rsidRDefault="000E054D">
      <w:pPr>
        <w:spacing w:before="240" w:after="240" w:line="360" w:lineRule="auto"/>
        <w:ind w:left="360"/>
        <w:rPr>
          <w:color w:val="222222"/>
          <w:highlight w:val="white"/>
        </w:rPr>
      </w:pPr>
      <w:r>
        <w:rPr>
          <w:color w:val="222222"/>
          <w:highlight w:val="white"/>
        </w:rPr>
        <w:lastRenderedPageBreak/>
        <w:t xml:space="preserve">Persson, L., Andersson, J., Wahlstrom, E. and Eklov, P., 1996. Size‐specific interactions in lake systems: predator gape limitation and prey growth rate and mortality. </w:t>
      </w:r>
      <w:r>
        <w:rPr>
          <w:i/>
          <w:color w:val="222222"/>
          <w:highlight w:val="white"/>
        </w:rPr>
        <w:t>Ecology</w:t>
      </w:r>
      <w:r>
        <w:rPr>
          <w:color w:val="222222"/>
          <w:highlight w:val="white"/>
        </w:rPr>
        <w:t xml:space="preserve">, </w:t>
      </w:r>
      <w:r>
        <w:rPr>
          <w:i/>
          <w:color w:val="222222"/>
          <w:highlight w:val="white"/>
        </w:rPr>
        <w:t>77</w:t>
      </w:r>
      <w:r>
        <w:rPr>
          <w:color w:val="222222"/>
          <w:highlight w:val="white"/>
        </w:rPr>
        <w:t xml:space="preserve">(3), pp.900-911. </w:t>
      </w:r>
      <w:hyperlink r:id="rId55">
        <w:r>
          <w:rPr>
            <w:color w:val="1155CC"/>
            <w:highlight w:val="white"/>
            <w:u w:val="single"/>
          </w:rPr>
          <w:t>https://doi.org/10.2307/2265510</w:t>
        </w:r>
      </w:hyperlink>
      <w:r>
        <w:rPr>
          <w:color w:val="222222"/>
          <w:highlight w:val="white"/>
        </w:rPr>
        <w:t xml:space="preserve"> </w:t>
      </w:r>
    </w:p>
    <w:p w14:paraId="2330F490" w14:textId="77777777" w:rsidR="007B149A" w:rsidRDefault="000E054D">
      <w:pPr>
        <w:spacing w:before="240" w:after="240" w:line="360" w:lineRule="auto"/>
        <w:ind w:left="360"/>
        <w:rPr>
          <w:color w:val="222222"/>
          <w:highlight w:val="white"/>
        </w:rPr>
      </w:pPr>
      <w:r>
        <w:rPr>
          <w:color w:val="222222"/>
          <w:highlight w:val="white"/>
        </w:rPr>
        <w:t xml:space="preserve">Phillips, R.A., McGill, R.A., Dawson, D.A. and Bearhop, S., 2011. Sexual segregation in distribution, </w:t>
      </w:r>
      <w:proofErr w:type="gramStart"/>
      <w:r>
        <w:rPr>
          <w:color w:val="222222"/>
          <w:highlight w:val="white"/>
        </w:rPr>
        <w:t>diet</w:t>
      </w:r>
      <w:proofErr w:type="gramEnd"/>
      <w:r>
        <w:rPr>
          <w:color w:val="222222"/>
          <w:highlight w:val="white"/>
        </w:rPr>
        <w:t xml:space="preserve"> and trophic level of seabirds: insights from stable isotope analysis. </w:t>
      </w:r>
      <w:r>
        <w:rPr>
          <w:i/>
          <w:color w:val="222222"/>
          <w:highlight w:val="white"/>
        </w:rPr>
        <w:t>Marine Biology</w:t>
      </w:r>
      <w:r>
        <w:rPr>
          <w:color w:val="222222"/>
          <w:highlight w:val="white"/>
        </w:rPr>
        <w:t xml:space="preserve">, </w:t>
      </w:r>
      <w:r>
        <w:rPr>
          <w:i/>
          <w:color w:val="222222"/>
          <w:highlight w:val="white"/>
        </w:rPr>
        <w:t>158</w:t>
      </w:r>
      <w:r>
        <w:rPr>
          <w:color w:val="222222"/>
          <w:highlight w:val="white"/>
        </w:rPr>
        <w:t xml:space="preserve">(10), pp.2199-2208. </w:t>
      </w:r>
      <w:hyperlink r:id="rId56">
        <w:r>
          <w:rPr>
            <w:color w:val="1155CC"/>
            <w:highlight w:val="white"/>
            <w:u w:val="single"/>
          </w:rPr>
          <w:t>https://doi.org/10.1007/s00227-011-1725-4</w:t>
        </w:r>
      </w:hyperlink>
      <w:r>
        <w:rPr>
          <w:color w:val="222222"/>
          <w:highlight w:val="white"/>
        </w:rPr>
        <w:t xml:space="preserve"> </w:t>
      </w:r>
    </w:p>
    <w:p w14:paraId="2330F491" w14:textId="77777777" w:rsidR="007B149A" w:rsidRDefault="000E054D">
      <w:pPr>
        <w:spacing w:before="240" w:after="240" w:line="360" w:lineRule="auto"/>
        <w:ind w:left="360"/>
        <w:rPr>
          <w:color w:val="222222"/>
          <w:highlight w:val="white"/>
        </w:rPr>
      </w:pPr>
      <w:r>
        <w:rPr>
          <w:color w:val="222222"/>
          <w:highlight w:val="white"/>
        </w:rPr>
        <w:t xml:space="preserve">Pick, J.L., Nakagawa, S. and Noble, D.W., 2019. Reproducible, </w:t>
      </w:r>
      <w:proofErr w:type="gramStart"/>
      <w:r>
        <w:rPr>
          <w:color w:val="222222"/>
          <w:highlight w:val="white"/>
        </w:rPr>
        <w:t>flexible</w:t>
      </w:r>
      <w:proofErr w:type="gramEnd"/>
      <w:r>
        <w:rPr>
          <w:color w:val="222222"/>
          <w:highlight w:val="white"/>
        </w:rPr>
        <w:t xml:space="preserve"> and high‐throughput data extraction from primary literature: The metaDigitise r package. </w:t>
      </w:r>
      <w:r>
        <w:rPr>
          <w:i/>
          <w:color w:val="222222"/>
          <w:highlight w:val="white"/>
        </w:rPr>
        <w:t>Methods in Ecology and Evolution</w:t>
      </w:r>
      <w:r>
        <w:rPr>
          <w:color w:val="222222"/>
          <w:highlight w:val="white"/>
        </w:rPr>
        <w:t xml:space="preserve">, </w:t>
      </w:r>
      <w:r>
        <w:rPr>
          <w:i/>
          <w:color w:val="222222"/>
          <w:highlight w:val="white"/>
        </w:rPr>
        <w:t>10</w:t>
      </w:r>
      <w:r>
        <w:rPr>
          <w:color w:val="222222"/>
          <w:highlight w:val="white"/>
        </w:rPr>
        <w:t xml:space="preserve">(3), pp.426-431. </w:t>
      </w:r>
      <w:hyperlink r:id="rId57">
        <w:r>
          <w:rPr>
            <w:color w:val="1155CC"/>
            <w:highlight w:val="white"/>
            <w:u w:val="single"/>
          </w:rPr>
          <w:t>https://doi.org/10.1111/2041-210X.13118</w:t>
        </w:r>
      </w:hyperlink>
      <w:r>
        <w:rPr>
          <w:color w:val="222222"/>
          <w:highlight w:val="white"/>
        </w:rPr>
        <w:t xml:space="preserve"> </w:t>
      </w:r>
    </w:p>
    <w:p w14:paraId="2330F492" w14:textId="77777777" w:rsidR="007B149A" w:rsidRDefault="000E054D">
      <w:pPr>
        <w:spacing w:before="240" w:after="240" w:line="360" w:lineRule="auto"/>
        <w:ind w:left="360"/>
        <w:rPr>
          <w:color w:val="222222"/>
          <w:highlight w:val="white"/>
        </w:rPr>
      </w:pPr>
      <w:r>
        <w:rPr>
          <w:color w:val="222222"/>
          <w:highlight w:val="white"/>
        </w:rPr>
        <w:t>Ponsard, S. and Arditi, R., 2000. What can stable isotopes (δ15N and δ13C) tell about the food web of soil macro‐</w:t>
      </w:r>
      <w:proofErr w:type="gramStart"/>
      <w:r>
        <w:rPr>
          <w:color w:val="222222"/>
          <w:highlight w:val="white"/>
        </w:rPr>
        <w:t>invertebrates?.</w:t>
      </w:r>
      <w:proofErr w:type="gramEnd"/>
      <w:r>
        <w:rPr>
          <w:color w:val="222222"/>
          <w:highlight w:val="white"/>
        </w:rPr>
        <w:t xml:space="preserve"> </w:t>
      </w:r>
      <w:r>
        <w:rPr>
          <w:i/>
          <w:color w:val="222222"/>
          <w:highlight w:val="white"/>
        </w:rPr>
        <w:t>Ecology</w:t>
      </w:r>
      <w:r>
        <w:rPr>
          <w:color w:val="222222"/>
          <w:highlight w:val="white"/>
        </w:rPr>
        <w:t xml:space="preserve">, </w:t>
      </w:r>
      <w:r>
        <w:rPr>
          <w:i/>
          <w:color w:val="222222"/>
          <w:highlight w:val="white"/>
        </w:rPr>
        <w:t>81</w:t>
      </w:r>
      <w:r>
        <w:rPr>
          <w:color w:val="222222"/>
          <w:highlight w:val="white"/>
        </w:rPr>
        <w:t xml:space="preserve">(3), pp.852-864. </w:t>
      </w:r>
      <w:hyperlink r:id="rId58">
        <w:r>
          <w:rPr>
            <w:color w:val="1155CC"/>
            <w:highlight w:val="white"/>
            <w:u w:val="single"/>
          </w:rPr>
          <w:t>https://doi.org/10.1890/0012-9658(2000)081[0852:WCSINA]2.0.CO;2</w:t>
        </w:r>
      </w:hyperlink>
      <w:r>
        <w:rPr>
          <w:color w:val="222222"/>
          <w:highlight w:val="white"/>
        </w:rPr>
        <w:t xml:space="preserve"> </w:t>
      </w:r>
    </w:p>
    <w:p w14:paraId="2330F493" w14:textId="77777777" w:rsidR="007B149A" w:rsidRDefault="000E054D">
      <w:pPr>
        <w:spacing w:before="240" w:after="240" w:line="360" w:lineRule="auto"/>
        <w:ind w:left="360"/>
        <w:rPr>
          <w:color w:val="222222"/>
          <w:highlight w:val="white"/>
        </w:rPr>
      </w:pPr>
      <w:r>
        <w:rPr>
          <w:color w:val="222222"/>
          <w:highlight w:val="white"/>
        </w:rPr>
        <w:t xml:space="preserve">Raubenheimer, D. and Simpson, S.J., 2018. Nutritional ecology and foraging theory. </w:t>
      </w:r>
      <w:r>
        <w:rPr>
          <w:i/>
          <w:color w:val="222222"/>
          <w:highlight w:val="white"/>
        </w:rPr>
        <w:t>Current opinion in insect science</w:t>
      </w:r>
      <w:r>
        <w:rPr>
          <w:color w:val="222222"/>
          <w:highlight w:val="white"/>
        </w:rPr>
        <w:t xml:space="preserve">, </w:t>
      </w:r>
      <w:r>
        <w:rPr>
          <w:i/>
          <w:color w:val="222222"/>
          <w:highlight w:val="white"/>
        </w:rPr>
        <w:t>27</w:t>
      </w:r>
      <w:r>
        <w:rPr>
          <w:color w:val="222222"/>
          <w:highlight w:val="white"/>
        </w:rPr>
        <w:t xml:space="preserve">, pp.38-45. </w:t>
      </w:r>
      <w:hyperlink r:id="rId59">
        <w:r>
          <w:rPr>
            <w:color w:val="1155CC"/>
            <w:highlight w:val="white"/>
            <w:u w:val="single"/>
          </w:rPr>
          <w:t>https://doi.org/10.1016/j.cois.2018.02.002</w:t>
        </w:r>
      </w:hyperlink>
      <w:r>
        <w:rPr>
          <w:color w:val="222222"/>
          <w:highlight w:val="white"/>
        </w:rPr>
        <w:t xml:space="preserve"> </w:t>
      </w:r>
    </w:p>
    <w:p w14:paraId="2330F494" w14:textId="77777777" w:rsidR="007B149A" w:rsidRDefault="000E054D">
      <w:pPr>
        <w:spacing w:before="240" w:after="240" w:line="360" w:lineRule="auto"/>
        <w:ind w:left="360"/>
        <w:rPr>
          <w:color w:val="222222"/>
          <w:highlight w:val="white"/>
        </w:rPr>
      </w:pPr>
      <w:r>
        <w:rPr>
          <w:color w:val="222222"/>
          <w:highlight w:val="white"/>
        </w:rPr>
        <w:t xml:space="preserve">Schärer, L., Rowe, L. and Arnqvist, G., 2012. Anisogamy, chance and the evolution of sex roles. </w:t>
      </w:r>
      <w:r>
        <w:rPr>
          <w:i/>
          <w:color w:val="222222"/>
          <w:highlight w:val="white"/>
        </w:rPr>
        <w:t>Trends in Ecology &amp; Evolution</w:t>
      </w:r>
      <w:r>
        <w:rPr>
          <w:color w:val="222222"/>
          <w:highlight w:val="white"/>
        </w:rPr>
        <w:t xml:space="preserve">, </w:t>
      </w:r>
      <w:r>
        <w:rPr>
          <w:i/>
          <w:color w:val="222222"/>
          <w:highlight w:val="white"/>
        </w:rPr>
        <w:t>27</w:t>
      </w:r>
      <w:r>
        <w:rPr>
          <w:color w:val="222222"/>
          <w:highlight w:val="white"/>
        </w:rPr>
        <w:t xml:space="preserve">(5), pp.260-264. </w:t>
      </w:r>
      <w:hyperlink r:id="rId60">
        <w:r>
          <w:rPr>
            <w:color w:val="1155CC"/>
            <w:highlight w:val="white"/>
            <w:u w:val="single"/>
          </w:rPr>
          <w:t>https://doi.org/10.1016/j.tree.2011.12.006</w:t>
        </w:r>
      </w:hyperlink>
      <w:r>
        <w:rPr>
          <w:color w:val="222222"/>
          <w:highlight w:val="white"/>
        </w:rPr>
        <w:t xml:space="preserve"> </w:t>
      </w:r>
    </w:p>
    <w:p w14:paraId="2330F495" w14:textId="77777777" w:rsidR="007B149A" w:rsidRDefault="000E054D">
      <w:pPr>
        <w:spacing w:before="240" w:after="240" w:line="360" w:lineRule="auto"/>
        <w:ind w:left="360"/>
        <w:rPr>
          <w:color w:val="222222"/>
          <w:highlight w:val="white"/>
        </w:rPr>
      </w:pPr>
      <w:r>
        <w:rPr>
          <w:color w:val="222222"/>
          <w:highlight w:val="white"/>
        </w:rPr>
        <w:t xml:space="preserve">Senior, A.M., Viechtbauer, W. and Nakagawa, S., 2020. Revisiting and expanding the meta‐analysis of variation: The log coefficient of variation ratio. </w:t>
      </w:r>
      <w:r>
        <w:rPr>
          <w:i/>
          <w:color w:val="222222"/>
          <w:highlight w:val="white"/>
        </w:rPr>
        <w:t>Research Synthesis Methods</w:t>
      </w:r>
      <w:r>
        <w:rPr>
          <w:color w:val="222222"/>
          <w:highlight w:val="white"/>
        </w:rPr>
        <w:t xml:space="preserve">, </w:t>
      </w:r>
      <w:r>
        <w:rPr>
          <w:i/>
          <w:color w:val="222222"/>
          <w:highlight w:val="white"/>
        </w:rPr>
        <w:t>11</w:t>
      </w:r>
      <w:r>
        <w:rPr>
          <w:color w:val="222222"/>
          <w:highlight w:val="white"/>
        </w:rPr>
        <w:t xml:space="preserve">(4), pp.553-567. </w:t>
      </w:r>
      <w:hyperlink r:id="rId61">
        <w:r>
          <w:rPr>
            <w:color w:val="1155CC"/>
            <w:highlight w:val="white"/>
            <w:u w:val="single"/>
          </w:rPr>
          <w:t>https://doi.org/10.1002/jrsm.1423</w:t>
        </w:r>
      </w:hyperlink>
      <w:r>
        <w:rPr>
          <w:color w:val="222222"/>
          <w:highlight w:val="white"/>
        </w:rPr>
        <w:t xml:space="preserve"> </w:t>
      </w:r>
    </w:p>
    <w:p w14:paraId="2330F496" w14:textId="77777777" w:rsidR="007B149A" w:rsidRDefault="000E054D">
      <w:pPr>
        <w:spacing w:before="240" w:after="240" w:line="360" w:lineRule="auto"/>
        <w:ind w:left="360"/>
        <w:rPr>
          <w:color w:val="222222"/>
          <w:highlight w:val="white"/>
        </w:rPr>
      </w:pPr>
      <w:r>
        <w:rPr>
          <w:color w:val="222222"/>
          <w:highlight w:val="white"/>
        </w:rPr>
        <w:t xml:space="preserve">Shine, R., 1991. Intersexual dietary divergence and the evolution of sexual dimorphism in snakes. </w:t>
      </w:r>
      <w:r>
        <w:rPr>
          <w:i/>
          <w:color w:val="222222"/>
          <w:highlight w:val="white"/>
        </w:rPr>
        <w:t>The American Naturalist</w:t>
      </w:r>
      <w:r>
        <w:rPr>
          <w:color w:val="222222"/>
          <w:highlight w:val="white"/>
        </w:rPr>
        <w:t xml:space="preserve">, </w:t>
      </w:r>
      <w:r>
        <w:rPr>
          <w:i/>
          <w:color w:val="222222"/>
          <w:highlight w:val="white"/>
        </w:rPr>
        <w:t>138</w:t>
      </w:r>
      <w:r>
        <w:rPr>
          <w:color w:val="222222"/>
          <w:highlight w:val="white"/>
        </w:rPr>
        <w:t xml:space="preserve">(1), pp.103-122. </w:t>
      </w:r>
      <w:hyperlink r:id="rId62">
        <w:r>
          <w:rPr>
            <w:color w:val="1155CC"/>
            <w:highlight w:val="white"/>
            <w:u w:val="single"/>
          </w:rPr>
          <w:t>https://doi.org/10.1086/285207</w:t>
        </w:r>
      </w:hyperlink>
      <w:r>
        <w:rPr>
          <w:color w:val="222222"/>
          <w:highlight w:val="white"/>
        </w:rPr>
        <w:t xml:space="preserve"> </w:t>
      </w:r>
    </w:p>
    <w:p w14:paraId="2330F497" w14:textId="77777777" w:rsidR="007B149A" w:rsidRDefault="000E054D">
      <w:pPr>
        <w:spacing w:before="240" w:after="240" w:line="360" w:lineRule="auto"/>
        <w:ind w:left="360"/>
        <w:rPr>
          <w:color w:val="222222"/>
          <w:highlight w:val="white"/>
        </w:rPr>
      </w:pPr>
      <w:r>
        <w:rPr>
          <w:color w:val="222222"/>
          <w:highlight w:val="white"/>
        </w:rPr>
        <w:t xml:space="preserve">Shine, R., 2000. Vertebral numbers in male and female snakes: the roles of natural, sexual and fecundity selection. </w:t>
      </w:r>
      <w:r>
        <w:rPr>
          <w:i/>
          <w:color w:val="222222"/>
          <w:highlight w:val="white"/>
        </w:rPr>
        <w:t>Journal of Evolutionary Biology</w:t>
      </w:r>
      <w:r>
        <w:rPr>
          <w:color w:val="222222"/>
          <w:highlight w:val="white"/>
        </w:rPr>
        <w:t xml:space="preserve">, </w:t>
      </w:r>
      <w:r>
        <w:rPr>
          <w:i/>
          <w:color w:val="222222"/>
          <w:highlight w:val="white"/>
        </w:rPr>
        <w:t>13</w:t>
      </w:r>
      <w:r>
        <w:rPr>
          <w:color w:val="222222"/>
          <w:highlight w:val="white"/>
        </w:rPr>
        <w:t xml:space="preserve">(3), pp.455-465. </w:t>
      </w:r>
      <w:hyperlink r:id="rId63">
        <w:r>
          <w:rPr>
            <w:color w:val="1155CC"/>
            <w:highlight w:val="white"/>
            <w:u w:val="single"/>
          </w:rPr>
          <w:t>https://doi.org/10.1046/j.1420-9101.2000.00181.x</w:t>
        </w:r>
      </w:hyperlink>
      <w:r>
        <w:rPr>
          <w:color w:val="222222"/>
          <w:highlight w:val="white"/>
        </w:rPr>
        <w:t xml:space="preserve"> </w:t>
      </w:r>
    </w:p>
    <w:p w14:paraId="2330F498" w14:textId="77777777" w:rsidR="007B149A" w:rsidRDefault="000E054D">
      <w:pPr>
        <w:spacing w:before="240" w:after="240" w:line="360" w:lineRule="auto"/>
        <w:ind w:left="360"/>
        <w:rPr>
          <w:color w:val="222222"/>
          <w:highlight w:val="white"/>
        </w:rPr>
      </w:pPr>
      <w:r>
        <w:rPr>
          <w:color w:val="222222"/>
          <w:highlight w:val="white"/>
        </w:rPr>
        <w:lastRenderedPageBreak/>
        <w:t xml:space="preserve">Shine, R. and Goiran, C., 2021. Sexual dimorphism in size and shape of the head in the sea snake Emydocephalus annulatus (Hydrophiinae, Elapidae). </w:t>
      </w:r>
      <w:r>
        <w:rPr>
          <w:i/>
          <w:color w:val="222222"/>
          <w:highlight w:val="white"/>
        </w:rPr>
        <w:t>Scientific reports</w:t>
      </w:r>
      <w:r>
        <w:rPr>
          <w:color w:val="222222"/>
          <w:highlight w:val="white"/>
        </w:rPr>
        <w:t xml:space="preserve">, </w:t>
      </w:r>
      <w:r>
        <w:rPr>
          <w:i/>
          <w:color w:val="222222"/>
          <w:highlight w:val="white"/>
        </w:rPr>
        <w:t>11</w:t>
      </w:r>
      <w:r>
        <w:rPr>
          <w:color w:val="222222"/>
          <w:highlight w:val="white"/>
        </w:rPr>
        <w:t xml:space="preserve">(1), pp.1-7. </w:t>
      </w:r>
      <w:hyperlink r:id="rId64">
        <w:r>
          <w:rPr>
            <w:color w:val="1155CC"/>
            <w:highlight w:val="white"/>
            <w:u w:val="single"/>
          </w:rPr>
          <w:t>https://doi.org/10.1038/s41598-021-99113-2</w:t>
        </w:r>
      </w:hyperlink>
      <w:r>
        <w:rPr>
          <w:color w:val="222222"/>
          <w:highlight w:val="white"/>
        </w:rPr>
        <w:t xml:space="preserve"> </w:t>
      </w:r>
    </w:p>
    <w:p w14:paraId="2330F499" w14:textId="77777777" w:rsidR="007B149A" w:rsidRDefault="000E054D">
      <w:pPr>
        <w:spacing w:before="240" w:after="240" w:line="360" w:lineRule="auto"/>
        <w:ind w:left="360"/>
        <w:rPr>
          <w:color w:val="222222"/>
          <w:highlight w:val="white"/>
        </w:rPr>
      </w:pPr>
      <w:r>
        <w:rPr>
          <w:color w:val="222222"/>
          <w:highlight w:val="white"/>
        </w:rPr>
        <w:t xml:space="preserve">Shine, R., Shine, T. and Shine, B., 2003. Intraspecific habitat partitioning by the sea snake Emydocephalus annulatus (Serpentes, Hydrophiidae): the effects of sex, body size, and colour pattern. </w:t>
      </w:r>
      <w:r>
        <w:rPr>
          <w:i/>
          <w:color w:val="222222"/>
          <w:highlight w:val="white"/>
        </w:rPr>
        <w:t>Biological Journal of the Linnean Society</w:t>
      </w:r>
      <w:r>
        <w:rPr>
          <w:color w:val="222222"/>
          <w:highlight w:val="white"/>
        </w:rPr>
        <w:t xml:space="preserve">, </w:t>
      </w:r>
      <w:r>
        <w:rPr>
          <w:i/>
          <w:color w:val="222222"/>
          <w:highlight w:val="white"/>
        </w:rPr>
        <w:t>80</w:t>
      </w:r>
      <w:r>
        <w:rPr>
          <w:color w:val="222222"/>
          <w:highlight w:val="white"/>
        </w:rPr>
        <w:t xml:space="preserve">(1), pp.1-10. </w:t>
      </w:r>
      <w:hyperlink r:id="rId65">
        <w:r>
          <w:rPr>
            <w:color w:val="1155CC"/>
            <w:highlight w:val="white"/>
            <w:u w:val="single"/>
          </w:rPr>
          <w:t>https://doi.org/10.1046/j.1095-8312.2003.00213.x</w:t>
        </w:r>
      </w:hyperlink>
      <w:r>
        <w:rPr>
          <w:color w:val="222222"/>
          <w:highlight w:val="white"/>
        </w:rPr>
        <w:t xml:space="preserve"> </w:t>
      </w:r>
    </w:p>
    <w:p w14:paraId="2330F49A" w14:textId="77777777" w:rsidR="007B149A" w:rsidRDefault="000E054D">
      <w:pPr>
        <w:spacing w:before="240" w:after="240" w:line="360" w:lineRule="auto"/>
        <w:ind w:left="360"/>
        <w:rPr>
          <w:color w:val="222222"/>
          <w:highlight w:val="white"/>
        </w:rPr>
      </w:pPr>
      <w:r>
        <w:rPr>
          <w:color w:val="222222"/>
          <w:highlight w:val="white"/>
        </w:rPr>
        <w:t xml:space="preserve">Slatkin, M., 1984. Ecological causes of sexual dimorphism. </w:t>
      </w:r>
      <w:r>
        <w:rPr>
          <w:i/>
          <w:color w:val="222222"/>
          <w:highlight w:val="white"/>
        </w:rPr>
        <w:t>Evolution</w:t>
      </w:r>
      <w:r>
        <w:rPr>
          <w:color w:val="222222"/>
          <w:highlight w:val="white"/>
        </w:rPr>
        <w:t xml:space="preserve">, pp.622-630. </w:t>
      </w:r>
      <w:hyperlink r:id="rId66">
        <w:r>
          <w:rPr>
            <w:color w:val="1155CC"/>
            <w:highlight w:val="white"/>
            <w:u w:val="single"/>
          </w:rPr>
          <w:t>https://doi.org/10.1111/j.1558-5646.1984.tb00327.x</w:t>
        </w:r>
      </w:hyperlink>
      <w:r>
        <w:rPr>
          <w:color w:val="222222"/>
          <w:highlight w:val="white"/>
        </w:rPr>
        <w:t xml:space="preserve"> </w:t>
      </w:r>
    </w:p>
    <w:p w14:paraId="2330F49B" w14:textId="77777777" w:rsidR="007B149A" w:rsidRDefault="000E054D">
      <w:pPr>
        <w:spacing w:before="240" w:after="240" w:line="360" w:lineRule="auto"/>
        <w:ind w:left="360"/>
        <w:rPr>
          <w:color w:val="222222"/>
          <w:highlight w:val="white"/>
        </w:rPr>
      </w:pPr>
      <w:r>
        <w:rPr>
          <w:color w:val="222222"/>
          <w:highlight w:val="white"/>
        </w:rPr>
        <w:t xml:space="preserve">Stephens, D.W. and Krebs, J.R., 1986. </w:t>
      </w:r>
      <w:r>
        <w:rPr>
          <w:i/>
          <w:color w:val="222222"/>
          <w:highlight w:val="white"/>
        </w:rPr>
        <w:t>Foraging theory</w:t>
      </w:r>
      <w:r>
        <w:rPr>
          <w:color w:val="222222"/>
          <w:highlight w:val="white"/>
        </w:rPr>
        <w:t xml:space="preserve">. Princeton University Press. </w:t>
      </w:r>
      <w:hyperlink r:id="rId67">
        <w:r>
          <w:rPr>
            <w:color w:val="1155CC"/>
            <w:highlight w:val="white"/>
            <w:u w:val="single"/>
          </w:rPr>
          <w:t>https://doi.org/10.1515/9780691206790</w:t>
        </w:r>
      </w:hyperlink>
      <w:r>
        <w:rPr>
          <w:color w:val="222222"/>
          <w:highlight w:val="white"/>
        </w:rPr>
        <w:t xml:space="preserve"> </w:t>
      </w:r>
    </w:p>
    <w:p w14:paraId="2330F49C" w14:textId="77777777" w:rsidR="007B149A" w:rsidRDefault="000E054D">
      <w:pPr>
        <w:spacing w:before="240" w:after="240" w:line="360" w:lineRule="auto"/>
        <w:ind w:left="360"/>
        <w:rPr>
          <w:color w:val="222222"/>
          <w:highlight w:val="white"/>
        </w:rPr>
      </w:pPr>
      <w:r>
        <w:rPr>
          <w:color w:val="222222"/>
          <w:highlight w:val="white"/>
        </w:rPr>
        <w:t xml:space="preserve">Stephens, </w:t>
      </w:r>
      <w:proofErr w:type="gramStart"/>
      <w:r>
        <w:rPr>
          <w:color w:val="222222"/>
          <w:highlight w:val="white"/>
        </w:rPr>
        <w:t>P.R.</w:t>
      </w:r>
      <w:proofErr w:type="gramEnd"/>
      <w:r>
        <w:rPr>
          <w:color w:val="222222"/>
          <w:highlight w:val="white"/>
        </w:rPr>
        <w:t xml:space="preserve"> and Wiens, J.J., 2009. Evolution of sexual size dimorphisms in emydid turtles: ecological dimorphism, Rensch's rule, and sympatric divergence. </w:t>
      </w:r>
      <w:r>
        <w:rPr>
          <w:i/>
          <w:color w:val="222222"/>
          <w:highlight w:val="white"/>
        </w:rPr>
        <w:t>Evolution: International Journal of Organic Evolution</w:t>
      </w:r>
      <w:r>
        <w:rPr>
          <w:color w:val="222222"/>
          <w:highlight w:val="white"/>
        </w:rPr>
        <w:t xml:space="preserve">, </w:t>
      </w:r>
      <w:r>
        <w:rPr>
          <w:i/>
          <w:color w:val="222222"/>
          <w:highlight w:val="white"/>
        </w:rPr>
        <w:t>63</w:t>
      </w:r>
      <w:r>
        <w:rPr>
          <w:color w:val="222222"/>
          <w:highlight w:val="white"/>
        </w:rPr>
        <w:t xml:space="preserve">(4), pp.910-925. </w:t>
      </w:r>
      <w:hyperlink r:id="rId68">
        <w:r>
          <w:rPr>
            <w:color w:val="1155CC"/>
            <w:highlight w:val="white"/>
            <w:u w:val="single"/>
          </w:rPr>
          <w:t>https://doi.org/10.1111/j.1558-5646.2008.00597.x</w:t>
        </w:r>
      </w:hyperlink>
      <w:r>
        <w:rPr>
          <w:color w:val="222222"/>
          <w:highlight w:val="white"/>
        </w:rPr>
        <w:t xml:space="preserve"> </w:t>
      </w:r>
    </w:p>
    <w:p w14:paraId="2330F49D" w14:textId="77777777" w:rsidR="007B149A" w:rsidRDefault="000E054D">
      <w:pPr>
        <w:spacing w:before="240" w:after="240" w:line="360" w:lineRule="auto"/>
        <w:ind w:left="360"/>
        <w:rPr>
          <w:color w:val="222222"/>
          <w:highlight w:val="white"/>
        </w:rPr>
      </w:pPr>
      <w:r>
        <w:rPr>
          <w:color w:val="222222"/>
          <w:highlight w:val="white"/>
        </w:rPr>
        <w:t xml:space="preserve">Swan, G.J., Bearhop, S., Redpath, S.M., Silk, M.J., Goodwin, C.E., Inger, R. and McDonald, R.A., 2020. Evaluating Bayesian stable isotope mixing models of wild animal diet and the effects of trophic discrimination factors and informative priors. </w:t>
      </w:r>
      <w:r>
        <w:rPr>
          <w:i/>
          <w:color w:val="222222"/>
          <w:highlight w:val="white"/>
        </w:rPr>
        <w:t>Methods in Ecology and Evolution</w:t>
      </w:r>
      <w:r>
        <w:rPr>
          <w:color w:val="222222"/>
          <w:highlight w:val="white"/>
        </w:rPr>
        <w:t xml:space="preserve">, </w:t>
      </w:r>
      <w:r>
        <w:rPr>
          <w:i/>
          <w:color w:val="222222"/>
          <w:highlight w:val="white"/>
        </w:rPr>
        <w:t>11</w:t>
      </w:r>
      <w:r>
        <w:rPr>
          <w:color w:val="222222"/>
          <w:highlight w:val="white"/>
        </w:rPr>
        <w:t xml:space="preserve">(1), pp.139-149. </w:t>
      </w:r>
      <w:hyperlink r:id="rId69">
        <w:r>
          <w:rPr>
            <w:color w:val="1155CC"/>
            <w:highlight w:val="white"/>
            <w:u w:val="single"/>
          </w:rPr>
          <w:t>https://doi.org/10.1111/2041-210X.13311</w:t>
        </w:r>
      </w:hyperlink>
      <w:r>
        <w:rPr>
          <w:color w:val="222222"/>
          <w:highlight w:val="white"/>
        </w:rPr>
        <w:t xml:space="preserve"> </w:t>
      </w:r>
    </w:p>
    <w:p w14:paraId="2330F49E" w14:textId="77777777" w:rsidR="007B149A" w:rsidRDefault="000E054D">
      <w:pPr>
        <w:spacing w:before="240" w:after="240" w:line="360" w:lineRule="auto"/>
        <w:ind w:left="360"/>
      </w:pPr>
      <w:r>
        <w:rPr>
          <w:color w:val="222222"/>
          <w:highlight w:val="white"/>
        </w:rPr>
        <w:t xml:space="preserve">Székely, T., Freckleton, R.P. and Reynolds, J.D., 2004. Sexual selection explains Rensch's rule of size dimorphism in shorebirds. </w:t>
      </w:r>
      <w:r>
        <w:rPr>
          <w:i/>
        </w:rPr>
        <w:t>Proceedings of the National Academy of Sciences</w:t>
      </w:r>
      <w:r>
        <w:t xml:space="preserve">, </w:t>
      </w:r>
      <w:r>
        <w:rPr>
          <w:i/>
        </w:rPr>
        <w:t>101</w:t>
      </w:r>
      <w:r>
        <w:t xml:space="preserve">(33), pp.12224-12227. </w:t>
      </w:r>
      <w:hyperlink r:id="rId70">
        <w:r>
          <w:rPr>
            <w:color w:val="1155CC"/>
            <w:u w:val="single"/>
          </w:rPr>
          <w:t>https://doi.org/10.1073/pnas.0404503101</w:t>
        </w:r>
      </w:hyperlink>
      <w:r>
        <w:t xml:space="preserve"> </w:t>
      </w:r>
    </w:p>
    <w:p w14:paraId="2330F49F" w14:textId="77777777" w:rsidR="007B149A" w:rsidRDefault="000E054D">
      <w:pPr>
        <w:spacing w:before="240" w:after="240" w:line="360" w:lineRule="auto"/>
        <w:ind w:left="360"/>
        <w:rPr>
          <w:color w:val="222222"/>
          <w:highlight w:val="white"/>
        </w:rPr>
      </w:pPr>
      <w:r>
        <w:rPr>
          <w:color w:val="222222"/>
          <w:highlight w:val="white"/>
        </w:rPr>
        <w:t xml:space="preserve">Wasiljew, B.D., Pfaender, J., Wipfler, B., Gabelaia, M., Utama, I.V., Wantania, L.L. and Herder, F., 2021. Sexual dimorphism in an adaptive radiation: Does intersexual niche differentiation result in ecological character </w:t>
      </w:r>
      <w:proofErr w:type="gramStart"/>
      <w:r>
        <w:rPr>
          <w:color w:val="222222"/>
          <w:highlight w:val="white"/>
        </w:rPr>
        <w:t>displacement?.</w:t>
      </w:r>
      <w:proofErr w:type="gramEnd"/>
      <w:r>
        <w:rPr>
          <w:color w:val="222222"/>
          <w:highlight w:val="white"/>
        </w:rPr>
        <w:t xml:space="preserve"> </w:t>
      </w:r>
      <w:r>
        <w:rPr>
          <w:i/>
          <w:color w:val="222222"/>
          <w:highlight w:val="white"/>
        </w:rPr>
        <w:t>Ecology and Evolution</w:t>
      </w:r>
      <w:r>
        <w:rPr>
          <w:color w:val="222222"/>
          <w:highlight w:val="white"/>
        </w:rPr>
        <w:t xml:space="preserve">. </w:t>
      </w:r>
      <w:hyperlink r:id="rId71">
        <w:r>
          <w:rPr>
            <w:color w:val="1155CC"/>
            <w:highlight w:val="white"/>
            <w:u w:val="single"/>
          </w:rPr>
          <w:t>https://doi.org/10.1002/ece3.8137</w:t>
        </w:r>
      </w:hyperlink>
      <w:r>
        <w:rPr>
          <w:color w:val="222222"/>
          <w:highlight w:val="white"/>
        </w:rPr>
        <w:t xml:space="preserve"> </w:t>
      </w:r>
    </w:p>
    <w:p w14:paraId="2330F4A0" w14:textId="77777777" w:rsidR="007B149A" w:rsidRDefault="000E054D">
      <w:pPr>
        <w:spacing w:before="240" w:after="240" w:line="360" w:lineRule="auto"/>
        <w:ind w:left="360"/>
        <w:rPr>
          <w:color w:val="222222"/>
          <w:highlight w:val="white"/>
        </w:rPr>
      </w:pPr>
      <w:r>
        <w:rPr>
          <w:color w:val="222222"/>
          <w:highlight w:val="white"/>
        </w:rPr>
        <w:lastRenderedPageBreak/>
        <w:t xml:space="preserve">Temeles, E.J., Pan, I.L., Brennan, J.L. and Horwitt, J.N., 2000. Evidence for ecological causation of sexual dimorphism in a hummingbird. </w:t>
      </w:r>
      <w:r>
        <w:rPr>
          <w:i/>
          <w:color w:val="222222"/>
          <w:highlight w:val="white"/>
        </w:rPr>
        <w:t>Science</w:t>
      </w:r>
      <w:r>
        <w:rPr>
          <w:color w:val="222222"/>
          <w:highlight w:val="white"/>
        </w:rPr>
        <w:t xml:space="preserve">, </w:t>
      </w:r>
      <w:r>
        <w:rPr>
          <w:i/>
          <w:color w:val="222222"/>
          <w:highlight w:val="white"/>
        </w:rPr>
        <w:t>289</w:t>
      </w:r>
      <w:r>
        <w:rPr>
          <w:color w:val="222222"/>
          <w:highlight w:val="white"/>
        </w:rPr>
        <w:t xml:space="preserve">(5478), pp.441-443. </w:t>
      </w:r>
      <w:hyperlink r:id="rId72">
        <w:r>
          <w:rPr>
            <w:color w:val="1155CC"/>
            <w:highlight w:val="white"/>
            <w:u w:val="single"/>
          </w:rPr>
          <w:t>https://doi.org/10.1126/science.289.5478.441</w:t>
        </w:r>
      </w:hyperlink>
      <w:r>
        <w:rPr>
          <w:color w:val="222222"/>
          <w:highlight w:val="white"/>
        </w:rPr>
        <w:t xml:space="preserve"> </w:t>
      </w:r>
    </w:p>
    <w:p w14:paraId="2330F4A1" w14:textId="77777777" w:rsidR="007B149A" w:rsidRDefault="000E054D">
      <w:pPr>
        <w:spacing w:before="240" w:after="240" w:line="360" w:lineRule="auto"/>
        <w:ind w:left="360"/>
        <w:rPr>
          <w:color w:val="222222"/>
          <w:highlight w:val="white"/>
        </w:rPr>
      </w:pPr>
      <w:r>
        <w:rPr>
          <w:color w:val="222222"/>
          <w:highlight w:val="white"/>
        </w:rPr>
        <w:t xml:space="preserve">Thompson, M., 2013. Comparative reproductive energetics of human and nonhuman primates. </w:t>
      </w:r>
      <w:r>
        <w:rPr>
          <w:i/>
          <w:color w:val="222222"/>
          <w:highlight w:val="white"/>
        </w:rPr>
        <w:t>Annual Review of Anthropology</w:t>
      </w:r>
      <w:r>
        <w:rPr>
          <w:color w:val="222222"/>
          <w:highlight w:val="white"/>
        </w:rPr>
        <w:t xml:space="preserve">, </w:t>
      </w:r>
      <w:r>
        <w:rPr>
          <w:i/>
          <w:color w:val="222222"/>
          <w:highlight w:val="white"/>
        </w:rPr>
        <w:t>42</w:t>
      </w:r>
      <w:r>
        <w:rPr>
          <w:color w:val="222222"/>
          <w:highlight w:val="white"/>
        </w:rPr>
        <w:t xml:space="preserve">, pp.287-304. </w:t>
      </w:r>
      <w:hyperlink r:id="rId73">
        <w:r>
          <w:rPr>
            <w:color w:val="1155CC"/>
            <w:highlight w:val="white"/>
            <w:u w:val="single"/>
          </w:rPr>
          <w:t>https://doi.org/10.1146/annurev-anthro-092412-155530</w:t>
        </w:r>
      </w:hyperlink>
      <w:r>
        <w:rPr>
          <w:color w:val="222222"/>
          <w:highlight w:val="white"/>
        </w:rPr>
        <w:t xml:space="preserve"> </w:t>
      </w:r>
    </w:p>
    <w:p w14:paraId="2330F4A2" w14:textId="77777777" w:rsidR="007B149A" w:rsidRDefault="000E054D">
      <w:pPr>
        <w:spacing w:before="240" w:after="240" w:line="360" w:lineRule="auto"/>
        <w:ind w:left="360"/>
        <w:rPr>
          <w:color w:val="222222"/>
          <w:highlight w:val="white"/>
        </w:rPr>
      </w:pPr>
      <w:r>
        <w:rPr>
          <w:color w:val="222222"/>
          <w:highlight w:val="white"/>
        </w:rPr>
        <w:t xml:space="preserve">Viechtbauer, W., 2020. </w:t>
      </w:r>
      <w:r>
        <w:rPr>
          <w:i/>
          <w:color w:val="222222"/>
          <w:highlight w:val="white"/>
        </w:rPr>
        <w:t>Conducting Meta-Analyses in R with the metafor Package. 2010. 2010; 36 (3): 48</w:t>
      </w:r>
      <w:r>
        <w:rPr>
          <w:color w:val="222222"/>
          <w:highlight w:val="white"/>
        </w:rPr>
        <w:t xml:space="preserve">. Epub 2010-08-05. </w:t>
      </w:r>
      <w:hyperlink r:id="rId74">
        <w:r>
          <w:rPr>
            <w:color w:val="1155CC"/>
            <w:highlight w:val="white"/>
            <w:u w:val="single"/>
          </w:rPr>
          <w:t>https://dio.org/10.18637/jss.v036.i03</w:t>
        </w:r>
      </w:hyperlink>
      <w:r>
        <w:rPr>
          <w:color w:val="222222"/>
          <w:highlight w:val="white"/>
        </w:rPr>
        <w:t xml:space="preserve"> </w:t>
      </w:r>
    </w:p>
    <w:p w14:paraId="2330F4A3" w14:textId="77777777" w:rsidR="007B149A" w:rsidRDefault="000E054D">
      <w:pPr>
        <w:spacing w:before="240" w:after="240" w:line="360" w:lineRule="auto"/>
        <w:ind w:left="360"/>
        <w:rPr>
          <w:color w:val="222222"/>
          <w:highlight w:val="white"/>
        </w:rPr>
      </w:pPr>
      <w:r>
        <w:rPr>
          <w:color w:val="222222"/>
          <w:highlight w:val="white"/>
        </w:rPr>
        <w:t xml:space="preserve">Voigt, C.C., Krofel, M., Menges, V., Wachter, B. and Melzheimer, J., 2018. Sex‐specific dietary specialization in a terrestrial apex predator, the leopard, revealed by stable isotope analysis. </w:t>
      </w:r>
      <w:r>
        <w:rPr>
          <w:i/>
          <w:color w:val="222222"/>
          <w:highlight w:val="white"/>
        </w:rPr>
        <w:t>Journal of Zoology</w:t>
      </w:r>
      <w:r>
        <w:rPr>
          <w:color w:val="222222"/>
          <w:highlight w:val="white"/>
        </w:rPr>
        <w:t xml:space="preserve">, </w:t>
      </w:r>
      <w:r>
        <w:rPr>
          <w:i/>
          <w:color w:val="222222"/>
          <w:highlight w:val="white"/>
        </w:rPr>
        <w:t>306</w:t>
      </w:r>
      <w:r>
        <w:rPr>
          <w:color w:val="222222"/>
          <w:highlight w:val="white"/>
        </w:rPr>
        <w:t xml:space="preserve">(1), pp.1-7. </w:t>
      </w:r>
      <w:hyperlink r:id="rId75">
        <w:r>
          <w:rPr>
            <w:color w:val="1155CC"/>
            <w:highlight w:val="white"/>
            <w:u w:val="single"/>
          </w:rPr>
          <w:t>https://doi.org/10.1111/jzo.12566</w:t>
        </w:r>
      </w:hyperlink>
      <w:r>
        <w:rPr>
          <w:color w:val="222222"/>
          <w:highlight w:val="white"/>
        </w:rPr>
        <w:t xml:space="preserve"> </w:t>
      </w:r>
    </w:p>
    <w:p w14:paraId="2330F4A4" w14:textId="77777777" w:rsidR="007B149A" w:rsidRDefault="000E054D">
      <w:pPr>
        <w:spacing w:before="240" w:after="240" w:line="360" w:lineRule="auto"/>
        <w:ind w:left="360"/>
        <w:rPr>
          <w:color w:val="222222"/>
          <w:highlight w:val="white"/>
        </w:rPr>
      </w:pPr>
      <w:r>
        <w:rPr>
          <w:color w:val="222222"/>
          <w:highlight w:val="white"/>
        </w:rPr>
        <w:t xml:space="preserve">Wan, Y., Quan, R.C., Ren, G.P., Wang, L., Long, Y.C., Liu, X.H. and Zhu, J.G., 2013. Niche divergence among sex and age classes in black-and-white snub-nosed monkeys (Rhinopithecus bieti). </w:t>
      </w:r>
      <w:r>
        <w:rPr>
          <w:i/>
          <w:color w:val="222222"/>
          <w:highlight w:val="white"/>
        </w:rPr>
        <w:t>International Journal of Primatology</w:t>
      </w:r>
      <w:r>
        <w:rPr>
          <w:color w:val="222222"/>
          <w:highlight w:val="white"/>
        </w:rPr>
        <w:t xml:space="preserve">, </w:t>
      </w:r>
      <w:r>
        <w:rPr>
          <w:i/>
          <w:color w:val="222222"/>
          <w:highlight w:val="white"/>
        </w:rPr>
        <w:t>34</w:t>
      </w:r>
      <w:r>
        <w:rPr>
          <w:color w:val="222222"/>
          <w:highlight w:val="white"/>
        </w:rPr>
        <w:t xml:space="preserve">(5), pp.946-956. </w:t>
      </w:r>
      <w:hyperlink r:id="rId76">
        <w:r>
          <w:rPr>
            <w:color w:val="1155CC"/>
            <w:highlight w:val="white"/>
            <w:u w:val="single"/>
          </w:rPr>
          <w:t>https://doi.org/10.1007/s10764-013-9712-x</w:t>
        </w:r>
      </w:hyperlink>
      <w:r>
        <w:rPr>
          <w:color w:val="222222"/>
          <w:highlight w:val="white"/>
        </w:rPr>
        <w:t xml:space="preserve"> </w:t>
      </w:r>
    </w:p>
    <w:p w14:paraId="2330F4A5" w14:textId="77777777" w:rsidR="007B149A" w:rsidRDefault="000E054D">
      <w:pPr>
        <w:spacing w:before="240" w:after="240" w:line="360" w:lineRule="auto"/>
        <w:ind w:left="360"/>
        <w:rPr>
          <w:color w:val="222222"/>
          <w:highlight w:val="white"/>
        </w:rPr>
      </w:pPr>
      <w:r>
        <w:rPr>
          <w:color w:val="222222"/>
          <w:highlight w:val="white"/>
        </w:rPr>
        <w:t xml:space="preserve">Webb, J.K. and Shine, R., 1993. Prey-size selection, gape limitation and predator vulnerability in Australian blindsnakes (Typhlopidae). </w:t>
      </w:r>
      <w:r>
        <w:rPr>
          <w:i/>
          <w:color w:val="222222"/>
          <w:highlight w:val="white"/>
        </w:rPr>
        <w:t>Animal behaviour</w:t>
      </w:r>
      <w:r>
        <w:rPr>
          <w:color w:val="222222"/>
          <w:highlight w:val="white"/>
        </w:rPr>
        <w:t xml:space="preserve">, </w:t>
      </w:r>
      <w:r>
        <w:rPr>
          <w:i/>
          <w:color w:val="222222"/>
          <w:highlight w:val="white"/>
        </w:rPr>
        <w:t>45</w:t>
      </w:r>
      <w:r>
        <w:rPr>
          <w:color w:val="222222"/>
          <w:highlight w:val="white"/>
        </w:rPr>
        <w:t xml:space="preserve">(6), pp.1117-1126. </w:t>
      </w:r>
      <w:hyperlink r:id="rId77">
        <w:r>
          <w:rPr>
            <w:color w:val="1155CC"/>
            <w:highlight w:val="white"/>
            <w:u w:val="single"/>
          </w:rPr>
          <w:t>https://doi.org/10.1006/anbe.1993.1136</w:t>
        </w:r>
      </w:hyperlink>
      <w:r>
        <w:rPr>
          <w:color w:val="222222"/>
          <w:highlight w:val="white"/>
        </w:rPr>
        <w:t xml:space="preserve"> </w:t>
      </w:r>
    </w:p>
    <w:p w14:paraId="2330F4A6" w14:textId="77777777" w:rsidR="007B149A" w:rsidRDefault="000E054D">
      <w:pPr>
        <w:spacing w:before="240" w:after="240" w:line="360" w:lineRule="auto"/>
        <w:ind w:left="360"/>
        <w:rPr>
          <w:color w:val="222222"/>
          <w:highlight w:val="white"/>
        </w:rPr>
      </w:pPr>
      <w:r>
        <w:rPr>
          <w:color w:val="222222"/>
          <w:highlight w:val="white"/>
        </w:rPr>
        <w:t xml:space="preserve">Wickham H (2016). </w:t>
      </w:r>
      <w:r>
        <w:rPr>
          <w:i/>
          <w:color w:val="222222"/>
          <w:highlight w:val="white"/>
        </w:rPr>
        <w:t>ggplot2: Elegant Graphics for Data Analysis</w:t>
      </w:r>
      <w:r>
        <w:rPr>
          <w:color w:val="222222"/>
          <w:highlight w:val="white"/>
        </w:rPr>
        <w:t xml:space="preserve">. Springer-Verlag New York. </w:t>
      </w:r>
      <w:hyperlink r:id="rId78">
        <w:r>
          <w:rPr>
            <w:color w:val="1155CC"/>
            <w:highlight w:val="white"/>
            <w:u w:val="single"/>
          </w:rPr>
          <w:t>https://doi.org/10.1080/15366367.2019.1565254</w:t>
        </w:r>
      </w:hyperlink>
      <w:r>
        <w:rPr>
          <w:color w:val="222222"/>
          <w:highlight w:val="white"/>
        </w:rPr>
        <w:t xml:space="preserve"> </w:t>
      </w:r>
    </w:p>
    <w:p w14:paraId="2330F4A7" w14:textId="77777777" w:rsidR="007B149A" w:rsidRDefault="000E054D">
      <w:pPr>
        <w:spacing w:before="240" w:after="240" w:line="360" w:lineRule="auto"/>
        <w:ind w:left="360"/>
        <w:rPr>
          <w:color w:val="222222"/>
          <w:highlight w:val="white"/>
        </w:rPr>
      </w:pPr>
      <w:r>
        <w:rPr>
          <w:color w:val="222222"/>
          <w:highlight w:val="white"/>
        </w:rPr>
        <w:t xml:space="preserve">Wolf, N., Carleton, S.A. and Martínez del Rio, C., 2009. Ten years of experimental animal isotopic ecology. </w:t>
      </w:r>
      <w:r>
        <w:rPr>
          <w:i/>
          <w:color w:val="222222"/>
          <w:highlight w:val="white"/>
        </w:rPr>
        <w:t>Functional Ecology</w:t>
      </w:r>
      <w:r>
        <w:rPr>
          <w:color w:val="222222"/>
          <w:highlight w:val="white"/>
        </w:rPr>
        <w:t xml:space="preserve">, </w:t>
      </w:r>
      <w:r>
        <w:rPr>
          <w:i/>
          <w:color w:val="222222"/>
          <w:highlight w:val="white"/>
        </w:rPr>
        <w:t>23</w:t>
      </w:r>
      <w:r>
        <w:rPr>
          <w:color w:val="222222"/>
          <w:highlight w:val="white"/>
        </w:rPr>
        <w:t xml:space="preserve">(1), pp.17-26. </w:t>
      </w:r>
      <w:hyperlink r:id="rId79">
        <w:r>
          <w:rPr>
            <w:color w:val="1155CC"/>
            <w:highlight w:val="white"/>
            <w:u w:val="single"/>
          </w:rPr>
          <w:t>https://doi.org/10.1111/j.1365-2435.2009.01529.x</w:t>
        </w:r>
      </w:hyperlink>
      <w:r>
        <w:rPr>
          <w:color w:val="222222"/>
          <w:highlight w:val="white"/>
        </w:rPr>
        <w:t xml:space="preserve"> </w:t>
      </w:r>
    </w:p>
    <w:p w14:paraId="2330F4A8" w14:textId="77777777" w:rsidR="007B149A" w:rsidRDefault="000E054D">
      <w:pPr>
        <w:spacing w:before="240" w:after="240" w:line="360" w:lineRule="auto"/>
        <w:ind w:left="360"/>
        <w:rPr>
          <w:color w:val="222222"/>
          <w:highlight w:val="white"/>
        </w:rPr>
      </w:pPr>
      <w:r>
        <w:rPr>
          <w:color w:val="222222"/>
          <w:highlight w:val="white"/>
        </w:rPr>
        <w:lastRenderedPageBreak/>
        <w:t xml:space="preserve">Yoneyama, T., Okada, H. and Ando, S., 2010. Seasonal variations in natural 13C abundances in C3 and C4 plants collected in Thailand and the Philippines. </w:t>
      </w:r>
      <w:r>
        <w:rPr>
          <w:i/>
          <w:color w:val="222222"/>
          <w:highlight w:val="white"/>
        </w:rPr>
        <w:t>Soil Science &amp; Plant Nutrition</w:t>
      </w:r>
      <w:r>
        <w:rPr>
          <w:color w:val="222222"/>
          <w:highlight w:val="white"/>
        </w:rPr>
        <w:t xml:space="preserve">, </w:t>
      </w:r>
      <w:r>
        <w:rPr>
          <w:i/>
          <w:color w:val="222222"/>
          <w:highlight w:val="white"/>
        </w:rPr>
        <w:t>56</w:t>
      </w:r>
      <w:r>
        <w:rPr>
          <w:color w:val="222222"/>
          <w:highlight w:val="white"/>
        </w:rPr>
        <w:t xml:space="preserve">(3), pp.422-426. </w:t>
      </w:r>
      <w:hyperlink r:id="rId80">
        <w:r>
          <w:rPr>
            <w:color w:val="1155CC"/>
            <w:highlight w:val="white"/>
            <w:u w:val="single"/>
          </w:rPr>
          <w:t>https://doi.org/10.1111/j.1747-0765.2010.00477.x</w:t>
        </w:r>
      </w:hyperlink>
      <w:r>
        <w:rPr>
          <w:color w:val="222222"/>
          <w:highlight w:val="white"/>
        </w:rPr>
        <w:t xml:space="preserve"> </w:t>
      </w:r>
    </w:p>
    <w:p w14:paraId="2330F4A9" w14:textId="77777777" w:rsidR="007B149A" w:rsidRDefault="000E054D">
      <w:pPr>
        <w:spacing w:before="240" w:after="240" w:line="360" w:lineRule="auto"/>
        <w:ind w:left="360"/>
        <w:rPr>
          <w:color w:val="222222"/>
          <w:highlight w:val="white"/>
        </w:rPr>
      </w:pPr>
      <w:r>
        <w:rPr>
          <w:color w:val="222222"/>
          <w:highlight w:val="white"/>
        </w:rPr>
        <w:t xml:space="preserve">Zavalaga, C.B., Benvenuti, S., Dall’Antonia, L. and Emslie, S.D., 2007. Diving behavior of blue-footed boobies Sula nebouxii in northern Peru in relation to sex, body size and prey type. </w:t>
      </w:r>
      <w:r>
        <w:rPr>
          <w:i/>
          <w:color w:val="222222"/>
          <w:highlight w:val="white"/>
        </w:rPr>
        <w:t>Marine Ecology Progress Series</w:t>
      </w:r>
      <w:r>
        <w:rPr>
          <w:color w:val="222222"/>
          <w:highlight w:val="white"/>
        </w:rPr>
        <w:t xml:space="preserve">, </w:t>
      </w:r>
      <w:r>
        <w:rPr>
          <w:i/>
          <w:color w:val="222222"/>
          <w:highlight w:val="white"/>
        </w:rPr>
        <w:t>336</w:t>
      </w:r>
      <w:r>
        <w:rPr>
          <w:color w:val="222222"/>
          <w:highlight w:val="white"/>
        </w:rPr>
        <w:t xml:space="preserve">, pp.291-303. </w:t>
      </w:r>
      <w:hyperlink r:id="rId81">
        <w:r>
          <w:rPr>
            <w:color w:val="1155CC"/>
            <w:highlight w:val="white"/>
            <w:u w:val="single"/>
          </w:rPr>
          <w:t>https://doi.org/10.3354/meps336291</w:t>
        </w:r>
      </w:hyperlink>
      <w:r>
        <w:rPr>
          <w:color w:val="222222"/>
          <w:highlight w:val="white"/>
        </w:rPr>
        <w:t xml:space="preserve"> </w:t>
      </w:r>
    </w:p>
    <w:p w14:paraId="2330F4AA" w14:textId="77777777" w:rsidR="007B149A" w:rsidRDefault="000E054D">
      <w:pPr>
        <w:spacing w:before="240" w:after="240" w:line="360" w:lineRule="auto"/>
        <w:ind w:left="360"/>
        <w:rPr>
          <w:b/>
        </w:rPr>
      </w:pPr>
      <w:r>
        <w:rPr>
          <w:b/>
        </w:rPr>
        <w:t>Data Sources:</w:t>
      </w:r>
    </w:p>
    <w:p w14:paraId="2330F4AB" w14:textId="77777777" w:rsidR="007B149A" w:rsidRDefault="000E054D">
      <w:pPr>
        <w:spacing w:before="240" w:after="240" w:line="360" w:lineRule="auto"/>
        <w:ind w:left="360"/>
        <w:rPr>
          <w:color w:val="222222"/>
          <w:highlight w:val="white"/>
        </w:rPr>
      </w:pPr>
      <w:r>
        <w:rPr>
          <w:color w:val="222222"/>
          <w:highlight w:val="white"/>
        </w:rPr>
        <w:t xml:space="preserve">de Albernaz, T.L., Secchi, E.R., de Oliveira, L.R. and Botta, S., 2017. Ontogenetic and gender-related variation in the isotopic niche within and between three species of fur seals (genus Arctocephalus). </w:t>
      </w:r>
      <w:r>
        <w:rPr>
          <w:i/>
          <w:color w:val="222222"/>
          <w:highlight w:val="white"/>
        </w:rPr>
        <w:t>Hydrobiologia</w:t>
      </w:r>
      <w:r>
        <w:rPr>
          <w:color w:val="222222"/>
          <w:highlight w:val="white"/>
        </w:rPr>
        <w:t xml:space="preserve">, </w:t>
      </w:r>
      <w:r>
        <w:rPr>
          <w:i/>
          <w:color w:val="222222"/>
          <w:highlight w:val="white"/>
        </w:rPr>
        <w:t>787</w:t>
      </w:r>
      <w:r>
        <w:rPr>
          <w:color w:val="222222"/>
          <w:highlight w:val="white"/>
        </w:rPr>
        <w:t xml:space="preserve">(1), pp.123-139. </w:t>
      </w:r>
      <w:hyperlink r:id="rId82">
        <w:r>
          <w:rPr>
            <w:color w:val="1155CC"/>
            <w:highlight w:val="white"/>
            <w:u w:val="single"/>
          </w:rPr>
          <w:t>https://doi.org/10.1007/s10750-016-2950-0</w:t>
        </w:r>
      </w:hyperlink>
      <w:r>
        <w:rPr>
          <w:color w:val="222222"/>
          <w:highlight w:val="white"/>
        </w:rPr>
        <w:t xml:space="preserve"> </w:t>
      </w:r>
    </w:p>
    <w:p w14:paraId="2330F4AC" w14:textId="77777777" w:rsidR="007B149A" w:rsidRDefault="000E054D">
      <w:pPr>
        <w:spacing w:before="240" w:after="240" w:line="360" w:lineRule="auto"/>
        <w:ind w:left="360"/>
        <w:rPr>
          <w:color w:val="222222"/>
          <w:highlight w:val="white"/>
        </w:rPr>
      </w:pPr>
      <w:r>
        <w:rPr>
          <w:color w:val="222222"/>
          <w:highlight w:val="white"/>
        </w:rPr>
        <w:t xml:space="preserve">Angel, L.P., Berlincourt, M. and Arnould, J.P., 2016. Pronounced inter-colony variation in the foraging ecology of Australasian gannets: influence of habitat differences. </w:t>
      </w:r>
      <w:r>
        <w:rPr>
          <w:i/>
          <w:color w:val="222222"/>
          <w:highlight w:val="white"/>
        </w:rPr>
        <w:t>Marine Ecology Progress Series</w:t>
      </w:r>
      <w:r>
        <w:rPr>
          <w:color w:val="222222"/>
          <w:highlight w:val="white"/>
        </w:rPr>
        <w:t xml:space="preserve">, </w:t>
      </w:r>
      <w:r>
        <w:rPr>
          <w:i/>
          <w:color w:val="222222"/>
          <w:highlight w:val="white"/>
        </w:rPr>
        <w:t>556</w:t>
      </w:r>
      <w:r>
        <w:rPr>
          <w:color w:val="222222"/>
          <w:highlight w:val="white"/>
        </w:rPr>
        <w:t xml:space="preserve">, pp.261-272. </w:t>
      </w:r>
      <w:hyperlink r:id="rId83">
        <w:r>
          <w:rPr>
            <w:color w:val="1155CC"/>
            <w:highlight w:val="white"/>
            <w:u w:val="single"/>
          </w:rPr>
          <w:t>https://doi.org/10.3354/meps11845</w:t>
        </w:r>
      </w:hyperlink>
      <w:r>
        <w:rPr>
          <w:color w:val="222222"/>
          <w:highlight w:val="white"/>
        </w:rPr>
        <w:t xml:space="preserve"> </w:t>
      </w:r>
    </w:p>
    <w:p w14:paraId="2330F4AD" w14:textId="77777777" w:rsidR="007B149A" w:rsidRDefault="000E054D">
      <w:pPr>
        <w:spacing w:before="240" w:after="240" w:line="360" w:lineRule="auto"/>
        <w:ind w:left="360"/>
        <w:rPr>
          <w:color w:val="222222"/>
          <w:highlight w:val="white"/>
        </w:rPr>
      </w:pPr>
      <w:r>
        <w:rPr>
          <w:color w:val="222222"/>
          <w:highlight w:val="white"/>
        </w:rPr>
        <w:t xml:space="preserve">Bailleul, F., Authier, M., Ducatez, S., Roquet, F., Charrassin, J.B., Cherel, Y. and Guinet, C., 2010. Looking at the unseen: combining animal bio‐logging and stable isotopes to reveal a shift in the ecological niche of a deep diving predator. </w:t>
      </w:r>
      <w:r>
        <w:rPr>
          <w:i/>
          <w:color w:val="222222"/>
          <w:highlight w:val="white"/>
        </w:rPr>
        <w:t>Ecography</w:t>
      </w:r>
      <w:r>
        <w:rPr>
          <w:color w:val="222222"/>
          <w:highlight w:val="white"/>
        </w:rPr>
        <w:t xml:space="preserve">, </w:t>
      </w:r>
      <w:r>
        <w:rPr>
          <w:i/>
          <w:color w:val="222222"/>
          <w:highlight w:val="white"/>
        </w:rPr>
        <w:t>33</w:t>
      </w:r>
      <w:r>
        <w:rPr>
          <w:color w:val="222222"/>
          <w:highlight w:val="white"/>
        </w:rPr>
        <w:t xml:space="preserve">(4), pp.709-719. </w:t>
      </w:r>
      <w:hyperlink r:id="rId84">
        <w:r>
          <w:rPr>
            <w:color w:val="1155CC"/>
            <w:highlight w:val="white"/>
            <w:u w:val="single"/>
          </w:rPr>
          <w:t>https://doi.org/10.1111/j.1600-0587.2009.06034.x</w:t>
        </w:r>
      </w:hyperlink>
      <w:r>
        <w:rPr>
          <w:color w:val="222222"/>
          <w:highlight w:val="white"/>
        </w:rPr>
        <w:t xml:space="preserve"> </w:t>
      </w:r>
    </w:p>
    <w:p w14:paraId="2330F4AE" w14:textId="77777777" w:rsidR="007B149A" w:rsidRDefault="000E054D">
      <w:pPr>
        <w:spacing w:before="240" w:after="240" w:line="360" w:lineRule="auto"/>
        <w:ind w:left="360"/>
        <w:rPr>
          <w:color w:val="222222"/>
          <w:highlight w:val="white"/>
        </w:rPr>
      </w:pPr>
      <w:r>
        <w:rPr>
          <w:color w:val="222222"/>
          <w:highlight w:val="white"/>
        </w:rPr>
        <w:t xml:space="preserve">Balzani, P., Vizzini, S., Santini, G., Masoni, A., Ciofi, C., Ricevuto, E. and Chelazzi, G., 2016. Stable isotope analysis of trophic niche in two co-occurring native and invasive terrapins, Emys orbicularis and Trachemys scripta elegans. </w:t>
      </w:r>
      <w:r>
        <w:rPr>
          <w:i/>
          <w:color w:val="222222"/>
          <w:highlight w:val="white"/>
        </w:rPr>
        <w:t>Biological Invasions</w:t>
      </w:r>
      <w:r>
        <w:rPr>
          <w:color w:val="222222"/>
          <w:highlight w:val="white"/>
        </w:rPr>
        <w:t xml:space="preserve">, </w:t>
      </w:r>
      <w:r>
        <w:rPr>
          <w:i/>
          <w:color w:val="222222"/>
          <w:highlight w:val="white"/>
        </w:rPr>
        <w:t>18</w:t>
      </w:r>
      <w:r>
        <w:rPr>
          <w:color w:val="222222"/>
          <w:highlight w:val="white"/>
        </w:rPr>
        <w:t xml:space="preserve">(12), pp.3611-3621. </w:t>
      </w:r>
      <w:hyperlink r:id="rId85">
        <w:r>
          <w:rPr>
            <w:color w:val="1155CC"/>
            <w:highlight w:val="white"/>
            <w:u w:val="single"/>
          </w:rPr>
          <w:t>https://doi.org/10.1007/s10530-016-1251-x</w:t>
        </w:r>
      </w:hyperlink>
      <w:r>
        <w:rPr>
          <w:color w:val="222222"/>
          <w:highlight w:val="white"/>
        </w:rPr>
        <w:t xml:space="preserve"> </w:t>
      </w:r>
    </w:p>
    <w:p w14:paraId="2330F4AF" w14:textId="77777777" w:rsidR="007B149A" w:rsidRDefault="000E054D">
      <w:pPr>
        <w:spacing w:before="240" w:after="240" w:line="360" w:lineRule="auto"/>
        <w:ind w:left="360"/>
        <w:rPr>
          <w:color w:val="222222"/>
          <w:highlight w:val="white"/>
        </w:rPr>
      </w:pPr>
      <w:r>
        <w:rPr>
          <w:color w:val="222222"/>
          <w:highlight w:val="white"/>
        </w:rPr>
        <w:t xml:space="preserve">Bauduin, S., Cassaing, J., Issam, M. and Martin, C., 2013. Interactions between the short-tailed mouse (Mus spretus) and the wood mouse (Apodemus sylvaticus): diet overlap revealed by stable isotopes. </w:t>
      </w:r>
      <w:r>
        <w:rPr>
          <w:i/>
          <w:color w:val="222222"/>
          <w:highlight w:val="white"/>
        </w:rPr>
        <w:t>Canadian Journal of Zoology</w:t>
      </w:r>
      <w:r>
        <w:rPr>
          <w:color w:val="222222"/>
          <w:highlight w:val="white"/>
        </w:rPr>
        <w:t xml:space="preserve">, </w:t>
      </w:r>
      <w:r>
        <w:rPr>
          <w:i/>
          <w:color w:val="222222"/>
          <w:highlight w:val="white"/>
        </w:rPr>
        <w:t>91</w:t>
      </w:r>
      <w:r>
        <w:rPr>
          <w:color w:val="222222"/>
          <w:highlight w:val="white"/>
        </w:rPr>
        <w:t xml:space="preserve">(2), pp.102-109. </w:t>
      </w:r>
      <w:hyperlink r:id="rId86">
        <w:r>
          <w:rPr>
            <w:color w:val="1155CC"/>
            <w:highlight w:val="white"/>
            <w:u w:val="single"/>
          </w:rPr>
          <w:t>https://doi.org/10.1139/cjz-2012-0286</w:t>
        </w:r>
      </w:hyperlink>
      <w:r>
        <w:rPr>
          <w:color w:val="222222"/>
          <w:highlight w:val="white"/>
        </w:rPr>
        <w:t xml:space="preserve"> </w:t>
      </w:r>
    </w:p>
    <w:p w14:paraId="2330F4B0" w14:textId="77777777" w:rsidR="007B149A" w:rsidRDefault="000E054D">
      <w:pPr>
        <w:spacing w:before="240" w:after="240" w:line="360" w:lineRule="auto"/>
        <w:ind w:left="360"/>
        <w:rPr>
          <w:color w:val="222222"/>
          <w:highlight w:val="white"/>
        </w:rPr>
      </w:pPr>
      <w:r>
        <w:rPr>
          <w:color w:val="222222"/>
          <w:highlight w:val="white"/>
        </w:rPr>
        <w:lastRenderedPageBreak/>
        <w:t xml:space="preserve">Baylis, A.M.M., Orben, R.A., Costa, D.P., Arnould, J.P.Y. and Staniland, I.J., 2016. Sexual segregation in habitat use is smaller than expected in a highly dimorphic marine predator, the southern sea lion. </w:t>
      </w:r>
      <w:r>
        <w:rPr>
          <w:i/>
          <w:color w:val="222222"/>
          <w:highlight w:val="white"/>
        </w:rPr>
        <w:t>Marine Ecology Progress Series</w:t>
      </w:r>
      <w:r>
        <w:rPr>
          <w:color w:val="222222"/>
          <w:highlight w:val="white"/>
        </w:rPr>
        <w:t xml:space="preserve">, </w:t>
      </w:r>
      <w:r>
        <w:rPr>
          <w:i/>
          <w:color w:val="222222"/>
          <w:highlight w:val="white"/>
        </w:rPr>
        <w:t>554</w:t>
      </w:r>
      <w:r>
        <w:rPr>
          <w:color w:val="222222"/>
          <w:highlight w:val="white"/>
        </w:rPr>
        <w:t xml:space="preserve">, pp.201-211. </w:t>
      </w:r>
      <w:hyperlink r:id="rId87">
        <w:r>
          <w:rPr>
            <w:color w:val="1155CC"/>
            <w:highlight w:val="white"/>
            <w:u w:val="single"/>
          </w:rPr>
          <w:t>https://doi.org/10.3354/meps11759</w:t>
        </w:r>
      </w:hyperlink>
      <w:r>
        <w:rPr>
          <w:color w:val="222222"/>
          <w:highlight w:val="white"/>
        </w:rPr>
        <w:t xml:space="preserve"> </w:t>
      </w:r>
    </w:p>
    <w:p w14:paraId="2330F4B1" w14:textId="77777777" w:rsidR="007B149A" w:rsidRDefault="000E054D">
      <w:pPr>
        <w:spacing w:before="240" w:after="240" w:line="360" w:lineRule="auto"/>
        <w:ind w:left="360"/>
        <w:rPr>
          <w:color w:val="222222"/>
          <w:highlight w:val="white"/>
        </w:rPr>
      </w:pPr>
      <w:r>
        <w:rPr>
          <w:color w:val="222222"/>
          <w:highlight w:val="white"/>
        </w:rPr>
        <w:t xml:space="preserve">Beaulieu, M., Spée, M., Lazin, D., Ropert-Coudert, Y., Le Maho, Y., Ancel, A. and Raclot, T., 2010. Ecophysiological response of Adélie penguins facing an experimental increase in breeding constraints. </w:t>
      </w:r>
      <w:r>
        <w:rPr>
          <w:i/>
          <w:color w:val="222222"/>
          <w:highlight w:val="white"/>
        </w:rPr>
        <w:t>Journal of Experimental Biology</w:t>
      </w:r>
      <w:r>
        <w:rPr>
          <w:color w:val="222222"/>
          <w:highlight w:val="white"/>
        </w:rPr>
        <w:t xml:space="preserve">, </w:t>
      </w:r>
      <w:r>
        <w:rPr>
          <w:i/>
          <w:color w:val="222222"/>
          <w:highlight w:val="white"/>
        </w:rPr>
        <w:t>213</w:t>
      </w:r>
      <w:r>
        <w:rPr>
          <w:color w:val="222222"/>
          <w:highlight w:val="white"/>
        </w:rPr>
        <w:t xml:space="preserve">(1), pp.33-39. </w:t>
      </w:r>
      <w:hyperlink r:id="rId88">
        <w:r>
          <w:rPr>
            <w:color w:val="1155CC"/>
            <w:highlight w:val="white"/>
            <w:u w:val="single"/>
          </w:rPr>
          <w:t>https://doi.org/10.1242/jeb.035378</w:t>
        </w:r>
      </w:hyperlink>
      <w:r>
        <w:rPr>
          <w:color w:val="222222"/>
          <w:highlight w:val="white"/>
        </w:rPr>
        <w:t xml:space="preserve"> </w:t>
      </w:r>
    </w:p>
    <w:p w14:paraId="2330F4B2" w14:textId="77777777" w:rsidR="007B149A" w:rsidRDefault="000E054D">
      <w:pPr>
        <w:spacing w:before="240" w:after="240" w:line="360" w:lineRule="auto"/>
        <w:ind w:left="360"/>
        <w:rPr>
          <w:color w:val="222222"/>
          <w:highlight w:val="white"/>
        </w:rPr>
      </w:pPr>
      <w:r>
        <w:rPr>
          <w:color w:val="222222"/>
          <w:highlight w:val="white"/>
        </w:rPr>
        <w:t xml:space="preserve">Berini, J.L. and Badgley, C., 2017. Diet segregation in American bison (Bison bison) of Yellowstone National Park (Wyoming, USA). </w:t>
      </w:r>
      <w:r>
        <w:rPr>
          <w:i/>
          <w:color w:val="222222"/>
          <w:highlight w:val="white"/>
        </w:rPr>
        <w:t>BMC ecology</w:t>
      </w:r>
      <w:r>
        <w:rPr>
          <w:color w:val="222222"/>
          <w:highlight w:val="white"/>
        </w:rPr>
        <w:t xml:space="preserve">, </w:t>
      </w:r>
      <w:r>
        <w:rPr>
          <w:i/>
          <w:color w:val="222222"/>
          <w:highlight w:val="white"/>
        </w:rPr>
        <w:t>17</w:t>
      </w:r>
      <w:r>
        <w:rPr>
          <w:color w:val="222222"/>
          <w:highlight w:val="white"/>
        </w:rPr>
        <w:t xml:space="preserve">(1), pp.1-10. </w:t>
      </w:r>
      <w:hyperlink r:id="rId89">
        <w:r>
          <w:rPr>
            <w:color w:val="1155CC"/>
            <w:highlight w:val="white"/>
            <w:u w:val="single"/>
          </w:rPr>
          <w:t>https://doi.org/10.1186/s12898-017-0137-9</w:t>
        </w:r>
      </w:hyperlink>
      <w:r>
        <w:rPr>
          <w:color w:val="222222"/>
          <w:highlight w:val="white"/>
        </w:rPr>
        <w:t xml:space="preserve"> </w:t>
      </w:r>
    </w:p>
    <w:p w14:paraId="2330F4B3" w14:textId="77777777" w:rsidR="007B149A" w:rsidRDefault="000E054D">
      <w:pPr>
        <w:spacing w:before="240" w:after="240" w:line="360" w:lineRule="auto"/>
        <w:ind w:left="360"/>
        <w:rPr>
          <w:color w:val="222222"/>
          <w:highlight w:val="white"/>
        </w:rPr>
      </w:pPr>
      <w:r>
        <w:rPr>
          <w:color w:val="222222"/>
          <w:highlight w:val="white"/>
        </w:rPr>
        <w:t xml:space="preserve">Bisi, T.L., Dorneles, P.R., Lailson-Brito, J., Lepoint, G., Azevedo, A.D.F., Flach, L., Malm, O. and Das, K., 2013. Trophic relationships and habitat preferences of delphinids from the southeastern Brazilian coast determined by carbon and nitrogen stable isotope composition. </w:t>
      </w:r>
      <w:r>
        <w:rPr>
          <w:i/>
          <w:color w:val="222222"/>
          <w:highlight w:val="white"/>
        </w:rPr>
        <w:t>PLoS One</w:t>
      </w:r>
      <w:r>
        <w:rPr>
          <w:color w:val="222222"/>
          <w:highlight w:val="white"/>
        </w:rPr>
        <w:t xml:space="preserve">, </w:t>
      </w:r>
      <w:r>
        <w:rPr>
          <w:i/>
          <w:color w:val="222222"/>
          <w:highlight w:val="white"/>
        </w:rPr>
        <w:t>8</w:t>
      </w:r>
      <w:r>
        <w:rPr>
          <w:color w:val="222222"/>
          <w:highlight w:val="white"/>
        </w:rPr>
        <w:t xml:space="preserve">(12), p.e82205. </w:t>
      </w:r>
      <w:hyperlink r:id="rId90">
        <w:r>
          <w:rPr>
            <w:color w:val="1155CC"/>
            <w:highlight w:val="white"/>
            <w:u w:val="single"/>
          </w:rPr>
          <w:t>https://doi.org/10.1371/journal.pone.0082205</w:t>
        </w:r>
      </w:hyperlink>
      <w:r>
        <w:rPr>
          <w:color w:val="222222"/>
          <w:highlight w:val="white"/>
        </w:rPr>
        <w:t xml:space="preserve"> </w:t>
      </w:r>
    </w:p>
    <w:p w14:paraId="2330F4B4" w14:textId="77777777" w:rsidR="007B149A" w:rsidRDefault="000E054D">
      <w:pPr>
        <w:spacing w:before="240" w:after="240" w:line="360" w:lineRule="auto"/>
        <w:ind w:left="360"/>
        <w:rPr>
          <w:color w:val="222222"/>
          <w:highlight w:val="white"/>
        </w:rPr>
      </w:pPr>
      <w:r>
        <w:rPr>
          <w:color w:val="222222"/>
          <w:highlight w:val="white"/>
        </w:rPr>
        <w:t xml:space="preserve">Blanco-Fontao, B., Obeso, J.R., Bañuelos, M.J. and Quevedo, M., 2012. Habitat partitioning and molting site fidelity in Tetrao urogallus cantabricus revealed through stable isotopes analysis. </w:t>
      </w:r>
      <w:r>
        <w:rPr>
          <w:i/>
          <w:color w:val="222222"/>
          <w:highlight w:val="white"/>
        </w:rPr>
        <w:t>Journal of Ornithology</w:t>
      </w:r>
      <w:r>
        <w:rPr>
          <w:color w:val="222222"/>
          <w:highlight w:val="white"/>
        </w:rPr>
        <w:t xml:space="preserve">, </w:t>
      </w:r>
      <w:r>
        <w:rPr>
          <w:i/>
          <w:color w:val="222222"/>
          <w:highlight w:val="white"/>
        </w:rPr>
        <w:t>153</w:t>
      </w:r>
      <w:r>
        <w:rPr>
          <w:color w:val="222222"/>
          <w:highlight w:val="white"/>
        </w:rPr>
        <w:t xml:space="preserve">(2), pp.555-562. </w:t>
      </w:r>
      <w:hyperlink r:id="rId91">
        <w:r>
          <w:rPr>
            <w:color w:val="1155CC"/>
            <w:highlight w:val="white"/>
            <w:u w:val="single"/>
          </w:rPr>
          <w:t>https://doi.org/10.1007/s10336-011-0776-0</w:t>
        </w:r>
      </w:hyperlink>
      <w:r>
        <w:rPr>
          <w:color w:val="222222"/>
          <w:highlight w:val="white"/>
        </w:rPr>
        <w:t xml:space="preserve"> </w:t>
      </w:r>
    </w:p>
    <w:p w14:paraId="2330F4B5" w14:textId="77777777" w:rsidR="007B149A" w:rsidRDefault="000E054D">
      <w:pPr>
        <w:spacing w:before="240" w:after="240" w:line="360" w:lineRule="auto"/>
        <w:ind w:left="360"/>
        <w:rPr>
          <w:color w:val="222222"/>
          <w:highlight w:val="white"/>
        </w:rPr>
      </w:pPr>
      <w:r>
        <w:rPr>
          <w:color w:val="222222"/>
          <w:highlight w:val="white"/>
        </w:rPr>
        <w:t xml:space="preserve">Blanco-Fontao, B., Sandercock, B.K., Obeso, J.R., McNew, L.B. and Quevedo, M., 2013. Effects of sexual dimorphism and landscape composition on the trophic behavior of Greater Prairie-Chicken. </w:t>
      </w:r>
      <w:r>
        <w:rPr>
          <w:i/>
          <w:color w:val="222222"/>
          <w:highlight w:val="white"/>
        </w:rPr>
        <w:t>PloS one</w:t>
      </w:r>
      <w:r>
        <w:rPr>
          <w:color w:val="222222"/>
          <w:highlight w:val="white"/>
        </w:rPr>
        <w:t xml:space="preserve">, </w:t>
      </w:r>
      <w:r>
        <w:rPr>
          <w:i/>
          <w:color w:val="222222"/>
          <w:highlight w:val="white"/>
        </w:rPr>
        <w:t>8</w:t>
      </w:r>
      <w:r>
        <w:rPr>
          <w:color w:val="222222"/>
          <w:highlight w:val="white"/>
        </w:rPr>
        <w:t xml:space="preserve">(11), p.e79986. </w:t>
      </w:r>
      <w:hyperlink r:id="rId92">
        <w:r>
          <w:rPr>
            <w:color w:val="1155CC"/>
            <w:highlight w:val="white"/>
            <w:u w:val="single"/>
          </w:rPr>
          <w:t>https://doi.org/10.1371/journal.pone.0079986</w:t>
        </w:r>
      </w:hyperlink>
      <w:r>
        <w:rPr>
          <w:color w:val="222222"/>
          <w:highlight w:val="white"/>
        </w:rPr>
        <w:t xml:space="preserve"> </w:t>
      </w:r>
    </w:p>
    <w:p w14:paraId="2330F4B6" w14:textId="77777777" w:rsidR="007B149A" w:rsidRDefault="000E054D">
      <w:pPr>
        <w:spacing w:before="240" w:after="240" w:line="360" w:lineRule="auto"/>
        <w:ind w:left="360"/>
        <w:rPr>
          <w:color w:val="222222"/>
          <w:highlight w:val="white"/>
        </w:rPr>
      </w:pPr>
      <w:r>
        <w:rPr>
          <w:color w:val="222222"/>
          <w:highlight w:val="white"/>
        </w:rPr>
        <w:t xml:space="preserve">Bonin, M., Dussault, C. and Côté, S.D., 2020. Increased trophic position of black bear (Ursus americanus) at the northern fringe of its distribution range. </w:t>
      </w:r>
      <w:r>
        <w:rPr>
          <w:i/>
          <w:color w:val="222222"/>
          <w:highlight w:val="white"/>
        </w:rPr>
        <w:t>Canadian Journal of Zoology</w:t>
      </w:r>
      <w:r>
        <w:rPr>
          <w:color w:val="222222"/>
          <w:highlight w:val="white"/>
        </w:rPr>
        <w:t xml:space="preserve">, </w:t>
      </w:r>
      <w:r>
        <w:rPr>
          <w:i/>
          <w:color w:val="222222"/>
          <w:highlight w:val="white"/>
        </w:rPr>
        <w:t>98</w:t>
      </w:r>
      <w:r>
        <w:rPr>
          <w:color w:val="222222"/>
          <w:highlight w:val="white"/>
        </w:rPr>
        <w:t xml:space="preserve">(2), pp.127-133. </w:t>
      </w:r>
      <w:hyperlink r:id="rId93">
        <w:r>
          <w:rPr>
            <w:color w:val="1155CC"/>
            <w:highlight w:val="white"/>
            <w:u w:val="single"/>
          </w:rPr>
          <w:t>https://doi.org/10.1139/cjz-2019-0062</w:t>
        </w:r>
      </w:hyperlink>
      <w:r>
        <w:rPr>
          <w:color w:val="222222"/>
          <w:highlight w:val="white"/>
        </w:rPr>
        <w:t xml:space="preserve"> </w:t>
      </w:r>
    </w:p>
    <w:p w14:paraId="2330F4B7" w14:textId="77777777" w:rsidR="007B149A" w:rsidRDefault="000E054D">
      <w:pPr>
        <w:spacing w:before="240" w:after="240" w:line="360" w:lineRule="auto"/>
        <w:ind w:left="360"/>
        <w:rPr>
          <w:color w:val="222222"/>
          <w:highlight w:val="white"/>
        </w:rPr>
      </w:pPr>
      <w:r>
        <w:rPr>
          <w:color w:val="222222"/>
          <w:highlight w:val="white"/>
        </w:rPr>
        <w:lastRenderedPageBreak/>
        <w:t xml:space="preserve">Bost, C.A., Thiebot, J.B., Pinaud, D., Cherel, Y. and Trathan, P.N., 2009. Where do penguins go during the inter-breeding period? Using geolocation to track the winter dispersion of the macaroni penguin. </w:t>
      </w:r>
      <w:r>
        <w:rPr>
          <w:i/>
          <w:color w:val="222222"/>
          <w:highlight w:val="white"/>
        </w:rPr>
        <w:t>Biology Letters</w:t>
      </w:r>
      <w:r>
        <w:rPr>
          <w:color w:val="222222"/>
          <w:highlight w:val="white"/>
        </w:rPr>
        <w:t xml:space="preserve">, </w:t>
      </w:r>
      <w:r>
        <w:rPr>
          <w:i/>
          <w:color w:val="222222"/>
          <w:highlight w:val="white"/>
        </w:rPr>
        <w:t>5</w:t>
      </w:r>
      <w:r>
        <w:rPr>
          <w:color w:val="222222"/>
          <w:highlight w:val="white"/>
        </w:rPr>
        <w:t xml:space="preserve">(4), pp.473-476. </w:t>
      </w:r>
      <w:hyperlink r:id="rId94">
        <w:r>
          <w:rPr>
            <w:color w:val="1155CC"/>
            <w:highlight w:val="white"/>
            <w:u w:val="single"/>
          </w:rPr>
          <w:t>https://doi.org/10.1098/rsbl.2009.0265</w:t>
        </w:r>
      </w:hyperlink>
      <w:r>
        <w:rPr>
          <w:color w:val="222222"/>
          <w:highlight w:val="white"/>
        </w:rPr>
        <w:t xml:space="preserve"> </w:t>
      </w:r>
    </w:p>
    <w:p w14:paraId="2330F4B8" w14:textId="77777777" w:rsidR="007B149A" w:rsidRDefault="000E054D">
      <w:pPr>
        <w:spacing w:before="240" w:after="240" w:line="360" w:lineRule="auto"/>
        <w:ind w:left="360"/>
        <w:rPr>
          <w:color w:val="222222"/>
          <w:highlight w:val="white"/>
        </w:rPr>
      </w:pPr>
      <w:r>
        <w:rPr>
          <w:color w:val="222222"/>
          <w:highlight w:val="white"/>
        </w:rPr>
        <w:t xml:space="preserve">Botta, S., Secchi, E.R., Rogers, T.L., Prado, J.H., de Lima, R.C., Carlini, P. and Negrete, J., 2018. Isotopic niche overlap and partition among three Antarctic seals from the Western Antarctic Peninsula. </w:t>
      </w:r>
      <w:r>
        <w:rPr>
          <w:i/>
          <w:color w:val="222222"/>
          <w:highlight w:val="white"/>
        </w:rPr>
        <w:t>Deep Sea Research Part II: Topical Studies in Oceanography</w:t>
      </w:r>
      <w:r>
        <w:rPr>
          <w:color w:val="222222"/>
          <w:highlight w:val="white"/>
        </w:rPr>
        <w:t xml:space="preserve">, </w:t>
      </w:r>
      <w:r>
        <w:rPr>
          <w:i/>
          <w:color w:val="222222"/>
          <w:highlight w:val="white"/>
        </w:rPr>
        <w:t>149</w:t>
      </w:r>
      <w:r>
        <w:rPr>
          <w:color w:val="222222"/>
          <w:highlight w:val="white"/>
        </w:rPr>
        <w:t xml:space="preserve">, pp.240-249. </w:t>
      </w:r>
      <w:hyperlink r:id="rId95">
        <w:r>
          <w:rPr>
            <w:color w:val="1155CC"/>
            <w:highlight w:val="white"/>
            <w:u w:val="single"/>
          </w:rPr>
          <w:t>https://doi.org/10.1016/j.dsr2.2017.11.005</w:t>
        </w:r>
      </w:hyperlink>
      <w:r>
        <w:rPr>
          <w:color w:val="222222"/>
          <w:highlight w:val="white"/>
        </w:rPr>
        <w:t xml:space="preserve"> </w:t>
      </w:r>
    </w:p>
    <w:p w14:paraId="2330F4B9" w14:textId="77777777" w:rsidR="007B149A" w:rsidRDefault="000E054D">
      <w:pPr>
        <w:spacing w:before="240" w:after="240" w:line="360" w:lineRule="auto"/>
        <w:ind w:left="360"/>
        <w:rPr>
          <w:color w:val="222222"/>
          <w:highlight w:val="white"/>
        </w:rPr>
      </w:pPr>
      <w:r>
        <w:rPr>
          <w:color w:val="222222"/>
          <w:highlight w:val="white"/>
        </w:rPr>
        <w:t xml:space="preserve">Boucher, N.P., Derocher, A.E. and Richardson, E.S., 2020. Spatial and temporal variability in ringed seal (Pusa hispida) stable isotopes in the Beaufort Sea. </w:t>
      </w:r>
      <w:r>
        <w:rPr>
          <w:i/>
          <w:color w:val="222222"/>
          <w:highlight w:val="white"/>
        </w:rPr>
        <w:t>Ecology and Evolution</w:t>
      </w:r>
      <w:r>
        <w:rPr>
          <w:color w:val="222222"/>
          <w:highlight w:val="white"/>
        </w:rPr>
        <w:t xml:space="preserve">, </w:t>
      </w:r>
      <w:r>
        <w:rPr>
          <w:i/>
          <w:color w:val="222222"/>
          <w:highlight w:val="white"/>
        </w:rPr>
        <w:t>10</w:t>
      </w:r>
      <w:r>
        <w:rPr>
          <w:color w:val="222222"/>
          <w:highlight w:val="white"/>
        </w:rPr>
        <w:t xml:space="preserve">(10), pp.4178-4192. </w:t>
      </w:r>
      <w:hyperlink r:id="rId96">
        <w:r>
          <w:rPr>
            <w:color w:val="1155CC"/>
            <w:highlight w:val="white"/>
            <w:u w:val="single"/>
          </w:rPr>
          <w:t>https://doi.org/10.1002/ece3.6186</w:t>
        </w:r>
      </w:hyperlink>
      <w:r>
        <w:rPr>
          <w:color w:val="222222"/>
          <w:highlight w:val="white"/>
        </w:rPr>
        <w:t xml:space="preserve"> </w:t>
      </w:r>
    </w:p>
    <w:p w14:paraId="2330F4BA" w14:textId="77777777" w:rsidR="007B149A" w:rsidRDefault="000E054D">
      <w:pPr>
        <w:spacing w:before="240" w:after="240" w:line="360" w:lineRule="auto"/>
        <w:ind w:left="360"/>
        <w:rPr>
          <w:color w:val="222222"/>
          <w:highlight w:val="white"/>
        </w:rPr>
      </w:pPr>
      <w:r>
        <w:rPr>
          <w:color w:val="222222"/>
          <w:highlight w:val="white"/>
        </w:rPr>
        <w:t xml:space="preserve">Brischoux, F., Bonnet, X., Cherel, Y. and Shine, R., 2011. Isotopic signatures, foraging habitats and trophic relationships between fish and seasnakes on the coral reefs of New Caledonia. </w:t>
      </w:r>
      <w:r>
        <w:rPr>
          <w:i/>
          <w:color w:val="222222"/>
          <w:highlight w:val="white"/>
        </w:rPr>
        <w:t>Coral Reefs</w:t>
      </w:r>
      <w:r>
        <w:rPr>
          <w:color w:val="222222"/>
          <w:highlight w:val="white"/>
        </w:rPr>
        <w:t xml:space="preserve">, </w:t>
      </w:r>
      <w:r>
        <w:rPr>
          <w:i/>
          <w:color w:val="222222"/>
          <w:highlight w:val="white"/>
        </w:rPr>
        <w:t>30</w:t>
      </w:r>
      <w:r>
        <w:rPr>
          <w:color w:val="222222"/>
          <w:highlight w:val="white"/>
        </w:rPr>
        <w:t xml:space="preserve">(1), pp.155-165. </w:t>
      </w:r>
      <w:hyperlink r:id="rId97">
        <w:r>
          <w:rPr>
            <w:color w:val="1155CC"/>
            <w:highlight w:val="white"/>
            <w:u w:val="single"/>
          </w:rPr>
          <w:t>https://doi.org/10.1007/s00338-010-0680-8</w:t>
        </w:r>
      </w:hyperlink>
      <w:r>
        <w:rPr>
          <w:color w:val="222222"/>
          <w:highlight w:val="white"/>
        </w:rPr>
        <w:t xml:space="preserve"> </w:t>
      </w:r>
    </w:p>
    <w:p w14:paraId="2330F4BB" w14:textId="77777777" w:rsidR="007B149A" w:rsidRDefault="000E054D">
      <w:pPr>
        <w:spacing w:before="240" w:after="240" w:line="360" w:lineRule="auto"/>
        <w:ind w:left="360"/>
        <w:rPr>
          <w:color w:val="222222"/>
          <w:highlight w:val="white"/>
        </w:rPr>
      </w:pPr>
      <w:r>
        <w:rPr>
          <w:color w:val="222222"/>
          <w:highlight w:val="white"/>
        </w:rPr>
        <w:t xml:space="preserve">Browning, N.E., Cockcroft, V.G. and Worthy, G.A., 2014. Resource partitioning among South African delphinids. </w:t>
      </w:r>
      <w:r>
        <w:rPr>
          <w:i/>
          <w:color w:val="222222"/>
          <w:highlight w:val="white"/>
        </w:rPr>
        <w:t>Journal of experimental marine biology and ecology</w:t>
      </w:r>
      <w:r>
        <w:rPr>
          <w:color w:val="222222"/>
          <w:highlight w:val="white"/>
        </w:rPr>
        <w:t xml:space="preserve">, </w:t>
      </w:r>
      <w:r>
        <w:rPr>
          <w:i/>
          <w:color w:val="222222"/>
          <w:highlight w:val="white"/>
        </w:rPr>
        <w:t>457</w:t>
      </w:r>
      <w:r>
        <w:rPr>
          <w:color w:val="222222"/>
          <w:highlight w:val="white"/>
        </w:rPr>
        <w:t xml:space="preserve">, pp.15-21. </w:t>
      </w:r>
      <w:hyperlink r:id="rId98">
        <w:r>
          <w:rPr>
            <w:color w:val="1155CC"/>
            <w:highlight w:val="white"/>
            <w:u w:val="single"/>
          </w:rPr>
          <w:t>https://doi.org/10.1016/j.jembe.2014.03.016</w:t>
        </w:r>
      </w:hyperlink>
      <w:r>
        <w:rPr>
          <w:color w:val="222222"/>
          <w:highlight w:val="white"/>
        </w:rPr>
        <w:t xml:space="preserve"> </w:t>
      </w:r>
    </w:p>
    <w:p w14:paraId="2330F4BC" w14:textId="77777777" w:rsidR="007B149A" w:rsidRDefault="000E054D">
      <w:pPr>
        <w:spacing w:before="240" w:after="240" w:line="360" w:lineRule="auto"/>
        <w:ind w:left="360"/>
        <w:rPr>
          <w:color w:val="222222"/>
          <w:highlight w:val="white"/>
        </w:rPr>
      </w:pPr>
      <w:r>
        <w:rPr>
          <w:color w:val="222222"/>
          <w:highlight w:val="white"/>
        </w:rPr>
        <w:t xml:space="preserve">Bulté, G., Gravel, M.A. and Blouin-Demers, G., 2008. Intersexual niche divergence in northern map turtles (Graptemys geographica): the roles of diet and habitat. </w:t>
      </w:r>
      <w:r>
        <w:rPr>
          <w:i/>
          <w:color w:val="222222"/>
          <w:highlight w:val="white"/>
        </w:rPr>
        <w:t>Canadian Journal of Zoology</w:t>
      </w:r>
      <w:r>
        <w:rPr>
          <w:color w:val="222222"/>
          <w:highlight w:val="white"/>
        </w:rPr>
        <w:t xml:space="preserve">, </w:t>
      </w:r>
      <w:r>
        <w:rPr>
          <w:i/>
          <w:color w:val="222222"/>
          <w:highlight w:val="white"/>
        </w:rPr>
        <w:t>86</w:t>
      </w:r>
      <w:r>
        <w:rPr>
          <w:color w:val="222222"/>
          <w:highlight w:val="white"/>
        </w:rPr>
        <w:t xml:space="preserve">(11), pp.1235-1243. </w:t>
      </w:r>
      <w:hyperlink r:id="rId99">
        <w:r>
          <w:rPr>
            <w:color w:val="1155CC"/>
            <w:highlight w:val="white"/>
            <w:u w:val="single"/>
          </w:rPr>
          <w:t>https://doi.org/10.1139/Z08-107</w:t>
        </w:r>
      </w:hyperlink>
      <w:r>
        <w:rPr>
          <w:color w:val="222222"/>
          <w:highlight w:val="white"/>
        </w:rPr>
        <w:t xml:space="preserve"> </w:t>
      </w:r>
    </w:p>
    <w:p w14:paraId="2330F4BD" w14:textId="77777777" w:rsidR="007B149A" w:rsidRDefault="000E054D">
      <w:pPr>
        <w:spacing w:before="240" w:after="240" w:line="360" w:lineRule="auto"/>
        <w:ind w:left="360"/>
        <w:rPr>
          <w:color w:val="222222"/>
          <w:highlight w:val="white"/>
        </w:rPr>
      </w:pPr>
      <w:r>
        <w:rPr>
          <w:color w:val="222222"/>
          <w:highlight w:val="white"/>
        </w:rPr>
        <w:t xml:space="preserve">Campioni, L., Granadeiro, J.P. and Catry, P., 2016. Niche segregation between immature and adult seabirds: does progressive maturation play a </w:t>
      </w:r>
      <w:proofErr w:type="gramStart"/>
      <w:r>
        <w:rPr>
          <w:color w:val="222222"/>
          <w:highlight w:val="white"/>
        </w:rPr>
        <w:t>role?.</w:t>
      </w:r>
      <w:proofErr w:type="gramEnd"/>
      <w:r>
        <w:rPr>
          <w:color w:val="222222"/>
          <w:highlight w:val="white"/>
        </w:rPr>
        <w:t xml:space="preserve"> </w:t>
      </w:r>
      <w:r>
        <w:rPr>
          <w:i/>
          <w:color w:val="222222"/>
          <w:highlight w:val="white"/>
        </w:rPr>
        <w:t>Behavioral Ecology</w:t>
      </w:r>
      <w:r>
        <w:rPr>
          <w:color w:val="222222"/>
          <w:highlight w:val="white"/>
        </w:rPr>
        <w:t xml:space="preserve">, </w:t>
      </w:r>
      <w:r>
        <w:rPr>
          <w:i/>
          <w:color w:val="222222"/>
          <w:highlight w:val="white"/>
        </w:rPr>
        <w:t>27</w:t>
      </w:r>
      <w:r>
        <w:rPr>
          <w:color w:val="222222"/>
          <w:highlight w:val="white"/>
        </w:rPr>
        <w:t xml:space="preserve">(2), pp.426-433. </w:t>
      </w:r>
      <w:hyperlink r:id="rId100">
        <w:r>
          <w:rPr>
            <w:color w:val="1155CC"/>
            <w:highlight w:val="white"/>
            <w:u w:val="single"/>
          </w:rPr>
          <w:t>https://doi.org/10.1093/beheco/arv167</w:t>
        </w:r>
      </w:hyperlink>
      <w:r>
        <w:rPr>
          <w:color w:val="222222"/>
          <w:highlight w:val="white"/>
        </w:rPr>
        <w:t xml:space="preserve"> </w:t>
      </w:r>
    </w:p>
    <w:p w14:paraId="2330F4BE" w14:textId="77777777" w:rsidR="007B149A" w:rsidRDefault="000E054D">
      <w:pPr>
        <w:spacing w:before="240" w:after="240" w:line="360" w:lineRule="auto"/>
        <w:ind w:left="360"/>
        <w:rPr>
          <w:color w:val="222222"/>
          <w:highlight w:val="white"/>
        </w:rPr>
      </w:pPr>
      <w:r>
        <w:rPr>
          <w:color w:val="222222"/>
          <w:highlight w:val="white"/>
        </w:rPr>
        <w:t xml:space="preserve">Camprasse, E.C., Cherel, Y., Bustamante, P., Arnould, J.P. and Bost, C.A., 2017. Intra-and inter-individual variation in the foraging ecology of a generalist subantarctic seabird, the </w:t>
      </w:r>
      <w:r>
        <w:rPr>
          <w:color w:val="222222"/>
          <w:highlight w:val="white"/>
        </w:rPr>
        <w:lastRenderedPageBreak/>
        <w:t xml:space="preserve">gentoo penguin. </w:t>
      </w:r>
      <w:r>
        <w:rPr>
          <w:i/>
          <w:color w:val="222222"/>
          <w:highlight w:val="white"/>
        </w:rPr>
        <w:t>Marine Ecology Progress Series</w:t>
      </w:r>
      <w:r>
        <w:rPr>
          <w:color w:val="222222"/>
          <w:highlight w:val="white"/>
        </w:rPr>
        <w:t xml:space="preserve">, </w:t>
      </w:r>
      <w:r>
        <w:rPr>
          <w:i/>
          <w:color w:val="222222"/>
          <w:highlight w:val="white"/>
        </w:rPr>
        <w:t>578</w:t>
      </w:r>
      <w:r>
        <w:rPr>
          <w:color w:val="222222"/>
          <w:highlight w:val="white"/>
        </w:rPr>
        <w:t xml:space="preserve">, pp.227-242. </w:t>
      </w:r>
      <w:hyperlink r:id="rId101">
        <w:r>
          <w:rPr>
            <w:color w:val="1155CC"/>
            <w:highlight w:val="white"/>
            <w:u w:val="single"/>
          </w:rPr>
          <w:t>https://doi.org/10.3354/meps12151</w:t>
        </w:r>
      </w:hyperlink>
      <w:r>
        <w:rPr>
          <w:color w:val="222222"/>
          <w:highlight w:val="white"/>
        </w:rPr>
        <w:t xml:space="preserve"> </w:t>
      </w:r>
    </w:p>
    <w:p w14:paraId="2330F4BF" w14:textId="77777777" w:rsidR="007B149A" w:rsidRDefault="000E054D">
      <w:pPr>
        <w:spacing w:before="240" w:after="240" w:line="360" w:lineRule="auto"/>
        <w:ind w:left="360"/>
        <w:rPr>
          <w:color w:val="222222"/>
          <w:highlight w:val="white"/>
        </w:rPr>
      </w:pPr>
      <w:r>
        <w:rPr>
          <w:color w:val="222222"/>
          <w:highlight w:val="white"/>
        </w:rPr>
        <w:t xml:space="preserve">Camprasse, E.C., Cherel, Y., Arnould, J.P., Hoskins, A.J. and Bost, C.A., 2017. Combined bio-logging and stable isotopes reveal individual specialisations in a benthic coastal seabird, the Kerguelen shag. </w:t>
      </w:r>
      <w:r>
        <w:rPr>
          <w:i/>
          <w:color w:val="222222"/>
          <w:highlight w:val="white"/>
        </w:rPr>
        <w:t>PloS one</w:t>
      </w:r>
      <w:r>
        <w:rPr>
          <w:color w:val="222222"/>
          <w:highlight w:val="white"/>
        </w:rPr>
        <w:t xml:space="preserve">, </w:t>
      </w:r>
      <w:r>
        <w:rPr>
          <w:i/>
          <w:color w:val="222222"/>
          <w:highlight w:val="white"/>
        </w:rPr>
        <w:t>12</w:t>
      </w:r>
      <w:r>
        <w:rPr>
          <w:color w:val="222222"/>
          <w:highlight w:val="white"/>
        </w:rPr>
        <w:t xml:space="preserve">(3), p.e0172278. </w:t>
      </w:r>
      <w:hyperlink r:id="rId102">
        <w:r>
          <w:rPr>
            <w:color w:val="1155CC"/>
            <w:highlight w:val="white"/>
            <w:u w:val="single"/>
          </w:rPr>
          <w:t>https://doi.org/10.1371/journal.pone.0172278</w:t>
        </w:r>
      </w:hyperlink>
      <w:r>
        <w:rPr>
          <w:color w:val="222222"/>
          <w:highlight w:val="white"/>
        </w:rPr>
        <w:t xml:space="preserve"> </w:t>
      </w:r>
    </w:p>
    <w:p w14:paraId="2330F4C0" w14:textId="77777777" w:rsidR="007B149A" w:rsidRDefault="000E054D">
      <w:pPr>
        <w:spacing w:before="240" w:after="240" w:line="360" w:lineRule="auto"/>
        <w:ind w:left="360"/>
        <w:rPr>
          <w:color w:val="222222"/>
          <w:highlight w:val="white"/>
        </w:rPr>
      </w:pPr>
      <w:r>
        <w:rPr>
          <w:color w:val="222222"/>
          <w:highlight w:val="white"/>
        </w:rPr>
        <w:t xml:space="preserve">Camprasse, E.C., Cherel, Y., Arnould, J.P., Hoskins, A.J., Bustamante, P. and Bost, C.A., 2017. Mate similarity in foraging Kerguelen shags: a combined bio-logging and stable isotope investigation. </w:t>
      </w:r>
      <w:r>
        <w:rPr>
          <w:i/>
          <w:color w:val="222222"/>
          <w:highlight w:val="white"/>
        </w:rPr>
        <w:t>Marine Ecology Progress Series</w:t>
      </w:r>
      <w:r>
        <w:rPr>
          <w:color w:val="222222"/>
          <w:highlight w:val="white"/>
        </w:rPr>
        <w:t xml:space="preserve">, </w:t>
      </w:r>
      <w:r>
        <w:rPr>
          <w:i/>
          <w:color w:val="222222"/>
          <w:highlight w:val="white"/>
        </w:rPr>
        <w:t>578</w:t>
      </w:r>
      <w:r>
        <w:rPr>
          <w:color w:val="222222"/>
          <w:highlight w:val="white"/>
        </w:rPr>
        <w:t xml:space="preserve">, pp.183-196. </w:t>
      </w:r>
      <w:hyperlink r:id="rId103">
        <w:r>
          <w:rPr>
            <w:color w:val="1155CC"/>
            <w:highlight w:val="white"/>
            <w:u w:val="single"/>
          </w:rPr>
          <w:t>https://doi.org/10.3354/meps12259</w:t>
        </w:r>
      </w:hyperlink>
      <w:r>
        <w:rPr>
          <w:color w:val="222222"/>
          <w:highlight w:val="white"/>
        </w:rPr>
        <w:t xml:space="preserve"> </w:t>
      </w:r>
    </w:p>
    <w:p w14:paraId="2330F4C1" w14:textId="77777777" w:rsidR="007B149A" w:rsidRDefault="000E054D">
      <w:pPr>
        <w:spacing w:before="240" w:after="240" w:line="360" w:lineRule="auto"/>
        <w:ind w:left="360"/>
        <w:rPr>
          <w:color w:val="222222"/>
          <w:highlight w:val="white"/>
        </w:rPr>
      </w:pPr>
      <w:r>
        <w:rPr>
          <w:color w:val="222222"/>
          <w:highlight w:val="white"/>
        </w:rPr>
        <w:t xml:space="preserve">Calado, J.G., Paiva, V.H., Ceia, F.R., Gomes, P., Ramos, J.A. and Velando, A., 2020. Stable isotopes reveal year-round sexual trophic segregation in four yellow-legged gull colonies. </w:t>
      </w:r>
      <w:r>
        <w:rPr>
          <w:i/>
          <w:color w:val="222222"/>
          <w:highlight w:val="white"/>
        </w:rPr>
        <w:t>Marine Biology</w:t>
      </w:r>
      <w:r>
        <w:rPr>
          <w:color w:val="222222"/>
          <w:highlight w:val="white"/>
        </w:rPr>
        <w:t xml:space="preserve">, </w:t>
      </w:r>
      <w:r>
        <w:rPr>
          <w:i/>
          <w:color w:val="222222"/>
          <w:highlight w:val="white"/>
        </w:rPr>
        <w:t>167</w:t>
      </w:r>
      <w:r>
        <w:rPr>
          <w:color w:val="222222"/>
          <w:highlight w:val="white"/>
        </w:rPr>
        <w:t xml:space="preserve">(5), pp.1-11. </w:t>
      </w:r>
      <w:hyperlink r:id="rId104">
        <w:r>
          <w:rPr>
            <w:color w:val="1155CC"/>
            <w:highlight w:val="white"/>
            <w:u w:val="single"/>
          </w:rPr>
          <w:t>https://doi.org/10.1007/s00227-020-3676-0</w:t>
        </w:r>
      </w:hyperlink>
      <w:r>
        <w:rPr>
          <w:color w:val="222222"/>
          <w:highlight w:val="white"/>
        </w:rPr>
        <w:t xml:space="preserve"> </w:t>
      </w:r>
    </w:p>
    <w:p w14:paraId="2330F4C2" w14:textId="77777777" w:rsidR="007B149A" w:rsidRDefault="000E054D">
      <w:pPr>
        <w:spacing w:before="240" w:after="240" w:line="360" w:lineRule="auto"/>
        <w:ind w:left="360"/>
        <w:rPr>
          <w:color w:val="222222"/>
          <w:highlight w:val="white"/>
        </w:rPr>
      </w:pPr>
      <w:r>
        <w:rPr>
          <w:color w:val="222222"/>
          <w:highlight w:val="white"/>
        </w:rPr>
        <w:t xml:space="preserve">Catry, I., Catry, T., Alho, M., Franco, A.M.A. and Moreira, F., 2016. Sexual and parent–offspring dietary segregation in a colonial raptor as revealed by stable isotopes. </w:t>
      </w:r>
      <w:r>
        <w:rPr>
          <w:i/>
          <w:color w:val="222222"/>
          <w:highlight w:val="white"/>
        </w:rPr>
        <w:t>Journal of Zoology</w:t>
      </w:r>
      <w:r>
        <w:rPr>
          <w:color w:val="222222"/>
          <w:highlight w:val="white"/>
        </w:rPr>
        <w:t xml:space="preserve">, </w:t>
      </w:r>
      <w:r>
        <w:rPr>
          <w:i/>
          <w:color w:val="222222"/>
          <w:highlight w:val="white"/>
        </w:rPr>
        <w:t>299</w:t>
      </w:r>
      <w:r>
        <w:rPr>
          <w:color w:val="222222"/>
          <w:highlight w:val="white"/>
        </w:rPr>
        <w:t xml:space="preserve">(1), pp.58-67. </w:t>
      </w:r>
      <w:hyperlink r:id="rId105">
        <w:r>
          <w:rPr>
            <w:color w:val="1155CC"/>
            <w:highlight w:val="white"/>
            <w:u w:val="single"/>
          </w:rPr>
          <w:t>https://doi.org/10.1111/jzo.12324</w:t>
        </w:r>
      </w:hyperlink>
      <w:r>
        <w:rPr>
          <w:color w:val="222222"/>
          <w:highlight w:val="white"/>
        </w:rPr>
        <w:t xml:space="preserve"> </w:t>
      </w:r>
    </w:p>
    <w:p w14:paraId="2330F4C3" w14:textId="77777777" w:rsidR="007B149A" w:rsidRDefault="000E054D">
      <w:pPr>
        <w:spacing w:before="240" w:after="240" w:line="360" w:lineRule="auto"/>
        <w:ind w:left="360"/>
        <w:rPr>
          <w:color w:val="222222"/>
          <w:highlight w:val="white"/>
        </w:rPr>
      </w:pPr>
      <w:r>
        <w:rPr>
          <w:color w:val="222222"/>
          <w:highlight w:val="white"/>
        </w:rPr>
        <w:t xml:space="preserve">Catry, I., Sampaio, A., Silva, M.C., Moreira, F., Franco, A.M. and Catry, T., 2019. Combining stable isotope analysis and conventional techniques to improve knowledge of the diet of the European Roller Coracias garrulus. </w:t>
      </w:r>
      <w:r>
        <w:rPr>
          <w:i/>
          <w:color w:val="222222"/>
          <w:highlight w:val="white"/>
        </w:rPr>
        <w:t>Ibis</w:t>
      </w:r>
      <w:r>
        <w:rPr>
          <w:color w:val="222222"/>
          <w:highlight w:val="white"/>
        </w:rPr>
        <w:t xml:space="preserve">, </w:t>
      </w:r>
      <w:r>
        <w:rPr>
          <w:i/>
          <w:color w:val="222222"/>
          <w:highlight w:val="white"/>
        </w:rPr>
        <w:t>161</w:t>
      </w:r>
      <w:r>
        <w:rPr>
          <w:color w:val="222222"/>
          <w:highlight w:val="white"/>
        </w:rPr>
        <w:t xml:space="preserve">(2), pp.272-285. </w:t>
      </w:r>
      <w:hyperlink r:id="rId106">
        <w:r>
          <w:rPr>
            <w:color w:val="1155CC"/>
            <w:highlight w:val="white"/>
            <w:u w:val="single"/>
          </w:rPr>
          <w:t>https://doi.org/10.1111/ibi.12625</w:t>
        </w:r>
      </w:hyperlink>
      <w:r>
        <w:rPr>
          <w:color w:val="222222"/>
          <w:highlight w:val="white"/>
        </w:rPr>
        <w:t xml:space="preserve"> </w:t>
      </w:r>
    </w:p>
    <w:p w14:paraId="2330F4C4" w14:textId="77777777" w:rsidR="007B149A" w:rsidRDefault="000E054D">
      <w:pPr>
        <w:spacing w:before="240" w:after="240" w:line="360" w:lineRule="auto"/>
        <w:ind w:left="360"/>
        <w:rPr>
          <w:color w:val="222222"/>
          <w:highlight w:val="white"/>
        </w:rPr>
      </w:pPr>
      <w:r>
        <w:rPr>
          <w:color w:val="222222"/>
          <w:highlight w:val="white"/>
        </w:rPr>
        <w:t xml:space="preserve">Ceia, F.R., Phillips, R.A., Ramos, J.A., Cherel, Y., Vieira, R.P., Richard, P. and Xavier, J.C., 2012. Short-and long-term consistency in the foraging niche of wandering albatrosses. </w:t>
      </w:r>
      <w:r>
        <w:rPr>
          <w:i/>
          <w:color w:val="222222"/>
          <w:highlight w:val="white"/>
        </w:rPr>
        <w:t>Marine biology</w:t>
      </w:r>
      <w:r>
        <w:rPr>
          <w:color w:val="222222"/>
          <w:highlight w:val="white"/>
        </w:rPr>
        <w:t xml:space="preserve">, </w:t>
      </w:r>
      <w:r>
        <w:rPr>
          <w:i/>
          <w:color w:val="222222"/>
          <w:highlight w:val="white"/>
        </w:rPr>
        <w:t>159</w:t>
      </w:r>
      <w:r>
        <w:rPr>
          <w:color w:val="222222"/>
          <w:highlight w:val="white"/>
        </w:rPr>
        <w:t xml:space="preserve">(7), pp.1581-1591. </w:t>
      </w:r>
      <w:hyperlink r:id="rId107">
        <w:r>
          <w:rPr>
            <w:color w:val="1155CC"/>
            <w:highlight w:val="white"/>
            <w:u w:val="single"/>
          </w:rPr>
          <w:t>https://doi.org/10.1007/s00227-012-1946-1</w:t>
        </w:r>
      </w:hyperlink>
      <w:r>
        <w:rPr>
          <w:color w:val="222222"/>
          <w:highlight w:val="white"/>
        </w:rPr>
        <w:t xml:space="preserve"> </w:t>
      </w:r>
    </w:p>
    <w:p w14:paraId="2330F4C5" w14:textId="77777777" w:rsidR="007B149A" w:rsidRDefault="000E054D">
      <w:pPr>
        <w:spacing w:before="240" w:after="240" w:line="360" w:lineRule="auto"/>
        <w:ind w:left="360"/>
        <w:rPr>
          <w:color w:val="222222"/>
          <w:highlight w:val="white"/>
        </w:rPr>
      </w:pPr>
      <w:r>
        <w:rPr>
          <w:color w:val="222222"/>
          <w:highlight w:val="white"/>
        </w:rPr>
        <w:t xml:space="preserve">Cherel, Y., Le Corre, M., Jaquemet, S., Ménard, F., Richard, P. and Weimerskirch, H., 2008. Resource partitioning within a tropical seabird community: new information from stable </w:t>
      </w:r>
      <w:r>
        <w:rPr>
          <w:color w:val="222222"/>
          <w:highlight w:val="white"/>
        </w:rPr>
        <w:lastRenderedPageBreak/>
        <w:t xml:space="preserve">isotopes. </w:t>
      </w:r>
      <w:r>
        <w:rPr>
          <w:i/>
          <w:color w:val="222222"/>
          <w:highlight w:val="white"/>
        </w:rPr>
        <w:t>Marine Ecology Progress Series</w:t>
      </w:r>
      <w:r>
        <w:rPr>
          <w:color w:val="222222"/>
          <w:highlight w:val="white"/>
        </w:rPr>
        <w:t xml:space="preserve">, </w:t>
      </w:r>
      <w:r>
        <w:rPr>
          <w:i/>
          <w:color w:val="222222"/>
          <w:highlight w:val="white"/>
        </w:rPr>
        <w:t>366</w:t>
      </w:r>
      <w:r>
        <w:rPr>
          <w:color w:val="222222"/>
          <w:highlight w:val="white"/>
        </w:rPr>
        <w:t xml:space="preserve">, pp.281-291. </w:t>
      </w:r>
      <w:hyperlink r:id="rId108">
        <w:r>
          <w:rPr>
            <w:color w:val="1155CC"/>
            <w:highlight w:val="white"/>
            <w:u w:val="single"/>
          </w:rPr>
          <w:t>https://doi.org/10.3354/meps07587</w:t>
        </w:r>
      </w:hyperlink>
      <w:r>
        <w:rPr>
          <w:color w:val="222222"/>
          <w:highlight w:val="white"/>
        </w:rPr>
        <w:t xml:space="preserve"> </w:t>
      </w:r>
    </w:p>
    <w:p w14:paraId="2330F4C6" w14:textId="77777777" w:rsidR="007B149A" w:rsidRDefault="000E054D">
      <w:pPr>
        <w:spacing w:before="240" w:after="240" w:line="360" w:lineRule="auto"/>
        <w:ind w:left="360"/>
        <w:rPr>
          <w:color w:val="222222"/>
          <w:highlight w:val="white"/>
        </w:rPr>
      </w:pPr>
      <w:r>
        <w:rPr>
          <w:color w:val="222222"/>
          <w:highlight w:val="white"/>
        </w:rPr>
        <w:t xml:space="preserve">Cherel, Y., Hobson, K.A., Guinet, C. and Vanpe, C., 2007. Stable isotopes document seasonal changes in trophic niches and winter foraging individual specialization in diving predators from the Southern Ocean. </w:t>
      </w:r>
      <w:r>
        <w:rPr>
          <w:i/>
          <w:color w:val="222222"/>
          <w:highlight w:val="white"/>
        </w:rPr>
        <w:t>Journal of Animal Ecology</w:t>
      </w:r>
      <w:r>
        <w:rPr>
          <w:color w:val="222222"/>
          <w:highlight w:val="white"/>
        </w:rPr>
        <w:t xml:space="preserve">, </w:t>
      </w:r>
      <w:r>
        <w:rPr>
          <w:i/>
          <w:color w:val="222222"/>
          <w:highlight w:val="white"/>
        </w:rPr>
        <w:t>76</w:t>
      </w:r>
      <w:r>
        <w:rPr>
          <w:color w:val="222222"/>
          <w:highlight w:val="white"/>
        </w:rPr>
        <w:t xml:space="preserve">(4), pp.826-836. </w:t>
      </w:r>
      <w:hyperlink r:id="rId109">
        <w:r>
          <w:rPr>
            <w:color w:val="1155CC"/>
            <w:highlight w:val="white"/>
            <w:u w:val="single"/>
          </w:rPr>
          <w:t>https://doi.org/10.1111/j.1365-2656.2007.01238.x</w:t>
        </w:r>
      </w:hyperlink>
      <w:r>
        <w:rPr>
          <w:color w:val="222222"/>
          <w:highlight w:val="white"/>
        </w:rPr>
        <w:t xml:space="preserve"> </w:t>
      </w:r>
    </w:p>
    <w:p w14:paraId="2330F4C7" w14:textId="77777777" w:rsidR="007B149A" w:rsidRDefault="000E054D">
      <w:pPr>
        <w:spacing w:before="240" w:after="240" w:line="360" w:lineRule="auto"/>
        <w:ind w:left="360"/>
        <w:rPr>
          <w:color w:val="222222"/>
          <w:highlight w:val="white"/>
        </w:rPr>
      </w:pPr>
      <w:r>
        <w:rPr>
          <w:color w:val="222222"/>
          <w:highlight w:val="white"/>
        </w:rPr>
        <w:t xml:space="preserve">Coll-Calvo, E., Barría, C., Recasens, L. and Navarro, J., 2020. Feeding ecology of a Mediterranean endemic mesopredator living in highly exploited ecosystems. </w:t>
      </w:r>
      <w:r>
        <w:rPr>
          <w:i/>
          <w:color w:val="222222"/>
          <w:highlight w:val="white"/>
        </w:rPr>
        <w:t>Marine environmental research</w:t>
      </w:r>
      <w:r>
        <w:rPr>
          <w:color w:val="222222"/>
          <w:highlight w:val="white"/>
        </w:rPr>
        <w:t xml:space="preserve">, </w:t>
      </w:r>
      <w:r>
        <w:rPr>
          <w:i/>
          <w:color w:val="222222"/>
          <w:highlight w:val="white"/>
        </w:rPr>
        <w:t>157</w:t>
      </w:r>
      <w:r>
        <w:rPr>
          <w:color w:val="222222"/>
          <w:highlight w:val="white"/>
        </w:rPr>
        <w:t xml:space="preserve">, p.104932. </w:t>
      </w:r>
      <w:hyperlink r:id="rId110">
        <w:r>
          <w:rPr>
            <w:color w:val="1155CC"/>
            <w:highlight w:val="white"/>
            <w:u w:val="single"/>
          </w:rPr>
          <w:t>https://doi.org/10.1016/j.marenvres.2020.104932</w:t>
        </w:r>
      </w:hyperlink>
      <w:r>
        <w:rPr>
          <w:color w:val="222222"/>
          <w:highlight w:val="white"/>
        </w:rPr>
        <w:t xml:space="preserve"> </w:t>
      </w:r>
    </w:p>
    <w:p w14:paraId="2330F4C8" w14:textId="77777777" w:rsidR="007B149A" w:rsidRDefault="000E054D">
      <w:pPr>
        <w:spacing w:before="240" w:after="240" w:line="360" w:lineRule="auto"/>
        <w:ind w:left="360"/>
        <w:rPr>
          <w:color w:val="222222"/>
          <w:highlight w:val="white"/>
        </w:rPr>
      </w:pPr>
      <w:r>
        <w:rPr>
          <w:color w:val="222222"/>
          <w:highlight w:val="white"/>
        </w:rPr>
        <w:t xml:space="preserve">Comas, M., Escoriza, D. and Moreno-Rueda, G., 2014. Stable isotope analysis reveals variation in trophic niche depending on altitude in an endemic alpine gecko. </w:t>
      </w:r>
      <w:r>
        <w:rPr>
          <w:i/>
          <w:color w:val="222222"/>
          <w:highlight w:val="white"/>
        </w:rPr>
        <w:t>Basic and Applied Ecology</w:t>
      </w:r>
      <w:r>
        <w:rPr>
          <w:color w:val="222222"/>
          <w:highlight w:val="white"/>
        </w:rPr>
        <w:t xml:space="preserve">, </w:t>
      </w:r>
      <w:r>
        <w:rPr>
          <w:i/>
          <w:color w:val="222222"/>
          <w:highlight w:val="white"/>
        </w:rPr>
        <w:t>15</w:t>
      </w:r>
      <w:r>
        <w:rPr>
          <w:color w:val="222222"/>
          <w:highlight w:val="white"/>
        </w:rPr>
        <w:t xml:space="preserve">(4), pp.362-369. </w:t>
      </w:r>
      <w:hyperlink r:id="rId111">
        <w:r>
          <w:rPr>
            <w:color w:val="1155CC"/>
            <w:highlight w:val="white"/>
            <w:u w:val="single"/>
          </w:rPr>
          <w:t>https://doi.org/10.1016/j.baae.2014.05.005</w:t>
        </w:r>
      </w:hyperlink>
      <w:r>
        <w:rPr>
          <w:color w:val="222222"/>
          <w:highlight w:val="white"/>
        </w:rPr>
        <w:t xml:space="preserve"> </w:t>
      </w:r>
    </w:p>
    <w:p w14:paraId="2330F4C9" w14:textId="77777777" w:rsidR="007B149A" w:rsidRDefault="000E054D">
      <w:pPr>
        <w:spacing w:before="240" w:after="240" w:line="360" w:lineRule="auto"/>
        <w:ind w:left="360"/>
        <w:rPr>
          <w:color w:val="222222"/>
          <w:highlight w:val="white"/>
        </w:rPr>
      </w:pPr>
      <w:r>
        <w:rPr>
          <w:color w:val="222222"/>
          <w:highlight w:val="white"/>
        </w:rPr>
        <w:t xml:space="preserve">Connan, M., Bonnevie, B. and McQuaid, C., 2018. Ontogeny, tissue, and species but not sex influence stable isotopic values of three albatross species. </w:t>
      </w:r>
      <w:r>
        <w:rPr>
          <w:i/>
          <w:color w:val="222222"/>
          <w:highlight w:val="white"/>
        </w:rPr>
        <w:t>Polar Biology</w:t>
      </w:r>
      <w:r>
        <w:rPr>
          <w:color w:val="222222"/>
          <w:highlight w:val="white"/>
        </w:rPr>
        <w:t xml:space="preserve">, </w:t>
      </w:r>
      <w:r>
        <w:rPr>
          <w:i/>
          <w:color w:val="222222"/>
          <w:highlight w:val="white"/>
        </w:rPr>
        <w:t>41</w:t>
      </w:r>
      <w:r>
        <w:rPr>
          <w:color w:val="222222"/>
          <w:highlight w:val="white"/>
        </w:rPr>
        <w:t xml:space="preserve">(6), pp.1175-1186. </w:t>
      </w:r>
      <w:hyperlink r:id="rId112">
        <w:r>
          <w:rPr>
            <w:color w:val="1155CC"/>
            <w:highlight w:val="white"/>
            <w:u w:val="single"/>
          </w:rPr>
          <w:t>https://doi.org/10.1007/s00300-018-2276-7</w:t>
        </w:r>
      </w:hyperlink>
      <w:r>
        <w:rPr>
          <w:color w:val="222222"/>
          <w:highlight w:val="white"/>
        </w:rPr>
        <w:t xml:space="preserve"> </w:t>
      </w:r>
    </w:p>
    <w:p w14:paraId="2330F4CA" w14:textId="77777777" w:rsidR="007B149A" w:rsidRDefault="000E054D">
      <w:pPr>
        <w:spacing w:before="240" w:after="240" w:line="360" w:lineRule="auto"/>
        <w:ind w:left="360"/>
        <w:rPr>
          <w:color w:val="222222"/>
          <w:highlight w:val="white"/>
        </w:rPr>
      </w:pPr>
      <w:r>
        <w:rPr>
          <w:color w:val="222222"/>
          <w:highlight w:val="white"/>
        </w:rPr>
        <w:t xml:space="preserve">Connan, M., Hofmeyr, G.G. and Pistorius, P.A., 2016. Reappraisal of the trophic ecology of one of the world’s most threatened spheniscids, the African penguin. </w:t>
      </w:r>
      <w:r>
        <w:rPr>
          <w:i/>
          <w:color w:val="222222"/>
          <w:highlight w:val="white"/>
        </w:rPr>
        <w:t>PloS one</w:t>
      </w:r>
      <w:r>
        <w:rPr>
          <w:color w:val="222222"/>
          <w:highlight w:val="white"/>
        </w:rPr>
        <w:t xml:space="preserve">, </w:t>
      </w:r>
      <w:r>
        <w:rPr>
          <w:i/>
          <w:color w:val="222222"/>
          <w:highlight w:val="white"/>
        </w:rPr>
        <w:t>11</w:t>
      </w:r>
      <w:r>
        <w:rPr>
          <w:color w:val="222222"/>
          <w:highlight w:val="white"/>
        </w:rPr>
        <w:t xml:space="preserve">(7), p.e0159402. </w:t>
      </w:r>
      <w:hyperlink r:id="rId113">
        <w:r>
          <w:rPr>
            <w:color w:val="1155CC"/>
            <w:highlight w:val="white"/>
            <w:u w:val="single"/>
          </w:rPr>
          <w:t>https://doi.org/10.1371/journal.pone.0159402</w:t>
        </w:r>
      </w:hyperlink>
      <w:r>
        <w:rPr>
          <w:color w:val="222222"/>
          <w:highlight w:val="white"/>
        </w:rPr>
        <w:t xml:space="preserve"> </w:t>
      </w:r>
    </w:p>
    <w:p w14:paraId="2330F4CB" w14:textId="77777777" w:rsidR="007B149A" w:rsidRDefault="000E054D">
      <w:pPr>
        <w:spacing w:before="240" w:after="240" w:line="360" w:lineRule="auto"/>
        <w:ind w:left="360"/>
        <w:rPr>
          <w:color w:val="222222"/>
          <w:highlight w:val="white"/>
        </w:rPr>
      </w:pPr>
      <w:r>
        <w:rPr>
          <w:color w:val="222222"/>
          <w:highlight w:val="white"/>
        </w:rPr>
        <w:t xml:space="preserve">Crowley, B.E., Thorén, S., Rasoazanabary, E., Vogel, E.R., Barrett, M.A., Zohdy, S., Blanco, M.B., McGoogan, K.C., Arrigo‐Nelson, S.J., Irwin, M.T. and Wright, P.C., 2011. Explaining geographical variation in the isotope composition of mouse lemurs (Microcebus). </w:t>
      </w:r>
      <w:r>
        <w:rPr>
          <w:i/>
          <w:color w:val="222222"/>
          <w:highlight w:val="white"/>
        </w:rPr>
        <w:t>Journal of Biogeography</w:t>
      </w:r>
      <w:r>
        <w:rPr>
          <w:color w:val="222222"/>
          <w:highlight w:val="white"/>
        </w:rPr>
        <w:t xml:space="preserve">, </w:t>
      </w:r>
      <w:r>
        <w:rPr>
          <w:i/>
          <w:color w:val="222222"/>
          <w:highlight w:val="white"/>
        </w:rPr>
        <w:t>38</w:t>
      </w:r>
      <w:r>
        <w:rPr>
          <w:color w:val="222222"/>
          <w:highlight w:val="white"/>
        </w:rPr>
        <w:t xml:space="preserve">(11), pp.2106-2121. </w:t>
      </w:r>
      <w:hyperlink r:id="rId114">
        <w:r>
          <w:rPr>
            <w:color w:val="1155CC"/>
            <w:highlight w:val="white"/>
            <w:u w:val="single"/>
          </w:rPr>
          <w:t>https://doi.org/10.1111/j.1365-2699.2011.02551.x</w:t>
        </w:r>
      </w:hyperlink>
      <w:r>
        <w:rPr>
          <w:color w:val="222222"/>
          <w:highlight w:val="white"/>
        </w:rPr>
        <w:t xml:space="preserve"> </w:t>
      </w:r>
    </w:p>
    <w:p w14:paraId="2330F4CC" w14:textId="77777777" w:rsidR="007B149A" w:rsidRDefault="000E054D">
      <w:pPr>
        <w:spacing w:before="240" w:after="240" w:line="360" w:lineRule="auto"/>
        <w:ind w:left="360"/>
        <w:rPr>
          <w:color w:val="222222"/>
          <w:highlight w:val="white"/>
        </w:rPr>
      </w:pPr>
      <w:r>
        <w:rPr>
          <w:color w:val="222222"/>
          <w:highlight w:val="white"/>
        </w:rPr>
        <w:t xml:space="preserve">Crowley, B.E., Castro, I., Soarimalala, V. and Goodman, S.M., 2018. Isotopic evidence for niche partitioning and the influence of anthropogenic disturbance on endemic and introduced rodents in central Madagascar. </w:t>
      </w:r>
      <w:r>
        <w:rPr>
          <w:i/>
          <w:color w:val="222222"/>
          <w:highlight w:val="white"/>
        </w:rPr>
        <w:t>The Science of Nature</w:t>
      </w:r>
      <w:r>
        <w:rPr>
          <w:color w:val="222222"/>
          <w:highlight w:val="white"/>
        </w:rPr>
        <w:t xml:space="preserve">, </w:t>
      </w:r>
      <w:r>
        <w:rPr>
          <w:i/>
          <w:color w:val="222222"/>
          <w:highlight w:val="white"/>
        </w:rPr>
        <w:t>105</w:t>
      </w:r>
      <w:r>
        <w:rPr>
          <w:color w:val="222222"/>
          <w:highlight w:val="white"/>
        </w:rPr>
        <w:t xml:space="preserve">(7), pp.1-13. </w:t>
      </w:r>
      <w:hyperlink r:id="rId115">
        <w:r>
          <w:rPr>
            <w:color w:val="1155CC"/>
            <w:highlight w:val="white"/>
            <w:u w:val="single"/>
          </w:rPr>
          <w:t>https://doi.org/10.1007/s00114-018-1564-y</w:t>
        </w:r>
      </w:hyperlink>
      <w:r>
        <w:rPr>
          <w:color w:val="222222"/>
          <w:highlight w:val="white"/>
        </w:rPr>
        <w:t xml:space="preserve"> </w:t>
      </w:r>
    </w:p>
    <w:p w14:paraId="2330F4CD" w14:textId="77777777" w:rsidR="007B149A" w:rsidRDefault="000E054D">
      <w:pPr>
        <w:spacing w:before="240" w:after="240" w:line="360" w:lineRule="auto"/>
        <w:ind w:left="360"/>
        <w:rPr>
          <w:color w:val="222222"/>
          <w:highlight w:val="white"/>
        </w:rPr>
      </w:pPr>
      <w:r>
        <w:rPr>
          <w:color w:val="222222"/>
          <w:highlight w:val="white"/>
        </w:rPr>
        <w:lastRenderedPageBreak/>
        <w:t xml:space="preserve">Crowley, B.E., Rasoazanabary, E. and Godfrey, L.R., 2014. Stable isotopes complement focal individual observations and confirm dietary variability in reddish–gray mouse lemurs (Microcebus griseorufus) from southwestern Madagascar. </w:t>
      </w:r>
      <w:r>
        <w:rPr>
          <w:i/>
          <w:color w:val="222222"/>
          <w:highlight w:val="white"/>
        </w:rPr>
        <w:t>American Journal of Physical Anthropology</w:t>
      </w:r>
      <w:r>
        <w:rPr>
          <w:color w:val="222222"/>
          <w:highlight w:val="white"/>
        </w:rPr>
        <w:t xml:space="preserve">, </w:t>
      </w:r>
      <w:r>
        <w:rPr>
          <w:i/>
          <w:color w:val="222222"/>
          <w:highlight w:val="white"/>
        </w:rPr>
        <w:t>155</w:t>
      </w:r>
      <w:r>
        <w:rPr>
          <w:color w:val="222222"/>
          <w:highlight w:val="white"/>
        </w:rPr>
        <w:t xml:space="preserve">(1), pp.77-90. </w:t>
      </w:r>
      <w:hyperlink r:id="rId116">
        <w:r>
          <w:rPr>
            <w:color w:val="1155CC"/>
            <w:highlight w:val="white"/>
            <w:u w:val="single"/>
          </w:rPr>
          <w:t>https://doi.org/10.1002/ajpa.22555</w:t>
        </w:r>
      </w:hyperlink>
      <w:r>
        <w:rPr>
          <w:color w:val="222222"/>
          <w:highlight w:val="white"/>
        </w:rPr>
        <w:t xml:space="preserve"> </w:t>
      </w:r>
    </w:p>
    <w:p w14:paraId="2330F4CE" w14:textId="77777777" w:rsidR="007B149A" w:rsidRDefault="000E054D">
      <w:pPr>
        <w:spacing w:before="240" w:after="240" w:line="360" w:lineRule="auto"/>
        <w:ind w:left="360"/>
        <w:rPr>
          <w:color w:val="222222"/>
          <w:highlight w:val="white"/>
        </w:rPr>
      </w:pPr>
      <w:r>
        <w:rPr>
          <w:color w:val="222222"/>
          <w:highlight w:val="white"/>
        </w:rPr>
        <w:t xml:space="preserve">Dammhahn, M., Randriamoria, T.M. and Goodman, S.M., 2017. Broad and flexible stable isotope niches in invasive non-native Rattus spp. in anthropogenic and natural habitats of central eastern Madagascar. </w:t>
      </w:r>
      <w:r>
        <w:rPr>
          <w:i/>
          <w:color w:val="222222"/>
          <w:highlight w:val="white"/>
        </w:rPr>
        <w:t>BMC ecology</w:t>
      </w:r>
      <w:r>
        <w:rPr>
          <w:color w:val="222222"/>
          <w:highlight w:val="white"/>
        </w:rPr>
        <w:t xml:space="preserve">, </w:t>
      </w:r>
      <w:r>
        <w:rPr>
          <w:i/>
          <w:color w:val="222222"/>
          <w:highlight w:val="white"/>
        </w:rPr>
        <w:t>17</w:t>
      </w:r>
      <w:r>
        <w:rPr>
          <w:color w:val="222222"/>
          <w:highlight w:val="white"/>
        </w:rPr>
        <w:t xml:space="preserve">(1), pp.1-13. </w:t>
      </w:r>
      <w:hyperlink r:id="rId117">
        <w:r>
          <w:rPr>
            <w:color w:val="1155CC"/>
            <w:highlight w:val="white"/>
            <w:u w:val="single"/>
          </w:rPr>
          <w:t>https://doi.org/10.1186/s12898-017-0125-0</w:t>
        </w:r>
      </w:hyperlink>
      <w:r>
        <w:rPr>
          <w:color w:val="222222"/>
          <w:highlight w:val="white"/>
        </w:rPr>
        <w:t xml:space="preserve"> </w:t>
      </w:r>
    </w:p>
    <w:p w14:paraId="2330F4CF" w14:textId="77777777" w:rsidR="007B149A" w:rsidRDefault="000E054D">
      <w:pPr>
        <w:spacing w:before="240" w:after="240" w:line="360" w:lineRule="auto"/>
        <w:ind w:left="360"/>
        <w:rPr>
          <w:color w:val="222222"/>
          <w:highlight w:val="white"/>
        </w:rPr>
      </w:pPr>
      <w:r>
        <w:rPr>
          <w:color w:val="222222"/>
          <w:highlight w:val="white"/>
        </w:rPr>
        <w:t xml:space="preserve">Dammhahn, M. and Kappeler, P.M., 2010. Scramble or contest competition over food in solitarily foraging mouse lemurs (Microcebus spp.): new insights from stable isotopes. </w:t>
      </w:r>
      <w:r>
        <w:rPr>
          <w:i/>
          <w:color w:val="222222"/>
          <w:highlight w:val="white"/>
        </w:rPr>
        <w:t>American Journal of Physical Anthropology: The Official Publication of the American Association of Physical Anthropologists</w:t>
      </w:r>
      <w:r>
        <w:rPr>
          <w:color w:val="222222"/>
          <w:highlight w:val="white"/>
        </w:rPr>
        <w:t xml:space="preserve">, </w:t>
      </w:r>
      <w:r>
        <w:rPr>
          <w:i/>
          <w:color w:val="222222"/>
          <w:highlight w:val="white"/>
        </w:rPr>
        <w:t>141</w:t>
      </w:r>
      <w:r>
        <w:rPr>
          <w:color w:val="222222"/>
          <w:highlight w:val="white"/>
        </w:rPr>
        <w:t xml:space="preserve">(2), pp.181-189. </w:t>
      </w:r>
      <w:hyperlink r:id="rId118">
        <w:r>
          <w:rPr>
            <w:color w:val="1155CC"/>
            <w:highlight w:val="white"/>
            <w:u w:val="single"/>
          </w:rPr>
          <w:t>https://doi.org/10.1002/ajpa.21129</w:t>
        </w:r>
      </w:hyperlink>
      <w:r>
        <w:rPr>
          <w:color w:val="222222"/>
          <w:highlight w:val="white"/>
        </w:rPr>
        <w:t xml:space="preserve"> </w:t>
      </w:r>
    </w:p>
    <w:p w14:paraId="2330F4D0" w14:textId="77777777" w:rsidR="007B149A" w:rsidRDefault="000E054D">
      <w:pPr>
        <w:spacing w:before="240" w:after="240" w:line="360" w:lineRule="auto"/>
        <w:ind w:left="360"/>
        <w:rPr>
          <w:color w:val="222222"/>
          <w:highlight w:val="white"/>
        </w:rPr>
      </w:pPr>
      <w:r>
        <w:rPr>
          <w:color w:val="222222"/>
          <w:highlight w:val="white"/>
        </w:rPr>
        <w:t xml:space="preserve">Das, K., Holleville, O., Ryan, C., Berrow, S., Gilles, A., Ody, D. and Michel, L.N., 2017. Isotopic niches of fin whales from the Mediterranean Sea and the Celtic Sea (North Atlantic). </w:t>
      </w:r>
      <w:r>
        <w:rPr>
          <w:i/>
          <w:color w:val="222222"/>
          <w:highlight w:val="white"/>
        </w:rPr>
        <w:t>Marine environmental research</w:t>
      </w:r>
      <w:r>
        <w:rPr>
          <w:color w:val="222222"/>
          <w:highlight w:val="white"/>
        </w:rPr>
        <w:t xml:space="preserve">, </w:t>
      </w:r>
      <w:r>
        <w:rPr>
          <w:i/>
          <w:color w:val="222222"/>
          <w:highlight w:val="white"/>
        </w:rPr>
        <w:t>127</w:t>
      </w:r>
      <w:r>
        <w:rPr>
          <w:color w:val="222222"/>
          <w:highlight w:val="white"/>
        </w:rPr>
        <w:t xml:space="preserve">, pp.75-83. </w:t>
      </w:r>
      <w:hyperlink r:id="rId119">
        <w:r>
          <w:rPr>
            <w:color w:val="1155CC"/>
            <w:highlight w:val="white"/>
            <w:u w:val="single"/>
          </w:rPr>
          <w:t>https://doi.org/10.1016/j.marenvres.2017.03.009</w:t>
        </w:r>
      </w:hyperlink>
      <w:r>
        <w:rPr>
          <w:color w:val="222222"/>
          <w:highlight w:val="white"/>
        </w:rPr>
        <w:t xml:space="preserve"> </w:t>
      </w:r>
    </w:p>
    <w:p w14:paraId="2330F4D1" w14:textId="77777777" w:rsidR="007B149A" w:rsidRDefault="000E054D">
      <w:pPr>
        <w:spacing w:before="240" w:after="240" w:line="360" w:lineRule="auto"/>
        <w:ind w:left="360"/>
        <w:rPr>
          <w:color w:val="222222"/>
          <w:highlight w:val="white"/>
        </w:rPr>
      </w:pPr>
      <w:r>
        <w:rPr>
          <w:color w:val="222222"/>
          <w:highlight w:val="white"/>
        </w:rPr>
        <w:t xml:space="preserve">Drewett, D.V., Willson, J.D., Cristol, D.A., Chin, S.Y. and Hopkins, W.A., 2013. Inter‐and intraspecific variation in mercury bioaccumulation by snakes inhabiting a contaminated river floodplain. </w:t>
      </w:r>
      <w:r>
        <w:rPr>
          <w:i/>
          <w:color w:val="222222"/>
          <w:highlight w:val="white"/>
        </w:rPr>
        <w:t>Environmental toxicology and chemistry</w:t>
      </w:r>
      <w:r>
        <w:rPr>
          <w:color w:val="222222"/>
          <w:highlight w:val="white"/>
        </w:rPr>
        <w:t xml:space="preserve">, </w:t>
      </w:r>
      <w:r>
        <w:rPr>
          <w:i/>
          <w:color w:val="222222"/>
          <w:highlight w:val="white"/>
        </w:rPr>
        <w:t>32</w:t>
      </w:r>
      <w:r>
        <w:rPr>
          <w:color w:val="222222"/>
          <w:highlight w:val="white"/>
        </w:rPr>
        <w:t xml:space="preserve">(5), pp.1178-1186. </w:t>
      </w:r>
      <w:hyperlink r:id="rId120">
        <w:r>
          <w:rPr>
            <w:color w:val="1155CC"/>
            <w:highlight w:val="white"/>
            <w:u w:val="single"/>
          </w:rPr>
          <w:t>https://doi.org/10.1002/etc.2157</w:t>
        </w:r>
      </w:hyperlink>
      <w:r>
        <w:rPr>
          <w:color w:val="222222"/>
          <w:highlight w:val="white"/>
        </w:rPr>
        <w:t xml:space="preserve"> </w:t>
      </w:r>
    </w:p>
    <w:p w14:paraId="2330F4D2" w14:textId="77777777" w:rsidR="007B149A" w:rsidRDefault="000E054D">
      <w:pPr>
        <w:spacing w:before="240" w:after="240" w:line="360" w:lineRule="auto"/>
        <w:ind w:left="360"/>
        <w:rPr>
          <w:color w:val="222222"/>
          <w:highlight w:val="white"/>
        </w:rPr>
      </w:pPr>
      <w:r>
        <w:rPr>
          <w:color w:val="222222"/>
          <w:highlight w:val="white"/>
        </w:rPr>
        <w:t xml:space="preserve">Drago, M., Franco-Trecu, V., Segura, A.M., Valdivia, M., González, E.M., Aguilar, A. and Cardona, L., 2018. Mouth gape determines the response of marine top predators to long-term fishery-induced changes in food web structure. </w:t>
      </w:r>
      <w:r>
        <w:rPr>
          <w:i/>
          <w:color w:val="222222"/>
          <w:highlight w:val="white"/>
        </w:rPr>
        <w:t>Scientific reports</w:t>
      </w:r>
      <w:r>
        <w:rPr>
          <w:color w:val="222222"/>
          <w:highlight w:val="white"/>
        </w:rPr>
        <w:t xml:space="preserve">, </w:t>
      </w:r>
      <w:r>
        <w:rPr>
          <w:i/>
          <w:color w:val="222222"/>
          <w:highlight w:val="white"/>
        </w:rPr>
        <w:t>8</w:t>
      </w:r>
      <w:r>
        <w:rPr>
          <w:color w:val="222222"/>
          <w:highlight w:val="white"/>
        </w:rPr>
        <w:t xml:space="preserve">(1), pp.1-12. </w:t>
      </w:r>
      <w:hyperlink r:id="rId121">
        <w:r>
          <w:rPr>
            <w:color w:val="1155CC"/>
            <w:highlight w:val="white"/>
            <w:u w:val="single"/>
          </w:rPr>
          <w:t>https://doi.org/10.1038/s41598-018-34100-8</w:t>
        </w:r>
      </w:hyperlink>
      <w:r>
        <w:rPr>
          <w:color w:val="222222"/>
          <w:highlight w:val="white"/>
        </w:rPr>
        <w:t xml:space="preserve"> </w:t>
      </w:r>
    </w:p>
    <w:p w14:paraId="2330F4D3" w14:textId="77777777" w:rsidR="007B149A" w:rsidRDefault="000E054D">
      <w:pPr>
        <w:spacing w:before="240" w:after="240" w:line="360" w:lineRule="auto"/>
        <w:ind w:left="360"/>
        <w:rPr>
          <w:color w:val="222222"/>
          <w:highlight w:val="white"/>
        </w:rPr>
      </w:pPr>
      <w:r>
        <w:rPr>
          <w:color w:val="222222"/>
          <w:highlight w:val="white"/>
        </w:rPr>
        <w:t xml:space="preserve">Edwards, M.A., Derocher, A.E., Hobson, K.A., Branigan, M. and Nagy, J.A., 2011. Fast carnivores and slow herbivores: differential foraging strategies among grizzly bears in the </w:t>
      </w:r>
      <w:r>
        <w:rPr>
          <w:color w:val="222222"/>
          <w:highlight w:val="white"/>
        </w:rPr>
        <w:lastRenderedPageBreak/>
        <w:t xml:space="preserve">Canadian Arctic. </w:t>
      </w:r>
      <w:r>
        <w:rPr>
          <w:i/>
          <w:color w:val="222222"/>
          <w:highlight w:val="white"/>
        </w:rPr>
        <w:t>Oecologia</w:t>
      </w:r>
      <w:r>
        <w:rPr>
          <w:color w:val="222222"/>
          <w:highlight w:val="white"/>
        </w:rPr>
        <w:t xml:space="preserve">, </w:t>
      </w:r>
      <w:r>
        <w:rPr>
          <w:i/>
          <w:color w:val="222222"/>
          <w:highlight w:val="white"/>
        </w:rPr>
        <w:t>165</w:t>
      </w:r>
      <w:r>
        <w:rPr>
          <w:color w:val="222222"/>
          <w:highlight w:val="white"/>
        </w:rPr>
        <w:t xml:space="preserve">(4), pp.877-889. </w:t>
      </w:r>
      <w:hyperlink r:id="rId122">
        <w:r>
          <w:rPr>
            <w:color w:val="1155CC"/>
            <w:highlight w:val="white"/>
            <w:u w:val="single"/>
          </w:rPr>
          <w:t>https://doi.org/10.1007/s00442-010-1869-9</w:t>
        </w:r>
      </w:hyperlink>
      <w:r>
        <w:rPr>
          <w:color w:val="222222"/>
          <w:highlight w:val="white"/>
        </w:rPr>
        <w:t xml:space="preserve"> </w:t>
      </w:r>
    </w:p>
    <w:p w14:paraId="2330F4D4" w14:textId="77777777" w:rsidR="007B149A" w:rsidRDefault="000E054D">
      <w:pPr>
        <w:spacing w:before="240" w:after="240" w:line="360" w:lineRule="auto"/>
        <w:ind w:left="360"/>
        <w:rPr>
          <w:color w:val="222222"/>
          <w:highlight w:val="white"/>
        </w:rPr>
      </w:pPr>
      <w:r>
        <w:rPr>
          <w:color w:val="222222"/>
          <w:highlight w:val="white"/>
        </w:rPr>
        <w:t xml:space="preserve">English, M.D., Robertson, G.J., O’Driscoll, N.J., Klapstein, S.J., Peck, L.E. and Mallory, M.L., 2020. Variation in isotopic niche, digestive tract morphology, and mercury concentrations in two sympatric waterfowl species wintering in Atlantic Canada. </w:t>
      </w:r>
      <w:r>
        <w:rPr>
          <w:i/>
          <w:color w:val="222222"/>
          <w:highlight w:val="white"/>
        </w:rPr>
        <w:t>FACETS</w:t>
      </w:r>
      <w:r>
        <w:rPr>
          <w:color w:val="222222"/>
          <w:highlight w:val="white"/>
        </w:rPr>
        <w:t xml:space="preserve">, </w:t>
      </w:r>
      <w:r>
        <w:rPr>
          <w:i/>
          <w:color w:val="222222"/>
          <w:highlight w:val="white"/>
        </w:rPr>
        <w:t>5</w:t>
      </w:r>
      <w:r>
        <w:rPr>
          <w:color w:val="222222"/>
          <w:highlight w:val="white"/>
        </w:rPr>
        <w:t xml:space="preserve">(1), pp.393-408. </w:t>
      </w:r>
      <w:hyperlink r:id="rId123">
        <w:r>
          <w:rPr>
            <w:color w:val="1155CC"/>
            <w:highlight w:val="white"/>
            <w:u w:val="single"/>
          </w:rPr>
          <w:t>https://doi.org/10.1139/facets-2019-0056</w:t>
        </w:r>
      </w:hyperlink>
      <w:r>
        <w:rPr>
          <w:color w:val="222222"/>
          <w:highlight w:val="white"/>
        </w:rPr>
        <w:t xml:space="preserve"> </w:t>
      </w:r>
    </w:p>
    <w:p w14:paraId="2330F4D5" w14:textId="77777777" w:rsidR="007B149A" w:rsidRDefault="000E054D">
      <w:pPr>
        <w:spacing w:before="240" w:after="240" w:line="360" w:lineRule="auto"/>
        <w:ind w:left="360"/>
        <w:rPr>
          <w:color w:val="222222"/>
          <w:highlight w:val="white"/>
        </w:rPr>
      </w:pPr>
      <w:r>
        <w:rPr>
          <w:color w:val="222222"/>
          <w:highlight w:val="white"/>
        </w:rPr>
        <w:t xml:space="preserve">Ferreira, L.C., Thums, M., Heithaus, M.R., Barnett, A., Abrantes, K.G., Holmes, B.J., Zamora, L.M., Frisch, A.J., Pepperell, J.G., Burkholder, D. and Vaudo, J., 2017. The trophic role of a large marine predator, the tiger shark Galeocerdo cuvier. </w:t>
      </w:r>
      <w:r>
        <w:rPr>
          <w:i/>
          <w:color w:val="222222"/>
          <w:highlight w:val="white"/>
        </w:rPr>
        <w:t>Scientific reports</w:t>
      </w:r>
      <w:r>
        <w:rPr>
          <w:color w:val="222222"/>
          <w:highlight w:val="white"/>
        </w:rPr>
        <w:t xml:space="preserve">, </w:t>
      </w:r>
      <w:r>
        <w:rPr>
          <w:i/>
          <w:color w:val="222222"/>
          <w:highlight w:val="white"/>
        </w:rPr>
        <w:t>7</w:t>
      </w:r>
      <w:r>
        <w:rPr>
          <w:color w:val="222222"/>
          <w:highlight w:val="white"/>
        </w:rPr>
        <w:t xml:space="preserve">(1), pp.1-14. </w:t>
      </w:r>
      <w:hyperlink r:id="rId124">
        <w:r>
          <w:rPr>
            <w:color w:val="1155CC"/>
            <w:highlight w:val="white"/>
            <w:u w:val="single"/>
          </w:rPr>
          <w:t>https://doi.org/10.1038/s41598-017-07751-2</w:t>
        </w:r>
      </w:hyperlink>
      <w:r>
        <w:rPr>
          <w:color w:val="222222"/>
          <w:highlight w:val="white"/>
        </w:rPr>
        <w:t xml:space="preserve"> </w:t>
      </w:r>
    </w:p>
    <w:p w14:paraId="2330F4D6" w14:textId="77777777" w:rsidR="007B149A" w:rsidRDefault="000E054D">
      <w:pPr>
        <w:spacing w:before="240" w:after="240" w:line="360" w:lineRule="auto"/>
        <w:ind w:left="360"/>
        <w:rPr>
          <w:color w:val="222222"/>
          <w:highlight w:val="white"/>
        </w:rPr>
      </w:pPr>
      <w:r>
        <w:rPr>
          <w:color w:val="222222"/>
          <w:highlight w:val="white"/>
        </w:rPr>
        <w:t xml:space="preserve">Ferronato, B.O., Marques, T.S., Lara, N.R., Martinelli, L.A., Verdade, L.M., Camargo, P.B., Roe, J.H. and Georges, A., 2016. Isotopic niche in the eastern long-necked turtle, Chelodina longicollis (Testudines: Chelidae), along a natural-urban gradient in southeastern Australia. </w:t>
      </w:r>
      <w:r>
        <w:rPr>
          <w:i/>
          <w:color w:val="222222"/>
          <w:highlight w:val="white"/>
        </w:rPr>
        <w:t>The Herpetological Journal</w:t>
      </w:r>
      <w:r>
        <w:rPr>
          <w:color w:val="222222"/>
          <w:highlight w:val="white"/>
        </w:rPr>
        <w:t xml:space="preserve">, </w:t>
      </w:r>
      <w:r>
        <w:rPr>
          <w:i/>
          <w:color w:val="222222"/>
          <w:highlight w:val="white"/>
        </w:rPr>
        <w:t>26</w:t>
      </w:r>
      <w:r>
        <w:rPr>
          <w:color w:val="222222"/>
          <w:highlight w:val="white"/>
        </w:rPr>
        <w:t xml:space="preserve">(4), pp.297-304. </w:t>
      </w:r>
      <w:hyperlink r:id="rId125">
        <w:r>
          <w:rPr>
            <w:color w:val="1155CC"/>
            <w:highlight w:val="white"/>
            <w:u w:val="single"/>
          </w:rPr>
          <w:t>https://www.ingentaconnect.com/content/bhs/thj/2016/00000026/00000004/art00006</w:t>
        </w:r>
      </w:hyperlink>
      <w:r>
        <w:rPr>
          <w:color w:val="222222"/>
          <w:highlight w:val="white"/>
        </w:rPr>
        <w:t xml:space="preserve"> </w:t>
      </w:r>
    </w:p>
    <w:p w14:paraId="2330F4D7" w14:textId="77777777" w:rsidR="007B149A" w:rsidRDefault="000E054D">
      <w:pPr>
        <w:spacing w:before="240" w:after="240" w:line="360" w:lineRule="auto"/>
        <w:ind w:left="360"/>
        <w:rPr>
          <w:color w:val="222222"/>
          <w:highlight w:val="white"/>
        </w:rPr>
      </w:pPr>
      <w:r>
        <w:rPr>
          <w:color w:val="222222"/>
          <w:highlight w:val="white"/>
        </w:rPr>
        <w:t xml:space="preserve">Fletcher, D.E., Lindell, A.H., Stillings, G.K., Mills, G.L., Blas, </w:t>
      </w:r>
      <w:proofErr w:type="gramStart"/>
      <w:r>
        <w:rPr>
          <w:color w:val="222222"/>
          <w:highlight w:val="white"/>
        </w:rPr>
        <w:t>S.A.</w:t>
      </w:r>
      <w:proofErr w:type="gramEnd"/>
      <w:r>
        <w:rPr>
          <w:color w:val="222222"/>
          <w:highlight w:val="white"/>
        </w:rPr>
        <w:t xml:space="preserve"> and McArthur, J.V., 2015. Trophic variation in coastal plain stream predatory fishes. </w:t>
      </w:r>
      <w:r>
        <w:rPr>
          <w:i/>
          <w:color w:val="222222"/>
          <w:highlight w:val="white"/>
        </w:rPr>
        <w:t>Southeastern Naturalist</w:t>
      </w:r>
      <w:r>
        <w:rPr>
          <w:color w:val="222222"/>
          <w:highlight w:val="white"/>
        </w:rPr>
        <w:t xml:space="preserve">, </w:t>
      </w:r>
      <w:r>
        <w:rPr>
          <w:i/>
          <w:color w:val="222222"/>
          <w:highlight w:val="white"/>
        </w:rPr>
        <w:t>14</w:t>
      </w:r>
      <w:r>
        <w:rPr>
          <w:color w:val="222222"/>
          <w:highlight w:val="white"/>
        </w:rPr>
        <w:t xml:space="preserve">(2), pp.373-396. </w:t>
      </w:r>
      <w:hyperlink r:id="rId126">
        <w:r>
          <w:rPr>
            <w:color w:val="1155CC"/>
            <w:highlight w:val="white"/>
            <w:u w:val="single"/>
          </w:rPr>
          <w:t>https://www.jstor.org/stable/26454496</w:t>
        </w:r>
      </w:hyperlink>
      <w:r>
        <w:rPr>
          <w:color w:val="222222"/>
          <w:highlight w:val="white"/>
        </w:rPr>
        <w:t xml:space="preserve">. </w:t>
      </w:r>
    </w:p>
    <w:p w14:paraId="2330F4D8" w14:textId="77777777" w:rsidR="007B149A" w:rsidRDefault="000E054D">
      <w:pPr>
        <w:spacing w:before="240" w:after="240" w:line="360" w:lineRule="auto"/>
        <w:ind w:left="360"/>
        <w:rPr>
          <w:color w:val="222222"/>
          <w:highlight w:val="white"/>
        </w:rPr>
      </w:pPr>
      <w:r>
        <w:rPr>
          <w:color w:val="222222"/>
          <w:highlight w:val="white"/>
        </w:rPr>
        <w:t xml:space="preserve">Foote, A.D., Newton, J., Piertney, S.B., Willerslev, E. and Gilbert, M.T.P., 2009. Ecological, </w:t>
      </w:r>
      <w:proofErr w:type="gramStart"/>
      <w:r>
        <w:rPr>
          <w:color w:val="222222"/>
          <w:highlight w:val="white"/>
        </w:rPr>
        <w:t>morphological</w:t>
      </w:r>
      <w:proofErr w:type="gramEnd"/>
      <w:r>
        <w:rPr>
          <w:color w:val="222222"/>
          <w:highlight w:val="white"/>
        </w:rPr>
        <w:t xml:space="preserve"> and genetic divergence of sympatric North Atlantic killer whale populations. </w:t>
      </w:r>
      <w:r>
        <w:rPr>
          <w:i/>
          <w:color w:val="222222"/>
          <w:highlight w:val="white"/>
        </w:rPr>
        <w:t>Molecular Ecology</w:t>
      </w:r>
      <w:r>
        <w:rPr>
          <w:color w:val="222222"/>
          <w:highlight w:val="white"/>
        </w:rPr>
        <w:t xml:space="preserve">, </w:t>
      </w:r>
      <w:r>
        <w:rPr>
          <w:i/>
          <w:color w:val="222222"/>
          <w:highlight w:val="white"/>
        </w:rPr>
        <w:t>18</w:t>
      </w:r>
      <w:r>
        <w:rPr>
          <w:color w:val="222222"/>
          <w:highlight w:val="white"/>
        </w:rPr>
        <w:t xml:space="preserve">(24), pp.5207-5217. </w:t>
      </w:r>
      <w:hyperlink r:id="rId127">
        <w:r>
          <w:rPr>
            <w:color w:val="1155CC"/>
            <w:highlight w:val="white"/>
            <w:u w:val="single"/>
          </w:rPr>
          <w:t>https://doi.org/10.1111/j.1365-294X.2009.04407.x</w:t>
        </w:r>
      </w:hyperlink>
      <w:r>
        <w:rPr>
          <w:color w:val="222222"/>
          <w:highlight w:val="white"/>
        </w:rPr>
        <w:t xml:space="preserve"> </w:t>
      </w:r>
    </w:p>
    <w:p w14:paraId="2330F4D9" w14:textId="77777777" w:rsidR="007B149A" w:rsidRDefault="000E054D">
      <w:pPr>
        <w:spacing w:before="240" w:after="240" w:line="360" w:lineRule="auto"/>
        <w:ind w:left="360"/>
        <w:rPr>
          <w:color w:val="222222"/>
          <w:highlight w:val="white"/>
        </w:rPr>
      </w:pPr>
      <w:r>
        <w:rPr>
          <w:color w:val="222222"/>
          <w:highlight w:val="white"/>
        </w:rPr>
        <w:t xml:space="preserve">Forero, M.G., Hobson, K.A., Bortolotti, G.R., Donázar, J.A., Bertellotti, M. and Blanco, G., 2002. Food resource utilisation by the Magellanic penguin evaluated through stable-isotope analysis: segregation by sex and age and influence on offspring quality. </w:t>
      </w:r>
      <w:r>
        <w:rPr>
          <w:i/>
          <w:color w:val="222222"/>
          <w:highlight w:val="white"/>
        </w:rPr>
        <w:t>Marine Ecology Progress Series</w:t>
      </w:r>
      <w:r>
        <w:rPr>
          <w:color w:val="222222"/>
          <w:highlight w:val="white"/>
        </w:rPr>
        <w:t xml:space="preserve">, </w:t>
      </w:r>
      <w:r>
        <w:rPr>
          <w:i/>
          <w:color w:val="222222"/>
          <w:highlight w:val="white"/>
        </w:rPr>
        <w:t>234</w:t>
      </w:r>
      <w:r>
        <w:rPr>
          <w:color w:val="222222"/>
          <w:highlight w:val="white"/>
        </w:rPr>
        <w:t xml:space="preserve">, pp.289-299. </w:t>
      </w:r>
      <w:hyperlink r:id="rId128">
        <w:r>
          <w:rPr>
            <w:color w:val="1155CC"/>
            <w:highlight w:val="white"/>
            <w:u w:val="single"/>
          </w:rPr>
          <w:t>https://doi.org/10.3354/meps234289</w:t>
        </w:r>
      </w:hyperlink>
      <w:r>
        <w:rPr>
          <w:color w:val="222222"/>
          <w:highlight w:val="white"/>
        </w:rPr>
        <w:t xml:space="preserve"> </w:t>
      </w:r>
    </w:p>
    <w:p w14:paraId="2330F4DA" w14:textId="77777777" w:rsidR="007B149A" w:rsidRDefault="000E054D">
      <w:pPr>
        <w:spacing w:before="240" w:after="240" w:line="360" w:lineRule="auto"/>
        <w:ind w:left="360"/>
        <w:rPr>
          <w:color w:val="222222"/>
          <w:highlight w:val="white"/>
        </w:rPr>
      </w:pPr>
      <w:r>
        <w:rPr>
          <w:color w:val="222222"/>
          <w:highlight w:val="white"/>
        </w:rPr>
        <w:lastRenderedPageBreak/>
        <w:t xml:space="preserve">Forero, M.G., González-Solís, J., Hobson, K.A., Donázar, J.A., Bertellotti, M., Blanco, G. and Bortolotti, G.R., 2005. Stable isotopes reveal trophic segregation by sex and age in the southern giant petrel in two different food webs. </w:t>
      </w:r>
      <w:r>
        <w:rPr>
          <w:i/>
          <w:color w:val="222222"/>
          <w:highlight w:val="white"/>
        </w:rPr>
        <w:t>Marine Ecology Progress Series</w:t>
      </w:r>
      <w:r>
        <w:rPr>
          <w:color w:val="222222"/>
          <w:highlight w:val="white"/>
        </w:rPr>
        <w:t xml:space="preserve">, </w:t>
      </w:r>
      <w:r>
        <w:rPr>
          <w:i/>
          <w:color w:val="222222"/>
          <w:highlight w:val="white"/>
        </w:rPr>
        <w:t>296</w:t>
      </w:r>
      <w:r>
        <w:rPr>
          <w:color w:val="222222"/>
          <w:highlight w:val="white"/>
        </w:rPr>
        <w:t xml:space="preserve">, pp.107-113. </w:t>
      </w:r>
      <w:hyperlink r:id="rId129">
        <w:r>
          <w:rPr>
            <w:color w:val="1155CC"/>
            <w:highlight w:val="white"/>
            <w:u w:val="single"/>
          </w:rPr>
          <w:t>https://doi.org/10.3354/meps296107</w:t>
        </w:r>
      </w:hyperlink>
      <w:r>
        <w:rPr>
          <w:color w:val="222222"/>
          <w:highlight w:val="white"/>
        </w:rPr>
        <w:t xml:space="preserve"> </w:t>
      </w:r>
    </w:p>
    <w:p w14:paraId="2330F4DB" w14:textId="77777777" w:rsidR="007B149A" w:rsidRDefault="000E054D">
      <w:pPr>
        <w:spacing w:before="240" w:after="240" w:line="360" w:lineRule="auto"/>
        <w:ind w:left="360"/>
        <w:rPr>
          <w:color w:val="222222"/>
          <w:highlight w:val="white"/>
        </w:rPr>
      </w:pPr>
      <w:r>
        <w:rPr>
          <w:color w:val="222222"/>
          <w:highlight w:val="white"/>
        </w:rPr>
        <w:t xml:space="preserve">Forero, M.G., González-Solis, J., Igual, J.M., Hobson, K.A., Ruíz, X. and Viscor, G., 2006. Ecological and physiological variance in T-cell mediated immune response in Cory's shearwaters. </w:t>
      </w:r>
      <w:r>
        <w:rPr>
          <w:i/>
          <w:color w:val="222222"/>
          <w:highlight w:val="white"/>
        </w:rPr>
        <w:t>The Condor</w:t>
      </w:r>
      <w:r>
        <w:rPr>
          <w:color w:val="222222"/>
          <w:highlight w:val="white"/>
        </w:rPr>
        <w:t xml:space="preserve">, </w:t>
      </w:r>
      <w:r>
        <w:rPr>
          <w:i/>
          <w:color w:val="222222"/>
          <w:highlight w:val="white"/>
        </w:rPr>
        <w:t>108</w:t>
      </w:r>
      <w:r>
        <w:rPr>
          <w:color w:val="222222"/>
          <w:highlight w:val="white"/>
        </w:rPr>
        <w:t xml:space="preserve">(4), pp.865-876. </w:t>
      </w:r>
      <w:hyperlink r:id="rId130">
        <w:r>
          <w:rPr>
            <w:color w:val="1155CC"/>
            <w:highlight w:val="white"/>
            <w:u w:val="single"/>
          </w:rPr>
          <w:t>https://doi.org/10.1093/condor/108.4.865</w:t>
        </w:r>
      </w:hyperlink>
      <w:r>
        <w:rPr>
          <w:color w:val="222222"/>
          <w:highlight w:val="white"/>
        </w:rPr>
        <w:t xml:space="preserve"> </w:t>
      </w:r>
    </w:p>
    <w:p w14:paraId="2330F4DC" w14:textId="77777777" w:rsidR="007B149A" w:rsidRDefault="000E054D">
      <w:pPr>
        <w:spacing w:before="240" w:after="240" w:line="360" w:lineRule="auto"/>
        <w:ind w:left="360"/>
        <w:rPr>
          <w:color w:val="222222"/>
          <w:highlight w:val="white"/>
        </w:rPr>
      </w:pPr>
      <w:r>
        <w:rPr>
          <w:color w:val="222222"/>
          <w:highlight w:val="white"/>
        </w:rPr>
        <w:t xml:space="preserve">Fortin, J.K., Schwartz, C.C., Gunther, K.A., Teisberg, J.E., Haroldson, M.A., Evans, </w:t>
      </w:r>
      <w:proofErr w:type="gramStart"/>
      <w:r>
        <w:rPr>
          <w:color w:val="222222"/>
          <w:highlight w:val="white"/>
        </w:rPr>
        <w:t>M.A.</w:t>
      </w:r>
      <w:proofErr w:type="gramEnd"/>
      <w:r>
        <w:rPr>
          <w:color w:val="222222"/>
          <w:highlight w:val="white"/>
        </w:rPr>
        <w:t xml:space="preserve"> and Robbins, C.T., 2013. Dietary adjustability of grizzly bears and American black bears in Yellowstone National Park. </w:t>
      </w:r>
      <w:r>
        <w:rPr>
          <w:i/>
          <w:color w:val="222222"/>
          <w:highlight w:val="white"/>
        </w:rPr>
        <w:t>The Journal of wildlife management</w:t>
      </w:r>
      <w:r>
        <w:rPr>
          <w:color w:val="222222"/>
          <w:highlight w:val="white"/>
        </w:rPr>
        <w:t xml:space="preserve">, </w:t>
      </w:r>
      <w:r>
        <w:rPr>
          <w:i/>
          <w:color w:val="222222"/>
          <w:highlight w:val="white"/>
        </w:rPr>
        <w:t>77</w:t>
      </w:r>
      <w:r>
        <w:rPr>
          <w:color w:val="222222"/>
          <w:highlight w:val="white"/>
        </w:rPr>
        <w:t xml:space="preserve">(2), pp.270-281. </w:t>
      </w:r>
      <w:hyperlink r:id="rId131">
        <w:r>
          <w:rPr>
            <w:color w:val="1155CC"/>
            <w:highlight w:val="white"/>
            <w:u w:val="single"/>
          </w:rPr>
          <w:t>https://doi.org/10.1002/jwmg.483</w:t>
        </w:r>
      </w:hyperlink>
      <w:r>
        <w:rPr>
          <w:color w:val="222222"/>
          <w:highlight w:val="white"/>
        </w:rPr>
        <w:t xml:space="preserve"> </w:t>
      </w:r>
    </w:p>
    <w:p w14:paraId="2330F4DD" w14:textId="77777777" w:rsidR="007B149A" w:rsidRDefault="000E054D">
      <w:pPr>
        <w:spacing w:before="240" w:after="240" w:line="360" w:lineRule="auto"/>
        <w:ind w:left="360"/>
        <w:rPr>
          <w:color w:val="222222"/>
          <w:highlight w:val="white"/>
        </w:rPr>
      </w:pPr>
      <w:r>
        <w:rPr>
          <w:color w:val="222222"/>
          <w:highlight w:val="white"/>
        </w:rPr>
        <w:t xml:space="preserve">French, G.C.A., Rizzuto, S., Stürup, M., Inger, R., Barker, S., van Wyk, J.H., Towner, A.V. and Hughes, W.O.H., 2018. Sex, </w:t>
      </w:r>
      <w:proofErr w:type="gramStart"/>
      <w:r>
        <w:rPr>
          <w:color w:val="222222"/>
          <w:highlight w:val="white"/>
        </w:rPr>
        <w:t>size</w:t>
      </w:r>
      <w:proofErr w:type="gramEnd"/>
      <w:r>
        <w:rPr>
          <w:color w:val="222222"/>
          <w:highlight w:val="white"/>
        </w:rPr>
        <w:t xml:space="preserve"> and isotopes: cryptic trophic ecology of an apex predator, the white shark Carcharodon carcharias. </w:t>
      </w:r>
      <w:r>
        <w:rPr>
          <w:i/>
          <w:color w:val="222222"/>
          <w:highlight w:val="white"/>
        </w:rPr>
        <w:t>Marine biology</w:t>
      </w:r>
      <w:r>
        <w:rPr>
          <w:color w:val="222222"/>
          <w:highlight w:val="white"/>
        </w:rPr>
        <w:t xml:space="preserve">, </w:t>
      </w:r>
      <w:r>
        <w:rPr>
          <w:i/>
          <w:color w:val="222222"/>
          <w:highlight w:val="white"/>
        </w:rPr>
        <w:t>165</w:t>
      </w:r>
      <w:r>
        <w:rPr>
          <w:color w:val="222222"/>
          <w:highlight w:val="white"/>
        </w:rPr>
        <w:t xml:space="preserve">(6), pp.1-11. </w:t>
      </w:r>
      <w:hyperlink r:id="rId132">
        <w:r>
          <w:rPr>
            <w:color w:val="1155CC"/>
            <w:highlight w:val="white"/>
            <w:u w:val="single"/>
          </w:rPr>
          <w:t>https://doi.org/10.1007/s00227-018-3343-x</w:t>
        </w:r>
      </w:hyperlink>
      <w:r>
        <w:rPr>
          <w:color w:val="222222"/>
          <w:highlight w:val="white"/>
        </w:rPr>
        <w:t xml:space="preserve"> </w:t>
      </w:r>
    </w:p>
    <w:p w14:paraId="2330F4DE" w14:textId="77777777" w:rsidR="007B149A" w:rsidRDefault="000E054D">
      <w:pPr>
        <w:spacing w:before="240" w:after="240" w:line="360" w:lineRule="auto"/>
        <w:ind w:left="360"/>
        <w:rPr>
          <w:color w:val="222222"/>
          <w:highlight w:val="white"/>
        </w:rPr>
      </w:pPr>
      <w:r>
        <w:rPr>
          <w:color w:val="222222"/>
          <w:highlight w:val="white"/>
        </w:rPr>
        <w:t xml:space="preserve">Friesen, O.C., Roth, J.D. and Graham, L.C., 2015. Sex-biased parasitism in monogamous arctic foxes is driven by diet. </w:t>
      </w:r>
      <w:r>
        <w:rPr>
          <w:i/>
          <w:color w:val="222222"/>
          <w:highlight w:val="white"/>
        </w:rPr>
        <w:t>Journal of Mammalogy</w:t>
      </w:r>
      <w:r>
        <w:rPr>
          <w:color w:val="222222"/>
          <w:highlight w:val="white"/>
        </w:rPr>
        <w:t xml:space="preserve">, </w:t>
      </w:r>
      <w:r>
        <w:rPr>
          <w:i/>
          <w:color w:val="222222"/>
          <w:highlight w:val="white"/>
        </w:rPr>
        <w:t>96</w:t>
      </w:r>
      <w:r>
        <w:rPr>
          <w:color w:val="222222"/>
          <w:highlight w:val="white"/>
        </w:rPr>
        <w:t xml:space="preserve">(2), pp.417-424. </w:t>
      </w:r>
      <w:hyperlink r:id="rId133">
        <w:r>
          <w:rPr>
            <w:color w:val="1155CC"/>
            <w:highlight w:val="white"/>
            <w:u w:val="single"/>
          </w:rPr>
          <w:t>https://doi.org/10.1093/jmammal/gyv043</w:t>
        </w:r>
      </w:hyperlink>
      <w:r>
        <w:rPr>
          <w:color w:val="222222"/>
          <w:highlight w:val="white"/>
        </w:rPr>
        <w:t xml:space="preserve"> </w:t>
      </w:r>
    </w:p>
    <w:p w14:paraId="2330F4DF" w14:textId="77777777" w:rsidR="007B149A" w:rsidRDefault="000E054D">
      <w:pPr>
        <w:spacing w:before="240" w:after="240" w:line="360" w:lineRule="auto"/>
        <w:ind w:left="360"/>
        <w:rPr>
          <w:color w:val="222222"/>
          <w:highlight w:val="white"/>
        </w:rPr>
      </w:pPr>
      <w:r>
        <w:rPr>
          <w:color w:val="222222"/>
          <w:highlight w:val="white"/>
        </w:rPr>
        <w:t xml:space="preserve">Gallagher, C.P. and Dick, T.A., 2011. Ecological characteristics of ninespine stickleback Pungitius pungitius from southern Baffin Island, Canada. </w:t>
      </w:r>
      <w:r>
        <w:rPr>
          <w:i/>
          <w:color w:val="222222"/>
          <w:highlight w:val="white"/>
        </w:rPr>
        <w:t>Ecology of Freshwater Fish</w:t>
      </w:r>
      <w:r>
        <w:rPr>
          <w:color w:val="222222"/>
          <w:highlight w:val="white"/>
        </w:rPr>
        <w:t xml:space="preserve">, </w:t>
      </w:r>
      <w:r>
        <w:rPr>
          <w:i/>
          <w:color w:val="222222"/>
          <w:highlight w:val="white"/>
        </w:rPr>
        <w:t>20</w:t>
      </w:r>
      <w:r>
        <w:rPr>
          <w:color w:val="222222"/>
          <w:highlight w:val="white"/>
        </w:rPr>
        <w:t xml:space="preserve">(4), pp.646-655. </w:t>
      </w:r>
      <w:hyperlink r:id="rId134">
        <w:r>
          <w:rPr>
            <w:color w:val="1155CC"/>
            <w:highlight w:val="white"/>
            <w:u w:val="single"/>
          </w:rPr>
          <w:t>https://doi.org/10.1111/j.1600-0633.2011.00516.x</w:t>
        </w:r>
      </w:hyperlink>
      <w:r>
        <w:rPr>
          <w:color w:val="222222"/>
          <w:highlight w:val="white"/>
        </w:rPr>
        <w:t xml:space="preserve"> </w:t>
      </w:r>
    </w:p>
    <w:p w14:paraId="2330F4E0" w14:textId="77777777" w:rsidR="007B149A" w:rsidRDefault="000E054D">
      <w:pPr>
        <w:spacing w:before="240" w:after="240" w:line="360" w:lineRule="auto"/>
        <w:ind w:left="360"/>
        <w:rPr>
          <w:color w:val="222222"/>
          <w:highlight w:val="white"/>
        </w:rPr>
      </w:pPr>
      <w:r>
        <w:rPr>
          <w:color w:val="222222"/>
          <w:highlight w:val="white"/>
        </w:rPr>
        <w:t xml:space="preserve">García, K., Sanpera, C., Jover, L., Palazón, S., Gosálbez, J., Górski, K. and Melero, Y., 2020. High Trophic Niche Overlap between a Native and Invasive Mink Does Not Drive Trophic Displacement of the Native Mink during an Invasion Process. </w:t>
      </w:r>
      <w:r>
        <w:rPr>
          <w:i/>
          <w:color w:val="222222"/>
          <w:highlight w:val="white"/>
        </w:rPr>
        <w:t>Animals</w:t>
      </w:r>
      <w:r>
        <w:rPr>
          <w:color w:val="222222"/>
          <w:highlight w:val="white"/>
        </w:rPr>
        <w:t xml:space="preserve">, </w:t>
      </w:r>
      <w:r>
        <w:rPr>
          <w:i/>
          <w:color w:val="222222"/>
          <w:highlight w:val="white"/>
        </w:rPr>
        <w:t>10</w:t>
      </w:r>
      <w:r>
        <w:rPr>
          <w:color w:val="222222"/>
          <w:highlight w:val="white"/>
        </w:rPr>
        <w:t xml:space="preserve">(8), p.1387. </w:t>
      </w:r>
      <w:hyperlink r:id="rId135">
        <w:r>
          <w:rPr>
            <w:color w:val="1155CC"/>
            <w:highlight w:val="white"/>
            <w:u w:val="single"/>
          </w:rPr>
          <w:t>https://doi.org/10.3390/ani10081387</w:t>
        </w:r>
      </w:hyperlink>
      <w:r>
        <w:rPr>
          <w:color w:val="222222"/>
          <w:highlight w:val="white"/>
        </w:rPr>
        <w:t xml:space="preserve"> </w:t>
      </w:r>
    </w:p>
    <w:p w14:paraId="2330F4E1" w14:textId="77777777" w:rsidR="007B149A" w:rsidRDefault="000E054D">
      <w:pPr>
        <w:spacing w:before="240" w:after="240" w:line="360" w:lineRule="auto"/>
        <w:ind w:left="360"/>
        <w:rPr>
          <w:color w:val="222222"/>
          <w:highlight w:val="white"/>
        </w:rPr>
      </w:pPr>
      <w:r>
        <w:rPr>
          <w:color w:val="222222"/>
          <w:highlight w:val="white"/>
        </w:rPr>
        <w:lastRenderedPageBreak/>
        <w:t xml:space="preserve">Gavrilchuk, K., Lesage, V., Ramp, C., Sears, R., Bérubé, M., Bearhop, S. and Beauplet, G., 2014. Trophic niche partitioning among sympatric baleen whale species following the collapse of groundfish stocks in the Northwest Atlantic. </w:t>
      </w:r>
      <w:r>
        <w:rPr>
          <w:i/>
          <w:color w:val="222222"/>
          <w:highlight w:val="white"/>
        </w:rPr>
        <w:t>Marine Ecology Progress Series</w:t>
      </w:r>
      <w:r>
        <w:rPr>
          <w:color w:val="222222"/>
          <w:highlight w:val="white"/>
        </w:rPr>
        <w:t xml:space="preserve">, </w:t>
      </w:r>
      <w:r>
        <w:rPr>
          <w:i/>
          <w:color w:val="222222"/>
          <w:highlight w:val="white"/>
        </w:rPr>
        <w:t>497</w:t>
      </w:r>
      <w:r>
        <w:rPr>
          <w:color w:val="222222"/>
          <w:highlight w:val="white"/>
        </w:rPr>
        <w:t xml:space="preserve">, pp.285-301. </w:t>
      </w:r>
      <w:hyperlink r:id="rId136">
        <w:r>
          <w:rPr>
            <w:color w:val="1155CC"/>
            <w:highlight w:val="white"/>
            <w:u w:val="single"/>
          </w:rPr>
          <w:t>https://doi.org/10.3354/meps10578</w:t>
        </w:r>
      </w:hyperlink>
      <w:r>
        <w:rPr>
          <w:color w:val="222222"/>
          <w:highlight w:val="white"/>
        </w:rPr>
        <w:t xml:space="preserve"> </w:t>
      </w:r>
    </w:p>
    <w:p w14:paraId="2330F4E2" w14:textId="77777777" w:rsidR="007B149A" w:rsidRDefault="000E054D">
      <w:pPr>
        <w:spacing w:before="240" w:after="240" w:line="360" w:lineRule="auto"/>
        <w:ind w:left="360"/>
        <w:rPr>
          <w:color w:val="222222"/>
          <w:highlight w:val="white"/>
        </w:rPr>
      </w:pPr>
      <w:r>
        <w:rPr>
          <w:color w:val="222222"/>
          <w:highlight w:val="white"/>
        </w:rPr>
        <w:t xml:space="preserve">Genoves, R.C., Fruet, P.F., Botta, S., Beheregaray, L.B., Möller, L.M. and Secchi, E.R., 2020. Fine-scale genetic structure in Lahille’s bottlenose dolphins (Tursiops truncatus gephyreus) is associated with social structure and feeding ecology. </w:t>
      </w:r>
      <w:r>
        <w:rPr>
          <w:i/>
          <w:color w:val="222222"/>
          <w:highlight w:val="white"/>
        </w:rPr>
        <w:t>Marine Biology</w:t>
      </w:r>
      <w:r>
        <w:rPr>
          <w:color w:val="222222"/>
          <w:highlight w:val="white"/>
        </w:rPr>
        <w:t xml:space="preserve">, </w:t>
      </w:r>
      <w:r>
        <w:rPr>
          <w:i/>
          <w:color w:val="222222"/>
          <w:highlight w:val="white"/>
        </w:rPr>
        <w:t>167</w:t>
      </w:r>
      <w:r>
        <w:rPr>
          <w:color w:val="222222"/>
          <w:highlight w:val="white"/>
        </w:rPr>
        <w:t xml:space="preserve">(3), pp.1-16. </w:t>
      </w:r>
      <w:hyperlink r:id="rId137">
        <w:r>
          <w:rPr>
            <w:color w:val="1155CC"/>
            <w:highlight w:val="white"/>
            <w:u w:val="single"/>
          </w:rPr>
          <w:t>https://doi.org/10.1007/s00227-019-3638-6</w:t>
        </w:r>
      </w:hyperlink>
      <w:r>
        <w:rPr>
          <w:color w:val="222222"/>
          <w:highlight w:val="white"/>
        </w:rPr>
        <w:t xml:space="preserve"> </w:t>
      </w:r>
    </w:p>
    <w:p w14:paraId="2330F4E3" w14:textId="77777777" w:rsidR="007B149A" w:rsidRDefault="000E054D">
      <w:pPr>
        <w:spacing w:before="240" w:after="240" w:line="360" w:lineRule="auto"/>
        <w:ind w:left="360"/>
        <w:rPr>
          <w:color w:val="222222"/>
          <w:highlight w:val="white"/>
        </w:rPr>
      </w:pPr>
      <w:r>
        <w:rPr>
          <w:color w:val="222222"/>
          <w:highlight w:val="white"/>
        </w:rPr>
        <w:t xml:space="preserve">Giménez, J., Cañadas, A., Ramírez, F., Afán, I., García-Tiscar, S., Fernández-Maldonado, C., Castillo, J.J. and de Stephanis, R., 2017. Intra-and interspecific niche partitioning in striped and common dolphins inhabiting the southwestern Mediterranean Sea. </w:t>
      </w:r>
      <w:r>
        <w:rPr>
          <w:i/>
          <w:color w:val="222222"/>
          <w:highlight w:val="white"/>
        </w:rPr>
        <w:t>Marine Ecology Progress Series</w:t>
      </w:r>
      <w:r>
        <w:rPr>
          <w:color w:val="222222"/>
          <w:highlight w:val="white"/>
        </w:rPr>
        <w:t xml:space="preserve">, </w:t>
      </w:r>
      <w:r>
        <w:rPr>
          <w:i/>
          <w:color w:val="222222"/>
          <w:highlight w:val="white"/>
        </w:rPr>
        <w:t>567</w:t>
      </w:r>
      <w:r>
        <w:rPr>
          <w:color w:val="222222"/>
          <w:highlight w:val="white"/>
        </w:rPr>
        <w:t xml:space="preserve">, pp.199-210. </w:t>
      </w:r>
      <w:hyperlink r:id="rId138">
        <w:r>
          <w:rPr>
            <w:color w:val="1155CC"/>
            <w:highlight w:val="white"/>
            <w:u w:val="single"/>
          </w:rPr>
          <w:t>https://doi.org/10.3354/meps12046</w:t>
        </w:r>
      </w:hyperlink>
      <w:r>
        <w:rPr>
          <w:color w:val="222222"/>
          <w:highlight w:val="white"/>
        </w:rPr>
        <w:t xml:space="preserve"> </w:t>
      </w:r>
    </w:p>
    <w:p w14:paraId="2330F4E4" w14:textId="77777777" w:rsidR="007B149A" w:rsidRDefault="000E054D">
      <w:pPr>
        <w:spacing w:before="240" w:after="240" w:line="360" w:lineRule="auto"/>
        <w:ind w:left="360"/>
        <w:rPr>
          <w:color w:val="222222"/>
          <w:highlight w:val="white"/>
        </w:rPr>
      </w:pPr>
      <w:r>
        <w:rPr>
          <w:color w:val="222222"/>
          <w:highlight w:val="white"/>
        </w:rPr>
        <w:t xml:space="preserve">González-Medina, E., Castillo-Guerrero, J.A., Herzka, S.Z. and Fernández, G., 2017. Flexibility in food resource allocation in parents and selectivity for offspring: variations in δ 15 N and δ 13 C values during breeding of the blue-footed booby. </w:t>
      </w:r>
      <w:r>
        <w:rPr>
          <w:i/>
          <w:color w:val="222222"/>
          <w:highlight w:val="white"/>
        </w:rPr>
        <w:t>Marine Biology</w:t>
      </w:r>
      <w:r>
        <w:rPr>
          <w:color w:val="222222"/>
          <w:highlight w:val="white"/>
        </w:rPr>
        <w:t xml:space="preserve">, </w:t>
      </w:r>
      <w:r>
        <w:rPr>
          <w:i/>
          <w:color w:val="222222"/>
          <w:highlight w:val="white"/>
        </w:rPr>
        <w:t>164</w:t>
      </w:r>
      <w:r>
        <w:rPr>
          <w:color w:val="222222"/>
          <w:highlight w:val="white"/>
        </w:rPr>
        <w:t xml:space="preserve">(3), p.38. </w:t>
      </w:r>
      <w:hyperlink r:id="rId139">
        <w:r>
          <w:rPr>
            <w:color w:val="1155CC"/>
            <w:highlight w:val="white"/>
            <w:u w:val="single"/>
          </w:rPr>
          <w:t>https://doi.org/10.1007/s00227-017-3070-8</w:t>
        </w:r>
      </w:hyperlink>
      <w:r>
        <w:rPr>
          <w:color w:val="222222"/>
          <w:highlight w:val="white"/>
        </w:rPr>
        <w:t xml:space="preserve"> </w:t>
      </w:r>
    </w:p>
    <w:p w14:paraId="2330F4E5" w14:textId="77777777" w:rsidR="007B149A" w:rsidRDefault="000E054D">
      <w:pPr>
        <w:spacing w:before="240" w:after="240" w:line="360" w:lineRule="auto"/>
        <w:ind w:left="360"/>
        <w:rPr>
          <w:color w:val="222222"/>
          <w:highlight w:val="white"/>
        </w:rPr>
      </w:pPr>
      <w:r>
        <w:rPr>
          <w:color w:val="222222"/>
          <w:highlight w:val="white"/>
        </w:rPr>
        <w:t xml:space="preserve">Goodwin, C.E., Swan, G.J., Hodgson, D.J., Bailey, S., Chanin, P. and McDonald, R.A., 2020. Effects of food availability on the trophic niche of the hazel dormouse Muscardinus avellanarius. </w:t>
      </w:r>
      <w:r>
        <w:rPr>
          <w:i/>
          <w:color w:val="222222"/>
          <w:highlight w:val="white"/>
        </w:rPr>
        <w:t>Forest Ecology and Management</w:t>
      </w:r>
      <w:r>
        <w:rPr>
          <w:color w:val="222222"/>
          <w:highlight w:val="white"/>
        </w:rPr>
        <w:t xml:space="preserve">, </w:t>
      </w:r>
      <w:r>
        <w:rPr>
          <w:i/>
          <w:color w:val="222222"/>
          <w:highlight w:val="white"/>
        </w:rPr>
        <w:t>470</w:t>
      </w:r>
      <w:r>
        <w:rPr>
          <w:color w:val="222222"/>
          <w:highlight w:val="white"/>
        </w:rPr>
        <w:t xml:space="preserve">, p.118215. </w:t>
      </w:r>
      <w:hyperlink r:id="rId140">
        <w:r>
          <w:rPr>
            <w:color w:val="1155CC"/>
            <w:highlight w:val="white"/>
            <w:u w:val="single"/>
          </w:rPr>
          <w:t>https://doi.org/10.1016/j.foreco.2020.118215</w:t>
        </w:r>
      </w:hyperlink>
      <w:r>
        <w:rPr>
          <w:color w:val="222222"/>
          <w:highlight w:val="white"/>
        </w:rPr>
        <w:t xml:space="preserve"> </w:t>
      </w:r>
    </w:p>
    <w:p w14:paraId="2330F4E6" w14:textId="77777777" w:rsidR="007B149A" w:rsidRDefault="000E054D">
      <w:pPr>
        <w:spacing w:before="240" w:after="240" w:line="360" w:lineRule="auto"/>
        <w:ind w:left="360"/>
        <w:rPr>
          <w:color w:val="222222"/>
          <w:highlight w:val="white"/>
        </w:rPr>
      </w:pPr>
      <w:r>
        <w:rPr>
          <w:color w:val="222222"/>
          <w:highlight w:val="white"/>
        </w:rPr>
        <w:t xml:space="preserve">Gorman, K.B., Williams, T.D. and Fraser, W.R., 2014. Ecological sexual dimorphism and environmental variability within a community of Antarctic penguins (genus Pygoscelis). </w:t>
      </w:r>
      <w:r>
        <w:rPr>
          <w:i/>
          <w:color w:val="222222"/>
          <w:highlight w:val="white"/>
        </w:rPr>
        <w:t>PloS one</w:t>
      </w:r>
      <w:r>
        <w:rPr>
          <w:color w:val="222222"/>
          <w:highlight w:val="white"/>
        </w:rPr>
        <w:t xml:space="preserve">, </w:t>
      </w:r>
      <w:r>
        <w:rPr>
          <w:i/>
          <w:color w:val="222222"/>
          <w:highlight w:val="white"/>
        </w:rPr>
        <w:t>9</w:t>
      </w:r>
      <w:r>
        <w:rPr>
          <w:color w:val="222222"/>
          <w:highlight w:val="white"/>
        </w:rPr>
        <w:t xml:space="preserve">(3), p.e90081. </w:t>
      </w:r>
      <w:hyperlink r:id="rId141">
        <w:r>
          <w:rPr>
            <w:color w:val="1155CC"/>
            <w:highlight w:val="white"/>
            <w:u w:val="single"/>
          </w:rPr>
          <w:t>https://doi.org/10.1371/journal.pone.0090081</w:t>
        </w:r>
      </w:hyperlink>
      <w:r>
        <w:rPr>
          <w:color w:val="222222"/>
          <w:highlight w:val="white"/>
        </w:rPr>
        <w:t xml:space="preserve"> </w:t>
      </w:r>
    </w:p>
    <w:p w14:paraId="2330F4E7" w14:textId="77777777" w:rsidR="007B149A" w:rsidRDefault="000E054D">
      <w:pPr>
        <w:spacing w:before="240" w:after="240" w:line="360" w:lineRule="auto"/>
        <w:ind w:left="360"/>
        <w:rPr>
          <w:color w:val="222222"/>
          <w:highlight w:val="white"/>
        </w:rPr>
      </w:pPr>
      <w:r>
        <w:rPr>
          <w:color w:val="222222"/>
          <w:highlight w:val="white"/>
        </w:rPr>
        <w:t xml:space="preserve">Hamilton, S.L., Newsome, S.D. and Caselle, J.E., 2014. Dietary niche expansion of a kelp forest predator recovering from intense commercial exploitation. </w:t>
      </w:r>
      <w:r>
        <w:rPr>
          <w:i/>
          <w:color w:val="222222"/>
          <w:highlight w:val="white"/>
        </w:rPr>
        <w:t>Ecology</w:t>
      </w:r>
      <w:r>
        <w:rPr>
          <w:color w:val="222222"/>
          <w:highlight w:val="white"/>
        </w:rPr>
        <w:t xml:space="preserve">, </w:t>
      </w:r>
      <w:r>
        <w:rPr>
          <w:i/>
          <w:color w:val="222222"/>
          <w:highlight w:val="white"/>
        </w:rPr>
        <w:t>95</w:t>
      </w:r>
      <w:r>
        <w:rPr>
          <w:color w:val="222222"/>
          <w:highlight w:val="white"/>
        </w:rPr>
        <w:t xml:space="preserve">(1), pp.164-172. </w:t>
      </w:r>
      <w:hyperlink r:id="rId142">
        <w:r>
          <w:rPr>
            <w:color w:val="1155CC"/>
            <w:highlight w:val="white"/>
            <w:u w:val="single"/>
          </w:rPr>
          <w:t>https://doi.org/10.1890/13-0014.1</w:t>
        </w:r>
      </w:hyperlink>
      <w:r>
        <w:rPr>
          <w:color w:val="222222"/>
          <w:highlight w:val="white"/>
        </w:rPr>
        <w:t xml:space="preserve"> </w:t>
      </w:r>
    </w:p>
    <w:p w14:paraId="2330F4E8" w14:textId="77777777" w:rsidR="007B149A" w:rsidRDefault="000E054D">
      <w:pPr>
        <w:spacing w:before="240" w:after="240" w:line="360" w:lineRule="auto"/>
        <w:ind w:left="360"/>
        <w:rPr>
          <w:color w:val="222222"/>
          <w:highlight w:val="white"/>
        </w:rPr>
      </w:pPr>
      <w:r>
        <w:rPr>
          <w:color w:val="222222"/>
          <w:highlight w:val="white"/>
        </w:rPr>
        <w:lastRenderedPageBreak/>
        <w:t xml:space="preserve">Harris, S., Samaniego, R.A.S. and Rey, A.R., 2016. Insights into diet and foraging behavior of imperial shags (Phalacrocorax atriceps) breeding at Staten and Becasses Islands, Tierra del Fuego, Argentina. </w:t>
      </w:r>
      <w:r>
        <w:rPr>
          <w:i/>
          <w:color w:val="222222"/>
          <w:highlight w:val="white"/>
        </w:rPr>
        <w:t>The Wilson Journal of Ornithology</w:t>
      </w:r>
      <w:r>
        <w:rPr>
          <w:color w:val="222222"/>
          <w:highlight w:val="white"/>
        </w:rPr>
        <w:t xml:space="preserve">, </w:t>
      </w:r>
      <w:r>
        <w:rPr>
          <w:i/>
          <w:color w:val="222222"/>
          <w:highlight w:val="white"/>
        </w:rPr>
        <w:t>128</w:t>
      </w:r>
      <w:r>
        <w:rPr>
          <w:color w:val="222222"/>
          <w:highlight w:val="white"/>
        </w:rPr>
        <w:t xml:space="preserve">(4), pp.811-820. </w:t>
      </w:r>
      <w:hyperlink r:id="rId143">
        <w:r>
          <w:rPr>
            <w:color w:val="1155CC"/>
            <w:highlight w:val="white"/>
            <w:u w:val="single"/>
          </w:rPr>
          <w:t>https://doi.org/10.1676/15-141.1</w:t>
        </w:r>
      </w:hyperlink>
      <w:r>
        <w:rPr>
          <w:color w:val="222222"/>
          <w:highlight w:val="white"/>
        </w:rPr>
        <w:t xml:space="preserve"> </w:t>
      </w:r>
    </w:p>
    <w:p w14:paraId="2330F4E9" w14:textId="77777777" w:rsidR="007B149A" w:rsidRDefault="000E054D">
      <w:pPr>
        <w:spacing w:before="240" w:after="240" w:line="360" w:lineRule="auto"/>
        <w:ind w:left="360"/>
        <w:rPr>
          <w:color w:val="222222"/>
          <w:highlight w:val="white"/>
        </w:rPr>
      </w:pPr>
      <w:r>
        <w:rPr>
          <w:color w:val="222222"/>
          <w:highlight w:val="white"/>
        </w:rPr>
        <w:t xml:space="preserve">Hernandez, K.M., Bogomolni, A.L., Moxley, J.H., Waring, G.T., DiGiovanni Jr, R.A., Hammill, M.O., Johnston, D.W., Sette, L. and Polito, M.J., 2019. Seasonal variability and individual consistency in gray seal (Halichoerus grypus) isotopic niches. </w:t>
      </w:r>
      <w:r>
        <w:rPr>
          <w:i/>
          <w:color w:val="222222"/>
          <w:highlight w:val="white"/>
        </w:rPr>
        <w:t>Canadian Journal of Zoology</w:t>
      </w:r>
      <w:r>
        <w:rPr>
          <w:color w:val="222222"/>
          <w:highlight w:val="white"/>
        </w:rPr>
        <w:t xml:space="preserve">, </w:t>
      </w:r>
      <w:r>
        <w:rPr>
          <w:i/>
          <w:color w:val="222222"/>
          <w:highlight w:val="white"/>
        </w:rPr>
        <w:t>97</w:t>
      </w:r>
      <w:r>
        <w:rPr>
          <w:color w:val="222222"/>
          <w:highlight w:val="white"/>
        </w:rPr>
        <w:t xml:space="preserve">(11), pp.1071-1077. </w:t>
      </w:r>
      <w:hyperlink r:id="rId144">
        <w:r>
          <w:rPr>
            <w:color w:val="1155CC"/>
            <w:highlight w:val="white"/>
            <w:u w:val="single"/>
          </w:rPr>
          <w:t>https://doi.org/10.1139/cjz-2019-0032</w:t>
        </w:r>
      </w:hyperlink>
      <w:r>
        <w:rPr>
          <w:color w:val="222222"/>
          <w:highlight w:val="white"/>
        </w:rPr>
        <w:t xml:space="preserve"> </w:t>
      </w:r>
    </w:p>
    <w:p w14:paraId="2330F4EA" w14:textId="77777777" w:rsidR="007B149A" w:rsidRDefault="000E054D">
      <w:pPr>
        <w:spacing w:before="240" w:after="240" w:line="360" w:lineRule="auto"/>
        <w:ind w:left="360"/>
        <w:rPr>
          <w:color w:val="222222"/>
          <w:highlight w:val="white"/>
        </w:rPr>
      </w:pPr>
      <w:r>
        <w:rPr>
          <w:color w:val="222222"/>
          <w:highlight w:val="white"/>
        </w:rPr>
        <w:t xml:space="preserve">Hetherington, E.D., Kurle, C.M., Benson, S.R., Jones, T.T. and Seminoff, J.A., 2019. Re-examining trophic dead ends: stable isotope values link gelatinous zooplankton to leatherback turtles in the California Current. </w:t>
      </w:r>
      <w:r>
        <w:rPr>
          <w:i/>
          <w:color w:val="222222"/>
          <w:highlight w:val="white"/>
        </w:rPr>
        <w:t>Marine Ecology Progress Series</w:t>
      </w:r>
      <w:r>
        <w:rPr>
          <w:color w:val="222222"/>
          <w:highlight w:val="white"/>
        </w:rPr>
        <w:t xml:space="preserve">, </w:t>
      </w:r>
      <w:r>
        <w:rPr>
          <w:i/>
          <w:color w:val="222222"/>
          <w:highlight w:val="white"/>
        </w:rPr>
        <w:t>632</w:t>
      </w:r>
      <w:r>
        <w:rPr>
          <w:color w:val="222222"/>
          <w:highlight w:val="white"/>
        </w:rPr>
        <w:t xml:space="preserve">, pp.205-219. </w:t>
      </w:r>
      <w:hyperlink r:id="rId145">
        <w:r>
          <w:rPr>
            <w:color w:val="1155CC"/>
            <w:highlight w:val="white"/>
            <w:u w:val="single"/>
          </w:rPr>
          <w:t>https://doi.org/10.3354/meps13117</w:t>
        </w:r>
      </w:hyperlink>
      <w:r>
        <w:rPr>
          <w:color w:val="222222"/>
          <w:highlight w:val="white"/>
        </w:rPr>
        <w:t xml:space="preserve"> </w:t>
      </w:r>
    </w:p>
    <w:p w14:paraId="2330F4EB" w14:textId="77777777" w:rsidR="007B149A" w:rsidRDefault="000E054D">
      <w:pPr>
        <w:spacing w:before="240" w:after="240" w:line="360" w:lineRule="auto"/>
        <w:ind w:left="360"/>
        <w:rPr>
          <w:color w:val="222222"/>
          <w:highlight w:val="white"/>
        </w:rPr>
      </w:pPr>
      <w:r>
        <w:rPr>
          <w:color w:val="222222"/>
          <w:highlight w:val="white"/>
        </w:rPr>
        <w:t xml:space="preserve">Hopkins III, J.B. and Kurle, C.M., 2016. Measuring the realized niches of animals using stable isotopes: from rats to bears. </w:t>
      </w:r>
      <w:r>
        <w:rPr>
          <w:i/>
          <w:color w:val="222222"/>
          <w:highlight w:val="white"/>
        </w:rPr>
        <w:t>Methods in Ecology and Evolution</w:t>
      </w:r>
      <w:r>
        <w:rPr>
          <w:color w:val="222222"/>
          <w:highlight w:val="white"/>
        </w:rPr>
        <w:t xml:space="preserve">, </w:t>
      </w:r>
      <w:r>
        <w:rPr>
          <w:i/>
          <w:color w:val="222222"/>
          <w:highlight w:val="white"/>
        </w:rPr>
        <w:t>7</w:t>
      </w:r>
      <w:r>
        <w:rPr>
          <w:color w:val="222222"/>
          <w:highlight w:val="white"/>
        </w:rPr>
        <w:t>(2), pp.210-221.</w:t>
      </w:r>
      <w:hyperlink r:id="rId146">
        <w:r>
          <w:rPr>
            <w:color w:val="1155CC"/>
            <w:highlight w:val="white"/>
            <w:u w:val="single"/>
          </w:rPr>
          <w:t>https://doi.org/10.1111/2041-210X.12446</w:t>
        </w:r>
      </w:hyperlink>
      <w:r>
        <w:rPr>
          <w:color w:val="222222"/>
          <w:highlight w:val="white"/>
        </w:rPr>
        <w:t xml:space="preserve">  </w:t>
      </w:r>
    </w:p>
    <w:p w14:paraId="2330F4EC" w14:textId="77777777" w:rsidR="007B149A" w:rsidRDefault="000E054D">
      <w:pPr>
        <w:spacing w:before="240" w:after="240" w:line="360" w:lineRule="auto"/>
        <w:ind w:left="360"/>
        <w:rPr>
          <w:color w:val="222222"/>
          <w:highlight w:val="white"/>
        </w:rPr>
      </w:pPr>
      <w:r>
        <w:rPr>
          <w:color w:val="222222"/>
          <w:highlight w:val="white"/>
        </w:rPr>
        <w:t xml:space="preserve">Hsu, Y.C., Shaner, P.J., Chang, C.I., Ke, </w:t>
      </w:r>
      <w:proofErr w:type="gramStart"/>
      <w:r>
        <w:rPr>
          <w:color w:val="222222"/>
          <w:highlight w:val="white"/>
        </w:rPr>
        <w:t>L.</w:t>
      </w:r>
      <w:proofErr w:type="gramEnd"/>
      <w:r>
        <w:rPr>
          <w:color w:val="222222"/>
          <w:highlight w:val="white"/>
        </w:rPr>
        <w:t xml:space="preserve"> and Kao, S.J., 2014. Trophic niche width increases with bill‐size variation in a generalist passerine: a test of niche variation hypothesis. </w:t>
      </w:r>
      <w:r>
        <w:rPr>
          <w:i/>
          <w:color w:val="222222"/>
          <w:highlight w:val="white"/>
        </w:rPr>
        <w:t>Journal of Animal Ecology</w:t>
      </w:r>
      <w:r>
        <w:rPr>
          <w:color w:val="222222"/>
          <w:highlight w:val="white"/>
        </w:rPr>
        <w:t xml:space="preserve">, </w:t>
      </w:r>
      <w:r>
        <w:rPr>
          <w:i/>
          <w:color w:val="222222"/>
          <w:highlight w:val="white"/>
        </w:rPr>
        <w:t>83</w:t>
      </w:r>
      <w:r>
        <w:rPr>
          <w:color w:val="222222"/>
          <w:highlight w:val="white"/>
        </w:rPr>
        <w:t xml:space="preserve">(2), pp.450-459. </w:t>
      </w:r>
      <w:hyperlink r:id="rId147">
        <w:r>
          <w:rPr>
            <w:color w:val="1155CC"/>
            <w:highlight w:val="white"/>
            <w:u w:val="single"/>
          </w:rPr>
          <w:t>https://doi.org/10.1111/1365-2656.12152</w:t>
        </w:r>
      </w:hyperlink>
      <w:r>
        <w:rPr>
          <w:color w:val="222222"/>
          <w:highlight w:val="white"/>
        </w:rPr>
        <w:t xml:space="preserve"> </w:t>
      </w:r>
    </w:p>
    <w:p w14:paraId="2330F4ED" w14:textId="77777777" w:rsidR="007B149A" w:rsidRDefault="000E054D">
      <w:pPr>
        <w:spacing w:before="240" w:after="240" w:line="360" w:lineRule="auto"/>
        <w:ind w:left="360"/>
        <w:rPr>
          <w:color w:val="222222"/>
          <w:highlight w:val="white"/>
        </w:rPr>
      </w:pPr>
      <w:r>
        <w:rPr>
          <w:color w:val="222222"/>
          <w:highlight w:val="white"/>
        </w:rPr>
        <w:t xml:space="preserve">Ismar, S.M., Raubenheimer, D., Bury, S.J., Millar, C.D. and Hauber, M.E., 2017. Sex-specific foraging during parental care in a size-monomorphic seabird, the Australasian Gannet (Morus serrator). </w:t>
      </w:r>
      <w:r>
        <w:rPr>
          <w:i/>
          <w:color w:val="222222"/>
          <w:highlight w:val="white"/>
        </w:rPr>
        <w:t>The Wilson Journal of Ornithology</w:t>
      </w:r>
      <w:r>
        <w:rPr>
          <w:color w:val="222222"/>
          <w:highlight w:val="white"/>
        </w:rPr>
        <w:t xml:space="preserve">, </w:t>
      </w:r>
      <w:r>
        <w:rPr>
          <w:i/>
          <w:color w:val="222222"/>
          <w:highlight w:val="white"/>
        </w:rPr>
        <w:t>129</w:t>
      </w:r>
      <w:r>
        <w:rPr>
          <w:color w:val="222222"/>
          <w:highlight w:val="white"/>
        </w:rPr>
        <w:t xml:space="preserve">(1), pp.139-147. </w:t>
      </w:r>
      <w:hyperlink r:id="rId148">
        <w:r>
          <w:rPr>
            <w:color w:val="1155CC"/>
            <w:highlight w:val="white"/>
            <w:u w:val="single"/>
          </w:rPr>
          <w:t>https://doi.org/10.1676/1559-4491-129.1.139</w:t>
        </w:r>
      </w:hyperlink>
      <w:r>
        <w:rPr>
          <w:color w:val="222222"/>
          <w:highlight w:val="white"/>
        </w:rPr>
        <w:t xml:space="preserve"> </w:t>
      </w:r>
    </w:p>
    <w:p w14:paraId="2330F4EE" w14:textId="77777777" w:rsidR="007B149A" w:rsidRDefault="000E054D">
      <w:pPr>
        <w:spacing w:before="240" w:after="240" w:line="360" w:lineRule="auto"/>
        <w:ind w:left="360"/>
        <w:rPr>
          <w:color w:val="222222"/>
          <w:highlight w:val="white"/>
        </w:rPr>
      </w:pPr>
      <w:r>
        <w:rPr>
          <w:color w:val="222222"/>
          <w:highlight w:val="white"/>
        </w:rPr>
        <w:t xml:space="preserve">Jaeger, A., Goutte, A., Lecomte, V.J., Richard, P., Chastel, O., Barbraud, C., Weimerskirch, H. and Cherel, Y., 2014. Age, sex, and breeding status shape a complex foraging pattern in an extremely long‐lived seabird. </w:t>
      </w:r>
      <w:r>
        <w:rPr>
          <w:i/>
          <w:color w:val="222222"/>
          <w:highlight w:val="white"/>
        </w:rPr>
        <w:t>Ecology</w:t>
      </w:r>
      <w:r>
        <w:rPr>
          <w:color w:val="222222"/>
          <w:highlight w:val="white"/>
        </w:rPr>
        <w:t xml:space="preserve">, </w:t>
      </w:r>
      <w:r>
        <w:rPr>
          <w:i/>
          <w:color w:val="222222"/>
          <w:highlight w:val="white"/>
        </w:rPr>
        <w:t>95</w:t>
      </w:r>
      <w:r>
        <w:rPr>
          <w:color w:val="222222"/>
          <w:highlight w:val="white"/>
        </w:rPr>
        <w:t xml:space="preserve">(8), pp.2324-2333. </w:t>
      </w:r>
      <w:hyperlink r:id="rId149">
        <w:r>
          <w:rPr>
            <w:color w:val="1155CC"/>
            <w:highlight w:val="white"/>
            <w:u w:val="single"/>
          </w:rPr>
          <w:t>https://doi.org/10.1890/13-1376.1</w:t>
        </w:r>
      </w:hyperlink>
      <w:r>
        <w:rPr>
          <w:color w:val="222222"/>
          <w:highlight w:val="white"/>
        </w:rPr>
        <w:t xml:space="preserve"> </w:t>
      </w:r>
    </w:p>
    <w:p w14:paraId="2330F4EF" w14:textId="77777777" w:rsidR="007B149A" w:rsidRDefault="000E054D">
      <w:pPr>
        <w:spacing w:before="240" w:after="240" w:line="360" w:lineRule="auto"/>
        <w:ind w:left="360"/>
        <w:rPr>
          <w:color w:val="222222"/>
          <w:highlight w:val="white"/>
        </w:rPr>
      </w:pPr>
      <w:r>
        <w:rPr>
          <w:color w:val="222222"/>
          <w:highlight w:val="white"/>
        </w:rPr>
        <w:lastRenderedPageBreak/>
        <w:t xml:space="preserve">Jaeger, A., Blanchard, P., Richard, P. and Cherel, Y., 2009. Using carbon and nitrogen isotopic values of body feathers to infer inter-and intra-individual variations of seabird feeding ecology during moult. </w:t>
      </w:r>
      <w:r>
        <w:rPr>
          <w:i/>
          <w:color w:val="222222"/>
          <w:highlight w:val="white"/>
        </w:rPr>
        <w:t>Marine biology</w:t>
      </w:r>
      <w:r>
        <w:rPr>
          <w:color w:val="222222"/>
          <w:highlight w:val="white"/>
        </w:rPr>
        <w:t xml:space="preserve">, </w:t>
      </w:r>
      <w:r>
        <w:rPr>
          <w:i/>
          <w:color w:val="222222"/>
          <w:highlight w:val="white"/>
        </w:rPr>
        <w:t>156</w:t>
      </w:r>
      <w:r>
        <w:rPr>
          <w:color w:val="222222"/>
          <w:highlight w:val="white"/>
        </w:rPr>
        <w:t xml:space="preserve">(6), pp.1233-1240. </w:t>
      </w:r>
      <w:hyperlink r:id="rId150">
        <w:r>
          <w:rPr>
            <w:color w:val="1155CC"/>
            <w:highlight w:val="white"/>
            <w:u w:val="single"/>
          </w:rPr>
          <w:t>https://doi.org/10.1007/s00227-009-1165-6</w:t>
        </w:r>
      </w:hyperlink>
      <w:r>
        <w:rPr>
          <w:color w:val="222222"/>
          <w:highlight w:val="white"/>
        </w:rPr>
        <w:t xml:space="preserve"> </w:t>
      </w:r>
    </w:p>
    <w:p w14:paraId="2330F4F0" w14:textId="77777777" w:rsidR="007B149A" w:rsidRDefault="000E054D">
      <w:pPr>
        <w:spacing w:before="240" w:after="240" w:line="360" w:lineRule="auto"/>
        <w:ind w:left="360"/>
        <w:rPr>
          <w:color w:val="222222"/>
          <w:highlight w:val="white"/>
        </w:rPr>
      </w:pPr>
      <w:r>
        <w:rPr>
          <w:color w:val="222222"/>
          <w:highlight w:val="white"/>
        </w:rPr>
        <w:t xml:space="preserve">Johnson, A.C., Hobson, K.A., Lunn, N.J., McGeachy, D., Richardson, E.S. and Derocher, A.E., 2019. Temporal and intra-population patterns in polar bear foraging ecology in western Hudson Bay. </w:t>
      </w:r>
      <w:r>
        <w:rPr>
          <w:i/>
          <w:color w:val="222222"/>
          <w:highlight w:val="white"/>
        </w:rPr>
        <w:t>Marine Ecology Progress Series</w:t>
      </w:r>
      <w:r>
        <w:rPr>
          <w:color w:val="222222"/>
          <w:highlight w:val="white"/>
        </w:rPr>
        <w:t xml:space="preserve">, </w:t>
      </w:r>
      <w:r>
        <w:rPr>
          <w:i/>
          <w:color w:val="222222"/>
          <w:highlight w:val="white"/>
        </w:rPr>
        <w:t>619</w:t>
      </w:r>
      <w:r>
        <w:rPr>
          <w:color w:val="222222"/>
          <w:highlight w:val="white"/>
        </w:rPr>
        <w:t xml:space="preserve">, pp.187-199. </w:t>
      </w:r>
      <w:hyperlink r:id="rId151">
        <w:r>
          <w:rPr>
            <w:color w:val="1155CC"/>
            <w:highlight w:val="white"/>
            <w:u w:val="single"/>
          </w:rPr>
          <w:t>https://doi.org/10.3354/meps12933</w:t>
        </w:r>
      </w:hyperlink>
      <w:r>
        <w:rPr>
          <w:color w:val="222222"/>
          <w:highlight w:val="white"/>
        </w:rPr>
        <w:t xml:space="preserve"> </w:t>
      </w:r>
    </w:p>
    <w:p w14:paraId="2330F4F1" w14:textId="77777777" w:rsidR="007B149A" w:rsidRDefault="000E054D">
      <w:pPr>
        <w:spacing w:before="240" w:after="240" w:line="360" w:lineRule="auto"/>
        <w:ind w:left="360"/>
        <w:rPr>
          <w:color w:val="222222"/>
          <w:highlight w:val="white"/>
        </w:rPr>
      </w:pPr>
      <w:r>
        <w:rPr>
          <w:color w:val="222222"/>
          <w:highlight w:val="white"/>
        </w:rPr>
        <w:t xml:space="preserve">Jones, K.A., Ratcliffe, N., Votier, S.C., Newton, J., Forcada, J., Dickens, J., Stowasser, G. and Staniland, I.J., 2020. Intra-specific niche partitioning in Antarctic fur seals, Arctocephalus gazella. </w:t>
      </w:r>
      <w:r>
        <w:rPr>
          <w:i/>
          <w:color w:val="222222"/>
          <w:highlight w:val="white"/>
        </w:rPr>
        <w:t>Scientific reports</w:t>
      </w:r>
      <w:r>
        <w:rPr>
          <w:color w:val="222222"/>
          <w:highlight w:val="white"/>
        </w:rPr>
        <w:t xml:space="preserve">, </w:t>
      </w:r>
      <w:r>
        <w:rPr>
          <w:i/>
          <w:color w:val="222222"/>
          <w:highlight w:val="white"/>
        </w:rPr>
        <w:t>10</w:t>
      </w:r>
      <w:r>
        <w:rPr>
          <w:color w:val="222222"/>
          <w:highlight w:val="white"/>
        </w:rPr>
        <w:t xml:space="preserve">(1), pp.1-15. </w:t>
      </w:r>
      <w:hyperlink r:id="rId152">
        <w:r>
          <w:rPr>
            <w:color w:val="1155CC"/>
            <w:highlight w:val="white"/>
            <w:u w:val="single"/>
          </w:rPr>
          <w:t>https://doi.org/10.1038/s41598-020-59992-3</w:t>
        </w:r>
      </w:hyperlink>
      <w:r>
        <w:rPr>
          <w:color w:val="222222"/>
          <w:highlight w:val="white"/>
        </w:rPr>
        <w:t xml:space="preserve"> </w:t>
      </w:r>
    </w:p>
    <w:p w14:paraId="2330F4F2" w14:textId="77777777" w:rsidR="007B149A" w:rsidRDefault="000E054D">
      <w:pPr>
        <w:spacing w:before="240" w:after="240" w:line="360" w:lineRule="auto"/>
        <w:ind w:left="360"/>
        <w:rPr>
          <w:color w:val="222222"/>
          <w:highlight w:val="white"/>
        </w:rPr>
      </w:pPr>
      <w:r>
        <w:rPr>
          <w:color w:val="222222"/>
          <w:highlight w:val="white"/>
        </w:rPr>
        <w:t xml:space="preserve">Jordaan, R.K., Somers, M.J., Hall, G. and McIntyre, T., 2019. Plasticity and specialisation in the isotopic niche of African clawless otters foraging in marine and freshwater habitats. </w:t>
      </w:r>
      <w:r>
        <w:rPr>
          <w:i/>
          <w:color w:val="222222"/>
          <w:highlight w:val="white"/>
        </w:rPr>
        <w:t>Mammalian Biology</w:t>
      </w:r>
      <w:r>
        <w:rPr>
          <w:color w:val="222222"/>
          <w:highlight w:val="white"/>
        </w:rPr>
        <w:t xml:space="preserve">, </w:t>
      </w:r>
      <w:r>
        <w:rPr>
          <w:i/>
          <w:color w:val="222222"/>
          <w:highlight w:val="white"/>
        </w:rPr>
        <w:t>98</w:t>
      </w:r>
      <w:r>
        <w:rPr>
          <w:color w:val="222222"/>
          <w:highlight w:val="white"/>
        </w:rPr>
        <w:t xml:space="preserve">(1), pp.61-72. </w:t>
      </w:r>
      <w:hyperlink r:id="rId153">
        <w:r>
          <w:rPr>
            <w:color w:val="1155CC"/>
            <w:highlight w:val="white"/>
            <w:u w:val="single"/>
          </w:rPr>
          <w:t>https://doi.org/10.1016/j.mambio.2019.07.006</w:t>
        </w:r>
      </w:hyperlink>
      <w:r>
        <w:rPr>
          <w:color w:val="222222"/>
          <w:highlight w:val="white"/>
        </w:rPr>
        <w:t xml:space="preserve"> </w:t>
      </w:r>
    </w:p>
    <w:p w14:paraId="2330F4F3" w14:textId="77777777" w:rsidR="007B149A" w:rsidRDefault="000E054D">
      <w:pPr>
        <w:spacing w:before="240" w:after="240" w:line="360" w:lineRule="auto"/>
        <w:ind w:left="360"/>
        <w:rPr>
          <w:color w:val="222222"/>
          <w:highlight w:val="white"/>
        </w:rPr>
      </w:pPr>
      <w:r>
        <w:rPr>
          <w:color w:val="222222"/>
          <w:highlight w:val="white"/>
        </w:rPr>
        <w:t xml:space="preserve">Jourdain, E., Andvik, C., Karoliussen, R., Ruus, A., Vongraven, D. and Borgå, K., 2020. Isotopic niche differs between seal and fish‐eating killer whales (Orcinus orca) in northern Norway. </w:t>
      </w:r>
      <w:r>
        <w:rPr>
          <w:i/>
          <w:color w:val="222222"/>
          <w:highlight w:val="white"/>
        </w:rPr>
        <w:t>Ecology and Evolution</w:t>
      </w:r>
      <w:r>
        <w:rPr>
          <w:color w:val="222222"/>
          <w:highlight w:val="white"/>
        </w:rPr>
        <w:t xml:space="preserve">, </w:t>
      </w:r>
      <w:r>
        <w:rPr>
          <w:i/>
          <w:color w:val="222222"/>
          <w:highlight w:val="white"/>
        </w:rPr>
        <w:t>10</w:t>
      </w:r>
      <w:r>
        <w:rPr>
          <w:color w:val="222222"/>
          <w:highlight w:val="white"/>
        </w:rPr>
        <w:t xml:space="preserve">(9), pp.4115-4127. </w:t>
      </w:r>
      <w:hyperlink r:id="rId154">
        <w:r>
          <w:rPr>
            <w:color w:val="1155CC"/>
            <w:highlight w:val="white"/>
            <w:u w:val="single"/>
          </w:rPr>
          <w:t>https://doi.org/10.1002/ece3.6182</w:t>
        </w:r>
      </w:hyperlink>
      <w:r>
        <w:rPr>
          <w:color w:val="222222"/>
          <w:highlight w:val="white"/>
        </w:rPr>
        <w:t xml:space="preserve"> </w:t>
      </w:r>
    </w:p>
    <w:p w14:paraId="2330F4F4" w14:textId="77777777" w:rsidR="007B149A" w:rsidRDefault="000E054D">
      <w:pPr>
        <w:spacing w:before="240" w:after="240" w:line="360" w:lineRule="auto"/>
        <w:ind w:left="360"/>
        <w:rPr>
          <w:color w:val="222222"/>
          <w:highlight w:val="white"/>
        </w:rPr>
      </w:pPr>
      <w:r>
        <w:rPr>
          <w:color w:val="222222"/>
          <w:highlight w:val="white"/>
        </w:rPr>
        <w:t xml:space="preserve">Kernaléguen, L., Cazelles, B., Arnould, J.P., Richard, P., Guinet, C. and Cherel, Y., 2012. Long-term species, sexual and individual variations in foraging strategies of fur seals revealed by stable isotopes in whiskers. </w:t>
      </w:r>
      <w:r>
        <w:rPr>
          <w:i/>
          <w:color w:val="222222"/>
          <w:highlight w:val="white"/>
        </w:rPr>
        <w:t>PLoS One</w:t>
      </w:r>
      <w:r>
        <w:rPr>
          <w:color w:val="222222"/>
          <w:highlight w:val="white"/>
        </w:rPr>
        <w:t xml:space="preserve">, </w:t>
      </w:r>
      <w:r>
        <w:rPr>
          <w:i/>
          <w:color w:val="222222"/>
          <w:highlight w:val="white"/>
        </w:rPr>
        <w:t>7</w:t>
      </w:r>
      <w:r>
        <w:rPr>
          <w:color w:val="222222"/>
          <w:highlight w:val="white"/>
        </w:rPr>
        <w:t xml:space="preserve">(3), p.e32916. </w:t>
      </w:r>
      <w:hyperlink r:id="rId155">
        <w:r>
          <w:rPr>
            <w:color w:val="1155CC"/>
            <w:highlight w:val="white"/>
            <w:u w:val="single"/>
          </w:rPr>
          <w:t>https://doi.org/10.1371/journal.pone.0032916</w:t>
        </w:r>
      </w:hyperlink>
      <w:r>
        <w:rPr>
          <w:color w:val="222222"/>
          <w:highlight w:val="white"/>
        </w:rPr>
        <w:t xml:space="preserve"> </w:t>
      </w:r>
    </w:p>
    <w:p w14:paraId="2330F4F5" w14:textId="77777777" w:rsidR="007B149A" w:rsidRDefault="000E054D">
      <w:pPr>
        <w:spacing w:before="240" w:after="240" w:line="360" w:lineRule="auto"/>
        <w:ind w:left="360"/>
        <w:rPr>
          <w:color w:val="222222"/>
          <w:highlight w:val="white"/>
        </w:rPr>
      </w:pPr>
      <w:r>
        <w:rPr>
          <w:color w:val="222222"/>
          <w:highlight w:val="white"/>
        </w:rPr>
        <w:t xml:space="preserve">Kernaléguen, L., Cherel, Y., Knox, T.C., Baylis, A.M. and Arnould, J.P., 2015. Sexual niche segregation and gender-specific individual specialisation in a highly dimorphic marine mammal. </w:t>
      </w:r>
      <w:r>
        <w:rPr>
          <w:i/>
          <w:color w:val="222222"/>
          <w:highlight w:val="white"/>
        </w:rPr>
        <w:t>PLoS One</w:t>
      </w:r>
      <w:r>
        <w:rPr>
          <w:color w:val="222222"/>
          <w:highlight w:val="white"/>
        </w:rPr>
        <w:t xml:space="preserve">, </w:t>
      </w:r>
      <w:r>
        <w:rPr>
          <w:i/>
          <w:color w:val="222222"/>
          <w:highlight w:val="white"/>
        </w:rPr>
        <w:t>10</w:t>
      </w:r>
      <w:r>
        <w:rPr>
          <w:color w:val="222222"/>
          <w:highlight w:val="white"/>
        </w:rPr>
        <w:t xml:space="preserve">(8), p.e0133018. </w:t>
      </w:r>
      <w:hyperlink r:id="rId156">
        <w:r>
          <w:rPr>
            <w:color w:val="1155CC"/>
            <w:highlight w:val="white"/>
            <w:u w:val="single"/>
          </w:rPr>
          <w:t>https://doi.org/10.1371/journal.pone.0133018</w:t>
        </w:r>
      </w:hyperlink>
      <w:r>
        <w:rPr>
          <w:color w:val="222222"/>
          <w:highlight w:val="white"/>
        </w:rPr>
        <w:t xml:space="preserve"> </w:t>
      </w:r>
    </w:p>
    <w:p w14:paraId="2330F4F6" w14:textId="77777777" w:rsidR="007B149A" w:rsidRDefault="000E054D">
      <w:pPr>
        <w:spacing w:before="240" w:after="240" w:line="360" w:lineRule="auto"/>
        <w:ind w:left="360"/>
        <w:rPr>
          <w:color w:val="222222"/>
          <w:highlight w:val="white"/>
        </w:rPr>
      </w:pPr>
      <w:r>
        <w:rPr>
          <w:color w:val="222222"/>
          <w:highlight w:val="white"/>
        </w:rPr>
        <w:lastRenderedPageBreak/>
        <w:t xml:space="preserve">Kernaléguen, L., Arnould, J.P.Y., Guinet, C., Cazelles, B., Richard, P. and Cherel, Y., 2016. Early-life sexual segregation: ontogeny of isotopic niche differentiation in the Antarctic fur seal. </w:t>
      </w:r>
      <w:r>
        <w:rPr>
          <w:i/>
          <w:color w:val="222222"/>
          <w:highlight w:val="white"/>
        </w:rPr>
        <w:t>Scientific reports</w:t>
      </w:r>
      <w:r>
        <w:rPr>
          <w:color w:val="222222"/>
          <w:highlight w:val="white"/>
        </w:rPr>
        <w:t xml:space="preserve">, </w:t>
      </w:r>
      <w:r>
        <w:rPr>
          <w:i/>
          <w:color w:val="222222"/>
          <w:highlight w:val="white"/>
        </w:rPr>
        <w:t>6</w:t>
      </w:r>
      <w:r>
        <w:rPr>
          <w:color w:val="222222"/>
          <w:highlight w:val="white"/>
        </w:rPr>
        <w:t xml:space="preserve">(1), pp.1-10. </w:t>
      </w:r>
      <w:hyperlink r:id="rId157">
        <w:r>
          <w:rPr>
            <w:color w:val="1155CC"/>
            <w:highlight w:val="white"/>
            <w:u w:val="single"/>
          </w:rPr>
          <w:t>https://doi.org/10.1038/srep33211</w:t>
        </w:r>
      </w:hyperlink>
      <w:r>
        <w:rPr>
          <w:color w:val="222222"/>
          <w:highlight w:val="white"/>
        </w:rPr>
        <w:t xml:space="preserve"> </w:t>
      </w:r>
    </w:p>
    <w:p w14:paraId="2330F4F7" w14:textId="77777777" w:rsidR="007B149A" w:rsidRDefault="000E054D">
      <w:pPr>
        <w:spacing w:before="240" w:after="240" w:line="360" w:lineRule="auto"/>
        <w:ind w:left="360"/>
        <w:rPr>
          <w:color w:val="222222"/>
          <w:highlight w:val="white"/>
        </w:rPr>
      </w:pPr>
      <w:r>
        <w:rPr>
          <w:color w:val="222222"/>
          <w:highlight w:val="white"/>
        </w:rPr>
        <w:t xml:space="preserve">Kloskowski, J., Trembaczowski, A. and Filipiuk, M., 2019. Stable isotope tracing of links between marine wintering and freshwater breeding habitats of Red-necked Grebes. </w:t>
      </w:r>
      <w:r>
        <w:rPr>
          <w:i/>
          <w:color w:val="222222"/>
          <w:highlight w:val="white"/>
        </w:rPr>
        <w:t>Journal of Ornithology</w:t>
      </w:r>
      <w:r>
        <w:rPr>
          <w:color w:val="222222"/>
          <w:highlight w:val="white"/>
        </w:rPr>
        <w:t xml:space="preserve">, </w:t>
      </w:r>
      <w:r>
        <w:rPr>
          <w:i/>
          <w:color w:val="222222"/>
          <w:highlight w:val="white"/>
        </w:rPr>
        <w:t>160</w:t>
      </w:r>
      <w:r>
        <w:rPr>
          <w:color w:val="222222"/>
          <w:highlight w:val="white"/>
        </w:rPr>
        <w:t xml:space="preserve">(3), pp.593-605. </w:t>
      </w:r>
      <w:hyperlink r:id="rId158">
        <w:r>
          <w:rPr>
            <w:color w:val="1155CC"/>
            <w:highlight w:val="white"/>
            <w:u w:val="single"/>
          </w:rPr>
          <w:t>https://doi.org/10.1007/s10336-019-01642-1</w:t>
        </w:r>
      </w:hyperlink>
      <w:r>
        <w:rPr>
          <w:color w:val="222222"/>
          <w:highlight w:val="white"/>
        </w:rPr>
        <w:t xml:space="preserve"> </w:t>
      </w:r>
    </w:p>
    <w:p w14:paraId="2330F4F8" w14:textId="77777777" w:rsidR="007B149A" w:rsidRDefault="000E054D">
      <w:pPr>
        <w:spacing w:before="240" w:after="240" w:line="360" w:lineRule="auto"/>
        <w:ind w:left="360"/>
        <w:rPr>
          <w:color w:val="222222"/>
          <w:highlight w:val="white"/>
        </w:rPr>
      </w:pPr>
      <w:r>
        <w:rPr>
          <w:color w:val="222222"/>
          <w:highlight w:val="white"/>
        </w:rPr>
        <w:t xml:space="preserve">Kohler, S.A., Connan, M., Kolasinski, J., Cherel, Y., McQuaid, C.D. and Jaquemet, S., 2014. Trophic overlap between sexes in the dimorphic African black oystercatcher foraging on an alien mussel. </w:t>
      </w:r>
      <w:r>
        <w:rPr>
          <w:i/>
          <w:color w:val="222222"/>
          <w:highlight w:val="white"/>
        </w:rPr>
        <w:t>Austral Ecology</w:t>
      </w:r>
      <w:r>
        <w:rPr>
          <w:color w:val="222222"/>
          <w:highlight w:val="white"/>
        </w:rPr>
        <w:t xml:space="preserve">, </w:t>
      </w:r>
      <w:r>
        <w:rPr>
          <w:i/>
          <w:color w:val="222222"/>
          <w:highlight w:val="white"/>
        </w:rPr>
        <w:t>39</w:t>
      </w:r>
      <w:r>
        <w:rPr>
          <w:color w:val="222222"/>
          <w:highlight w:val="white"/>
        </w:rPr>
        <w:t xml:space="preserve">(5), pp.567-578. </w:t>
      </w:r>
      <w:hyperlink r:id="rId159">
        <w:r>
          <w:rPr>
            <w:color w:val="1155CC"/>
            <w:highlight w:val="white"/>
            <w:u w:val="single"/>
          </w:rPr>
          <w:t>https://doi.org/10.1111/aec.12117</w:t>
        </w:r>
      </w:hyperlink>
      <w:r>
        <w:rPr>
          <w:color w:val="222222"/>
          <w:highlight w:val="white"/>
        </w:rPr>
        <w:t xml:space="preserve"> </w:t>
      </w:r>
    </w:p>
    <w:p w14:paraId="2330F4F9" w14:textId="77777777" w:rsidR="007B149A" w:rsidRDefault="000E054D">
      <w:pPr>
        <w:spacing w:before="240" w:after="240" w:line="360" w:lineRule="auto"/>
        <w:ind w:left="360"/>
        <w:rPr>
          <w:color w:val="222222"/>
          <w:highlight w:val="white"/>
        </w:rPr>
      </w:pPr>
      <w:r>
        <w:rPr>
          <w:color w:val="222222"/>
          <w:highlight w:val="white"/>
        </w:rPr>
        <w:t xml:space="preserve">Lamacchia, P., Madrid, E.A. and Mariano-Jelicich, R., 2019. Intraspecific variability in isotopic composition of a monomorphic seabird, the Common Tern (Sterna hirundo), at wintering grounds. </w:t>
      </w:r>
      <w:r>
        <w:rPr>
          <w:i/>
          <w:color w:val="222222"/>
          <w:highlight w:val="white"/>
        </w:rPr>
        <w:t>Emu-Austral Ornithology</w:t>
      </w:r>
      <w:r>
        <w:rPr>
          <w:color w:val="222222"/>
          <w:highlight w:val="white"/>
        </w:rPr>
        <w:t xml:space="preserve">, </w:t>
      </w:r>
      <w:r>
        <w:rPr>
          <w:i/>
          <w:color w:val="222222"/>
          <w:highlight w:val="white"/>
        </w:rPr>
        <w:t>119</w:t>
      </w:r>
      <w:r>
        <w:rPr>
          <w:color w:val="222222"/>
          <w:highlight w:val="white"/>
        </w:rPr>
        <w:t xml:space="preserve">(2), pp.176-185. </w:t>
      </w:r>
      <w:hyperlink r:id="rId160">
        <w:r>
          <w:rPr>
            <w:color w:val="1155CC"/>
            <w:highlight w:val="white"/>
            <w:u w:val="single"/>
          </w:rPr>
          <w:t>https://doi.org/10.1080/01584197.2019.1580536</w:t>
        </w:r>
      </w:hyperlink>
      <w:r>
        <w:rPr>
          <w:color w:val="222222"/>
          <w:highlight w:val="white"/>
        </w:rPr>
        <w:t xml:space="preserve"> </w:t>
      </w:r>
    </w:p>
    <w:p w14:paraId="2330F4FA" w14:textId="77777777" w:rsidR="007B149A" w:rsidRDefault="000E054D">
      <w:pPr>
        <w:spacing w:before="240" w:after="240" w:line="360" w:lineRule="auto"/>
        <w:ind w:left="360"/>
        <w:rPr>
          <w:color w:val="222222"/>
          <w:highlight w:val="white"/>
        </w:rPr>
      </w:pPr>
      <w:r>
        <w:rPr>
          <w:color w:val="222222"/>
          <w:highlight w:val="white"/>
        </w:rPr>
        <w:t xml:space="preserve">Leal, G.R., Furness, R.W., McGill, R.A., Santos, R.A. and Bugoni, L., 2017. Feeding and foraging ecology of Trindade petrels Pterodroma arminjoniana during the breeding period in the South Atlantic Ocean. </w:t>
      </w:r>
      <w:r>
        <w:rPr>
          <w:i/>
          <w:color w:val="222222"/>
          <w:highlight w:val="white"/>
        </w:rPr>
        <w:t>Marine Biology</w:t>
      </w:r>
      <w:r>
        <w:rPr>
          <w:color w:val="222222"/>
          <w:highlight w:val="white"/>
        </w:rPr>
        <w:t xml:space="preserve">, </w:t>
      </w:r>
      <w:r>
        <w:rPr>
          <w:i/>
          <w:color w:val="222222"/>
          <w:highlight w:val="white"/>
        </w:rPr>
        <w:t>164</w:t>
      </w:r>
      <w:r>
        <w:rPr>
          <w:color w:val="222222"/>
          <w:highlight w:val="white"/>
        </w:rPr>
        <w:t xml:space="preserve">(11), pp.1-17. </w:t>
      </w:r>
      <w:hyperlink r:id="rId161">
        <w:r>
          <w:rPr>
            <w:color w:val="1155CC"/>
            <w:highlight w:val="white"/>
            <w:u w:val="single"/>
          </w:rPr>
          <w:t>https://doi.org/10.1007/s00227-017-3240-8</w:t>
        </w:r>
      </w:hyperlink>
      <w:r>
        <w:rPr>
          <w:color w:val="222222"/>
          <w:highlight w:val="white"/>
        </w:rPr>
        <w:t xml:space="preserve"> </w:t>
      </w:r>
    </w:p>
    <w:p w14:paraId="2330F4FB" w14:textId="77777777" w:rsidR="007B149A" w:rsidRDefault="000E054D">
      <w:pPr>
        <w:spacing w:before="240" w:after="240" w:line="360" w:lineRule="auto"/>
        <w:ind w:left="360"/>
        <w:rPr>
          <w:color w:val="222222"/>
          <w:highlight w:val="white"/>
        </w:rPr>
      </w:pPr>
      <w:r>
        <w:rPr>
          <w:color w:val="222222"/>
          <w:highlight w:val="white"/>
        </w:rPr>
        <w:t xml:space="preserve">Lejeune, B., Sturaro, N., Lepoint, G. and Denoël, M., 2018. Facultative paedomorphosis as a mechanism promoting intraspecific niche differentiation. </w:t>
      </w:r>
      <w:r>
        <w:rPr>
          <w:i/>
          <w:color w:val="222222"/>
          <w:highlight w:val="white"/>
        </w:rPr>
        <w:t>Oikos</w:t>
      </w:r>
      <w:r>
        <w:rPr>
          <w:color w:val="222222"/>
          <w:highlight w:val="white"/>
        </w:rPr>
        <w:t xml:space="preserve">, </w:t>
      </w:r>
      <w:r>
        <w:rPr>
          <w:i/>
          <w:color w:val="222222"/>
          <w:highlight w:val="white"/>
        </w:rPr>
        <w:t>127</w:t>
      </w:r>
      <w:r>
        <w:rPr>
          <w:color w:val="222222"/>
          <w:highlight w:val="white"/>
        </w:rPr>
        <w:t xml:space="preserve">(3), pp.427-439. </w:t>
      </w:r>
      <w:hyperlink r:id="rId162">
        <w:r>
          <w:rPr>
            <w:color w:val="1155CC"/>
            <w:highlight w:val="white"/>
            <w:u w:val="single"/>
          </w:rPr>
          <w:t>https://doi.org/10.1111/oik.04714</w:t>
        </w:r>
      </w:hyperlink>
      <w:r>
        <w:rPr>
          <w:color w:val="222222"/>
          <w:highlight w:val="white"/>
        </w:rPr>
        <w:t xml:space="preserve"> </w:t>
      </w:r>
    </w:p>
    <w:p w14:paraId="2330F4FC" w14:textId="77777777" w:rsidR="007B149A" w:rsidRDefault="000E054D">
      <w:pPr>
        <w:spacing w:before="240" w:after="240" w:line="360" w:lineRule="auto"/>
        <w:ind w:left="360"/>
        <w:rPr>
          <w:color w:val="222222"/>
          <w:highlight w:val="white"/>
        </w:rPr>
      </w:pPr>
      <w:r>
        <w:rPr>
          <w:color w:val="222222"/>
          <w:highlight w:val="white"/>
        </w:rPr>
        <w:t xml:space="preserve">Lewis, M.C., West, A.G. and O'Riain, M.J., 2018. Isotopic assessment of marine food consumption by natural‐foraging chacma baboons on the Cape Peninsula, South Africa. </w:t>
      </w:r>
      <w:r>
        <w:rPr>
          <w:i/>
          <w:color w:val="222222"/>
          <w:highlight w:val="white"/>
        </w:rPr>
        <w:t>American journal of physical anthropology</w:t>
      </w:r>
      <w:r>
        <w:rPr>
          <w:color w:val="222222"/>
          <w:highlight w:val="white"/>
        </w:rPr>
        <w:t xml:space="preserve">, </w:t>
      </w:r>
      <w:r>
        <w:rPr>
          <w:i/>
          <w:color w:val="222222"/>
          <w:highlight w:val="white"/>
        </w:rPr>
        <w:t>165</w:t>
      </w:r>
      <w:r>
        <w:rPr>
          <w:color w:val="222222"/>
          <w:highlight w:val="white"/>
        </w:rPr>
        <w:t xml:space="preserve">(1), pp.77-93. </w:t>
      </w:r>
      <w:hyperlink r:id="rId163">
        <w:r>
          <w:rPr>
            <w:color w:val="1155CC"/>
            <w:highlight w:val="white"/>
            <w:u w:val="single"/>
          </w:rPr>
          <w:t>https://doi.org/10.1002/ajpa.23332</w:t>
        </w:r>
      </w:hyperlink>
      <w:r>
        <w:rPr>
          <w:color w:val="222222"/>
          <w:highlight w:val="white"/>
        </w:rPr>
        <w:t xml:space="preserve"> </w:t>
      </w:r>
    </w:p>
    <w:p w14:paraId="2330F4FD" w14:textId="77777777" w:rsidR="007B149A" w:rsidRDefault="000E054D">
      <w:pPr>
        <w:spacing w:before="240" w:after="240" w:line="360" w:lineRule="auto"/>
        <w:ind w:left="360"/>
        <w:rPr>
          <w:color w:val="222222"/>
          <w:highlight w:val="white"/>
        </w:rPr>
      </w:pPr>
      <w:r>
        <w:rPr>
          <w:color w:val="222222"/>
          <w:highlight w:val="white"/>
        </w:rPr>
        <w:lastRenderedPageBreak/>
        <w:t xml:space="preserve">de Lima, R.C., Franco-Trecu, V., Vales, D.G., Inchausti, P., Secchi, E.R. and Botta, S., 2019. Individual foraging specialization and sexual niche segregation in South American fur seals. </w:t>
      </w:r>
      <w:r>
        <w:rPr>
          <w:i/>
          <w:color w:val="222222"/>
          <w:highlight w:val="white"/>
        </w:rPr>
        <w:t>Marine Biology</w:t>
      </w:r>
      <w:r>
        <w:rPr>
          <w:color w:val="222222"/>
          <w:highlight w:val="white"/>
        </w:rPr>
        <w:t xml:space="preserve">, </w:t>
      </w:r>
      <w:r>
        <w:rPr>
          <w:i/>
          <w:color w:val="222222"/>
          <w:highlight w:val="white"/>
        </w:rPr>
        <w:t>166</w:t>
      </w:r>
      <w:r>
        <w:rPr>
          <w:color w:val="222222"/>
          <w:highlight w:val="white"/>
        </w:rPr>
        <w:t xml:space="preserve">(3), pp.1-12. </w:t>
      </w:r>
      <w:hyperlink r:id="rId164">
        <w:r>
          <w:rPr>
            <w:color w:val="1155CC"/>
            <w:highlight w:val="white"/>
            <w:u w:val="single"/>
          </w:rPr>
          <w:t>https://doi.org/10.1007/s00227-019-3480-x</w:t>
        </w:r>
      </w:hyperlink>
      <w:r>
        <w:rPr>
          <w:color w:val="222222"/>
          <w:highlight w:val="white"/>
        </w:rPr>
        <w:t xml:space="preserve"> </w:t>
      </w:r>
    </w:p>
    <w:p w14:paraId="2330F4FE" w14:textId="77777777" w:rsidR="007B149A" w:rsidRDefault="000E054D">
      <w:pPr>
        <w:spacing w:before="240" w:after="240" w:line="360" w:lineRule="auto"/>
        <w:ind w:left="360"/>
        <w:rPr>
          <w:color w:val="222222"/>
          <w:highlight w:val="white"/>
        </w:rPr>
      </w:pPr>
      <w:r>
        <w:rPr>
          <w:color w:val="222222"/>
          <w:highlight w:val="white"/>
        </w:rPr>
        <w:t xml:space="preserve">Loizaga De Castro, R., Saporiti, F., Vales, D.G., García, N.A., Cardona, </w:t>
      </w:r>
      <w:proofErr w:type="gramStart"/>
      <w:r>
        <w:rPr>
          <w:color w:val="222222"/>
          <w:highlight w:val="white"/>
        </w:rPr>
        <w:t>L.</w:t>
      </w:r>
      <w:proofErr w:type="gramEnd"/>
      <w:r>
        <w:rPr>
          <w:color w:val="222222"/>
          <w:highlight w:val="white"/>
        </w:rPr>
        <w:t xml:space="preserve"> and Crespo, E.A., 2016. Feeding ecology of dusky dolphins Lagenorhynchus obscurus: evidence from stable isotopes. </w:t>
      </w:r>
      <w:r>
        <w:rPr>
          <w:i/>
          <w:color w:val="222222"/>
          <w:highlight w:val="white"/>
        </w:rPr>
        <w:t>Journal of Mammalogy</w:t>
      </w:r>
      <w:r>
        <w:rPr>
          <w:color w:val="222222"/>
          <w:highlight w:val="white"/>
        </w:rPr>
        <w:t xml:space="preserve">, </w:t>
      </w:r>
      <w:r>
        <w:rPr>
          <w:i/>
          <w:color w:val="222222"/>
          <w:highlight w:val="white"/>
        </w:rPr>
        <w:t>97</w:t>
      </w:r>
      <w:r>
        <w:rPr>
          <w:color w:val="222222"/>
          <w:highlight w:val="white"/>
        </w:rPr>
        <w:t xml:space="preserve">(1), pp.310-320. </w:t>
      </w:r>
      <w:hyperlink r:id="rId165">
        <w:r>
          <w:rPr>
            <w:color w:val="1155CC"/>
            <w:highlight w:val="white"/>
            <w:u w:val="single"/>
          </w:rPr>
          <w:t>https://doi.org/10.1093/jmammal/gyv180</w:t>
        </w:r>
      </w:hyperlink>
      <w:r>
        <w:rPr>
          <w:color w:val="222222"/>
          <w:highlight w:val="white"/>
        </w:rPr>
        <w:t xml:space="preserve"> </w:t>
      </w:r>
    </w:p>
    <w:p w14:paraId="2330F4FF" w14:textId="77777777" w:rsidR="007B149A" w:rsidRDefault="000E054D">
      <w:pPr>
        <w:spacing w:before="240" w:after="240" w:line="360" w:lineRule="auto"/>
        <w:ind w:left="360"/>
        <w:rPr>
          <w:color w:val="222222"/>
          <w:highlight w:val="white"/>
        </w:rPr>
      </w:pPr>
      <w:r>
        <w:rPr>
          <w:color w:val="222222"/>
          <w:highlight w:val="white"/>
        </w:rPr>
        <w:t xml:space="preserve">Louis, M., Simon-Bouhet, B., Viricel, A., Lucas, T., Gally, F., Cherel, Y. and Guinet, C., 2018. Evaluating the influence of ecology, </w:t>
      </w:r>
      <w:proofErr w:type="gramStart"/>
      <w:r>
        <w:rPr>
          <w:color w:val="222222"/>
          <w:highlight w:val="white"/>
        </w:rPr>
        <w:t>sex</w:t>
      </w:r>
      <w:proofErr w:type="gramEnd"/>
      <w:r>
        <w:rPr>
          <w:color w:val="222222"/>
          <w:highlight w:val="white"/>
        </w:rPr>
        <w:t xml:space="preserve"> and kinship on the social structure of resident coastal bottlenose dolphins. </w:t>
      </w:r>
      <w:r>
        <w:rPr>
          <w:i/>
          <w:color w:val="222222"/>
          <w:highlight w:val="white"/>
        </w:rPr>
        <w:t>Marine Biology</w:t>
      </w:r>
      <w:r>
        <w:rPr>
          <w:color w:val="222222"/>
          <w:highlight w:val="white"/>
        </w:rPr>
        <w:t xml:space="preserve">, </w:t>
      </w:r>
      <w:r>
        <w:rPr>
          <w:i/>
          <w:color w:val="222222"/>
          <w:highlight w:val="white"/>
        </w:rPr>
        <w:t>165</w:t>
      </w:r>
      <w:r>
        <w:rPr>
          <w:color w:val="222222"/>
          <w:highlight w:val="white"/>
        </w:rPr>
        <w:t xml:space="preserve">(5), pp.1-12. </w:t>
      </w:r>
      <w:hyperlink r:id="rId166">
        <w:r>
          <w:rPr>
            <w:color w:val="1155CC"/>
            <w:highlight w:val="white"/>
            <w:u w:val="single"/>
          </w:rPr>
          <w:t>https://doi.org/10.1007/s00227-018-3341-z</w:t>
        </w:r>
      </w:hyperlink>
      <w:r>
        <w:rPr>
          <w:color w:val="222222"/>
          <w:highlight w:val="white"/>
        </w:rPr>
        <w:t xml:space="preserve"> </w:t>
      </w:r>
    </w:p>
    <w:p w14:paraId="2330F500" w14:textId="77777777" w:rsidR="007B149A" w:rsidRDefault="000E054D">
      <w:pPr>
        <w:spacing w:before="240" w:after="240" w:line="360" w:lineRule="auto"/>
        <w:ind w:left="360"/>
        <w:rPr>
          <w:color w:val="222222"/>
          <w:highlight w:val="white"/>
        </w:rPr>
      </w:pPr>
      <w:r>
        <w:rPr>
          <w:color w:val="222222"/>
          <w:highlight w:val="white"/>
        </w:rPr>
        <w:t xml:space="preserve">Louis, M., Fontaine, M.C., Spitz, J., Schlund, E., Dabin, W., Deaville, R., Caurant, F., Cherel, Y., Guinet, C. and Simon-Bouhet, B., 2014. Ecological opportunities and specializations shaped genetic divergence in a highly mobile marine top predator. </w:t>
      </w:r>
      <w:r>
        <w:rPr>
          <w:i/>
          <w:color w:val="222222"/>
          <w:highlight w:val="white"/>
        </w:rPr>
        <w:t>Proceedings of the Royal Society B: Biological Sciences</w:t>
      </w:r>
      <w:r>
        <w:rPr>
          <w:color w:val="222222"/>
          <w:highlight w:val="white"/>
        </w:rPr>
        <w:t xml:space="preserve">, </w:t>
      </w:r>
      <w:r>
        <w:rPr>
          <w:i/>
          <w:color w:val="222222"/>
          <w:highlight w:val="white"/>
        </w:rPr>
        <w:t>281</w:t>
      </w:r>
      <w:r>
        <w:rPr>
          <w:color w:val="222222"/>
          <w:highlight w:val="white"/>
        </w:rPr>
        <w:t xml:space="preserve">(1795), p.20141558. </w:t>
      </w:r>
      <w:hyperlink r:id="rId167">
        <w:r>
          <w:rPr>
            <w:color w:val="1155CC"/>
            <w:highlight w:val="white"/>
            <w:u w:val="single"/>
          </w:rPr>
          <w:t>https://doi.org/10.1098/rspb.2014.1558</w:t>
        </w:r>
      </w:hyperlink>
      <w:r>
        <w:rPr>
          <w:color w:val="222222"/>
          <w:highlight w:val="white"/>
        </w:rPr>
        <w:t xml:space="preserve"> </w:t>
      </w:r>
    </w:p>
    <w:p w14:paraId="2330F501" w14:textId="77777777" w:rsidR="007B149A" w:rsidRDefault="000E054D">
      <w:pPr>
        <w:spacing w:before="240" w:after="240" w:line="360" w:lineRule="auto"/>
        <w:ind w:left="360"/>
        <w:rPr>
          <w:color w:val="222222"/>
          <w:highlight w:val="white"/>
        </w:rPr>
      </w:pPr>
      <w:r>
        <w:rPr>
          <w:color w:val="222222"/>
          <w:highlight w:val="white"/>
        </w:rPr>
        <w:t xml:space="preserve">Ludynia, K., Dehnhard, N., Poisbleau, M., Demongin, L., Masello, J.F., Voigt, C.C. and Quillfeldt, P., 2013. Sexual segregation in rockhopper penguins during incubation. </w:t>
      </w:r>
      <w:r>
        <w:rPr>
          <w:i/>
          <w:color w:val="222222"/>
          <w:highlight w:val="white"/>
        </w:rPr>
        <w:t>Animal behaviour</w:t>
      </w:r>
      <w:r>
        <w:rPr>
          <w:color w:val="222222"/>
          <w:highlight w:val="white"/>
        </w:rPr>
        <w:t xml:space="preserve">, </w:t>
      </w:r>
      <w:r>
        <w:rPr>
          <w:i/>
          <w:color w:val="222222"/>
          <w:highlight w:val="white"/>
        </w:rPr>
        <w:t>85</w:t>
      </w:r>
      <w:r>
        <w:rPr>
          <w:color w:val="222222"/>
          <w:highlight w:val="white"/>
        </w:rPr>
        <w:t xml:space="preserve">(1), pp.255-267. </w:t>
      </w:r>
      <w:hyperlink r:id="rId168">
        <w:r>
          <w:rPr>
            <w:color w:val="1155CC"/>
            <w:highlight w:val="white"/>
            <w:u w:val="single"/>
          </w:rPr>
          <w:t>https://doi.org/10.1016/j.anbehav.2012.11.001</w:t>
        </w:r>
      </w:hyperlink>
      <w:r>
        <w:rPr>
          <w:color w:val="222222"/>
          <w:highlight w:val="white"/>
        </w:rPr>
        <w:t xml:space="preserve"> </w:t>
      </w:r>
    </w:p>
    <w:p w14:paraId="2330F502" w14:textId="77777777" w:rsidR="007B149A" w:rsidRDefault="000E054D">
      <w:pPr>
        <w:spacing w:before="240" w:after="240" w:line="360" w:lineRule="auto"/>
        <w:ind w:left="360"/>
        <w:rPr>
          <w:color w:val="222222"/>
          <w:highlight w:val="white"/>
        </w:rPr>
      </w:pPr>
      <w:r>
        <w:rPr>
          <w:color w:val="222222"/>
          <w:highlight w:val="white"/>
        </w:rPr>
        <w:t xml:space="preserve">Mancini, P.L., Bond, A.L., Hobson, K.A., Duarte, L.S. and Bugoni, L., 2013. Foraging segregation in tropical and polar seabirds: testing the intersexual competition hypothesis. </w:t>
      </w:r>
      <w:r>
        <w:rPr>
          <w:i/>
          <w:color w:val="222222"/>
          <w:highlight w:val="white"/>
        </w:rPr>
        <w:t>Journal of experimental marine biology and ecology</w:t>
      </w:r>
      <w:r>
        <w:rPr>
          <w:color w:val="222222"/>
          <w:highlight w:val="white"/>
        </w:rPr>
        <w:t xml:space="preserve">, </w:t>
      </w:r>
      <w:r>
        <w:rPr>
          <w:i/>
          <w:color w:val="222222"/>
          <w:highlight w:val="white"/>
        </w:rPr>
        <w:t>449</w:t>
      </w:r>
      <w:r>
        <w:rPr>
          <w:color w:val="222222"/>
          <w:highlight w:val="white"/>
        </w:rPr>
        <w:t xml:space="preserve">, pp.186-193. </w:t>
      </w:r>
      <w:hyperlink r:id="rId169">
        <w:r>
          <w:rPr>
            <w:color w:val="1155CC"/>
            <w:highlight w:val="white"/>
            <w:u w:val="single"/>
          </w:rPr>
          <w:t>https://doi.org/10.1016/j.jembe.2013.09.011</w:t>
        </w:r>
      </w:hyperlink>
      <w:r>
        <w:rPr>
          <w:color w:val="222222"/>
          <w:highlight w:val="white"/>
        </w:rPr>
        <w:t xml:space="preserve"> </w:t>
      </w:r>
    </w:p>
    <w:p w14:paraId="2330F503" w14:textId="77777777" w:rsidR="007B149A" w:rsidRDefault="000E054D">
      <w:pPr>
        <w:spacing w:before="240" w:after="240" w:line="360" w:lineRule="auto"/>
        <w:ind w:left="360"/>
        <w:rPr>
          <w:color w:val="222222"/>
          <w:highlight w:val="white"/>
        </w:rPr>
      </w:pPr>
      <w:r>
        <w:rPr>
          <w:color w:val="222222"/>
          <w:highlight w:val="white"/>
        </w:rPr>
        <w:t xml:space="preserve">Marcoux, M., McMeans, B.C., Fisk, A.T. and Ferguson, S.H., 2012. Composition and temporal variation in the diet of beluga whales, derived from stable isotopes. </w:t>
      </w:r>
      <w:r>
        <w:rPr>
          <w:i/>
          <w:color w:val="222222"/>
          <w:highlight w:val="white"/>
        </w:rPr>
        <w:t>Marine Ecology Progress Series</w:t>
      </w:r>
      <w:r>
        <w:rPr>
          <w:color w:val="222222"/>
          <w:highlight w:val="white"/>
        </w:rPr>
        <w:t xml:space="preserve">, </w:t>
      </w:r>
      <w:r>
        <w:rPr>
          <w:i/>
          <w:color w:val="222222"/>
          <w:highlight w:val="white"/>
        </w:rPr>
        <w:t>471</w:t>
      </w:r>
      <w:r>
        <w:rPr>
          <w:color w:val="222222"/>
          <w:highlight w:val="white"/>
        </w:rPr>
        <w:t xml:space="preserve">, pp.283-291. </w:t>
      </w:r>
      <w:hyperlink r:id="rId170">
        <w:r>
          <w:rPr>
            <w:color w:val="1155CC"/>
            <w:highlight w:val="white"/>
            <w:u w:val="single"/>
          </w:rPr>
          <w:t>https://doi.org/10.3354/meps10029</w:t>
        </w:r>
      </w:hyperlink>
      <w:r>
        <w:rPr>
          <w:color w:val="222222"/>
          <w:highlight w:val="white"/>
        </w:rPr>
        <w:t xml:space="preserve"> </w:t>
      </w:r>
    </w:p>
    <w:p w14:paraId="2330F504" w14:textId="77777777" w:rsidR="007B149A" w:rsidRDefault="000E054D">
      <w:pPr>
        <w:spacing w:before="240" w:after="240" w:line="360" w:lineRule="auto"/>
        <w:ind w:left="360"/>
        <w:rPr>
          <w:color w:val="222222"/>
          <w:highlight w:val="white"/>
        </w:rPr>
      </w:pPr>
      <w:r>
        <w:rPr>
          <w:color w:val="222222"/>
          <w:highlight w:val="white"/>
        </w:rPr>
        <w:lastRenderedPageBreak/>
        <w:t xml:space="preserve">Marra, P.P., Hobson, K.A. and Holmes, R.T., 1998. Linking winter and summer events in a migratory bird by using stable-carbon isotopes. </w:t>
      </w:r>
      <w:r>
        <w:rPr>
          <w:i/>
          <w:color w:val="222222"/>
          <w:highlight w:val="white"/>
        </w:rPr>
        <w:t>Science</w:t>
      </w:r>
      <w:r>
        <w:rPr>
          <w:color w:val="222222"/>
          <w:highlight w:val="white"/>
        </w:rPr>
        <w:t xml:space="preserve">, </w:t>
      </w:r>
      <w:r>
        <w:rPr>
          <w:i/>
          <w:color w:val="222222"/>
          <w:highlight w:val="white"/>
        </w:rPr>
        <w:t>282</w:t>
      </w:r>
      <w:r>
        <w:rPr>
          <w:color w:val="222222"/>
          <w:highlight w:val="white"/>
        </w:rPr>
        <w:t xml:space="preserve">(5395), pp.1884-1886. </w:t>
      </w:r>
      <w:hyperlink r:id="rId171">
        <w:r>
          <w:rPr>
            <w:color w:val="1155CC"/>
            <w:highlight w:val="white"/>
            <w:u w:val="single"/>
          </w:rPr>
          <w:t>https://doi.org/10.1126/science.282.5395.1884</w:t>
        </w:r>
      </w:hyperlink>
      <w:r>
        <w:rPr>
          <w:color w:val="222222"/>
          <w:highlight w:val="white"/>
        </w:rPr>
        <w:t xml:space="preserve"> </w:t>
      </w:r>
    </w:p>
    <w:p w14:paraId="2330F505" w14:textId="77777777" w:rsidR="007B149A" w:rsidRDefault="000E054D">
      <w:pPr>
        <w:spacing w:before="240" w:after="240" w:line="360" w:lineRule="auto"/>
        <w:ind w:left="360"/>
        <w:rPr>
          <w:color w:val="222222"/>
          <w:highlight w:val="white"/>
        </w:rPr>
      </w:pPr>
      <w:r>
        <w:rPr>
          <w:color w:val="222222"/>
          <w:highlight w:val="white"/>
        </w:rPr>
        <w:t xml:space="preserve">Martin, C., Bentaleb, I., Steelandt, S. and Guinet, C., 2011. Stable carbon and nitrogen isotope variations in canine dentine growth layers of Kerguelen southern elephant seals. </w:t>
      </w:r>
      <w:r>
        <w:rPr>
          <w:i/>
          <w:color w:val="222222"/>
          <w:highlight w:val="white"/>
        </w:rPr>
        <w:t>Marine Ecology Progress Series</w:t>
      </w:r>
      <w:r>
        <w:rPr>
          <w:color w:val="222222"/>
          <w:highlight w:val="white"/>
        </w:rPr>
        <w:t xml:space="preserve">, </w:t>
      </w:r>
      <w:r>
        <w:rPr>
          <w:i/>
          <w:color w:val="222222"/>
          <w:highlight w:val="white"/>
        </w:rPr>
        <w:t>439</w:t>
      </w:r>
      <w:r>
        <w:rPr>
          <w:color w:val="222222"/>
          <w:highlight w:val="white"/>
        </w:rPr>
        <w:t xml:space="preserve">, pp.295-305. </w:t>
      </w:r>
      <w:hyperlink r:id="rId172">
        <w:r>
          <w:rPr>
            <w:color w:val="1155CC"/>
            <w:highlight w:val="white"/>
            <w:u w:val="single"/>
          </w:rPr>
          <w:t>https://doi.org/10.3354/meps09331</w:t>
        </w:r>
      </w:hyperlink>
      <w:r>
        <w:rPr>
          <w:color w:val="222222"/>
          <w:highlight w:val="white"/>
        </w:rPr>
        <w:t xml:space="preserve"> </w:t>
      </w:r>
    </w:p>
    <w:p w14:paraId="2330F506" w14:textId="77777777" w:rsidR="007B149A" w:rsidRDefault="000E054D">
      <w:pPr>
        <w:spacing w:before="240" w:after="240" w:line="360" w:lineRule="auto"/>
        <w:ind w:left="360"/>
        <w:rPr>
          <w:color w:val="222222"/>
          <w:highlight w:val="white"/>
        </w:rPr>
      </w:pPr>
      <w:r>
        <w:rPr>
          <w:color w:val="222222"/>
          <w:highlight w:val="white"/>
        </w:rPr>
        <w:t xml:space="preserve">Masello, J.F., Mundry, R., Poisbleau, M., Demongin, L., Voigt, C.C., Wikelski, M. and Quillfeldt, P., 2010. Diving seabirds share foraging space and time within and among species. </w:t>
      </w:r>
      <w:r>
        <w:rPr>
          <w:i/>
          <w:color w:val="222222"/>
          <w:highlight w:val="white"/>
        </w:rPr>
        <w:t>Ecosphere</w:t>
      </w:r>
      <w:r>
        <w:rPr>
          <w:color w:val="222222"/>
          <w:highlight w:val="white"/>
        </w:rPr>
        <w:t xml:space="preserve">, </w:t>
      </w:r>
      <w:r>
        <w:rPr>
          <w:i/>
          <w:color w:val="222222"/>
          <w:highlight w:val="white"/>
        </w:rPr>
        <w:t>1</w:t>
      </w:r>
      <w:r>
        <w:rPr>
          <w:color w:val="222222"/>
          <w:highlight w:val="white"/>
        </w:rPr>
        <w:t xml:space="preserve">(6), pp.1-28. </w:t>
      </w:r>
      <w:hyperlink r:id="rId173">
        <w:r>
          <w:rPr>
            <w:color w:val="1155CC"/>
            <w:highlight w:val="white"/>
            <w:u w:val="single"/>
          </w:rPr>
          <w:t>https://doi.org/10.1890/ES10-00103.1</w:t>
        </w:r>
      </w:hyperlink>
      <w:r>
        <w:rPr>
          <w:color w:val="222222"/>
          <w:highlight w:val="white"/>
        </w:rPr>
        <w:t xml:space="preserve"> </w:t>
      </w:r>
    </w:p>
    <w:p w14:paraId="2330F507" w14:textId="77777777" w:rsidR="007B149A" w:rsidRDefault="000E054D">
      <w:pPr>
        <w:spacing w:before="240" w:after="240" w:line="360" w:lineRule="auto"/>
        <w:ind w:left="360"/>
        <w:rPr>
          <w:color w:val="222222"/>
          <w:highlight w:val="white"/>
        </w:rPr>
      </w:pPr>
      <w:r>
        <w:rPr>
          <w:color w:val="222222"/>
          <w:highlight w:val="white"/>
        </w:rPr>
        <w:t xml:space="preserve">Marchand, K.A., Poulin, R.G. and Somers, C.M., 2018. Western Painted Turtles (Chrysemys picta bellii) in a Highly Urbanized System: Unexpected Variation in Resource Use Among Age Classes and Sexes. </w:t>
      </w:r>
      <w:r>
        <w:rPr>
          <w:i/>
          <w:color w:val="222222"/>
          <w:highlight w:val="white"/>
        </w:rPr>
        <w:t>Herpetologica</w:t>
      </w:r>
      <w:r>
        <w:rPr>
          <w:color w:val="222222"/>
          <w:highlight w:val="white"/>
        </w:rPr>
        <w:t xml:space="preserve">, </w:t>
      </w:r>
      <w:r>
        <w:rPr>
          <w:i/>
          <w:color w:val="222222"/>
          <w:highlight w:val="white"/>
        </w:rPr>
        <w:t>74</w:t>
      </w:r>
      <w:r>
        <w:rPr>
          <w:color w:val="222222"/>
          <w:highlight w:val="white"/>
        </w:rPr>
        <w:t xml:space="preserve">(3), pp.217-225. </w:t>
      </w:r>
      <w:hyperlink r:id="rId174">
        <w:r>
          <w:rPr>
            <w:color w:val="1155CC"/>
            <w:highlight w:val="white"/>
            <w:u w:val="single"/>
          </w:rPr>
          <w:t>https://doi.org/10.1655/Herpetologica-D-17-00071.1</w:t>
        </w:r>
      </w:hyperlink>
      <w:r>
        <w:rPr>
          <w:color w:val="222222"/>
          <w:highlight w:val="white"/>
        </w:rPr>
        <w:t xml:space="preserve"> </w:t>
      </w:r>
    </w:p>
    <w:p w14:paraId="2330F508" w14:textId="77777777" w:rsidR="007B149A" w:rsidRDefault="000E054D">
      <w:pPr>
        <w:spacing w:before="240" w:after="240" w:line="360" w:lineRule="auto"/>
        <w:ind w:left="360"/>
        <w:rPr>
          <w:color w:val="222222"/>
          <w:highlight w:val="white"/>
        </w:rPr>
      </w:pPr>
      <w:r>
        <w:rPr>
          <w:color w:val="222222"/>
          <w:highlight w:val="white"/>
        </w:rPr>
        <w:t xml:space="preserve">Márquez-Velásquez, V., Rosa, R.S., Galindo, E. and Navia, A.F., 2019. Feeding habits and ecological role of the freshwater stingray Potamotrygon magdalenae (Duméril </w:t>
      </w:r>
      <w:proofErr w:type="gramStart"/>
      <w:r>
        <w:rPr>
          <w:color w:val="222222"/>
          <w:highlight w:val="white"/>
        </w:rPr>
        <w:t>1865)(</w:t>
      </w:r>
      <w:proofErr w:type="gramEnd"/>
      <w:r>
        <w:rPr>
          <w:color w:val="222222"/>
          <w:highlight w:val="white"/>
        </w:rPr>
        <w:t xml:space="preserve">Myliobatiformes: Potamotrygonidae), combining gut-content and stable isotope analysis. </w:t>
      </w:r>
      <w:r>
        <w:rPr>
          <w:i/>
          <w:color w:val="222222"/>
          <w:highlight w:val="white"/>
        </w:rPr>
        <w:t>Environmental Biology of Fishes</w:t>
      </w:r>
      <w:r>
        <w:rPr>
          <w:color w:val="222222"/>
          <w:highlight w:val="white"/>
        </w:rPr>
        <w:t xml:space="preserve">, </w:t>
      </w:r>
      <w:r>
        <w:rPr>
          <w:i/>
          <w:color w:val="222222"/>
          <w:highlight w:val="white"/>
        </w:rPr>
        <w:t>102</w:t>
      </w:r>
      <w:r>
        <w:rPr>
          <w:color w:val="222222"/>
          <w:highlight w:val="white"/>
        </w:rPr>
        <w:t xml:space="preserve">(8), pp.1119-1136. </w:t>
      </w:r>
      <w:hyperlink r:id="rId175">
        <w:r>
          <w:rPr>
            <w:color w:val="1155CC"/>
            <w:highlight w:val="white"/>
            <w:u w:val="single"/>
          </w:rPr>
          <w:t>https://doi.org/10.1007/s10641-019-00897-0</w:t>
        </w:r>
      </w:hyperlink>
      <w:r>
        <w:rPr>
          <w:color w:val="222222"/>
          <w:highlight w:val="white"/>
        </w:rPr>
        <w:t xml:space="preserve"> </w:t>
      </w:r>
    </w:p>
    <w:p w14:paraId="2330F509" w14:textId="77777777" w:rsidR="007B149A" w:rsidRDefault="000E054D">
      <w:pPr>
        <w:spacing w:before="240" w:after="240" w:line="360" w:lineRule="auto"/>
        <w:ind w:left="360"/>
        <w:rPr>
          <w:color w:val="222222"/>
          <w:highlight w:val="white"/>
        </w:rPr>
      </w:pPr>
      <w:r>
        <w:rPr>
          <w:color w:val="222222"/>
          <w:highlight w:val="white"/>
        </w:rPr>
        <w:t xml:space="preserve">Mariano-Jelicich, R., Botto, F., Martinetto, P., Iribarne, O. and Favero, M., 2008. Trophic segregation between sexes in the Black Skimmer revealed through the analysis of stable isotopes. </w:t>
      </w:r>
      <w:r>
        <w:rPr>
          <w:i/>
          <w:color w:val="222222"/>
          <w:highlight w:val="white"/>
        </w:rPr>
        <w:t>Marine biology</w:t>
      </w:r>
      <w:r>
        <w:rPr>
          <w:color w:val="222222"/>
          <w:highlight w:val="white"/>
        </w:rPr>
        <w:t xml:space="preserve">, </w:t>
      </w:r>
      <w:r>
        <w:rPr>
          <w:i/>
          <w:color w:val="222222"/>
          <w:highlight w:val="white"/>
        </w:rPr>
        <w:t>155</w:t>
      </w:r>
      <w:r>
        <w:rPr>
          <w:color w:val="222222"/>
          <w:highlight w:val="white"/>
        </w:rPr>
        <w:t xml:space="preserve">(4), pp.443-450. </w:t>
      </w:r>
      <w:hyperlink r:id="rId176">
        <w:r>
          <w:rPr>
            <w:color w:val="1155CC"/>
            <w:highlight w:val="white"/>
            <w:u w:val="single"/>
          </w:rPr>
          <w:t>https://doi.org/10.1007/s00227-008-1042-8</w:t>
        </w:r>
      </w:hyperlink>
      <w:r>
        <w:rPr>
          <w:color w:val="222222"/>
          <w:highlight w:val="white"/>
        </w:rPr>
        <w:t xml:space="preserve"> </w:t>
      </w:r>
    </w:p>
    <w:p w14:paraId="2330F50A" w14:textId="77777777" w:rsidR="007B149A" w:rsidRDefault="000E054D">
      <w:pPr>
        <w:spacing w:before="240" w:after="240" w:line="360" w:lineRule="auto"/>
        <w:ind w:left="360"/>
        <w:rPr>
          <w:color w:val="222222"/>
          <w:highlight w:val="white"/>
        </w:rPr>
      </w:pPr>
      <w:r>
        <w:rPr>
          <w:color w:val="222222"/>
          <w:highlight w:val="white"/>
        </w:rPr>
        <w:t xml:space="preserve">Mariano-Jelicich, R., Copello, S., Pon, J.P.S. and Favero, M., 2017. Long-term changes in Black-browed </w:t>
      </w:r>
      <w:proofErr w:type="gramStart"/>
      <w:r>
        <w:rPr>
          <w:color w:val="222222"/>
          <w:highlight w:val="white"/>
        </w:rPr>
        <w:t>albatrosses</w:t>
      </w:r>
      <w:proofErr w:type="gramEnd"/>
      <w:r>
        <w:rPr>
          <w:color w:val="222222"/>
          <w:highlight w:val="white"/>
        </w:rPr>
        <w:t xml:space="preserve"> diet as a result of fisheries expansion: an isotopic approach. </w:t>
      </w:r>
      <w:r>
        <w:rPr>
          <w:i/>
          <w:color w:val="222222"/>
          <w:highlight w:val="white"/>
        </w:rPr>
        <w:t>Marine Biology</w:t>
      </w:r>
      <w:r>
        <w:rPr>
          <w:color w:val="222222"/>
          <w:highlight w:val="white"/>
        </w:rPr>
        <w:t xml:space="preserve">, </w:t>
      </w:r>
      <w:r>
        <w:rPr>
          <w:i/>
          <w:color w:val="222222"/>
          <w:highlight w:val="white"/>
        </w:rPr>
        <w:t>164</w:t>
      </w:r>
      <w:r>
        <w:rPr>
          <w:color w:val="222222"/>
          <w:highlight w:val="white"/>
        </w:rPr>
        <w:t xml:space="preserve">(6), pp.1-12. </w:t>
      </w:r>
      <w:hyperlink r:id="rId177">
        <w:r>
          <w:rPr>
            <w:color w:val="1155CC"/>
            <w:highlight w:val="white"/>
            <w:u w:val="single"/>
          </w:rPr>
          <w:t>https://doi.org/10.1007/s00227-017-3176-z</w:t>
        </w:r>
      </w:hyperlink>
      <w:r>
        <w:rPr>
          <w:color w:val="222222"/>
          <w:highlight w:val="white"/>
        </w:rPr>
        <w:t xml:space="preserve"> </w:t>
      </w:r>
    </w:p>
    <w:p w14:paraId="2330F50B" w14:textId="77777777" w:rsidR="007B149A" w:rsidRDefault="000E054D">
      <w:pPr>
        <w:spacing w:before="240" w:after="240" w:line="360" w:lineRule="auto"/>
        <w:ind w:left="360"/>
        <w:rPr>
          <w:color w:val="222222"/>
          <w:highlight w:val="white"/>
        </w:rPr>
      </w:pPr>
      <w:r>
        <w:rPr>
          <w:color w:val="222222"/>
          <w:highlight w:val="white"/>
        </w:rPr>
        <w:t xml:space="preserve">Marques, T.S., Brito, E.S., Lara, N.R., Beloto, L.M., Valadão, R.M., Camargo, P.B.D. and Verdade, L.M., 2017. The trophic niche of Mesoclemmys vanderhaegei (Testudines: </w:t>
      </w:r>
      <w:r>
        <w:rPr>
          <w:color w:val="222222"/>
          <w:highlight w:val="white"/>
        </w:rPr>
        <w:lastRenderedPageBreak/>
        <w:t xml:space="preserve">Chelidae): evidence from stable isotopes. </w:t>
      </w:r>
      <w:r>
        <w:rPr>
          <w:i/>
          <w:color w:val="222222"/>
          <w:highlight w:val="white"/>
        </w:rPr>
        <w:t>Zoologia (Curitiba)</w:t>
      </w:r>
      <w:r>
        <w:rPr>
          <w:color w:val="222222"/>
          <w:highlight w:val="white"/>
        </w:rPr>
        <w:t xml:space="preserve">, </w:t>
      </w:r>
      <w:r>
        <w:rPr>
          <w:i/>
          <w:color w:val="222222"/>
          <w:highlight w:val="white"/>
        </w:rPr>
        <w:t>34</w:t>
      </w:r>
      <w:r>
        <w:rPr>
          <w:color w:val="222222"/>
          <w:highlight w:val="white"/>
        </w:rPr>
        <w:t xml:space="preserve">. </w:t>
      </w:r>
      <w:hyperlink r:id="rId178">
        <w:r>
          <w:rPr>
            <w:color w:val="1155CC"/>
            <w:highlight w:val="white"/>
            <w:u w:val="single"/>
          </w:rPr>
          <w:t>https://doi.org/10.3897/zoologia.34.e19985</w:t>
        </w:r>
      </w:hyperlink>
      <w:r>
        <w:rPr>
          <w:color w:val="222222"/>
          <w:highlight w:val="white"/>
        </w:rPr>
        <w:t xml:space="preserve"> </w:t>
      </w:r>
    </w:p>
    <w:p w14:paraId="2330F50C" w14:textId="77777777" w:rsidR="007B149A" w:rsidRDefault="000E054D">
      <w:pPr>
        <w:spacing w:before="240" w:after="240" w:line="360" w:lineRule="auto"/>
        <w:ind w:left="360"/>
        <w:rPr>
          <w:color w:val="222222"/>
          <w:highlight w:val="white"/>
        </w:rPr>
      </w:pPr>
      <w:r>
        <w:rPr>
          <w:color w:val="222222"/>
          <w:highlight w:val="white"/>
        </w:rPr>
        <w:t xml:space="preserve">Matsubayashi, J., Tayasu, I., Morimoto, J.O. and Mano, T., 2016. Testing for a predicted decrease in body size in brown bears (Ursus arctos) based on a historical shift in diet. </w:t>
      </w:r>
      <w:r>
        <w:rPr>
          <w:i/>
          <w:color w:val="222222"/>
          <w:highlight w:val="white"/>
        </w:rPr>
        <w:t>Canadian Journal of Zoology</w:t>
      </w:r>
      <w:r>
        <w:rPr>
          <w:color w:val="222222"/>
          <w:highlight w:val="white"/>
        </w:rPr>
        <w:t xml:space="preserve">, </w:t>
      </w:r>
      <w:r>
        <w:rPr>
          <w:i/>
          <w:color w:val="222222"/>
          <w:highlight w:val="white"/>
        </w:rPr>
        <w:t>94</w:t>
      </w:r>
      <w:r>
        <w:rPr>
          <w:color w:val="222222"/>
          <w:highlight w:val="white"/>
        </w:rPr>
        <w:t xml:space="preserve">(7), pp.489-495. </w:t>
      </w:r>
      <w:hyperlink r:id="rId179">
        <w:r>
          <w:rPr>
            <w:color w:val="1155CC"/>
            <w:highlight w:val="white"/>
            <w:u w:val="single"/>
          </w:rPr>
          <w:t>https://doi.org/10.1139/cjz-2016-0046</w:t>
        </w:r>
      </w:hyperlink>
      <w:r>
        <w:rPr>
          <w:color w:val="222222"/>
          <w:highlight w:val="white"/>
        </w:rPr>
        <w:t xml:space="preserve"> </w:t>
      </w:r>
    </w:p>
    <w:p w14:paraId="2330F50D" w14:textId="77777777" w:rsidR="007B149A" w:rsidRDefault="000E054D">
      <w:pPr>
        <w:spacing w:before="240" w:after="240" w:line="360" w:lineRule="auto"/>
        <w:ind w:left="360"/>
        <w:rPr>
          <w:color w:val="222222"/>
          <w:highlight w:val="white"/>
        </w:rPr>
      </w:pPr>
      <w:r>
        <w:rPr>
          <w:color w:val="222222"/>
          <w:highlight w:val="white"/>
        </w:rPr>
        <w:t xml:space="preserve">Méndez-Da Silveira, E.D., Torres-Rojas, Y.E., Galvan-Magaña, F., Sanchez-González, A., Elorriaga-Verplancken, F., Tripp-Valdez, A. and Delgado-Huertas, A., 2020. Trophic interactions between shark species on the western coast of Baja California Sur: Inferences from stable isotopes. </w:t>
      </w:r>
      <w:r>
        <w:rPr>
          <w:i/>
          <w:color w:val="222222"/>
          <w:highlight w:val="white"/>
        </w:rPr>
        <w:t>Regional Studies in Marine Science</w:t>
      </w:r>
      <w:r>
        <w:rPr>
          <w:color w:val="222222"/>
          <w:highlight w:val="white"/>
        </w:rPr>
        <w:t xml:space="preserve">, </w:t>
      </w:r>
      <w:r>
        <w:rPr>
          <w:i/>
          <w:color w:val="222222"/>
          <w:highlight w:val="white"/>
        </w:rPr>
        <w:t>39</w:t>
      </w:r>
      <w:r>
        <w:rPr>
          <w:color w:val="222222"/>
          <w:highlight w:val="white"/>
        </w:rPr>
        <w:t xml:space="preserve">, p.101463. </w:t>
      </w:r>
      <w:hyperlink r:id="rId180">
        <w:r>
          <w:rPr>
            <w:color w:val="1155CC"/>
            <w:highlight w:val="white"/>
            <w:u w:val="single"/>
          </w:rPr>
          <w:t>https://doi.org/10.1016/j.rsma.2020.101463</w:t>
        </w:r>
      </w:hyperlink>
      <w:r>
        <w:rPr>
          <w:color w:val="222222"/>
          <w:highlight w:val="white"/>
        </w:rPr>
        <w:t xml:space="preserve"> </w:t>
      </w:r>
    </w:p>
    <w:p w14:paraId="2330F50E" w14:textId="77777777" w:rsidR="007B149A" w:rsidRDefault="000E054D">
      <w:pPr>
        <w:spacing w:before="240" w:after="240" w:line="360" w:lineRule="auto"/>
        <w:ind w:left="360"/>
        <w:rPr>
          <w:color w:val="222222"/>
          <w:highlight w:val="white"/>
        </w:rPr>
      </w:pPr>
      <w:r>
        <w:rPr>
          <w:color w:val="222222"/>
          <w:highlight w:val="white"/>
        </w:rPr>
        <w:t xml:space="preserve">Michalik, A., McGill, R.A., van Noordwijk, H.J., Masello, J.F., Furness, R.W., Eggers, T. and Quillfeldt, P., 2013. Stable isotopes reveal variable foraging behaviour in a colony of the Imperial Shag Phalacrocorax atriceps: differences between ages, </w:t>
      </w:r>
      <w:proofErr w:type="gramStart"/>
      <w:r>
        <w:rPr>
          <w:color w:val="222222"/>
          <w:highlight w:val="white"/>
        </w:rPr>
        <w:t>sexes</w:t>
      </w:r>
      <w:proofErr w:type="gramEnd"/>
      <w:r>
        <w:rPr>
          <w:color w:val="222222"/>
          <w:highlight w:val="white"/>
        </w:rPr>
        <w:t xml:space="preserve"> and years. </w:t>
      </w:r>
      <w:r>
        <w:rPr>
          <w:i/>
          <w:color w:val="222222"/>
          <w:highlight w:val="white"/>
        </w:rPr>
        <w:t>Journal of Ornithology</w:t>
      </w:r>
      <w:r>
        <w:rPr>
          <w:color w:val="222222"/>
          <w:highlight w:val="white"/>
        </w:rPr>
        <w:t xml:space="preserve">, </w:t>
      </w:r>
      <w:r>
        <w:rPr>
          <w:i/>
          <w:color w:val="222222"/>
          <w:highlight w:val="white"/>
        </w:rPr>
        <w:t>154</w:t>
      </w:r>
      <w:r>
        <w:rPr>
          <w:color w:val="222222"/>
          <w:highlight w:val="white"/>
        </w:rPr>
        <w:t xml:space="preserve">(1), pp.239-249. </w:t>
      </w:r>
      <w:hyperlink r:id="rId181">
        <w:r>
          <w:rPr>
            <w:color w:val="1155CC"/>
            <w:highlight w:val="white"/>
            <w:u w:val="single"/>
          </w:rPr>
          <w:t>https://doi.org/10.1007/s10336-012-0890-7</w:t>
        </w:r>
      </w:hyperlink>
      <w:r>
        <w:rPr>
          <w:color w:val="222222"/>
          <w:highlight w:val="white"/>
        </w:rPr>
        <w:t xml:space="preserve"> </w:t>
      </w:r>
    </w:p>
    <w:p w14:paraId="2330F50F" w14:textId="77777777" w:rsidR="007B149A" w:rsidRDefault="000E054D">
      <w:pPr>
        <w:spacing w:before="240" w:after="240" w:line="360" w:lineRule="auto"/>
        <w:ind w:left="360"/>
        <w:rPr>
          <w:color w:val="222222"/>
          <w:highlight w:val="white"/>
        </w:rPr>
      </w:pPr>
      <w:r>
        <w:rPr>
          <w:color w:val="222222"/>
          <w:highlight w:val="white"/>
        </w:rPr>
        <w:t xml:space="preserve">Mills, W.F., McGill, R.A., Cherel, Y., Votier, S.C. and Phillips, R.A., 2021. Stable isotopes demonstrate intraspecific variation in habitat use and trophic level of non‐breeding albatrosses. </w:t>
      </w:r>
      <w:r>
        <w:rPr>
          <w:i/>
          <w:color w:val="222222"/>
          <w:highlight w:val="white"/>
        </w:rPr>
        <w:t>Ibis</w:t>
      </w:r>
      <w:r>
        <w:rPr>
          <w:color w:val="222222"/>
          <w:highlight w:val="white"/>
        </w:rPr>
        <w:t xml:space="preserve">, </w:t>
      </w:r>
      <w:r>
        <w:rPr>
          <w:i/>
          <w:color w:val="222222"/>
          <w:highlight w:val="white"/>
        </w:rPr>
        <w:t>163</w:t>
      </w:r>
      <w:r>
        <w:rPr>
          <w:color w:val="222222"/>
          <w:highlight w:val="white"/>
        </w:rPr>
        <w:t xml:space="preserve">(2), pp.463-472. </w:t>
      </w:r>
      <w:hyperlink r:id="rId182">
        <w:r>
          <w:rPr>
            <w:color w:val="1155CC"/>
            <w:highlight w:val="white"/>
            <w:u w:val="single"/>
          </w:rPr>
          <w:t>https://doi.org/10.1111/ibi.12874</w:t>
        </w:r>
      </w:hyperlink>
      <w:r>
        <w:rPr>
          <w:color w:val="222222"/>
          <w:highlight w:val="white"/>
        </w:rPr>
        <w:t xml:space="preserve"> </w:t>
      </w:r>
    </w:p>
    <w:p w14:paraId="2330F510" w14:textId="77777777" w:rsidR="007B149A" w:rsidRDefault="000E054D">
      <w:pPr>
        <w:spacing w:before="240" w:after="240" w:line="360" w:lineRule="auto"/>
        <w:ind w:left="360"/>
        <w:rPr>
          <w:color w:val="222222"/>
          <w:highlight w:val="white"/>
        </w:rPr>
      </w:pPr>
      <w:r>
        <w:rPr>
          <w:color w:val="222222"/>
          <w:highlight w:val="white"/>
        </w:rPr>
        <w:t xml:space="preserve">Morris, A.D., Letcher, R.J., Dyck, M., Chandramouli, B., Fisk, A.T. and Cosgrove, J., 2018. Multivariate statistical analysis of metabolomics profiles in tissues of polar bears (Ursus maritimus) from the Southern and Western Hudson Bay subpopulations. </w:t>
      </w:r>
      <w:r>
        <w:rPr>
          <w:i/>
          <w:color w:val="222222"/>
          <w:highlight w:val="white"/>
        </w:rPr>
        <w:t>Polar Biology</w:t>
      </w:r>
      <w:r>
        <w:rPr>
          <w:color w:val="222222"/>
          <w:highlight w:val="white"/>
        </w:rPr>
        <w:t xml:space="preserve">, </w:t>
      </w:r>
      <w:r>
        <w:rPr>
          <w:i/>
          <w:color w:val="222222"/>
          <w:highlight w:val="white"/>
        </w:rPr>
        <w:t>41</w:t>
      </w:r>
      <w:r>
        <w:rPr>
          <w:color w:val="222222"/>
          <w:highlight w:val="white"/>
        </w:rPr>
        <w:t xml:space="preserve">(3), pp.433-449. </w:t>
      </w:r>
      <w:hyperlink r:id="rId183">
        <w:r>
          <w:rPr>
            <w:color w:val="1155CC"/>
            <w:highlight w:val="white"/>
            <w:u w:val="single"/>
          </w:rPr>
          <w:t>https://doi.org/10.1007/s00300-017-2200-6</w:t>
        </w:r>
      </w:hyperlink>
      <w:r>
        <w:rPr>
          <w:color w:val="222222"/>
          <w:highlight w:val="white"/>
        </w:rPr>
        <w:t xml:space="preserve"> </w:t>
      </w:r>
    </w:p>
    <w:p w14:paraId="2330F511" w14:textId="77777777" w:rsidR="007B149A" w:rsidRDefault="000E054D">
      <w:pPr>
        <w:spacing w:before="240" w:after="240" w:line="360" w:lineRule="auto"/>
        <w:ind w:left="360"/>
        <w:rPr>
          <w:color w:val="222222"/>
          <w:highlight w:val="white"/>
        </w:rPr>
      </w:pPr>
      <w:r>
        <w:rPr>
          <w:color w:val="222222"/>
          <w:highlight w:val="white"/>
        </w:rPr>
        <w:t xml:space="preserve">Moyo, S. and Jacobs, D.S., 2020. Faecal analyses and alimentary tracers reveal the foraging ecology of two sympatric bats. </w:t>
      </w:r>
      <w:r>
        <w:rPr>
          <w:i/>
          <w:color w:val="222222"/>
          <w:highlight w:val="white"/>
        </w:rPr>
        <w:t>PloS one</w:t>
      </w:r>
      <w:r>
        <w:rPr>
          <w:color w:val="222222"/>
          <w:highlight w:val="white"/>
        </w:rPr>
        <w:t xml:space="preserve">, </w:t>
      </w:r>
      <w:r>
        <w:rPr>
          <w:i/>
          <w:color w:val="222222"/>
          <w:highlight w:val="white"/>
        </w:rPr>
        <w:t>15</w:t>
      </w:r>
      <w:r>
        <w:rPr>
          <w:color w:val="222222"/>
          <w:highlight w:val="white"/>
        </w:rPr>
        <w:t xml:space="preserve">(1), p.e0227743. </w:t>
      </w:r>
      <w:hyperlink r:id="rId184">
        <w:r>
          <w:rPr>
            <w:color w:val="1155CC"/>
            <w:highlight w:val="white"/>
            <w:u w:val="single"/>
          </w:rPr>
          <w:t>https://doi.org/10.1371/journal.pone.0227743</w:t>
        </w:r>
      </w:hyperlink>
      <w:r>
        <w:rPr>
          <w:color w:val="222222"/>
          <w:highlight w:val="white"/>
        </w:rPr>
        <w:t xml:space="preserve"> </w:t>
      </w:r>
    </w:p>
    <w:p w14:paraId="2330F512" w14:textId="77777777" w:rsidR="007B149A" w:rsidRDefault="000E054D">
      <w:pPr>
        <w:spacing w:before="240" w:after="240" w:line="360" w:lineRule="auto"/>
        <w:ind w:left="360"/>
        <w:rPr>
          <w:color w:val="222222"/>
          <w:highlight w:val="white"/>
        </w:rPr>
      </w:pPr>
      <w:r>
        <w:rPr>
          <w:color w:val="222222"/>
          <w:highlight w:val="white"/>
        </w:rPr>
        <w:t xml:space="preserve">Muro-Torres, V.M., Amezcua, F., Lara-Mendoza, R.E., Buszkiewicz, J.T. and Amezcua-Linares, F., 2018. Trophic ecology of the chihuil sea catfish (Bagre panamensis) in the south-east Gulf </w:t>
      </w:r>
      <w:r>
        <w:rPr>
          <w:color w:val="222222"/>
          <w:highlight w:val="white"/>
        </w:rPr>
        <w:lastRenderedPageBreak/>
        <w:t xml:space="preserve">of California, México. </w:t>
      </w:r>
      <w:r>
        <w:rPr>
          <w:i/>
          <w:color w:val="222222"/>
          <w:highlight w:val="white"/>
        </w:rPr>
        <w:t>Journal of the Marine Biological Association of the United Kingdom</w:t>
      </w:r>
      <w:r>
        <w:rPr>
          <w:color w:val="222222"/>
          <w:highlight w:val="white"/>
        </w:rPr>
        <w:t xml:space="preserve">, </w:t>
      </w:r>
      <w:r>
        <w:rPr>
          <w:i/>
          <w:color w:val="222222"/>
          <w:highlight w:val="white"/>
        </w:rPr>
        <w:t>98</w:t>
      </w:r>
      <w:r>
        <w:rPr>
          <w:color w:val="222222"/>
          <w:highlight w:val="white"/>
        </w:rPr>
        <w:t xml:space="preserve">(4), pp.885-893. </w:t>
      </w:r>
      <w:hyperlink r:id="rId185">
        <w:r>
          <w:rPr>
            <w:color w:val="1155CC"/>
            <w:highlight w:val="white"/>
            <w:u w:val="single"/>
          </w:rPr>
          <w:t>https://doi.org/10.1017/S0025315417000170</w:t>
        </w:r>
      </w:hyperlink>
      <w:r>
        <w:rPr>
          <w:color w:val="222222"/>
          <w:highlight w:val="white"/>
        </w:rPr>
        <w:t xml:space="preserve"> </w:t>
      </w:r>
    </w:p>
    <w:p w14:paraId="2330F513" w14:textId="77777777" w:rsidR="007B149A" w:rsidRDefault="000E054D">
      <w:pPr>
        <w:spacing w:before="240" w:after="240" w:line="360" w:lineRule="auto"/>
        <w:ind w:left="360"/>
        <w:rPr>
          <w:color w:val="222222"/>
          <w:highlight w:val="white"/>
        </w:rPr>
      </w:pPr>
      <w:r>
        <w:rPr>
          <w:color w:val="222222"/>
          <w:highlight w:val="white"/>
        </w:rPr>
        <w:t xml:space="preserve">Murray, I.W. and Wolf, B.O., 2013. Desert tortoise (Gopherus agassizii) dietary specialization decreases across a precipitation gradient. </w:t>
      </w:r>
      <w:r>
        <w:rPr>
          <w:i/>
          <w:color w:val="222222"/>
          <w:highlight w:val="white"/>
        </w:rPr>
        <w:t>PloS one</w:t>
      </w:r>
      <w:r>
        <w:rPr>
          <w:color w:val="222222"/>
          <w:highlight w:val="white"/>
        </w:rPr>
        <w:t xml:space="preserve">, </w:t>
      </w:r>
      <w:r>
        <w:rPr>
          <w:i/>
          <w:color w:val="222222"/>
          <w:highlight w:val="white"/>
        </w:rPr>
        <w:t>8</w:t>
      </w:r>
      <w:r>
        <w:rPr>
          <w:color w:val="222222"/>
          <w:highlight w:val="white"/>
        </w:rPr>
        <w:t xml:space="preserve">(6), p.e66505. </w:t>
      </w:r>
      <w:hyperlink r:id="rId186">
        <w:r>
          <w:rPr>
            <w:color w:val="1155CC"/>
            <w:highlight w:val="white"/>
            <w:u w:val="single"/>
          </w:rPr>
          <w:t>https://doi.org/10.1371/journal.pone.0066505</w:t>
        </w:r>
      </w:hyperlink>
      <w:r>
        <w:rPr>
          <w:color w:val="222222"/>
          <w:highlight w:val="white"/>
        </w:rPr>
        <w:t xml:space="preserve"> </w:t>
      </w:r>
    </w:p>
    <w:p w14:paraId="2330F514" w14:textId="77777777" w:rsidR="007B149A" w:rsidRDefault="000E054D">
      <w:pPr>
        <w:spacing w:before="240" w:after="240" w:line="360" w:lineRule="auto"/>
        <w:ind w:left="360"/>
        <w:rPr>
          <w:color w:val="222222"/>
          <w:highlight w:val="white"/>
        </w:rPr>
      </w:pPr>
      <w:r>
        <w:rPr>
          <w:color w:val="222222"/>
          <w:highlight w:val="white"/>
        </w:rPr>
        <w:t xml:space="preserve">Nadjafzadeh, M., Voigt, C.C. and Krone, O., 2016. Spatial, </w:t>
      </w:r>
      <w:proofErr w:type="gramStart"/>
      <w:r>
        <w:rPr>
          <w:color w:val="222222"/>
          <w:highlight w:val="white"/>
        </w:rPr>
        <w:t>seasonal</w:t>
      </w:r>
      <w:proofErr w:type="gramEnd"/>
      <w:r>
        <w:rPr>
          <w:color w:val="222222"/>
          <w:highlight w:val="white"/>
        </w:rPr>
        <w:t xml:space="preserve"> and individual variation in the diet of White‐tailed Eagles Haliaeetus albicilla assessed using stable isotope ratios. </w:t>
      </w:r>
      <w:r>
        <w:rPr>
          <w:i/>
          <w:color w:val="222222"/>
          <w:highlight w:val="white"/>
        </w:rPr>
        <w:t>Ibis</w:t>
      </w:r>
      <w:r>
        <w:rPr>
          <w:color w:val="222222"/>
          <w:highlight w:val="white"/>
        </w:rPr>
        <w:t xml:space="preserve">, </w:t>
      </w:r>
      <w:r>
        <w:rPr>
          <w:i/>
          <w:color w:val="222222"/>
          <w:highlight w:val="white"/>
        </w:rPr>
        <w:t>158</w:t>
      </w:r>
      <w:r>
        <w:rPr>
          <w:color w:val="222222"/>
          <w:highlight w:val="white"/>
        </w:rPr>
        <w:t xml:space="preserve">(1), pp.1-15. </w:t>
      </w:r>
      <w:hyperlink r:id="rId187">
        <w:r>
          <w:rPr>
            <w:color w:val="1155CC"/>
            <w:highlight w:val="white"/>
            <w:u w:val="single"/>
          </w:rPr>
          <w:t>https://doi.org/10.1111/ibi.12311</w:t>
        </w:r>
      </w:hyperlink>
      <w:r>
        <w:rPr>
          <w:color w:val="222222"/>
          <w:highlight w:val="white"/>
        </w:rPr>
        <w:t xml:space="preserve"> </w:t>
      </w:r>
    </w:p>
    <w:p w14:paraId="2330F515" w14:textId="77777777" w:rsidR="007B149A" w:rsidRDefault="000E054D">
      <w:pPr>
        <w:spacing w:before="240" w:after="240" w:line="360" w:lineRule="auto"/>
        <w:ind w:left="360"/>
        <w:rPr>
          <w:color w:val="222222"/>
          <w:highlight w:val="white"/>
        </w:rPr>
      </w:pPr>
      <w:r>
        <w:rPr>
          <w:color w:val="222222"/>
          <w:highlight w:val="white"/>
        </w:rPr>
        <w:t xml:space="preserve">Neto, J.M., de Oliveira Gordinho, L., Vollot, B., Marín, M., Monrós, J.S. and Newton, J., 2017. Stable isotopes reveal differences in diet among reed bunting subspecies that vary in bill size. </w:t>
      </w:r>
      <w:r>
        <w:rPr>
          <w:i/>
          <w:color w:val="222222"/>
          <w:highlight w:val="white"/>
        </w:rPr>
        <w:t>Journal of Avian Biology</w:t>
      </w:r>
      <w:r>
        <w:rPr>
          <w:color w:val="222222"/>
          <w:highlight w:val="white"/>
        </w:rPr>
        <w:t xml:space="preserve">, </w:t>
      </w:r>
      <w:r>
        <w:rPr>
          <w:i/>
          <w:color w:val="222222"/>
          <w:highlight w:val="white"/>
        </w:rPr>
        <w:t>48</w:t>
      </w:r>
      <w:r>
        <w:rPr>
          <w:color w:val="222222"/>
          <w:highlight w:val="white"/>
        </w:rPr>
        <w:t xml:space="preserve">(2), pp.284-294. </w:t>
      </w:r>
      <w:hyperlink r:id="rId188">
        <w:r>
          <w:rPr>
            <w:color w:val="1155CC"/>
            <w:highlight w:val="white"/>
            <w:u w:val="single"/>
          </w:rPr>
          <w:t>https://doi.org/10.1111/jav.01069</w:t>
        </w:r>
      </w:hyperlink>
      <w:r>
        <w:rPr>
          <w:color w:val="222222"/>
          <w:highlight w:val="white"/>
        </w:rPr>
        <w:t xml:space="preserve"> </w:t>
      </w:r>
    </w:p>
    <w:p w14:paraId="2330F516" w14:textId="77777777" w:rsidR="007B149A" w:rsidRDefault="000E054D">
      <w:pPr>
        <w:spacing w:before="240" w:after="240" w:line="360" w:lineRule="auto"/>
        <w:ind w:left="360"/>
        <w:rPr>
          <w:color w:val="222222"/>
          <w:highlight w:val="white"/>
        </w:rPr>
      </w:pPr>
      <w:r>
        <w:rPr>
          <w:color w:val="222222"/>
          <w:highlight w:val="white"/>
        </w:rPr>
        <w:t xml:space="preserve">Newsome, S.D., Tinker, M.T., Monson, D.H., Oftedal, O.T., Ralls, K., Staedler, M.M., Fogel, M.L. and Estes, J.A., 2009. Using stable isotopes to investigate individual diet specialization in California sea otters (Enhydra lutris nereis). </w:t>
      </w:r>
      <w:r>
        <w:rPr>
          <w:i/>
          <w:color w:val="222222"/>
          <w:highlight w:val="white"/>
        </w:rPr>
        <w:t>Ecology</w:t>
      </w:r>
      <w:r>
        <w:rPr>
          <w:color w:val="222222"/>
          <w:highlight w:val="white"/>
        </w:rPr>
        <w:t xml:space="preserve">, </w:t>
      </w:r>
      <w:r>
        <w:rPr>
          <w:i/>
          <w:color w:val="222222"/>
          <w:highlight w:val="white"/>
        </w:rPr>
        <w:t>90</w:t>
      </w:r>
      <w:r>
        <w:rPr>
          <w:color w:val="222222"/>
          <w:highlight w:val="white"/>
        </w:rPr>
        <w:t xml:space="preserve">(4), pp.961-974. </w:t>
      </w:r>
      <w:hyperlink r:id="rId189">
        <w:r>
          <w:rPr>
            <w:color w:val="1155CC"/>
            <w:highlight w:val="white"/>
            <w:u w:val="single"/>
          </w:rPr>
          <w:t>https://doi.org/10.1890/07-1812.1</w:t>
        </w:r>
      </w:hyperlink>
      <w:r>
        <w:rPr>
          <w:color w:val="222222"/>
          <w:highlight w:val="white"/>
        </w:rPr>
        <w:t xml:space="preserve"> </w:t>
      </w:r>
    </w:p>
    <w:p w14:paraId="2330F517" w14:textId="77777777" w:rsidR="007B149A" w:rsidRDefault="000E054D">
      <w:pPr>
        <w:spacing w:before="240" w:after="240" w:line="360" w:lineRule="auto"/>
        <w:ind w:left="360"/>
        <w:rPr>
          <w:color w:val="222222"/>
          <w:highlight w:val="white"/>
        </w:rPr>
      </w:pPr>
      <w:r>
        <w:rPr>
          <w:color w:val="222222"/>
          <w:highlight w:val="white"/>
        </w:rPr>
        <w:t xml:space="preserve">Oelbaum, P.J., Fenton, M.B., Simmons, N.B. and Broders, H.G., 2019. Community structure of a Neotropical bat fauna as revealed by stable isotope analysis: Not all species fit neatly into predicted guilds. </w:t>
      </w:r>
      <w:r>
        <w:rPr>
          <w:i/>
          <w:color w:val="222222"/>
          <w:highlight w:val="white"/>
        </w:rPr>
        <w:t>Biotropica</w:t>
      </w:r>
      <w:r>
        <w:rPr>
          <w:color w:val="222222"/>
          <w:highlight w:val="white"/>
        </w:rPr>
        <w:t xml:space="preserve">, </w:t>
      </w:r>
      <w:r>
        <w:rPr>
          <w:i/>
          <w:color w:val="222222"/>
          <w:highlight w:val="white"/>
        </w:rPr>
        <w:t>51</w:t>
      </w:r>
      <w:r>
        <w:rPr>
          <w:color w:val="222222"/>
          <w:highlight w:val="white"/>
        </w:rPr>
        <w:t xml:space="preserve">(5), pp.719-730. </w:t>
      </w:r>
      <w:hyperlink r:id="rId190">
        <w:r>
          <w:rPr>
            <w:color w:val="1155CC"/>
            <w:highlight w:val="white"/>
            <w:u w:val="single"/>
          </w:rPr>
          <w:t>https://doi.org/10.1111/btp.12700</w:t>
        </w:r>
      </w:hyperlink>
      <w:r>
        <w:rPr>
          <w:color w:val="222222"/>
          <w:highlight w:val="white"/>
        </w:rPr>
        <w:t xml:space="preserve"> </w:t>
      </w:r>
    </w:p>
    <w:p w14:paraId="2330F518" w14:textId="77777777" w:rsidR="007B149A" w:rsidRDefault="000E054D">
      <w:pPr>
        <w:spacing w:before="240" w:after="240" w:line="360" w:lineRule="auto"/>
        <w:ind w:left="360"/>
        <w:rPr>
          <w:color w:val="222222"/>
          <w:highlight w:val="white"/>
        </w:rPr>
      </w:pPr>
      <w:r>
        <w:rPr>
          <w:color w:val="222222"/>
          <w:highlight w:val="white"/>
        </w:rPr>
        <w:t xml:space="preserve">Ogloff, W.R., Ferguson, S.H., Tallman, R.F. and Davoren, G.K., 2020. Diet of capelin (Mallotus villosus) in the Eastern Canadian Arctic inferred from stomach contents and stable isotopes. </w:t>
      </w:r>
      <w:r>
        <w:rPr>
          <w:i/>
          <w:color w:val="222222"/>
          <w:highlight w:val="white"/>
        </w:rPr>
        <w:t>Polar Biology</w:t>
      </w:r>
      <w:r>
        <w:rPr>
          <w:color w:val="222222"/>
          <w:highlight w:val="white"/>
        </w:rPr>
        <w:t xml:space="preserve">, </w:t>
      </w:r>
      <w:r>
        <w:rPr>
          <w:i/>
          <w:color w:val="222222"/>
          <w:highlight w:val="white"/>
        </w:rPr>
        <w:t>43</w:t>
      </w:r>
      <w:r>
        <w:rPr>
          <w:color w:val="222222"/>
          <w:highlight w:val="white"/>
        </w:rPr>
        <w:t xml:space="preserve">(9), pp.1273-1285. </w:t>
      </w:r>
      <w:hyperlink r:id="rId191">
        <w:r>
          <w:rPr>
            <w:color w:val="1155CC"/>
            <w:highlight w:val="white"/>
            <w:u w:val="single"/>
          </w:rPr>
          <w:t>https://doi.org/10.1007/s00300-020-02707-1</w:t>
        </w:r>
      </w:hyperlink>
      <w:r>
        <w:rPr>
          <w:color w:val="222222"/>
          <w:highlight w:val="white"/>
        </w:rPr>
        <w:t xml:space="preserve"> </w:t>
      </w:r>
    </w:p>
    <w:p w14:paraId="2330F519" w14:textId="77777777" w:rsidR="007B149A" w:rsidRDefault="000E054D">
      <w:pPr>
        <w:spacing w:before="240" w:after="240" w:line="360" w:lineRule="auto"/>
        <w:ind w:left="360"/>
        <w:rPr>
          <w:color w:val="222222"/>
          <w:highlight w:val="white"/>
        </w:rPr>
      </w:pPr>
      <w:r>
        <w:rPr>
          <w:color w:val="222222"/>
          <w:highlight w:val="white"/>
        </w:rPr>
        <w:t xml:space="preserve">Orr, T.J., Ortega, J., Medellín, R.A., Sánchez, </w:t>
      </w:r>
      <w:proofErr w:type="gramStart"/>
      <w:r>
        <w:rPr>
          <w:color w:val="222222"/>
          <w:highlight w:val="white"/>
        </w:rPr>
        <w:t>C.D.</w:t>
      </w:r>
      <w:proofErr w:type="gramEnd"/>
      <w:r>
        <w:rPr>
          <w:color w:val="222222"/>
          <w:highlight w:val="white"/>
        </w:rPr>
        <w:t xml:space="preserve"> and Hammond, K.A., 2016. Diet choice in frugivorous bats: gourmets or operational </w:t>
      </w:r>
      <w:proofErr w:type="gramStart"/>
      <w:r>
        <w:rPr>
          <w:color w:val="222222"/>
          <w:highlight w:val="white"/>
        </w:rPr>
        <w:t>pragmatists?.</w:t>
      </w:r>
      <w:proofErr w:type="gramEnd"/>
      <w:r>
        <w:rPr>
          <w:color w:val="222222"/>
          <w:highlight w:val="white"/>
        </w:rPr>
        <w:t xml:space="preserve"> </w:t>
      </w:r>
      <w:r>
        <w:rPr>
          <w:i/>
          <w:color w:val="222222"/>
          <w:highlight w:val="white"/>
        </w:rPr>
        <w:t>Journal of Mammalogy</w:t>
      </w:r>
      <w:r>
        <w:rPr>
          <w:color w:val="222222"/>
          <w:highlight w:val="white"/>
        </w:rPr>
        <w:t xml:space="preserve">, </w:t>
      </w:r>
      <w:r>
        <w:rPr>
          <w:i/>
          <w:color w:val="222222"/>
          <w:highlight w:val="white"/>
        </w:rPr>
        <w:t>97</w:t>
      </w:r>
      <w:r>
        <w:rPr>
          <w:color w:val="222222"/>
          <w:highlight w:val="white"/>
        </w:rPr>
        <w:t xml:space="preserve">(6), pp.1578-1588. </w:t>
      </w:r>
      <w:hyperlink r:id="rId192">
        <w:r>
          <w:rPr>
            <w:color w:val="1155CC"/>
            <w:highlight w:val="white"/>
            <w:u w:val="single"/>
          </w:rPr>
          <w:t>https://doi.org/10.1093/jmammal/gyw122</w:t>
        </w:r>
      </w:hyperlink>
      <w:r>
        <w:rPr>
          <w:color w:val="222222"/>
          <w:highlight w:val="white"/>
        </w:rPr>
        <w:t xml:space="preserve"> </w:t>
      </w:r>
    </w:p>
    <w:p w14:paraId="2330F51A" w14:textId="77777777" w:rsidR="007B149A" w:rsidRDefault="000E054D">
      <w:pPr>
        <w:spacing w:before="240" w:after="240" w:line="360" w:lineRule="auto"/>
        <w:ind w:left="360"/>
        <w:rPr>
          <w:color w:val="222222"/>
          <w:highlight w:val="white"/>
        </w:rPr>
      </w:pPr>
      <w:r>
        <w:rPr>
          <w:color w:val="222222"/>
          <w:highlight w:val="white"/>
        </w:rPr>
        <w:lastRenderedPageBreak/>
        <w:t xml:space="preserve">Pagani-Núñez, E., Barnett, C.R. and Senar, J.C., 2019. Age and sex differences in niche use at molt and its effect on plumage coloration characteristics in a bird. </w:t>
      </w:r>
      <w:r>
        <w:rPr>
          <w:i/>
          <w:color w:val="222222"/>
          <w:highlight w:val="white"/>
        </w:rPr>
        <w:t>Current zoology</w:t>
      </w:r>
      <w:r>
        <w:rPr>
          <w:color w:val="222222"/>
          <w:highlight w:val="white"/>
        </w:rPr>
        <w:t xml:space="preserve">, </w:t>
      </w:r>
      <w:r>
        <w:rPr>
          <w:i/>
          <w:color w:val="222222"/>
          <w:highlight w:val="white"/>
        </w:rPr>
        <w:t>65</w:t>
      </w:r>
      <w:r>
        <w:rPr>
          <w:color w:val="222222"/>
          <w:highlight w:val="white"/>
        </w:rPr>
        <w:t xml:space="preserve">(3), pp.251-260. </w:t>
      </w:r>
      <w:hyperlink r:id="rId193">
        <w:r>
          <w:rPr>
            <w:color w:val="1155CC"/>
            <w:highlight w:val="white"/>
            <w:u w:val="single"/>
          </w:rPr>
          <w:t>https://doi.org/10.1093/cz/zoy062</w:t>
        </w:r>
      </w:hyperlink>
      <w:r>
        <w:rPr>
          <w:color w:val="222222"/>
          <w:highlight w:val="white"/>
        </w:rPr>
        <w:t xml:space="preserve"> </w:t>
      </w:r>
    </w:p>
    <w:p w14:paraId="2330F51B" w14:textId="77777777" w:rsidR="007B149A" w:rsidRDefault="000E054D">
      <w:pPr>
        <w:spacing w:before="240" w:after="240" w:line="360" w:lineRule="auto"/>
        <w:ind w:left="360"/>
        <w:rPr>
          <w:color w:val="222222"/>
          <w:highlight w:val="white"/>
        </w:rPr>
      </w:pPr>
      <w:r>
        <w:rPr>
          <w:color w:val="222222"/>
          <w:highlight w:val="white"/>
        </w:rPr>
        <w:t xml:space="preserve">Paiva, V.H., Ramos, J.A., Nava, C., Neves, V., Bried, J. and Magalhães, M., 2018. Inter-sexual habitat and isotopic niche segregation of the endangered Monteiro’s storm-petrel during breeding. </w:t>
      </w:r>
      <w:r>
        <w:rPr>
          <w:i/>
          <w:color w:val="222222"/>
          <w:highlight w:val="white"/>
        </w:rPr>
        <w:t>Zoology</w:t>
      </w:r>
      <w:r>
        <w:rPr>
          <w:color w:val="222222"/>
          <w:highlight w:val="white"/>
        </w:rPr>
        <w:t xml:space="preserve">, </w:t>
      </w:r>
      <w:r>
        <w:rPr>
          <w:i/>
          <w:color w:val="222222"/>
          <w:highlight w:val="white"/>
        </w:rPr>
        <w:t>126</w:t>
      </w:r>
      <w:r>
        <w:rPr>
          <w:color w:val="222222"/>
          <w:highlight w:val="white"/>
        </w:rPr>
        <w:t xml:space="preserve">, pp.29-35. </w:t>
      </w:r>
      <w:hyperlink r:id="rId194">
        <w:r>
          <w:rPr>
            <w:color w:val="1155CC"/>
            <w:highlight w:val="white"/>
            <w:u w:val="single"/>
          </w:rPr>
          <w:t>https://doi.org/10.1016/j.zool.2017.12.006</w:t>
        </w:r>
      </w:hyperlink>
      <w:r>
        <w:rPr>
          <w:color w:val="222222"/>
          <w:highlight w:val="white"/>
        </w:rPr>
        <w:t xml:space="preserve"> </w:t>
      </w:r>
    </w:p>
    <w:p w14:paraId="2330F51C" w14:textId="77777777" w:rsidR="007B149A" w:rsidRDefault="000E054D">
      <w:pPr>
        <w:spacing w:before="240" w:after="240" w:line="360" w:lineRule="auto"/>
        <w:ind w:left="360"/>
        <w:rPr>
          <w:color w:val="222222"/>
          <w:highlight w:val="white"/>
        </w:rPr>
      </w:pPr>
      <w:r>
        <w:rPr>
          <w:color w:val="222222"/>
          <w:highlight w:val="white"/>
        </w:rPr>
        <w:t xml:space="preserve">Paschoalini, V.U. and de Oliveira Santos, M.C., 2020. Movements and habitat use of bottlenose dolphins, Tursiops truncatus, in south-eastern Brazil. </w:t>
      </w:r>
      <w:r>
        <w:rPr>
          <w:i/>
          <w:color w:val="222222"/>
          <w:highlight w:val="white"/>
        </w:rPr>
        <w:t>Journal of the Marine Biological Association of the United Kingdom</w:t>
      </w:r>
      <w:r>
        <w:rPr>
          <w:color w:val="222222"/>
          <w:highlight w:val="white"/>
        </w:rPr>
        <w:t xml:space="preserve">, </w:t>
      </w:r>
      <w:r>
        <w:rPr>
          <w:i/>
          <w:color w:val="222222"/>
          <w:highlight w:val="white"/>
        </w:rPr>
        <w:t>100</w:t>
      </w:r>
      <w:r>
        <w:rPr>
          <w:color w:val="222222"/>
          <w:highlight w:val="white"/>
        </w:rPr>
        <w:t xml:space="preserve">(4), pp.651-662. </w:t>
      </w:r>
      <w:hyperlink r:id="rId195">
        <w:r>
          <w:rPr>
            <w:color w:val="1155CC"/>
            <w:highlight w:val="white"/>
            <w:u w:val="single"/>
          </w:rPr>
          <w:t>https://doi.org/10.1017/S0025315420000387</w:t>
        </w:r>
      </w:hyperlink>
      <w:r>
        <w:rPr>
          <w:color w:val="222222"/>
          <w:highlight w:val="white"/>
        </w:rPr>
        <w:t xml:space="preserve"> </w:t>
      </w:r>
    </w:p>
    <w:p w14:paraId="2330F51D" w14:textId="77777777" w:rsidR="007B149A" w:rsidRDefault="000E054D">
      <w:pPr>
        <w:spacing w:before="240" w:after="240" w:line="360" w:lineRule="auto"/>
        <w:ind w:left="360"/>
        <w:rPr>
          <w:color w:val="222222"/>
          <w:highlight w:val="white"/>
        </w:rPr>
      </w:pPr>
      <w:r>
        <w:rPr>
          <w:color w:val="222222"/>
          <w:highlight w:val="white"/>
        </w:rPr>
        <w:t xml:space="preserve">Peavey, L.E., Popp, B.N., Pitman, R.L., Gaines, S.D., Arthur, K.E., Kelez, S. and Seminoff, J.A., 2017. Opportunism on the high seas: foraging ecology of olive ridley turtles in the eastern Pacific Ocean. </w:t>
      </w:r>
      <w:r>
        <w:rPr>
          <w:i/>
          <w:color w:val="222222"/>
          <w:highlight w:val="white"/>
        </w:rPr>
        <w:t>Frontiers in Marine Science</w:t>
      </w:r>
      <w:r>
        <w:rPr>
          <w:color w:val="222222"/>
          <w:highlight w:val="white"/>
        </w:rPr>
        <w:t xml:space="preserve">, </w:t>
      </w:r>
      <w:r>
        <w:rPr>
          <w:i/>
          <w:color w:val="222222"/>
          <w:highlight w:val="white"/>
        </w:rPr>
        <w:t>4</w:t>
      </w:r>
      <w:r>
        <w:rPr>
          <w:color w:val="222222"/>
          <w:highlight w:val="white"/>
        </w:rPr>
        <w:t xml:space="preserve">, p.348. </w:t>
      </w:r>
      <w:hyperlink r:id="rId196">
        <w:r>
          <w:rPr>
            <w:color w:val="1155CC"/>
            <w:highlight w:val="white"/>
            <w:u w:val="single"/>
          </w:rPr>
          <w:t>https://doi.org/10.3389/fmars.2017.00348</w:t>
        </w:r>
      </w:hyperlink>
      <w:r>
        <w:rPr>
          <w:color w:val="222222"/>
          <w:highlight w:val="white"/>
        </w:rPr>
        <w:t xml:space="preserve"> </w:t>
      </w:r>
    </w:p>
    <w:p w14:paraId="2330F51E" w14:textId="77777777" w:rsidR="007B149A" w:rsidRDefault="000E054D">
      <w:pPr>
        <w:spacing w:before="240" w:after="240" w:line="360" w:lineRule="auto"/>
        <w:ind w:left="360"/>
        <w:rPr>
          <w:color w:val="222222"/>
          <w:highlight w:val="white"/>
        </w:rPr>
      </w:pPr>
      <w:r>
        <w:rPr>
          <w:color w:val="222222"/>
          <w:highlight w:val="white"/>
        </w:rPr>
        <w:t xml:space="preserve">Pelletier, L., Chiaradia, A., Kato, A. and Ropert-Coudert, Y., 2014. Fine-scale spatial age segregation in the limited foraging area of an inshore seabird species, the little penguin. </w:t>
      </w:r>
      <w:r>
        <w:rPr>
          <w:i/>
          <w:color w:val="222222"/>
          <w:highlight w:val="white"/>
        </w:rPr>
        <w:t>Oecologia</w:t>
      </w:r>
      <w:r>
        <w:rPr>
          <w:color w:val="222222"/>
          <w:highlight w:val="white"/>
        </w:rPr>
        <w:t xml:space="preserve">, </w:t>
      </w:r>
      <w:r>
        <w:rPr>
          <w:i/>
          <w:color w:val="222222"/>
          <w:highlight w:val="white"/>
        </w:rPr>
        <w:t>176</w:t>
      </w:r>
      <w:r>
        <w:rPr>
          <w:color w:val="222222"/>
          <w:highlight w:val="white"/>
        </w:rPr>
        <w:t xml:space="preserve">(2), pp.399-408. </w:t>
      </w:r>
      <w:hyperlink r:id="rId197">
        <w:r>
          <w:rPr>
            <w:color w:val="1155CC"/>
            <w:highlight w:val="white"/>
            <w:u w:val="single"/>
          </w:rPr>
          <w:t>http://doi.org/10.1007/s00442-014-3018-3</w:t>
        </w:r>
      </w:hyperlink>
      <w:r>
        <w:rPr>
          <w:color w:val="222222"/>
          <w:highlight w:val="white"/>
        </w:rPr>
        <w:t xml:space="preserve"> </w:t>
      </w:r>
    </w:p>
    <w:p w14:paraId="2330F51F" w14:textId="77777777" w:rsidR="007B149A" w:rsidRDefault="000E054D">
      <w:pPr>
        <w:spacing w:before="240" w:after="240" w:line="360" w:lineRule="auto"/>
        <w:ind w:left="360"/>
        <w:rPr>
          <w:color w:val="222222"/>
          <w:highlight w:val="white"/>
        </w:rPr>
      </w:pPr>
      <w:r>
        <w:rPr>
          <w:color w:val="222222"/>
          <w:highlight w:val="white"/>
        </w:rPr>
        <w:t xml:space="preserve">Pereira, L.B., Botta, S., Teixeira, C.R., Fruet, P., Simões-Lopes, </w:t>
      </w:r>
      <w:proofErr w:type="gramStart"/>
      <w:r>
        <w:rPr>
          <w:color w:val="222222"/>
          <w:highlight w:val="white"/>
        </w:rPr>
        <w:t>P.C.</w:t>
      </w:r>
      <w:proofErr w:type="gramEnd"/>
      <w:r>
        <w:rPr>
          <w:color w:val="222222"/>
          <w:highlight w:val="white"/>
        </w:rPr>
        <w:t xml:space="preserve"> and Daura-Jorge, F.G., 2020. Feeding ecology of two subspecies of bottlenose dolphin: a tooth tale. </w:t>
      </w:r>
      <w:r>
        <w:rPr>
          <w:i/>
          <w:color w:val="222222"/>
          <w:highlight w:val="white"/>
        </w:rPr>
        <w:t>Aquatic Ecology</w:t>
      </w:r>
      <w:r>
        <w:rPr>
          <w:color w:val="222222"/>
          <w:highlight w:val="white"/>
        </w:rPr>
        <w:t xml:space="preserve">, </w:t>
      </w:r>
      <w:r>
        <w:rPr>
          <w:i/>
          <w:color w:val="222222"/>
          <w:highlight w:val="white"/>
        </w:rPr>
        <w:t>54</w:t>
      </w:r>
      <w:r>
        <w:rPr>
          <w:color w:val="222222"/>
          <w:highlight w:val="white"/>
        </w:rPr>
        <w:t xml:space="preserve">(4), pp.941-955. </w:t>
      </w:r>
      <w:hyperlink r:id="rId198">
        <w:r>
          <w:rPr>
            <w:color w:val="1155CC"/>
            <w:highlight w:val="white"/>
            <w:u w:val="single"/>
          </w:rPr>
          <w:t>https://doi.org/10.1007/s10452-020-09785-7</w:t>
        </w:r>
      </w:hyperlink>
      <w:r>
        <w:rPr>
          <w:color w:val="222222"/>
          <w:highlight w:val="white"/>
        </w:rPr>
        <w:t xml:space="preserve"> </w:t>
      </w:r>
    </w:p>
    <w:p w14:paraId="2330F520" w14:textId="77777777" w:rsidR="007B149A" w:rsidRDefault="000E054D">
      <w:pPr>
        <w:spacing w:before="240" w:after="240" w:line="360" w:lineRule="auto"/>
        <w:ind w:left="360"/>
        <w:rPr>
          <w:color w:val="222222"/>
          <w:highlight w:val="white"/>
        </w:rPr>
      </w:pPr>
      <w:r>
        <w:rPr>
          <w:color w:val="222222"/>
          <w:highlight w:val="white"/>
        </w:rPr>
        <w:t xml:space="preserve">Perkins, M.W., Cloyed, C.S. and Eason, P.K., 2020. Intraspecific dietary variation in niche partitioning within a community of ecologically similar snakes. </w:t>
      </w:r>
      <w:r>
        <w:rPr>
          <w:i/>
          <w:color w:val="222222"/>
          <w:highlight w:val="white"/>
        </w:rPr>
        <w:t>Evolutionary Ecology</w:t>
      </w:r>
      <w:r>
        <w:rPr>
          <w:color w:val="222222"/>
          <w:highlight w:val="white"/>
        </w:rPr>
        <w:t xml:space="preserve">, </w:t>
      </w:r>
      <w:r>
        <w:rPr>
          <w:i/>
          <w:color w:val="222222"/>
          <w:highlight w:val="white"/>
        </w:rPr>
        <w:t>34</w:t>
      </w:r>
      <w:r>
        <w:rPr>
          <w:color w:val="222222"/>
          <w:highlight w:val="white"/>
        </w:rPr>
        <w:t xml:space="preserve">(6), pp.1017-1035. </w:t>
      </w:r>
      <w:hyperlink r:id="rId199">
        <w:r>
          <w:rPr>
            <w:color w:val="1155CC"/>
            <w:highlight w:val="white"/>
            <w:u w:val="single"/>
          </w:rPr>
          <w:t>https://doi.org/10.1007/s10682-020-10078-6</w:t>
        </w:r>
      </w:hyperlink>
      <w:r>
        <w:rPr>
          <w:color w:val="222222"/>
          <w:highlight w:val="white"/>
        </w:rPr>
        <w:t xml:space="preserve"> </w:t>
      </w:r>
    </w:p>
    <w:p w14:paraId="2330F521" w14:textId="77777777" w:rsidR="007B149A" w:rsidRDefault="000E054D">
      <w:pPr>
        <w:spacing w:before="240" w:after="240" w:line="360" w:lineRule="auto"/>
        <w:ind w:left="360"/>
        <w:rPr>
          <w:color w:val="222222"/>
          <w:highlight w:val="white"/>
        </w:rPr>
      </w:pPr>
      <w:r>
        <w:rPr>
          <w:color w:val="222222"/>
          <w:highlight w:val="white"/>
        </w:rPr>
        <w:t xml:space="preserve">Petrov, K., Spencer, R.J., Malkiewicz, N., Lewis, J., Keitel, </w:t>
      </w:r>
      <w:proofErr w:type="gramStart"/>
      <w:r>
        <w:rPr>
          <w:color w:val="222222"/>
          <w:highlight w:val="white"/>
        </w:rPr>
        <w:t>C.</w:t>
      </w:r>
      <w:proofErr w:type="gramEnd"/>
      <w:r>
        <w:rPr>
          <w:color w:val="222222"/>
          <w:highlight w:val="white"/>
        </w:rPr>
        <w:t xml:space="preserve"> and Van Dyke, J.U., 2020. Prey-switching does not protect a generalist turtle from bioenergetic consequences when its </w:t>
      </w:r>
      <w:r>
        <w:rPr>
          <w:color w:val="222222"/>
          <w:highlight w:val="white"/>
        </w:rPr>
        <w:lastRenderedPageBreak/>
        <w:t xml:space="preserve">preferred food is scarce. </w:t>
      </w:r>
      <w:r>
        <w:rPr>
          <w:i/>
          <w:color w:val="222222"/>
          <w:highlight w:val="white"/>
        </w:rPr>
        <w:t>BMC ecology</w:t>
      </w:r>
      <w:r>
        <w:rPr>
          <w:color w:val="222222"/>
          <w:highlight w:val="white"/>
        </w:rPr>
        <w:t xml:space="preserve">, </w:t>
      </w:r>
      <w:r>
        <w:rPr>
          <w:i/>
          <w:color w:val="222222"/>
          <w:highlight w:val="white"/>
        </w:rPr>
        <w:t>20</w:t>
      </w:r>
      <w:r>
        <w:rPr>
          <w:color w:val="222222"/>
          <w:highlight w:val="white"/>
        </w:rPr>
        <w:t xml:space="preserve">(1), pp.1-12. </w:t>
      </w:r>
      <w:hyperlink r:id="rId200">
        <w:r>
          <w:rPr>
            <w:color w:val="1155CC"/>
            <w:highlight w:val="white"/>
            <w:u w:val="single"/>
          </w:rPr>
          <w:t>https://doi.org/10.1186/s12898-020-00279-6</w:t>
        </w:r>
      </w:hyperlink>
      <w:r>
        <w:rPr>
          <w:color w:val="222222"/>
          <w:highlight w:val="white"/>
        </w:rPr>
        <w:t xml:space="preserve"> </w:t>
      </w:r>
    </w:p>
    <w:p w14:paraId="2330F522" w14:textId="77777777" w:rsidR="007B149A" w:rsidRDefault="000E054D">
      <w:pPr>
        <w:spacing w:before="240" w:after="240" w:line="360" w:lineRule="auto"/>
        <w:ind w:left="360"/>
        <w:rPr>
          <w:color w:val="222222"/>
          <w:highlight w:val="white"/>
        </w:rPr>
      </w:pPr>
      <w:r>
        <w:rPr>
          <w:color w:val="222222"/>
          <w:highlight w:val="white"/>
        </w:rPr>
        <w:t xml:space="preserve">Pettitt-Wade, H., Wellband, K.W., Heath, D.D. and Fisk, A.T., 2015. Niche plasticity in invasive fishes in the Great Lakes. </w:t>
      </w:r>
      <w:r>
        <w:rPr>
          <w:i/>
          <w:color w:val="222222"/>
          <w:highlight w:val="white"/>
        </w:rPr>
        <w:t>Biological Invasions</w:t>
      </w:r>
      <w:r>
        <w:rPr>
          <w:color w:val="222222"/>
          <w:highlight w:val="white"/>
        </w:rPr>
        <w:t xml:space="preserve">, </w:t>
      </w:r>
      <w:r>
        <w:rPr>
          <w:i/>
          <w:color w:val="222222"/>
          <w:highlight w:val="white"/>
        </w:rPr>
        <w:t>17</w:t>
      </w:r>
      <w:r>
        <w:rPr>
          <w:color w:val="222222"/>
          <w:highlight w:val="white"/>
        </w:rPr>
        <w:t xml:space="preserve">(9), pp.2565-2580. </w:t>
      </w:r>
      <w:hyperlink r:id="rId201">
        <w:r>
          <w:rPr>
            <w:color w:val="1155CC"/>
            <w:highlight w:val="white"/>
            <w:u w:val="single"/>
          </w:rPr>
          <w:t>https://doi.org/10.1007/s10530-015-0894-3</w:t>
        </w:r>
      </w:hyperlink>
      <w:r>
        <w:rPr>
          <w:color w:val="222222"/>
          <w:highlight w:val="white"/>
        </w:rPr>
        <w:t xml:space="preserve"> </w:t>
      </w:r>
    </w:p>
    <w:p w14:paraId="2330F523" w14:textId="77777777" w:rsidR="007B149A" w:rsidRDefault="000E054D">
      <w:pPr>
        <w:spacing w:before="240" w:after="240" w:line="360" w:lineRule="auto"/>
        <w:ind w:left="360"/>
        <w:rPr>
          <w:color w:val="222222"/>
          <w:highlight w:val="white"/>
        </w:rPr>
      </w:pPr>
      <w:r>
        <w:rPr>
          <w:color w:val="222222"/>
          <w:highlight w:val="white"/>
        </w:rPr>
        <w:t xml:space="preserve">Phillips, R.A., Bearhop, S., Mcgill, R.A. and Dawson, D.A., 2009. Stable isotopes reveal individual variation in migration strategies and habitat preferences in a suite of seabirds during the nonbreeding period. </w:t>
      </w:r>
      <w:r>
        <w:rPr>
          <w:i/>
          <w:color w:val="222222"/>
          <w:highlight w:val="white"/>
        </w:rPr>
        <w:t>Oecologia</w:t>
      </w:r>
      <w:r>
        <w:rPr>
          <w:color w:val="222222"/>
          <w:highlight w:val="white"/>
        </w:rPr>
        <w:t xml:space="preserve">, </w:t>
      </w:r>
      <w:r>
        <w:rPr>
          <w:i/>
          <w:color w:val="222222"/>
          <w:highlight w:val="white"/>
        </w:rPr>
        <w:t>160</w:t>
      </w:r>
      <w:r>
        <w:rPr>
          <w:color w:val="222222"/>
          <w:highlight w:val="white"/>
        </w:rPr>
        <w:t xml:space="preserve">(4), pp.795-806. </w:t>
      </w:r>
      <w:hyperlink r:id="rId202">
        <w:r>
          <w:rPr>
            <w:color w:val="1155CC"/>
            <w:highlight w:val="white"/>
            <w:u w:val="single"/>
          </w:rPr>
          <w:t>http://doi.org/10.1007/s00442-009-1342-9</w:t>
        </w:r>
      </w:hyperlink>
      <w:r>
        <w:rPr>
          <w:color w:val="222222"/>
          <w:highlight w:val="white"/>
        </w:rPr>
        <w:t xml:space="preserve"> </w:t>
      </w:r>
    </w:p>
    <w:p w14:paraId="2330F524" w14:textId="77777777" w:rsidR="007B149A" w:rsidRDefault="000E054D">
      <w:pPr>
        <w:spacing w:before="240" w:after="240" w:line="360" w:lineRule="auto"/>
        <w:ind w:left="360"/>
        <w:rPr>
          <w:color w:val="222222"/>
          <w:highlight w:val="white"/>
        </w:rPr>
      </w:pPr>
      <w:r>
        <w:rPr>
          <w:color w:val="222222"/>
          <w:highlight w:val="white"/>
        </w:rPr>
        <w:t xml:space="preserve">Phillips, R.A., McGill, R.A., Dawson, D.A. and Bearhop, S., 2011. Sexual segregation in distribution, </w:t>
      </w:r>
      <w:proofErr w:type="gramStart"/>
      <w:r>
        <w:rPr>
          <w:color w:val="222222"/>
          <w:highlight w:val="white"/>
        </w:rPr>
        <w:t>diet</w:t>
      </w:r>
      <w:proofErr w:type="gramEnd"/>
      <w:r>
        <w:rPr>
          <w:color w:val="222222"/>
          <w:highlight w:val="white"/>
        </w:rPr>
        <w:t xml:space="preserve"> and trophic level of seabirds: insights from stable isotope analysis. </w:t>
      </w:r>
      <w:r>
        <w:rPr>
          <w:i/>
          <w:color w:val="222222"/>
          <w:highlight w:val="white"/>
        </w:rPr>
        <w:t>Marine Biology</w:t>
      </w:r>
      <w:r>
        <w:rPr>
          <w:color w:val="222222"/>
          <w:highlight w:val="white"/>
        </w:rPr>
        <w:t xml:space="preserve">, </w:t>
      </w:r>
      <w:r>
        <w:rPr>
          <w:i/>
          <w:color w:val="222222"/>
          <w:highlight w:val="white"/>
        </w:rPr>
        <w:t>158</w:t>
      </w:r>
      <w:r>
        <w:rPr>
          <w:color w:val="222222"/>
          <w:highlight w:val="white"/>
        </w:rPr>
        <w:t xml:space="preserve">(10), pp.2199-2208. </w:t>
      </w:r>
      <w:hyperlink r:id="rId203">
        <w:r>
          <w:rPr>
            <w:color w:val="1155CC"/>
            <w:highlight w:val="white"/>
            <w:u w:val="single"/>
          </w:rPr>
          <w:t>https://doi.org/10.1007/s00227-011-1725-4</w:t>
        </w:r>
      </w:hyperlink>
      <w:r>
        <w:rPr>
          <w:color w:val="222222"/>
          <w:highlight w:val="white"/>
        </w:rPr>
        <w:t xml:space="preserve"> </w:t>
      </w:r>
    </w:p>
    <w:p w14:paraId="2330F525" w14:textId="77777777" w:rsidR="007B149A" w:rsidRDefault="000E054D">
      <w:pPr>
        <w:spacing w:before="240" w:after="240" w:line="360" w:lineRule="auto"/>
        <w:ind w:left="360"/>
        <w:rPr>
          <w:color w:val="222222"/>
          <w:highlight w:val="white"/>
        </w:rPr>
      </w:pPr>
      <w:r>
        <w:rPr>
          <w:color w:val="222222"/>
          <w:highlight w:val="white"/>
        </w:rPr>
        <w:t xml:space="preserve">Phillips, </w:t>
      </w:r>
      <w:proofErr w:type="gramStart"/>
      <w:r>
        <w:rPr>
          <w:color w:val="222222"/>
          <w:highlight w:val="white"/>
        </w:rPr>
        <w:t>C.A.</w:t>
      </w:r>
      <w:proofErr w:type="gramEnd"/>
      <w:r>
        <w:rPr>
          <w:color w:val="222222"/>
          <w:highlight w:val="white"/>
        </w:rPr>
        <w:t xml:space="preserve"> and O'Connell, T.C., 2016. Fecal carbon and nitrogen isotopic analysis as an indicator of diet in Kanyawara chimpanzees, Kibale National Park, Uganda. </w:t>
      </w:r>
      <w:r>
        <w:rPr>
          <w:i/>
          <w:color w:val="222222"/>
          <w:highlight w:val="white"/>
        </w:rPr>
        <w:t>American journal of physical anthropology</w:t>
      </w:r>
      <w:r>
        <w:rPr>
          <w:color w:val="222222"/>
          <w:highlight w:val="white"/>
        </w:rPr>
        <w:t xml:space="preserve">, </w:t>
      </w:r>
      <w:r>
        <w:rPr>
          <w:i/>
          <w:color w:val="222222"/>
          <w:highlight w:val="white"/>
        </w:rPr>
        <w:t>161</w:t>
      </w:r>
      <w:r>
        <w:rPr>
          <w:color w:val="222222"/>
          <w:highlight w:val="white"/>
        </w:rPr>
        <w:t xml:space="preserve">(4), pp.685-697. </w:t>
      </w:r>
      <w:hyperlink r:id="rId204">
        <w:r>
          <w:rPr>
            <w:color w:val="1155CC"/>
            <w:highlight w:val="white"/>
            <w:u w:val="single"/>
          </w:rPr>
          <w:t>https://doi.org/10.1002/ajpa.23073</w:t>
        </w:r>
      </w:hyperlink>
      <w:r>
        <w:rPr>
          <w:color w:val="222222"/>
          <w:highlight w:val="white"/>
        </w:rPr>
        <w:t xml:space="preserve"> </w:t>
      </w:r>
    </w:p>
    <w:p w14:paraId="2330F526" w14:textId="77777777" w:rsidR="007B149A" w:rsidRDefault="000E054D">
      <w:pPr>
        <w:spacing w:before="240" w:after="240" w:line="360" w:lineRule="auto"/>
        <w:ind w:left="360"/>
        <w:rPr>
          <w:color w:val="222222"/>
          <w:highlight w:val="white"/>
        </w:rPr>
      </w:pPr>
      <w:r>
        <w:rPr>
          <w:color w:val="222222"/>
          <w:highlight w:val="white"/>
        </w:rPr>
        <w:t xml:space="preserve">Philippsen, J.S., Hauser, M. and Benedito, E., 2015. Isotopic niches of sympatric native and exotic fish species in a Neotropical floodplain. </w:t>
      </w:r>
      <w:r>
        <w:rPr>
          <w:i/>
          <w:color w:val="222222"/>
          <w:highlight w:val="white"/>
        </w:rPr>
        <w:t>Anais da Academia Brasileira de Ciências</w:t>
      </w:r>
      <w:r>
        <w:rPr>
          <w:color w:val="222222"/>
          <w:highlight w:val="white"/>
        </w:rPr>
        <w:t xml:space="preserve">, </w:t>
      </w:r>
      <w:r>
        <w:rPr>
          <w:i/>
          <w:color w:val="222222"/>
          <w:highlight w:val="white"/>
        </w:rPr>
        <w:t>87</w:t>
      </w:r>
      <w:r>
        <w:rPr>
          <w:color w:val="222222"/>
          <w:highlight w:val="white"/>
        </w:rPr>
        <w:t xml:space="preserve">, pp.825-833. </w:t>
      </w:r>
      <w:hyperlink r:id="rId205">
        <w:r>
          <w:rPr>
            <w:color w:val="1155CC"/>
            <w:highlight w:val="white"/>
            <w:u w:val="single"/>
          </w:rPr>
          <w:t>https://doi.org/10.1590/0001-3765201520140266</w:t>
        </w:r>
      </w:hyperlink>
      <w:r>
        <w:rPr>
          <w:color w:val="222222"/>
          <w:highlight w:val="white"/>
        </w:rPr>
        <w:t xml:space="preserve"> </w:t>
      </w:r>
    </w:p>
    <w:p w14:paraId="2330F527" w14:textId="77777777" w:rsidR="007B149A" w:rsidRDefault="000E054D">
      <w:pPr>
        <w:spacing w:before="240" w:after="240" w:line="360" w:lineRule="auto"/>
        <w:ind w:left="360"/>
        <w:rPr>
          <w:color w:val="222222"/>
          <w:highlight w:val="white"/>
        </w:rPr>
      </w:pPr>
      <w:r>
        <w:rPr>
          <w:color w:val="222222"/>
          <w:highlight w:val="white"/>
        </w:rPr>
        <w:t xml:space="preserve">Pinzone, M., Budzinski, H., Tasciotti, A., Ody, D., Lepoint, G., Schnitzler, J., Scholl, G., Thomé, J.P., Tapie, N., Eppe, G. and Das, K., 2015. POPs in free-ranging pilot whales, sperm whales and fin whales from the Mediterranean Sea: influence of biological and ecological factors. </w:t>
      </w:r>
      <w:r>
        <w:rPr>
          <w:i/>
          <w:color w:val="222222"/>
          <w:highlight w:val="white"/>
        </w:rPr>
        <w:t>Environmental research</w:t>
      </w:r>
      <w:r>
        <w:rPr>
          <w:color w:val="222222"/>
          <w:highlight w:val="white"/>
        </w:rPr>
        <w:t xml:space="preserve">, </w:t>
      </w:r>
      <w:r>
        <w:rPr>
          <w:i/>
          <w:color w:val="222222"/>
          <w:highlight w:val="white"/>
        </w:rPr>
        <w:t>142</w:t>
      </w:r>
      <w:r>
        <w:rPr>
          <w:color w:val="222222"/>
          <w:highlight w:val="white"/>
        </w:rPr>
        <w:t xml:space="preserve">, pp.185-196. </w:t>
      </w:r>
      <w:hyperlink r:id="rId206">
        <w:r>
          <w:rPr>
            <w:color w:val="1155CC"/>
            <w:highlight w:val="white"/>
            <w:u w:val="single"/>
          </w:rPr>
          <w:t>https://doi.org/10.1016/j.envres.2015.06.021</w:t>
        </w:r>
      </w:hyperlink>
      <w:r>
        <w:rPr>
          <w:color w:val="222222"/>
          <w:highlight w:val="white"/>
        </w:rPr>
        <w:t xml:space="preserve"> </w:t>
      </w:r>
    </w:p>
    <w:p w14:paraId="2330F528" w14:textId="77777777" w:rsidR="007B149A" w:rsidRDefault="000E054D">
      <w:pPr>
        <w:spacing w:before="240" w:after="240" w:line="360" w:lineRule="auto"/>
        <w:ind w:left="360"/>
        <w:rPr>
          <w:color w:val="222222"/>
          <w:highlight w:val="white"/>
        </w:rPr>
      </w:pPr>
      <w:r>
        <w:rPr>
          <w:color w:val="222222"/>
          <w:highlight w:val="white"/>
        </w:rPr>
        <w:t xml:space="preserve">Pinzone, M., Damseaux, F., Michel, L.N. and Das, K., 2019. Stable isotope ratios of carbon, nitrogen and sulphur and mercury concentrations as descriptors of trophic ecology and contamination sources of Mediterranean whales. </w:t>
      </w:r>
      <w:r>
        <w:rPr>
          <w:i/>
          <w:color w:val="222222"/>
          <w:highlight w:val="white"/>
        </w:rPr>
        <w:t>Chemosphere</w:t>
      </w:r>
      <w:r>
        <w:rPr>
          <w:color w:val="222222"/>
          <w:highlight w:val="white"/>
        </w:rPr>
        <w:t xml:space="preserve">, </w:t>
      </w:r>
      <w:r>
        <w:rPr>
          <w:i/>
          <w:color w:val="222222"/>
          <w:highlight w:val="white"/>
        </w:rPr>
        <w:t>237</w:t>
      </w:r>
      <w:r>
        <w:rPr>
          <w:color w:val="222222"/>
          <w:highlight w:val="white"/>
        </w:rPr>
        <w:t xml:space="preserve">, p.124448. </w:t>
      </w:r>
      <w:hyperlink r:id="rId207">
        <w:r>
          <w:rPr>
            <w:color w:val="1155CC"/>
            <w:highlight w:val="white"/>
            <w:u w:val="single"/>
          </w:rPr>
          <w:t>https://doi.org/10.1016/j.chemosphere.2019.124448</w:t>
        </w:r>
      </w:hyperlink>
      <w:r>
        <w:rPr>
          <w:color w:val="222222"/>
          <w:highlight w:val="white"/>
        </w:rPr>
        <w:t xml:space="preserve"> </w:t>
      </w:r>
    </w:p>
    <w:p w14:paraId="2330F529" w14:textId="77777777" w:rsidR="007B149A" w:rsidRDefault="000E054D">
      <w:pPr>
        <w:spacing w:before="240" w:after="240" w:line="360" w:lineRule="auto"/>
        <w:ind w:left="360"/>
        <w:rPr>
          <w:color w:val="222222"/>
          <w:highlight w:val="white"/>
        </w:rPr>
      </w:pPr>
      <w:r>
        <w:rPr>
          <w:color w:val="222222"/>
          <w:highlight w:val="white"/>
        </w:rPr>
        <w:lastRenderedPageBreak/>
        <w:t xml:space="preserve">Quillfeldt, P., Schroff, S., van Noordwijk, H.J., Michalik, A., Ludynia, K. and Masello, J.F., 2011. Flexible foraging behaviour of a sexually dimorphic seabird: large males do not always dive deep. </w:t>
      </w:r>
      <w:r>
        <w:rPr>
          <w:i/>
          <w:color w:val="222222"/>
          <w:highlight w:val="white"/>
        </w:rPr>
        <w:t>Marine Ecology Progress Series</w:t>
      </w:r>
      <w:r>
        <w:rPr>
          <w:color w:val="222222"/>
          <w:highlight w:val="white"/>
        </w:rPr>
        <w:t xml:space="preserve">, </w:t>
      </w:r>
      <w:r>
        <w:rPr>
          <w:i/>
          <w:color w:val="222222"/>
          <w:highlight w:val="white"/>
        </w:rPr>
        <w:t>428</w:t>
      </w:r>
      <w:r>
        <w:rPr>
          <w:color w:val="222222"/>
          <w:highlight w:val="white"/>
        </w:rPr>
        <w:t xml:space="preserve">, pp.271-287. </w:t>
      </w:r>
      <w:hyperlink r:id="rId208">
        <w:r>
          <w:rPr>
            <w:color w:val="1155CC"/>
            <w:highlight w:val="white"/>
            <w:u w:val="single"/>
          </w:rPr>
          <w:t>https://doi.org/10.3354/meps09058</w:t>
        </w:r>
      </w:hyperlink>
      <w:r>
        <w:rPr>
          <w:color w:val="222222"/>
          <w:highlight w:val="white"/>
        </w:rPr>
        <w:t xml:space="preserve"> </w:t>
      </w:r>
    </w:p>
    <w:p w14:paraId="2330F52A" w14:textId="77777777" w:rsidR="007B149A" w:rsidRDefault="000E054D">
      <w:pPr>
        <w:spacing w:before="240" w:after="240" w:line="360" w:lineRule="auto"/>
        <w:ind w:left="360"/>
        <w:rPr>
          <w:color w:val="222222"/>
          <w:highlight w:val="white"/>
        </w:rPr>
      </w:pPr>
      <w:r>
        <w:rPr>
          <w:color w:val="222222"/>
          <w:highlight w:val="white"/>
        </w:rPr>
        <w:t>Refsnider, J.M., Carter, S.E., Kramer, G.R., Siefker, A.D. and Streby, H.M., 2019. Is dietary or microhabitat specialization associated with environmental heterogeneity in horned lizards (Phrynosoma</w:t>
      </w:r>
      <w:proofErr w:type="gramStart"/>
      <w:r>
        <w:rPr>
          <w:color w:val="222222"/>
          <w:highlight w:val="white"/>
        </w:rPr>
        <w:t>)?.</w:t>
      </w:r>
      <w:proofErr w:type="gramEnd"/>
      <w:r>
        <w:rPr>
          <w:color w:val="222222"/>
          <w:highlight w:val="white"/>
        </w:rPr>
        <w:t xml:space="preserve"> </w:t>
      </w:r>
      <w:r>
        <w:rPr>
          <w:i/>
          <w:color w:val="222222"/>
          <w:highlight w:val="white"/>
        </w:rPr>
        <w:t>Ecology and evolution</w:t>
      </w:r>
      <w:r>
        <w:rPr>
          <w:color w:val="222222"/>
          <w:highlight w:val="white"/>
        </w:rPr>
        <w:t xml:space="preserve">, </w:t>
      </w:r>
      <w:r>
        <w:rPr>
          <w:i/>
          <w:color w:val="222222"/>
          <w:highlight w:val="white"/>
        </w:rPr>
        <w:t>9</w:t>
      </w:r>
      <w:r>
        <w:rPr>
          <w:color w:val="222222"/>
          <w:highlight w:val="white"/>
        </w:rPr>
        <w:t xml:space="preserve">(10), pp.5542-5550. </w:t>
      </w:r>
      <w:hyperlink r:id="rId209">
        <w:r>
          <w:rPr>
            <w:color w:val="1155CC"/>
            <w:highlight w:val="white"/>
            <w:u w:val="single"/>
          </w:rPr>
          <w:t>https://doi.org/10.1002/ece3.5109</w:t>
        </w:r>
      </w:hyperlink>
      <w:r>
        <w:rPr>
          <w:color w:val="222222"/>
          <w:highlight w:val="white"/>
        </w:rPr>
        <w:t xml:space="preserve"> </w:t>
      </w:r>
    </w:p>
    <w:p w14:paraId="2330F52B" w14:textId="77777777" w:rsidR="007B149A" w:rsidRDefault="000E054D">
      <w:pPr>
        <w:spacing w:before="240" w:after="240" w:line="360" w:lineRule="auto"/>
        <w:ind w:left="360"/>
        <w:rPr>
          <w:color w:val="222222"/>
          <w:highlight w:val="white"/>
        </w:rPr>
      </w:pPr>
      <w:r>
        <w:rPr>
          <w:color w:val="222222"/>
          <w:highlight w:val="white"/>
        </w:rPr>
        <w:t xml:space="preserve">Reisinger, R.R., Carpenter-Kling, T., Connan, M., Cherel, Y. and Pistorius, P.A., 2020. Foraging behaviour and habitat-use drives niche segregation in sibling seabird species. </w:t>
      </w:r>
      <w:r>
        <w:rPr>
          <w:i/>
          <w:color w:val="222222"/>
          <w:highlight w:val="white"/>
        </w:rPr>
        <w:t>Royal Society open science</w:t>
      </w:r>
      <w:r>
        <w:rPr>
          <w:color w:val="222222"/>
          <w:highlight w:val="white"/>
        </w:rPr>
        <w:t xml:space="preserve">, </w:t>
      </w:r>
      <w:r>
        <w:rPr>
          <w:i/>
          <w:color w:val="222222"/>
          <w:highlight w:val="white"/>
        </w:rPr>
        <w:t>7</w:t>
      </w:r>
      <w:r>
        <w:rPr>
          <w:color w:val="222222"/>
          <w:highlight w:val="white"/>
        </w:rPr>
        <w:t xml:space="preserve">(9), p.200649. </w:t>
      </w:r>
      <w:hyperlink r:id="rId210">
        <w:r>
          <w:rPr>
            <w:color w:val="1155CC"/>
            <w:highlight w:val="white"/>
            <w:u w:val="single"/>
          </w:rPr>
          <w:t>https://doi.org/10.1098/rsos.200649</w:t>
        </w:r>
      </w:hyperlink>
      <w:r>
        <w:rPr>
          <w:color w:val="222222"/>
          <w:highlight w:val="white"/>
        </w:rPr>
        <w:t xml:space="preserve"> </w:t>
      </w:r>
    </w:p>
    <w:p w14:paraId="2330F52C" w14:textId="77777777" w:rsidR="007B149A" w:rsidRDefault="000E054D">
      <w:pPr>
        <w:spacing w:before="240" w:after="240" w:line="360" w:lineRule="auto"/>
        <w:ind w:left="360"/>
        <w:rPr>
          <w:color w:val="222222"/>
          <w:highlight w:val="white"/>
        </w:rPr>
      </w:pPr>
      <w:r>
        <w:rPr>
          <w:color w:val="222222"/>
          <w:highlight w:val="white"/>
        </w:rPr>
        <w:t xml:space="preserve">Riccialdelli, L., Newsome, S.D., Prosser Goodall, R.N., Fogel, M. and Bastida, R.O., 2012. Insight into niche separation of Risso's dolphin (Grampus griseus) in the southwestern South Atlantic via d13C and d15N values. </w:t>
      </w:r>
      <w:hyperlink r:id="rId211">
        <w:r>
          <w:rPr>
            <w:color w:val="1155CC"/>
            <w:highlight w:val="white"/>
            <w:u w:val="single"/>
          </w:rPr>
          <w:t>https://doi.org/10.1111/j.1748-7692.2011.00554.x</w:t>
        </w:r>
      </w:hyperlink>
      <w:r>
        <w:rPr>
          <w:color w:val="222222"/>
          <w:highlight w:val="white"/>
        </w:rPr>
        <w:t xml:space="preserve"> </w:t>
      </w:r>
    </w:p>
    <w:p w14:paraId="2330F52D" w14:textId="77777777" w:rsidR="007B149A" w:rsidRDefault="000E054D">
      <w:pPr>
        <w:spacing w:before="240" w:after="240" w:line="360" w:lineRule="auto"/>
        <w:ind w:left="360"/>
        <w:rPr>
          <w:color w:val="222222"/>
          <w:highlight w:val="white"/>
        </w:rPr>
      </w:pPr>
      <w:r>
        <w:rPr>
          <w:color w:val="222222"/>
          <w:highlight w:val="white"/>
        </w:rPr>
        <w:t xml:space="preserve">Rodríguez M, </w:t>
      </w:r>
      <w:proofErr w:type="gramStart"/>
      <w:r>
        <w:rPr>
          <w:color w:val="222222"/>
          <w:highlight w:val="white"/>
        </w:rPr>
        <w:t>M.A.</w:t>
      </w:r>
      <w:proofErr w:type="gramEnd"/>
      <w:r>
        <w:rPr>
          <w:color w:val="222222"/>
          <w:highlight w:val="white"/>
        </w:rPr>
        <w:t xml:space="preserve"> and Herrera M, L.G., 2013. Isotopic niche mirrors trophic niche in a vertebrate island invader. </w:t>
      </w:r>
      <w:r>
        <w:rPr>
          <w:i/>
          <w:color w:val="222222"/>
          <w:highlight w:val="white"/>
        </w:rPr>
        <w:t>Oecologia</w:t>
      </w:r>
      <w:r>
        <w:rPr>
          <w:color w:val="222222"/>
          <w:highlight w:val="white"/>
        </w:rPr>
        <w:t xml:space="preserve">, </w:t>
      </w:r>
      <w:r>
        <w:rPr>
          <w:i/>
          <w:color w:val="222222"/>
          <w:highlight w:val="white"/>
        </w:rPr>
        <w:t>171</w:t>
      </w:r>
      <w:r>
        <w:rPr>
          <w:color w:val="222222"/>
          <w:highlight w:val="white"/>
        </w:rPr>
        <w:t xml:space="preserve">, pp.537-544. </w:t>
      </w:r>
      <w:hyperlink r:id="rId212">
        <w:r>
          <w:rPr>
            <w:color w:val="1155CC"/>
            <w:highlight w:val="white"/>
            <w:u w:val="single"/>
          </w:rPr>
          <w:t>https://doi.org/10.1007/s00442-012-2423-8</w:t>
        </w:r>
      </w:hyperlink>
      <w:r>
        <w:rPr>
          <w:color w:val="222222"/>
          <w:highlight w:val="white"/>
        </w:rPr>
        <w:t xml:space="preserve"> </w:t>
      </w:r>
    </w:p>
    <w:p w14:paraId="2330F52E" w14:textId="77777777" w:rsidR="007B149A" w:rsidRDefault="000E054D">
      <w:pPr>
        <w:spacing w:before="240" w:after="240" w:line="360" w:lineRule="auto"/>
        <w:ind w:left="360"/>
        <w:rPr>
          <w:color w:val="222222"/>
          <w:highlight w:val="white"/>
        </w:rPr>
      </w:pPr>
      <w:r>
        <w:rPr>
          <w:color w:val="222222"/>
          <w:highlight w:val="white"/>
        </w:rPr>
        <w:t xml:space="preserve">Rosciano, N.G., Polito, M.J. and Rey, A.R., 2020. Seasonally persistent foraging niche segregation between sympatric Southern Rockhopper and Magellanic penguins breeding at Isla de los Estados, Argentina. </w:t>
      </w:r>
      <w:r>
        <w:rPr>
          <w:i/>
          <w:color w:val="222222"/>
          <w:highlight w:val="white"/>
        </w:rPr>
        <w:t>Journal of Ornithology</w:t>
      </w:r>
      <w:r>
        <w:rPr>
          <w:color w:val="222222"/>
          <w:highlight w:val="white"/>
        </w:rPr>
        <w:t xml:space="preserve">, </w:t>
      </w:r>
      <w:r>
        <w:rPr>
          <w:i/>
          <w:color w:val="222222"/>
          <w:highlight w:val="white"/>
        </w:rPr>
        <w:t>161</w:t>
      </w:r>
      <w:r>
        <w:rPr>
          <w:color w:val="222222"/>
          <w:highlight w:val="white"/>
        </w:rPr>
        <w:t xml:space="preserve">(4), pp.1093-1104. </w:t>
      </w:r>
      <w:hyperlink r:id="rId213">
        <w:r>
          <w:rPr>
            <w:color w:val="1155CC"/>
            <w:highlight w:val="white"/>
            <w:u w:val="single"/>
          </w:rPr>
          <w:t>https://doi.org/10.1007/s10336-020-01800-w</w:t>
        </w:r>
      </w:hyperlink>
      <w:r>
        <w:rPr>
          <w:color w:val="222222"/>
          <w:highlight w:val="white"/>
        </w:rPr>
        <w:t xml:space="preserve"> </w:t>
      </w:r>
    </w:p>
    <w:p w14:paraId="2330F52F" w14:textId="77777777" w:rsidR="007B149A" w:rsidRDefault="000E054D">
      <w:pPr>
        <w:spacing w:before="240" w:after="240" w:line="360" w:lineRule="auto"/>
        <w:ind w:left="360"/>
        <w:rPr>
          <w:color w:val="222222"/>
          <w:highlight w:val="white"/>
        </w:rPr>
      </w:pPr>
      <w:r>
        <w:rPr>
          <w:color w:val="222222"/>
          <w:highlight w:val="white"/>
        </w:rPr>
        <w:t xml:space="preserve">Rosciano, N.G., Polito, M.J. and Rey, A.R., 2016. Do penguins share? Evidence of foraging niche segregation between but not within two sympatric, central-place foragers. </w:t>
      </w:r>
      <w:r>
        <w:rPr>
          <w:i/>
          <w:color w:val="222222"/>
          <w:highlight w:val="white"/>
        </w:rPr>
        <w:t>Marine Ecology Progress Series</w:t>
      </w:r>
      <w:r>
        <w:rPr>
          <w:color w:val="222222"/>
          <w:highlight w:val="white"/>
        </w:rPr>
        <w:t xml:space="preserve">, </w:t>
      </w:r>
      <w:r>
        <w:rPr>
          <w:i/>
          <w:color w:val="222222"/>
          <w:highlight w:val="white"/>
        </w:rPr>
        <w:t>548</w:t>
      </w:r>
      <w:r>
        <w:rPr>
          <w:color w:val="222222"/>
          <w:highlight w:val="white"/>
        </w:rPr>
        <w:t xml:space="preserve">, pp.249-262. </w:t>
      </w:r>
      <w:hyperlink r:id="rId214">
        <w:r>
          <w:rPr>
            <w:color w:val="1155CC"/>
            <w:highlight w:val="white"/>
            <w:u w:val="single"/>
          </w:rPr>
          <w:t>https://doi.org/10.3354/meps11689</w:t>
        </w:r>
      </w:hyperlink>
      <w:r>
        <w:rPr>
          <w:color w:val="222222"/>
          <w:highlight w:val="white"/>
        </w:rPr>
        <w:t xml:space="preserve"> </w:t>
      </w:r>
    </w:p>
    <w:p w14:paraId="2330F530" w14:textId="77777777" w:rsidR="007B149A" w:rsidRDefault="000E054D">
      <w:pPr>
        <w:spacing w:before="240" w:after="240" w:line="360" w:lineRule="auto"/>
        <w:ind w:left="360"/>
        <w:rPr>
          <w:color w:val="222222"/>
          <w:highlight w:val="white"/>
        </w:rPr>
      </w:pPr>
      <w:r>
        <w:rPr>
          <w:color w:val="222222"/>
          <w:highlight w:val="white"/>
        </w:rPr>
        <w:t xml:space="preserve">Ryan, C., McHugh, B., Trueman, C.N., Sabin, R., Deaville, R., Harrod, C., Berrow, S.D. and Ian, O., 2013. Stable isotope analysis of baleen reveals resource partitioning among sympatric </w:t>
      </w:r>
      <w:r>
        <w:rPr>
          <w:color w:val="222222"/>
          <w:highlight w:val="white"/>
        </w:rPr>
        <w:lastRenderedPageBreak/>
        <w:t xml:space="preserve">rorquals and population structure in fin whales. </w:t>
      </w:r>
      <w:r>
        <w:rPr>
          <w:i/>
          <w:color w:val="222222"/>
          <w:highlight w:val="white"/>
        </w:rPr>
        <w:t>Marine Ecology Progress Series</w:t>
      </w:r>
      <w:r>
        <w:rPr>
          <w:color w:val="222222"/>
          <w:highlight w:val="white"/>
        </w:rPr>
        <w:t xml:space="preserve">, </w:t>
      </w:r>
      <w:r>
        <w:rPr>
          <w:i/>
          <w:color w:val="222222"/>
          <w:highlight w:val="white"/>
        </w:rPr>
        <w:t>479</w:t>
      </w:r>
      <w:r>
        <w:rPr>
          <w:color w:val="222222"/>
          <w:highlight w:val="white"/>
        </w:rPr>
        <w:t xml:space="preserve">, pp.251-261. </w:t>
      </w:r>
      <w:hyperlink r:id="rId215">
        <w:r>
          <w:rPr>
            <w:color w:val="1155CC"/>
            <w:highlight w:val="white"/>
            <w:u w:val="single"/>
          </w:rPr>
          <w:t>https://doi.org/10.3354/meps10231</w:t>
        </w:r>
      </w:hyperlink>
      <w:r>
        <w:rPr>
          <w:color w:val="222222"/>
          <w:highlight w:val="white"/>
        </w:rPr>
        <w:t xml:space="preserve"> </w:t>
      </w:r>
    </w:p>
    <w:p w14:paraId="2330F531" w14:textId="77777777" w:rsidR="007B149A" w:rsidRDefault="000E054D">
      <w:pPr>
        <w:spacing w:before="240" w:after="240" w:line="360" w:lineRule="auto"/>
        <w:ind w:left="360"/>
        <w:rPr>
          <w:color w:val="222222"/>
          <w:highlight w:val="white"/>
        </w:rPr>
      </w:pPr>
      <w:r>
        <w:rPr>
          <w:color w:val="222222"/>
          <w:highlight w:val="white"/>
        </w:rPr>
        <w:t xml:space="preserve">Samarra, F.I., Vighi, M., Aguilar, A. and Víkingsson, G.A., 2017. Intra-population variation in isotopic niche in herring-eating killer whales off Iceland. </w:t>
      </w:r>
      <w:r>
        <w:rPr>
          <w:i/>
          <w:color w:val="222222"/>
          <w:highlight w:val="white"/>
        </w:rPr>
        <w:t>Marine Ecology Progress Series</w:t>
      </w:r>
      <w:r>
        <w:rPr>
          <w:color w:val="222222"/>
          <w:highlight w:val="white"/>
        </w:rPr>
        <w:t xml:space="preserve">, </w:t>
      </w:r>
      <w:r>
        <w:rPr>
          <w:i/>
          <w:color w:val="222222"/>
          <w:highlight w:val="white"/>
        </w:rPr>
        <w:t>564</w:t>
      </w:r>
      <w:r>
        <w:rPr>
          <w:color w:val="222222"/>
          <w:highlight w:val="white"/>
        </w:rPr>
        <w:t xml:space="preserve">, pp.199-210. </w:t>
      </w:r>
      <w:hyperlink r:id="rId216">
        <w:r>
          <w:rPr>
            <w:color w:val="1155CC"/>
            <w:highlight w:val="white"/>
            <w:u w:val="single"/>
          </w:rPr>
          <w:t>https://doi.org/10.3354/meps11998</w:t>
        </w:r>
      </w:hyperlink>
      <w:r>
        <w:rPr>
          <w:color w:val="222222"/>
          <w:highlight w:val="white"/>
        </w:rPr>
        <w:t xml:space="preserve"> </w:t>
      </w:r>
    </w:p>
    <w:p w14:paraId="2330F532" w14:textId="77777777" w:rsidR="007B149A" w:rsidRDefault="000E054D">
      <w:pPr>
        <w:spacing w:before="240" w:after="240" w:line="360" w:lineRule="auto"/>
        <w:ind w:left="360"/>
        <w:rPr>
          <w:color w:val="222222"/>
          <w:highlight w:val="white"/>
        </w:rPr>
      </w:pPr>
      <w:r>
        <w:rPr>
          <w:color w:val="222222"/>
          <w:highlight w:val="white"/>
        </w:rPr>
        <w:t xml:space="preserve">Sardenne, F., Bodin, N., Chassot, E., Amiel, A., Fouché, E., Degroote, M., Hollanda, S., Pethybridge, H., Lebreton, B., Guillou, G. and Ménard, F., 2016. Trophic niches of sympatric tropical tuna in the Western Indian Ocean inferred by stable isotopes and neutral fatty acids. </w:t>
      </w:r>
      <w:r>
        <w:rPr>
          <w:i/>
          <w:color w:val="222222"/>
          <w:highlight w:val="white"/>
        </w:rPr>
        <w:t>Progress in Oceanography</w:t>
      </w:r>
      <w:r>
        <w:rPr>
          <w:color w:val="222222"/>
          <w:highlight w:val="white"/>
        </w:rPr>
        <w:t xml:space="preserve">, </w:t>
      </w:r>
      <w:r>
        <w:rPr>
          <w:i/>
          <w:color w:val="222222"/>
          <w:highlight w:val="white"/>
        </w:rPr>
        <w:t>146</w:t>
      </w:r>
      <w:r>
        <w:rPr>
          <w:color w:val="222222"/>
          <w:highlight w:val="white"/>
        </w:rPr>
        <w:t xml:space="preserve">, pp.75-88. </w:t>
      </w:r>
      <w:hyperlink r:id="rId217">
        <w:r>
          <w:rPr>
            <w:color w:val="1155CC"/>
            <w:highlight w:val="white"/>
            <w:u w:val="single"/>
          </w:rPr>
          <w:t>https://doi.org/10.1016/j.pocean.2016.06.001</w:t>
        </w:r>
      </w:hyperlink>
      <w:r>
        <w:rPr>
          <w:color w:val="222222"/>
          <w:highlight w:val="white"/>
        </w:rPr>
        <w:t xml:space="preserve"> </w:t>
      </w:r>
    </w:p>
    <w:p w14:paraId="2330F533" w14:textId="77777777" w:rsidR="007B149A" w:rsidRDefault="000E054D">
      <w:pPr>
        <w:spacing w:before="240" w:after="240" w:line="360" w:lineRule="auto"/>
        <w:ind w:left="360"/>
        <w:rPr>
          <w:color w:val="222222"/>
          <w:highlight w:val="white"/>
        </w:rPr>
      </w:pPr>
      <w:r>
        <w:rPr>
          <w:color w:val="222222"/>
          <w:highlight w:val="white"/>
        </w:rPr>
        <w:t xml:space="preserve">Sawyer, N.W., Loudon, J.E., Schacht, R., Sauther, M.L. and Sponheimer, M., 2019, March. Detecting shifts in the trophic niches of sympatric Verreaux's sifaka (Propithecus verreauxi) and ring-tailed lemurs (Lemur catta) using stable isotope analyses. </w:t>
      </w:r>
      <w:r>
        <w:rPr>
          <w:i/>
          <w:color w:val="222222"/>
          <w:highlight w:val="white"/>
        </w:rPr>
        <w:t>American Journal of Physical Anthropology</w:t>
      </w:r>
      <w:r>
        <w:rPr>
          <w:color w:val="222222"/>
          <w:highlight w:val="white"/>
        </w:rPr>
        <w:t>, 168 pp. 216-216.</w:t>
      </w:r>
    </w:p>
    <w:p w14:paraId="2330F534" w14:textId="77777777" w:rsidR="007B149A" w:rsidRDefault="000E054D">
      <w:pPr>
        <w:spacing w:before="240" w:after="240" w:line="360" w:lineRule="auto"/>
        <w:ind w:left="360"/>
        <w:rPr>
          <w:color w:val="222222"/>
          <w:highlight w:val="white"/>
        </w:rPr>
      </w:pPr>
      <w:r>
        <w:rPr>
          <w:color w:val="222222"/>
          <w:highlight w:val="white"/>
        </w:rPr>
        <w:t xml:space="preserve">Scheinin, A.P., Kerem, D., Lojen, S., Liberzon, J. and Spanier, E., 2014. Resource partitioning between common bottlenose dolphin (Tursiops truncatus) and the Israeli bottom trawl fishery? Assessment by stomach contents and tissue stable isotopes analysis. </w:t>
      </w:r>
      <w:r>
        <w:rPr>
          <w:i/>
          <w:color w:val="222222"/>
          <w:highlight w:val="white"/>
        </w:rPr>
        <w:t>Journal of the Marine Biological Association of the United Kingdom</w:t>
      </w:r>
      <w:r>
        <w:rPr>
          <w:color w:val="222222"/>
          <w:highlight w:val="white"/>
        </w:rPr>
        <w:t xml:space="preserve">, </w:t>
      </w:r>
      <w:r>
        <w:rPr>
          <w:i/>
          <w:color w:val="222222"/>
          <w:highlight w:val="white"/>
        </w:rPr>
        <w:t>94</w:t>
      </w:r>
      <w:r>
        <w:rPr>
          <w:color w:val="222222"/>
          <w:highlight w:val="white"/>
        </w:rPr>
        <w:t xml:space="preserve">(6), pp.1203-1220. </w:t>
      </w:r>
      <w:hyperlink r:id="rId218">
        <w:r>
          <w:rPr>
            <w:color w:val="1155CC"/>
            <w:highlight w:val="white"/>
            <w:u w:val="single"/>
          </w:rPr>
          <w:t>https://doi.org/10.1017/S0025315414001015</w:t>
        </w:r>
      </w:hyperlink>
      <w:r>
        <w:rPr>
          <w:color w:val="222222"/>
          <w:highlight w:val="white"/>
        </w:rPr>
        <w:t xml:space="preserve"> </w:t>
      </w:r>
    </w:p>
    <w:p w14:paraId="2330F535" w14:textId="77777777" w:rsidR="007B149A" w:rsidRDefault="000E054D">
      <w:pPr>
        <w:spacing w:before="240" w:after="240" w:line="360" w:lineRule="auto"/>
        <w:ind w:left="360"/>
        <w:rPr>
          <w:color w:val="222222"/>
          <w:highlight w:val="white"/>
        </w:rPr>
      </w:pPr>
      <w:r>
        <w:rPr>
          <w:color w:val="222222"/>
          <w:highlight w:val="white"/>
        </w:rPr>
        <w:t xml:space="preserve">Secchi, E.R., Botta, S., Wiegand, M.M., Lopez, L.A., Fruet, P.F., Genoves, R.C. and Di Tullio, J.C., 2017. Long-term and gender-related variation in the feeding ecology of common bottlenose dolphins inhabiting a subtropical estuary and the adjacent marine coast in the western South Atlantic. </w:t>
      </w:r>
      <w:r>
        <w:rPr>
          <w:i/>
          <w:color w:val="222222"/>
          <w:highlight w:val="white"/>
        </w:rPr>
        <w:t>Marine Biology Research</w:t>
      </w:r>
      <w:r>
        <w:rPr>
          <w:color w:val="222222"/>
          <w:highlight w:val="white"/>
        </w:rPr>
        <w:t xml:space="preserve">, </w:t>
      </w:r>
      <w:r>
        <w:rPr>
          <w:i/>
          <w:color w:val="222222"/>
          <w:highlight w:val="white"/>
        </w:rPr>
        <w:t>13</w:t>
      </w:r>
      <w:r>
        <w:rPr>
          <w:color w:val="222222"/>
          <w:highlight w:val="white"/>
        </w:rPr>
        <w:t xml:space="preserve">(1), pp.121-134. </w:t>
      </w:r>
      <w:hyperlink r:id="rId219">
        <w:r>
          <w:rPr>
            <w:color w:val="1155CC"/>
            <w:highlight w:val="white"/>
            <w:u w:val="single"/>
          </w:rPr>
          <w:t>https://doi.org/10.1080/17451000.2016.1213398</w:t>
        </w:r>
      </w:hyperlink>
      <w:r>
        <w:rPr>
          <w:color w:val="222222"/>
          <w:highlight w:val="white"/>
        </w:rPr>
        <w:t xml:space="preserve"> </w:t>
      </w:r>
    </w:p>
    <w:p w14:paraId="2330F536" w14:textId="77777777" w:rsidR="007B149A" w:rsidRDefault="000E054D">
      <w:pPr>
        <w:spacing w:before="240" w:after="240" w:line="360" w:lineRule="auto"/>
        <w:ind w:left="360"/>
        <w:rPr>
          <w:color w:val="222222"/>
          <w:highlight w:val="white"/>
        </w:rPr>
      </w:pPr>
      <w:r>
        <w:rPr>
          <w:color w:val="222222"/>
          <w:highlight w:val="white"/>
        </w:rPr>
        <w:t xml:space="preserve">Sepúlveda, M., Pavez, G., Santos‐Carvallo, M., Balbontín, C., Pequeño, G. and Newsome, S.D., 2017. Spatial, temporal, age, and sex related variation in the diet of South American </w:t>
      </w:r>
      <w:r>
        <w:rPr>
          <w:color w:val="222222"/>
          <w:highlight w:val="white"/>
        </w:rPr>
        <w:lastRenderedPageBreak/>
        <w:t xml:space="preserve">sea lions in southern Chile. </w:t>
      </w:r>
      <w:r>
        <w:rPr>
          <w:i/>
          <w:color w:val="222222"/>
          <w:highlight w:val="white"/>
        </w:rPr>
        <w:t>Marine Mammal Science</w:t>
      </w:r>
      <w:r>
        <w:rPr>
          <w:color w:val="222222"/>
          <w:highlight w:val="white"/>
        </w:rPr>
        <w:t xml:space="preserve">, </w:t>
      </w:r>
      <w:r>
        <w:rPr>
          <w:i/>
          <w:color w:val="222222"/>
          <w:highlight w:val="white"/>
        </w:rPr>
        <w:t>33</w:t>
      </w:r>
      <w:r>
        <w:rPr>
          <w:color w:val="222222"/>
          <w:highlight w:val="white"/>
        </w:rPr>
        <w:t xml:space="preserve">(2), pp.480-495. </w:t>
      </w:r>
      <w:hyperlink r:id="rId220">
        <w:r>
          <w:rPr>
            <w:color w:val="1155CC"/>
            <w:highlight w:val="white"/>
            <w:u w:val="single"/>
          </w:rPr>
          <w:t>https://doi.org/10.1111/mms.12379</w:t>
        </w:r>
      </w:hyperlink>
      <w:r>
        <w:rPr>
          <w:color w:val="222222"/>
          <w:highlight w:val="white"/>
        </w:rPr>
        <w:t xml:space="preserve"> </w:t>
      </w:r>
    </w:p>
    <w:p w14:paraId="2330F537" w14:textId="77777777" w:rsidR="007B149A" w:rsidRDefault="000E054D">
      <w:pPr>
        <w:spacing w:before="240" w:after="240" w:line="360" w:lineRule="auto"/>
        <w:ind w:left="360"/>
        <w:rPr>
          <w:color w:val="222222"/>
          <w:highlight w:val="white"/>
        </w:rPr>
      </w:pPr>
      <w:r>
        <w:rPr>
          <w:color w:val="222222"/>
          <w:highlight w:val="white"/>
        </w:rPr>
        <w:t xml:space="preserve">Siemers, B.M., Greif, S., Borissov, I., Voigt-Heucke, S.L. and Voigt, C.C., 2011. Divergent trophic levels in two cryptic sibling bat species. </w:t>
      </w:r>
      <w:r>
        <w:rPr>
          <w:i/>
          <w:color w:val="222222"/>
          <w:highlight w:val="white"/>
        </w:rPr>
        <w:t>Oecologia</w:t>
      </w:r>
      <w:r>
        <w:rPr>
          <w:color w:val="222222"/>
          <w:highlight w:val="white"/>
        </w:rPr>
        <w:t xml:space="preserve">, </w:t>
      </w:r>
      <w:r>
        <w:rPr>
          <w:i/>
          <w:color w:val="222222"/>
          <w:highlight w:val="white"/>
        </w:rPr>
        <w:t>166</w:t>
      </w:r>
      <w:r>
        <w:rPr>
          <w:color w:val="222222"/>
          <w:highlight w:val="white"/>
        </w:rPr>
        <w:t xml:space="preserve">(1), pp.69-78. </w:t>
      </w:r>
      <w:hyperlink r:id="rId221">
        <w:r>
          <w:rPr>
            <w:color w:val="1155CC"/>
            <w:highlight w:val="white"/>
            <w:u w:val="single"/>
          </w:rPr>
          <w:t>https://doi.org/10.1007/s00442-011-1940-1</w:t>
        </w:r>
      </w:hyperlink>
      <w:r>
        <w:rPr>
          <w:color w:val="222222"/>
          <w:highlight w:val="white"/>
        </w:rPr>
        <w:t xml:space="preserve"> </w:t>
      </w:r>
    </w:p>
    <w:p w14:paraId="2330F538" w14:textId="77777777" w:rsidR="007B149A" w:rsidRDefault="000E054D">
      <w:pPr>
        <w:spacing w:before="240" w:after="240" w:line="360" w:lineRule="auto"/>
        <w:ind w:left="360"/>
        <w:rPr>
          <w:color w:val="222222"/>
          <w:highlight w:val="white"/>
        </w:rPr>
      </w:pPr>
      <w:r>
        <w:rPr>
          <w:color w:val="222222"/>
          <w:highlight w:val="white"/>
        </w:rPr>
        <w:t xml:space="preserve">Silva, L., Saporit, F., Vales, D., Tavares, M., Gandini, P., Crespo, E.A. and Cardona, L., 2014. Differences in diet composition and foraging patterns between sexes of the Magellanic penguin (Spheniscus magellanicus) during the non-breeding period as revealed by δ 13 C and δ 15 N values in feathers and bone. </w:t>
      </w:r>
      <w:r>
        <w:rPr>
          <w:i/>
          <w:color w:val="222222"/>
          <w:highlight w:val="white"/>
        </w:rPr>
        <w:t>Marine biology</w:t>
      </w:r>
      <w:r>
        <w:rPr>
          <w:color w:val="222222"/>
          <w:highlight w:val="white"/>
        </w:rPr>
        <w:t xml:space="preserve">, </w:t>
      </w:r>
      <w:r>
        <w:rPr>
          <w:i/>
          <w:color w:val="222222"/>
          <w:highlight w:val="white"/>
        </w:rPr>
        <w:t>161</w:t>
      </w:r>
      <w:r>
        <w:rPr>
          <w:color w:val="222222"/>
          <w:highlight w:val="white"/>
        </w:rPr>
        <w:t xml:space="preserve">(5), pp.1195-1206. </w:t>
      </w:r>
      <w:hyperlink r:id="rId222">
        <w:r>
          <w:rPr>
            <w:color w:val="1155CC"/>
            <w:highlight w:val="white"/>
            <w:u w:val="single"/>
          </w:rPr>
          <w:t>https://doi.org/10.1007/s00227-014-2410-1</w:t>
        </w:r>
      </w:hyperlink>
      <w:r>
        <w:rPr>
          <w:color w:val="222222"/>
          <w:highlight w:val="white"/>
        </w:rPr>
        <w:t xml:space="preserve"> </w:t>
      </w:r>
    </w:p>
    <w:p w14:paraId="2330F539" w14:textId="77777777" w:rsidR="007B149A" w:rsidRDefault="000E054D">
      <w:pPr>
        <w:spacing w:before="240" w:after="240" w:line="360" w:lineRule="auto"/>
        <w:ind w:left="360"/>
        <w:rPr>
          <w:color w:val="222222"/>
          <w:highlight w:val="white"/>
        </w:rPr>
      </w:pPr>
      <w:r>
        <w:rPr>
          <w:color w:val="222222"/>
          <w:highlight w:val="white"/>
        </w:rPr>
        <w:t xml:space="preserve">Stauss, C., Bearhop, S., Bodey, T.W., Garthe, S., Gunn, C., Grecian, W.J., Inger, R., Knight, M.E., Newton, J., Patrick, S.C. and Phillips, R.A., 2012. Sex-specific foraging behaviour in northern gannets Morus bassanus: incidence and implications. </w:t>
      </w:r>
      <w:r>
        <w:rPr>
          <w:i/>
          <w:color w:val="222222"/>
          <w:highlight w:val="white"/>
        </w:rPr>
        <w:t>Marine Ecology Progress Series</w:t>
      </w:r>
      <w:r>
        <w:rPr>
          <w:color w:val="222222"/>
          <w:highlight w:val="white"/>
        </w:rPr>
        <w:t xml:space="preserve">, </w:t>
      </w:r>
      <w:r>
        <w:rPr>
          <w:i/>
          <w:color w:val="222222"/>
          <w:highlight w:val="white"/>
        </w:rPr>
        <w:t>457</w:t>
      </w:r>
      <w:r>
        <w:rPr>
          <w:color w:val="222222"/>
          <w:highlight w:val="white"/>
        </w:rPr>
        <w:t xml:space="preserve">, pp.151-162. </w:t>
      </w:r>
      <w:hyperlink r:id="rId223">
        <w:r>
          <w:rPr>
            <w:color w:val="1155CC"/>
            <w:highlight w:val="white"/>
            <w:u w:val="single"/>
          </w:rPr>
          <w:t>https://doi.org/10.3354/meps09734</w:t>
        </w:r>
      </w:hyperlink>
      <w:r>
        <w:rPr>
          <w:color w:val="222222"/>
          <w:highlight w:val="white"/>
        </w:rPr>
        <w:t xml:space="preserve"> </w:t>
      </w:r>
    </w:p>
    <w:p w14:paraId="2330F53A" w14:textId="77777777" w:rsidR="007B149A" w:rsidRDefault="000E054D">
      <w:pPr>
        <w:spacing w:before="240" w:after="240" w:line="360" w:lineRule="auto"/>
        <w:ind w:left="360"/>
        <w:rPr>
          <w:color w:val="222222"/>
          <w:highlight w:val="white"/>
        </w:rPr>
      </w:pPr>
      <w:r>
        <w:rPr>
          <w:color w:val="222222"/>
          <w:highlight w:val="white"/>
        </w:rPr>
        <w:t xml:space="preserve">Streicker, D.G. and Allgeier, J.E., 2016. Foraging choices of vampire bats in diverse landscapes: Potential implications for land‐use change and disease transmission. </w:t>
      </w:r>
      <w:r>
        <w:rPr>
          <w:i/>
          <w:color w:val="222222"/>
          <w:highlight w:val="white"/>
        </w:rPr>
        <w:t>Journal of Applied Ecology</w:t>
      </w:r>
      <w:r>
        <w:rPr>
          <w:color w:val="222222"/>
          <w:highlight w:val="white"/>
        </w:rPr>
        <w:t xml:space="preserve">, </w:t>
      </w:r>
      <w:r>
        <w:rPr>
          <w:i/>
          <w:color w:val="222222"/>
          <w:highlight w:val="white"/>
        </w:rPr>
        <w:t>53</w:t>
      </w:r>
      <w:r>
        <w:rPr>
          <w:color w:val="222222"/>
          <w:highlight w:val="white"/>
        </w:rPr>
        <w:t xml:space="preserve">(4), pp.1280-1288. </w:t>
      </w:r>
      <w:hyperlink r:id="rId224">
        <w:r>
          <w:rPr>
            <w:color w:val="1155CC"/>
            <w:highlight w:val="white"/>
            <w:u w:val="single"/>
          </w:rPr>
          <w:t>https://doi.org/10.1111/1365-2664.12690</w:t>
        </w:r>
      </w:hyperlink>
      <w:r>
        <w:rPr>
          <w:color w:val="222222"/>
          <w:highlight w:val="white"/>
        </w:rPr>
        <w:t xml:space="preserve"> </w:t>
      </w:r>
    </w:p>
    <w:p w14:paraId="2330F53B" w14:textId="77777777" w:rsidR="007B149A" w:rsidRDefault="000E054D">
      <w:pPr>
        <w:spacing w:before="240" w:after="240" w:line="360" w:lineRule="auto"/>
        <w:ind w:left="360"/>
        <w:rPr>
          <w:color w:val="222222"/>
          <w:highlight w:val="white"/>
        </w:rPr>
      </w:pPr>
      <w:r>
        <w:rPr>
          <w:color w:val="222222"/>
          <w:highlight w:val="white"/>
        </w:rPr>
        <w:t xml:space="preserve">Thiebot, J.B., Cherel, Y., Trathan, P.N. and Bost, C.A., 2012. Coexistence of oceanic predators on wintering areas explained by population‐scale foraging segregation in space or time. </w:t>
      </w:r>
      <w:r>
        <w:rPr>
          <w:i/>
          <w:color w:val="222222"/>
          <w:highlight w:val="white"/>
        </w:rPr>
        <w:t>Ecology</w:t>
      </w:r>
      <w:r>
        <w:rPr>
          <w:color w:val="222222"/>
          <w:highlight w:val="white"/>
        </w:rPr>
        <w:t xml:space="preserve">, </w:t>
      </w:r>
      <w:r>
        <w:rPr>
          <w:i/>
          <w:color w:val="222222"/>
          <w:highlight w:val="white"/>
        </w:rPr>
        <w:t>93</w:t>
      </w:r>
      <w:r>
        <w:rPr>
          <w:color w:val="222222"/>
          <w:highlight w:val="white"/>
        </w:rPr>
        <w:t xml:space="preserve">(1), pp.122-130. </w:t>
      </w:r>
      <w:hyperlink r:id="rId225">
        <w:r>
          <w:rPr>
            <w:color w:val="1155CC"/>
            <w:highlight w:val="white"/>
            <w:u w:val="single"/>
          </w:rPr>
          <w:t>https://doi.org/10.1890/11-0385.1</w:t>
        </w:r>
      </w:hyperlink>
      <w:r>
        <w:rPr>
          <w:color w:val="222222"/>
          <w:highlight w:val="white"/>
        </w:rPr>
        <w:t xml:space="preserve"> </w:t>
      </w:r>
    </w:p>
    <w:p w14:paraId="2330F53C" w14:textId="77777777" w:rsidR="007B149A" w:rsidRDefault="000E054D">
      <w:pPr>
        <w:spacing w:before="240" w:after="240" w:line="360" w:lineRule="auto"/>
        <w:ind w:left="360"/>
        <w:rPr>
          <w:color w:val="222222"/>
          <w:highlight w:val="white"/>
        </w:rPr>
      </w:pPr>
      <w:r>
        <w:rPr>
          <w:color w:val="222222"/>
          <w:highlight w:val="white"/>
        </w:rPr>
        <w:t xml:space="preserve">Thiebot, J.B., Bost, C.A., Dehnhard, N., Demongin, L., Eens, M., Lepoint, G., Cherel, Y. and Poisbleau, M., 2015. Mates but not sexes differ in migratory niche in a monogamous penguin species. </w:t>
      </w:r>
      <w:r>
        <w:rPr>
          <w:i/>
          <w:color w:val="222222"/>
          <w:highlight w:val="white"/>
        </w:rPr>
        <w:t>Biology letters</w:t>
      </w:r>
      <w:r>
        <w:rPr>
          <w:color w:val="222222"/>
          <w:highlight w:val="white"/>
        </w:rPr>
        <w:t xml:space="preserve">, </w:t>
      </w:r>
      <w:r>
        <w:rPr>
          <w:i/>
          <w:color w:val="222222"/>
          <w:highlight w:val="white"/>
        </w:rPr>
        <w:t>11</w:t>
      </w:r>
      <w:r>
        <w:rPr>
          <w:color w:val="222222"/>
          <w:highlight w:val="white"/>
        </w:rPr>
        <w:t xml:space="preserve">(9), p.20150429. </w:t>
      </w:r>
      <w:hyperlink r:id="rId226">
        <w:r>
          <w:rPr>
            <w:color w:val="1155CC"/>
            <w:highlight w:val="white"/>
            <w:u w:val="single"/>
          </w:rPr>
          <w:t>https://doi.org/10.1098/rsbl.2015.0429</w:t>
        </w:r>
      </w:hyperlink>
      <w:r>
        <w:rPr>
          <w:color w:val="222222"/>
          <w:highlight w:val="white"/>
        </w:rPr>
        <w:t xml:space="preserve"> </w:t>
      </w:r>
    </w:p>
    <w:p w14:paraId="2330F53D" w14:textId="77777777" w:rsidR="007B149A" w:rsidRDefault="000E054D">
      <w:pPr>
        <w:spacing w:before="240" w:after="240" w:line="360" w:lineRule="auto"/>
        <w:ind w:left="360"/>
        <w:rPr>
          <w:color w:val="222222"/>
          <w:highlight w:val="white"/>
        </w:rPr>
      </w:pPr>
      <w:r>
        <w:rPr>
          <w:color w:val="222222"/>
          <w:highlight w:val="white"/>
        </w:rPr>
        <w:t xml:space="preserve">Tixier, P., Giménez, J., Reisinger, R.R., Méndez-Fernandez, P., Arnould, J.P., Cherel, Y. and Guinet, C., 2019. Importance of toothfish in the diet of generalist subantarctic killer whales: </w:t>
      </w:r>
      <w:r>
        <w:rPr>
          <w:color w:val="222222"/>
          <w:highlight w:val="white"/>
        </w:rPr>
        <w:lastRenderedPageBreak/>
        <w:t xml:space="preserve">implications for fisheries interactions. </w:t>
      </w:r>
      <w:r>
        <w:rPr>
          <w:i/>
          <w:color w:val="222222"/>
          <w:highlight w:val="white"/>
        </w:rPr>
        <w:t>Marine Ecology Progress Series</w:t>
      </w:r>
      <w:r>
        <w:rPr>
          <w:color w:val="222222"/>
          <w:highlight w:val="white"/>
        </w:rPr>
        <w:t xml:space="preserve">, </w:t>
      </w:r>
      <w:r>
        <w:rPr>
          <w:i/>
          <w:color w:val="222222"/>
          <w:highlight w:val="white"/>
        </w:rPr>
        <w:t>613</w:t>
      </w:r>
      <w:r>
        <w:rPr>
          <w:color w:val="222222"/>
          <w:highlight w:val="white"/>
        </w:rPr>
        <w:t xml:space="preserve">, pp.197-210. </w:t>
      </w:r>
      <w:hyperlink r:id="rId227">
        <w:r>
          <w:rPr>
            <w:color w:val="1155CC"/>
            <w:highlight w:val="white"/>
            <w:u w:val="single"/>
          </w:rPr>
          <w:t>https://doi.org/10.3354/meps12894</w:t>
        </w:r>
      </w:hyperlink>
      <w:r>
        <w:rPr>
          <w:color w:val="222222"/>
          <w:highlight w:val="white"/>
        </w:rPr>
        <w:t xml:space="preserve"> </w:t>
      </w:r>
    </w:p>
    <w:p w14:paraId="2330F53E" w14:textId="77777777" w:rsidR="007B149A" w:rsidRDefault="000E054D">
      <w:pPr>
        <w:spacing w:before="240" w:after="240" w:line="360" w:lineRule="auto"/>
        <w:ind w:left="360"/>
        <w:rPr>
          <w:color w:val="222222"/>
          <w:highlight w:val="white"/>
        </w:rPr>
      </w:pPr>
      <w:r>
        <w:rPr>
          <w:color w:val="222222"/>
          <w:highlight w:val="white"/>
        </w:rPr>
        <w:t xml:space="preserve">Trefry, S.A. and Diamond, A.W., 2017. Exploring hypotheses for sexual size dimorphism in frigatebirds. </w:t>
      </w:r>
      <w:r>
        <w:rPr>
          <w:i/>
          <w:color w:val="222222"/>
          <w:highlight w:val="white"/>
        </w:rPr>
        <w:t>Evolutionary Ecology Research</w:t>
      </w:r>
      <w:r>
        <w:rPr>
          <w:color w:val="222222"/>
          <w:highlight w:val="white"/>
        </w:rPr>
        <w:t xml:space="preserve">, </w:t>
      </w:r>
      <w:r>
        <w:rPr>
          <w:i/>
          <w:color w:val="222222"/>
          <w:highlight w:val="white"/>
        </w:rPr>
        <w:t>18</w:t>
      </w:r>
      <w:r>
        <w:rPr>
          <w:color w:val="222222"/>
          <w:highlight w:val="white"/>
        </w:rPr>
        <w:t>(3), pp.225-252.</w:t>
      </w:r>
    </w:p>
    <w:p w14:paraId="2330F53F" w14:textId="77777777" w:rsidR="007B149A" w:rsidRDefault="000E054D">
      <w:pPr>
        <w:spacing w:before="240" w:after="240" w:line="360" w:lineRule="auto"/>
        <w:ind w:left="360"/>
        <w:rPr>
          <w:color w:val="222222"/>
          <w:highlight w:val="white"/>
        </w:rPr>
      </w:pPr>
      <w:r>
        <w:rPr>
          <w:color w:val="222222"/>
          <w:highlight w:val="white"/>
        </w:rPr>
        <w:t xml:space="preserve">Tucker, S., Bowen, W.D. and Iverson, S.J., 2007. Dimensions of diet segregation in grey seals Halichoerus grypus revealed through stable isotopes of carbon (δ13C) and nitrogen (δ15N). </w:t>
      </w:r>
      <w:r>
        <w:rPr>
          <w:i/>
          <w:color w:val="222222"/>
          <w:highlight w:val="white"/>
        </w:rPr>
        <w:t>Marine Ecology Progress Series</w:t>
      </w:r>
      <w:r>
        <w:rPr>
          <w:color w:val="222222"/>
          <w:highlight w:val="white"/>
        </w:rPr>
        <w:t xml:space="preserve">, </w:t>
      </w:r>
      <w:r>
        <w:rPr>
          <w:i/>
          <w:color w:val="222222"/>
          <w:highlight w:val="white"/>
        </w:rPr>
        <w:t>339</w:t>
      </w:r>
      <w:r>
        <w:rPr>
          <w:color w:val="222222"/>
          <w:highlight w:val="white"/>
        </w:rPr>
        <w:t xml:space="preserve">, pp.271-282. </w:t>
      </w:r>
      <w:hyperlink r:id="rId228">
        <w:r>
          <w:rPr>
            <w:color w:val="1155CC"/>
            <w:highlight w:val="white"/>
            <w:u w:val="single"/>
          </w:rPr>
          <w:t>https://doi.org/10.3354/meps339271</w:t>
        </w:r>
      </w:hyperlink>
      <w:r>
        <w:rPr>
          <w:color w:val="222222"/>
          <w:highlight w:val="white"/>
        </w:rPr>
        <w:t xml:space="preserve"> </w:t>
      </w:r>
    </w:p>
    <w:p w14:paraId="2330F540" w14:textId="77777777" w:rsidR="007B149A" w:rsidRDefault="000E054D">
      <w:pPr>
        <w:spacing w:before="240" w:after="240" w:line="360" w:lineRule="auto"/>
        <w:ind w:left="360"/>
        <w:rPr>
          <w:color w:val="222222"/>
          <w:highlight w:val="white"/>
        </w:rPr>
      </w:pPr>
      <w:r>
        <w:rPr>
          <w:color w:val="222222"/>
          <w:highlight w:val="white"/>
        </w:rPr>
        <w:t xml:space="preserve">Trujillo-Olvera, A., Ortega-García, S., Tripp-Valdez, A., Escobar-Sánchez, O. and Acosta-Pachón, T.A., 2018. Feeding habits of the swordfish (Xiphias gladius Linnaeus, 1758) in the subtropical northeast Pacific. </w:t>
      </w:r>
      <w:r>
        <w:rPr>
          <w:i/>
          <w:color w:val="222222"/>
          <w:highlight w:val="white"/>
        </w:rPr>
        <w:t>Hydrobiologia</w:t>
      </w:r>
      <w:r>
        <w:rPr>
          <w:color w:val="222222"/>
          <w:highlight w:val="white"/>
        </w:rPr>
        <w:t xml:space="preserve">, </w:t>
      </w:r>
      <w:r>
        <w:rPr>
          <w:i/>
          <w:color w:val="222222"/>
          <w:highlight w:val="white"/>
        </w:rPr>
        <w:t>822</w:t>
      </w:r>
      <w:r>
        <w:rPr>
          <w:color w:val="222222"/>
          <w:highlight w:val="white"/>
        </w:rPr>
        <w:t xml:space="preserve">(1), pp.173-188. </w:t>
      </w:r>
      <w:hyperlink r:id="rId229">
        <w:r>
          <w:rPr>
            <w:color w:val="1155CC"/>
            <w:highlight w:val="white"/>
            <w:u w:val="single"/>
          </w:rPr>
          <w:t>https://doi.org/10.1007/s10750-018-3680-2</w:t>
        </w:r>
      </w:hyperlink>
      <w:r>
        <w:rPr>
          <w:color w:val="222222"/>
          <w:highlight w:val="white"/>
        </w:rPr>
        <w:t xml:space="preserve"> </w:t>
      </w:r>
    </w:p>
    <w:p w14:paraId="2330F541" w14:textId="77777777" w:rsidR="007B149A" w:rsidRDefault="000E054D">
      <w:pPr>
        <w:spacing w:before="240" w:after="240" w:line="360" w:lineRule="auto"/>
        <w:ind w:left="360"/>
        <w:rPr>
          <w:color w:val="222222"/>
          <w:highlight w:val="white"/>
        </w:rPr>
      </w:pPr>
      <w:r>
        <w:rPr>
          <w:color w:val="222222"/>
          <w:highlight w:val="white"/>
        </w:rPr>
        <w:t xml:space="preserve">Tucker, S., Stenson, G.B., Don Bowen, </w:t>
      </w:r>
      <w:proofErr w:type="gramStart"/>
      <w:r>
        <w:rPr>
          <w:color w:val="222222"/>
          <w:highlight w:val="white"/>
        </w:rPr>
        <w:t>W.</w:t>
      </w:r>
      <w:proofErr w:type="gramEnd"/>
      <w:r>
        <w:rPr>
          <w:color w:val="222222"/>
          <w:highlight w:val="white"/>
        </w:rPr>
        <w:t xml:space="preserve"> and Iverson, S.J., 2013. Fueling phocids: Divergent exploitation of primary energy sources and parallel ontogenetic diet switches among three species of subarctic seals. </w:t>
      </w:r>
      <w:r>
        <w:rPr>
          <w:i/>
          <w:color w:val="222222"/>
          <w:highlight w:val="white"/>
        </w:rPr>
        <w:t>Marine Mammal Science</w:t>
      </w:r>
      <w:r>
        <w:rPr>
          <w:color w:val="222222"/>
          <w:highlight w:val="white"/>
        </w:rPr>
        <w:t xml:space="preserve">, </w:t>
      </w:r>
      <w:r>
        <w:rPr>
          <w:i/>
          <w:color w:val="222222"/>
          <w:highlight w:val="white"/>
        </w:rPr>
        <w:t>29</w:t>
      </w:r>
      <w:r>
        <w:rPr>
          <w:color w:val="222222"/>
          <w:highlight w:val="white"/>
        </w:rPr>
        <w:t xml:space="preserve">(4), </w:t>
      </w:r>
      <w:proofErr w:type="gramStart"/>
      <w:r>
        <w:rPr>
          <w:color w:val="222222"/>
          <w:highlight w:val="white"/>
        </w:rPr>
        <w:t>pp.E</w:t>
      </w:r>
      <w:proofErr w:type="gramEnd"/>
      <w:r>
        <w:rPr>
          <w:color w:val="222222"/>
          <w:highlight w:val="white"/>
        </w:rPr>
        <w:t xml:space="preserve">428-E447. </w:t>
      </w:r>
      <w:hyperlink r:id="rId230">
        <w:r>
          <w:rPr>
            <w:color w:val="1155CC"/>
            <w:highlight w:val="white"/>
            <w:u w:val="single"/>
          </w:rPr>
          <w:t>https://doi.org/10.1111/mms.12009</w:t>
        </w:r>
      </w:hyperlink>
      <w:r>
        <w:rPr>
          <w:color w:val="222222"/>
          <w:highlight w:val="white"/>
        </w:rPr>
        <w:t xml:space="preserve"> </w:t>
      </w:r>
    </w:p>
    <w:p w14:paraId="2330F542" w14:textId="77777777" w:rsidR="007B149A" w:rsidRDefault="000E054D">
      <w:pPr>
        <w:spacing w:before="240" w:after="240" w:line="360" w:lineRule="auto"/>
        <w:ind w:left="360"/>
        <w:rPr>
          <w:color w:val="222222"/>
          <w:highlight w:val="white"/>
        </w:rPr>
      </w:pPr>
      <w:r>
        <w:rPr>
          <w:color w:val="222222"/>
          <w:highlight w:val="white"/>
        </w:rPr>
        <w:t xml:space="preserve">Voigt, C.C., Krofel, M., Menges, V., Wachter, B. and Melzheimer, J., 2018. Sex‐specific dietary specialization in a terrestrial apex predator, the leopard, revealed by stable isotope analysis. </w:t>
      </w:r>
      <w:r>
        <w:rPr>
          <w:i/>
          <w:color w:val="222222"/>
          <w:highlight w:val="white"/>
        </w:rPr>
        <w:t>Journal of Zoology</w:t>
      </w:r>
      <w:r>
        <w:rPr>
          <w:color w:val="222222"/>
          <w:highlight w:val="white"/>
        </w:rPr>
        <w:t xml:space="preserve">, </w:t>
      </w:r>
      <w:r>
        <w:rPr>
          <w:i/>
          <w:color w:val="222222"/>
          <w:highlight w:val="white"/>
        </w:rPr>
        <w:t>306</w:t>
      </w:r>
      <w:r>
        <w:rPr>
          <w:color w:val="222222"/>
          <w:highlight w:val="white"/>
        </w:rPr>
        <w:t xml:space="preserve">(1), pp.1-7. </w:t>
      </w:r>
      <w:hyperlink r:id="rId231">
        <w:r>
          <w:rPr>
            <w:color w:val="1155CC"/>
            <w:highlight w:val="white"/>
            <w:u w:val="single"/>
          </w:rPr>
          <w:t>https://doi.org/10.1111/jzo.12566</w:t>
        </w:r>
      </w:hyperlink>
      <w:r>
        <w:rPr>
          <w:color w:val="222222"/>
          <w:highlight w:val="white"/>
        </w:rPr>
        <w:t xml:space="preserve"> </w:t>
      </w:r>
    </w:p>
    <w:p w14:paraId="2330F543" w14:textId="77777777" w:rsidR="007B149A" w:rsidRDefault="000E054D">
      <w:pPr>
        <w:spacing w:before="240" w:after="240" w:line="360" w:lineRule="auto"/>
        <w:ind w:left="360"/>
        <w:rPr>
          <w:color w:val="222222"/>
          <w:highlight w:val="white"/>
        </w:rPr>
      </w:pPr>
      <w:r>
        <w:rPr>
          <w:color w:val="222222"/>
          <w:highlight w:val="white"/>
        </w:rPr>
        <w:t xml:space="preserve">Watt, C.A., Heide-Jørgensen, M.P. and Ferguson, S.H., 2013. How adaptable are narwhal? A comparison of foraging patterns among the world's three narwhal populations. </w:t>
      </w:r>
      <w:r>
        <w:rPr>
          <w:i/>
          <w:color w:val="222222"/>
          <w:highlight w:val="white"/>
        </w:rPr>
        <w:t>Ecosphere</w:t>
      </w:r>
      <w:r>
        <w:rPr>
          <w:color w:val="222222"/>
          <w:highlight w:val="white"/>
        </w:rPr>
        <w:t xml:space="preserve">, </w:t>
      </w:r>
      <w:r>
        <w:rPr>
          <w:i/>
          <w:color w:val="222222"/>
          <w:highlight w:val="white"/>
        </w:rPr>
        <w:t>4</w:t>
      </w:r>
      <w:r>
        <w:rPr>
          <w:color w:val="222222"/>
          <w:highlight w:val="white"/>
        </w:rPr>
        <w:t xml:space="preserve">(6), pp.1-15. </w:t>
      </w:r>
      <w:hyperlink r:id="rId232">
        <w:r>
          <w:rPr>
            <w:color w:val="1155CC"/>
            <w:highlight w:val="white"/>
            <w:u w:val="single"/>
          </w:rPr>
          <w:t>https://doi.org/10.1890/ES13-00137.1</w:t>
        </w:r>
      </w:hyperlink>
      <w:r>
        <w:rPr>
          <w:color w:val="222222"/>
          <w:highlight w:val="white"/>
        </w:rPr>
        <w:t xml:space="preserve"> </w:t>
      </w:r>
    </w:p>
    <w:p w14:paraId="2330F544" w14:textId="77777777" w:rsidR="007B149A" w:rsidRDefault="000E054D">
      <w:pPr>
        <w:spacing w:before="240" w:after="240" w:line="360" w:lineRule="auto"/>
        <w:ind w:left="360"/>
        <w:rPr>
          <w:color w:val="222222"/>
          <w:highlight w:val="white"/>
        </w:rPr>
      </w:pPr>
      <w:r>
        <w:rPr>
          <w:color w:val="222222"/>
          <w:highlight w:val="white"/>
        </w:rPr>
        <w:t xml:space="preserve">Weimerskirch, H., Shaffer, S.A., Tremblay, Y., Costa, D.P., Gadenne, H., Kato, A., Ropert-Coudert, Y., Sato, K. and Aurioles, D., 2009. Species-and sex-specific differences in foraging behaviour and foraging zones in blue-footed and brown boobies in the Gulf of California. </w:t>
      </w:r>
      <w:r>
        <w:rPr>
          <w:i/>
          <w:color w:val="222222"/>
          <w:highlight w:val="white"/>
        </w:rPr>
        <w:t>Marine Ecology Progress Series</w:t>
      </w:r>
      <w:r>
        <w:rPr>
          <w:color w:val="222222"/>
          <w:highlight w:val="white"/>
        </w:rPr>
        <w:t xml:space="preserve">, </w:t>
      </w:r>
      <w:r>
        <w:rPr>
          <w:i/>
          <w:color w:val="222222"/>
          <w:highlight w:val="white"/>
        </w:rPr>
        <w:t>391</w:t>
      </w:r>
      <w:r>
        <w:rPr>
          <w:color w:val="222222"/>
          <w:highlight w:val="white"/>
        </w:rPr>
        <w:t xml:space="preserve">, pp.267-278. </w:t>
      </w:r>
      <w:hyperlink r:id="rId233">
        <w:r>
          <w:rPr>
            <w:color w:val="1155CC"/>
            <w:highlight w:val="white"/>
            <w:u w:val="single"/>
          </w:rPr>
          <w:t>https://doi.org/10.3354/meps07981</w:t>
        </w:r>
      </w:hyperlink>
      <w:r>
        <w:rPr>
          <w:color w:val="222222"/>
          <w:highlight w:val="white"/>
        </w:rPr>
        <w:t xml:space="preserve"> </w:t>
      </w:r>
    </w:p>
    <w:p w14:paraId="2330F545" w14:textId="77777777" w:rsidR="007B149A" w:rsidRDefault="000E054D">
      <w:pPr>
        <w:spacing w:before="240" w:after="240" w:line="360" w:lineRule="auto"/>
        <w:ind w:left="360"/>
        <w:rPr>
          <w:color w:val="222222"/>
          <w:highlight w:val="white"/>
        </w:rPr>
      </w:pPr>
      <w:r>
        <w:rPr>
          <w:color w:val="222222"/>
          <w:highlight w:val="white"/>
        </w:rPr>
        <w:lastRenderedPageBreak/>
        <w:t xml:space="preserve">Whitehead, T.O., Connan, M., Ropert-Coudert, Y. and Ryan, P.G., 2017. Subtle but significant segregation in the feeding ecology of sympatric penguins during the critical pre-moult period. </w:t>
      </w:r>
      <w:r>
        <w:rPr>
          <w:i/>
          <w:color w:val="222222"/>
          <w:highlight w:val="white"/>
        </w:rPr>
        <w:t>Marine Ecology Progress Series</w:t>
      </w:r>
      <w:r>
        <w:rPr>
          <w:color w:val="222222"/>
          <w:highlight w:val="white"/>
        </w:rPr>
        <w:t xml:space="preserve">, </w:t>
      </w:r>
      <w:r>
        <w:rPr>
          <w:i/>
          <w:color w:val="222222"/>
          <w:highlight w:val="white"/>
        </w:rPr>
        <w:t>565</w:t>
      </w:r>
      <w:r>
        <w:rPr>
          <w:color w:val="222222"/>
          <w:highlight w:val="white"/>
        </w:rPr>
        <w:t xml:space="preserve">, pp.227-236. </w:t>
      </w:r>
      <w:hyperlink r:id="rId234">
        <w:r>
          <w:rPr>
            <w:color w:val="1155CC"/>
            <w:highlight w:val="white"/>
            <w:u w:val="single"/>
          </w:rPr>
          <w:t>https://doi.org/10.3354/meps12017</w:t>
        </w:r>
      </w:hyperlink>
      <w:r>
        <w:rPr>
          <w:color w:val="222222"/>
          <w:highlight w:val="white"/>
        </w:rPr>
        <w:t xml:space="preserve"> </w:t>
      </w:r>
    </w:p>
    <w:p w14:paraId="2330F546" w14:textId="77777777" w:rsidR="007B149A" w:rsidRDefault="000E054D">
      <w:pPr>
        <w:spacing w:before="240" w:after="240" w:line="360" w:lineRule="auto"/>
        <w:ind w:left="360"/>
        <w:rPr>
          <w:color w:val="222222"/>
          <w:highlight w:val="white"/>
        </w:rPr>
      </w:pPr>
      <w:r>
        <w:rPr>
          <w:color w:val="222222"/>
          <w:highlight w:val="white"/>
        </w:rPr>
        <w:t xml:space="preserve">Wilson, R.M., Tyson, R.B., Nelson, J.A., Balmer, B.C., Chanton, J.P. and Nowacek, D.P., 2017. Niche differentiation and prey selectivity among common bottlenose dolphins (Tursiops truncatus) sighted in St. George Sound, Gulf of Mexico. </w:t>
      </w:r>
      <w:r>
        <w:rPr>
          <w:i/>
          <w:color w:val="222222"/>
          <w:highlight w:val="white"/>
        </w:rPr>
        <w:t>Frontiers in Marine Science</w:t>
      </w:r>
      <w:r>
        <w:rPr>
          <w:color w:val="222222"/>
          <w:highlight w:val="white"/>
        </w:rPr>
        <w:t xml:space="preserve">, </w:t>
      </w:r>
      <w:r>
        <w:rPr>
          <w:i/>
          <w:color w:val="222222"/>
          <w:highlight w:val="white"/>
        </w:rPr>
        <w:t>4</w:t>
      </w:r>
      <w:r>
        <w:rPr>
          <w:color w:val="222222"/>
          <w:highlight w:val="white"/>
        </w:rPr>
        <w:t xml:space="preserve">, p.235. </w:t>
      </w:r>
      <w:hyperlink r:id="rId235">
        <w:r>
          <w:rPr>
            <w:color w:val="1155CC"/>
            <w:highlight w:val="white"/>
            <w:u w:val="single"/>
          </w:rPr>
          <w:t>https://doi.org/10.3389/fmars.2017.00235</w:t>
        </w:r>
      </w:hyperlink>
      <w:r>
        <w:rPr>
          <w:color w:val="222222"/>
          <w:highlight w:val="white"/>
        </w:rPr>
        <w:t xml:space="preserve"> </w:t>
      </w:r>
    </w:p>
    <w:p w14:paraId="2330F547" w14:textId="77777777" w:rsidR="007B149A" w:rsidRDefault="000E054D">
      <w:pPr>
        <w:spacing w:before="240" w:after="240" w:line="360" w:lineRule="auto"/>
        <w:ind w:left="360"/>
        <w:rPr>
          <w:color w:val="222222"/>
          <w:highlight w:val="white"/>
        </w:rPr>
      </w:pPr>
      <w:r>
        <w:rPr>
          <w:color w:val="222222"/>
          <w:highlight w:val="white"/>
        </w:rPr>
        <w:t xml:space="preserve">Xavier, J.C., Trathan, P.N., Ceia, F.R., Tarling, G.A., Adlard, S., Fox, D., Edwards, E.W., Vieira, R.P., Medeiros, R., De Broyer, C. and Cherel, Y., 2017. Sexual and individual foraging segregation in Gentoo penguins Pygoscelis papua from the Southern Ocean during an abnormal winter. </w:t>
      </w:r>
      <w:r>
        <w:rPr>
          <w:i/>
          <w:color w:val="222222"/>
          <w:highlight w:val="white"/>
        </w:rPr>
        <w:t>Plos one</w:t>
      </w:r>
      <w:r>
        <w:rPr>
          <w:color w:val="222222"/>
          <w:highlight w:val="white"/>
        </w:rPr>
        <w:t xml:space="preserve">, </w:t>
      </w:r>
      <w:r>
        <w:rPr>
          <w:i/>
          <w:color w:val="222222"/>
          <w:highlight w:val="white"/>
        </w:rPr>
        <w:t>12</w:t>
      </w:r>
      <w:r>
        <w:rPr>
          <w:color w:val="222222"/>
          <w:highlight w:val="white"/>
        </w:rPr>
        <w:t xml:space="preserve">(3), p.e0174850. </w:t>
      </w:r>
      <w:hyperlink r:id="rId236">
        <w:r>
          <w:rPr>
            <w:color w:val="1155CC"/>
            <w:highlight w:val="white"/>
            <w:u w:val="single"/>
          </w:rPr>
          <w:t>https://doi.org/10.1371/journal.pone.0174850</w:t>
        </w:r>
      </w:hyperlink>
      <w:r>
        <w:rPr>
          <w:color w:val="222222"/>
          <w:highlight w:val="white"/>
        </w:rPr>
        <w:t xml:space="preserve"> </w:t>
      </w:r>
    </w:p>
    <w:p w14:paraId="2330F548" w14:textId="77777777" w:rsidR="007B149A" w:rsidRDefault="000E054D">
      <w:pPr>
        <w:spacing w:before="240" w:after="240" w:line="360" w:lineRule="auto"/>
        <w:ind w:left="360"/>
        <w:rPr>
          <w:color w:val="222222"/>
          <w:highlight w:val="white"/>
        </w:rPr>
      </w:pPr>
      <w:r>
        <w:rPr>
          <w:color w:val="222222"/>
          <w:highlight w:val="white"/>
        </w:rPr>
        <w:t xml:space="preserve">Yurkowski, D.J., Richardson, E.S., Lunn, N.J., Muir, D.C., Johnson, A.C., Derocher, A.E., Ehrman, A.D., Houde, M., Young, B.G., Debets, C.D. and Sciullo, L., 2020. Contrasting temporal patterns of mercury, niche dynamics, and body fat indices of polar bears and ringed seals in a melting icescape. </w:t>
      </w:r>
      <w:r>
        <w:rPr>
          <w:i/>
          <w:color w:val="222222"/>
          <w:highlight w:val="white"/>
        </w:rPr>
        <w:t>Environmental science &amp; technology</w:t>
      </w:r>
      <w:r>
        <w:rPr>
          <w:color w:val="222222"/>
          <w:highlight w:val="white"/>
        </w:rPr>
        <w:t xml:space="preserve">, </w:t>
      </w:r>
      <w:r>
        <w:rPr>
          <w:i/>
          <w:color w:val="222222"/>
          <w:highlight w:val="white"/>
        </w:rPr>
        <w:t>54</w:t>
      </w:r>
      <w:r>
        <w:rPr>
          <w:color w:val="222222"/>
          <w:highlight w:val="white"/>
        </w:rPr>
        <w:t xml:space="preserve">(5), pp.2780-2789. </w:t>
      </w:r>
      <w:hyperlink r:id="rId237">
        <w:r>
          <w:rPr>
            <w:color w:val="1155CC"/>
            <w:highlight w:val="white"/>
            <w:u w:val="single"/>
          </w:rPr>
          <w:t>https://doi.org/10.1021/acs.est.9b06656</w:t>
        </w:r>
      </w:hyperlink>
      <w:r>
        <w:rPr>
          <w:color w:val="222222"/>
          <w:highlight w:val="white"/>
        </w:rPr>
        <w:t xml:space="preserve"> </w:t>
      </w:r>
    </w:p>
    <w:p w14:paraId="2330F549" w14:textId="77777777" w:rsidR="007B149A" w:rsidRDefault="007B149A">
      <w:pPr>
        <w:spacing w:line="360" w:lineRule="auto"/>
      </w:pPr>
    </w:p>
    <w:p w14:paraId="2330F54A" w14:textId="77777777" w:rsidR="007B149A" w:rsidRDefault="007B149A">
      <w:pPr>
        <w:spacing w:line="360" w:lineRule="auto"/>
      </w:pPr>
    </w:p>
    <w:p w14:paraId="2330F54B" w14:textId="77777777" w:rsidR="007B149A" w:rsidRDefault="000E054D">
      <w:pPr>
        <w:pStyle w:val="Heading1"/>
        <w:spacing w:line="360" w:lineRule="auto"/>
      </w:pPr>
      <w:bookmarkStart w:id="22" w:name="1ci93xb" w:colFirst="0" w:colLast="0"/>
      <w:bookmarkEnd w:id="22"/>
      <w:r>
        <w:t>Data Availability Statement</w:t>
      </w:r>
    </w:p>
    <w:p w14:paraId="2330F54C" w14:textId="77777777" w:rsidR="007B149A" w:rsidRDefault="000E054D">
      <w:pPr>
        <w:pBdr>
          <w:top w:val="nil"/>
          <w:left w:val="nil"/>
          <w:bottom w:val="nil"/>
          <w:right w:val="nil"/>
          <w:between w:val="nil"/>
        </w:pBdr>
        <w:spacing w:before="180" w:after="180" w:line="360" w:lineRule="auto"/>
        <w:rPr>
          <w:color w:val="000000"/>
        </w:rPr>
      </w:pPr>
      <w:r>
        <w:rPr>
          <w:color w:val="000000"/>
        </w:rPr>
        <w:t>All raw data supporting our analyses, as well as modelling and plotting scripts, will be made available on dryad: Dryad doi: XX.XXXX/dryad.XXXXX</w:t>
      </w:r>
    </w:p>
    <w:p w14:paraId="2330F54D" w14:textId="77777777" w:rsidR="007B149A" w:rsidRDefault="000E054D">
      <w:pPr>
        <w:pStyle w:val="Heading1"/>
        <w:spacing w:line="360" w:lineRule="auto"/>
      </w:pPr>
      <w:bookmarkStart w:id="23" w:name="3whwml4" w:colFirst="0" w:colLast="0"/>
      <w:bookmarkEnd w:id="23"/>
      <w:r>
        <w:lastRenderedPageBreak/>
        <w:t>Competing Interests</w:t>
      </w:r>
    </w:p>
    <w:p w14:paraId="2330F54E" w14:textId="77777777" w:rsidR="007B149A" w:rsidRDefault="000E054D">
      <w:pPr>
        <w:pBdr>
          <w:top w:val="nil"/>
          <w:left w:val="nil"/>
          <w:bottom w:val="nil"/>
          <w:right w:val="nil"/>
          <w:between w:val="nil"/>
        </w:pBdr>
        <w:spacing w:before="180" w:after="180" w:line="360" w:lineRule="auto"/>
        <w:rPr>
          <w:color w:val="000000"/>
        </w:rPr>
      </w:pPr>
      <w:r>
        <w:rPr>
          <w:color w:val="000000"/>
        </w:rPr>
        <w:t>The authors declare no competing interests.</w:t>
      </w:r>
    </w:p>
    <w:p w14:paraId="2330F54F" w14:textId="77777777" w:rsidR="007B149A" w:rsidRDefault="000E054D">
      <w:pPr>
        <w:pStyle w:val="Heading1"/>
        <w:spacing w:line="360" w:lineRule="auto"/>
      </w:pPr>
      <w:bookmarkStart w:id="24" w:name="2bn6wsx" w:colFirst="0" w:colLast="0"/>
      <w:bookmarkEnd w:id="24"/>
      <w:r>
        <w:t>Author Contributions</w:t>
      </w:r>
    </w:p>
    <w:p w14:paraId="2330F550"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Conception, design, data acquisition, </w:t>
      </w:r>
      <w:proofErr w:type="gramStart"/>
      <w:r>
        <w:rPr>
          <w:color w:val="000000"/>
        </w:rPr>
        <w:t>analysis</w:t>
      </w:r>
      <w:proofErr w:type="gramEnd"/>
      <w:r>
        <w:rPr>
          <w:color w:val="000000"/>
        </w:rPr>
        <w:t xml:space="preserve"> and interpretation: JB, LB, KA, IJ, JN, DL.</w:t>
      </w:r>
    </w:p>
    <w:p w14:paraId="2330F551" w14:textId="77777777" w:rsidR="007B149A" w:rsidRDefault="000E054D">
      <w:pPr>
        <w:pBdr>
          <w:top w:val="nil"/>
          <w:left w:val="nil"/>
          <w:bottom w:val="nil"/>
          <w:right w:val="nil"/>
          <w:between w:val="nil"/>
        </w:pBdr>
        <w:spacing w:before="180" w:after="180" w:line="360" w:lineRule="auto"/>
        <w:rPr>
          <w:color w:val="000000"/>
        </w:rPr>
      </w:pPr>
      <w:r>
        <w:rPr>
          <w:color w:val="000000"/>
        </w:rPr>
        <w:t>Article drafting and revision: JB, LB, KA, IJ, JN, DL.</w:t>
      </w:r>
    </w:p>
    <w:p w14:paraId="2330F552" w14:textId="77777777" w:rsidR="007B149A" w:rsidRDefault="000E054D">
      <w:pPr>
        <w:pBdr>
          <w:top w:val="nil"/>
          <w:left w:val="nil"/>
          <w:bottom w:val="nil"/>
          <w:right w:val="nil"/>
          <w:between w:val="nil"/>
        </w:pBdr>
        <w:spacing w:before="180" w:after="180" w:line="360" w:lineRule="auto"/>
        <w:rPr>
          <w:color w:val="000000"/>
        </w:rPr>
      </w:pPr>
      <w:r>
        <w:rPr>
          <w:color w:val="000000"/>
        </w:rPr>
        <w:t>Final manuscript approval: JB, LB, KA, IJ, JN, DL.</w:t>
      </w:r>
    </w:p>
    <w:p w14:paraId="2330F553" w14:textId="77777777" w:rsidR="007B149A" w:rsidRDefault="000E054D">
      <w:pPr>
        <w:pStyle w:val="Heading1"/>
        <w:spacing w:line="360" w:lineRule="auto"/>
      </w:pPr>
      <w:bookmarkStart w:id="25" w:name="qsh70q" w:colFirst="0" w:colLast="0"/>
      <w:bookmarkEnd w:id="25"/>
      <w:r>
        <w:t>Acknowledgements</w:t>
      </w:r>
    </w:p>
    <w:p w14:paraId="2330F554" w14:textId="77777777" w:rsidR="007B149A" w:rsidRDefault="000E054D">
      <w:pPr>
        <w:spacing w:line="360" w:lineRule="auto"/>
      </w:pPr>
      <w:r>
        <w:t xml:space="preserve">This work was funded by the Natural Environment Research Council, UK [NERC IAPETUS DTP, grant number XX/XXXXXXX/X]. </w:t>
      </w:r>
    </w:p>
    <w:p w14:paraId="2330F555" w14:textId="77777777" w:rsidR="007B149A" w:rsidRDefault="000E054D">
      <w:pPr>
        <w:pStyle w:val="Heading1"/>
        <w:spacing w:line="360" w:lineRule="auto"/>
      </w:pPr>
      <w:bookmarkStart w:id="26" w:name="3as4poj" w:colFirst="0" w:colLast="0"/>
      <w:bookmarkEnd w:id="26"/>
      <w:r>
        <w:t>Appendix 1</w:t>
      </w:r>
    </w:p>
    <w:p w14:paraId="2330F556" w14:textId="77777777" w:rsidR="007B149A" w:rsidRDefault="000E054D">
      <w:pPr>
        <w:pStyle w:val="Heading2"/>
        <w:spacing w:line="360" w:lineRule="auto"/>
      </w:pPr>
      <w:r>
        <w:t>Mean-Variance Relationships</w:t>
      </w:r>
    </w:p>
    <w:p w14:paraId="2330F557" w14:textId="77777777" w:rsidR="007B149A" w:rsidRDefault="000E054D">
      <w:pPr>
        <w:pBdr>
          <w:top w:val="nil"/>
          <w:left w:val="nil"/>
          <w:bottom w:val="nil"/>
          <w:right w:val="nil"/>
          <w:between w:val="nil"/>
        </w:pBdr>
        <w:spacing w:before="180" w:after="180" w:line="360" w:lineRule="auto"/>
        <w:rPr>
          <w:color w:val="000000"/>
        </w:rPr>
      </w:pPr>
      <w:r>
        <w:rPr>
          <w:color w:val="000000"/>
        </w:rPr>
        <w:t xml:space="preserve">Calculating effect sizes that quantify variation differences between groups, such as sex, may be impacted by mean-variance relationships. These describe an increase in variance with an increase in mean and may adversely influence the outcome of meta-analyses. We therefore plotted the relationship between raw isotopic mean and standard deviation, alongside linear regressions, to investigate the presence of mean-variance relationships in our data. We found no evidence for mean-variance relationships in female nitrogen (Figure </w:t>
      </w:r>
      <w:r>
        <w:t>7</w:t>
      </w:r>
      <w:r>
        <w:rPr>
          <w:color w:val="000000"/>
        </w:rPr>
        <w:t xml:space="preserve">a), male nitrogen (Figure </w:t>
      </w:r>
      <w:r>
        <w:t>7</w:t>
      </w:r>
      <w:r>
        <w:rPr>
          <w:color w:val="000000"/>
        </w:rPr>
        <w:t xml:space="preserve">b), female carbon (Figure </w:t>
      </w:r>
      <w:r>
        <w:t>7</w:t>
      </w:r>
      <w:r>
        <w:rPr>
          <w:color w:val="000000"/>
        </w:rPr>
        <w:t xml:space="preserve">c) or male carbon (Figure </w:t>
      </w:r>
      <w:r>
        <w:t>7</w:t>
      </w:r>
      <w:r>
        <w:rPr>
          <w:color w:val="000000"/>
        </w:rPr>
        <w:t>d).</w:t>
      </w:r>
    </w:p>
    <w:p w14:paraId="2330F558" w14:textId="77777777" w:rsidR="007B149A" w:rsidRDefault="007B149A">
      <w:pPr>
        <w:pBdr>
          <w:top w:val="nil"/>
          <w:left w:val="nil"/>
          <w:bottom w:val="nil"/>
          <w:right w:val="nil"/>
          <w:between w:val="nil"/>
        </w:pBdr>
        <w:spacing w:before="180" w:after="180" w:line="360" w:lineRule="auto"/>
        <w:rPr>
          <w:color w:val="000000"/>
        </w:rPr>
      </w:pPr>
    </w:p>
    <w:p w14:paraId="2330F559" w14:textId="77777777" w:rsidR="007B149A" w:rsidRDefault="000E054D">
      <w:pPr>
        <w:pBdr>
          <w:top w:val="nil"/>
          <w:left w:val="nil"/>
          <w:bottom w:val="nil"/>
          <w:right w:val="nil"/>
          <w:between w:val="nil"/>
        </w:pBdr>
        <w:spacing w:before="180" w:after="180" w:line="360" w:lineRule="auto"/>
        <w:rPr>
          <w:color w:val="000000"/>
        </w:rPr>
      </w:pPr>
      <w:r>
        <w:rPr>
          <w:noProof/>
        </w:rPr>
        <w:lastRenderedPageBreak/>
        <w:drawing>
          <wp:inline distT="114300" distB="114300" distL="114300" distR="114300" wp14:anchorId="2330F7F2" wp14:editId="2330F7F3">
            <wp:extent cx="5943600" cy="2971800"/>
            <wp:effectExtent l="0" t="0" r="0" b="0"/>
            <wp:docPr id="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38"/>
                    <a:srcRect/>
                    <a:stretch>
                      <a:fillRect/>
                    </a:stretch>
                  </pic:blipFill>
                  <pic:spPr>
                    <a:xfrm>
                      <a:off x="0" y="0"/>
                      <a:ext cx="5943600" cy="2971800"/>
                    </a:xfrm>
                    <a:prstGeom prst="rect">
                      <a:avLst/>
                    </a:prstGeom>
                    <a:ln/>
                  </pic:spPr>
                </pic:pic>
              </a:graphicData>
            </a:graphic>
          </wp:inline>
        </w:drawing>
      </w:r>
    </w:p>
    <w:p w14:paraId="2330F55A" w14:textId="77777777" w:rsidR="007B149A" w:rsidRDefault="000E054D">
      <w:pPr>
        <w:pBdr>
          <w:top w:val="nil"/>
          <w:left w:val="nil"/>
          <w:bottom w:val="nil"/>
          <w:right w:val="nil"/>
          <w:between w:val="nil"/>
        </w:pBdr>
        <w:spacing w:after="120" w:line="360" w:lineRule="auto"/>
        <w:rPr>
          <w:color w:val="000000"/>
        </w:rPr>
      </w:pPr>
      <w:r>
        <w:rPr>
          <w:b/>
          <w:color w:val="000000"/>
        </w:rPr>
        <w:t xml:space="preserve">Figure </w:t>
      </w:r>
      <w:r>
        <w:rPr>
          <w:b/>
        </w:rPr>
        <w:t>7</w:t>
      </w:r>
      <w:r>
        <w:rPr>
          <w:b/>
          <w:color w:val="000000"/>
        </w:rPr>
        <w:t>.</w:t>
      </w:r>
      <w:r>
        <w:rPr>
          <w:color w:val="000000"/>
        </w:rPr>
        <w:t xml:space="preserve"> Mean-variance relationships in female nitrogen(A), male nitrogen (B), female carbon (C) and male carbon (D).</w:t>
      </w:r>
    </w:p>
    <w:p w14:paraId="2330F55B" w14:textId="77777777" w:rsidR="007B149A" w:rsidRDefault="007B149A">
      <w:pPr>
        <w:pBdr>
          <w:top w:val="nil"/>
          <w:left w:val="nil"/>
          <w:bottom w:val="nil"/>
          <w:right w:val="nil"/>
          <w:between w:val="nil"/>
        </w:pBdr>
        <w:spacing w:before="180" w:after="180" w:line="360" w:lineRule="auto"/>
        <w:rPr>
          <w:color w:val="000000"/>
        </w:rPr>
      </w:pPr>
    </w:p>
    <w:p w14:paraId="2330F55C" w14:textId="77777777" w:rsidR="007B149A" w:rsidRDefault="007B149A">
      <w:pPr>
        <w:pBdr>
          <w:top w:val="nil"/>
          <w:left w:val="nil"/>
          <w:bottom w:val="nil"/>
          <w:right w:val="nil"/>
          <w:between w:val="nil"/>
        </w:pBdr>
        <w:spacing w:before="180" w:after="180" w:line="360" w:lineRule="auto"/>
        <w:rPr>
          <w:color w:val="000000"/>
        </w:rPr>
      </w:pPr>
    </w:p>
    <w:p w14:paraId="2330F55D" w14:textId="77777777" w:rsidR="007B149A" w:rsidRDefault="007B149A">
      <w:pPr>
        <w:pBdr>
          <w:top w:val="nil"/>
          <w:left w:val="nil"/>
          <w:bottom w:val="nil"/>
          <w:right w:val="nil"/>
          <w:between w:val="nil"/>
        </w:pBdr>
        <w:spacing w:before="180" w:after="180" w:line="360" w:lineRule="auto"/>
        <w:rPr>
          <w:color w:val="000000"/>
        </w:rPr>
      </w:pPr>
    </w:p>
    <w:p w14:paraId="2330F55E" w14:textId="77777777" w:rsidR="007B149A" w:rsidRDefault="000E054D">
      <w:pPr>
        <w:spacing w:before="200" w:after="0" w:line="360" w:lineRule="auto"/>
        <w:rPr>
          <w:rFonts w:ascii="Times New Roman" w:eastAsia="Times New Roman" w:hAnsi="Times New Roman" w:cs="Times New Roman"/>
          <w:b/>
          <w:sz w:val="36"/>
          <w:szCs w:val="36"/>
        </w:rPr>
      </w:pPr>
      <w:r>
        <w:rPr>
          <w:b/>
          <w:color w:val="4472C4"/>
          <w:sz w:val="32"/>
          <w:szCs w:val="32"/>
        </w:rPr>
        <w:t>Publication Bias</w:t>
      </w:r>
    </w:p>
    <w:p w14:paraId="2330F55F" w14:textId="77777777" w:rsidR="007B149A" w:rsidRDefault="000E054D">
      <w:pPr>
        <w:spacing w:before="200" w:after="0" w:line="360" w:lineRule="auto"/>
        <w:rPr>
          <w:rFonts w:ascii="Times New Roman" w:eastAsia="Times New Roman" w:hAnsi="Times New Roman" w:cs="Times New Roman"/>
          <w:b/>
          <w:sz w:val="27"/>
          <w:szCs w:val="27"/>
        </w:rPr>
      </w:pPr>
      <w:r>
        <w:rPr>
          <w:b/>
          <w:color w:val="4472C4"/>
          <w:sz w:val="28"/>
          <w:szCs w:val="28"/>
        </w:rPr>
        <w:t>Publication Year</w:t>
      </w:r>
    </w:p>
    <w:p w14:paraId="2330F560" w14:textId="77777777" w:rsidR="007B149A" w:rsidRDefault="000E054D">
      <w:pPr>
        <w:spacing w:before="180" w:after="180" w:line="360" w:lineRule="auto"/>
        <w:rPr>
          <w:rFonts w:ascii="Times New Roman" w:eastAsia="Times New Roman" w:hAnsi="Times New Roman" w:cs="Times New Roman"/>
        </w:rPr>
      </w:pPr>
      <w:r>
        <w:t>As one possible identifier of publication bias is a reduction of effect sizes through time, we completed meta-regressions with publication year as the sole predictor variable. We found no effect of publication year on the magnitude of published sex differences in isotopic mean or variation, for either nitrogen or carbon isotopes (Table 1).</w:t>
      </w:r>
    </w:p>
    <w:tbl>
      <w:tblPr>
        <w:tblStyle w:val="a"/>
        <w:tblW w:w="7818" w:type="dxa"/>
        <w:jc w:val="center"/>
        <w:tblBorders>
          <w:insideH w:val="single" w:sz="4" w:space="0" w:color="000000"/>
          <w:insideV w:val="single" w:sz="4" w:space="0" w:color="000000"/>
        </w:tblBorders>
        <w:tblLayout w:type="fixed"/>
        <w:tblLook w:val="0400" w:firstRow="0" w:lastRow="0" w:firstColumn="0" w:lastColumn="0" w:noHBand="0" w:noVBand="1"/>
      </w:tblPr>
      <w:tblGrid>
        <w:gridCol w:w="939"/>
        <w:gridCol w:w="1713"/>
        <w:gridCol w:w="1820"/>
        <w:gridCol w:w="1041"/>
        <w:gridCol w:w="820"/>
        <w:gridCol w:w="740"/>
        <w:gridCol w:w="745"/>
      </w:tblGrid>
      <w:tr w:rsidR="007B149A" w14:paraId="2330F562" w14:textId="77777777">
        <w:trPr>
          <w:jc w:val="center"/>
        </w:trPr>
        <w:tc>
          <w:tcPr>
            <w:tcW w:w="7818" w:type="dxa"/>
            <w:gridSpan w:val="7"/>
            <w:vAlign w:val="center"/>
          </w:tcPr>
          <w:p w14:paraId="2330F56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Effect of Publication Year</w:t>
            </w:r>
          </w:p>
        </w:tc>
      </w:tr>
      <w:tr w:rsidR="007B149A" w14:paraId="2330F56C" w14:textId="77777777">
        <w:trPr>
          <w:jc w:val="center"/>
        </w:trPr>
        <w:tc>
          <w:tcPr>
            <w:tcW w:w="939" w:type="dxa"/>
            <w:vAlign w:val="center"/>
          </w:tcPr>
          <w:p w14:paraId="2330F56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Isotope</w:t>
            </w:r>
          </w:p>
        </w:tc>
        <w:tc>
          <w:tcPr>
            <w:tcW w:w="1713" w:type="dxa"/>
            <w:vAlign w:val="center"/>
          </w:tcPr>
          <w:p w14:paraId="2330F56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Measure</w:t>
            </w:r>
          </w:p>
        </w:tc>
        <w:tc>
          <w:tcPr>
            <w:tcW w:w="1820" w:type="dxa"/>
            <w:vAlign w:val="center"/>
          </w:tcPr>
          <w:p w14:paraId="2330F56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 xml:space="preserve">Effect of </w:t>
            </w:r>
          </w:p>
          <w:p w14:paraId="2330F56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Publication Year</w:t>
            </w:r>
          </w:p>
        </w:tc>
        <w:tc>
          <w:tcPr>
            <w:tcW w:w="1041" w:type="dxa"/>
            <w:vAlign w:val="center"/>
          </w:tcPr>
          <w:p w14:paraId="2330F56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 xml:space="preserve">Standard </w:t>
            </w:r>
          </w:p>
          <w:p w14:paraId="2330F56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820" w:type="dxa"/>
            <w:vAlign w:val="center"/>
          </w:tcPr>
          <w:p w14:paraId="2330F569"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740" w:type="dxa"/>
            <w:vAlign w:val="center"/>
          </w:tcPr>
          <w:p w14:paraId="2330F56A" w14:textId="77777777" w:rsidR="007B149A" w:rsidRDefault="000E054D">
            <w:pPr>
              <w:spacing w:after="0" w:line="360" w:lineRule="auto"/>
              <w:rPr>
                <w:rFonts w:ascii="Times New Roman" w:eastAsia="Times New Roman" w:hAnsi="Times New Roman" w:cs="Times New Roman"/>
                <w:b/>
              </w:rPr>
            </w:pPr>
            <w:r>
              <w:rPr>
                <w:rFonts w:ascii="Times New Roman" w:eastAsia="Times New Roman" w:hAnsi="Times New Roman" w:cs="Times New Roman"/>
                <w:b/>
              </w:rPr>
              <w:t>ci ub</w:t>
            </w:r>
          </w:p>
        </w:tc>
        <w:tc>
          <w:tcPr>
            <w:tcW w:w="745" w:type="dxa"/>
            <w:vAlign w:val="center"/>
          </w:tcPr>
          <w:p w14:paraId="2330F56B"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r>
      <w:tr w:rsidR="007B149A" w14:paraId="2330F574" w14:textId="77777777">
        <w:trPr>
          <w:jc w:val="center"/>
        </w:trPr>
        <w:tc>
          <w:tcPr>
            <w:tcW w:w="939" w:type="dxa"/>
            <w:vAlign w:val="center"/>
          </w:tcPr>
          <w:p w14:paraId="2330F56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lastRenderedPageBreak/>
              <w:t>Nitrogen</w:t>
            </w:r>
          </w:p>
        </w:tc>
        <w:tc>
          <w:tcPr>
            <w:tcW w:w="1713" w:type="dxa"/>
            <w:vAlign w:val="center"/>
          </w:tcPr>
          <w:p w14:paraId="2330F56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Mean Difference</w:t>
            </w:r>
          </w:p>
        </w:tc>
        <w:tc>
          <w:tcPr>
            <w:tcW w:w="1820" w:type="dxa"/>
            <w:vAlign w:val="center"/>
          </w:tcPr>
          <w:p w14:paraId="2330F56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-0.0004</w:t>
            </w:r>
          </w:p>
        </w:tc>
        <w:tc>
          <w:tcPr>
            <w:tcW w:w="1041" w:type="dxa"/>
            <w:vAlign w:val="center"/>
          </w:tcPr>
          <w:p w14:paraId="2330F57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0.0107</w:t>
            </w:r>
          </w:p>
        </w:tc>
        <w:tc>
          <w:tcPr>
            <w:tcW w:w="820" w:type="dxa"/>
            <w:vAlign w:val="center"/>
          </w:tcPr>
          <w:p w14:paraId="2330F57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-0.0213</w:t>
            </w:r>
          </w:p>
        </w:tc>
        <w:tc>
          <w:tcPr>
            <w:tcW w:w="740" w:type="dxa"/>
            <w:vAlign w:val="center"/>
          </w:tcPr>
          <w:p w14:paraId="2330F57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0.0205</w:t>
            </w:r>
          </w:p>
        </w:tc>
        <w:tc>
          <w:tcPr>
            <w:tcW w:w="745" w:type="dxa"/>
            <w:vAlign w:val="center"/>
          </w:tcPr>
          <w:p w14:paraId="2330F57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0.9728</w:t>
            </w:r>
          </w:p>
        </w:tc>
      </w:tr>
      <w:tr w:rsidR="007B149A" w14:paraId="2330F57C" w14:textId="77777777">
        <w:trPr>
          <w:jc w:val="center"/>
        </w:trPr>
        <w:tc>
          <w:tcPr>
            <w:tcW w:w="939" w:type="dxa"/>
            <w:vAlign w:val="center"/>
          </w:tcPr>
          <w:p w14:paraId="2330F57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Nitrogen</w:t>
            </w:r>
          </w:p>
        </w:tc>
        <w:tc>
          <w:tcPr>
            <w:tcW w:w="1713" w:type="dxa"/>
            <w:vAlign w:val="center"/>
          </w:tcPr>
          <w:p w14:paraId="2330F57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Variation</w:t>
            </w:r>
          </w:p>
        </w:tc>
        <w:tc>
          <w:tcPr>
            <w:tcW w:w="1820" w:type="dxa"/>
            <w:vAlign w:val="center"/>
          </w:tcPr>
          <w:p w14:paraId="2330F57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-0.0044</w:t>
            </w:r>
          </w:p>
        </w:tc>
        <w:tc>
          <w:tcPr>
            <w:tcW w:w="1041" w:type="dxa"/>
            <w:vAlign w:val="center"/>
          </w:tcPr>
          <w:p w14:paraId="2330F57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0.0064</w:t>
            </w:r>
          </w:p>
        </w:tc>
        <w:tc>
          <w:tcPr>
            <w:tcW w:w="820" w:type="dxa"/>
            <w:vAlign w:val="center"/>
          </w:tcPr>
          <w:p w14:paraId="2330F57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-0.0169</w:t>
            </w:r>
          </w:p>
        </w:tc>
        <w:tc>
          <w:tcPr>
            <w:tcW w:w="740" w:type="dxa"/>
            <w:vAlign w:val="center"/>
          </w:tcPr>
          <w:p w14:paraId="2330F57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0.0081</w:t>
            </w:r>
          </w:p>
        </w:tc>
        <w:tc>
          <w:tcPr>
            <w:tcW w:w="745" w:type="dxa"/>
            <w:vAlign w:val="center"/>
          </w:tcPr>
          <w:p w14:paraId="2330F57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0.4933</w:t>
            </w:r>
          </w:p>
        </w:tc>
      </w:tr>
      <w:tr w:rsidR="007B149A" w14:paraId="2330F584" w14:textId="77777777">
        <w:trPr>
          <w:jc w:val="center"/>
        </w:trPr>
        <w:tc>
          <w:tcPr>
            <w:tcW w:w="939" w:type="dxa"/>
            <w:vAlign w:val="center"/>
          </w:tcPr>
          <w:p w14:paraId="2330F57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Carbon</w:t>
            </w:r>
          </w:p>
        </w:tc>
        <w:tc>
          <w:tcPr>
            <w:tcW w:w="1713" w:type="dxa"/>
            <w:vAlign w:val="center"/>
          </w:tcPr>
          <w:p w14:paraId="2330F57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Mean Difference</w:t>
            </w:r>
          </w:p>
        </w:tc>
        <w:tc>
          <w:tcPr>
            <w:tcW w:w="1820" w:type="dxa"/>
            <w:vAlign w:val="center"/>
          </w:tcPr>
          <w:p w14:paraId="2330F57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0.0060</w:t>
            </w:r>
          </w:p>
        </w:tc>
        <w:tc>
          <w:tcPr>
            <w:tcW w:w="1041" w:type="dxa"/>
            <w:vAlign w:val="center"/>
          </w:tcPr>
          <w:p w14:paraId="2330F58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0.0082</w:t>
            </w:r>
          </w:p>
        </w:tc>
        <w:tc>
          <w:tcPr>
            <w:tcW w:w="820" w:type="dxa"/>
            <w:vAlign w:val="center"/>
          </w:tcPr>
          <w:p w14:paraId="2330F58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-0.0100</w:t>
            </w:r>
          </w:p>
        </w:tc>
        <w:tc>
          <w:tcPr>
            <w:tcW w:w="740" w:type="dxa"/>
            <w:vAlign w:val="center"/>
          </w:tcPr>
          <w:p w14:paraId="2330F58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0.0220</w:t>
            </w:r>
          </w:p>
        </w:tc>
        <w:tc>
          <w:tcPr>
            <w:tcW w:w="745" w:type="dxa"/>
            <w:vAlign w:val="center"/>
          </w:tcPr>
          <w:p w14:paraId="2330F58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0.4594</w:t>
            </w:r>
          </w:p>
        </w:tc>
      </w:tr>
      <w:tr w:rsidR="007B149A" w14:paraId="2330F58C" w14:textId="77777777">
        <w:trPr>
          <w:jc w:val="center"/>
        </w:trPr>
        <w:tc>
          <w:tcPr>
            <w:tcW w:w="939" w:type="dxa"/>
            <w:vAlign w:val="center"/>
          </w:tcPr>
          <w:p w14:paraId="2330F58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Carbon</w:t>
            </w:r>
          </w:p>
        </w:tc>
        <w:tc>
          <w:tcPr>
            <w:tcW w:w="1713" w:type="dxa"/>
            <w:vAlign w:val="center"/>
          </w:tcPr>
          <w:p w14:paraId="2330F58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Variation</w:t>
            </w:r>
          </w:p>
        </w:tc>
        <w:tc>
          <w:tcPr>
            <w:tcW w:w="1820" w:type="dxa"/>
            <w:vAlign w:val="center"/>
          </w:tcPr>
          <w:p w14:paraId="2330F58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-0.0092</w:t>
            </w:r>
          </w:p>
        </w:tc>
        <w:tc>
          <w:tcPr>
            <w:tcW w:w="1041" w:type="dxa"/>
            <w:vAlign w:val="center"/>
          </w:tcPr>
          <w:p w14:paraId="2330F58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0.0073</w:t>
            </w:r>
          </w:p>
        </w:tc>
        <w:tc>
          <w:tcPr>
            <w:tcW w:w="820" w:type="dxa"/>
            <w:vAlign w:val="center"/>
          </w:tcPr>
          <w:p w14:paraId="2330F58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-0.0235</w:t>
            </w:r>
          </w:p>
        </w:tc>
        <w:tc>
          <w:tcPr>
            <w:tcW w:w="740" w:type="dxa"/>
            <w:vAlign w:val="center"/>
          </w:tcPr>
          <w:p w14:paraId="2330F58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0.0052</w:t>
            </w:r>
          </w:p>
        </w:tc>
        <w:tc>
          <w:tcPr>
            <w:tcW w:w="745" w:type="dxa"/>
            <w:vAlign w:val="center"/>
          </w:tcPr>
          <w:p w14:paraId="2330F58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0.2121</w:t>
            </w:r>
          </w:p>
        </w:tc>
      </w:tr>
    </w:tbl>
    <w:p w14:paraId="2330F58D" w14:textId="77777777" w:rsidR="007B149A" w:rsidRDefault="007B149A">
      <w:pPr>
        <w:spacing w:after="0" w:line="360" w:lineRule="auto"/>
        <w:rPr>
          <w:rFonts w:ascii="Times New Roman" w:eastAsia="Times New Roman" w:hAnsi="Times New Roman" w:cs="Times New Roman"/>
        </w:rPr>
      </w:pPr>
    </w:p>
    <w:p w14:paraId="2330F58E" w14:textId="77777777" w:rsidR="007B149A" w:rsidRDefault="000E054D">
      <w:pPr>
        <w:spacing w:after="120" w:line="360" w:lineRule="auto"/>
        <w:rPr>
          <w:rFonts w:ascii="Times New Roman" w:eastAsia="Times New Roman" w:hAnsi="Times New Roman" w:cs="Times New Roman"/>
        </w:rPr>
      </w:pPr>
      <w:r>
        <w:rPr>
          <w:b/>
        </w:rPr>
        <w:t>Table 1.</w:t>
      </w:r>
      <w:r>
        <w:t xml:space="preserve"> Effect of publication year on sex difference in mean and variation, for nitrogen and carbon. </w:t>
      </w:r>
    </w:p>
    <w:p w14:paraId="2330F58F" w14:textId="77777777" w:rsidR="007B149A" w:rsidRDefault="000E054D">
      <w:pPr>
        <w:spacing w:before="200" w:after="0" w:line="360" w:lineRule="auto"/>
        <w:rPr>
          <w:rFonts w:ascii="Times New Roman" w:eastAsia="Times New Roman" w:hAnsi="Times New Roman" w:cs="Times New Roman"/>
          <w:b/>
          <w:sz w:val="27"/>
          <w:szCs w:val="27"/>
        </w:rPr>
      </w:pPr>
      <w:r>
        <w:rPr>
          <w:b/>
          <w:color w:val="4472C4"/>
          <w:sz w:val="28"/>
          <w:szCs w:val="28"/>
        </w:rPr>
        <w:t>Funnel Plots</w:t>
      </w:r>
    </w:p>
    <w:p w14:paraId="2330F590" w14:textId="77777777" w:rsidR="007B149A" w:rsidRDefault="000E054D">
      <w:pPr>
        <w:spacing w:before="180" w:after="180" w:line="360" w:lineRule="auto"/>
        <w:rPr>
          <w:rFonts w:ascii="Times New Roman" w:eastAsia="Times New Roman" w:hAnsi="Times New Roman" w:cs="Times New Roman"/>
        </w:rPr>
      </w:pPr>
      <w:r>
        <w:t>Funnel plots can be used to investigate possible publication bias by illustrating asymmetries in published effect sizes, which would suggest particular results are favorably published. Such biases in published literature would influence the outcome of meta-analyses, by skewing summary effect size estimates towards the favored outcome. We therefore produced funnel plots displaying published effect sizes for sex differences in nitrogen mean (Figure 8), nitrogen variation (Figure 9), carbon mean (Figure 10) and carbon variation (Figure 11). In all four cases, our plots displayed a fairly even distribution in study outcomes, suggesting that publication bias is not prominent in the literature we have examined.</w:t>
      </w:r>
      <w:r>
        <w:rPr>
          <w:rFonts w:ascii="Times New Roman" w:eastAsia="Times New Roman" w:hAnsi="Times New Roman" w:cs="Times New Roman"/>
          <w:noProof/>
        </w:rPr>
        <w:drawing>
          <wp:inline distT="0" distB="0" distL="0" distR="0" wp14:anchorId="2330F7F4" wp14:editId="2330F7F5">
            <wp:extent cx="5731510" cy="2865755"/>
            <wp:effectExtent l="0" t="0" r="0" b="0"/>
            <wp:docPr id="8" name="image1.jp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Chart, scatter chart&#10;&#10;Description automatically generated"/>
                    <pic:cNvPicPr preferRelativeResize="0"/>
                  </pic:nvPicPr>
                  <pic:blipFill>
                    <a:blip r:embed="rId239"/>
                    <a:srcRect/>
                    <a:stretch>
                      <a:fillRect/>
                    </a:stretch>
                  </pic:blipFill>
                  <pic:spPr>
                    <a:xfrm>
                      <a:off x="0" y="0"/>
                      <a:ext cx="5731510" cy="2865755"/>
                    </a:xfrm>
                    <a:prstGeom prst="rect">
                      <a:avLst/>
                    </a:prstGeom>
                    <a:ln/>
                  </pic:spPr>
                </pic:pic>
              </a:graphicData>
            </a:graphic>
          </wp:inline>
        </w:drawing>
      </w:r>
    </w:p>
    <w:p w14:paraId="2330F591" w14:textId="77777777" w:rsidR="007B149A" w:rsidRDefault="000E054D">
      <w:pPr>
        <w:spacing w:after="120" w:line="360" w:lineRule="auto"/>
        <w:rPr>
          <w:rFonts w:ascii="Times New Roman" w:eastAsia="Times New Roman" w:hAnsi="Times New Roman" w:cs="Times New Roman"/>
        </w:rPr>
      </w:pPr>
      <w:r>
        <w:rPr>
          <w:b/>
        </w:rPr>
        <w:t>Figure 8.</w:t>
      </w:r>
      <w:r>
        <w:t xml:space="preserve"> Distribution of published sex differences in nitrogen isotope mean. </w:t>
      </w:r>
    </w:p>
    <w:p w14:paraId="2330F592" w14:textId="77777777" w:rsidR="007B149A" w:rsidRDefault="000E054D">
      <w:pPr>
        <w:spacing w:line="360" w:lineRule="auto"/>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14:anchorId="2330F7F6" wp14:editId="2330F7F7">
            <wp:extent cx="5731510" cy="2865755"/>
            <wp:effectExtent l="0" t="0" r="0" b="0"/>
            <wp:docPr id="7" name="image3.jp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jpg" descr="Chart, scatter chart&#10;&#10;Description automatically generated"/>
                    <pic:cNvPicPr preferRelativeResize="0"/>
                  </pic:nvPicPr>
                  <pic:blipFill>
                    <a:blip r:embed="rId240"/>
                    <a:srcRect/>
                    <a:stretch>
                      <a:fillRect/>
                    </a:stretch>
                  </pic:blipFill>
                  <pic:spPr>
                    <a:xfrm>
                      <a:off x="0" y="0"/>
                      <a:ext cx="5731510" cy="2865755"/>
                    </a:xfrm>
                    <a:prstGeom prst="rect">
                      <a:avLst/>
                    </a:prstGeom>
                    <a:ln/>
                  </pic:spPr>
                </pic:pic>
              </a:graphicData>
            </a:graphic>
          </wp:inline>
        </w:drawing>
      </w:r>
    </w:p>
    <w:p w14:paraId="2330F593" w14:textId="77777777" w:rsidR="007B149A" w:rsidRDefault="000E054D">
      <w:pPr>
        <w:spacing w:after="120" w:line="360" w:lineRule="auto"/>
        <w:rPr>
          <w:rFonts w:ascii="Times New Roman" w:eastAsia="Times New Roman" w:hAnsi="Times New Roman" w:cs="Times New Roman"/>
        </w:rPr>
      </w:pPr>
      <w:r>
        <w:rPr>
          <w:b/>
        </w:rPr>
        <w:t>Figure 9.</w:t>
      </w:r>
      <w:r>
        <w:t xml:space="preserve"> Distribution of published sex differences in nitrogen isotope variation. </w:t>
      </w:r>
    </w:p>
    <w:p w14:paraId="2330F594" w14:textId="77777777" w:rsidR="007B149A" w:rsidRDefault="000E054D">
      <w:pPr>
        <w:spacing w:line="360" w:lineRule="auto"/>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2330F7F8" wp14:editId="2330F7F9">
            <wp:extent cx="5731510" cy="2865755"/>
            <wp:effectExtent l="0" t="0" r="0" b="0"/>
            <wp:docPr id="6" name="image4.jp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jpg" descr="Chart, scatter chart&#10;&#10;Description automatically generated"/>
                    <pic:cNvPicPr preferRelativeResize="0"/>
                  </pic:nvPicPr>
                  <pic:blipFill>
                    <a:blip r:embed="rId241"/>
                    <a:srcRect/>
                    <a:stretch>
                      <a:fillRect/>
                    </a:stretch>
                  </pic:blipFill>
                  <pic:spPr>
                    <a:xfrm>
                      <a:off x="0" y="0"/>
                      <a:ext cx="5731510" cy="2865755"/>
                    </a:xfrm>
                    <a:prstGeom prst="rect">
                      <a:avLst/>
                    </a:prstGeom>
                    <a:ln/>
                  </pic:spPr>
                </pic:pic>
              </a:graphicData>
            </a:graphic>
          </wp:inline>
        </w:drawing>
      </w:r>
    </w:p>
    <w:p w14:paraId="2330F595" w14:textId="77777777" w:rsidR="007B149A" w:rsidRDefault="000E054D">
      <w:pPr>
        <w:spacing w:after="120" w:line="360" w:lineRule="auto"/>
        <w:rPr>
          <w:rFonts w:ascii="Times New Roman" w:eastAsia="Times New Roman" w:hAnsi="Times New Roman" w:cs="Times New Roman"/>
        </w:rPr>
      </w:pPr>
      <w:r>
        <w:rPr>
          <w:b/>
        </w:rPr>
        <w:t>Figure 10.</w:t>
      </w:r>
      <w:r>
        <w:t xml:space="preserve"> Distribution of published sex differences in carbon isotope mean. </w:t>
      </w:r>
    </w:p>
    <w:p w14:paraId="2330F596" w14:textId="77777777" w:rsidR="007B149A" w:rsidRDefault="000E054D">
      <w:pPr>
        <w:spacing w:line="360" w:lineRule="auto"/>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14:anchorId="2330F7FA" wp14:editId="2330F7FB">
            <wp:extent cx="5731510" cy="2865755"/>
            <wp:effectExtent l="0" t="0" r="0" b="0"/>
            <wp:docPr id="3" name="image5.jp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Chart, scatter chart&#10;&#10;Description automatically generated"/>
                    <pic:cNvPicPr preferRelativeResize="0"/>
                  </pic:nvPicPr>
                  <pic:blipFill>
                    <a:blip r:embed="rId242"/>
                    <a:srcRect/>
                    <a:stretch>
                      <a:fillRect/>
                    </a:stretch>
                  </pic:blipFill>
                  <pic:spPr>
                    <a:xfrm>
                      <a:off x="0" y="0"/>
                      <a:ext cx="5731510" cy="2865755"/>
                    </a:xfrm>
                    <a:prstGeom prst="rect">
                      <a:avLst/>
                    </a:prstGeom>
                    <a:ln/>
                  </pic:spPr>
                </pic:pic>
              </a:graphicData>
            </a:graphic>
          </wp:inline>
        </w:drawing>
      </w:r>
    </w:p>
    <w:p w14:paraId="2330F597" w14:textId="77777777" w:rsidR="007B149A" w:rsidRDefault="000E054D">
      <w:pPr>
        <w:spacing w:after="120" w:line="360" w:lineRule="auto"/>
        <w:rPr>
          <w:rFonts w:ascii="Times New Roman" w:eastAsia="Times New Roman" w:hAnsi="Times New Roman" w:cs="Times New Roman"/>
        </w:rPr>
      </w:pPr>
      <w:r>
        <w:rPr>
          <w:b/>
        </w:rPr>
        <w:t>Figure 11.</w:t>
      </w:r>
      <w:r>
        <w:t xml:space="preserve"> Distribution of published sex differences in carbon isotope variation. </w:t>
      </w:r>
    </w:p>
    <w:p w14:paraId="2330F598" w14:textId="77777777" w:rsidR="007B149A" w:rsidRDefault="000E054D">
      <w:pPr>
        <w:spacing w:before="200" w:after="0" w:line="360" w:lineRule="auto"/>
        <w:rPr>
          <w:rFonts w:ascii="Times New Roman" w:eastAsia="Times New Roman" w:hAnsi="Times New Roman" w:cs="Times New Roman"/>
          <w:b/>
          <w:sz w:val="36"/>
          <w:szCs w:val="36"/>
        </w:rPr>
      </w:pPr>
      <w:r>
        <w:rPr>
          <w:b/>
          <w:color w:val="4472C4"/>
          <w:sz w:val="32"/>
          <w:szCs w:val="32"/>
        </w:rPr>
        <w:t>Effect of Study Weighting Method</w:t>
      </w:r>
    </w:p>
    <w:p w14:paraId="2330F599" w14:textId="77777777" w:rsidR="007B149A" w:rsidRDefault="000E054D">
      <w:pPr>
        <w:spacing w:before="180" w:after="180" w:line="360" w:lineRule="auto"/>
      </w:pPr>
      <w:r>
        <w:t xml:space="preserve">The weight given to individual effect sizes can alter the outcome of meta-analyses. As our analysis consisted of meta-regressions, including the random factors ‘paper number’ and ‘species’, each effect size used as a response in our analysis was weighted accounting for within-study variance, heterogeneity between studies and species and covariance between those two random factors. Thus, our models assumed differences between studies and species in the true isotopic difference between sexes. However, high heterogeneity, which was present in our data, can mask within-study variance. It is therefore recommended to also conduct models weighting studies solely by the inverse of within-study variance, to examine the impact of weighting method on model predictions and, therefore, the conclusions of the meta-analysis. </w:t>
      </w:r>
    </w:p>
    <w:p w14:paraId="2330F59A" w14:textId="77777777" w:rsidR="007B149A" w:rsidRDefault="000E054D">
      <w:pPr>
        <w:spacing w:before="180" w:after="180" w:line="360" w:lineRule="auto"/>
      </w:pPr>
      <w:r>
        <w:t xml:space="preserve">Regarding the relationship between sex differences in nitrogen mean (trophic level) and size dimorphism, our results were not robust to changing the weighting method, as the confidence interval for the estimated effect of size dimorphism on trophic sex differences overlapped zero (Table 2). Our qualitative conclusion would therefore have changed with the alternate weighting, to state that size dimorphism is unrelated to trophic differences between sexes. However, as this weighting method does not account for between-study and between-species </w:t>
      </w:r>
      <w:r>
        <w:lastRenderedPageBreak/>
        <w:t>heterogeneity in trophic sex differences, we believe it to be inappropriate. The diversity of species investigated by the studies we have meta-analysed, and the consequent diversity of our analysis, mean assuming a universal difference in sex differences in trophic level is clearly erroneous. We are therefore skeptical of the conclusion this weighting method produces and are more confident in the original model included in the main text.</w:t>
      </w:r>
    </w:p>
    <w:p w14:paraId="2330F59B" w14:textId="77777777" w:rsidR="007B149A" w:rsidRDefault="000E054D">
      <w:pPr>
        <w:spacing w:before="180" w:after="180" w:line="360" w:lineRule="auto"/>
      </w:pPr>
      <w:r>
        <w:t xml:space="preserve">When weighting by the inverse of within study variance in model examining the effect of size dimorphism on sex difference in nitrogen variation (Table 3), carbon mean (Table 4) and carbon variation (Table 5), our qualitative conclusions remained the same. </w:t>
      </w:r>
    </w:p>
    <w:p w14:paraId="2330F59C" w14:textId="77777777" w:rsidR="007B149A" w:rsidRDefault="000E054D">
      <w:pPr>
        <w:spacing w:before="180" w:after="180" w:line="360" w:lineRule="auto"/>
        <w:rPr>
          <w:rFonts w:ascii="Times New Roman" w:eastAsia="Times New Roman" w:hAnsi="Times New Roman" w:cs="Times New Roman"/>
        </w:rPr>
      </w:pPr>
      <w:r>
        <w:t>When including dietary class and mean size alongside size dimorphism, as predictors of sex differences in nitrogen mean, the effect of mean size (which was effectively zero) remained, but, as for the size dimorphism only model, the effect of size dimorphism was absent in all dietary classes, when weighting by the inverse of within study variance (Table 6). Our results in models examining gape-limited (Table 7) and non-gape-limited carnivores (Table 8) were also not robust to alternate weighting. However, for the same reasons as the size dimorphism only model, we are more confident in the original models included in the main text.</w:t>
      </w:r>
    </w:p>
    <w:tbl>
      <w:tblPr>
        <w:tblStyle w:val="a0"/>
        <w:tblW w:w="6848" w:type="dxa"/>
        <w:jc w:val="center"/>
        <w:tblBorders>
          <w:insideH w:val="single" w:sz="4" w:space="0" w:color="000000"/>
          <w:insideV w:val="single" w:sz="4" w:space="0" w:color="000000"/>
        </w:tblBorders>
        <w:tblLayout w:type="fixed"/>
        <w:tblLook w:val="0400" w:firstRow="0" w:lastRow="0" w:firstColumn="0" w:lastColumn="0" w:noHBand="0" w:noVBand="1"/>
      </w:tblPr>
      <w:tblGrid>
        <w:gridCol w:w="938"/>
        <w:gridCol w:w="974"/>
        <w:gridCol w:w="987"/>
        <w:gridCol w:w="1041"/>
        <w:gridCol w:w="907"/>
        <w:gridCol w:w="620"/>
        <w:gridCol w:w="756"/>
        <w:gridCol w:w="625"/>
      </w:tblGrid>
      <w:tr w:rsidR="007B149A" w14:paraId="2330F59E" w14:textId="77777777">
        <w:trPr>
          <w:jc w:val="center"/>
        </w:trPr>
        <w:tc>
          <w:tcPr>
            <w:tcW w:w="6848" w:type="dxa"/>
            <w:gridSpan w:val="8"/>
            <w:vAlign w:val="center"/>
          </w:tcPr>
          <w:p w14:paraId="2330F59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w:t>
            </w:r>
          </w:p>
        </w:tc>
      </w:tr>
      <w:tr w:rsidR="007B149A" w14:paraId="2330F5A8" w14:textId="77777777">
        <w:trPr>
          <w:jc w:val="center"/>
        </w:trPr>
        <w:tc>
          <w:tcPr>
            <w:tcW w:w="938" w:type="dxa"/>
            <w:vAlign w:val="center"/>
          </w:tcPr>
          <w:p w14:paraId="2330F59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5A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5A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5A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5A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5A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5A5"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5A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5A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5B1" w14:textId="77777777">
        <w:trPr>
          <w:jc w:val="center"/>
        </w:trPr>
        <w:tc>
          <w:tcPr>
            <w:tcW w:w="938" w:type="dxa"/>
            <w:vAlign w:val="center"/>
          </w:tcPr>
          <w:p w14:paraId="2330F5A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5A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A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0.046</w:t>
            </w:r>
          </w:p>
        </w:tc>
        <w:tc>
          <w:tcPr>
            <w:tcW w:w="1041" w:type="dxa"/>
            <w:vAlign w:val="center"/>
          </w:tcPr>
          <w:p w14:paraId="2330F5A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0.091</w:t>
            </w:r>
          </w:p>
        </w:tc>
        <w:tc>
          <w:tcPr>
            <w:tcW w:w="907" w:type="dxa"/>
            <w:vAlign w:val="center"/>
          </w:tcPr>
          <w:p w14:paraId="2330F5A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0.507</w:t>
            </w:r>
          </w:p>
        </w:tc>
        <w:tc>
          <w:tcPr>
            <w:tcW w:w="620" w:type="dxa"/>
            <w:vAlign w:val="center"/>
          </w:tcPr>
          <w:p w14:paraId="2330F5A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0.612</w:t>
            </w:r>
          </w:p>
        </w:tc>
        <w:tc>
          <w:tcPr>
            <w:tcW w:w="756" w:type="dxa"/>
            <w:vAlign w:val="center"/>
          </w:tcPr>
          <w:p w14:paraId="2330F5AF"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−0.132</w:t>
            </w:r>
          </w:p>
        </w:tc>
        <w:tc>
          <w:tcPr>
            <w:tcW w:w="625" w:type="dxa"/>
            <w:vAlign w:val="center"/>
          </w:tcPr>
          <w:p w14:paraId="2330F5B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0.223</w:t>
            </w:r>
          </w:p>
        </w:tc>
      </w:tr>
      <w:tr w:rsidR="007B149A" w14:paraId="2330F5BA" w14:textId="77777777">
        <w:trPr>
          <w:jc w:val="center"/>
        </w:trPr>
        <w:tc>
          <w:tcPr>
            <w:tcW w:w="938" w:type="dxa"/>
            <w:vAlign w:val="center"/>
          </w:tcPr>
          <w:p w14:paraId="2330F5B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SSD</w:t>
            </w:r>
          </w:p>
        </w:tc>
        <w:tc>
          <w:tcPr>
            <w:tcW w:w="974" w:type="dxa"/>
            <w:vAlign w:val="center"/>
          </w:tcPr>
          <w:p w14:paraId="2330F5B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B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0.102</w:t>
            </w:r>
          </w:p>
        </w:tc>
        <w:tc>
          <w:tcPr>
            <w:tcW w:w="1041" w:type="dxa"/>
            <w:vAlign w:val="center"/>
          </w:tcPr>
          <w:p w14:paraId="2330F5B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0.062</w:t>
            </w:r>
          </w:p>
        </w:tc>
        <w:tc>
          <w:tcPr>
            <w:tcW w:w="907" w:type="dxa"/>
            <w:vAlign w:val="center"/>
          </w:tcPr>
          <w:p w14:paraId="2330F5B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1.630</w:t>
            </w:r>
          </w:p>
        </w:tc>
        <w:tc>
          <w:tcPr>
            <w:tcW w:w="620" w:type="dxa"/>
            <w:vAlign w:val="center"/>
          </w:tcPr>
          <w:p w14:paraId="2330F5B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0.103</w:t>
            </w:r>
          </w:p>
        </w:tc>
        <w:tc>
          <w:tcPr>
            <w:tcW w:w="756" w:type="dxa"/>
            <w:vAlign w:val="center"/>
          </w:tcPr>
          <w:p w14:paraId="2330F5B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−0.021</w:t>
            </w:r>
          </w:p>
        </w:tc>
        <w:tc>
          <w:tcPr>
            <w:tcW w:w="625" w:type="dxa"/>
            <w:vAlign w:val="center"/>
          </w:tcPr>
          <w:p w14:paraId="2330F5B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0.224</w:t>
            </w:r>
          </w:p>
        </w:tc>
      </w:tr>
    </w:tbl>
    <w:p w14:paraId="2330F5BB" w14:textId="77777777" w:rsidR="007B149A" w:rsidRDefault="007B149A">
      <w:pPr>
        <w:spacing w:line="360" w:lineRule="auto"/>
        <w:rPr>
          <w:rFonts w:ascii="Times New Roman" w:eastAsia="Times New Roman" w:hAnsi="Times New Roman" w:cs="Times New Roman"/>
        </w:rPr>
      </w:pPr>
    </w:p>
    <w:p w14:paraId="2330F5BC" w14:textId="77777777" w:rsidR="007B149A" w:rsidRDefault="000E054D">
      <w:pPr>
        <w:spacing w:after="120" w:line="360" w:lineRule="auto"/>
        <w:rPr>
          <w:rFonts w:ascii="Times New Roman" w:eastAsia="Times New Roman" w:hAnsi="Times New Roman" w:cs="Times New Roman"/>
        </w:rPr>
      </w:pPr>
      <w:r>
        <w:rPr>
          <w:b/>
        </w:rPr>
        <w:t>Table 2.</w:t>
      </w:r>
      <w:r>
        <w:t xml:space="preserve"> Output of fixed effects model examining the effect of size dimorphism on sex differences in nitrogen mean, weighting studies only by the inverse of within-study variance. </w:t>
      </w:r>
    </w:p>
    <w:tbl>
      <w:tblPr>
        <w:tblStyle w:val="a1"/>
        <w:tblW w:w="6848" w:type="dxa"/>
        <w:jc w:val="center"/>
        <w:tblBorders>
          <w:insideH w:val="single" w:sz="4" w:space="0" w:color="000000"/>
          <w:insideV w:val="single" w:sz="4" w:space="0" w:color="000000"/>
        </w:tblBorders>
        <w:tblLayout w:type="fixed"/>
        <w:tblLook w:val="0400" w:firstRow="0" w:lastRow="0" w:firstColumn="0" w:lastColumn="0" w:noHBand="0" w:noVBand="1"/>
      </w:tblPr>
      <w:tblGrid>
        <w:gridCol w:w="938"/>
        <w:gridCol w:w="974"/>
        <w:gridCol w:w="987"/>
        <w:gridCol w:w="1041"/>
        <w:gridCol w:w="907"/>
        <w:gridCol w:w="620"/>
        <w:gridCol w:w="756"/>
        <w:gridCol w:w="625"/>
      </w:tblGrid>
      <w:tr w:rsidR="007B149A" w14:paraId="2330F5BE" w14:textId="77777777">
        <w:trPr>
          <w:jc w:val="center"/>
        </w:trPr>
        <w:tc>
          <w:tcPr>
            <w:tcW w:w="6848" w:type="dxa"/>
            <w:gridSpan w:val="8"/>
            <w:vAlign w:val="center"/>
          </w:tcPr>
          <w:p w14:paraId="2330F5B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Variation Difference ~ Size Dimorphism</w:t>
            </w:r>
          </w:p>
        </w:tc>
      </w:tr>
      <w:tr w:rsidR="007B149A" w14:paraId="2330F5C8" w14:textId="77777777">
        <w:trPr>
          <w:jc w:val="center"/>
        </w:trPr>
        <w:tc>
          <w:tcPr>
            <w:tcW w:w="938" w:type="dxa"/>
            <w:vAlign w:val="center"/>
          </w:tcPr>
          <w:p w14:paraId="2330F5B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5C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5C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5C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 xml:space="preserve">Standard </w:t>
            </w:r>
          </w:p>
          <w:p w14:paraId="2330F5C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lastRenderedPageBreak/>
              <w:t>Error</w:t>
            </w:r>
          </w:p>
        </w:tc>
        <w:tc>
          <w:tcPr>
            <w:tcW w:w="907" w:type="dxa"/>
            <w:vAlign w:val="center"/>
          </w:tcPr>
          <w:p w14:paraId="2330F5C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lastRenderedPageBreak/>
              <w:t>Statistic</w:t>
            </w:r>
          </w:p>
        </w:tc>
        <w:tc>
          <w:tcPr>
            <w:tcW w:w="620" w:type="dxa"/>
            <w:vAlign w:val="center"/>
          </w:tcPr>
          <w:p w14:paraId="2330F5C5"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5C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5C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5D1" w14:textId="77777777">
        <w:trPr>
          <w:jc w:val="center"/>
        </w:trPr>
        <w:tc>
          <w:tcPr>
            <w:tcW w:w="938" w:type="dxa"/>
            <w:vAlign w:val="center"/>
          </w:tcPr>
          <w:p w14:paraId="2330F5C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5C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CB"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−0.007</w:t>
            </w:r>
          </w:p>
        </w:tc>
        <w:tc>
          <w:tcPr>
            <w:tcW w:w="1041" w:type="dxa"/>
            <w:vAlign w:val="center"/>
          </w:tcPr>
          <w:p w14:paraId="2330F5C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0.032</w:t>
            </w:r>
          </w:p>
        </w:tc>
        <w:tc>
          <w:tcPr>
            <w:tcW w:w="907" w:type="dxa"/>
            <w:vAlign w:val="center"/>
          </w:tcPr>
          <w:p w14:paraId="2330F5CD"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−0.223</w:t>
            </w:r>
          </w:p>
        </w:tc>
        <w:tc>
          <w:tcPr>
            <w:tcW w:w="620" w:type="dxa"/>
            <w:vAlign w:val="center"/>
          </w:tcPr>
          <w:p w14:paraId="2330F5C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0.823</w:t>
            </w:r>
          </w:p>
        </w:tc>
        <w:tc>
          <w:tcPr>
            <w:tcW w:w="756" w:type="dxa"/>
            <w:vAlign w:val="center"/>
          </w:tcPr>
          <w:p w14:paraId="2330F5CF"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−0.069</w:t>
            </w:r>
          </w:p>
        </w:tc>
        <w:tc>
          <w:tcPr>
            <w:tcW w:w="625" w:type="dxa"/>
            <w:vAlign w:val="center"/>
          </w:tcPr>
          <w:p w14:paraId="2330F5D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0.055</w:t>
            </w:r>
          </w:p>
        </w:tc>
      </w:tr>
      <w:tr w:rsidR="007B149A" w14:paraId="2330F5DA" w14:textId="77777777">
        <w:trPr>
          <w:jc w:val="center"/>
        </w:trPr>
        <w:tc>
          <w:tcPr>
            <w:tcW w:w="938" w:type="dxa"/>
            <w:vAlign w:val="center"/>
          </w:tcPr>
          <w:p w14:paraId="2330F5D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SSD</w:t>
            </w:r>
          </w:p>
        </w:tc>
        <w:tc>
          <w:tcPr>
            <w:tcW w:w="974" w:type="dxa"/>
            <w:vAlign w:val="center"/>
          </w:tcPr>
          <w:p w14:paraId="2330F5D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D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0.039</w:t>
            </w:r>
          </w:p>
        </w:tc>
        <w:tc>
          <w:tcPr>
            <w:tcW w:w="1041" w:type="dxa"/>
            <w:vAlign w:val="center"/>
          </w:tcPr>
          <w:p w14:paraId="2330F5D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0.027</w:t>
            </w:r>
          </w:p>
        </w:tc>
        <w:tc>
          <w:tcPr>
            <w:tcW w:w="907" w:type="dxa"/>
            <w:vAlign w:val="center"/>
          </w:tcPr>
          <w:p w14:paraId="2330F5D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1.420</w:t>
            </w:r>
          </w:p>
        </w:tc>
        <w:tc>
          <w:tcPr>
            <w:tcW w:w="620" w:type="dxa"/>
            <w:vAlign w:val="center"/>
          </w:tcPr>
          <w:p w14:paraId="2330F5D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0.155</w:t>
            </w:r>
          </w:p>
        </w:tc>
        <w:tc>
          <w:tcPr>
            <w:tcW w:w="756" w:type="dxa"/>
            <w:vAlign w:val="center"/>
          </w:tcPr>
          <w:p w14:paraId="2330F5D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−0.015</w:t>
            </w:r>
          </w:p>
        </w:tc>
        <w:tc>
          <w:tcPr>
            <w:tcW w:w="625" w:type="dxa"/>
            <w:vAlign w:val="center"/>
          </w:tcPr>
          <w:p w14:paraId="2330F5D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0.092</w:t>
            </w:r>
          </w:p>
        </w:tc>
      </w:tr>
    </w:tbl>
    <w:p w14:paraId="2330F5DB" w14:textId="77777777" w:rsidR="007B149A" w:rsidRDefault="007B149A">
      <w:pPr>
        <w:spacing w:line="360" w:lineRule="auto"/>
        <w:rPr>
          <w:rFonts w:ascii="Times New Roman" w:eastAsia="Times New Roman" w:hAnsi="Times New Roman" w:cs="Times New Roman"/>
        </w:rPr>
      </w:pPr>
    </w:p>
    <w:p w14:paraId="2330F5DC" w14:textId="77777777" w:rsidR="007B149A" w:rsidRDefault="000E054D">
      <w:pPr>
        <w:spacing w:after="120" w:line="360" w:lineRule="auto"/>
        <w:rPr>
          <w:rFonts w:ascii="Times New Roman" w:eastAsia="Times New Roman" w:hAnsi="Times New Roman" w:cs="Times New Roman"/>
        </w:rPr>
      </w:pPr>
      <w:r>
        <w:rPr>
          <w:b/>
        </w:rPr>
        <w:t>Table 3.</w:t>
      </w:r>
      <w:r>
        <w:t xml:space="preserve"> Output of fixed effects model examining the effect of size dimorphism on sex differences in nitrogen variation, weighting studies only by the inverse of within-study variance. </w:t>
      </w:r>
    </w:p>
    <w:tbl>
      <w:tblPr>
        <w:tblStyle w:val="a2"/>
        <w:tblW w:w="6848" w:type="dxa"/>
        <w:jc w:val="center"/>
        <w:tblBorders>
          <w:insideH w:val="single" w:sz="4" w:space="0" w:color="000000"/>
          <w:insideV w:val="single" w:sz="4" w:space="0" w:color="000000"/>
        </w:tblBorders>
        <w:tblLayout w:type="fixed"/>
        <w:tblLook w:val="0400" w:firstRow="0" w:lastRow="0" w:firstColumn="0" w:lastColumn="0" w:noHBand="0" w:noVBand="1"/>
      </w:tblPr>
      <w:tblGrid>
        <w:gridCol w:w="938"/>
        <w:gridCol w:w="974"/>
        <w:gridCol w:w="987"/>
        <w:gridCol w:w="1041"/>
        <w:gridCol w:w="907"/>
        <w:gridCol w:w="620"/>
        <w:gridCol w:w="756"/>
        <w:gridCol w:w="625"/>
      </w:tblGrid>
      <w:tr w:rsidR="007B149A" w14:paraId="2330F5DE" w14:textId="77777777">
        <w:trPr>
          <w:jc w:val="center"/>
        </w:trPr>
        <w:tc>
          <w:tcPr>
            <w:tcW w:w="6848" w:type="dxa"/>
            <w:gridSpan w:val="8"/>
            <w:vAlign w:val="center"/>
          </w:tcPr>
          <w:p w14:paraId="2330F5D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Carbon Mean Difference ~ Size Dimorphism</w:t>
            </w:r>
          </w:p>
        </w:tc>
      </w:tr>
      <w:tr w:rsidR="007B149A" w14:paraId="2330F5E8" w14:textId="77777777">
        <w:trPr>
          <w:jc w:val="center"/>
        </w:trPr>
        <w:tc>
          <w:tcPr>
            <w:tcW w:w="938" w:type="dxa"/>
            <w:vAlign w:val="center"/>
          </w:tcPr>
          <w:p w14:paraId="2330F5D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5E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5E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5E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5E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5E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5E5"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5E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5E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5F1" w14:textId="77777777">
        <w:trPr>
          <w:jc w:val="center"/>
        </w:trPr>
        <w:tc>
          <w:tcPr>
            <w:tcW w:w="938" w:type="dxa"/>
            <w:vAlign w:val="center"/>
          </w:tcPr>
          <w:p w14:paraId="2330F5E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5E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EB"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−0.051</w:t>
            </w:r>
          </w:p>
        </w:tc>
        <w:tc>
          <w:tcPr>
            <w:tcW w:w="1041" w:type="dxa"/>
            <w:vAlign w:val="center"/>
          </w:tcPr>
          <w:p w14:paraId="2330F5E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0.104</w:t>
            </w:r>
          </w:p>
        </w:tc>
        <w:tc>
          <w:tcPr>
            <w:tcW w:w="907" w:type="dxa"/>
            <w:vAlign w:val="center"/>
          </w:tcPr>
          <w:p w14:paraId="2330F5ED"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−0.490</w:t>
            </w:r>
          </w:p>
        </w:tc>
        <w:tc>
          <w:tcPr>
            <w:tcW w:w="620" w:type="dxa"/>
            <w:vAlign w:val="center"/>
          </w:tcPr>
          <w:p w14:paraId="2330F5E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0.624</w:t>
            </w:r>
          </w:p>
        </w:tc>
        <w:tc>
          <w:tcPr>
            <w:tcW w:w="756" w:type="dxa"/>
            <w:vAlign w:val="center"/>
          </w:tcPr>
          <w:p w14:paraId="2330F5EF"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−0.256</w:t>
            </w:r>
          </w:p>
        </w:tc>
        <w:tc>
          <w:tcPr>
            <w:tcW w:w="625" w:type="dxa"/>
            <w:vAlign w:val="center"/>
          </w:tcPr>
          <w:p w14:paraId="2330F5F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0.154</w:t>
            </w:r>
          </w:p>
        </w:tc>
      </w:tr>
      <w:tr w:rsidR="007B149A" w14:paraId="2330F5FA" w14:textId="77777777">
        <w:trPr>
          <w:jc w:val="center"/>
        </w:trPr>
        <w:tc>
          <w:tcPr>
            <w:tcW w:w="938" w:type="dxa"/>
            <w:vAlign w:val="center"/>
          </w:tcPr>
          <w:p w14:paraId="2330F5F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SSD</w:t>
            </w:r>
          </w:p>
        </w:tc>
        <w:tc>
          <w:tcPr>
            <w:tcW w:w="974" w:type="dxa"/>
            <w:vAlign w:val="center"/>
          </w:tcPr>
          <w:p w14:paraId="2330F5F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5F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0.144</w:t>
            </w:r>
          </w:p>
        </w:tc>
        <w:tc>
          <w:tcPr>
            <w:tcW w:w="1041" w:type="dxa"/>
            <w:vAlign w:val="center"/>
          </w:tcPr>
          <w:p w14:paraId="2330F5F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0.078</w:t>
            </w:r>
          </w:p>
        </w:tc>
        <w:tc>
          <w:tcPr>
            <w:tcW w:w="907" w:type="dxa"/>
            <w:vAlign w:val="center"/>
          </w:tcPr>
          <w:p w14:paraId="2330F5F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1.843</w:t>
            </w:r>
          </w:p>
        </w:tc>
        <w:tc>
          <w:tcPr>
            <w:tcW w:w="620" w:type="dxa"/>
            <w:vAlign w:val="center"/>
          </w:tcPr>
          <w:p w14:paraId="2330F5F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0.065</w:t>
            </w:r>
          </w:p>
        </w:tc>
        <w:tc>
          <w:tcPr>
            <w:tcW w:w="756" w:type="dxa"/>
            <w:vAlign w:val="center"/>
          </w:tcPr>
          <w:p w14:paraId="2330F5F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−0.009</w:t>
            </w:r>
          </w:p>
        </w:tc>
        <w:tc>
          <w:tcPr>
            <w:tcW w:w="625" w:type="dxa"/>
            <w:vAlign w:val="center"/>
          </w:tcPr>
          <w:p w14:paraId="2330F5F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0.298</w:t>
            </w:r>
          </w:p>
        </w:tc>
      </w:tr>
    </w:tbl>
    <w:p w14:paraId="2330F5FB" w14:textId="77777777" w:rsidR="007B149A" w:rsidRDefault="007B149A">
      <w:pPr>
        <w:spacing w:line="360" w:lineRule="auto"/>
        <w:rPr>
          <w:rFonts w:ascii="Times New Roman" w:eastAsia="Times New Roman" w:hAnsi="Times New Roman" w:cs="Times New Roman"/>
        </w:rPr>
      </w:pPr>
    </w:p>
    <w:p w14:paraId="2330F5FC" w14:textId="77777777" w:rsidR="007B149A" w:rsidRDefault="000E054D">
      <w:pPr>
        <w:spacing w:after="120" w:line="360" w:lineRule="auto"/>
        <w:rPr>
          <w:rFonts w:ascii="Times New Roman" w:eastAsia="Times New Roman" w:hAnsi="Times New Roman" w:cs="Times New Roman"/>
        </w:rPr>
      </w:pPr>
      <w:r>
        <w:rPr>
          <w:b/>
        </w:rPr>
        <w:t>Table 4.</w:t>
      </w:r>
      <w:r>
        <w:t xml:space="preserve"> Output of fixed effects model examining the effect of size dimorphism on sex differences in carbon mean, weighting studies only by the inverse of within-study variance. </w:t>
      </w:r>
    </w:p>
    <w:tbl>
      <w:tblPr>
        <w:tblStyle w:val="a3"/>
        <w:tblW w:w="6848" w:type="dxa"/>
        <w:jc w:val="center"/>
        <w:tblBorders>
          <w:insideH w:val="single" w:sz="4" w:space="0" w:color="000000"/>
          <w:insideV w:val="single" w:sz="4" w:space="0" w:color="000000"/>
        </w:tblBorders>
        <w:tblLayout w:type="fixed"/>
        <w:tblLook w:val="0400" w:firstRow="0" w:lastRow="0" w:firstColumn="0" w:lastColumn="0" w:noHBand="0" w:noVBand="1"/>
      </w:tblPr>
      <w:tblGrid>
        <w:gridCol w:w="938"/>
        <w:gridCol w:w="974"/>
        <w:gridCol w:w="987"/>
        <w:gridCol w:w="1041"/>
        <w:gridCol w:w="907"/>
        <w:gridCol w:w="620"/>
        <w:gridCol w:w="756"/>
        <w:gridCol w:w="625"/>
      </w:tblGrid>
      <w:tr w:rsidR="007B149A" w14:paraId="2330F5FE" w14:textId="77777777">
        <w:trPr>
          <w:jc w:val="center"/>
        </w:trPr>
        <w:tc>
          <w:tcPr>
            <w:tcW w:w="6848" w:type="dxa"/>
            <w:gridSpan w:val="8"/>
            <w:vAlign w:val="center"/>
          </w:tcPr>
          <w:p w14:paraId="2330F5F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Carbon Variation Difference ~ Size Dimorphism</w:t>
            </w:r>
          </w:p>
        </w:tc>
      </w:tr>
      <w:tr w:rsidR="007B149A" w14:paraId="2330F608" w14:textId="77777777">
        <w:trPr>
          <w:jc w:val="center"/>
        </w:trPr>
        <w:tc>
          <w:tcPr>
            <w:tcW w:w="938" w:type="dxa"/>
            <w:vAlign w:val="center"/>
          </w:tcPr>
          <w:p w14:paraId="2330F5F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60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60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60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0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60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605"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60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60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11" w14:textId="77777777">
        <w:trPr>
          <w:jc w:val="center"/>
        </w:trPr>
        <w:tc>
          <w:tcPr>
            <w:tcW w:w="938" w:type="dxa"/>
            <w:vAlign w:val="center"/>
          </w:tcPr>
          <w:p w14:paraId="2330F60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60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0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0.044</w:t>
            </w:r>
          </w:p>
        </w:tc>
        <w:tc>
          <w:tcPr>
            <w:tcW w:w="1041" w:type="dxa"/>
            <w:vAlign w:val="center"/>
          </w:tcPr>
          <w:p w14:paraId="2330F60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0.039</w:t>
            </w:r>
          </w:p>
        </w:tc>
        <w:tc>
          <w:tcPr>
            <w:tcW w:w="907" w:type="dxa"/>
            <w:vAlign w:val="center"/>
          </w:tcPr>
          <w:p w14:paraId="2330F60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1.134</w:t>
            </w:r>
          </w:p>
        </w:tc>
        <w:tc>
          <w:tcPr>
            <w:tcW w:w="620" w:type="dxa"/>
            <w:vAlign w:val="center"/>
          </w:tcPr>
          <w:p w14:paraId="2330F60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0.257</w:t>
            </w:r>
          </w:p>
        </w:tc>
        <w:tc>
          <w:tcPr>
            <w:tcW w:w="756" w:type="dxa"/>
            <w:vAlign w:val="center"/>
          </w:tcPr>
          <w:p w14:paraId="2330F60F"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−0.032</w:t>
            </w:r>
          </w:p>
        </w:tc>
        <w:tc>
          <w:tcPr>
            <w:tcW w:w="625" w:type="dxa"/>
            <w:vAlign w:val="center"/>
          </w:tcPr>
          <w:p w14:paraId="2330F61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0.120</w:t>
            </w:r>
          </w:p>
        </w:tc>
      </w:tr>
      <w:tr w:rsidR="007B149A" w14:paraId="2330F61A" w14:textId="77777777">
        <w:trPr>
          <w:jc w:val="center"/>
        </w:trPr>
        <w:tc>
          <w:tcPr>
            <w:tcW w:w="938" w:type="dxa"/>
            <w:vAlign w:val="center"/>
          </w:tcPr>
          <w:p w14:paraId="2330F61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SSD</w:t>
            </w:r>
          </w:p>
        </w:tc>
        <w:tc>
          <w:tcPr>
            <w:tcW w:w="974" w:type="dxa"/>
            <w:vAlign w:val="center"/>
          </w:tcPr>
          <w:p w14:paraId="2330F61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1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0.030</w:t>
            </w:r>
          </w:p>
        </w:tc>
        <w:tc>
          <w:tcPr>
            <w:tcW w:w="1041" w:type="dxa"/>
            <w:vAlign w:val="center"/>
          </w:tcPr>
          <w:p w14:paraId="2330F61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0.033</w:t>
            </w:r>
          </w:p>
        </w:tc>
        <w:tc>
          <w:tcPr>
            <w:tcW w:w="907" w:type="dxa"/>
            <w:vAlign w:val="center"/>
          </w:tcPr>
          <w:p w14:paraId="2330F61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0.912</w:t>
            </w:r>
          </w:p>
        </w:tc>
        <w:tc>
          <w:tcPr>
            <w:tcW w:w="620" w:type="dxa"/>
            <w:vAlign w:val="center"/>
          </w:tcPr>
          <w:p w14:paraId="2330F61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0.362</w:t>
            </w:r>
          </w:p>
        </w:tc>
        <w:tc>
          <w:tcPr>
            <w:tcW w:w="756" w:type="dxa"/>
            <w:vAlign w:val="center"/>
          </w:tcPr>
          <w:p w14:paraId="2330F61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−0.035</w:t>
            </w:r>
          </w:p>
        </w:tc>
        <w:tc>
          <w:tcPr>
            <w:tcW w:w="625" w:type="dxa"/>
            <w:vAlign w:val="center"/>
          </w:tcPr>
          <w:p w14:paraId="2330F61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0.095</w:t>
            </w:r>
          </w:p>
        </w:tc>
      </w:tr>
    </w:tbl>
    <w:p w14:paraId="2330F61B" w14:textId="77777777" w:rsidR="007B149A" w:rsidRDefault="007B149A">
      <w:pPr>
        <w:spacing w:line="360" w:lineRule="auto"/>
        <w:rPr>
          <w:rFonts w:ascii="Times New Roman" w:eastAsia="Times New Roman" w:hAnsi="Times New Roman" w:cs="Times New Roman"/>
        </w:rPr>
      </w:pPr>
    </w:p>
    <w:p w14:paraId="2330F61C" w14:textId="77777777" w:rsidR="007B149A" w:rsidRDefault="000E054D">
      <w:pPr>
        <w:spacing w:after="120" w:line="360" w:lineRule="auto"/>
        <w:rPr>
          <w:rFonts w:ascii="Times New Roman" w:eastAsia="Times New Roman" w:hAnsi="Times New Roman" w:cs="Times New Roman"/>
        </w:rPr>
      </w:pPr>
      <w:r>
        <w:rPr>
          <w:b/>
        </w:rPr>
        <w:lastRenderedPageBreak/>
        <w:t>Table 5.</w:t>
      </w:r>
      <w:r>
        <w:t xml:space="preserve"> Output of fixed effects model examining the effect of size dimorphism on sex differences in carbon variation, weighting studies only by the inverse of within-study variance</w:t>
      </w:r>
      <w:r>
        <w:rPr>
          <w:b/>
          <w:i/>
        </w:rPr>
        <w:t>. </w:t>
      </w:r>
    </w:p>
    <w:tbl>
      <w:tblPr>
        <w:tblStyle w:val="a4"/>
        <w:tblW w:w="8918" w:type="dxa"/>
        <w:jc w:val="center"/>
        <w:tblBorders>
          <w:insideH w:val="single" w:sz="4" w:space="0" w:color="000000"/>
          <w:insideV w:val="single" w:sz="4" w:space="0" w:color="000000"/>
        </w:tblBorders>
        <w:tblLayout w:type="fixed"/>
        <w:tblLook w:val="0400" w:firstRow="0" w:lastRow="0" w:firstColumn="0" w:lastColumn="0" w:noHBand="0" w:noVBand="1"/>
      </w:tblPr>
      <w:tblGrid>
        <w:gridCol w:w="2872"/>
        <w:gridCol w:w="974"/>
        <w:gridCol w:w="987"/>
        <w:gridCol w:w="1041"/>
        <w:gridCol w:w="907"/>
        <w:gridCol w:w="620"/>
        <w:gridCol w:w="756"/>
        <w:gridCol w:w="761"/>
      </w:tblGrid>
      <w:tr w:rsidR="007B149A" w14:paraId="2330F61E" w14:textId="77777777">
        <w:trPr>
          <w:jc w:val="center"/>
        </w:trPr>
        <w:tc>
          <w:tcPr>
            <w:tcW w:w="8918" w:type="dxa"/>
            <w:gridSpan w:val="8"/>
            <w:vAlign w:val="center"/>
          </w:tcPr>
          <w:p w14:paraId="2330F61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 * Dietary Class + Mean Size</w:t>
            </w:r>
          </w:p>
        </w:tc>
      </w:tr>
      <w:tr w:rsidR="007B149A" w14:paraId="2330F628" w14:textId="77777777">
        <w:trPr>
          <w:jc w:val="center"/>
        </w:trPr>
        <w:tc>
          <w:tcPr>
            <w:tcW w:w="2872" w:type="dxa"/>
            <w:vAlign w:val="center"/>
          </w:tcPr>
          <w:p w14:paraId="2330F61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62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62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62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2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62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625"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626"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761" w:type="dxa"/>
            <w:vAlign w:val="center"/>
          </w:tcPr>
          <w:p w14:paraId="2330F62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31" w14:textId="77777777">
        <w:trPr>
          <w:jc w:val="center"/>
        </w:trPr>
        <w:tc>
          <w:tcPr>
            <w:tcW w:w="2872" w:type="dxa"/>
            <w:vAlign w:val="center"/>
          </w:tcPr>
          <w:p w14:paraId="2330F62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62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2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0.209</w:t>
            </w:r>
          </w:p>
        </w:tc>
        <w:tc>
          <w:tcPr>
            <w:tcW w:w="1041" w:type="dxa"/>
            <w:vAlign w:val="center"/>
          </w:tcPr>
          <w:p w14:paraId="2330F62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0.075</w:t>
            </w:r>
          </w:p>
        </w:tc>
        <w:tc>
          <w:tcPr>
            <w:tcW w:w="907" w:type="dxa"/>
            <w:vAlign w:val="center"/>
          </w:tcPr>
          <w:p w14:paraId="2330F62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2.766</w:t>
            </w:r>
          </w:p>
        </w:tc>
        <w:tc>
          <w:tcPr>
            <w:tcW w:w="620" w:type="dxa"/>
            <w:vAlign w:val="center"/>
          </w:tcPr>
          <w:p w14:paraId="2330F62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0.006</w:t>
            </w:r>
          </w:p>
        </w:tc>
        <w:tc>
          <w:tcPr>
            <w:tcW w:w="756" w:type="dxa"/>
            <w:vAlign w:val="center"/>
          </w:tcPr>
          <w:p w14:paraId="2330F62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0.061</w:t>
            </w:r>
          </w:p>
        </w:tc>
        <w:tc>
          <w:tcPr>
            <w:tcW w:w="761" w:type="dxa"/>
            <w:vAlign w:val="center"/>
          </w:tcPr>
          <w:p w14:paraId="2330F63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0.357</w:t>
            </w:r>
          </w:p>
        </w:tc>
      </w:tr>
      <w:tr w:rsidR="007B149A" w14:paraId="2330F63A" w14:textId="77777777">
        <w:trPr>
          <w:jc w:val="center"/>
        </w:trPr>
        <w:tc>
          <w:tcPr>
            <w:tcW w:w="2872" w:type="dxa"/>
            <w:vAlign w:val="center"/>
          </w:tcPr>
          <w:p w14:paraId="2330F63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63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3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0.059</w:t>
            </w:r>
          </w:p>
        </w:tc>
        <w:tc>
          <w:tcPr>
            <w:tcW w:w="1041" w:type="dxa"/>
            <w:vAlign w:val="center"/>
          </w:tcPr>
          <w:p w14:paraId="2330F63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0.060</w:t>
            </w:r>
          </w:p>
        </w:tc>
        <w:tc>
          <w:tcPr>
            <w:tcW w:w="907" w:type="dxa"/>
            <w:vAlign w:val="center"/>
          </w:tcPr>
          <w:p w14:paraId="2330F63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0.994</w:t>
            </w:r>
          </w:p>
        </w:tc>
        <w:tc>
          <w:tcPr>
            <w:tcW w:w="620" w:type="dxa"/>
            <w:vAlign w:val="center"/>
          </w:tcPr>
          <w:p w14:paraId="2330F63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0.320</w:t>
            </w:r>
          </w:p>
        </w:tc>
        <w:tc>
          <w:tcPr>
            <w:tcW w:w="756" w:type="dxa"/>
            <w:vAlign w:val="center"/>
          </w:tcPr>
          <w:p w14:paraId="2330F63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−0.058</w:t>
            </w:r>
          </w:p>
        </w:tc>
        <w:tc>
          <w:tcPr>
            <w:tcW w:w="761" w:type="dxa"/>
            <w:vAlign w:val="center"/>
          </w:tcPr>
          <w:p w14:paraId="2330F63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0.177</w:t>
            </w:r>
          </w:p>
        </w:tc>
      </w:tr>
      <w:tr w:rsidR="007B149A" w14:paraId="2330F643" w14:textId="77777777">
        <w:trPr>
          <w:jc w:val="center"/>
        </w:trPr>
        <w:tc>
          <w:tcPr>
            <w:tcW w:w="2872" w:type="dxa"/>
            <w:vAlign w:val="center"/>
          </w:tcPr>
          <w:p w14:paraId="2330F63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Herbivore</w:t>
            </w:r>
          </w:p>
        </w:tc>
        <w:tc>
          <w:tcPr>
            <w:tcW w:w="974" w:type="dxa"/>
            <w:vAlign w:val="center"/>
          </w:tcPr>
          <w:p w14:paraId="2330F63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3D"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−0.705</w:t>
            </w:r>
          </w:p>
        </w:tc>
        <w:tc>
          <w:tcPr>
            <w:tcW w:w="1041" w:type="dxa"/>
            <w:vAlign w:val="center"/>
          </w:tcPr>
          <w:p w14:paraId="2330F63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0.296</w:t>
            </w:r>
          </w:p>
        </w:tc>
        <w:tc>
          <w:tcPr>
            <w:tcW w:w="907" w:type="dxa"/>
            <w:vAlign w:val="center"/>
          </w:tcPr>
          <w:p w14:paraId="2330F63F"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−2.381</w:t>
            </w:r>
          </w:p>
        </w:tc>
        <w:tc>
          <w:tcPr>
            <w:tcW w:w="620" w:type="dxa"/>
            <w:vAlign w:val="center"/>
          </w:tcPr>
          <w:p w14:paraId="2330F64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0.017</w:t>
            </w:r>
          </w:p>
        </w:tc>
        <w:tc>
          <w:tcPr>
            <w:tcW w:w="756" w:type="dxa"/>
            <w:vAlign w:val="center"/>
          </w:tcPr>
          <w:p w14:paraId="2330F641"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−1.286</w:t>
            </w:r>
          </w:p>
        </w:tc>
        <w:tc>
          <w:tcPr>
            <w:tcW w:w="761" w:type="dxa"/>
            <w:vAlign w:val="center"/>
          </w:tcPr>
          <w:p w14:paraId="2330F642"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−0.125</w:t>
            </w:r>
          </w:p>
        </w:tc>
      </w:tr>
      <w:tr w:rsidR="007B149A" w14:paraId="2330F64C" w14:textId="77777777">
        <w:trPr>
          <w:jc w:val="center"/>
        </w:trPr>
        <w:tc>
          <w:tcPr>
            <w:tcW w:w="2872" w:type="dxa"/>
            <w:vAlign w:val="center"/>
          </w:tcPr>
          <w:p w14:paraId="2330F64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Omnivore</w:t>
            </w:r>
          </w:p>
        </w:tc>
        <w:tc>
          <w:tcPr>
            <w:tcW w:w="974" w:type="dxa"/>
            <w:vAlign w:val="center"/>
          </w:tcPr>
          <w:p w14:paraId="2330F64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46"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−0.529</w:t>
            </w:r>
          </w:p>
        </w:tc>
        <w:tc>
          <w:tcPr>
            <w:tcW w:w="1041" w:type="dxa"/>
            <w:vAlign w:val="center"/>
          </w:tcPr>
          <w:p w14:paraId="2330F64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0.280</w:t>
            </w:r>
          </w:p>
        </w:tc>
        <w:tc>
          <w:tcPr>
            <w:tcW w:w="907" w:type="dxa"/>
            <w:vAlign w:val="center"/>
          </w:tcPr>
          <w:p w14:paraId="2330F648"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−1.889</w:t>
            </w:r>
          </w:p>
        </w:tc>
        <w:tc>
          <w:tcPr>
            <w:tcW w:w="620" w:type="dxa"/>
            <w:vAlign w:val="center"/>
          </w:tcPr>
          <w:p w14:paraId="2330F64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0.059</w:t>
            </w:r>
          </w:p>
        </w:tc>
        <w:tc>
          <w:tcPr>
            <w:tcW w:w="756" w:type="dxa"/>
            <w:vAlign w:val="center"/>
          </w:tcPr>
          <w:p w14:paraId="2330F64A"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−1.078</w:t>
            </w:r>
          </w:p>
        </w:tc>
        <w:tc>
          <w:tcPr>
            <w:tcW w:w="761" w:type="dxa"/>
            <w:vAlign w:val="center"/>
          </w:tcPr>
          <w:p w14:paraId="2330F64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0.020</w:t>
            </w:r>
          </w:p>
        </w:tc>
      </w:tr>
      <w:tr w:rsidR="007B149A" w14:paraId="2330F655" w14:textId="77777777">
        <w:trPr>
          <w:jc w:val="center"/>
        </w:trPr>
        <w:tc>
          <w:tcPr>
            <w:tcW w:w="2872" w:type="dxa"/>
            <w:vAlign w:val="center"/>
          </w:tcPr>
          <w:p w14:paraId="2330F64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w:t>
            </w:r>
          </w:p>
        </w:tc>
        <w:tc>
          <w:tcPr>
            <w:tcW w:w="974" w:type="dxa"/>
            <w:vAlign w:val="center"/>
          </w:tcPr>
          <w:p w14:paraId="2330F64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4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w:t>
            </w:r>
          </w:p>
        </w:tc>
        <w:tc>
          <w:tcPr>
            <w:tcW w:w="1041" w:type="dxa"/>
            <w:vAlign w:val="center"/>
          </w:tcPr>
          <w:p w14:paraId="2330F65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w:t>
            </w:r>
          </w:p>
        </w:tc>
        <w:tc>
          <w:tcPr>
            <w:tcW w:w="907" w:type="dxa"/>
            <w:vAlign w:val="center"/>
          </w:tcPr>
          <w:p w14:paraId="2330F65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0.368</w:t>
            </w:r>
          </w:p>
        </w:tc>
        <w:tc>
          <w:tcPr>
            <w:tcW w:w="620" w:type="dxa"/>
            <w:vAlign w:val="center"/>
          </w:tcPr>
          <w:p w14:paraId="2330F65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0.713</w:t>
            </w:r>
          </w:p>
        </w:tc>
        <w:tc>
          <w:tcPr>
            <w:tcW w:w="756" w:type="dxa"/>
            <w:vAlign w:val="center"/>
          </w:tcPr>
          <w:p w14:paraId="2330F65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w:t>
            </w:r>
          </w:p>
        </w:tc>
        <w:tc>
          <w:tcPr>
            <w:tcW w:w="761" w:type="dxa"/>
            <w:vAlign w:val="center"/>
          </w:tcPr>
          <w:p w14:paraId="2330F65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w:t>
            </w:r>
          </w:p>
        </w:tc>
      </w:tr>
      <w:tr w:rsidR="007B149A" w14:paraId="2330F65E" w14:textId="77777777">
        <w:trPr>
          <w:jc w:val="center"/>
        </w:trPr>
        <w:tc>
          <w:tcPr>
            <w:tcW w:w="2872" w:type="dxa"/>
            <w:vAlign w:val="center"/>
          </w:tcPr>
          <w:p w14:paraId="2330F65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 Herbivore</w:t>
            </w:r>
          </w:p>
        </w:tc>
        <w:tc>
          <w:tcPr>
            <w:tcW w:w="974" w:type="dxa"/>
            <w:vAlign w:val="center"/>
          </w:tcPr>
          <w:p w14:paraId="2330F65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5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0.651</w:t>
            </w:r>
          </w:p>
        </w:tc>
        <w:tc>
          <w:tcPr>
            <w:tcW w:w="1041" w:type="dxa"/>
            <w:vAlign w:val="center"/>
          </w:tcPr>
          <w:p w14:paraId="2330F65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0.548</w:t>
            </w:r>
          </w:p>
        </w:tc>
        <w:tc>
          <w:tcPr>
            <w:tcW w:w="907" w:type="dxa"/>
            <w:vAlign w:val="center"/>
          </w:tcPr>
          <w:p w14:paraId="2330F65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1.189</w:t>
            </w:r>
          </w:p>
        </w:tc>
        <w:tc>
          <w:tcPr>
            <w:tcW w:w="620" w:type="dxa"/>
            <w:vAlign w:val="center"/>
          </w:tcPr>
          <w:p w14:paraId="2330F65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0.234</w:t>
            </w:r>
          </w:p>
        </w:tc>
        <w:tc>
          <w:tcPr>
            <w:tcW w:w="756" w:type="dxa"/>
            <w:vAlign w:val="center"/>
          </w:tcPr>
          <w:p w14:paraId="2330F65C"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−0.422</w:t>
            </w:r>
          </w:p>
        </w:tc>
        <w:tc>
          <w:tcPr>
            <w:tcW w:w="761" w:type="dxa"/>
            <w:vAlign w:val="center"/>
          </w:tcPr>
          <w:p w14:paraId="2330F65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1.725</w:t>
            </w:r>
          </w:p>
        </w:tc>
      </w:tr>
      <w:tr w:rsidR="007B149A" w14:paraId="2330F667" w14:textId="77777777">
        <w:trPr>
          <w:jc w:val="center"/>
        </w:trPr>
        <w:tc>
          <w:tcPr>
            <w:tcW w:w="2872" w:type="dxa"/>
            <w:vAlign w:val="center"/>
          </w:tcPr>
          <w:p w14:paraId="2330F65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 Omnivore</w:t>
            </w:r>
          </w:p>
        </w:tc>
        <w:tc>
          <w:tcPr>
            <w:tcW w:w="974" w:type="dxa"/>
            <w:vAlign w:val="center"/>
          </w:tcPr>
          <w:p w14:paraId="2330F66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6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0.380</w:t>
            </w:r>
          </w:p>
        </w:tc>
        <w:tc>
          <w:tcPr>
            <w:tcW w:w="1041" w:type="dxa"/>
            <w:vAlign w:val="center"/>
          </w:tcPr>
          <w:p w14:paraId="2330F66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0.265</w:t>
            </w:r>
          </w:p>
        </w:tc>
        <w:tc>
          <w:tcPr>
            <w:tcW w:w="907" w:type="dxa"/>
            <w:vAlign w:val="center"/>
          </w:tcPr>
          <w:p w14:paraId="2330F66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1.434</w:t>
            </w:r>
          </w:p>
        </w:tc>
        <w:tc>
          <w:tcPr>
            <w:tcW w:w="620" w:type="dxa"/>
            <w:vAlign w:val="center"/>
          </w:tcPr>
          <w:p w14:paraId="2330F66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0.152</w:t>
            </w:r>
          </w:p>
        </w:tc>
        <w:tc>
          <w:tcPr>
            <w:tcW w:w="756" w:type="dxa"/>
            <w:vAlign w:val="center"/>
          </w:tcPr>
          <w:p w14:paraId="2330F665"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−0.139</w:t>
            </w:r>
          </w:p>
        </w:tc>
        <w:tc>
          <w:tcPr>
            <w:tcW w:w="761" w:type="dxa"/>
            <w:vAlign w:val="center"/>
          </w:tcPr>
          <w:p w14:paraId="2330F66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0.900</w:t>
            </w:r>
          </w:p>
        </w:tc>
      </w:tr>
    </w:tbl>
    <w:p w14:paraId="2330F668" w14:textId="77777777" w:rsidR="007B149A" w:rsidRDefault="007B149A">
      <w:pPr>
        <w:spacing w:line="360" w:lineRule="auto"/>
        <w:rPr>
          <w:rFonts w:ascii="Times New Roman" w:eastAsia="Times New Roman" w:hAnsi="Times New Roman" w:cs="Times New Roman"/>
        </w:rPr>
      </w:pPr>
    </w:p>
    <w:p w14:paraId="2330F669" w14:textId="77777777" w:rsidR="007B149A" w:rsidRDefault="000E054D">
      <w:pPr>
        <w:spacing w:after="120" w:line="360" w:lineRule="auto"/>
        <w:rPr>
          <w:rFonts w:ascii="Times New Roman" w:eastAsia="Times New Roman" w:hAnsi="Times New Roman" w:cs="Times New Roman"/>
        </w:rPr>
      </w:pPr>
      <w:r>
        <w:rPr>
          <w:b/>
        </w:rPr>
        <w:t>Table 6.</w:t>
      </w:r>
      <w:r>
        <w:t xml:space="preserve"> Output of fixed effects model examining the effect of size dimorphism, dietary class and species mean size on sex differences in nitrogen mean, weighting studies only by the inverse of within-study variance. </w:t>
      </w:r>
    </w:p>
    <w:p w14:paraId="2330F66A" w14:textId="77777777" w:rsidR="007B149A" w:rsidRDefault="007B149A">
      <w:pPr>
        <w:spacing w:line="360" w:lineRule="auto"/>
        <w:rPr>
          <w:rFonts w:ascii="Times New Roman" w:eastAsia="Times New Roman" w:hAnsi="Times New Roman" w:cs="Times New Roman"/>
        </w:rPr>
      </w:pPr>
    </w:p>
    <w:tbl>
      <w:tblPr>
        <w:tblStyle w:val="a5"/>
        <w:tblW w:w="7682"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756"/>
        <w:gridCol w:w="625"/>
      </w:tblGrid>
      <w:tr w:rsidR="007B149A" w14:paraId="2330F66C" w14:textId="77777777">
        <w:trPr>
          <w:jc w:val="center"/>
        </w:trPr>
        <w:tc>
          <w:tcPr>
            <w:tcW w:w="7682" w:type="dxa"/>
            <w:gridSpan w:val="8"/>
            <w:vAlign w:val="center"/>
          </w:tcPr>
          <w:p w14:paraId="2330F66B"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Gape Limited Carnivores: Nitrogen Mean Difference ~ Size Dimorphism</w:t>
            </w:r>
          </w:p>
        </w:tc>
      </w:tr>
      <w:tr w:rsidR="007B149A" w14:paraId="2330F676" w14:textId="77777777">
        <w:trPr>
          <w:jc w:val="center"/>
        </w:trPr>
        <w:tc>
          <w:tcPr>
            <w:tcW w:w="1772" w:type="dxa"/>
            <w:vAlign w:val="center"/>
          </w:tcPr>
          <w:p w14:paraId="2330F66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66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66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67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7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67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673"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67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67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7F" w14:textId="77777777">
        <w:trPr>
          <w:jc w:val="center"/>
        </w:trPr>
        <w:tc>
          <w:tcPr>
            <w:tcW w:w="1772" w:type="dxa"/>
            <w:vAlign w:val="center"/>
          </w:tcPr>
          <w:p w14:paraId="2330F67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lastRenderedPageBreak/>
              <w:t>Intercept</w:t>
            </w:r>
          </w:p>
        </w:tc>
        <w:tc>
          <w:tcPr>
            <w:tcW w:w="974" w:type="dxa"/>
            <w:vAlign w:val="center"/>
          </w:tcPr>
          <w:p w14:paraId="2330F67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7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0.109</w:t>
            </w:r>
          </w:p>
        </w:tc>
        <w:tc>
          <w:tcPr>
            <w:tcW w:w="1041" w:type="dxa"/>
            <w:vAlign w:val="center"/>
          </w:tcPr>
          <w:p w14:paraId="2330F67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0.107</w:t>
            </w:r>
          </w:p>
        </w:tc>
        <w:tc>
          <w:tcPr>
            <w:tcW w:w="907" w:type="dxa"/>
            <w:vAlign w:val="center"/>
          </w:tcPr>
          <w:p w14:paraId="2330F67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1.019</w:t>
            </w:r>
          </w:p>
        </w:tc>
        <w:tc>
          <w:tcPr>
            <w:tcW w:w="620" w:type="dxa"/>
            <w:vAlign w:val="center"/>
          </w:tcPr>
          <w:p w14:paraId="2330F67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0.308</w:t>
            </w:r>
          </w:p>
        </w:tc>
        <w:tc>
          <w:tcPr>
            <w:tcW w:w="756" w:type="dxa"/>
            <w:vAlign w:val="center"/>
          </w:tcPr>
          <w:p w14:paraId="2330F67D"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−0.100</w:t>
            </w:r>
          </w:p>
        </w:tc>
        <w:tc>
          <w:tcPr>
            <w:tcW w:w="625" w:type="dxa"/>
            <w:vAlign w:val="center"/>
          </w:tcPr>
          <w:p w14:paraId="2330F67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0.318</w:t>
            </w:r>
          </w:p>
        </w:tc>
      </w:tr>
      <w:tr w:rsidR="007B149A" w14:paraId="2330F688" w14:textId="77777777">
        <w:trPr>
          <w:jc w:val="center"/>
        </w:trPr>
        <w:tc>
          <w:tcPr>
            <w:tcW w:w="1772" w:type="dxa"/>
            <w:vAlign w:val="center"/>
          </w:tcPr>
          <w:p w14:paraId="2330F68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68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8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0.113</w:t>
            </w:r>
          </w:p>
        </w:tc>
        <w:tc>
          <w:tcPr>
            <w:tcW w:w="1041" w:type="dxa"/>
            <w:vAlign w:val="center"/>
          </w:tcPr>
          <w:p w14:paraId="2330F68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0.124</w:t>
            </w:r>
          </w:p>
        </w:tc>
        <w:tc>
          <w:tcPr>
            <w:tcW w:w="907" w:type="dxa"/>
            <w:vAlign w:val="center"/>
          </w:tcPr>
          <w:p w14:paraId="2330F68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0.913</w:t>
            </w:r>
          </w:p>
        </w:tc>
        <w:tc>
          <w:tcPr>
            <w:tcW w:w="620" w:type="dxa"/>
            <w:vAlign w:val="center"/>
          </w:tcPr>
          <w:p w14:paraId="2330F68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0.361</w:t>
            </w:r>
          </w:p>
        </w:tc>
        <w:tc>
          <w:tcPr>
            <w:tcW w:w="756" w:type="dxa"/>
            <w:vAlign w:val="center"/>
          </w:tcPr>
          <w:p w14:paraId="2330F686"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−0.130</w:t>
            </w:r>
          </w:p>
        </w:tc>
        <w:tc>
          <w:tcPr>
            <w:tcW w:w="625" w:type="dxa"/>
            <w:vAlign w:val="center"/>
          </w:tcPr>
          <w:p w14:paraId="2330F68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0.357</w:t>
            </w:r>
          </w:p>
        </w:tc>
      </w:tr>
    </w:tbl>
    <w:p w14:paraId="2330F689" w14:textId="77777777" w:rsidR="007B149A" w:rsidRDefault="007B149A">
      <w:pPr>
        <w:spacing w:line="360" w:lineRule="auto"/>
        <w:rPr>
          <w:rFonts w:ascii="Times New Roman" w:eastAsia="Times New Roman" w:hAnsi="Times New Roman" w:cs="Times New Roman"/>
        </w:rPr>
      </w:pPr>
    </w:p>
    <w:p w14:paraId="2330F68A" w14:textId="77777777" w:rsidR="007B149A" w:rsidRDefault="000E054D">
      <w:pPr>
        <w:spacing w:after="120" w:line="360" w:lineRule="auto"/>
        <w:rPr>
          <w:rFonts w:ascii="Times New Roman" w:eastAsia="Times New Roman" w:hAnsi="Times New Roman" w:cs="Times New Roman"/>
        </w:rPr>
      </w:pPr>
      <w:r>
        <w:rPr>
          <w:b/>
        </w:rPr>
        <w:t>Table 7.</w:t>
      </w:r>
      <w:r>
        <w:t xml:space="preserve"> Output of fixed effects model examining the effect of size dimorphism on sex differences in nitrogen mean, in gape-limited carnivores, weighting studies only by the inverse of within-study variance. </w:t>
      </w:r>
    </w:p>
    <w:tbl>
      <w:tblPr>
        <w:tblStyle w:val="a6"/>
        <w:tblW w:w="8054" w:type="dxa"/>
        <w:jc w:val="center"/>
        <w:tblBorders>
          <w:insideH w:val="single" w:sz="4" w:space="0" w:color="000000"/>
          <w:insideV w:val="single" w:sz="4" w:space="0" w:color="000000"/>
        </w:tblBorders>
        <w:tblLayout w:type="fixed"/>
        <w:tblLook w:val="0400" w:firstRow="0" w:lastRow="0" w:firstColumn="0" w:lastColumn="0" w:noHBand="0" w:noVBand="1"/>
      </w:tblPr>
      <w:tblGrid>
        <w:gridCol w:w="1859"/>
        <w:gridCol w:w="1021"/>
        <w:gridCol w:w="1035"/>
        <w:gridCol w:w="1092"/>
        <w:gridCol w:w="951"/>
        <w:gridCol w:w="650"/>
        <w:gridCol w:w="792"/>
        <w:gridCol w:w="654"/>
      </w:tblGrid>
      <w:tr w:rsidR="007B149A" w14:paraId="2330F68C" w14:textId="77777777">
        <w:trPr>
          <w:jc w:val="center"/>
        </w:trPr>
        <w:tc>
          <w:tcPr>
            <w:tcW w:w="8054" w:type="dxa"/>
            <w:gridSpan w:val="8"/>
            <w:vAlign w:val="center"/>
          </w:tcPr>
          <w:p w14:paraId="2330F68B"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Non-Gape Limited Carnivores: Nitrogen Mean Difference ~ Size Dimorphism</w:t>
            </w:r>
          </w:p>
        </w:tc>
      </w:tr>
      <w:tr w:rsidR="007B149A" w14:paraId="2330F696" w14:textId="77777777">
        <w:trPr>
          <w:jc w:val="center"/>
        </w:trPr>
        <w:tc>
          <w:tcPr>
            <w:tcW w:w="1859" w:type="dxa"/>
            <w:vAlign w:val="center"/>
          </w:tcPr>
          <w:p w14:paraId="2330F68D"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1021" w:type="dxa"/>
            <w:vAlign w:val="center"/>
          </w:tcPr>
          <w:p w14:paraId="2330F68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1035" w:type="dxa"/>
            <w:vAlign w:val="center"/>
          </w:tcPr>
          <w:p w14:paraId="2330F68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92" w:type="dxa"/>
            <w:vAlign w:val="center"/>
          </w:tcPr>
          <w:p w14:paraId="2330F69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9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51" w:type="dxa"/>
            <w:vAlign w:val="center"/>
          </w:tcPr>
          <w:p w14:paraId="2330F69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50" w:type="dxa"/>
            <w:vAlign w:val="center"/>
          </w:tcPr>
          <w:p w14:paraId="2330F693"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92" w:type="dxa"/>
            <w:vAlign w:val="center"/>
          </w:tcPr>
          <w:p w14:paraId="2330F69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54" w:type="dxa"/>
            <w:vAlign w:val="center"/>
          </w:tcPr>
          <w:p w14:paraId="2330F69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9F" w14:textId="77777777">
        <w:trPr>
          <w:jc w:val="center"/>
        </w:trPr>
        <w:tc>
          <w:tcPr>
            <w:tcW w:w="1859" w:type="dxa"/>
            <w:vAlign w:val="center"/>
          </w:tcPr>
          <w:p w14:paraId="2330F69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1021" w:type="dxa"/>
            <w:vAlign w:val="center"/>
          </w:tcPr>
          <w:p w14:paraId="2330F69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1035" w:type="dxa"/>
            <w:vAlign w:val="center"/>
          </w:tcPr>
          <w:p w14:paraId="2330F69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0.226</w:t>
            </w:r>
          </w:p>
        </w:tc>
        <w:tc>
          <w:tcPr>
            <w:tcW w:w="1092" w:type="dxa"/>
            <w:vAlign w:val="center"/>
          </w:tcPr>
          <w:p w14:paraId="2330F69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0.087</w:t>
            </w:r>
          </w:p>
        </w:tc>
        <w:tc>
          <w:tcPr>
            <w:tcW w:w="951" w:type="dxa"/>
            <w:vAlign w:val="center"/>
          </w:tcPr>
          <w:p w14:paraId="2330F69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2.601</w:t>
            </w:r>
          </w:p>
        </w:tc>
        <w:tc>
          <w:tcPr>
            <w:tcW w:w="650" w:type="dxa"/>
            <w:vAlign w:val="center"/>
          </w:tcPr>
          <w:p w14:paraId="2330F69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0.009</w:t>
            </w:r>
          </w:p>
        </w:tc>
        <w:tc>
          <w:tcPr>
            <w:tcW w:w="792" w:type="dxa"/>
            <w:vAlign w:val="center"/>
          </w:tcPr>
          <w:p w14:paraId="2330F69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0.056</w:t>
            </w:r>
          </w:p>
        </w:tc>
        <w:tc>
          <w:tcPr>
            <w:tcW w:w="654" w:type="dxa"/>
            <w:vAlign w:val="center"/>
          </w:tcPr>
          <w:p w14:paraId="2330F69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0.397</w:t>
            </w:r>
          </w:p>
        </w:tc>
      </w:tr>
      <w:tr w:rsidR="007B149A" w14:paraId="2330F6A8" w14:textId="77777777">
        <w:trPr>
          <w:jc w:val="center"/>
        </w:trPr>
        <w:tc>
          <w:tcPr>
            <w:tcW w:w="1859" w:type="dxa"/>
            <w:vAlign w:val="center"/>
          </w:tcPr>
          <w:p w14:paraId="2330F6A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1021" w:type="dxa"/>
            <w:vAlign w:val="center"/>
          </w:tcPr>
          <w:p w14:paraId="2330F6A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1035" w:type="dxa"/>
            <w:vAlign w:val="center"/>
          </w:tcPr>
          <w:p w14:paraId="2330F6A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0.054</w:t>
            </w:r>
          </w:p>
        </w:tc>
        <w:tc>
          <w:tcPr>
            <w:tcW w:w="1092" w:type="dxa"/>
            <w:vAlign w:val="center"/>
          </w:tcPr>
          <w:p w14:paraId="2330F6A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0.066</w:t>
            </w:r>
          </w:p>
        </w:tc>
        <w:tc>
          <w:tcPr>
            <w:tcW w:w="951" w:type="dxa"/>
            <w:vAlign w:val="center"/>
          </w:tcPr>
          <w:p w14:paraId="2330F6A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0.821</w:t>
            </w:r>
          </w:p>
        </w:tc>
        <w:tc>
          <w:tcPr>
            <w:tcW w:w="650" w:type="dxa"/>
            <w:vAlign w:val="center"/>
          </w:tcPr>
          <w:p w14:paraId="2330F6A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0.412</w:t>
            </w:r>
          </w:p>
        </w:tc>
        <w:tc>
          <w:tcPr>
            <w:tcW w:w="792" w:type="dxa"/>
            <w:vAlign w:val="center"/>
          </w:tcPr>
          <w:p w14:paraId="2330F6A6"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−0.075</w:t>
            </w:r>
          </w:p>
        </w:tc>
        <w:tc>
          <w:tcPr>
            <w:tcW w:w="654" w:type="dxa"/>
            <w:vAlign w:val="center"/>
          </w:tcPr>
          <w:p w14:paraId="2330F6A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0.182</w:t>
            </w:r>
          </w:p>
        </w:tc>
      </w:tr>
    </w:tbl>
    <w:p w14:paraId="2330F6A9" w14:textId="77777777" w:rsidR="007B149A" w:rsidRDefault="007B149A">
      <w:pPr>
        <w:spacing w:line="360" w:lineRule="auto"/>
        <w:rPr>
          <w:rFonts w:ascii="Times New Roman" w:eastAsia="Times New Roman" w:hAnsi="Times New Roman" w:cs="Times New Roman"/>
        </w:rPr>
      </w:pPr>
    </w:p>
    <w:p w14:paraId="2330F6AA" w14:textId="77777777" w:rsidR="007B149A" w:rsidRDefault="000E054D">
      <w:pPr>
        <w:spacing w:after="120" w:line="360" w:lineRule="auto"/>
        <w:rPr>
          <w:rFonts w:ascii="Times New Roman" w:eastAsia="Times New Roman" w:hAnsi="Times New Roman" w:cs="Times New Roman"/>
        </w:rPr>
      </w:pPr>
      <w:r>
        <w:rPr>
          <w:b/>
        </w:rPr>
        <w:t>Table 8.</w:t>
      </w:r>
      <w:r>
        <w:t xml:space="preserve"> Output of fixed effects model examining the effect of size dimorphism on sex differences in nitrogen mean, in non-gape-limited carnivores, weighting studies only by the inverse of within-study variance. </w:t>
      </w:r>
    </w:p>
    <w:p w14:paraId="2330F6AB" w14:textId="77777777" w:rsidR="007B149A" w:rsidRDefault="000E054D">
      <w:pPr>
        <w:spacing w:before="200" w:after="0" w:line="360" w:lineRule="auto"/>
        <w:rPr>
          <w:rFonts w:ascii="Times New Roman" w:eastAsia="Times New Roman" w:hAnsi="Times New Roman" w:cs="Times New Roman"/>
          <w:b/>
          <w:sz w:val="36"/>
          <w:szCs w:val="36"/>
        </w:rPr>
      </w:pPr>
      <w:r>
        <w:rPr>
          <w:b/>
          <w:color w:val="4472C4"/>
          <w:sz w:val="32"/>
          <w:szCs w:val="32"/>
        </w:rPr>
        <w:t>High Leverage Data Points</w:t>
      </w:r>
    </w:p>
    <w:p w14:paraId="2330F6AC" w14:textId="77777777" w:rsidR="007B149A" w:rsidRDefault="000E054D">
      <w:pPr>
        <w:spacing w:before="180" w:after="180" w:line="360" w:lineRule="auto"/>
        <w:rPr>
          <w:rFonts w:ascii="Times New Roman" w:eastAsia="Times New Roman" w:hAnsi="Times New Roman" w:cs="Times New Roman"/>
        </w:rPr>
      </w:pPr>
      <w:r>
        <w:t xml:space="preserve">The outcome of meta-analyses may also be adversely impacted by outliers/ high leverage data points that skew model estimates. We therefore used Cook’s leave-one-out analysis to identify high leverage data points that may have an unduly large effect on our models. Several approaches are possible for identifying data points as high leverage based on Cook’s scores, and we chose to assign those with a Cook’s score over three times the mean score, for data points in a given model, as potentially high leverage. We found this approach to be the most conservative, by identifying the highest number of points as possibly high leverage. We then </w:t>
      </w:r>
      <w:r>
        <w:lastRenderedPageBreak/>
        <w:t>removed these data from the models for which they may be high leverage and re-ran each model.</w:t>
      </w:r>
    </w:p>
    <w:p w14:paraId="2330F6AD" w14:textId="77777777" w:rsidR="007B149A" w:rsidRDefault="000E054D">
      <w:pPr>
        <w:spacing w:before="180" w:after="180" w:line="360" w:lineRule="auto"/>
        <w:rPr>
          <w:rFonts w:ascii="Times New Roman" w:eastAsia="Times New Roman" w:hAnsi="Times New Roman" w:cs="Times New Roman"/>
        </w:rPr>
      </w:pPr>
      <w:r>
        <w:t>In models examining only the effect of size dimorphism on sex differences in nitrogen mean (Table 9), nitrogen variation (Table 10), carbon mean (Table 11) and carbon variation (Table 12), removing high leverage data points did alter estimated effect sizes, but did not change the qualitative conclusions we could draw from the models. When including dietary class as a predictor, alongside size dimorphism, the effect size changed (Table 13), but our qualitative conclusions did not. When including species mean size as an additional predictor, removal of high leverage data points resulted in the confidence intervals of the interaction between size dimorphism and mean size overlapping zero, in contrast to the original model (Table 14). However, as we had already concluded the effect of this interaction to have little meaning, removing high leverage data points in this model did not change our qualitative conclusions. In models analyzing the impact of size dimorphism on sex differences in nitrogen mean in gape-limited (Table 15) and non-gape-limited carnivores (Table 16), removing high leverage data points also did not change our qualitative conclusions.</w:t>
      </w:r>
    </w:p>
    <w:tbl>
      <w:tblPr>
        <w:tblStyle w:val="a7"/>
        <w:tblW w:w="8025" w:type="dxa"/>
        <w:jc w:val="center"/>
        <w:tblBorders>
          <w:insideH w:val="single" w:sz="4" w:space="0" w:color="000000"/>
          <w:insideV w:val="single" w:sz="4" w:space="0" w:color="000000"/>
        </w:tblBorders>
        <w:tblLayout w:type="fixed"/>
        <w:tblLook w:val="0400" w:firstRow="0" w:lastRow="0" w:firstColumn="0" w:lastColumn="0" w:noHBand="0" w:noVBand="1"/>
      </w:tblPr>
      <w:tblGrid>
        <w:gridCol w:w="1815"/>
        <w:gridCol w:w="1035"/>
        <w:gridCol w:w="1200"/>
        <w:gridCol w:w="1035"/>
        <w:gridCol w:w="900"/>
        <w:gridCol w:w="795"/>
        <w:gridCol w:w="615"/>
        <w:gridCol w:w="630"/>
      </w:tblGrid>
      <w:tr w:rsidR="007B149A" w14:paraId="2330F6AF" w14:textId="77777777">
        <w:trPr>
          <w:jc w:val="center"/>
        </w:trPr>
        <w:tc>
          <w:tcPr>
            <w:tcW w:w="8025" w:type="dxa"/>
            <w:gridSpan w:val="8"/>
            <w:vAlign w:val="center"/>
          </w:tcPr>
          <w:p w14:paraId="2330F6A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w:t>
            </w:r>
          </w:p>
        </w:tc>
      </w:tr>
      <w:tr w:rsidR="007B149A" w14:paraId="2330F6B9" w14:textId="77777777">
        <w:trPr>
          <w:jc w:val="center"/>
        </w:trPr>
        <w:tc>
          <w:tcPr>
            <w:tcW w:w="1815" w:type="dxa"/>
            <w:vAlign w:val="center"/>
          </w:tcPr>
          <w:p w14:paraId="2330F6B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1035" w:type="dxa"/>
            <w:vAlign w:val="center"/>
          </w:tcPr>
          <w:p w14:paraId="2330F6B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1200" w:type="dxa"/>
            <w:vAlign w:val="center"/>
          </w:tcPr>
          <w:p w14:paraId="2330F6B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35" w:type="dxa"/>
            <w:vAlign w:val="center"/>
          </w:tcPr>
          <w:p w14:paraId="2330F6B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B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0" w:type="dxa"/>
            <w:vAlign w:val="center"/>
          </w:tcPr>
          <w:p w14:paraId="2330F6B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795" w:type="dxa"/>
            <w:vAlign w:val="center"/>
          </w:tcPr>
          <w:p w14:paraId="2330F6B6"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615" w:type="dxa"/>
            <w:vAlign w:val="center"/>
          </w:tcPr>
          <w:p w14:paraId="2330F6B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30" w:type="dxa"/>
            <w:vAlign w:val="center"/>
          </w:tcPr>
          <w:p w14:paraId="2330F6B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C2" w14:textId="77777777">
        <w:trPr>
          <w:jc w:val="center"/>
        </w:trPr>
        <w:tc>
          <w:tcPr>
            <w:tcW w:w="1815" w:type="dxa"/>
            <w:vAlign w:val="center"/>
          </w:tcPr>
          <w:p w14:paraId="2330F6B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1035" w:type="dxa"/>
            <w:vAlign w:val="center"/>
          </w:tcPr>
          <w:p w14:paraId="2330F6B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1200" w:type="dxa"/>
            <w:vAlign w:val="center"/>
          </w:tcPr>
          <w:p w14:paraId="2330F6B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0.077</w:t>
            </w:r>
          </w:p>
        </w:tc>
        <w:tc>
          <w:tcPr>
            <w:tcW w:w="1035" w:type="dxa"/>
            <w:vAlign w:val="center"/>
          </w:tcPr>
          <w:p w14:paraId="2330F6B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0.039</w:t>
            </w:r>
          </w:p>
        </w:tc>
        <w:tc>
          <w:tcPr>
            <w:tcW w:w="900" w:type="dxa"/>
            <w:vAlign w:val="center"/>
          </w:tcPr>
          <w:p w14:paraId="2330F6B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1.980</w:t>
            </w:r>
          </w:p>
        </w:tc>
        <w:tc>
          <w:tcPr>
            <w:tcW w:w="795" w:type="dxa"/>
            <w:vAlign w:val="center"/>
          </w:tcPr>
          <w:p w14:paraId="2330F6B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0.048</w:t>
            </w:r>
          </w:p>
        </w:tc>
        <w:tc>
          <w:tcPr>
            <w:tcW w:w="615" w:type="dxa"/>
            <w:vAlign w:val="center"/>
          </w:tcPr>
          <w:p w14:paraId="2330F6C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0.001</w:t>
            </w:r>
          </w:p>
        </w:tc>
        <w:tc>
          <w:tcPr>
            <w:tcW w:w="630" w:type="dxa"/>
            <w:vAlign w:val="center"/>
          </w:tcPr>
          <w:p w14:paraId="2330F6C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0.153</w:t>
            </w:r>
          </w:p>
        </w:tc>
      </w:tr>
      <w:tr w:rsidR="007B149A" w14:paraId="2330F6CB" w14:textId="77777777">
        <w:trPr>
          <w:jc w:val="center"/>
        </w:trPr>
        <w:tc>
          <w:tcPr>
            <w:tcW w:w="1815" w:type="dxa"/>
            <w:vAlign w:val="center"/>
          </w:tcPr>
          <w:p w14:paraId="2330F6C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1035" w:type="dxa"/>
            <w:vAlign w:val="center"/>
          </w:tcPr>
          <w:p w14:paraId="2330F6C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1200" w:type="dxa"/>
            <w:vAlign w:val="center"/>
          </w:tcPr>
          <w:p w14:paraId="2330F6C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0.192</w:t>
            </w:r>
          </w:p>
        </w:tc>
        <w:tc>
          <w:tcPr>
            <w:tcW w:w="1035" w:type="dxa"/>
            <w:vAlign w:val="center"/>
          </w:tcPr>
          <w:p w14:paraId="2330F6C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0.053</w:t>
            </w:r>
          </w:p>
        </w:tc>
        <w:tc>
          <w:tcPr>
            <w:tcW w:w="900" w:type="dxa"/>
            <w:vAlign w:val="center"/>
          </w:tcPr>
          <w:p w14:paraId="2330F6C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3.638</w:t>
            </w:r>
          </w:p>
        </w:tc>
        <w:tc>
          <w:tcPr>
            <w:tcW w:w="795" w:type="dxa"/>
            <w:vAlign w:val="center"/>
          </w:tcPr>
          <w:p w14:paraId="2330F6C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&lt;0.001</w:t>
            </w:r>
          </w:p>
        </w:tc>
        <w:tc>
          <w:tcPr>
            <w:tcW w:w="615" w:type="dxa"/>
            <w:vAlign w:val="center"/>
          </w:tcPr>
          <w:p w14:paraId="2330F6C9"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0.089</w:t>
            </w:r>
          </w:p>
        </w:tc>
        <w:tc>
          <w:tcPr>
            <w:tcW w:w="630" w:type="dxa"/>
            <w:vAlign w:val="center"/>
          </w:tcPr>
          <w:p w14:paraId="2330F6C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0.296</w:t>
            </w:r>
          </w:p>
        </w:tc>
      </w:tr>
    </w:tbl>
    <w:p w14:paraId="2330F6CC" w14:textId="77777777" w:rsidR="007B149A" w:rsidRDefault="007B149A">
      <w:pPr>
        <w:spacing w:line="360" w:lineRule="auto"/>
        <w:rPr>
          <w:rFonts w:ascii="Times New Roman" w:eastAsia="Times New Roman" w:hAnsi="Times New Roman" w:cs="Times New Roman"/>
        </w:rPr>
      </w:pPr>
    </w:p>
    <w:p w14:paraId="2330F6CD" w14:textId="77777777" w:rsidR="007B149A" w:rsidRDefault="000E054D">
      <w:pPr>
        <w:spacing w:after="120" w:line="360" w:lineRule="auto"/>
        <w:rPr>
          <w:rFonts w:ascii="Times New Roman" w:eastAsia="Times New Roman" w:hAnsi="Times New Roman" w:cs="Times New Roman"/>
        </w:rPr>
      </w:pPr>
      <w:r>
        <w:rPr>
          <w:b/>
        </w:rPr>
        <w:t>Table 10.</w:t>
      </w:r>
      <w:r>
        <w:t xml:space="preserve"> Output of meta-regression model examining the effect of size dimorphism on sex differences in nitrogen mean, with high leverage data points removed. </w:t>
      </w:r>
    </w:p>
    <w:tbl>
      <w:tblPr>
        <w:tblStyle w:val="a8"/>
        <w:tblW w:w="7682"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756"/>
        <w:gridCol w:w="625"/>
      </w:tblGrid>
      <w:tr w:rsidR="007B149A" w14:paraId="2330F6CF" w14:textId="77777777">
        <w:trPr>
          <w:jc w:val="center"/>
        </w:trPr>
        <w:tc>
          <w:tcPr>
            <w:tcW w:w="7682" w:type="dxa"/>
            <w:gridSpan w:val="8"/>
            <w:vAlign w:val="center"/>
          </w:tcPr>
          <w:p w14:paraId="2330F6C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Variation Difference ~ Size Dimorphism</w:t>
            </w:r>
          </w:p>
        </w:tc>
      </w:tr>
      <w:tr w:rsidR="007B149A" w14:paraId="2330F6D9" w14:textId="77777777">
        <w:trPr>
          <w:jc w:val="center"/>
        </w:trPr>
        <w:tc>
          <w:tcPr>
            <w:tcW w:w="1772" w:type="dxa"/>
            <w:vAlign w:val="center"/>
          </w:tcPr>
          <w:p w14:paraId="2330F6D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6D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6D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6D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D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6D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6D6"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6D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6D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6E2" w14:textId="77777777">
        <w:trPr>
          <w:jc w:val="center"/>
        </w:trPr>
        <w:tc>
          <w:tcPr>
            <w:tcW w:w="1772" w:type="dxa"/>
            <w:vAlign w:val="center"/>
          </w:tcPr>
          <w:p w14:paraId="2330F6D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lastRenderedPageBreak/>
              <w:t>Intercept</w:t>
            </w:r>
          </w:p>
        </w:tc>
        <w:tc>
          <w:tcPr>
            <w:tcW w:w="974" w:type="dxa"/>
            <w:vAlign w:val="center"/>
          </w:tcPr>
          <w:p w14:paraId="2330F6D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D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0.001</w:t>
            </w:r>
          </w:p>
        </w:tc>
        <w:tc>
          <w:tcPr>
            <w:tcW w:w="1041" w:type="dxa"/>
            <w:vAlign w:val="center"/>
          </w:tcPr>
          <w:p w14:paraId="2330F6D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0.020</w:t>
            </w:r>
          </w:p>
        </w:tc>
        <w:tc>
          <w:tcPr>
            <w:tcW w:w="907" w:type="dxa"/>
            <w:vAlign w:val="center"/>
          </w:tcPr>
          <w:p w14:paraId="2330F6D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0.034</w:t>
            </w:r>
          </w:p>
        </w:tc>
        <w:tc>
          <w:tcPr>
            <w:tcW w:w="620" w:type="dxa"/>
            <w:vAlign w:val="center"/>
          </w:tcPr>
          <w:p w14:paraId="2330F6D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0.972</w:t>
            </w:r>
          </w:p>
        </w:tc>
        <w:tc>
          <w:tcPr>
            <w:tcW w:w="756" w:type="dxa"/>
            <w:vAlign w:val="center"/>
          </w:tcPr>
          <w:p w14:paraId="2330F6E0"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−0.039</w:t>
            </w:r>
          </w:p>
        </w:tc>
        <w:tc>
          <w:tcPr>
            <w:tcW w:w="625" w:type="dxa"/>
            <w:vAlign w:val="center"/>
          </w:tcPr>
          <w:p w14:paraId="2330F6E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0.041</w:t>
            </w:r>
          </w:p>
        </w:tc>
      </w:tr>
      <w:tr w:rsidR="007B149A" w14:paraId="2330F6EB" w14:textId="77777777">
        <w:trPr>
          <w:jc w:val="center"/>
        </w:trPr>
        <w:tc>
          <w:tcPr>
            <w:tcW w:w="1772" w:type="dxa"/>
            <w:vAlign w:val="center"/>
          </w:tcPr>
          <w:p w14:paraId="2330F6E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6E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E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0.000</w:t>
            </w:r>
          </w:p>
        </w:tc>
        <w:tc>
          <w:tcPr>
            <w:tcW w:w="1041" w:type="dxa"/>
            <w:vAlign w:val="center"/>
          </w:tcPr>
          <w:p w14:paraId="2330F6E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0.032</w:t>
            </w:r>
          </w:p>
        </w:tc>
        <w:tc>
          <w:tcPr>
            <w:tcW w:w="907" w:type="dxa"/>
            <w:vAlign w:val="center"/>
          </w:tcPr>
          <w:p w14:paraId="2330F6E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0.001</w:t>
            </w:r>
          </w:p>
        </w:tc>
        <w:tc>
          <w:tcPr>
            <w:tcW w:w="620" w:type="dxa"/>
            <w:vAlign w:val="center"/>
          </w:tcPr>
          <w:p w14:paraId="2330F6E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0.999</w:t>
            </w:r>
          </w:p>
        </w:tc>
        <w:tc>
          <w:tcPr>
            <w:tcW w:w="756" w:type="dxa"/>
            <w:vAlign w:val="center"/>
          </w:tcPr>
          <w:p w14:paraId="2330F6E9"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−0.063</w:t>
            </w:r>
          </w:p>
        </w:tc>
        <w:tc>
          <w:tcPr>
            <w:tcW w:w="625" w:type="dxa"/>
            <w:vAlign w:val="center"/>
          </w:tcPr>
          <w:p w14:paraId="2330F6E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0.063</w:t>
            </w:r>
          </w:p>
        </w:tc>
      </w:tr>
    </w:tbl>
    <w:p w14:paraId="2330F6EC" w14:textId="77777777" w:rsidR="007B149A" w:rsidRDefault="007B149A">
      <w:pPr>
        <w:spacing w:after="120" w:line="360" w:lineRule="auto"/>
        <w:rPr>
          <w:rFonts w:ascii="Times New Roman" w:eastAsia="Times New Roman" w:hAnsi="Times New Roman" w:cs="Times New Roman"/>
        </w:rPr>
      </w:pPr>
    </w:p>
    <w:p w14:paraId="2330F6ED" w14:textId="77777777" w:rsidR="007B149A" w:rsidRDefault="000E054D">
      <w:pPr>
        <w:spacing w:after="120" w:line="360" w:lineRule="auto"/>
        <w:rPr>
          <w:rFonts w:ascii="Times New Roman" w:eastAsia="Times New Roman" w:hAnsi="Times New Roman" w:cs="Times New Roman"/>
        </w:rPr>
      </w:pPr>
      <w:r>
        <w:rPr>
          <w:b/>
        </w:rPr>
        <w:t>Table 11.</w:t>
      </w:r>
      <w:r>
        <w:t xml:space="preserve"> Output of meta-regression model examining the effect of size dimorphism on sex differences in nitrogen variation, with high leverage data points removed. </w:t>
      </w:r>
    </w:p>
    <w:tbl>
      <w:tblPr>
        <w:tblStyle w:val="a9"/>
        <w:tblW w:w="7682"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756"/>
        <w:gridCol w:w="625"/>
      </w:tblGrid>
      <w:tr w:rsidR="007B149A" w14:paraId="2330F6EF" w14:textId="77777777">
        <w:trPr>
          <w:jc w:val="center"/>
        </w:trPr>
        <w:tc>
          <w:tcPr>
            <w:tcW w:w="7682" w:type="dxa"/>
            <w:gridSpan w:val="8"/>
            <w:vAlign w:val="center"/>
          </w:tcPr>
          <w:p w14:paraId="2330F6E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Carbon Mean Difference ~ Size Dimorphism</w:t>
            </w:r>
          </w:p>
        </w:tc>
      </w:tr>
      <w:tr w:rsidR="007B149A" w14:paraId="2330F6F9" w14:textId="77777777">
        <w:trPr>
          <w:jc w:val="center"/>
        </w:trPr>
        <w:tc>
          <w:tcPr>
            <w:tcW w:w="1772" w:type="dxa"/>
            <w:vAlign w:val="center"/>
          </w:tcPr>
          <w:p w14:paraId="2330F6F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6F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6F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6F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6F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6F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6F6"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6F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6F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702" w14:textId="77777777">
        <w:trPr>
          <w:jc w:val="center"/>
        </w:trPr>
        <w:tc>
          <w:tcPr>
            <w:tcW w:w="1772" w:type="dxa"/>
            <w:vAlign w:val="center"/>
          </w:tcPr>
          <w:p w14:paraId="2330F6F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6F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6F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0.022</w:t>
            </w:r>
          </w:p>
        </w:tc>
        <w:tc>
          <w:tcPr>
            <w:tcW w:w="1041" w:type="dxa"/>
            <w:vAlign w:val="center"/>
          </w:tcPr>
          <w:p w14:paraId="2330F6F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0.030</w:t>
            </w:r>
          </w:p>
        </w:tc>
        <w:tc>
          <w:tcPr>
            <w:tcW w:w="907" w:type="dxa"/>
            <w:vAlign w:val="center"/>
          </w:tcPr>
          <w:p w14:paraId="2330F6F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0.722</w:t>
            </w:r>
          </w:p>
        </w:tc>
        <w:tc>
          <w:tcPr>
            <w:tcW w:w="620" w:type="dxa"/>
            <w:vAlign w:val="center"/>
          </w:tcPr>
          <w:p w14:paraId="2330F6F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0.470</w:t>
            </w:r>
          </w:p>
        </w:tc>
        <w:tc>
          <w:tcPr>
            <w:tcW w:w="756" w:type="dxa"/>
            <w:vAlign w:val="center"/>
          </w:tcPr>
          <w:p w14:paraId="2330F700"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−0.037</w:t>
            </w:r>
          </w:p>
        </w:tc>
        <w:tc>
          <w:tcPr>
            <w:tcW w:w="625" w:type="dxa"/>
            <w:vAlign w:val="center"/>
          </w:tcPr>
          <w:p w14:paraId="2330F70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0.080</w:t>
            </w:r>
          </w:p>
        </w:tc>
      </w:tr>
      <w:tr w:rsidR="007B149A" w14:paraId="2330F70B" w14:textId="77777777">
        <w:trPr>
          <w:jc w:val="center"/>
        </w:trPr>
        <w:tc>
          <w:tcPr>
            <w:tcW w:w="1772" w:type="dxa"/>
            <w:vAlign w:val="center"/>
          </w:tcPr>
          <w:p w14:paraId="2330F70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70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0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0.064</w:t>
            </w:r>
          </w:p>
        </w:tc>
        <w:tc>
          <w:tcPr>
            <w:tcW w:w="1041" w:type="dxa"/>
            <w:vAlign w:val="center"/>
          </w:tcPr>
          <w:p w14:paraId="2330F70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0.039</w:t>
            </w:r>
          </w:p>
        </w:tc>
        <w:tc>
          <w:tcPr>
            <w:tcW w:w="907" w:type="dxa"/>
            <w:vAlign w:val="center"/>
          </w:tcPr>
          <w:p w14:paraId="2330F70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1.655</w:t>
            </w:r>
          </w:p>
        </w:tc>
        <w:tc>
          <w:tcPr>
            <w:tcW w:w="620" w:type="dxa"/>
            <w:vAlign w:val="center"/>
          </w:tcPr>
          <w:p w14:paraId="2330F70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0.098</w:t>
            </w:r>
          </w:p>
        </w:tc>
        <w:tc>
          <w:tcPr>
            <w:tcW w:w="756" w:type="dxa"/>
            <w:vAlign w:val="center"/>
          </w:tcPr>
          <w:p w14:paraId="2330F709"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−0.012</w:t>
            </w:r>
          </w:p>
        </w:tc>
        <w:tc>
          <w:tcPr>
            <w:tcW w:w="625" w:type="dxa"/>
            <w:vAlign w:val="center"/>
          </w:tcPr>
          <w:p w14:paraId="2330F70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0.140</w:t>
            </w:r>
          </w:p>
        </w:tc>
      </w:tr>
    </w:tbl>
    <w:p w14:paraId="2330F70C" w14:textId="77777777" w:rsidR="007B149A" w:rsidRDefault="007B149A">
      <w:pPr>
        <w:spacing w:line="360" w:lineRule="auto"/>
        <w:rPr>
          <w:rFonts w:ascii="Times New Roman" w:eastAsia="Times New Roman" w:hAnsi="Times New Roman" w:cs="Times New Roman"/>
        </w:rPr>
      </w:pPr>
    </w:p>
    <w:p w14:paraId="2330F70D" w14:textId="77777777" w:rsidR="007B149A" w:rsidRDefault="000E054D">
      <w:pPr>
        <w:spacing w:after="120" w:line="360" w:lineRule="auto"/>
        <w:rPr>
          <w:rFonts w:ascii="Times New Roman" w:eastAsia="Times New Roman" w:hAnsi="Times New Roman" w:cs="Times New Roman"/>
        </w:rPr>
      </w:pPr>
      <w:r>
        <w:rPr>
          <w:b/>
        </w:rPr>
        <w:t>Table 12.</w:t>
      </w:r>
      <w:r>
        <w:t xml:space="preserve"> Output of meta-regression model examining the effect of size dimorphism on sex differences in carbon mean, with high leverage data points removed. </w:t>
      </w:r>
    </w:p>
    <w:tbl>
      <w:tblPr>
        <w:tblStyle w:val="aa"/>
        <w:tblW w:w="7682"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756"/>
        <w:gridCol w:w="625"/>
      </w:tblGrid>
      <w:tr w:rsidR="007B149A" w14:paraId="2330F70F" w14:textId="77777777">
        <w:trPr>
          <w:jc w:val="center"/>
        </w:trPr>
        <w:tc>
          <w:tcPr>
            <w:tcW w:w="7682" w:type="dxa"/>
            <w:gridSpan w:val="8"/>
            <w:vAlign w:val="center"/>
          </w:tcPr>
          <w:p w14:paraId="2330F70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Carbon Variation Difference ~ Size Dimorphism</w:t>
            </w:r>
          </w:p>
        </w:tc>
      </w:tr>
      <w:tr w:rsidR="007B149A" w14:paraId="2330F719" w14:textId="77777777">
        <w:trPr>
          <w:jc w:val="center"/>
        </w:trPr>
        <w:tc>
          <w:tcPr>
            <w:tcW w:w="1772" w:type="dxa"/>
            <w:vAlign w:val="center"/>
          </w:tcPr>
          <w:p w14:paraId="2330F710"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711"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712"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713"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714"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71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716"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71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71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722" w14:textId="77777777">
        <w:trPr>
          <w:jc w:val="center"/>
        </w:trPr>
        <w:tc>
          <w:tcPr>
            <w:tcW w:w="1772" w:type="dxa"/>
            <w:vAlign w:val="center"/>
          </w:tcPr>
          <w:p w14:paraId="2330F71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71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1C"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−0.003</w:t>
            </w:r>
          </w:p>
        </w:tc>
        <w:tc>
          <w:tcPr>
            <w:tcW w:w="1041" w:type="dxa"/>
            <w:vAlign w:val="center"/>
          </w:tcPr>
          <w:p w14:paraId="2330F71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0.027</w:t>
            </w:r>
          </w:p>
        </w:tc>
        <w:tc>
          <w:tcPr>
            <w:tcW w:w="907" w:type="dxa"/>
            <w:vAlign w:val="center"/>
          </w:tcPr>
          <w:p w14:paraId="2330F71E"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−0.107</w:t>
            </w:r>
          </w:p>
        </w:tc>
        <w:tc>
          <w:tcPr>
            <w:tcW w:w="620" w:type="dxa"/>
            <w:vAlign w:val="center"/>
          </w:tcPr>
          <w:p w14:paraId="2330F71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0.915</w:t>
            </w:r>
          </w:p>
        </w:tc>
        <w:tc>
          <w:tcPr>
            <w:tcW w:w="756" w:type="dxa"/>
            <w:vAlign w:val="center"/>
          </w:tcPr>
          <w:p w14:paraId="2330F720"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−0.055</w:t>
            </w:r>
          </w:p>
        </w:tc>
        <w:tc>
          <w:tcPr>
            <w:tcW w:w="625" w:type="dxa"/>
            <w:vAlign w:val="center"/>
          </w:tcPr>
          <w:p w14:paraId="2330F72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0.049</w:t>
            </w:r>
          </w:p>
        </w:tc>
      </w:tr>
      <w:tr w:rsidR="007B149A" w14:paraId="2330F72B" w14:textId="77777777">
        <w:trPr>
          <w:jc w:val="center"/>
        </w:trPr>
        <w:tc>
          <w:tcPr>
            <w:tcW w:w="1772" w:type="dxa"/>
            <w:vAlign w:val="center"/>
          </w:tcPr>
          <w:p w14:paraId="2330F72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72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2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0.031</w:t>
            </w:r>
          </w:p>
        </w:tc>
        <w:tc>
          <w:tcPr>
            <w:tcW w:w="1041" w:type="dxa"/>
            <w:vAlign w:val="center"/>
          </w:tcPr>
          <w:p w14:paraId="2330F72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0.028</w:t>
            </w:r>
          </w:p>
        </w:tc>
        <w:tc>
          <w:tcPr>
            <w:tcW w:w="907" w:type="dxa"/>
            <w:vAlign w:val="center"/>
          </w:tcPr>
          <w:p w14:paraId="2330F72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1.117</w:t>
            </w:r>
          </w:p>
        </w:tc>
        <w:tc>
          <w:tcPr>
            <w:tcW w:w="620" w:type="dxa"/>
            <w:vAlign w:val="center"/>
          </w:tcPr>
          <w:p w14:paraId="2330F72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0.264</w:t>
            </w:r>
          </w:p>
        </w:tc>
        <w:tc>
          <w:tcPr>
            <w:tcW w:w="756" w:type="dxa"/>
            <w:vAlign w:val="center"/>
          </w:tcPr>
          <w:p w14:paraId="2330F729"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−0.024</w:t>
            </w:r>
          </w:p>
        </w:tc>
        <w:tc>
          <w:tcPr>
            <w:tcW w:w="625" w:type="dxa"/>
            <w:vAlign w:val="center"/>
          </w:tcPr>
          <w:p w14:paraId="2330F72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0.086</w:t>
            </w:r>
          </w:p>
        </w:tc>
      </w:tr>
    </w:tbl>
    <w:p w14:paraId="2330F72C" w14:textId="77777777" w:rsidR="007B149A" w:rsidRDefault="007B149A">
      <w:pPr>
        <w:spacing w:line="360" w:lineRule="auto"/>
        <w:rPr>
          <w:rFonts w:ascii="Times New Roman" w:eastAsia="Times New Roman" w:hAnsi="Times New Roman" w:cs="Times New Roman"/>
        </w:rPr>
      </w:pPr>
    </w:p>
    <w:p w14:paraId="2330F72D" w14:textId="77777777" w:rsidR="007B149A" w:rsidRDefault="000E054D">
      <w:pPr>
        <w:spacing w:after="120" w:line="360" w:lineRule="auto"/>
        <w:rPr>
          <w:rFonts w:ascii="Times New Roman" w:eastAsia="Times New Roman" w:hAnsi="Times New Roman" w:cs="Times New Roman"/>
        </w:rPr>
      </w:pPr>
      <w:r>
        <w:rPr>
          <w:b/>
        </w:rPr>
        <w:lastRenderedPageBreak/>
        <w:t>Table 13.</w:t>
      </w:r>
      <w:r>
        <w:t xml:space="preserve"> Output of meta-regression model examining the effect of size dimorphism on sex differences in carbon variation, with high leverage data points removed. </w:t>
      </w:r>
    </w:p>
    <w:p w14:paraId="2330F72E" w14:textId="77777777" w:rsidR="007B149A" w:rsidRDefault="007B149A">
      <w:pPr>
        <w:spacing w:line="360" w:lineRule="auto"/>
        <w:rPr>
          <w:rFonts w:ascii="Times New Roman" w:eastAsia="Times New Roman" w:hAnsi="Times New Roman" w:cs="Times New Roman"/>
        </w:rPr>
      </w:pPr>
    </w:p>
    <w:tbl>
      <w:tblPr>
        <w:tblStyle w:val="ab"/>
        <w:tblW w:w="10080" w:type="dxa"/>
        <w:tblBorders>
          <w:top w:val="nil"/>
          <w:left w:val="nil"/>
          <w:bottom w:val="nil"/>
          <w:right w:val="nil"/>
          <w:insideH w:val="nil"/>
          <w:insideV w:val="nil"/>
        </w:tblBorders>
        <w:tblLayout w:type="fixed"/>
        <w:tblLook w:val="0600" w:firstRow="0" w:lastRow="0" w:firstColumn="0" w:lastColumn="0" w:noHBand="1" w:noVBand="1"/>
      </w:tblPr>
      <w:tblGrid>
        <w:gridCol w:w="2940"/>
        <w:gridCol w:w="1395"/>
        <w:gridCol w:w="990"/>
        <w:gridCol w:w="1110"/>
        <w:gridCol w:w="1275"/>
        <w:gridCol w:w="720"/>
        <w:gridCol w:w="810"/>
        <w:gridCol w:w="840"/>
      </w:tblGrid>
      <w:tr w:rsidR="007B149A" w14:paraId="2330F730" w14:textId="77777777">
        <w:trPr>
          <w:trHeight w:val="300"/>
        </w:trPr>
        <w:tc>
          <w:tcPr>
            <w:tcW w:w="10080" w:type="dxa"/>
            <w:gridSpan w:val="8"/>
            <w:tcBorders>
              <w:top w:val="nil"/>
              <w:left w:val="nil"/>
              <w:bottom w:val="nil"/>
              <w:right w:val="nil"/>
            </w:tcBorders>
            <w:tcMar>
              <w:top w:w="20" w:type="dxa"/>
              <w:left w:w="20" w:type="dxa"/>
              <w:bottom w:w="20" w:type="dxa"/>
              <w:right w:w="20" w:type="dxa"/>
            </w:tcMar>
          </w:tcPr>
          <w:p w14:paraId="2330F72F" w14:textId="77777777" w:rsidR="007B149A" w:rsidRDefault="000E054D">
            <w:pPr>
              <w:spacing w:before="240" w:after="24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 * Dietary Class</w:t>
            </w:r>
          </w:p>
        </w:tc>
      </w:tr>
      <w:tr w:rsidR="007B149A" w14:paraId="2330F73A" w14:textId="77777777">
        <w:trPr>
          <w:trHeight w:val="85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31"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Term</w:t>
            </w:r>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2"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Type</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3"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4"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Standard</w:t>
            </w:r>
          </w:p>
          <w:p w14:paraId="2330F735"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Error</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6"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7" w14:textId="77777777" w:rsidR="007B149A" w:rsidRDefault="000E054D">
            <w:pPr>
              <w:spacing w:before="240" w:after="240"/>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8"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ci lb</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39" w14:textId="77777777" w:rsidR="007B149A" w:rsidRDefault="000E054D">
            <w:pPr>
              <w:spacing w:before="240" w:after="240"/>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743" w14:textId="77777777">
        <w:trPr>
          <w:trHeight w:val="34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3B"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intercept</w:t>
            </w:r>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C"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D"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0.114</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E"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0.042</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3F"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2.677</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0"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0.007</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1"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0.030</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42"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0.197</w:t>
            </w:r>
          </w:p>
        </w:tc>
      </w:tr>
      <w:tr w:rsidR="007B149A" w14:paraId="2330F74C" w14:textId="77777777">
        <w:trPr>
          <w:trHeight w:val="34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44"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Size Dimorphism</w:t>
            </w:r>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5"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6"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0.159</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7"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0.054</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8"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2.933</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9"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0.003</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A"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0.053</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4B"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0.265</w:t>
            </w:r>
          </w:p>
        </w:tc>
      </w:tr>
      <w:tr w:rsidR="007B149A" w14:paraId="2330F755" w14:textId="77777777">
        <w:trPr>
          <w:trHeight w:val="34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4D"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Herbivore</w:t>
            </w:r>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E"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4F"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0.021</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0"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0.448</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1"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0.047</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2"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0.963</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3" w14:textId="77777777" w:rsidR="007B149A" w:rsidRDefault="000E054D">
            <w:pPr>
              <w:spacing w:before="240" w:after="240"/>
              <w:rPr>
                <w:rFonts w:ascii="Times New Roman" w:eastAsia="Times New Roman" w:hAnsi="Times New Roman" w:cs="Times New Roman"/>
              </w:rPr>
            </w:pPr>
            <w:r>
              <w:rPr>
                <w:rFonts w:ascii="Gungsuh" w:eastAsia="Gungsuh" w:hAnsi="Gungsuh" w:cs="Gungsuh"/>
              </w:rPr>
              <w:t>−0.857</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54"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0.899</w:t>
            </w:r>
          </w:p>
        </w:tc>
      </w:tr>
      <w:tr w:rsidR="007B149A" w14:paraId="2330F75E" w14:textId="77777777">
        <w:trPr>
          <w:trHeight w:val="34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56"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Omnivore</w:t>
            </w:r>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7"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8" w14:textId="77777777" w:rsidR="007B149A" w:rsidRDefault="000E054D">
            <w:pPr>
              <w:spacing w:before="240" w:after="240"/>
              <w:rPr>
                <w:rFonts w:ascii="Times New Roman" w:eastAsia="Times New Roman" w:hAnsi="Times New Roman" w:cs="Times New Roman"/>
              </w:rPr>
            </w:pPr>
            <w:r>
              <w:rPr>
                <w:rFonts w:ascii="Gungsuh" w:eastAsia="Gungsuh" w:hAnsi="Gungsuh" w:cs="Gungsuh"/>
              </w:rPr>
              <w:t>−0.147</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9"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0.108</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A" w14:textId="77777777" w:rsidR="007B149A" w:rsidRDefault="000E054D">
            <w:pPr>
              <w:spacing w:before="240" w:after="240"/>
              <w:rPr>
                <w:rFonts w:ascii="Times New Roman" w:eastAsia="Times New Roman" w:hAnsi="Times New Roman" w:cs="Times New Roman"/>
              </w:rPr>
            </w:pPr>
            <w:r>
              <w:rPr>
                <w:rFonts w:ascii="Gungsuh" w:eastAsia="Gungsuh" w:hAnsi="Gungsuh" w:cs="Gungsuh"/>
              </w:rPr>
              <w:t>−1.359</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B"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0.174</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5C" w14:textId="77777777" w:rsidR="007B149A" w:rsidRDefault="000E054D">
            <w:pPr>
              <w:spacing w:before="240" w:after="240"/>
              <w:rPr>
                <w:rFonts w:ascii="Times New Roman" w:eastAsia="Times New Roman" w:hAnsi="Times New Roman" w:cs="Times New Roman"/>
              </w:rPr>
            </w:pPr>
            <w:r>
              <w:rPr>
                <w:rFonts w:ascii="Gungsuh" w:eastAsia="Gungsuh" w:hAnsi="Gungsuh" w:cs="Gungsuh"/>
              </w:rPr>
              <w:t>−0.359</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5D"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0.065</w:t>
            </w:r>
          </w:p>
        </w:tc>
      </w:tr>
      <w:tr w:rsidR="007B149A" w14:paraId="2330F767" w14:textId="77777777">
        <w:trPr>
          <w:trHeight w:val="855"/>
        </w:trPr>
        <w:tc>
          <w:tcPr>
            <w:tcW w:w="294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5F"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 xml:space="preserve">Size </w:t>
            </w:r>
            <w:proofErr w:type="gramStart"/>
            <w:r>
              <w:rPr>
                <w:rFonts w:ascii="Times New Roman" w:eastAsia="Times New Roman" w:hAnsi="Times New Roman" w:cs="Times New Roman"/>
              </w:rPr>
              <w:t>Dimorphism:Herbivore</w:t>
            </w:r>
            <w:proofErr w:type="gramEnd"/>
          </w:p>
        </w:tc>
        <w:tc>
          <w:tcPr>
            <w:tcW w:w="139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0"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1"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0.170</w:t>
            </w:r>
          </w:p>
        </w:tc>
        <w:tc>
          <w:tcPr>
            <w:tcW w:w="11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2"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0.617</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3"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0.276</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4"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0.782</w:t>
            </w:r>
          </w:p>
        </w:tc>
        <w:tc>
          <w:tcPr>
            <w:tcW w:w="81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65" w14:textId="77777777" w:rsidR="007B149A" w:rsidRDefault="000E054D">
            <w:pPr>
              <w:spacing w:before="240" w:after="240"/>
              <w:rPr>
                <w:rFonts w:ascii="Times New Roman" w:eastAsia="Times New Roman" w:hAnsi="Times New Roman" w:cs="Times New Roman"/>
              </w:rPr>
            </w:pPr>
            <w:r>
              <w:rPr>
                <w:rFonts w:ascii="Gungsuh" w:eastAsia="Gungsuh" w:hAnsi="Gungsuh" w:cs="Gungsuh"/>
              </w:rPr>
              <w:t>−1.039</w:t>
            </w:r>
          </w:p>
        </w:tc>
        <w:tc>
          <w:tcPr>
            <w:tcW w:w="84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66"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1.380</w:t>
            </w:r>
          </w:p>
        </w:tc>
      </w:tr>
      <w:tr w:rsidR="007B149A" w14:paraId="2330F770" w14:textId="77777777">
        <w:trPr>
          <w:trHeight w:val="825"/>
        </w:trPr>
        <w:tc>
          <w:tcPr>
            <w:tcW w:w="2940" w:type="dxa"/>
            <w:tcBorders>
              <w:top w:val="single" w:sz="8" w:space="0" w:color="000000"/>
              <w:left w:val="nil"/>
              <w:bottom w:val="nil"/>
              <w:right w:val="single" w:sz="8" w:space="0" w:color="000000"/>
            </w:tcBorders>
            <w:shd w:val="clear" w:color="auto" w:fill="auto"/>
            <w:tcMar>
              <w:top w:w="20" w:type="dxa"/>
              <w:left w:w="20" w:type="dxa"/>
              <w:bottom w:w="20" w:type="dxa"/>
              <w:right w:w="20" w:type="dxa"/>
            </w:tcMar>
          </w:tcPr>
          <w:p w14:paraId="2330F768"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 xml:space="preserve">Size </w:t>
            </w:r>
            <w:proofErr w:type="gramStart"/>
            <w:r>
              <w:rPr>
                <w:rFonts w:ascii="Times New Roman" w:eastAsia="Times New Roman" w:hAnsi="Times New Roman" w:cs="Times New Roman"/>
              </w:rPr>
              <w:t>Dimorphism:Omnivore</w:t>
            </w:r>
            <w:proofErr w:type="gramEnd"/>
          </w:p>
        </w:tc>
        <w:tc>
          <w:tcPr>
            <w:tcW w:w="139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9"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summary</w:t>
            </w:r>
          </w:p>
        </w:tc>
        <w:tc>
          <w:tcPr>
            <w:tcW w:w="99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A"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0.464</w:t>
            </w:r>
          </w:p>
        </w:tc>
        <w:tc>
          <w:tcPr>
            <w:tcW w:w="111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B"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0.221</w:t>
            </w:r>
          </w:p>
        </w:tc>
        <w:tc>
          <w:tcPr>
            <w:tcW w:w="127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C"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2.102</w:t>
            </w:r>
          </w:p>
        </w:tc>
        <w:tc>
          <w:tcPr>
            <w:tcW w:w="72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D"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0.036</w:t>
            </w:r>
          </w:p>
        </w:tc>
        <w:tc>
          <w:tcPr>
            <w:tcW w:w="81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6E"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0.031</w:t>
            </w:r>
          </w:p>
        </w:tc>
        <w:tc>
          <w:tcPr>
            <w:tcW w:w="840" w:type="dxa"/>
            <w:tcBorders>
              <w:top w:val="single" w:sz="8" w:space="0" w:color="000000"/>
              <w:left w:val="single" w:sz="8" w:space="0" w:color="000000"/>
              <w:bottom w:val="nil"/>
              <w:right w:val="nil"/>
            </w:tcBorders>
            <w:shd w:val="clear" w:color="auto" w:fill="auto"/>
            <w:tcMar>
              <w:top w:w="20" w:type="dxa"/>
              <w:left w:w="20" w:type="dxa"/>
              <w:bottom w:w="20" w:type="dxa"/>
              <w:right w:w="20" w:type="dxa"/>
            </w:tcMar>
          </w:tcPr>
          <w:p w14:paraId="2330F76F" w14:textId="77777777" w:rsidR="007B149A" w:rsidRDefault="000E054D">
            <w:pPr>
              <w:spacing w:before="240" w:after="240"/>
              <w:rPr>
                <w:rFonts w:ascii="Times New Roman" w:eastAsia="Times New Roman" w:hAnsi="Times New Roman" w:cs="Times New Roman"/>
              </w:rPr>
            </w:pPr>
            <w:r>
              <w:rPr>
                <w:rFonts w:ascii="Times New Roman" w:eastAsia="Times New Roman" w:hAnsi="Times New Roman" w:cs="Times New Roman"/>
              </w:rPr>
              <w:t>0.897</w:t>
            </w:r>
          </w:p>
        </w:tc>
      </w:tr>
    </w:tbl>
    <w:p w14:paraId="2330F771" w14:textId="77777777" w:rsidR="007B149A" w:rsidRDefault="007B149A">
      <w:pPr>
        <w:spacing w:line="360" w:lineRule="auto"/>
        <w:rPr>
          <w:rFonts w:ascii="Times New Roman" w:eastAsia="Times New Roman" w:hAnsi="Times New Roman" w:cs="Times New Roman"/>
        </w:rPr>
      </w:pPr>
    </w:p>
    <w:p w14:paraId="2330F772" w14:textId="77777777" w:rsidR="007B149A" w:rsidRDefault="000E054D">
      <w:pPr>
        <w:spacing w:after="120" w:line="360" w:lineRule="auto"/>
      </w:pPr>
      <w:r>
        <w:rPr>
          <w:b/>
        </w:rPr>
        <w:t>Table 14.</w:t>
      </w:r>
      <w:r>
        <w:t xml:space="preserve"> Output of meta-regression model examining the effect of size dimorphism and dietary class on sex differences in nitrogen mean, with high leverage data points removed.</w:t>
      </w:r>
    </w:p>
    <w:p w14:paraId="2330F773" w14:textId="77777777" w:rsidR="007B149A" w:rsidRDefault="007B149A">
      <w:pPr>
        <w:spacing w:after="120" w:line="360" w:lineRule="auto"/>
      </w:pPr>
    </w:p>
    <w:tbl>
      <w:tblPr>
        <w:tblStyle w:val="ac"/>
        <w:tblW w:w="9540" w:type="dxa"/>
        <w:tblBorders>
          <w:top w:val="nil"/>
          <w:left w:val="nil"/>
          <w:bottom w:val="nil"/>
          <w:right w:val="nil"/>
          <w:insideH w:val="nil"/>
          <w:insideV w:val="nil"/>
        </w:tblBorders>
        <w:tblLayout w:type="fixed"/>
        <w:tblLook w:val="0600" w:firstRow="0" w:lastRow="0" w:firstColumn="0" w:lastColumn="0" w:noHBand="1" w:noVBand="1"/>
      </w:tblPr>
      <w:tblGrid>
        <w:gridCol w:w="2280"/>
        <w:gridCol w:w="960"/>
        <w:gridCol w:w="975"/>
        <w:gridCol w:w="1305"/>
        <w:gridCol w:w="1065"/>
        <w:gridCol w:w="855"/>
        <w:gridCol w:w="720"/>
        <w:gridCol w:w="1380"/>
      </w:tblGrid>
      <w:tr w:rsidR="007B149A" w14:paraId="2330F775" w14:textId="77777777">
        <w:trPr>
          <w:trHeight w:val="300"/>
        </w:trPr>
        <w:tc>
          <w:tcPr>
            <w:tcW w:w="9540" w:type="dxa"/>
            <w:gridSpan w:val="8"/>
            <w:tcBorders>
              <w:top w:val="nil"/>
              <w:left w:val="nil"/>
              <w:bottom w:val="nil"/>
              <w:right w:val="nil"/>
            </w:tcBorders>
            <w:tcMar>
              <w:top w:w="20" w:type="dxa"/>
              <w:left w:w="20" w:type="dxa"/>
              <w:bottom w:w="20" w:type="dxa"/>
              <w:right w:w="20" w:type="dxa"/>
            </w:tcMar>
          </w:tcPr>
          <w:p w14:paraId="2330F774" w14:textId="77777777" w:rsidR="007B149A" w:rsidRDefault="000E054D">
            <w:pPr>
              <w:spacing w:before="240" w:after="240" w:line="360" w:lineRule="auto"/>
              <w:jc w:val="center"/>
              <w:rPr>
                <w:b/>
              </w:rPr>
            </w:pPr>
            <w:r>
              <w:rPr>
                <w:b/>
              </w:rPr>
              <w:lastRenderedPageBreak/>
              <w:t>Nitrogen Mean Difference ~ Size Dimorphism * Mean Size</w:t>
            </w:r>
          </w:p>
        </w:tc>
      </w:tr>
      <w:tr w:rsidR="007B149A" w14:paraId="2330F77F" w14:textId="77777777">
        <w:trPr>
          <w:trHeight w:val="855"/>
        </w:trPr>
        <w:tc>
          <w:tcPr>
            <w:tcW w:w="228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76" w14:textId="77777777" w:rsidR="007B149A" w:rsidRDefault="000E054D">
            <w:pPr>
              <w:spacing w:before="240" w:after="240" w:line="360" w:lineRule="auto"/>
              <w:jc w:val="center"/>
              <w:rPr>
                <w:b/>
              </w:rPr>
            </w:pPr>
            <w:r>
              <w:rPr>
                <w:b/>
              </w:rPr>
              <w:t>Term</w:t>
            </w:r>
          </w:p>
        </w:tc>
        <w:tc>
          <w:tcPr>
            <w:tcW w:w="96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7" w14:textId="77777777" w:rsidR="007B149A" w:rsidRDefault="000E054D">
            <w:pPr>
              <w:spacing w:before="240" w:after="240" w:line="360" w:lineRule="auto"/>
              <w:jc w:val="center"/>
              <w:rPr>
                <w:b/>
              </w:rPr>
            </w:pPr>
            <w:r>
              <w:rPr>
                <w:b/>
              </w:rPr>
              <w:t>Type</w:t>
            </w:r>
          </w:p>
        </w:tc>
        <w:tc>
          <w:tcPr>
            <w:tcW w:w="9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8" w14:textId="77777777" w:rsidR="007B149A" w:rsidRDefault="000E054D">
            <w:pPr>
              <w:spacing w:before="240" w:after="240" w:line="360" w:lineRule="auto"/>
              <w:jc w:val="center"/>
              <w:rPr>
                <w:b/>
              </w:rPr>
            </w:pPr>
            <w:r>
              <w:rPr>
                <w:b/>
              </w:rPr>
              <w:t>Estimate</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9" w14:textId="77777777" w:rsidR="007B149A" w:rsidRDefault="000E054D">
            <w:pPr>
              <w:spacing w:before="240" w:after="240" w:line="360" w:lineRule="auto"/>
              <w:jc w:val="center"/>
              <w:rPr>
                <w:b/>
              </w:rPr>
            </w:pPr>
            <w:r>
              <w:rPr>
                <w:b/>
              </w:rPr>
              <w:t>Standard</w:t>
            </w:r>
          </w:p>
          <w:p w14:paraId="2330F77A" w14:textId="77777777" w:rsidR="007B149A" w:rsidRDefault="000E054D">
            <w:pPr>
              <w:spacing w:before="240" w:after="240" w:line="360" w:lineRule="auto"/>
              <w:jc w:val="center"/>
              <w:rPr>
                <w:b/>
              </w:rPr>
            </w:pPr>
            <w:r>
              <w:rPr>
                <w:b/>
              </w:rPr>
              <w:t>Error</w:t>
            </w:r>
          </w:p>
        </w:tc>
        <w:tc>
          <w:tcPr>
            <w:tcW w:w="106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B" w14:textId="77777777" w:rsidR="007B149A" w:rsidRDefault="000E054D">
            <w:pPr>
              <w:spacing w:before="240" w:after="240" w:line="360" w:lineRule="auto"/>
              <w:jc w:val="center"/>
              <w:rPr>
                <w:b/>
              </w:rPr>
            </w:pPr>
            <w:r>
              <w:rPr>
                <w:b/>
              </w:rPr>
              <w:t>Statistic</w:t>
            </w:r>
          </w:p>
        </w:tc>
        <w:tc>
          <w:tcPr>
            <w:tcW w:w="85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C" w14:textId="77777777" w:rsidR="007B149A" w:rsidRDefault="000E054D">
            <w:pPr>
              <w:spacing w:before="240" w:after="240" w:line="360" w:lineRule="auto"/>
              <w:jc w:val="center"/>
              <w:rPr>
                <w:b/>
                <w:i/>
              </w:rPr>
            </w:pPr>
            <w:r>
              <w:rPr>
                <w:b/>
                <w:i/>
              </w:rPr>
              <w:t>p</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7D" w14:textId="77777777" w:rsidR="007B149A" w:rsidRDefault="000E054D">
            <w:pPr>
              <w:spacing w:before="240" w:after="240" w:line="360" w:lineRule="auto"/>
              <w:jc w:val="center"/>
              <w:rPr>
                <w:b/>
              </w:rPr>
            </w:pPr>
            <w:r>
              <w:rPr>
                <w:b/>
              </w:rPr>
              <w:t>ci lb</w:t>
            </w:r>
          </w:p>
        </w:tc>
        <w:tc>
          <w:tcPr>
            <w:tcW w:w="138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7E" w14:textId="77777777" w:rsidR="007B149A" w:rsidRDefault="000E054D">
            <w:pPr>
              <w:spacing w:before="240" w:after="240" w:line="360" w:lineRule="auto"/>
              <w:jc w:val="center"/>
              <w:rPr>
                <w:b/>
              </w:rPr>
            </w:pPr>
            <w:r>
              <w:rPr>
                <w:b/>
              </w:rPr>
              <w:t>ci ub</w:t>
            </w:r>
          </w:p>
        </w:tc>
      </w:tr>
      <w:tr w:rsidR="007B149A" w14:paraId="2330F788" w14:textId="77777777">
        <w:trPr>
          <w:trHeight w:val="345"/>
        </w:trPr>
        <w:tc>
          <w:tcPr>
            <w:tcW w:w="228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80" w14:textId="77777777" w:rsidR="007B149A" w:rsidRDefault="000E054D">
            <w:pPr>
              <w:spacing w:before="240" w:after="240" w:line="360" w:lineRule="auto"/>
              <w:jc w:val="center"/>
            </w:pPr>
            <w:r>
              <w:t>Intercept</w:t>
            </w:r>
          </w:p>
        </w:tc>
        <w:tc>
          <w:tcPr>
            <w:tcW w:w="96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1" w14:textId="77777777" w:rsidR="007B149A" w:rsidRDefault="000E054D">
            <w:pPr>
              <w:spacing w:before="240" w:after="240" w:line="360" w:lineRule="auto"/>
              <w:jc w:val="center"/>
            </w:pPr>
            <w:r>
              <w:t>summary</w:t>
            </w:r>
          </w:p>
        </w:tc>
        <w:tc>
          <w:tcPr>
            <w:tcW w:w="9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2" w14:textId="77777777" w:rsidR="007B149A" w:rsidRDefault="000E054D">
            <w:pPr>
              <w:spacing w:before="240" w:after="240" w:line="360" w:lineRule="auto"/>
              <w:jc w:val="center"/>
            </w:pPr>
            <w:r>
              <w:t>0.072</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3" w14:textId="77777777" w:rsidR="007B149A" w:rsidRDefault="000E054D">
            <w:pPr>
              <w:spacing w:before="240" w:after="240" w:line="360" w:lineRule="auto"/>
              <w:jc w:val="center"/>
            </w:pPr>
            <w:r>
              <w:t>0.040</w:t>
            </w:r>
          </w:p>
        </w:tc>
        <w:tc>
          <w:tcPr>
            <w:tcW w:w="106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4" w14:textId="77777777" w:rsidR="007B149A" w:rsidRDefault="000E054D">
            <w:pPr>
              <w:spacing w:before="240" w:after="240" w:line="360" w:lineRule="auto"/>
              <w:jc w:val="center"/>
            </w:pPr>
            <w:r>
              <w:t>1.791</w:t>
            </w:r>
          </w:p>
        </w:tc>
        <w:tc>
          <w:tcPr>
            <w:tcW w:w="85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5" w14:textId="77777777" w:rsidR="007B149A" w:rsidRDefault="000E054D">
            <w:pPr>
              <w:spacing w:before="240" w:after="240" w:line="360" w:lineRule="auto"/>
              <w:jc w:val="center"/>
            </w:pPr>
            <w:r>
              <w:t>0.073</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6" w14:textId="77777777" w:rsidR="007B149A" w:rsidRDefault="000E054D">
            <w:pPr>
              <w:spacing w:before="240" w:after="240" w:line="360" w:lineRule="auto"/>
              <w:jc w:val="center"/>
            </w:pPr>
            <w:r>
              <w:t>−0.007</w:t>
            </w:r>
          </w:p>
        </w:tc>
        <w:tc>
          <w:tcPr>
            <w:tcW w:w="138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87" w14:textId="77777777" w:rsidR="007B149A" w:rsidRDefault="000E054D">
            <w:pPr>
              <w:spacing w:before="240" w:after="240" w:line="360" w:lineRule="auto"/>
              <w:jc w:val="center"/>
            </w:pPr>
            <w:r>
              <w:t>0.151</w:t>
            </w:r>
          </w:p>
        </w:tc>
      </w:tr>
      <w:tr w:rsidR="007B149A" w14:paraId="2330F791" w14:textId="77777777">
        <w:trPr>
          <w:trHeight w:val="345"/>
        </w:trPr>
        <w:tc>
          <w:tcPr>
            <w:tcW w:w="228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89" w14:textId="77777777" w:rsidR="007B149A" w:rsidRDefault="000E054D">
            <w:pPr>
              <w:spacing w:before="240" w:after="240" w:line="360" w:lineRule="auto"/>
              <w:jc w:val="center"/>
            </w:pPr>
            <w:r>
              <w:t>Size Dimorphism</w:t>
            </w:r>
          </w:p>
        </w:tc>
        <w:tc>
          <w:tcPr>
            <w:tcW w:w="96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A" w14:textId="77777777" w:rsidR="007B149A" w:rsidRDefault="000E054D">
            <w:pPr>
              <w:spacing w:before="240" w:after="240" w:line="360" w:lineRule="auto"/>
              <w:jc w:val="center"/>
            </w:pPr>
            <w:r>
              <w:t>summary</w:t>
            </w:r>
          </w:p>
        </w:tc>
        <w:tc>
          <w:tcPr>
            <w:tcW w:w="9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B" w14:textId="77777777" w:rsidR="007B149A" w:rsidRDefault="000E054D">
            <w:pPr>
              <w:spacing w:before="240" w:after="240" w:line="360" w:lineRule="auto"/>
              <w:jc w:val="center"/>
            </w:pPr>
            <w:r>
              <w:t>0.232</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C" w14:textId="77777777" w:rsidR="007B149A" w:rsidRDefault="000E054D">
            <w:pPr>
              <w:spacing w:before="240" w:after="240" w:line="360" w:lineRule="auto"/>
              <w:jc w:val="center"/>
            </w:pPr>
            <w:r>
              <w:t>0.052</w:t>
            </w:r>
          </w:p>
        </w:tc>
        <w:tc>
          <w:tcPr>
            <w:tcW w:w="106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D" w14:textId="77777777" w:rsidR="007B149A" w:rsidRDefault="000E054D">
            <w:pPr>
              <w:spacing w:before="240" w:after="240" w:line="360" w:lineRule="auto"/>
              <w:jc w:val="center"/>
            </w:pPr>
            <w:r>
              <w:t>4.464</w:t>
            </w:r>
          </w:p>
        </w:tc>
        <w:tc>
          <w:tcPr>
            <w:tcW w:w="85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E" w14:textId="77777777" w:rsidR="007B149A" w:rsidRDefault="000E054D">
            <w:pPr>
              <w:spacing w:before="240" w:after="240" w:line="360" w:lineRule="auto"/>
              <w:jc w:val="center"/>
            </w:pPr>
            <w:r>
              <w:t>0.000</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8F" w14:textId="77777777" w:rsidR="007B149A" w:rsidRDefault="000E054D">
            <w:pPr>
              <w:spacing w:before="240" w:after="240" w:line="360" w:lineRule="auto"/>
              <w:jc w:val="center"/>
            </w:pPr>
            <w:r>
              <w:t>0.130</w:t>
            </w:r>
          </w:p>
        </w:tc>
        <w:tc>
          <w:tcPr>
            <w:tcW w:w="138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90" w14:textId="77777777" w:rsidR="007B149A" w:rsidRDefault="000E054D">
            <w:pPr>
              <w:spacing w:before="240" w:after="240" w:line="360" w:lineRule="auto"/>
              <w:jc w:val="center"/>
            </w:pPr>
            <w:r>
              <w:t>0.334</w:t>
            </w:r>
          </w:p>
        </w:tc>
      </w:tr>
      <w:tr w:rsidR="007B149A" w14:paraId="2330F79A" w14:textId="77777777">
        <w:trPr>
          <w:trHeight w:val="345"/>
        </w:trPr>
        <w:tc>
          <w:tcPr>
            <w:tcW w:w="2280" w:type="dxa"/>
            <w:tcBorders>
              <w:top w:val="single" w:sz="8" w:space="0" w:color="000000"/>
              <w:left w:val="nil"/>
              <w:bottom w:val="single" w:sz="8" w:space="0" w:color="000000"/>
              <w:right w:val="single" w:sz="8" w:space="0" w:color="000000"/>
            </w:tcBorders>
            <w:shd w:val="clear" w:color="auto" w:fill="auto"/>
            <w:tcMar>
              <w:top w:w="20" w:type="dxa"/>
              <w:left w:w="20" w:type="dxa"/>
              <w:bottom w:w="20" w:type="dxa"/>
              <w:right w:w="20" w:type="dxa"/>
            </w:tcMar>
          </w:tcPr>
          <w:p w14:paraId="2330F792" w14:textId="77777777" w:rsidR="007B149A" w:rsidRDefault="000E054D">
            <w:pPr>
              <w:spacing w:before="240" w:after="240" w:line="360" w:lineRule="auto"/>
              <w:jc w:val="center"/>
            </w:pPr>
            <w:r>
              <w:t>Mean Size</w:t>
            </w:r>
          </w:p>
        </w:tc>
        <w:tc>
          <w:tcPr>
            <w:tcW w:w="96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3" w14:textId="77777777" w:rsidR="007B149A" w:rsidRDefault="000E054D">
            <w:pPr>
              <w:spacing w:before="240" w:after="240" w:line="360" w:lineRule="auto"/>
              <w:jc w:val="center"/>
            </w:pPr>
            <w:r>
              <w:t>summary</w:t>
            </w:r>
          </w:p>
        </w:tc>
        <w:tc>
          <w:tcPr>
            <w:tcW w:w="97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4" w14:textId="77777777" w:rsidR="007B149A" w:rsidRDefault="000E054D">
            <w:pPr>
              <w:spacing w:before="240" w:after="240" w:line="360" w:lineRule="auto"/>
              <w:jc w:val="center"/>
            </w:pPr>
            <w:r>
              <w:t>0.000</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5" w14:textId="77777777" w:rsidR="007B149A" w:rsidRDefault="000E054D">
            <w:pPr>
              <w:spacing w:before="240" w:after="240" w:line="360" w:lineRule="auto"/>
              <w:jc w:val="center"/>
            </w:pPr>
            <w:r>
              <w:t>0.000</w:t>
            </w:r>
          </w:p>
        </w:tc>
        <w:tc>
          <w:tcPr>
            <w:tcW w:w="106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6" w14:textId="77777777" w:rsidR="007B149A" w:rsidRDefault="000E054D">
            <w:pPr>
              <w:spacing w:before="240" w:after="240" w:line="360" w:lineRule="auto"/>
              <w:jc w:val="center"/>
            </w:pPr>
            <w:r>
              <w:t>−0.063</w:t>
            </w:r>
          </w:p>
        </w:tc>
        <w:tc>
          <w:tcPr>
            <w:tcW w:w="85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7" w14:textId="77777777" w:rsidR="007B149A" w:rsidRDefault="000E054D">
            <w:pPr>
              <w:spacing w:before="240" w:after="240" w:line="360" w:lineRule="auto"/>
              <w:jc w:val="center"/>
            </w:pPr>
            <w:r>
              <w:t>0.950</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20" w:type="dxa"/>
              <w:right w:w="20" w:type="dxa"/>
            </w:tcMar>
          </w:tcPr>
          <w:p w14:paraId="2330F798" w14:textId="77777777" w:rsidR="007B149A" w:rsidRDefault="000E054D">
            <w:pPr>
              <w:spacing w:before="240" w:after="240" w:line="360" w:lineRule="auto"/>
              <w:jc w:val="center"/>
            </w:pPr>
            <w:r>
              <w:t>0.000</w:t>
            </w:r>
          </w:p>
        </w:tc>
        <w:tc>
          <w:tcPr>
            <w:tcW w:w="1380" w:type="dxa"/>
            <w:tcBorders>
              <w:top w:val="single" w:sz="8" w:space="0" w:color="000000"/>
              <w:left w:val="single" w:sz="8" w:space="0" w:color="000000"/>
              <w:bottom w:val="single" w:sz="8" w:space="0" w:color="000000"/>
              <w:right w:val="nil"/>
            </w:tcBorders>
            <w:shd w:val="clear" w:color="auto" w:fill="auto"/>
            <w:tcMar>
              <w:top w:w="20" w:type="dxa"/>
              <w:left w:w="20" w:type="dxa"/>
              <w:bottom w:w="20" w:type="dxa"/>
              <w:right w:w="20" w:type="dxa"/>
            </w:tcMar>
          </w:tcPr>
          <w:p w14:paraId="2330F799" w14:textId="77777777" w:rsidR="007B149A" w:rsidRDefault="000E054D">
            <w:pPr>
              <w:spacing w:before="240" w:after="240" w:line="360" w:lineRule="auto"/>
              <w:jc w:val="center"/>
            </w:pPr>
            <w:r>
              <w:t>0.000</w:t>
            </w:r>
          </w:p>
        </w:tc>
      </w:tr>
      <w:tr w:rsidR="007B149A" w14:paraId="2330F7A3" w14:textId="77777777">
        <w:trPr>
          <w:trHeight w:val="315"/>
        </w:trPr>
        <w:tc>
          <w:tcPr>
            <w:tcW w:w="2280" w:type="dxa"/>
            <w:tcBorders>
              <w:top w:val="single" w:sz="8" w:space="0" w:color="000000"/>
              <w:left w:val="nil"/>
              <w:bottom w:val="nil"/>
              <w:right w:val="single" w:sz="8" w:space="0" w:color="000000"/>
            </w:tcBorders>
            <w:shd w:val="clear" w:color="auto" w:fill="auto"/>
            <w:tcMar>
              <w:top w:w="20" w:type="dxa"/>
              <w:left w:w="20" w:type="dxa"/>
              <w:bottom w:w="20" w:type="dxa"/>
              <w:right w:w="20" w:type="dxa"/>
            </w:tcMar>
          </w:tcPr>
          <w:p w14:paraId="2330F79B" w14:textId="77777777" w:rsidR="007B149A" w:rsidRDefault="000E054D">
            <w:pPr>
              <w:spacing w:before="240" w:after="240" w:line="360" w:lineRule="auto"/>
              <w:jc w:val="center"/>
            </w:pPr>
            <w:r>
              <w:t>Size Dimorphism: Size</w:t>
            </w:r>
          </w:p>
        </w:tc>
        <w:tc>
          <w:tcPr>
            <w:tcW w:w="96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9C" w14:textId="77777777" w:rsidR="007B149A" w:rsidRDefault="000E054D">
            <w:pPr>
              <w:spacing w:before="240" w:after="240" w:line="360" w:lineRule="auto"/>
              <w:jc w:val="center"/>
            </w:pPr>
            <w:r>
              <w:t>summary</w:t>
            </w:r>
          </w:p>
        </w:tc>
        <w:tc>
          <w:tcPr>
            <w:tcW w:w="97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9D" w14:textId="77777777" w:rsidR="007B149A" w:rsidRDefault="000E054D">
            <w:pPr>
              <w:spacing w:before="240" w:after="240" w:line="360" w:lineRule="auto"/>
              <w:jc w:val="center"/>
            </w:pPr>
            <w:r>
              <w:t>0.000</w:t>
            </w:r>
          </w:p>
        </w:tc>
        <w:tc>
          <w:tcPr>
            <w:tcW w:w="130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9E" w14:textId="77777777" w:rsidR="007B149A" w:rsidRDefault="000E054D">
            <w:pPr>
              <w:spacing w:before="240" w:after="240" w:line="360" w:lineRule="auto"/>
              <w:jc w:val="center"/>
            </w:pPr>
            <w:r>
              <w:t>0.000</w:t>
            </w:r>
          </w:p>
        </w:tc>
        <w:tc>
          <w:tcPr>
            <w:tcW w:w="106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9F" w14:textId="77777777" w:rsidR="007B149A" w:rsidRDefault="000E054D">
            <w:pPr>
              <w:spacing w:before="240" w:after="240" w:line="360" w:lineRule="auto"/>
              <w:jc w:val="center"/>
            </w:pPr>
            <w:r>
              <w:t>−0.688</w:t>
            </w:r>
          </w:p>
        </w:tc>
        <w:tc>
          <w:tcPr>
            <w:tcW w:w="855"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A0" w14:textId="77777777" w:rsidR="007B149A" w:rsidRDefault="000E054D">
            <w:pPr>
              <w:spacing w:before="240" w:after="240" w:line="360" w:lineRule="auto"/>
              <w:jc w:val="center"/>
            </w:pPr>
            <w:r>
              <w:t>0.492</w:t>
            </w:r>
          </w:p>
        </w:tc>
        <w:tc>
          <w:tcPr>
            <w:tcW w:w="720" w:type="dxa"/>
            <w:tcBorders>
              <w:top w:val="single" w:sz="8" w:space="0" w:color="000000"/>
              <w:left w:val="single" w:sz="8" w:space="0" w:color="000000"/>
              <w:bottom w:val="nil"/>
              <w:right w:val="single" w:sz="8" w:space="0" w:color="000000"/>
            </w:tcBorders>
            <w:shd w:val="clear" w:color="auto" w:fill="auto"/>
            <w:tcMar>
              <w:top w:w="20" w:type="dxa"/>
              <w:left w:w="20" w:type="dxa"/>
              <w:bottom w:w="20" w:type="dxa"/>
              <w:right w:w="20" w:type="dxa"/>
            </w:tcMar>
          </w:tcPr>
          <w:p w14:paraId="2330F7A1" w14:textId="77777777" w:rsidR="007B149A" w:rsidRDefault="000E054D">
            <w:pPr>
              <w:spacing w:before="240" w:after="240" w:line="360" w:lineRule="auto"/>
              <w:jc w:val="center"/>
            </w:pPr>
            <w:r>
              <w:t>0.000</w:t>
            </w:r>
          </w:p>
        </w:tc>
        <w:tc>
          <w:tcPr>
            <w:tcW w:w="1380" w:type="dxa"/>
            <w:tcBorders>
              <w:top w:val="single" w:sz="8" w:space="0" w:color="000000"/>
              <w:left w:val="single" w:sz="8" w:space="0" w:color="000000"/>
              <w:bottom w:val="nil"/>
              <w:right w:val="nil"/>
            </w:tcBorders>
            <w:shd w:val="clear" w:color="auto" w:fill="auto"/>
            <w:tcMar>
              <w:top w:w="20" w:type="dxa"/>
              <w:left w:w="20" w:type="dxa"/>
              <w:bottom w:w="20" w:type="dxa"/>
              <w:right w:w="20" w:type="dxa"/>
            </w:tcMar>
          </w:tcPr>
          <w:p w14:paraId="2330F7A2" w14:textId="77777777" w:rsidR="007B149A" w:rsidRDefault="000E054D">
            <w:pPr>
              <w:spacing w:before="240" w:after="240" w:line="360" w:lineRule="auto"/>
              <w:jc w:val="center"/>
            </w:pPr>
            <w:r>
              <w:t>0.000</w:t>
            </w:r>
          </w:p>
        </w:tc>
      </w:tr>
    </w:tbl>
    <w:p w14:paraId="2330F7A4" w14:textId="77777777" w:rsidR="007B149A" w:rsidRDefault="000E054D">
      <w:pPr>
        <w:spacing w:after="120" w:line="360" w:lineRule="auto"/>
        <w:rPr>
          <w:rFonts w:ascii="Times New Roman" w:eastAsia="Times New Roman" w:hAnsi="Times New Roman" w:cs="Times New Roman"/>
        </w:rPr>
      </w:pPr>
      <w:r>
        <w:rPr>
          <w:b/>
        </w:rPr>
        <w:t>Table 15.</w:t>
      </w:r>
      <w:r>
        <w:t xml:space="preserve"> Output of meta-regression model examining the effect of size dimorphism and species mean size on sex differences in nitrogen mean, with high leverage data points removed.</w:t>
      </w:r>
    </w:p>
    <w:tbl>
      <w:tblPr>
        <w:tblStyle w:val="ad"/>
        <w:tblW w:w="7546"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620"/>
        <w:gridCol w:w="625"/>
      </w:tblGrid>
      <w:tr w:rsidR="007B149A" w14:paraId="2330F7A6" w14:textId="77777777">
        <w:trPr>
          <w:jc w:val="center"/>
        </w:trPr>
        <w:tc>
          <w:tcPr>
            <w:tcW w:w="7546" w:type="dxa"/>
            <w:gridSpan w:val="8"/>
            <w:vAlign w:val="center"/>
          </w:tcPr>
          <w:p w14:paraId="2330F7A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w:t>
            </w:r>
          </w:p>
        </w:tc>
      </w:tr>
      <w:tr w:rsidR="007B149A" w14:paraId="2330F7B0" w14:textId="77777777">
        <w:trPr>
          <w:jc w:val="center"/>
        </w:trPr>
        <w:tc>
          <w:tcPr>
            <w:tcW w:w="1772" w:type="dxa"/>
            <w:vAlign w:val="center"/>
          </w:tcPr>
          <w:p w14:paraId="2330F7A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7A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7A9"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7AA"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7AB"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Error</w:t>
            </w:r>
          </w:p>
        </w:tc>
        <w:tc>
          <w:tcPr>
            <w:tcW w:w="907" w:type="dxa"/>
            <w:vAlign w:val="center"/>
          </w:tcPr>
          <w:p w14:paraId="2330F7AC"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Statistic</w:t>
            </w:r>
          </w:p>
        </w:tc>
        <w:tc>
          <w:tcPr>
            <w:tcW w:w="620" w:type="dxa"/>
            <w:vAlign w:val="center"/>
          </w:tcPr>
          <w:p w14:paraId="2330F7AD"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620" w:type="dxa"/>
            <w:vAlign w:val="center"/>
          </w:tcPr>
          <w:p w14:paraId="2330F7A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7A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ub</w:t>
            </w:r>
          </w:p>
        </w:tc>
      </w:tr>
      <w:tr w:rsidR="007B149A" w14:paraId="2330F7B9" w14:textId="77777777">
        <w:trPr>
          <w:jc w:val="center"/>
        </w:trPr>
        <w:tc>
          <w:tcPr>
            <w:tcW w:w="1772" w:type="dxa"/>
            <w:vAlign w:val="center"/>
          </w:tcPr>
          <w:p w14:paraId="2330F7B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7B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B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0.095</w:t>
            </w:r>
          </w:p>
        </w:tc>
        <w:tc>
          <w:tcPr>
            <w:tcW w:w="1041" w:type="dxa"/>
            <w:vAlign w:val="center"/>
          </w:tcPr>
          <w:p w14:paraId="2330F7B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0.041</w:t>
            </w:r>
          </w:p>
        </w:tc>
        <w:tc>
          <w:tcPr>
            <w:tcW w:w="907" w:type="dxa"/>
            <w:vAlign w:val="center"/>
          </w:tcPr>
          <w:p w14:paraId="2330F7B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2.304</w:t>
            </w:r>
          </w:p>
        </w:tc>
        <w:tc>
          <w:tcPr>
            <w:tcW w:w="620" w:type="dxa"/>
            <w:vAlign w:val="center"/>
          </w:tcPr>
          <w:p w14:paraId="2330F7B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0.021</w:t>
            </w:r>
          </w:p>
        </w:tc>
        <w:tc>
          <w:tcPr>
            <w:tcW w:w="620" w:type="dxa"/>
            <w:vAlign w:val="center"/>
          </w:tcPr>
          <w:p w14:paraId="2330F7B7"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0.014</w:t>
            </w:r>
          </w:p>
        </w:tc>
        <w:tc>
          <w:tcPr>
            <w:tcW w:w="625" w:type="dxa"/>
            <w:vAlign w:val="center"/>
          </w:tcPr>
          <w:p w14:paraId="2330F7B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0.177</w:t>
            </w:r>
          </w:p>
        </w:tc>
      </w:tr>
      <w:tr w:rsidR="007B149A" w14:paraId="2330F7C2" w14:textId="77777777">
        <w:trPr>
          <w:jc w:val="center"/>
        </w:trPr>
        <w:tc>
          <w:tcPr>
            <w:tcW w:w="1772" w:type="dxa"/>
            <w:vAlign w:val="center"/>
          </w:tcPr>
          <w:p w14:paraId="2330F7B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7B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B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0.114</w:t>
            </w:r>
          </w:p>
        </w:tc>
        <w:tc>
          <w:tcPr>
            <w:tcW w:w="1041" w:type="dxa"/>
            <w:vAlign w:val="center"/>
          </w:tcPr>
          <w:p w14:paraId="2330F7B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0.034</w:t>
            </w:r>
          </w:p>
        </w:tc>
        <w:tc>
          <w:tcPr>
            <w:tcW w:w="907" w:type="dxa"/>
            <w:vAlign w:val="center"/>
          </w:tcPr>
          <w:p w14:paraId="2330F7B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3.328</w:t>
            </w:r>
          </w:p>
        </w:tc>
        <w:tc>
          <w:tcPr>
            <w:tcW w:w="620" w:type="dxa"/>
            <w:vAlign w:val="center"/>
          </w:tcPr>
          <w:p w14:paraId="2330F7B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0.001</w:t>
            </w:r>
          </w:p>
        </w:tc>
        <w:tc>
          <w:tcPr>
            <w:tcW w:w="620" w:type="dxa"/>
            <w:vAlign w:val="center"/>
          </w:tcPr>
          <w:p w14:paraId="2330F7C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0.047</w:t>
            </w:r>
          </w:p>
        </w:tc>
        <w:tc>
          <w:tcPr>
            <w:tcW w:w="625" w:type="dxa"/>
            <w:vAlign w:val="center"/>
          </w:tcPr>
          <w:p w14:paraId="2330F7C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0.181</w:t>
            </w:r>
          </w:p>
        </w:tc>
      </w:tr>
    </w:tbl>
    <w:p w14:paraId="2330F7C3" w14:textId="77777777" w:rsidR="007B149A" w:rsidRDefault="007B149A">
      <w:pPr>
        <w:spacing w:line="360" w:lineRule="auto"/>
        <w:rPr>
          <w:rFonts w:ascii="Times New Roman" w:eastAsia="Times New Roman" w:hAnsi="Times New Roman" w:cs="Times New Roman"/>
        </w:rPr>
      </w:pPr>
    </w:p>
    <w:p w14:paraId="2330F7C4" w14:textId="77777777" w:rsidR="007B149A" w:rsidRDefault="000E054D">
      <w:pPr>
        <w:spacing w:after="120" w:line="360" w:lineRule="auto"/>
        <w:rPr>
          <w:rFonts w:ascii="Times New Roman" w:eastAsia="Times New Roman" w:hAnsi="Times New Roman" w:cs="Times New Roman"/>
        </w:rPr>
      </w:pPr>
      <w:r>
        <w:rPr>
          <w:b/>
        </w:rPr>
        <w:t xml:space="preserve">Table 16. </w:t>
      </w:r>
      <w:r>
        <w:t>Output of meta-regression model examining the effect of size dimorphism on sex differences in nitrogen mean, in gape-limited carnivores, with high leverage data points removed. </w:t>
      </w:r>
    </w:p>
    <w:tbl>
      <w:tblPr>
        <w:tblStyle w:val="ae"/>
        <w:tblW w:w="7682" w:type="dxa"/>
        <w:jc w:val="center"/>
        <w:tblBorders>
          <w:insideH w:val="single" w:sz="4" w:space="0" w:color="000000"/>
          <w:insideV w:val="single" w:sz="4" w:space="0" w:color="000000"/>
        </w:tblBorders>
        <w:tblLayout w:type="fixed"/>
        <w:tblLook w:val="0400" w:firstRow="0" w:lastRow="0" w:firstColumn="0" w:lastColumn="0" w:noHBand="0" w:noVBand="1"/>
      </w:tblPr>
      <w:tblGrid>
        <w:gridCol w:w="1772"/>
        <w:gridCol w:w="974"/>
        <w:gridCol w:w="987"/>
        <w:gridCol w:w="1041"/>
        <w:gridCol w:w="907"/>
        <w:gridCol w:w="620"/>
        <w:gridCol w:w="756"/>
        <w:gridCol w:w="625"/>
      </w:tblGrid>
      <w:tr w:rsidR="007B149A" w14:paraId="2330F7C6" w14:textId="77777777">
        <w:trPr>
          <w:jc w:val="center"/>
        </w:trPr>
        <w:tc>
          <w:tcPr>
            <w:tcW w:w="7682" w:type="dxa"/>
            <w:gridSpan w:val="8"/>
            <w:vAlign w:val="center"/>
          </w:tcPr>
          <w:p w14:paraId="2330F7C5"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Nitrogen Mean Difference ~ Size Dimorphism</w:t>
            </w:r>
          </w:p>
        </w:tc>
      </w:tr>
      <w:tr w:rsidR="007B149A" w14:paraId="2330F7D0" w14:textId="77777777">
        <w:trPr>
          <w:jc w:val="center"/>
        </w:trPr>
        <w:tc>
          <w:tcPr>
            <w:tcW w:w="1772" w:type="dxa"/>
            <w:vAlign w:val="center"/>
          </w:tcPr>
          <w:p w14:paraId="2330F7C7"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Term</w:t>
            </w:r>
          </w:p>
        </w:tc>
        <w:tc>
          <w:tcPr>
            <w:tcW w:w="974" w:type="dxa"/>
            <w:vAlign w:val="center"/>
          </w:tcPr>
          <w:p w14:paraId="2330F7C8"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Type</w:t>
            </w:r>
          </w:p>
        </w:tc>
        <w:tc>
          <w:tcPr>
            <w:tcW w:w="987" w:type="dxa"/>
            <w:vAlign w:val="center"/>
          </w:tcPr>
          <w:p w14:paraId="2330F7C9"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Estimate</w:t>
            </w:r>
          </w:p>
        </w:tc>
        <w:tc>
          <w:tcPr>
            <w:tcW w:w="1041" w:type="dxa"/>
            <w:vAlign w:val="center"/>
          </w:tcPr>
          <w:p w14:paraId="2330F7CA"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Standard</w:t>
            </w:r>
          </w:p>
          <w:p w14:paraId="2330F7CB"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lastRenderedPageBreak/>
              <w:t>Error</w:t>
            </w:r>
          </w:p>
        </w:tc>
        <w:tc>
          <w:tcPr>
            <w:tcW w:w="907" w:type="dxa"/>
            <w:vAlign w:val="center"/>
          </w:tcPr>
          <w:p w14:paraId="2330F7CC"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lastRenderedPageBreak/>
              <w:t>Statistic</w:t>
            </w:r>
          </w:p>
        </w:tc>
        <w:tc>
          <w:tcPr>
            <w:tcW w:w="620" w:type="dxa"/>
            <w:vAlign w:val="center"/>
          </w:tcPr>
          <w:p w14:paraId="2330F7CD" w14:textId="77777777" w:rsidR="007B149A" w:rsidRDefault="000E054D">
            <w:pPr>
              <w:spacing w:after="0" w:line="360" w:lineRule="auto"/>
              <w:jc w:val="center"/>
              <w:rPr>
                <w:rFonts w:ascii="Times New Roman" w:eastAsia="Times New Roman" w:hAnsi="Times New Roman" w:cs="Times New Roman"/>
                <w:b/>
                <w:i/>
              </w:rPr>
            </w:pPr>
            <w:r>
              <w:rPr>
                <w:rFonts w:ascii="Times New Roman" w:eastAsia="Times New Roman" w:hAnsi="Times New Roman" w:cs="Times New Roman"/>
                <w:b/>
                <w:i/>
              </w:rPr>
              <w:t>p</w:t>
            </w:r>
          </w:p>
        </w:tc>
        <w:tc>
          <w:tcPr>
            <w:tcW w:w="756" w:type="dxa"/>
            <w:vAlign w:val="center"/>
          </w:tcPr>
          <w:p w14:paraId="2330F7CE"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c>
          <w:tcPr>
            <w:tcW w:w="625" w:type="dxa"/>
            <w:vAlign w:val="center"/>
          </w:tcPr>
          <w:p w14:paraId="2330F7CF" w14:textId="77777777" w:rsidR="007B149A" w:rsidRDefault="000E054D">
            <w:pPr>
              <w:spacing w:after="0" w:line="360" w:lineRule="auto"/>
              <w:jc w:val="center"/>
              <w:rPr>
                <w:rFonts w:ascii="Times New Roman" w:eastAsia="Times New Roman" w:hAnsi="Times New Roman" w:cs="Times New Roman"/>
                <w:b/>
              </w:rPr>
            </w:pPr>
            <w:r>
              <w:rPr>
                <w:rFonts w:ascii="Times New Roman" w:eastAsia="Times New Roman" w:hAnsi="Times New Roman" w:cs="Times New Roman"/>
                <w:b/>
              </w:rPr>
              <w:t>ci lb</w:t>
            </w:r>
          </w:p>
        </w:tc>
      </w:tr>
      <w:tr w:rsidR="007B149A" w14:paraId="2330F7D9" w14:textId="77777777">
        <w:trPr>
          <w:jc w:val="center"/>
        </w:trPr>
        <w:tc>
          <w:tcPr>
            <w:tcW w:w="1772" w:type="dxa"/>
            <w:vAlign w:val="center"/>
          </w:tcPr>
          <w:p w14:paraId="2330F7D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Intercept</w:t>
            </w:r>
          </w:p>
        </w:tc>
        <w:tc>
          <w:tcPr>
            <w:tcW w:w="974" w:type="dxa"/>
            <w:vAlign w:val="center"/>
          </w:tcPr>
          <w:p w14:paraId="2330F7D2"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D3"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0.087</w:t>
            </w:r>
          </w:p>
        </w:tc>
        <w:tc>
          <w:tcPr>
            <w:tcW w:w="1041" w:type="dxa"/>
            <w:vAlign w:val="center"/>
          </w:tcPr>
          <w:p w14:paraId="2330F7D4"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0.069</w:t>
            </w:r>
          </w:p>
        </w:tc>
        <w:tc>
          <w:tcPr>
            <w:tcW w:w="907" w:type="dxa"/>
            <w:vAlign w:val="center"/>
          </w:tcPr>
          <w:p w14:paraId="2330F7D5"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1.267</w:t>
            </w:r>
          </w:p>
        </w:tc>
        <w:tc>
          <w:tcPr>
            <w:tcW w:w="620" w:type="dxa"/>
            <w:vAlign w:val="center"/>
          </w:tcPr>
          <w:p w14:paraId="2330F7D6"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0.205</w:t>
            </w:r>
          </w:p>
        </w:tc>
        <w:tc>
          <w:tcPr>
            <w:tcW w:w="756" w:type="dxa"/>
            <w:vAlign w:val="center"/>
          </w:tcPr>
          <w:p w14:paraId="2330F7D7" w14:textId="77777777" w:rsidR="007B149A" w:rsidRDefault="000E054D">
            <w:pPr>
              <w:spacing w:after="0" w:line="360" w:lineRule="auto"/>
              <w:rPr>
                <w:rFonts w:ascii="Times New Roman" w:eastAsia="Times New Roman" w:hAnsi="Times New Roman" w:cs="Times New Roman"/>
              </w:rPr>
            </w:pPr>
            <w:r>
              <w:rPr>
                <w:rFonts w:ascii="Gungsuh" w:eastAsia="Gungsuh" w:hAnsi="Gungsuh" w:cs="Gungsuh"/>
              </w:rPr>
              <w:t>−0.047</w:t>
            </w:r>
          </w:p>
        </w:tc>
        <w:tc>
          <w:tcPr>
            <w:tcW w:w="625" w:type="dxa"/>
            <w:vAlign w:val="center"/>
          </w:tcPr>
          <w:p w14:paraId="2330F7D8"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0.221</w:t>
            </w:r>
          </w:p>
        </w:tc>
      </w:tr>
      <w:tr w:rsidR="007B149A" w14:paraId="2330F7E2" w14:textId="77777777">
        <w:trPr>
          <w:jc w:val="center"/>
        </w:trPr>
        <w:tc>
          <w:tcPr>
            <w:tcW w:w="1772" w:type="dxa"/>
            <w:vAlign w:val="center"/>
          </w:tcPr>
          <w:p w14:paraId="2330F7DA"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Size Dimorphism</w:t>
            </w:r>
          </w:p>
        </w:tc>
        <w:tc>
          <w:tcPr>
            <w:tcW w:w="974" w:type="dxa"/>
            <w:vAlign w:val="center"/>
          </w:tcPr>
          <w:p w14:paraId="2330F7DB"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summary</w:t>
            </w:r>
          </w:p>
        </w:tc>
        <w:tc>
          <w:tcPr>
            <w:tcW w:w="987" w:type="dxa"/>
            <w:vAlign w:val="center"/>
          </w:tcPr>
          <w:p w14:paraId="2330F7DC"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0.160</w:t>
            </w:r>
          </w:p>
        </w:tc>
        <w:tc>
          <w:tcPr>
            <w:tcW w:w="1041" w:type="dxa"/>
            <w:vAlign w:val="center"/>
          </w:tcPr>
          <w:p w14:paraId="2330F7DD"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0.076</w:t>
            </w:r>
          </w:p>
        </w:tc>
        <w:tc>
          <w:tcPr>
            <w:tcW w:w="907" w:type="dxa"/>
            <w:vAlign w:val="center"/>
          </w:tcPr>
          <w:p w14:paraId="2330F7DE"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2.119</w:t>
            </w:r>
          </w:p>
        </w:tc>
        <w:tc>
          <w:tcPr>
            <w:tcW w:w="620" w:type="dxa"/>
            <w:vAlign w:val="center"/>
          </w:tcPr>
          <w:p w14:paraId="2330F7DF"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0.034</w:t>
            </w:r>
          </w:p>
        </w:tc>
        <w:tc>
          <w:tcPr>
            <w:tcW w:w="756" w:type="dxa"/>
            <w:vAlign w:val="center"/>
          </w:tcPr>
          <w:p w14:paraId="2330F7E0"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0.012</w:t>
            </w:r>
          </w:p>
        </w:tc>
        <w:tc>
          <w:tcPr>
            <w:tcW w:w="625" w:type="dxa"/>
            <w:vAlign w:val="center"/>
          </w:tcPr>
          <w:p w14:paraId="2330F7E1" w14:textId="77777777" w:rsidR="007B149A" w:rsidRDefault="000E054D">
            <w:pPr>
              <w:spacing w:after="0" w:line="360" w:lineRule="auto"/>
              <w:rPr>
                <w:rFonts w:ascii="Times New Roman" w:eastAsia="Times New Roman" w:hAnsi="Times New Roman" w:cs="Times New Roman"/>
              </w:rPr>
            </w:pPr>
            <w:r>
              <w:rPr>
                <w:rFonts w:ascii="Times New Roman" w:eastAsia="Times New Roman" w:hAnsi="Times New Roman" w:cs="Times New Roman"/>
              </w:rPr>
              <w:t>0.309</w:t>
            </w:r>
          </w:p>
        </w:tc>
      </w:tr>
    </w:tbl>
    <w:p w14:paraId="2330F7E3" w14:textId="77777777" w:rsidR="007B149A" w:rsidRDefault="007B149A">
      <w:pPr>
        <w:spacing w:line="360" w:lineRule="auto"/>
        <w:rPr>
          <w:rFonts w:ascii="Times New Roman" w:eastAsia="Times New Roman" w:hAnsi="Times New Roman" w:cs="Times New Roman"/>
        </w:rPr>
      </w:pPr>
    </w:p>
    <w:p w14:paraId="2330F7E4" w14:textId="77777777" w:rsidR="007B149A" w:rsidRDefault="000E054D">
      <w:pPr>
        <w:spacing w:after="120" w:line="360" w:lineRule="auto"/>
        <w:rPr>
          <w:rFonts w:ascii="Times New Roman" w:eastAsia="Times New Roman" w:hAnsi="Times New Roman" w:cs="Times New Roman"/>
        </w:rPr>
      </w:pPr>
      <w:r>
        <w:rPr>
          <w:b/>
        </w:rPr>
        <w:t xml:space="preserve">Table 17. </w:t>
      </w:r>
      <w:r>
        <w:t>Output of meta-regression model examining the effect of size dimorphism on sex differences in nitrogen mean, in non-gape-limited carnivores, with high leverage data points removed. </w:t>
      </w:r>
    </w:p>
    <w:p w14:paraId="2330F7E5" w14:textId="77777777" w:rsidR="007B149A" w:rsidRDefault="007B149A"/>
    <w:sectPr w:rsidR="007B149A" w:rsidSect="008972CA">
      <w:footerReference w:type="default" r:id="rId243"/>
      <w:pgSz w:w="12240" w:h="15840"/>
      <w:pgMar w:top="1440" w:right="1440" w:bottom="1440" w:left="1440" w:header="720" w:footer="720" w:gutter="0"/>
      <w:lnNumType w:countBy="1" w:restart="continuous"/>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30F801" w14:textId="77777777" w:rsidR="003F4D66" w:rsidRDefault="000E054D">
      <w:pPr>
        <w:spacing w:after="0"/>
      </w:pPr>
      <w:r>
        <w:separator/>
      </w:r>
    </w:p>
  </w:endnote>
  <w:endnote w:type="continuationSeparator" w:id="0">
    <w:p w14:paraId="2330F803" w14:textId="77777777" w:rsidR="003F4D66" w:rsidRDefault="000E054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Gungsuh">
    <w:altName w:val="Gungsuh"/>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0F7FC" w14:textId="77777777" w:rsidR="007B149A" w:rsidRDefault="007B14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30F7FD" w14:textId="77777777" w:rsidR="003F4D66" w:rsidRDefault="000E054D">
      <w:pPr>
        <w:spacing w:after="0"/>
      </w:pPr>
      <w:r>
        <w:separator/>
      </w:r>
    </w:p>
  </w:footnote>
  <w:footnote w:type="continuationSeparator" w:id="0">
    <w:p w14:paraId="2330F7FF" w14:textId="77777777" w:rsidR="003F4D66" w:rsidRDefault="000E054D">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C200D7"/>
    <w:multiLevelType w:val="multilevel"/>
    <w:tmpl w:val="D3A4FC68"/>
    <w:lvl w:ilvl="0">
      <w:start w:val="1"/>
      <w:numFmt w:val="decimal"/>
      <w:lvlText w:val="%1)"/>
      <w:lvlJc w:val="left"/>
      <w:pPr>
        <w:ind w:left="480" w:hanging="480"/>
      </w:pPr>
    </w:lvl>
    <w:lvl w:ilvl="1">
      <w:start w:val="1"/>
      <w:numFmt w:val="decimal"/>
      <w:lvlText w:val="%2)"/>
      <w:lvlJc w:val="left"/>
      <w:pPr>
        <w:ind w:left="1200" w:hanging="480"/>
      </w:pPr>
    </w:lvl>
    <w:lvl w:ilvl="2">
      <w:start w:val="1"/>
      <w:numFmt w:val="decimal"/>
      <w:lvlText w:val="%3)"/>
      <w:lvlJc w:val="left"/>
      <w:pPr>
        <w:ind w:left="1920" w:hanging="480"/>
      </w:pPr>
    </w:lvl>
    <w:lvl w:ilvl="3">
      <w:start w:val="1"/>
      <w:numFmt w:val="decimal"/>
      <w:lvlText w:val="%4)"/>
      <w:lvlJc w:val="left"/>
      <w:pPr>
        <w:ind w:left="2640" w:hanging="480"/>
      </w:pPr>
    </w:lvl>
    <w:lvl w:ilvl="4">
      <w:start w:val="1"/>
      <w:numFmt w:val="decimal"/>
      <w:lvlText w:val="%5)"/>
      <w:lvlJc w:val="left"/>
      <w:pPr>
        <w:ind w:left="3360" w:hanging="480"/>
      </w:pPr>
    </w:lvl>
    <w:lvl w:ilvl="5">
      <w:start w:val="1"/>
      <w:numFmt w:val="decimal"/>
      <w:lvlText w:val="%6)"/>
      <w:lvlJc w:val="left"/>
      <w:pPr>
        <w:ind w:left="4080" w:hanging="480"/>
      </w:pPr>
    </w:lvl>
    <w:lvl w:ilvl="6">
      <w:start w:val="1"/>
      <w:numFmt w:val="decimal"/>
      <w:lvlText w:val="%7)"/>
      <w:lvlJc w:val="left"/>
      <w:pPr>
        <w:ind w:left="4800" w:hanging="480"/>
      </w:pPr>
    </w:lvl>
    <w:lvl w:ilvl="7">
      <w:start w:val="1"/>
      <w:numFmt w:val="decimal"/>
      <w:lvlText w:val="%8)"/>
      <w:lvlJc w:val="left"/>
      <w:pPr>
        <w:ind w:left="5520" w:hanging="480"/>
      </w:pPr>
    </w:lvl>
    <w:lvl w:ilvl="8">
      <w:start w:val="1"/>
      <w:numFmt w:val="decimal"/>
      <w:lvlText w:val="%9)"/>
      <w:lvlJc w:val="left"/>
      <w:pPr>
        <w:ind w:left="6240" w:hanging="480"/>
      </w:pPr>
    </w:lvl>
  </w:abstractNum>
  <w:abstractNum w:abstractNumId="1" w15:restartNumberingAfterBreak="0">
    <w:nsid w:val="280D3C66"/>
    <w:multiLevelType w:val="multilevel"/>
    <w:tmpl w:val="CE3449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149A"/>
    <w:rsid w:val="000E054D"/>
    <w:rsid w:val="001E4422"/>
    <w:rsid w:val="002F5D42"/>
    <w:rsid w:val="003F4D66"/>
    <w:rsid w:val="007B149A"/>
    <w:rsid w:val="008972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30F404"/>
  <w15:docId w15:val="{06354862-8E53-4F65-A32B-22033DD0F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GB"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0"/>
      <w:outlineLvl w:val="0"/>
    </w:pPr>
    <w:rPr>
      <w:b/>
      <w:color w:val="2C4F8E"/>
      <w:sz w:val="32"/>
      <w:szCs w:val="32"/>
    </w:rPr>
  </w:style>
  <w:style w:type="paragraph" w:styleId="Heading2">
    <w:name w:val="heading 2"/>
    <w:basedOn w:val="Normal"/>
    <w:next w:val="Normal"/>
    <w:link w:val="Heading2Char"/>
    <w:uiPriority w:val="9"/>
    <w:unhideWhenUsed/>
    <w:qFormat/>
    <w:pPr>
      <w:keepNext/>
      <w:keepLines/>
      <w:spacing w:before="200" w:after="0"/>
      <w:outlineLvl w:val="1"/>
    </w:pPr>
    <w:rPr>
      <w:b/>
      <w:color w:val="4472C4"/>
      <w:sz w:val="32"/>
      <w:szCs w:val="32"/>
    </w:rPr>
  </w:style>
  <w:style w:type="paragraph" w:styleId="Heading3">
    <w:name w:val="heading 3"/>
    <w:basedOn w:val="Normal"/>
    <w:next w:val="Normal"/>
    <w:uiPriority w:val="9"/>
    <w:unhideWhenUsed/>
    <w:qFormat/>
    <w:pPr>
      <w:keepNext/>
      <w:keepLines/>
      <w:spacing w:before="200" w:after="0"/>
      <w:outlineLvl w:val="2"/>
    </w:pPr>
    <w:rPr>
      <w:b/>
      <w:color w:val="4472C4"/>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240"/>
      <w:jc w:val="center"/>
    </w:pPr>
    <w:rPr>
      <w:b/>
      <w:color w:val="2C4F8E"/>
      <w:sz w:val="36"/>
      <w:szCs w:val="3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tblPr>
      <w:tblStyleRowBandSize w:val="1"/>
      <w:tblStyleColBandSize w:val="1"/>
      <w:tblCellMar>
        <w:top w:w="15" w:type="dxa"/>
        <w:left w:w="15" w:type="dxa"/>
        <w:bottom w:w="15" w:type="dxa"/>
        <w:right w:w="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top w:w="15" w:type="dxa"/>
        <w:left w:w="15" w:type="dxa"/>
        <w:bottom w:w="15" w:type="dxa"/>
        <w:right w:w="15" w:type="dxa"/>
      </w:tblCellMar>
    </w:tblPr>
  </w:style>
  <w:style w:type="table" w:customStyle="1" w:styleId="a6">
    <w:basedOn w:val="TableNormal"/>
    <w:tblPr>
      <w:tblStyleRowBandSize w:val="1"/>
      <w:tblStyleColBandSize w:val="1"/>
      <w:tblCellMar>
        <w:top w:w="15" w:type="dxa"/>
        <w:left w:w="15" w:type="dxa"/>
        <w:bottom w:w="15" w:type="dxa"/>
        <w:right w:w="15" w:type="dxa"/>
      </w:tblCellMar>
    </w:tblPr>
  </w:style>
  <w:style w:type="table" w:customStyle="1" w:styleId="a7">
    <w:basedOn w:val="TableNormal"/>
    <w:tblPr>
      <w:tblStyleRowBandSize w:val="1"/>
      <w:tblStyleColBandSize w:val="1"/>
      <w:tblCellMar>
        <w:top w:w="15" w:type="dxa"/>
        <w:left w:w="15" w:type="dxa"/>
        <w:bottom w:w="15" w:type="dxa"/>
        <w:right w:w="15" w:type="dxa"/>
      </w:tblCellMar>
    </w:tblPr>
  </w:style>
  <w:style w:type="table" w:customStyle="1" w:styleId="a8">
    <w:basedOn w:val="TableNormal"/>
    <w:tblPr>
      <w:tblStyleRowBandSize w:val="1"/>
      <w:tblStyleColBandSize w:val="1"/>
      <w:tblCellMar>
        <w:top w:w="15" w:type="dxa"/>
        <w:left w:w="15" w:type="dxa"/>
        <w:bottom w:w="15" w:type="dxa"/>
        <w:right w:w="15" w:type="dxa"/>
      </w:tblCellMar>
    </w:tblPr>
  </w:style>
  <w:style w:type="table" w:customStyle="1" w:styleId="a9">
    <w:basedOn w:val="TableNormal"/>
    <w:tblPr>
      <w:tblStyleRowBandSize w:val="1"/>
      <w:tblStyleColBandSize w:val="1"/>
      <w:tblCellMar>
        <w:top w:w="15" w:type="dxa"/>
        <w:left w:w="15" w:type="dxa"/>
        <w:bottom w:w="15" w:type="dxa"/>
        <w:right w:w="15" w:type="dxa"/>
      </w:tblCellMar>
    </w:tblPr>
  </w:style>
  <w:style w:type="table" w:customStyle="1" w:styleId="aa">
    <w:basedOn w:val="TableNormal"/>
    <w:tblPr>
      <w:tblStyleRowBandSize w:val="1"/>
      <w:tblStyleColBandSize w:val="1"/>
      <w:tblCellMar>
        <w:top w:w="15" w:type="dxa"/>
        <w:left w:w="15" w:type="dxa"/>
        <w:bottom w:w="15" w:type="dxa"/>
        <w:right w:w="15"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5" w:type="dxa"/>
        <w:left w:w="15" w:type="dxa"/>
        <w:bottom w:w="15" w:type="dxa"/>
        <w:right w:w="15" w:type="dxa"/>
      </w:tblCellMar>
    </w:tblPr>
  </w:style>
  <w:style w:type="table" w:customStyle="1" w:styleId="ae">
    <w:basedOn w:val="TableNormal"/>
    <w:tblPr>
      <w:tblStyleRowBandSize w:val="1"/>
      <w:tblStyleColBandSize w:val="1"/>
      <w:tblCellMar>
        <w:top w:w="15" w:type="dxa"/>
        <w:left w:w="15" w:type="dxa"/>
        <w:bottom w:w="15" w:type="dxa"/>
        <w:right w:w="15" w:type="dxa"/>
      </w:tblCellMar>
    </w:tblPr>
  </w:style>
  <w:style w:type="character" w:styleId="LineNumber">
    <w:name w:val="line number"/>
    <w:basedOn w:val="DefaultParagraphFont"/>
    <w:uiPriority w:val="99"/>
    <w:semiHidden/>
    <w:unhideWhenUsed/>
    <w:rsid w:val="008972CA"/>
  </w:style>
  <w:style w:type="character" w:customStyle="1" w:styleId="Heading2Char">
    <w:name w:val="Heading 2 Char"/>
    <w:basedOn w:val="DefaultParagraphFont"/>
    <w:link w:val="Heading2"/>
    <w:uiPriority w:val="9"/>
    <w:rsid w:val="001E4422"/>
    <w:rPr>
      <w:b/>
      <w:color w:val="4472C4"/>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hyperlink" Target="https://doi.org/10.1186/s12898-017-0125-0" TargetMode="External"/><Relationship Id="rId21" Type="http://schemas.openxmlformats.org/officeDocument/2006/relationships/hyperlink" Target="https://doi.org/10.1111/j.1365-2664.2009.01620.x" TargetMode="External"/><Relationship Id="rId42" Type="http://schemas.openxmlformats.org/officeDocument/2006/relationships/hyperlink" Target="https://doi.org/10.1016/j.cub.2008.06.059" TargetMode="External"/><Relationship Id="rId63" Type="http://schemas.openxmlformats.org/officeDocument/2006/relationships/hyperlink" Target="https://doi.org/10.1046/j.1420-9101.2000.00181.x" TargetMode="External"/><Relationship Id="rId84" Type="http://schemas.openxmlformats.org/officeDocument/2006/relationships/hyperlink" Target="https://doi.org/10.1111/j.1600-0587.2009.06034.x" TargetMode="External"/><Relationship Id="rId138" Type="http://schemas.openxmlformats.org/officeDocument/2006/relationships/hyperlink" Target="https://doi.org/10.3354/meps12046" TargetMode="External"/><Relationship Id="rId159" Type="http://schemas.openxmlformats.org/officeDocument/2006/relationships/hyperlink" Target="https://doi.org/10.1111/aec.12117" TargetMode="External"/><Relationship Id="rId170" Type="http://schemas.openxmlformats.org/officeDocument/2006/relationships/hyperlink" Target="https://doi.org/10.3354/meps10029" TargetMode="External"/><Relationship Id="rId191" Type="http://schemas.openxmlformats.org/officeDocument/2006/relationships/hyperlink" Target="https://doi.org/10.1007/s00300-020-02707-1" TargetMode="External"/><Relationship Id="rId205" Type="http://schemas.openxmlformats.org/officeDocument/2006/relationships/hyperlink" Target="https://doi.org/10.1590/0001-3765201520140266" TargetMode="External"/><Relationship Id="rId226" Type="http://schemas.openxmlformats.org/officeDocument/2006/relationships/hyperlink" Target="https://doi.org/10.1098/rsbl.2015.0429" TargetMode="External"/><Relationship Id="rId107" Type="http://schemas.openxmlformats.org/officeDocument/2006/relationships/hyperlink" Target="https://doi.org/10.1007/s00227-012-1946-1" TargetMode="External"/><Relationship Id="rId11" Type="http://schemas.openxmlformats.org/officeDocument/2006/relationships/image" Target="media/image5.jpg"/><Relationship Id="rId32" Type="http://schemas.openxmlformats.org/officeDocument/2006/relationships/hyperlink" Target="https://doi.org/10.1046/j.1365-2435.1999.00305.x" TargetMode="External"/><Relationship Id="rId53" Type="http://schemas.openxmlformats.org/officeDocument/2006/relationships/hyperlink" Target="https://doi.org/10.1007/978-94-017-9585-2_7" TargetMode="External"/><Relationship Id="rId74" Type="http://schemas.openxmlformats.org/officeDocument/2006/relationships/hyperlink" Target="https://dio.org/10.18637/jss.v036.i03" TargetMode="External"/><Relationship Id="rId128" Type="http://schemas.openxmlformats.org/officeDocument/2006/relationships/hyperlink" Target="https://doi.org/10.3354/meps234289" TargetMode="External"/><Relationship Id="rId149" Type="http://schemas.openxmlformats.org/officeDocument/2006/relationships/hyperlink" Target="https://doi.org/10.1890/13-1376.1" TargetMode="External"/><Relationship Id="rId5" Type="http://schemas.openxmlformats.org/officeDocument/2006/relationships/footnotes" Target="footnotes.xml"/><Relationship Id="rId95" Type="http://schemas.openxmlformats.org/officeDocument/2006/relationships/hyperlink" Target="https://doi.org/10.1016/j.dsr2.2017.11.005" TargetMode="External"/><Relationship Id="rId160" Type="http://schemas.openxmlformats.org/officeDocument/2006/relationships/hyperlink" Target="https://doi.org/10.1080/01584197.2019.1580536" TargetMode="External"/><Relationship Id="rId181" Type="http://schemas.openxmlformats.org/officeDocument/2006/relationships/hyperlink" Target="https://doi.org/10.1007/s10336-012-0890-7" TargetMode="External"/><Relationship Id="rId216" Type="http://schemas.openxmlformats.org/officeDocument/2006/relationships/hyperlink" Target="https://doi.org/10.3354/meps11998" TargetMode="External"/><Relationship Id="rId237" Type="http://schemas.openxmlformats.org/officeDocument/2006/relationships/hyperlink" Target="https://doi.org/10.1021/acs.est.9b06656" TargetMode="External"/><Relationship Id="rId22" Type="http://schemas.openxmlformats.org/officeDocument/2006/relationships/hyperlink" Target="https://doi.org/10.1002/evl3.134" TargetMode="External"/><Relationship Id="rId43" Type="http://schemas.openxmlformats.org/officeDocument/2006/relationships/hyperlink" Target="https://doi.org/10.1016/j.jembe.2013.09.011" TargetMode="External"/><Relationship Id="rId64" Type="http://schemas.openxmlformats.org/officeDocument/2006/relationships/hyperlink" Target="https://doi.org/10.1038/s41598-021-99113-2" TargetMode="External"/><Relationship Id="rId118" Type="http://schemas.openxmlformats.org/officeDocument/2006/relationships/hyperlink" Target="https://doi.org/10.1002/ajpa.21129" TargetMode="External"/><Relationship Id="rId139" Type="http://schemas.openxmlformats.org/officeDocument/2006/relationships/hyperlink" Target="https://doi.org/10.1007/s00227-017-3070-8" TargetMode="External"/><Relationship Id="rId85" Type="http://schemas.openxmlformats.org/officeDocument/2006/relationships/hyperlink" Target="https://doi.org/10.1007/s10530-016-1251-x" TargetMode="External"/><Relationship Id="rId150" Type="http://schemas.openxmlformats.org/officeDocument/2006/relationships/hyperlink" Target="https://doi.org/10.1007/s00227-009-1165-6" TargetMode="External"/><Relationship Id="rId171" Type="http://schemas.openxmlformats.org/officeDocument/2006/relationships/hyperlink" Target="https://doi.org/10.1126/science.282.5395.1884" TargetMode="External"/><Relationship Id="rId192" Type="http://schemas.openxmlformats.org/officeDocument/2006/relationships/hyperlink" Target="https://doi.org/10.1093/jmammal/gyw122" TargetMode="External"/><Relationship Id="rId206" Type="http://schemas.openxmlformats.org/officeDocument/2006/relationships/hyperlink" Target="https://doi.org/10.1016/j.envres.2015.06.021" TargetMode="External"/><Relationship Id="rId227" Type="http://schemas.openxmlformats.org/officeDocument/2006/relationships/hyperlink" Target="https://doi.org/10.3354/meps12894" TargetMode="External"/><Relationship Id="rId201" Type="http://schemas.openxmlformats.org/officeDocument/2006/relationships/hyperlink" Target="https://doi.org/10.1007/s10530-015-0894-3" TargetMode="External"/><Relationship Id="rId222" Type="http://schemas.openxmlformats.org/officeDocument/2006/relationships/hyperlink" Target="https://doi.org/10.1007/s00227-014-2410-1" TargetMode="External"/><Relationship Id="rId243" Type="http://schemas.openxmlformats.org/officeDocument/2006/relationships/footer" Target="footer1.xml"/><Relationship Id="rId12" Type="http://schemas.openxmlformats.org/officeDocument/2006/relationships/image" Target="media/image6.jpg"/><Relationship Id="rId17" Type="http://schemas.openxmlformats.org/officeDocument/2006/relationships/hyperlink" Target="https://doi.org/10.1111/j.1439-0310.2005.01147.x" TargetMode="External"/><Relationship Id="rId33" Type="http://schemas.openxmlformats.org/officeDocument/2006/relationships/hyperlink" Target="https://doi.org/10.2307/1370067" TargetMode="External"/><Relationship Id="rId38" Type="http://schemas.openxmlformats.org/officeDocument/2006/relationships/hyperlink" Target="https://doi.org/10.1139/cjz-2019-0104" TargetMode="External"/><Relationship Id="rId59" Type="http://schemas.openxmlformats.org/officeDocument/2006/relationships/hyperlink" Target="https://doi.org/10.1016/j.cois.2018.02.002" TargetMode="External"/><Relationship Id="rId103" Type="http://schemas.openxmlformats.org/officeDocument/2006/relationships/hyperlink" Target="https://doi.org/10.3354/meps12259" TargetMode="External"/><Relationship Id="rId108" Type="http://schemas.openxmlformats.org/officeDocument/2006/relationships/hyperlink" Target="https://doi.org/10.3354/meps07587" TargetMode="External"/><Relationship Id="rId124" Type="http://schemas.openxmlformats.org/officeDocument/2006/relationships/hyperlink" Target="https://doi.org/10.1038/s41598-017-07751-2" TargetMode="External"/><Relationship Id="rId129" Type="http://schemas.openxmlformats.org/officeDocument/2006/relationships/hyperlink" Target="https://doi.org/10.3354/meps296107" TargetMode="External"/><Relationship Id="rId54" Type="http://schemas.openxmlformats.org/officeDocument/2006/relationships/hyperlink" Target="https://doi.org/10.1046/j.1095-8312.1999.00075.x" TargetMode="External"/><Relationship Id="rId70" Type="http://schemas.openxmlformats.org/officeDocument/2006/relationships/hyperlink" Target="https://doi.org/10.1073/pnas.0404503101" TargetMode="External"/><Relationship Id="rId75" Type="http://schemas.openxmlformats.org/officeDocument/2006/relationships/hyperlink" Target="https://doi.org/10.1111/jzo.12566" TargetMode="External"/><Relationship Id="rId91" Type="http://schemas.openxmlformats.org/officeDocument/2006/relationships/hyperlink" Target="https://doi.org/10.1007/s10336-011-0776-0" TargetMode="External"/><Relationship Id="rId96" Type="http://schemas.openxmlformats.org/officeDocument/2006/relationships/hyperlink" Target="https://doi.org/10.1002/ece3.6186" TargetMode="External"/><Relationship Id="rId140" Type="http://schemas.openxmlformats.org/officeDocument/2006/relationships/hyperlink" Target="https://doi.org/10.1016/j.foreco.2020.118215" TargetMode="External"/><Relationship Id="rId145" Type="http://schemas.openxmlformats.org/officeDocument/2006/relationships/hyperlink" Target="https://doi.org/10.3354/meps13117" TargetMode="External"/><Relationship Id="rId161" Type="http://schemas.openxmlformats.org/officeDocument/2006/relationships/hyperlink" Target="https://doi.org/10.1007/s00227-017-3240-8" TargetMode="External"/><Relationship Id="rId166" Type="http://schemas.openxmlformats.org/officeDocument/2006/relationships/hyperlink" Target="https://doi.org/10.1007/s00227-018-3341-z" TargetMode="External"/><Relationship Id="rId182" Type="http://schemas.openxmlformats.org/officeDocument/2006/relationships/hyperlink" Target="https://doi.org/10.1111/ibi.12874" TargetMode="External"/><Relationship Id="rId187" Type="http://schemas.openxmlformats.org/officeDocument/2006/relationships/hyperlink" Target="https://doi.org/10.1111/ibi.12311" TargetMode="External"/><Relationship Id="rId217" Type="http://schemas.openxmlformats.org/officeDocument/2006/relationships/hyperlink" Target="https://doi.org/10.1016/j.pocean.2016.06.001" TargetMode="Externa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hyperlink" Target="https://doi.org/10.1007/s00442-012-2423-8" TargetMode="External"/><Relationship Id="rId233" Type="http://schemas.openxmlformats.org/officeDocument/2006/relationships/hyperlink" Target="https://doi.org/10.3354/meps07981" TargetMode="External"/><Relationship Id="rId238" Type="http://schemas.openxmlformats.org/officeDocument/2006/relationships/image" Target="media/image7.jpg"/><Relationship Id="rId23" Type="http://schemas.openxmlformats.org/officeDocument/2006/relationships/hyperlink" Target="https://doi.org/10.1101/2021.02.18.431780" TargetMode="External"/><Relationship Id="rId28" Type="http://schemas.openxmlformats.org/officeDocument/2006/relationships/hyperlink" Target="https://doi.org/10.1525/cond.2010.112.1.183" TargetMode="External"/><Relationship Id="rId49" Type="http://schemas.openxmlformats.org/officeDocument/2006/relationships/hyperlink" Target="https://doi.org/10.1007/s10682-012-9555-5" TargetMode="External"/><Relationship Id="rId114" Type="http://schemas.openxmlformats.org/officeDocument/2006/relationships/hyperlink" Target="https://doi.org/10.1111/j.1365-2699.2011.02551.x" TargetMode="External"/><Relationship Id="rId119" Type="http://schemas.openxmlformats.org/officeDocument/2006/relationships/hyperlink" Target="https://doi.org/10.1016/j.marenvres.2017.03.009" TargetMode="External"/><Relationship Id="rId44" Type="http://schemas.openxmlformats.org/officeDocument/2006/relationships/hyperlink" Target="https://doi.org/10.1063/1.1745698" TargetMode="External"/><Relationship Id="rId60" Type="http://schemas.openxmlformats.org/officeDocument/2006/relationships/hyperlink" Target="https://doi.org/10.1016/j.tree.2011.12.006" TargetMode="External"/><Relationship Id="rId65" Type="http://schemas.openxmlformats.org/officeDocument/2006/relationships/hyperlink" Target="https://doi.org/10.1046/j.1095-8312.2003.00213.x" TargetMode="External"/><Relationship Id="rId81" Type="http://schemas.openxmlformats.org/officeDocument/2006/relationships/hyperlink" Target="https://doi.org/10.3354/meps336291" TargetMode="External"/><Relationship Id="rId86" Type="http://schemas.openxmlformats.org/officeDocument/2006/relationships/hyperlink" Target="https://doi.org/10.1139/cjz-2012-0286" TargetMode="External"/><Relationship Id="rId130" Type="http://schemas.openxmlformats.org/officeDocument/2006/relationships/hyperlink" Target="https://doi.org/10.1093/condor/108.4.865" TargetMode="External"/><Relationship Id="rId135" Type="http://schemas.openxmlformats.org/officeDocument/2006/relationships/hyperlink" Target="https://doi.org/10.3390/ani10081387" TargetMode="External"/><Relationship Id="rId151" Type="http://schemas.openxmlformats.org/officeDocument/2006/relationships/hyperlink" Target="https://doi.org/10.3354/meps12933" TargetMode="External"/><Relationship Id="rId156" Type="http://schemas.openxmlformats.org/officeDocument/2006/relationships/hyperlink" Target="https://doi.org/10.1371/journal.pone.0133018" TargetMode="External"/><Relationship Id="rId177" Type="http://schemas.openxmlformats.org/officeDocument/2006/relationships/hyperlink" Target="https://doi.org/10.1007/s00227-017-3176-z" TargetMode="External"/><Relationship Id="rId198" Type="http://schemas.openxmlformats.org/officeDocument/2006/relationships/hyperlink" Target="https://doi.org/10.1007/s10452-020-09785-7" TargetMode="External"/><Relationship Id="rId172" Type="http://schemas.openxmlformats.org/officeDocument/2006/relationships/hyperlink" Target="https://doi.org/10.3354/meps09331" TargetMode="External"/><Relationship Id="rId193" Type="http://schemas.openxmlformats.org/officeDocument/2006/relationships/hyperlink" Target="https://doi.org/10.1093/cz/zoy062" TargetMode="External"/><Relationship Id="rId202" Type="http://schemas.openxmlformats.org/officeDocument/2006/relationships/hyperlink" Target="http://doi.org/10.1007/s00442-009-1342-9" TargetMode="External"/><Relationship Id="rId207" Type="http://schemas.openxmlformats.org/officeDocument/2006/relationships/hyperlink" Target="https://doi.org/10.1016/j.chemosphere.2019.124448" TargetMode="External"/><Relationship Id="rId223" Type="http://schemas.openxmlformats.org/officeDocument/2006/relationships/hyperlink" Target="https://doi.org/10.3354/meps09734" TargetMode="External"/><Relationship Id="rId228" Type="http://schemas.openxmlformats.org/officeDocument/2006/relationships/hyperlink" Target="https://doi.org/10.3354/meps339271" TargetMode="External"/><Relationship Id="rId244" Type="http://schemas.openxmlformats.org/officeDocument/2006/relationships/fontTable" Target="fontTable.xml"/><Relationship Id="rId13" Type="http://schemas.openxmlformats.org/officeDocument/2006/relationships/hyperlink" Target="https://doi.org/10.1016/0169-5347(96)81042-1" TargetMode="External"/><Relationship Id="rId18" Type="http://schemas.openxmlformats.org/officeDocument/2006/relationships/hyperlink" Target="https://doi.org/10.1038/nature05774" TargetMode="External"/><Relationship Id="rId39" Type="http://schemas.openxmlformats.org/officeDocument/2006/relationships/hyperlink" Target="https://doi.org/10.1371/journal.pone.0021357" TargetMode="External"/><Relationship Id="rId109" Type="http://schemas.openxmlformats.org/officeDocument/2006/relationships/hyperlink" Target="https://doi.org/10.1111/j.1365-2656.2007.01238.x" TargetMode="External"/><Relationship Id="rId34" Type="http://schemas.openxmlformats.org/officeDocument/2006/relationships/hyperlink" Target="http://www.jstor.org/stable/24829721" TargetMode="External"/><Relationship Id="rId50" Type="http://schemas.openxmlformats.org/officeDocument/2006/relationships/hyperlink" Target="https://doi.org/10.1002/9780470015902.a0021231.pub2" TargetMode="External"/><Relationship Id="rId55" Type="http://schemas.openxmlformats.org/officeDocument/2006/relationships/hyperlink" Target="https://doi.org/10.2307/2265510" TargetMode="External"/><Relationship Id="rId76" Type="http://schemas.openxmlformats.org/officeDocument/2006/relationships/hyperlink" Target="https://doi.org/10.1007/s10764-013-9712-x" TargetMode="External"/><Relationship Id="rId97" Type="http://schemas.openxmlformats.org/officeDocument/2006/relationships/hyperlink" Target="https://doi.org/10.1007/s00338-010-0680-8" TargetMode="External"/><Relationship Id="rId104" Type="http://schemas.openxmlformats.org/officeDocument/2006/relationships/hyperlink" Target="https://doi.org/10.1007/s00227-020-3676-0" TargetMode="External"/><Relationship Id="rId120" Type="http://schemas.openxmlformats.org/officeDocument/2006/relationships/hyperlink" Target="https://doi.org/10.1002/etc.2157" TargetMode="External"/><Relationship Id="rId125" Type="http://schemas.openxmlformats.org/officeDocument/2006/relationships/hyperlink" Target="https://www.ingentaconnect.com/content/bhs/thj/2016/00000026/00000004/art00006" TargetMode="External"/><Relationship Id="rId141" Type="http://schemas.openxmlformats.org/officeDocument/2006/relationships/hyperlink" Target="https://doi.org/10.1371/journal.pone.0090081" TargetMode="External"/><Relationship Id="rId146" Type="http://schemas.openxmlformats.org/officeDocument/2006/relationships/hyperlink" Target="https://doi.org/10.1111/2041-210X.12446" TargetMode="External"/><Relationship Id="rId167" Type="http://schemas.openxmlformats.org/officeDocument/2006/relationships/hyperlink" Target="https://doi.org/10.1098/rspb.2014.1558" TargetMode="External"/><Relationship Id="rId188" Type="http://schemas.openxmlformats.org/officeDocument/2006/relationships/hyperlink" Target="https://doi.org/10.1111/jav.01069" TargetMode="External"/><Relationship Id="rId7" Type="http://schemas.openxmlformats.org/officeDocument/2006/relationships/image" Target="media/image1.jpg"/><Relationship Id="rId71" Type="http://schemas.openxmlformats.org/officeDocument/2006/relationships/hyperlink" Target="https://doi.org/10.1002/ece3.8137" TargetMode="External"/><Relationship Id="rId92" Type="http://schemas.openxmlformats.org/officeDocument/2006/relationships/hyperlink" Target="https://doi.org/10.1371/journal.pone.0079986" TargetMode="External"/><Relationship Id="rId162" Type="http://schemas.openxmlformats.org/officeDocument/2006/relationships/hyperlink" Target="https://doi.org/10.1111/oik.04714" TargetMode="External"/><Relationship Id="rId183" Type="http://schemas.openxmlformats.org/officeDocument/2006/relationships/hyperlink" Target="https://doi.org/10.1007/s00300-017-2200-6" TargetMode="External"/><Relationship Id="rId213" Type="http://schemas.openxmlformats.org/officeDocument/2006/relationships/hyperlink" Target="https://doi.org/10.1007/s10336-020-01800-w" TargetMode="External"/><Relationship Id="rId218" Type="http://schemas.openxmlformats.org/officeDocument/2006/relationships/hyperlink" Target="https://doi.org/10.1017/S0025315414001015" TargetMode="External"/><Relationship Id="rId234" Type="http://schemas.openxmlformats.org/officeDocument/2006/relationships/hyperlink" Target="https://doi.org/10.3354/meps12017" TargetMode="External"/><Relationship Id="rId239" Type="http://schemas.openxmlformats.org/officeDocument/2006/relationships/image" Target="media/image8.jpg"/><Relationship Id="rId2" Type="http://schemas.openxmlformats.org/officeDocument/2006/relationships/styles" Target="styles.xml"/><Relationship Id="rId29" Type="http://schemas.openxmlformats.org/officeDocument/2006/relationships/hyperlink" Target="https://doi.org/10.1146/annurev.pp.40.060189.002443" TargetMode="External"/><Relationship Id="rId24" Type="http://schemas.openxmlformats.org/officeDocument/2006/relationships/hyperlink" Target="https://doi.org/10.1086/683775" TargetMode="External"/><Relationship Id="rId40" Type="http://schemas.openxmlformats.org/officeDocument/2006/relationships/hyperlink" Target="https://doi.org/10.1007/s00442-015-3335-1" TargetMode="External"/><Relationship Id="rId45" Type="http://schemas.openxmlformats.org/officeDocument/2006/relationships/hyperlink" Target="https://doi.org/10.1111/ibi.12874" TargetMode="External"/><Relationship Id="rId66" Type="http://schemas.openxmlformats.org/officeDocument/2006/relationships/hyperlink" Target="https://doi.org/10.1111/j.1558-5646.1984.tb00327.x" TargetMode="External"/><Relationship Id="rId87" Type="http://schemas.openxmlformats.org/officeDocument/2006/relationships/hyperlink" Target="https://doi.org/10.3354/meps11759" TargetMode="External"/><Relationship Id="rId110" Type="http://schemas.openxmlformats.org/officeDocument/2006/relationships/hyperlink" Target="https://doi.org/10.1016/j.marenvres.2020.104932" TargetMode="External"/><Relationship Id="rId115" Type="http://schemas.openxmlformats.org/officeDocument/2006/relationships/hyperlink" Target="https://doi.org/10.1007/s00114-018-1564-y" TargetMode="External"/><Relationship Id="rId131" Type="http://schemas.openxmlformats.org/officeDocument/2006/relationships/hyperlink" Target="https://doi.org/10.1002/jwmg.483" TargetMode="External"/><Relationship Id="rId136" Type="http://schemas.openxmlformats.org/officeDocument/2006/relationships/hyperlink" Target="https://doi.org/10.3354/meps10578" TargetMode="External"/><Relationship Id="rId157" Type="http://schemas.openxmlformats.org/officeDocument/2006/relationships/hyperlink" Target="https://doi.org/10.1038/srep33211" TargetMode="External"/><Relationship Id="rId178" Type="http://schemas.openxmlformats.org/officeDocument/2006/relationships/hyperlink" Target="https://doi.org/10.3897/zoologia.34.e19985" TargetMode="External"/><Relationship Id="rId61" Type="http://schemas.openxmlformats.org/officeDocument/2006/relationships/hyperlink" Target="https://doi.org/10.1002/jrsm.1423" TargetMode="External"/><Relationship Id="rId82" Type="http://schemas.openxmlformats.org/officeDocument/2006/relationships/hyperlink" Target="https://doi.org/10.1007/s10750-016-2950-0" TargetMode="External"/><Relationship Id="rId152" Type="http://schemas.openxmlformats.org/officeDocument/2006/relationships/hyperlink" Target="https://doi.org/10.1038/s41598-020-59992-3" TargetMode="External"/><Relationship Id="rId173" Type="http://schemas.openxmlformats.org/officeDocument/2006/relationships/hyperlink" Target="https://doi.org/10.1890/ES10-00103.1" TargetMode="External"/><Relationship Id="rId194" Type="http://schemas.openxmlformats.org/officeDocument/2006/relationships/hyperlink" Target="https://doi.org/10.1016/j.zool.2017.12.006" TargetMode="External"/><Relationship Id="rId199" Type="http://schemas.openxmlformats.org/officeDocument/2006/relationships/hyperlink" Target="https://doi.org/10.1007/s10682-020-10078-6" TargetMode="External"/><Relationship Id="rId203" Type="http://schemas.openxmlformats.org/officeDocument/2006/relationships/hyperlink" Target="https://doi.org/10.1007/s00227-011-1725-4" TargetMode="External"/><Relationship Id="rId208" Type="http://schemas.openxmlformats.org/officeDocument/2006/relationships/hyperlink" Target="https://doi.org/10.3354/meps09058" TargetMode="External"/><Relationship Id="rId229" Type="http://schemas.openxmlformats.org/officeDocument/2006/relationships/hyperlink" Target="https://doi.org/10.1007/s10750-018-3680-2" TargetMode="External"/><Relationship Id="rId19" Type="http://schemas.openxmlformats.org/officeDocument/2006/relationships/hyperlink" Target="https://doi.org/10.1007/s00227-020-3676-0" TargetMode="External"/><Relationship Id="rId224" Type="http://schemas.openxmlformats.org/officeDocument/2006/relationships/hyperlink" Target="https://doi.org/10.1111/1365-2664.12690" TargetMode="External"/><Relationship Id="rId240" Type="http://schemas.openxmlformats.org/officeDocument/2006/relationships/image" Target="media/image9.jpg"/><Relationship Id="rId245" Type="http://schemas.openxmlformats.org/officeDocument/2006/relationships/theme" Target="theme/theme1.xml"/><Relationship Id="rId14" Type="http://schemas.openxmlformats.org/officeDocument/2006/relationships/hyperlink" Target="https://doi.org/10.1111/j.1937-2817.2010.tb01236.x" TargetMode="External"/><Relationship Id="rId30" Type="http://schemas.openxmlformats.org/officeDocument/2006/relationships/hyperlink" Target="https://doi.org/10.1111/j.1748-7692.2012.00563.x" TargetMode="External"/><Relationship Id="rId35" Type="http://schemas.openxmlformats.org/officeDocument/2006/relationships/hyperlink" Target="https://doi.org/10.1016/S0967-0645(02)00182-0" TargetMode="External"/><Relationship Id="rId56" Type="http://schemas.openxmlformats.org/officeDocument/2006/relationships/hyperlink" Target="https://doi.org/10.1007/s00227-011-1725-4" TargetMode="External"/><Relationship Id="rId77" Type="http://schemas.openxmlformats.org/officeDocument/2006/relationships/hyperlink" Target="https://doi.org/10.1006/anbe.1993.1136" TargetMode="External"/><Relationship Id="rId100" Type="http://schemas.openxmlformats.org/officeDocument/2006/relationships/hyperlink" Target="https://doi.org/10.1093/beheco/arv167" TargetMode="External"/><Relationship Id="rId105" Type="http://schemas.openxmlformats.org/officeDocument/2006/relationships/hyperlink" Target="https://doi.org/10.1111/jzo.12324" TargetMode="External"/><Relationship Id="rId126" Type="http://schemas.openxmlformats.org/officeDocument/2006/relationships/hyperlink" Target="https://www.jstor.org/stable/26454496" TargetMode="External"/><Relationship Id="rId147" Type="http://schemas.openxmlformats.org/officeDocument/2006/relationships/hyperlink" Target="https://doi.org/10.1111/1365-2656.12152" TargetMode="External"/><Relationship Id="rId168" Type="http://schemas.openxmlformats.org/officeDocument/2006/relationships/hyperlink" Target="https://doi.org/10.1016/j.anbehav.2012.11.001" TargetMode="External"/><Relationship Id="rId8" Type="http://schemas.openxmlformats.org/officeDocument/2006/relationships/image" Target="media/image2.jpg"/><Relationship Id="rId51" Type="http://schemas.openxmlformats.org/officeDocument/2006/relationships/hyperlink" Target="https://doi.org/10.1034/j.1600-0706.2000.880310.x" TargetMode="External"/><Relationship Id="rId72" Type="http://schemas.openxmlformats.org/officeDocument/2006/relationships/hyperlink" Target="https://doi.org/10.1126/science.289.5478.441" TargetMode="External"/><Relationship Id="rId93" Type="http://schemas.openxmlformats.org/officeDocument/2006/relationships/hyperlink" Target="https://doi.org/10.1139/cjz-2019-0062" TargetMode="External"/><Relationship Id="rId98" Type="http://schemas.openxmlformats.org/officeDocument/2006/relationships/hyperlink" Target="https://doi.org/10.1016/j.jembe.2014.03.016" TargetMode="External"/><Relationship Id="rId121" Type="http://schemas.openxmlformats.org/officeDocument/2006/relationships/hyperlink" Target="https://doi.org/10.1038/s41598-018-34100-8" TargetMode="External"/><Relationship Id="rId142" Type="http://schemas.openxmlformats.org/officeDocument/2006/relationships/hyperlink" Target="https://doi.org/10.1890/13-0014.1" TargetMode="External"/><Relationship Id="rId163" Type="http://schemas.openxmlformats.org/officeDocument/2006/relationships/hyperlink" Target="https://doi.org/10.1002/ajpa.23332" TargetMode="External"/><Relationship Id="rId184" Type="http://schemas.openxmlformats.org/officeDocument/2006/relationships/hyperlink" Target="https://doi.org/10.1371/journal.pone.0227743" TargetMode="External"/><Relationship Id="rId189" Type="http://schemas.openxmlformats.org/officeDocument/2006/relationships/hyperlink" Target="https://doi.org/10.1890/07-1812.1" TargetMode="External"/><Relationship Id="rId219" Type="http://schemas.openxmlformats.org/officeDocument/2006/relationships/hyperlink" Target="https://doi.org/10.1080/17451000.2016.1213398" TargetMode="External"/><Relationship Id="rId3" Type="http://schemas.openxmlformats.org/officeDocument/2006/relationships/settings" Target="settings.xml"/><Relationship Id="rId214" Type="http://schemas.openxmlformats.org/officeDocument/2006/relationships/hyperlink" Target="https://doi.org/10.3354/meps11689" TargetMode="External"/><Relationship Id="rId230" Type="http://schemas.openxmlformats.org/officeDocument/2006/relationships/hyperlink" Target="https://doi.org/10.1111/mms.12009" TargetMode="External"/><Relationship Id="rId235" Type="http://schemas.openxmlformats.org/officeDocument/2006/relationships/hyperlink" Target="https://doi.org/10.3389/fmars.2017.00235" TargetMode="External"/><Relationship Id="rId25" Type="http://schemas.openxmlformats.org/officeDocument/2006/relationships/hyperlink" Target="https://doi.org/10.1515/9781400820061" TargetMode="External"/><Relationship Id="rId46" Type="http://schemas.openxmlformats.org/officeDocument/2006/relationships/hyperlink" Target="https://doi.org/10.1016/0016-7037(84)90204-7" TargetMode="External"/><Relationship Id="rId67" Type="http://schemas.openxmlformats.org/officeDocument/2006/relationships/hyperlink" Target="https://doi.org/10.1515/9780691206790" TargetMode="External"/><Relationship Id="rId116" Type="http://schemas.openxmlformats.org/officeDocument/2006/relationships/hyperlink" Target="https://doi.org/10.1002/ajpa.22555" TargetMode="External"/><Relationship Id="rId137" Type="http://schemas.openxmlformats.org/officeDocument/2006/relationships/hyperlink" Target="https://doi.org/10.1007/s00227-019-3638-6" TargetMode="External"/><Relationship Id="rId158" Type="http://schemas.openxmlformats.org/officeDocument/2006/relationships/hyperlink" Target="https://doi.org/10.1007/s10336-019-01642-1" TargetMode="External"/><Relationship Id="rId20" Type="http://schemas.openxmlformats.org/officeDocument/2006/relationships/hyperlink" Target="https://doi.org/10.1111/j.1365-2435.2010.01700.x" TargetMode="External"/><Relationship Id="rId41" Type="http://schemas.openxmlformats.org/officeDocument/2006/relationships/hyperlink" Target="https://doi.org/10.1111/evo.12926" TargetMode="External"/><Relationship Id="rId62" Type="http://schemas.openxmlformats.org/officeDocument/2006/relationships/hyperlink" Target="https://doi.org/10.1086/285207" TargetMode="External"/><Relationship Id="rId83" Type="http://schemas.openxmlformats.org/officeDocument/2006/relationships/hyperlink" Target="https://doi.org/10.3354/meps11845" TargetMode="External"/><Relationship Id="rId88" Type="http://schemas.openxmlformats.org/officeDocument/2006/relationships/hyperlink" Target="https://doi.org/10.1242/jeb.035378" TargetMode="External"/><Relationship Id="rId111" Type="http://schemas.openxmlformats.org/officeDocument/2006/relationships/hyperlink" Target="https://doi.org/10.1016/j.baae.2014.05.005" TargetMode="External"/><Relationship Id="rId132" Type="http://schemas.openxmlformats.org/officeDocument/2006/relationships/hyperlink" Target="https://doi.org/10.1007/s00227-018-3343-x" TargetMode="External"/><Relationship Id="rId153" Type="http://schemas.openxmlformats.org/officeDocument/2006/relationships/hyperlink" Target="https://doi.org/10.1016/j.mambio.2019.07.006" TargetMode="External"/><Relationship Id="rId174" Type="http://schemas.openxmlformats.org/officeDocument/2006/relationships/hyperlink" Target="https://doi.org/10.1655/Herpetologica-D-17-00071.1" TargetMode="External"/><Relationship Id="rId179" Type="http://schemas.openxmlformats.org/officeDocument/2006/relationships/hyperlink" Target="https://doi.org/10.1139/cjz-2016-0046" TargetMode="External"/><Relationship Id="rId195" Type="http://schemas.openxmlformats.org/officeDocument/2006/relationships/hyperlink" Target="https://doi.org/10.1017/S0025315420000387" TargetMode="External"/><Relationship Id="rId209" Type="http://schemas.openxmlformats.org/officeDocument/2006/relationships/hyperlink" Target="https://doi.org/10.1002/ece3.5109" TargetMode="External"/><Relationship Id="rId190" Type="http://schemas.openxmlformats.org/officeDocument/2006/relationships/hyperlink" Target="https://doi.org/10.1111/btp.12700" TargetMode="External"/><Relationship Id="rId204" Type="http://schemas.openxmlformats.org/officeDocument/2006/relationships/hyperlink" Target="https://doi.org/10.1002/ajpa.23073" TargetMode="External"/><Relationship Id="rId220" Type="http://schemas.openxmlformats.org/officeDocument/2006/relationships/hyperlink" Target="https://doi.org/10.1111/mms.12379" TargetMode="External"/><Relationship Id="rId225" Type="http://schemas.openxmlformats.org/officeDocument/2006/relationships/hyperlink" Target="https://doi.org/10.1890/11-0385.1" TargetMode="External"/><Relationship Id="rId241" Type="http://schemas.openxmlformats.org/officeDocument/2006/relationships/image" Target="media/image10.jpg"/><Relationship Id="rId15" Type="http://schemas.openxmlformats.org/officeDocument/2006/relationships/hyperlink" Target="https://doi.org/10.1002/mcf2.10141" TargetMode="External"/><Relationship Id="rId36" Type="http://schemas.openxmlformats.org/officeDocument/2006/relationships/hyperlink" Target="https://doi.org/10.1101/2021.05.10.443408" TargetMode="External"/><Relationship Id="rId57" Type="http://schemas.openxmlformats.org/officeDocument/2006/relationships/hyperlink" Target="https://doi.org/10.1111/2041-210X.13118" TargetMode="External"/><Relationship Id="rId106" Type="http://schemas.openxmlformats.org/officeDocument/2006/relationships/hyperlink" Target="https://doi.org/10.1111/ibi.12625" TargetMode="External"/><Relationship Id="rId127" Type="http://schemas.openxmlformats.org/officeDocument/2006/relationships/hyperlink" Target="https://doi.org/10.1111/j.1365-294X.2009.04407.x" TargetMode="External"/><Relationship Id="rId10" Type="http://schemas.openxmlformats.org/officeDocument/2006/relationships/image" Target="media/image4.jpg"/><Relationship Id="rId31" Type="http://schemas.openxmlformats.org/officeDocument/2006/relationships/hyperlink" Target="https://doi.org/10.1016/j.anbehav.2017.10.006" TargetMode="External"/><Relationship Id="rId52" Type="http://schemas.openxmlformats.org/officeDocument/2006/relationships/hyperlink" Target="https://doi.org/10.1111/brv.12721" TargetMode="External"/><Relationship Id="rId73" Type="http://schemas.openxmlformats.org/officeDocument/2006/relationships/hyperlink" Target="https://doi.org/10.1146/annurev-anthro-092412-155530" TargetMode="External"/><Relationship Id="rId78" Type="http://schemas.openxmlformats.org/officeDocument/2006/relationships/hyperlink" Target="https://doi.org/10.1080/15366367.2019.1565254" TargetMode="External"/><Relationship Id="rId94" Type="http://schemas.openxmlformats.org/officeDocument/2006/relationships/hyperlink" Target="https://doi.org/10.1098/rsbl.2009.0265" TargetMode="External"/><Relationship Id="rId99" Type="http://schemas.openxmlformats.org/officeDocument/2006/relationships/hyperlink" Target="https://doi.org/10.1139/Z08-107" TargetMode="External"/><Relationship Id="rId101" Type="http://schemas.openxmlformats.org/officeDocument/2006/relationships/hyperlink" Target="https://doi.org/10.3354/meps12151" TargetMode="External"/><Relationship Id="rId122" Type="http://schemas.openxmlformats.org/officeDocument/2006/relationships/hyperlink" Target="https://doi.org/10.1007/s00442-010-1869-9" TargetMode="External"/><Relationship Id="rId143" Type="http://schemas.openxmlformats.org/officeDocument/2006/relationships/hyperlink" Target="https://doi.org/10.1676/15-141.1" TargetMode="External"/><Relationship Id="rId148" Type="http://schemas.openxmlformats.org/officeDocument/2006/relationships/hyperlink" Target="https://doi.org/10.1676/1559-4491-129.1.139" TargetMode="External"/><Relationship Id="rId164" Type="http://schemas.openxmlformats.org/officeDocument/2006/relationships/hyperlink" Target="https://doi.org/10.1007/s00227-019-3480-x" TargetMode="External"/><Relationship Id="rId169" Type="http://schemas.openxmlformats.org/officeDocument/2006/relationships/hyperlink" Target="https://doi.org/10.1016/j.jembe.2013.09.011" TargetMode="External"/><Relationship Id="rId185" Type="http://schemas.openxmlformats.org/officeDocument/2006/relationships/hyperlink" Target="https://doi.org/10.1017/S0025315417000170" TargetMode="External"/><Relationship Id="rId4" Type="http://schemas.openxmlformats.org/officeDocument/2006/relationships/webSettings" Target="webSettings.xml"/><Relationship Id="rId9" Type="http://schemas.openxmlformats.org/officeDocument/2006/relationships/image" Target="media/image3.jpg"/><Relationship Id="rId180" Type="http://schemas.openxmlformats.org/officeDocument/2006/relationships/hyperlink" Target="https://doi.org/10.1016/j.rsma.2020.101463" TargetMode="External"/><Relationship Id="rId210" Type="http://schemas.openxmlformats.org/officeDocument/2006/relationships/hyperlink" Target="https://doi.org/10.1098/rsos.200649" TargetMode="External"/><Relationship Id="rId215" Type="http://schemas.openxmlformats.org/officeDocument/2006/relationships/hyperlink" Target="https://doi.org/10.3354/meps10231" TargetMode="External"/><Relationship Id="rId236" Type="http://schemas.openxmlformats.org/officeDocument/2006/relationships/hyperlink" Target="https://doi.org/10.1371/journal.pone.0174850" TargetMode="External"/><Relationship Id="rId26" Type="http://schemas.openxmlformats.org/officeDocument/2006/relationships/hyperlink" Target="https://doi.org/10.1139/cjfas-2020-0113" TargetMode="External"/><Relationship Id="rId231" Type="http://schemas.openxmlformats.org/officeDocument/2006/relationships/hyperlink" Target="https://doi.org/10.1111/jzo.12566" TargetMode="External"/><Relationship Id="rId47" Type="http://schemas.openxmlformats.org/officeDocument/2006/relationships/hyperlink" Target="https://doi.org/10.1016/bs.asb.2020.01.002" TargetMode="External"/><Relationship Id="rId68" Type="http://schemas.openxmlformats.org/officeDocument/2006/relationships/hyperlink" Target="https://doi.org/10.1111/j.1558-5646.2008.00597.x" TargetMode="External"/><Relationship Id="rId89" Type="http://schemas.openxmlformats.org/officeDocument/2006/relationships/hyperlink" Target="https://doi.org/10.1186/s12898-017-0137-9" TargetMode="External"/><Relationship Id="rId112" Type="http://schemas.openxmlformats.org/officeDocument/2006/relationships/hyperlink" Target="https://doi.org/10.1007/s00300-018-2276-7" TargetMode="External"/><Relationship Id="rId133" Type="http://schemas.openxmlformats.org/officeDocument/2006/relationships/hyperlink" Target="https://doi.org/10.1093/jmammal/gyv043" TargetMode="External"/><Relationship Id="rId154" Type="http://schemas.openxmlformats.org/officeDocument/2006/relationships/hyperlink" Target="https://doi.org/10.1002/ece3.6182" TargetMode="External"/><Relationship Id="rId175" Type="http://schemas.openxmlformats.org/officeDocument/2006/relationships/hyperlink" Target="https://doi.org/10.1007/s10641-019-00897-0" TargetMode="External"/><Relationship Id="rId196" Type="http://schemas.openxmlformats.org/officeDocument/2006/relationships/hyperlink" Target="https://doi.org/10.3389/fmars.2017.00348" TargetMode="External"/><Relationship Id="rId200" Type="http://schemas.openxmlformats.org/officeDocument/2006/relationships/hyperlink" Target="https://doi.org/10.1186/s12898-020-00279-6" TargetMode="External"/><Relationship Id="rId16" Type="http://schemas.openxmlformats.org/officeDocument/2006/relationships/hyperlink" Target="https://doi.org/10.1002/mcf2.10141" TargetMode="External"/><Relationship Id="rId221" Type="http://schemas.openxmlformats.org/officeDocument/2006/relationships/hyperlink" Target="https://doi.org/10.1007/s00442-011-1940-1" TargetMode="External"/><Relationship Id="rId242" Type="http://schemas.openxmlformats.org/officeDocument/2006/relationships/image" Target="media/image11.jpg"/><Relationship Id="rId37" Type="http://schemas.openxmlformats.org/officeDocument/2006/relationships/hyperlink" Target="https://doi.org/10.1515/9781400846184" TargetMode="External"/><Relationship Id="rId58" Type="http://schemas.openxmlformats.org/officeDocument/2006/relationships/hyperlink" Target="https://doi.org/10.1890/0012-9658(2000)081%5B0852:WCSINA%5D2.0.CO;2" TargetMode="External"/><Relationship Id="rId79" Type="http://schemas.openxmlformats.org/officeDocument/2006/relationships/hyperlink" Target="https://doi.org/10.1111/j.1365-2435.2009.01529.x" TargetMode="External"/><Relationship Id="rId102" Type="http://schemas.openxmlformats.org/officeDocument/2006/relationships/hyperlink" Target="https://doi.org/10.1371/journal.pone.0172278" TargetMode="External"/><Relationship Id="rId123" Type="http://schemas.openxmlformats.org/officeDocument/2006/relationships/hyperlink" Target="https://doi.org/10.1139/facets-2019-0056" TargetMode="External"/><Relationship Id="rId144" Type="http://schemas.openxmlformats.org/officeDocument/2006/relationships/hyperlink" Target="https://doi.org/10.1139/cjz-2019-0032" TargetMode="External"/><Relationship Id="rId90" Type="http://schemas.openxmlformats.org/officeDocument/2006/relationships/hyperlink" Target="https://doi.org/10.1371/journal.pone.0082205" TargetMode="External"/><Relationship Id="rId165" Type="http://schemas.openxmlformats.org/officeDocument/2006/relationships/hyperlink" Target="https://doi.org/10.1093/jmammal/gyv180" TargetMode="External"/><Relationship Id="rId186" Type="http://schemas.openxmlformats.org/officeDocument/2006/relationships/hyperlink" Target="https://doi.org/10.1371/journal.pone.0066505" TargetMode="External"/><Relationship Id="rId211" Type="http://schemas.openxmlformats.org/officeDocument/2006/relationships/hyperlink" Target="https://doi.org/10.1111/j.1748-7692.2011.00554.x" TargetMode="External"/><Relationship Id="rId232" Type="http://schemas.openxmlformats.org/officeDocument/2006/relationships/hyperlink" Target="https://doi.org/10.1890/ES13-00137.1" TargetMode="External"/><Relationship Id="rId27" Type="http://schemas.openxmlformats.org/officeDocument/2006/relationships/hyperlink" Target="https://doi.org/10.1146/annurev.ecolsys.28.1.659" TargetMode="External"/><Relationship Id="rId48" Type="http://schemas.openxmlformats.org/officeDocument/2006/relationships/hyperlink" Target="https://doi.org/10.1111/j.1469-185X.2007.00027.x" TargetMode="External"/><Relationship Id="rId69" Type="http://schemas.openxmlformats.org/officeDocument/2006/relationships/hyperlink" Target="https://doi.org/10.1111/2041-210X.13311" TargetMode="External"/><Relationship Id="rId113" Type="http://schemas.openxmlformats.org/officeDocument/2006/relationships/hyperlink" Target="https://doi.org/10.1371/journal.pone.0159402" TargetMode="External"/><Relationship Id="rId134" Type="http://schemas.openxmlformats.org/officeDocument/2006/relationships/hyperlink" Target="https://doi.org/10.1111/j.1600-0633.2011.00516.x" TargetMode="External"/><Relationship Id="rId80" Type="http://schemas.openxmlformats.org/officeDocument/2006/relationships/hyperlink" Target="https://doi.org/10.1111/j.1747-0765.2010.00477.x" TargetMode="External"/><Relationship Id="rId155" Type="http://schemas.openxmlformats.org/officeDocument/2006/relationships/hyperlink" Target="https://doi.org/10.1371/journal.pone.0032916" TargetMode="External"/><Relationship Id="rId176" Type="http://schemas.openxmlformats.org/officeDocument/2006/relationships/hyperlink" Target="https://doi.org/10.1007/s00227-008-1042-8" TargetMode="External"/><Relationship Id="rId197" Type="http://schemas.openxmlformats.org/officeDocument/2006/relationships/hyperlink" Target="http://doi.org/10.1007/s00442-014-3018-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70</Pages>
  <Words>20314</Words>
  <Characters>115791</Characters>
  <Application>Microsoft Office Word</Application>
  <DocSecurity>0</DocSecurity>
  <Lines>964</Lines>
  <Paragraphs>271</Paragraphs>
  <ScaleCrop>false</ScaleCrop>
  <Company/>
  <LinksUpToDate>false</LinksUpToDate>
  <CharactersWithSpaces>135834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Joshua Bauld</cp:lastModifiedBy>
  <cp:revision>5</cp:revision>
  <dcterms:created xsi:type="dcterms:W3CDTF">2021-12-06T15:49:00Z</dcterms:created>
  <dcterms:modified xsi:type="dcterms:W3CDTF">2021-12-06T15:59:00Z</dcterms:modified>
</cp:coreProperties>
</file>