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9BBD6" w14:textId="1551576A" w:rsidR="00790BBD" w:rsidRDefault="00790BBD" w:rsidP="00790BBD">
      <w:pPr>
        <w:pStyle w:val="NoSpacing"/>
        <w:rPr>
          <w:b/>
          <w:bCs/>
          <w:sz w:val="28"/>
          <w:szCs w:val="28"/>
        </w:rPr>
      </w:pPr>
      <w:r w:rsidRPr="00790BBD">
        <w:rPr>
          <w:b/>
          <w:bCs/>
          <w:sz w:val="28"/>
          <w:szCs w:val="28"/>
        </w:rPr>
        <w:t>Seizures in Activating Calcium Sensing Receptor Antibodies Positive Autoimmune Hypoparathyroidism &amp; Preponderance of Steroids Therapy: A Case Report </w:t>
      </w:r>
    </w:p>
    <w:p w14:paraId="6C93413E" w14:textId="58115CC1" w:rsidR="00790BBD" w:rsidRDefault="00790BBD" w:rsidP="00790BBD">
      <w:pPr>
        <w:pStyle w:val="NoSpacing"/>
      </w:pPr>
      <w:r>
        <w:t xml:space="preserve">Qaisar Ali Khan </w:t>
      </w:r>
      <w:r w:rsidRPr="00DF4F1B">
        <w:rPr>
          <w:vertAlign w:val="superscript"/>
        </w:rPr>
        <w:t>a</w:t>
      </w:r>
      <w:r>
        <w:t xml:space="preserve">, Ameena Shahi </w:t>
      </w:r>
      <w:r w:rsidRPr="00DF4F1B">
        <w:rPr>
          <w:vertAlign w:val="superscript"/>
        </w:rPr>
        <w:t>a</w:t>
      </w:r>
      <w:r>
        <w:t xml:space="preserve">, Alishba Shahi </w:t>
      </w:r>
      <w:r w:rsidRPr="00DF4F1B">
        <w:rPr>
          <w:vertAlign w:val="superscript"/>
        </w:rPr>
        <w:t>b</w:t>
      </w:r>
      <w:r>
        <w:t xml:space="preserve">, </w:t>
      </w:r>
      <w:r w:rsidR="008C283D">
        <w:t xml:space="preserve">Abdul Baqi </w:t>
      </w:r>
      <w:r w:rsidR="008C283D" w:rsidRPr="00DF4F1B">
        <w:rPr>
          <w:vertAlign w:val="superscript"/>
        </w:rPr>
        <w:t>c</w:t>
      </w:r>
      <w:r w:rsidR="008C283D">
        <w:t xml:space="preserve">, Tamara Tango </w:t>
      </w:r>
      <w:r w:rsidR="008C283D" w:rsidRPr="00DF4F1B">
        <w:rPr>
          <w:vertAlign w:val="superscript"/>
        </w:rPr>
        <w:t>d</w:t>
      </w:r>
      <w:r w:rsidR="008C283D">
        <w:t>, Ravina Verma</w:t>
      </w:r>
      <w:r w:rsidR="008C283D" w:rsidRPr="00DF4F1B">
        <w:rPr>
          <w:vertAlign w:val="superscript"/>
        </w:rPr>
        <w:t xml:space="preserve"> e</w:t>
      </w:r>
      <w:r w:rsidR="008C283D">
        <w:t>, Asrah Abdul Ham</w:t>
      </w:r>
      <w:r w:rsidR="00EA1B37">
        <w:t>i</w:t>
      </w:r>
      <w:r w:rsidR="008C283D">
        <w:t xml:space="preserve">d </w:t>
      </w:r>
      <w:r w:rsidR="008C283D" w:rsidRPr="00DF4F1B">
        <w:rPr>
          <w:vertAlign w:val="superscript"/>
        </w:rPr>
        <w:t>f</w:t>
      </w:r>
      <w:r w:rsidR="008C283D">
        <w:t>, Priya</w:t>
      </w:r>
      <w:r w:rsidR="00CC5DFA">
        <w:t>dharshini Saravan</w:t>
      </w:r>
      <w:r w:rsidR="006328A6">
        <w:t>an</w:t>
      </w:r>
      <w:r w:rsidR="008C283D">
        <w:t xml:space="preserve"> </w:t>
      </w:r>
      <w:r w:rsidR="008C283D" w:rsidRPr="00DF4F1B">
        <w:rPr>
          <w:vertAlign w:val="superscript"/>
        </w:rPr>
        <w:t>g</w:t>
      </w:r>
      <w:r w:rsidR="008C283D">
        <w:t>,</w:t>
      </w:r>
      <w:r w:rsidR="00DF4F1B">
        <w:t xml:space="preserve"> Mazhar Alam </w:t>
      </w:r>
      <w:r w:rsidR="00DF4F1B" w:rsidRPr="00DF4F1B">
        <w:rPr>
          <w:vertAlign w:val="superscript"/>
        </w:rPr>
        <w:t>a</w:t>
      </w:r>
      <w:r w:rsidR="00DF4F1B">
        <w:t xml:space="preserve">, Ismail Khan Shinwari </w:t>
      </w:r>
      <w:r w:rsidR="00DF4F1B" w:rsidRPr="00DF4F1B">
        <w:rPr>
          <w:vertAlign w:val="superscript"/>
        </w:rPr>
        <w:t>a</w:t>
      </w:r>
      <w:r w:rsidR="00DF4F1B">
        <w:t xml:space="preserve">, Hoor </w:t>
      </w:r>
      <w:proofErr w:type="spellStart"/>
      <w:r w:rsidR="00DF4F1B">
        <w:t>Ul</w:t>
      </w:r>
      <w:proofErr w:type="spellEnd"/>
      <w:r w:rsidR="00DF4F1B">
        <w:t xml:space="preserve"> Ain</w:t>
      </w:r>
      <w:r w:rsidR="00DF4F1B" w:rsidRPr="00DF4F1B">
        <w:rPr>
          <w:vertAlign w:val="superscript"/>
        </w:rPr>
        <w:t xml:space="preserve"> </w:t>
      </w:r>
      <w:r w:rsidR="002379F2">
        <w:rPr>
          <w:vertAlign w:val="superscript"/>
        </w:rPr>
        <w:t>h</w:t>
      </w:r>
      <w:r w:rsidR="00DF4F1B">
        <w:t>.</w:t>
      </w:r>
    </w:p>
    <w:p w14:paraId="635E828D" w14:textId="3BC341A6" w:rsidR="00A048DD" w:rsidRDefault="00A048DD" w:rsidP="00790BBD">
      <w:pPr>
        <w:pStyle w:val="NoSpacing"/>
      </w:pPr>
    </w:p>
    <w:p w14:paraId="4CBA62C2" w14:textId="58219F12" w:rsidR="00A048DD" w:rsidRPr="005C219D" w:rsidRDefault="00A048DD" w:rsidP="00790BBD">
      <w:pPr>
        <w:pStyle w:val="NoSpacing"/>
        <w:rPr>
          <w:b/>
          <w:bCs/>
        </w:rPr>
      </w:pPr>
      <w:r w:rsidRPr="005C219D">
        <w:rPr>
          <w:b/>
          <w:bCs/>
        </w:rPr>
        <w:t>Affiliation(s):</w:t>
      </w:r>
    </w:p>
    <w:p w14:paraId="1CE066AF" w14:textId="03A7EB11" w:rsidR="00A048DD" w:rsidRDefault="00A048DD" w:rsidP="00A048DD">
      <w:pPr>
        <w:pStyle w:val="NoSpacing"/>
        <w:numPr>
          <w:ilvl w:val="0"/>
          <w:numId w:val="2"/>
        </w:numPr>
      </w:pPr>
      <w:r>
        <w:t xml:space="preserve"> DHQ and Teaching Hospital KDA Kohat, Khyber </w:t>
      </w:r>
      <w:r w:rsidR="00675EDE">
        <w:t>Pakhtunkhwa</w:t>
      </w:r>
      <w:r>
        <w:t>, Pakistan</w:t>
      </w:r>
    </w:p>
    <w:p w14:paraId="5BF1B068" w14:textId="765B9F2D" w:rsidR="00675EDE" w:rsidRDefault="00675EDE" w:rsidP="00A048DD">
      <w:pPr>
        <w:pStyle w:val="NoSpacing"/>
        <w:numPr>
          <w:ilvl w:val="0"/>
          <w:numId w:val="2"/>
        </w:numPr>
      </w:pPr>
      <w:r>
        <w:t>Lady Reading Hospital Peshawar,</w:t>
      </w:r>
      <w:r w:rsidRPr="00675EDE">
        <w:t xml:space="preserve"> </w:t>
      </w:r>
      <w:r>
        <w:t>Khyber Pakhtunkhwa, Pakistan</w:t>
      </w:r>
    </w:p>
    <w:p w14:paraId="33F66886" w14:textId="238400D3" w:rsidR="00675EDE" w:rsidRDefault="00675EDE" w:rsidP="00A048DD">
      <w:pPr>
        <w:pStyle w:val="NoSpacing"/>
        <w:numPr>
          <w:ilvl w:val="0"/>
          <w:numId w:val="2"/>
        </w:numPr>
      </w:pPr>
      <w:r>
        <w:t xml:space="preserve">Mercy </w:t>
      </w:r>
      <w:r w:rsidR="00004608">
        <w:t>Saint Vincent medical Centre, Toledo, Ohio United states</w:t>
      </w:r>
    </w:p>
    <w:p w14:paraId="76B7D70D" w14:textId="49577F6F" w:rsidR="00675EDE" w:rsidRDefault="00675EDE" w:rsidP="00A048DD">
      <w:pPr>
        <w:pStyle w:val="NoSpacing"/>
        <w:numPr>
          <w:ilvl w:val="0"/>
          <w:numId w:val="2"/>
        </w:numPr>
      </w:pPr>
      <w:r>
        <w:t>Faculty of Medicine Universitas Indonesia</w:t>
      </w:r>
    </w:p>
    <w:p w14:paraId="3CC0A05D" w14:textId="1EEE25F0" w:rsidR="00CC5DFA" w:rsidRDefault="00CC5DFA" w:rsidP="00A048DD">
      <w:pPr>
        <w:pStyle w:val="NoSpacing"/>
        <w:numPr>
          <w:ilvl w:val="0"/>
          <w:numId w:val="2"/>
        </w:numPr>
      </w:pPr>
      <w:r>
        <w:t>St. Georges university, Grenada, West Indies</w:t>
      </w:r>
    </w:p>
    <w:p w14:paraId="6313D718" w14:textId="6F9776A1" w:rsidR="00675EDE" w:rsidRDefault="00CC5DFA" w:rsidP="00A048DD">
      <w:pPr>
        <w:pStyle w:val="NoSpacing"/>
        <w:numPr>
          <w:ilvl w:val="0"/>
          <w:numId w:val="2"/>
        </w:numPr>
      </w:pPr>
      <w:r>
        <w:t xml:space="preserve">Karachi Medical </w:t>
      </w:r>
      <w:r w:rsidR="00004608">
        <w:t>&amp;</w:t>
      </w:r>
      <w:r>
        <w:t xml:space="preserve"> Dental College, Karachi, Pakistan</w:t>
      </w:r>
    </w:p>
    <w:p w14:paraId="5870B52C" w14:textId="25C6F6EB" w:rsidR="006328A6" w:rsidRDefault="006328A6" w:rsidP="002379F2">
      <w:pPr>
        <w:pStyle w:val="NoSpacing"/>
        <w:numPr>
          <w:ilvl w:val="0"/>
          <w:numId w:val="2"/>
        </w:numPr>
      </w:pPr>
      <w:r>
        <w:t xml:space="preserve">Pondicherry </w:t>
      </w:r>
      <w:r w:rsidR="002F3537">
        <w:t>institute</w:t>
      </w:r>
      <w:r>
        <w:t xml:space="preserve"> of medical sciences,</w:t>
      </w:r>
      <w:r w:rsidRPr="006328A6">
        <w:t xml:space="preserve"> </w:t>
      </w:r>
      <w:r>
        <w:t>Pondicherry, India</w:t>
      </w:r>
    </w:p>
    <w:p w14:paraId="6633C0E8" w14:textId="1215939C" w:rsidR="002F3537" w:rsidRDefault="006328A6" w:rsidP="006328A6">
      <w:pPr>
        <w:pStyle w:val="NoSpacing"/>
        <w:numPr>
          <w:ilvl w:val="0"/>
          <w:numId w:val="2"/>
        </w:numPr>
      </w:pPr>
      <w:r>
        <w:t>Jinnah Medical College Peshawar,</w:t>
      </w:r>
      <w:r w:rsidRPr="00675EDE">
        <w:t xml:space="preserve"> </w:t>
      </w:r>
      <w:r>
        <w:t xml:space="preserve">Khyber </w:t>
      </w:r>
      <w:r w:rsidR="002F3537">
        <w:t>Pakhtunkhwa, Pakistan</w:t>
      </w:r>
    </w:p>
    <w:p w14:paraId="0C6A9D07" w14:textId="77777777" w:rsidR="002F3537" w:rsidRDefault="002F3537" w:rsidP="002F3537">
      <w:pPr>
        <w:pStyle w:val="NoSpacing"/>
      </w:pPr>
    </w:p>
    <w:p w14:paraId="03AD8C16" w14:textId="3F3CF18F" w:rsidR="006328A6" w:rsidRPr="005C219D" w:rsidRDefault="002F3537" w:rsidP="002F3537">
      <w:pPr>
        <w:pStyle w:val="NoSpacing"/>
        <w:rPr>
          <w:b/>
          <w:bCs/>
        </w:rPr>
      </w:pPr>
      <w:r w:rsidRPr="005C219D">
        <w:rPr>
          <w:b/>
          <w:bCs/>
        </w:rPr>
        <w:t>Email(s) and ORCID(s):</w:t>
      </w:r>
    </w:p>
    <w:p w14:paraId="7173D1D1" w14:textId="65AF7A75" w:rsidR="002F3537" w:rsidRDefault="00237C02" w:rsidP="00237C02">
      <w:pPr>
        <w:pStyle w:val="NoSpacing"/>
        <w:ind w:left="720"/>
      </w:pPr>
      <w:hyperlink r:id="rId5" w:history="1">
        <w:r w:rsidRPr="00B577E5">
          <w:rPr>
            <w:rStyle w:val="Hyperlink"/>
          </w:rPr>
          <w:t>qaisarak62@gmail.com</w:t>
        </w:r>
      </w:hyperlink>
      <w:r w:rsidR="00AA1A04">
        <w:t xml:space="preserve">                       </w:t>
      </w:r>
      <w:r w:rsidR="00004608">
        <w:t xml:space="preserve">  </w:t>
      </w:r>
      <w:hyperlink r:id="rId6" w:history="1">
        <w:r w:rsidR="00004608" w:rsidRPr="00B577E5">
          <w:rPr>
            <w:rStyle w:val="Hyperlink"/>
          </w:rPr>
          <w:t>http://orcid.org/0000-0001-8660-9551</w:t>
        </w:r>
      </w:hyperlink>
      <w:r w:rsidR="00004608">
        <w:t xml:space="preserve"> </w:t>
      </w:r>
    </w:p>
    <w:p w14:paraId="630ACE51" w14:textId="63E9FFBF" w:rsidR="00004608" w:rsidRDefault="00237C02" w:rsidP="00237C02">
      <w:pPr>
        <w:pStyle w:val="NoSpacing"/>
        <w:ind w:left="720"/>
      </w:pPr>
      <w:hyperlink r:id="rId7" w:history="1">
        <w:r w:rsidRPr="00B577E5">
          <w:rPr>
            <w:rStyle w:val="Hyperlink"/>
          </w:rPr>
          <w:t>ameena.shahi.khattak@gmail.com</w:t>
        </w:r>
      </w:hyperlink>
      <w:r w:rsidR="006F65FD">
        <w:t xml:space="preserve"> </w:t>
      </w:r>
      <w:r w:rsidR="00AA1A04">
        <w:t xml:space="preserve">   </w:t>
      </w:r>
      <w:r w:rsidR="006F65FD">
        <w:t xml:space="preserve"> </w:t>
      </w:r>
      <w:hyperlink r:id="rId8" w:history="1">
        <w:r w:rsidR="006F65FD" w:rsidRPr="00B577E5">
          <w:rPr>
            <w:rStyle w:val="Hyperlink"/>
          </w:rPr>
          <w:t>h</w:t>
        </w:r>
        <w:r w:rsidR="006F65FD" w:rsidRPr="00B577E5">
          <w:rPr>
            <w:rStyle w:val="Hyperlink"/>
          </w:rPr>
          <w:t>ttp://orcid.org</w:t>
        </w:r>
        <w:r w:rsidR="006F65FD" w:rsidRPr="00B577E5">
          <w:rPr>
            <w:rStyle w:val="Hyperlink"/>
          </w:rPr>
          <w:t>/0000-0002-8527-6019</w:t>
        </w:r>
      </w:hyperlink>
      <w:r w:rsidR="006F65FD">
        <w:t xml:space="preserve"> </w:t>
      </w:r>
    </w:p>
    <w:p w14:paraId="3CECD43F" w14:textId="22D10DD2" w:rsidR="006F65FD" w:rsidRDefault="00237C02" w:rsidP="00237C02">
      <w:pPr>
        <w:pStyle w:val="NoSpacing"/>
        <w:ind w:left="720"/>
      </w:pPr>
      <w:hyperlink r:id="rId9" w:history="1">
        <w:r w:rsidRPr="00B577E5">
          <w:rPr>
            <w:rStyle w:val="Hyperlink"/>
          </w:rPr>
          <w:t>alishbashahi.321@gmail.com</w:t>
        </w:r>
      </w:hyperlink>
      <w:r w:rsidR="006F65FD">
        <w:t xml:space="preserve">  </w:t>
      </w:r>
      <w:r w:rsidR="00AA1A04">
        <w:t xml:space="preserve">             </w:t>
      </w:r>
      <w:hyperlink r:id="rId10" w:history="1">
        <w:r w:rsidR="00801622" w:rsidRPr="00B577E5">
          <w:rPr>
            <w:rStyle w:val="Hyperlink"/>
          </w:rPr>
          <w:t>http://orcid.org</w:t>
        </w:r>
        <w:r w:rsidR="00801622" w:rsidRPr="00B577E5">
          <w:rPr>
            <w:rStyle w:val="Hyperlink"/>
          </w:rPr>
          <w:t>/0000-0002-1566-5377</w:t>
        </w:r>
      </w:hyperlink>
    </w:p>
    <w:p w14:paraId="6014FF8B" w14:textId="7541555C" w:rsidR="006F65FD" w:rsidRDefault="00237C02" w:rsidP="00237C02">
      <w:pPr>
        <w:pStyle w:val="NoSpacing"/>
        <w:ind w:left="720"/>
      </w:pPr>
      <w:hyperlink r:id="rId11" w:history="1">
        <w:r w:rsidRPr="00B577E5">
          <w:rPr>
            <w:rStyle w:val="Hyperlink"/>
          </w:rPr>
          <w:t>dr_abdulbaqi56@yahoo.com</w:t>
        </w:r>
      </w:hyperlink>
      <w:r w:rsidR="006F65FD">
        <w:t xml:space="preserve"> </w:t>
      </w:r>
      <w:r w:rsidR="00AA1A04">
        <w:t xml:space="preserve">             </w:t>
      </w:r>
      <w:r w:rsidR="006F65FD">
        <w:t xml:space="preserve"> </w:t>
      </w:r>
      <w:hyperlink r:id="rId12" w:history="1">
        <w:r w:rsidR="003E24E7" w:rsidRPr="00B577E5">
          <w:rPr>
            <w:rStyle w:val="Hyperlink"/>
          </w:rPr>
          <w:t>http://orcid.org</w:t>
        </w:r>
        <w:r w:rsidR="003E24E7" w:rsidRPr="00B577E5">
          <w:rPr>
            <w:rStyle w:val="Hyperlink"/>
          </w:rPr>
          <w:t>/0000-0003-2548-4288</w:t>
        </w:r>
      </w:hyperlink>
      <w:r w:rsidR="003E24E7">
        <w:t xml:space="preserve"> </w:t>
      </w:r>
    </w:p>
    <w:p w14:paraId="57F884D6" w14:textId="43CBF58F" w:rsidR="003E24E7" w:rsidRDefault="00237C02" w:rsidP="00237C02">
      <w:pPr>
        <w:pStyle w:val="NoSpacing"/>
        <w:ind w:left="720"/>
      </w:pPr>
      <w:hyperlink r:id="rId13" w:history="1">
        <w:r w:rsidRPr="00B577E5">
          <w:rPr>
            <w:rStyle w:val="Hyperlink"/>
          </w:rPr>
          <w:t>Tamara.tango@ui.ac.id</w:t>
        </w:r>
      </w:hyperlink>
      <w:r w:rsidR="003E24E7">
        <w:t xml:space="preserve">  </w:t>
      </w:r>
      <w:r w:rsidR="007C5BC3">
        <w:t xml:space="preserve">       </w:t>
      </w:r>
      <w:r w:rsidR="00AA1A04">
        <w:t xml:space="preserve">                </w:t>
      </w:r>
      <w:r w:rsidR="007C5BC3">
        <w:t xml:space="preserve"> </w:t>
      </w:r>
      <w:hyperlink r:id="rId14" w:history="1">
        <w:r w:rsidR="007C5BC3" w:rsidRPr="00B577E5">
          <w:rPr>
            <w:rStyle w:val="Hyperlink"/>
          </w:rPr>
          <w:t>http://orcid.org</w:t>
        </w:r>
        <w:r w:rsidR="007C5BC3" w:rsidRPr="00B577E5">
          <w:rPr>
            <w:rStyle w:val="Hyperlink"/>
          </w:rPr>
          <w:t>/0000-0002-8340-4259</w:t>
        </w:r>
      </w:hyperlink>
      <w:r w:rsidR="007C5BC3">
        <w:t xml:space="preserve"> </w:t>
      </w:r>
    </w:p>
    <w:p w14:paraId="435620C7" w14:textId="02C8EBC2" w:rsidR="003E24E7" w:rsidRDefault="00237C02" w:rsidP="00237C02">
      <w:pPr>
        <w:pStyle w:val="NoSpacing"/>
        <w:ind w:left="720"/>
      </w:pPr>
      <w:hyperlink r:id="rId15" w:history="1">
        <w:r w:rsidRPr="00B577E5">
          <w:rPr>
            <w:rStyle w:val="Hyperlink"/>
          </w:rPr>
          <w:t>ravinaverma51@gmail.com</w:t>
        </w:r>
      </w:hyperlink>
      <w:r w:rsidR="003E24E7">
        <w:t xml:space="preserve"> </w:t>
      </w:r>
      <w:r w:rsidR="00AA1A04">
        <w:t xml:space="preserve">                </w:t>
      </w:r>
      <w:r w:rsidR="003E24E7">
        <w:t xml:space="preserve"> </w:t>
      </w:r>
      <w:hyperlink r:id="rId16" w:history="1">
        <w:r w:rsidR="003E24E7" w:rsidRPr="00B577E5">
          <w:rPr>
            <w:rStyle w:val="Hyperlink"/>
          </w:rPr>
          <w:t>http://orcid.org</w:t>
        </w:r>
        <w:r w:rsidR="003E24E7" w:rsidRPr="00B577E5">
          <w:rPr>
            <w:rStyle w:val="Hyperlink"/>
          </w:rPr>
          <w:t>/0000-0002-9647-7887</w:t>
        </w:r>
      </w:hyperlink>
      <w:r w:rsidR="003E24E7">
        <w:t xml:space="preserve"> </w:t>
      </w:r>
    </w:p>
    <w:p w14:paraId="4DD7B079" w14:textId="0D8F5A66" w:rsidR="00790BBD" w:rsidRDefault="00237C02" w:rsidP="00237C02">
      <w:pPr>
        <w:pStyle w:val="NoSpacing"/>
        <w:ind w:left="720"/>
      </w:pPr>
      <w:hyperlink r:id="rId17" w:history="1">
        <w:r w:rsidRPr="00B577E5">
          <w:rPr>
            <w:rStyle w:val="Hyperlink"/>
          </w:rPr>
          <w:t>Asrah_25@hotmail.com</w:t>
        </w:r>
      </w:hyperlink>
      <w:r w:rsidR="007C5BC3">
        <w:t xml:space="preserve">    </w:t>
      </w:r>
      <w:r w:rsidR="00AA1A04">
        <w:t xml:space="preserve">                    </w:t>
      </w:r>
      <w:hyperlink r:id="rId18" w:history="1">
        <w:r w:rsidR="00801622" w:rsidRPr="00B577E5">
          <w:rPr>
            <w:rStyle w:val="Hyperlink"/>
          </w:rPr>
          <w:t>http://orcid.org</w:t>
        </w:r>
        <w:r w:rsidR="00801622" w:rsidRPr="00B577E5">
          <w:rPr>
            <w:rStyle w:val="Hyperlink"/>
          </w:rPr>
          <w:t>/0000-0002-9701-8930</w:t>
        </w:r>
      </w:hyperlink>
      <w:r w:rsidR="007C5BC3">
        <w:t xml:space="preserve"> </w:t>
      </w:r>
    </w:p>
    <w:p w14:paraId="4E9A4132" w14:textId="37158751" w:rsidR="007C5BC3" w:rsidRDefault="00237C02" w:rsidP="00237C02">
      <w:pPr>
        <w:pStyle w:val="NoSpacing"/>
        <w:ind w:left="720"/>
      </w:pPr>
      <w:hyperlink r:id="rId19" w:history="1">
        <w:r w:rsidRPr="00B577E5">
          <w:rPr>
            <w:rStyle w:val="Hyperlink"/>
          </w:rPr>
          <w:t>dr.priyasara@gmail.com</w:t>
        </w:r>
      </w:hyperlink>
      <w:r w:rsidR="00D626A5">
        <w:t xml:space="preserve">                        </w:t>
      </w:r>
      <w:hyperlink r:id="rId20" w:history="1">
        <w:r w:rsidR="00D626A5" w:rsidRPr="00B577E5">
          <w:rPr>
            <w:rStyle w:val="Hyperlink"/>
          </w:rPr>
          <w:t>http://orcid.org</w:t>
        </w:r>
        <w:r w:rsidR="00D626A5" w:rsidRPr="00B577E5">
          <w:rPr>
            <w:rStyle w:val="Hyperlink"/>
          </w:rPr>
          <w:t>/0000-0003-3853-5505</w:t>
        </w:r>
      </w:hyperlink>
      <w:r w:rsidR="00D626A5">
        <w:t xml:space="preserve"> </w:t>
      </w:r>
    </w:p>
    <w:p w14:paraId="5C07825B" w14:textId="23660D49" w:rsidR="007C5BC3" w:rsidRDefault="00237C02" w:rsidP="00237C02">
      <w:pPr>
        <w:pStyle w:val="NoSpacing"/>
        <w:ind w:left="720"/>
      </w:pPr>
      <w:hyperlink r:id="rId21" w:history="1">
        <w:r w:rsidRPr="00B577E5">
          <w:rPr>
            <w:rStyle w:val="Hyperlink"/>
          </w:rPr>
          <w:t>mazharalam15505@gmail.com</w:t>
        </w:r>
      </w:hyperlink>
      <w:r w:rsidR="007C5BC3">
        <w:t xml:space="preserve">   </w:t>
      </w:r>
      <w:r w:rsidR="00AA1A04">
        <w:t xml:space="preserve">         </w:t>
      </w:r>
      <w:hyperlink r:id="rId22" w:history="1">
        <w:r w:rsidR="00AA1A04" w:rsidRPr="00B577E5">
          <w:rPr>
            <w:rStyle w:val="Hyperlink"/>
          </w:rPr>
          <w:t>http://orcid.org</w:t>
        </w:r>
        <w:r w:rsidR="00AA1A04" w:rsidRPr="00B577E5">
          <w:rPr>
            <w:rStyle w:val="Hyperlink"/>
          </w:rPr>
          <w:t>/0000-0002-9541-8105</w:t>
        </w:r>
      </w:hyperlink>
      <w:r w:rsidR="00AA1A04">
        <w:t xml:space="preserve"> </w:t>
      </w:r>
    </w:p>
    <w:p w14:paraId="4E24F1FC" w14:textId="35921EDF" w:rsidR="00AA1A04" w:rsidRDefault="00237C02" w:rsidP="00237C02">
      <w:pPr>
        <w:pStyle w:val="NoSpacing"/>
      </w:pPr>
      <w:r>
        <w:t xml:space="preserve">              </w:t>
      </w:r>
      <w:hyperlink r:id="rId23" w:history="1">
        <w:r w:rsidRPr="00B577E5">
          <w:rPr>
            <w:rStyle w:val="Hyperlink"/>
          </w:rPr>
          <w:t>drismailakhtarkhan666@gmail.com</w:t>
        </w:r>
      </w:hyperlink>
      <w:r w:rsidR="00AA1A04">
        <w:t xml:space="preserve">    </w:t>
      </w:r>
      <w:hyperlink r:id="rId24" w:history="1">
        <w:r w:rsidR="00AA1A04" w:rsidRPr="00B577E5">
          <w:rPr>
            <w:rStyle w:val="Hyperlink"/>
          </w:rPr>
          <w:t>http://orcid.org</w:t>
        </w:r>
        <w:r w:rsidR="00AA1A04" w:rsidRPr="00B577E5">
          <w:rPr>
            <w:rStyle w:val="Hyperlink"/>
          </w:rPr>
          <w:t>/0000-0002-8762-1824</w:t>
        </w:r>
      </w:hyperlink>
      <w:r w:rsidR="00AA1A04">
        <w:t xml:space="preserve"> </w:t>
      </w:r>
    </w:p>
    <w:p w14:paraId="31E6BED2" w14:textId="4A79CDCD" w:rsidR="002379F2" w:rsidRDefault="00237C02" w:rsidP="00237C02">
      <w:pPr>
        <w:pStyle w:val="NoSpacing"/>
      </w:pPr>
      <w:r>
        <w:t xml:space="preserve">              </w:t>
      </w:r>
      <w:hyperlink r:id="rId25" w:history="1">
        <w:r w:rsidRPr="00B577E5">
          <w:rPr>
            <w:rStyle w:val="Hyperlink"/>
          </w:rPr>
          <w:t>hoormalik966@gmail.com</w:t>
        </w:r>
      </w:hyperlink>
      <w:r w:rsidR="002379F2">
        <w:t xml:space="preserve">                    </w:t>
      </w:r>
      <w:hyperlink r:id="rId26" w:history="1">
        <w:r w:rsidR="002379F2" w:rsidRPr="00B577E5">
          <w:rPr>
            <w:rStyle w:val="Hyperlink"/>
          </w:rPr>
          <w:t>http://orcid.org</w:t>
        </w:r>
        <w:r w:rsidR="002379F2" w:rsidRPr="00B577E5">
          <w:rPr>
            <w:rStyle w:val="Hyperlink"/>
          </w:rPr>
          <w:t>/0000-0002-6842-8906</w:t>
        </w:r>
      </w:hyperlink>
      <w:r w:rsidR="002379F2">
        <w:t xml:space="preserve"> </w:t>
      </w:r>
    </w:p>
    <w:p w14:paraId="3DD9186D" w14:textId="4C8AD71A" w:rsidR="005C219D" w:rsidRDefault="005C219D" w:rsidP="00237C02">
      <w:pPr>
        <w:pStyle w:val="NoSpacing"/>
      </w:pPr>
    </w:p>
    <w:p w14:paraId="056AE18E" w14:textId="5CC979E5" w:rsidR="005C219D" w:rsidRPr="005C219D" w:rsidRDefault="005C219D" w:rsidP="00237C02">
      <w:pPr>
        <w:pStyle w:val="NoSpacing"/>
        <w:rPr>
          <w:b/>
          <w:bCs/>
        </w:rPr>
      </w:pPr>
      <w:r w:rsidRPr="005C219D">
        <w:rPr>
          <w:b/>
          <w:bCs/>
        </w:rPr>
        <w:t>Corresponding Author:</w:t>
      </w:r>
    </w:p>
    <w:p w14:paraId="350FE73A" w14:textId="77777777" w:rsidR="005C219D" w:rsidRDefault="005C219D" w:rsidP="005C219D">
      <w:pPr>
        <w:pStyle w:val="NoSpacing"/>
      </w:pPr>
      <w:r>
        <w:t>Dr. Abdul Baqi, MD</w:t>
      </w:r>
    </w:p>
    <w:p w14:paraId="53233CB5" w14:textId="184204E2" w:rsidR="005C219D" w:rsidRDefault="005C219D" w:rsidP="005C219D">
      <w:pPr>
        <w:pStyle w:val="NoSpacing"/>
      </w:pPr>
      <w:r>
        <w:t xml:space="preserve">Mercy Saint Vincent </w:t>
      </w:r>
      <w:r w:rsidR="005200DF">
        <w:t>Medical</w:t>
      </w:r>
      <w:r>
        <w:t xml:space="preserve"> Centre, Toledo, Ohio United </w:t>
      </w:r>
      <w:r w:rsidR="005200DF">
        <w:t>States</w:t>
      </w:r>
    </w:p>
    <w:p w14:paraId="6518D6B8" w14:textId="694C0323" w:rsidR="005C219D" w:rsidRDefault="005C219D" w:rsidP="005C219D">
      <w:pPr>
        <w:pStyle w:val="NoSpacing"/>
      </w:pPr>
      <w:hyperlink r:id="rId27" w:history="1">
        <w:r w:rsidRPr="00DB4A43">
          <w:rPr>
            <w:rStyle w:val="Hyperlink"/>
          </w:rPr>
          <w:t>dr_abdulbaqi56@yahoo.com</w:t>
        </w:r>
      </w:hyperlink>
    </w:p>
    <w:p w14:paraId="1C77D1C5" w14:textId="57D954FD" w:rsidR="005C219D" w:rsidRPr="007C5BC3" w:rsidRDefault="005C219D" w:rsidP="00237C02">
      <w:pPr>
        <w:pStyle w:val="NoSpacing"/>
      </w:pPr>
      <w:hyperlink r:id="rId28" w:history="1">
        <w:r w:rsidRPr="00B577E5">
          <w:rPr>
            <w:rStyle w:val="Hyperlink"/>
          </w:rPr>
          <w:t>http://orcid.org/0000-0003-2548-4288</w:t>
        </w:r>
      </w:hyperlink>
    </w:p>
    <w:p w14:paraId="6699E07B" w14:textId="77777777" w:rsidR="00790BBD" w:rsidRDefault="00790BBD" w:rsidP="00790BBD">
      <w:pPr>
        <w:spacing w:after="0" w:line="240" w:lineRule="auto"/>
        <w:textAlignment w:val="baseline"/>
        <w:rPr>
          <w:rFonts w:eastAsia="Times New Roman" w:cstheme="minorHAnsi"/>
          <w:b/>
          <w:bCs/>
          <w:sz w:val="24"/>
          <w:szCs w:val="24"/>
        </w:rPr>
      </w:pPr>
    </w:p>
    <w:p w14:paraId="3845B64F" w14:textId="77777777" w:rsidR="00790BBD" w:rsidRPr="00A55D3B" w:rsidRDefault="00790BBD" w:rsidP="00790BBD">
      <w:pPr>
        <w:spacing w:after="0" w:line="240" w:lineRule="auto"/>
        <w:textAlignment w:val="baseline"/>
        <w:rPr>
          <w:rFonts w:eastAsia="Times New Roman" w:cstheme="minorHAnsi"/>
          <w:sz w:val="24"/>
          <w:szCs w:val="24"/>
        </w:rPr>
      </w:pPr>
      <w:r w:rsidRPr="00A55D3B">
        <w:rPr>
          <w:rFonts w:eastAsia="Times New Roman" w:cstheme="minorHAnsi"/>
          <w:b/>
          <w:bCs/>
          <w:sz w:val="24"/>
          <w:szCs w:val="24"/>
        </w:rPr>
        <w:t>Abstract</w:t>
      </w:r>
      <w:r w:rsidRPr="00A55D3B">
        <w:rPr>
          <w:rFonts w:eastAsia="Times New Roman" w:cstheme="minorHAnsi"/>
          <w:sz w:val="24"/>
          <w:szCs w:val="24"/>
        </w:rPr>
        <w:t> </w:t>
      </w:r>
    </w:p>
    <w:p w14:paraId="687DDB86" w14:textId="676179B8" w:rsidR="00790BBD" w:rsidRDefault="00790BBD" w:rsidP="00790BBD">
      <w:pPr>
        <w:spacing w:after="0" w:line="240" w:lineRule="auto"/>
        <w:jc w:val="both"/>
        <w:textAlignment w:val="baseline"/>
      </w:pPr>
      <w:r w:rsidRPr="00D3514B">
        <w:rPr>
          <w:sz w:val="24"/>
          <w:szCs w:val="24"/>
        </w:rPr>
        <w:t>A 55-year-old female patient presented with generalized tonic-</w:t>
      </w:r>
      <w:proofErr w:type="spellStart"/>
      <w:r w:rsidRPr="00D3514B">
        <w:rPr>
          <w:sz w:val="24"/>
          <w:szCs w:val="24"/>
        </w:rPr>
        <w:t>clonic</w:t>
      </w:r>
      <w:proofErr w:type="spellEnd"/>
      <w:r w:rsidRPr="00D3514B">
        <w:rPr>
          <w:sz w:val="24"/>
          <w:szCs w:val="24"/>
        </w:rPr>
        <w:t xml:space="preserve"> seizures. Laboratory</w:t>
      </w:r>
      <w:r w:rsidR="005200DF">
        <w:rPr>
          <w:sz w:val="24"/>
          <w:szCs w:val="24"/>
        </w:rPr>
        <w:t xml:space="preserve"> </w:t>
      </w:r>
      <w:r w:rsidRPr="00D3514B">
        <w:rPr>
          <w:sz w:val="24"/>
          <w:szCs w:val="24"/>
        </w:rPr>
        <w:t>evaluation revealed low calcium (4.9 mg/d</w:t>
      </w:r>
      <w:r>
        <w:rPr>
          <w:sz w:val="24"/>
          <w:szCs w:val="24"/>
        </w:rPr>
        <w:t>L</w:t>
      </w:r>
      <w:r w:rsidRPr="00D3514B">
        <w:rPr>
          <w:sz w:val="24"/>
          <w:szCs w:val="24"/>
        </w:rPr>
        <w:t>), low PTH (0.9 pg/m</w:t>
      </w:r>
      <w:r>
        <w:rPr>
          <w:sz w:val="24"/>
          <w:szCs w:val="24"/>
        </w:rPr>
        <w:t>L</w:t>
      </w:r>
      <w:r w:rsidRPr="00D3514B">
        <w:rPr>
          <w:sz w:val="24"/>
          <w:szCs w:val="24"/>
        </w:rPr>
        <w:t>)</w:t>
      </w:r>
      <w:r>
        <w:rPr>
          <w:sz w:val="24"/>
          <w:szCs w:val="24"/>
        </w:rPr>
        <w:t>,</w:t>
      </w:r>
      <w:r w:rsidRPr="00D3514B">
        <w:rPr>
          <w:sz w:val="24"/>
          <w:szCs w:val="24"/>
        </w:rPr>
        <w:t xml:space="preserve"> </w:t>
      </w:r>
      <w:r w:rsidR="005200DF">
        <w:rPr>
          <w:sz w:val="24"/>
          <w:szCs w:val="24"/>
        </w:rPr>
        <w:t>&amp;</w:t>
      </w:r>
      <w:r w:rsidRPr="00D3514B">
        <w:rPr>
          <w:sz w:val="24"/>
          <w:szCs w:val="24"/>
        </w:rPr>
        <w:t xml:space="preserve"> positive activating CaSR antibodies. The condition was diagnosed as autoimmune hypoparathyroidism.</w:t>
      </w:r>
      <w:r w:rsidR="005200DF">
        <w:rPr>
          <w:sz w:val="24"/>
          <w:szCs w:val="24"/>
        </w:rPr>
        <w:t xml:space="preserve"> </w:t>
      </w:r>
      <w:r w:rsidR="005200DF" w:rsidRPr="00D3514B">
        <w:rPr>
          <w:sz w:val="24"/>
          <w:szCs w:val="24"/>
        </w:rPr>
        <w:t>Calcium</w:t>
      </w:r>
      <w:r w:rsidR="005200DF">
        <w:rPr>
          <w:sz w:val="24"/>
          <w:szCs w:val="24"/>
        </w:rPr>
        <w:t xml:space="preserve"> </w:t>
      </w:r>
      <w:r w:rsidR="005200DF" w:rsidRPr="00D3514B">
        <w:rPr>
          <w:sz w:val="24"/>
          <w:szCs w:val="24"/>
        </w:rPr>
        <w:t>and</w:t>
      </w:r>
      <w:r w:rsidRPr="00D3514B">
        <w:rPr>
          <w:sz w:val="24"/>
          <w:szCs w:val="24"/>
        </w:rPr>
        <w:t xml:space="preserve"> vitamin</w:t>
      </w:r>
      <w:r>
        <w:rPr>
          <w:sz w:val="24"/>
          <w:szCs w:val="24"/>
        </w:rPr>
        <w:t xml:space="preserve"> </w:t>
      </w:r>
      <w:r w:rsidRPr="00D3514B">
        <w:rPr>
          <w:sz w:val="24"/>
          <w:szCs w:val="24"/>
        </w:rPr>
        <w:t>D</w:t>
      </w:r>
      <w:r w:rsidR="005200DF">
        <w:rPr>
          <w:sz w:val="24"/>
          <w:szCs w:val="24"/>
        </w:rPr>
        <w:t xml:space="preserve"> supplements</w:t>
      </w:r>
      <w:r w:rsidRPr="00D3514B">
        <w:rPr>
          <w:sz w:val="24"/>
          <w:szCs w:val="24"/>
        </w:rPr>
        <w:t xml:space="preserve"> did not correct the patient’s hypocalcemia.</w:t>
      </w:r>
      <w:r>
        <w:rPr>
          <w:sz w:val="24"/>
          <w:szCs w:val="24"/>
        </w:rPr>
        <w:t xml:space="preserve"> </w:t>
      </w:r>
      <w:r w:rsidRPr="00D3514B">
        <w:rPr>
          <w:sz w:val="24"/>
          <w:szCs w:val="24"/>
        </w:rPr>
        <w:t xml:space="preserve">The addition of prednisone </w:t>
      </w:r>
      <w:r>
        <w:rPr>
          <w:sz w:val="24"/>
          <w:szCs w:val="24"/>
        </w:rPr>
        <w:t xml:space="preserve">to vitamin supplements </w:t>
      </w:r>
      <w:r w:rsidRPr="00D3514B">
        <w:rPr>
          <w:sz w:val="24"/>
          <w:szCs w:val="24"/>
        </w:rPr>
        <w:t>showed a better response and corrected the hypocalcemia. The patient remained seizures free for one year.</w:t>
      </w:r>
      <w:r>
        <w:t xml:space="preserve">  </w:t>
      </w:r>
    </w:p>
    <w:p w14:paraId="382F77D8" w14:textId="77777777" w:rsidR="00790BBD" w:rsidRDefault="00790BBD" w:rsidP="00790BBD">
      <w:pPr>
        <w:spacing w:after="0" w:line="240" w:lineRule="auto"/>
        <w:jc w:val="both"/>
        <w:textAlignment w:val="baseline"/>
        <w:rPr>
          <w:rFonts w:eastAsia="Times New Roman" w:cstheme="minorHAnsi"/>
          <w:sz w:val="24"/>
          <w:szCs w:val="24"/>
        </w:rPr>
      </w:pPr>
    </w:p>
    <w:p w14:paraId="6856C0F2" w14:textId="69D8965A" w:rsidR="00790BBD" w:rsidRDefault="00790BBD" w:rsidP="005200DF">
      <w:pPr>
        <w:spacing w:after="0" w:line="240" w:lineRule="auto"/>
        <w:jc w:val="both"/>
        <w:textAlignment w:val="baseline"/>
        <w:rPr>
          <w:rFonts w:eastAsia="Times New Roman" w:cstheme="minorHAnsi"/>
          <w:sz w:val="24"/>
          <w:szCs w:val="24"/>
        </w:rPr>
      </w:pPr>
      <w:r w:rsidRPr="003605D6">
        <w:rPr>
          <w:b/>
          <w:bCs/>
          <w:sz w:val="24"/>
          <w:szCs w:val="24"/>
        </w:rPr>
        <w:t xml:space="preserve">Keywords: </w:t>
      </w:r>
      <w:r w:rsidRPr="003605D6">
        <w:rPr>
          <w:sz w:val="24"/>
          <w:szCs w:val="24"/>
        </w:rPr>
        <w:t>seizure, CaSR antibodies, hypoparathyroidism, autoimmune, case report</w:t>
      </w:r>
    </w:p>
    <w:p w14:paraId="350CD86E" w14:textId="2187795D" w:rsidR="005200DF" w:rsidRDefault="005200DF" w:rsidP="005200DF">
      <w:pPr>
        <w:spacing w:after="0" w:line="240" w:lineRule="auto"/>
        <w:jc w:val="both"/>
        <w:textAlignment w:val="baseline"/>
        <w:rPr>
          <w:rFonts w:eastAsia="Times New Roman" w:cstheme="minorHAnsi"/>
          <w:sz w:val="24"/>
          <w:szCs w:val="24"/>
        </w:rPr>
      </w:pPr>
    </w:p>
    <w:p w14:paraId="65479F61" w14:textId="77777777" w:rsidR="005200DF" w:rsidRPr="005200DF" w:rsidRDefault="005200DF" w:rsidP="005200DF">
      <w:pPr>
        <w:spacing w:after="0" w:line="240" w:lineRule="auto"/>
        <w:jc w:val="both"/>
        <w:textAlignment w:val="baseline"/>
        <w:rPr>
          <w:rFonts w:eastAsia="Times New Roman" w:cstheme="minorHAnsi"/>
          <w:sz w:val="24"/>
          <w:szCs w:val="24"/>
        </w:rPr>
      </w:pPr>
    </w:p>
    <w:p w14:paraId="6334FA13" w14:textId="77777777" w:rsidR="00790BBD" w:rsidRDefault="00790BBD" w:rsidP="00790BBD">
      <w:pPr>
        <w:spacing w:after="0" w:line="240" w:lineRule="auto"/>
        <w:textAlignment w:val="baseline"/>
        <w:rPr>
          <w:rFonts w:eastAsia="Times New Roman" w:cstheme="minorHAnsi"/>
          <w:sz w:val="24"/>
          <w:szCs w:val="24"/>
        </w:rPr>
      </w:pPr>
      <w:r w:rsidRPr="00A55D3B">
        <w:rPr>
          <w:rFonts w:eastAsia="Times New Roman" w:cstheme="minorHAnsi"/>
          <w:b/>
          <w:bCs/>
          <w:sz w:val="24"/>
          <w:szCs w:val="24"/>
        </w:rPr>
        <w:lastRenderedPageBreak/>
        <w:t>Introduction</w:t>
      </w:r>
      <w:r w:rsidRPr="00A55D3B">
        <w:rPr>
          <w:rFonts w:eastAsia="Times New Roman" w:cstheme="minorHAnsi"/>
          <w:sz w:val="24"/>
          <w:szCs w:val="24"/>
        </w:rPr>
        <w:t> </w:t>
      </w:r>
    </w:p>
    <w:p w14:paraId="026A95E7" w14:textId="77777777" w:rsidR="00790BBD" w:rsidRPr="00A55D3B" w:rsidRDefault="00790BBD" w:rsidP="00790BBD">
      <w:pPr>
        <w:spacing w:after="0" w:line="240" w:lineRule="auto"/>
        <w:jc w:val="both"/>
        <w:textAlignment w:val="baseline"/>
        <w:rPr>
          <w:rFonts w:eastAsia="Times New Roman" w:cstheme="minorHAnsi"/>
          <w:sz w:val="24"/>
          <w:szCs w:val="24"/>
        </w:rPr>
      </w:pPr>
      <w:r>
        <w:rPr>
          <w:rFonts w:eastAsia="Times New Roman" w:cstheme="minorHAnsi"/>
          <w:sz w:val="24"/>
          <w:szCs w:val="24"/>
        </w:rPr>
        <w:t>Autoimmune h</w:t>
      </w:r>
      <w:r w:rsidRPr="00A55D3B">
        <w:rPr>
          <w:rFonts w:eastAsia="Times New Roman" w:cstheme="minorHAnsi"/>
          <w:sz w:val="24"/>
          <w:szCs w:val="24"/>
        </w:rPr>
        <w:t xml:space="preserve">ypoparathyroidism is a </w:t>
      </w:r>
      <w:r>
        <w:rPr>
          <w:rFonts w:eastAsia="Times New Roman" w:cstheme="minorHAnsi"/>
          <w:sz w:val="24"/>
          <w:szCs w:val="24"/>
        </w:rPr>
        <w:t>primary pathology of the parathyroid gland and involves the autoimmune destruction of the parathyroid gland. The condition is characterized by decreased</w:t>
      </w:r>
      <w:r w:rsidRPr="00A55D3B">
        <w:rPr>
          <w:rFonts w:eastAsia="Times New Roman" w:cstheme="minorHAnsi"/>
          <w:sz w:val="24"/>
          <w:szCs w:val="24"/>
        </w:rPr>
        <w:t xml:space="preserve"> level of parathyroid hormone (PTH)</w:t>
      </w:r>
      <w:r>
        <w:rPr>
          <w:rFonts w:eastAsia="Times New Roman" w:cstheme="minorHAnsi"/>
          <w:sz w:val="24"/>
          <w:szCs w:val="24"/>
        </w:rPr>
        <w:t xml:space="preserve"> and low serum calcium that can lead to clinical signs and symptoms</w:t>
      </w:r>
      <w:r w:rsidRPr="00A55D3B">
        <w:rPr>
          <w:rFonts w:eastAsia="Times New Roman" w:cstheme="minorHAnsi"/>
          <w:sz w:val="24"/>
          <w:szCs w:val="24"/>
        </w:rPr>
        <w:t>.</w:t>
      </w:r>
      <w:r>
        <w:rPr>
          <w:rFonts w:eastAsia="Times New Roman" w:cstheme="minorHAnsi"/>
          <w:sz w:val="24"/>
          <w:szCs w:val="24"/>
        </w:rPr>
        <w:t xml:space="preserve"> (1)</w:t>
      </w:r>
      <w:r w:rsidRPr="00A55D3B">
        <w:rPr>
          <w:rFonts w:eastAsia="Times New Roman" w:cstheme="minorHAnsi"/>
          <w:sz w:val="24"/>
          <w:szCs w:val="24"/>
        </w:rPr>
        <w:t xml:space="preserve"> PTH maintains </w:t>
      </w:r>
      <w:r>
        <w:rPr>
          <w:rFonts w:eastAsia="Times New Roman" w:cstheme="minorHAnsi"/>
          <w:sz w:val="24"/>
          <w:szCs w:val="24"/>
        </w:rPr>
        <w:t xml:space="preserve">an </w:t>
      </w:r>
      <w:r w:rsidRPr="00A55D3B">
        <w:rPr>
          <w:rFonts w:eastAsia="Times New Roman" w:cstheme="minorHAnsi"/>
          <w:sz w:val="24"/>
          <w:szCs w:val="24"/>
        </w:rPr>
        <w:t>adequate level</w:t>
      </w:r>
      <w:r>
        <w:rPr>
          <w:rFonts w:eastAsia="Times New Roman" w:cstheme="minorHAnsi"/>
          <w:sz w:val="24"/>
          <w:szCs w:val="24"/>
        </w:rPr>
        <w:t xml:space="preserve"> of serum calcium</w:t>
      </w:r>
      <w:r w:rsidRPr="00A55D3B">
        <w:rPr>
          <w:rFonts w:eastAsia="Times New Roman" w:cstheme="minorHAnsi"/>
          <w:sz w:val="24"/>
          <w:szCs w:val="24"/>
        </w:rPr>
        <w:t xml:space="preserve"> in the serum by</w:t>
      </w:r>
      <w:r>
        <w:rPr>
          <w:rFonts w:eastAsia="Times New Roman" w:cstheme="minorHAnsi"/>
          <w:sz w:val="24"/>
          <w:szCs w:val="24"/>
        </w:rPr>
        <w:t xml:space="preserve"> increasing bone resorption and increasing renal tubular calcium reabsorption and promoting phosphate excretion from the kidney. </w:t>
      </w:r>
      <w:r>
        <w:rPr>
          <w:rFonts w:eastAsia="Times New Roman" w:cstheme="minorHAnsi"/>
          <w:color w:val="000000"/>
          <w:sz w:val="24"/>
          <w:szCs w:val="24"/>
        </w:rPr>
        <w:t>(</w:t>
      </w:r>
      <w:r w:rsidRPr="00A55D3B">
        <w:rPr>
          <w:rFonts w:eastAsia="Times New Roman" w:cstheme="minorHAnsi"/>
          <w:color w:val="000000"/>
          <w:sz w:val="24"/>
          <w:szCs w:val="24"/>
        </w:rPr>
        <w:t>2)</w:t>
      </w:r>
      <w:r>
        <w:rPr>
          <w:rFonts w:eastAsia="Times New Roman" w:cstheme="minorHAnsi"/>
          <w:sz w:val="24"/>
          <w:szCs w:val="24"/>
        </w:rPr>
        <w:t xml:space="preserve"> In addition, PTH also activates 1 alpha-hydroxylase enzyme in the kidney which activates vitamin D by hydroxylation at 1 position, the activated vitamin D then helps in the absorption of calcium from the small intestine.(2) Hypoparathyroidism can be primary hypoparathyroidism or secondary hypoparathyroidism, secondary causes of hypoparathyroidism includes </w:t>
      </w:r>
      <w:r w:rsidRPr="00CB2089">
        <w:rPr>
          <w:rFonts w:eastAsia="Times New Roman" w:cstheme="minorHAnsi"/>
          <w:sz w:val="24"/>
          <w:szCs w:val="24"/>
        </w:rPr>
        <w:t>thyroid surgery,</w:t>
      </w:r>
      <w:r>
        <w:rPr>
          <w:rFonts w:eastAsia="Times New Roman" w:cstheme="minorHAnsi"/>
          <w:sz w:val="24"/>
          <w:szCs w:val="24"/>
        </w:rPr>
        <w:t xml:space="preserve"> </w:t>
      </w:r>
      <w:r w:rsidRPr="00CB2089">
        <w:rPr>
          <w:rFonts w:eastAsia="Times New Roman" w:cstheme="minorHAnsi"/>
          <w:sz w:val="24"/>
          <w:szCs w:val="24"/>
        </w:rPr>
        <w:t>cervical radiotherapy,</w:t>
      </w:r>
      <w:r w:rsidRPr="00A55D3B">
        <w:rPr>
          <w:rFonts w:eastAsia="Times New Roman" w:cstheme="minorHAnsi"/>
          <w:sz w:val="24"/>
          <w:szCs w:val="24"/>
        </w:rPr>
        <w:t xml:space="preserve"> genetic disorders</w:t>
      </w:r>
      <w:r>
        <w:rPr>
          <w:rFonts w:eastAsia="Times New Roman" w:cstheme="minorHAnsi"/>
          <w:sz w:val="24"/>
          <w:szCs w:val="24"/>
        </w:rPr>
        <w:t xml:space="preserve"> </w:t>
      </w:r>
      <w:r w:rsidRPr="00A55D3B">
        <w:rPr>
          <w:rFonts w:eastAsia="Times New Roman" w:cstheme="minorHAnsi"/>
          <w:sz w:val="24"/>
          <w:szCs w:val="24"/>
        </w:rPr>
        <w:t xml:space="preserve">(DiGeorge’s syndrome, Bartter’s syndrome, autosomal dominant hypocalcemia (ADH) 1 and ADH 2), autoimmune diseases (autoimmune polyglandular syndrome), idiopathic, </w:t>
      </w:r>
      <w:r>
        <w:rPr>
          <w:rFonts w:eastAsia="Times New Roman" w:cstheme="minorHAnsi"/>
          <w:sz w:val="24"/>
          <w:szCs w:val="24"/>
        </w:rPr>
        <w:t xml:space="preserve">the disorder of magnesium metabolism, </w:t>
      </w:r>
      <w:r w:rsidRPr="00A55D3B">
        <w:rPr>
          <w:rFonts w:eastAsia="Times New Roman" w:cstheme="minorHAnsi"/>
          <w:sz w:val="24"/>
          <w:szCs w:val="24"/>
        </w:rPr>
        <w:t xml:space="preserve">and destruction of the parathyroid gland due to iron </w:t>
      </w:r>
      <w:r w:rsidRPr="00CB2089">
        <w:rPr>
          <w:rFonts w:eastAsia="Times New Roman" w:cstheme="minorHAnsi"/>
          <w:sz w:val="24"/>
          <w:szCs w:val="24"/>
        </w:rPr>
        <w:t>deposits,</w:t>
      </w:r>
      <w:r w:rsidRPr="00A55D3B">
        <w:rPr>
          <w:rFonts w:eastAsia="Times New Roman" w:cstheme="minorHAnsi"/>
          <w:sz w:val="24"/>
          <w:szCs w:val="24"/>
        </w:rPr>
        <w:t xml:space="preserve"> copper deposit, or tumor metastases.</w:t>
      </w:r>
      <w:r>
        <w:rPr>
          <w:rFonts w:eastAsia="Times New Roman" w:cstheme="minorHAnsi"/>
          <w:sz w:val="24"/>
          <w:szCs w:val="24"/>
        </w:rPr>
        <w:t xml:space="preserve"> (</w:t>
      </w:r>
      <w:r w:rsidRPr="00A55D3B">
        <w:rPr>
          <w:rFonts w:eastAsia="Times New Roman" w:cstheme="minorHAnsi"/>
          <w:sz w:val="24"/>
          <w:szCs w:val="24"/>
        </w:rPr>
        <w:t>3)</w:t>
      </w:r>
    </w:p>
    <w:p w14:paraId="4E058114" w14:textId="77777777" w:rsidR="00790BBD" w:rsidRDefault="00790BBD" w:rsidP="00790BBD">
      <w:p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Autoimmune hypoparathyroidism is mainly diagnosed by measuring serum PTH and calcium level, biopsy is not routinely done but can confirm the diagnosis. Activating antibodies against calcium-sensing receptor (CaSR) is sometimes present in the serum and can support the diagnosis of autoimmune hypoparathyroidism. (4) </w:t>
      </w:r>
      <w:r w:rsidRPr="00A55D3B">
        <w:rPr>
          <w:rFonts w:eastAsia="Times New Roman" w:cstheme="minorHAnsi"/>
          <w:sz w:val="24"/>
          <w:szCs w:val="24"/>
        </w:rPr>
        <w:t>As low PTH leads to low serum calcium levels, hypoparathyroidism often presents with paresthesia, hyperreflexia (carpal spasms known as Trousseau’s sign and facial spasms known as Chvostek’s sign), cramps, or tetany. The disorder may manifest acutely with seizures, bronchospasm, laryngospasm, or cardiac rhythm disturbances. (</w:t>
      </w:r>
      <w:r>
        <w:rPr>
          <w:rFonts w:eastAsia="Times New Roman" w:cstheme="minorHAnsi"/>
          <w:sz w:val="24"/>
          <w:szCs w:val="24"/>
        </w:rPr>
        <w:t>5,6)</w:t>
      </w:r>
    </w:p>
    <w:p w14:paraId="4435C505" w14:textId="77777777" w:rsidR="00790BBD" w:rsidRDefault="00790BBD" w:rsidP="00790BBD">
      <w:pPr>
        <w:spacing w:after="0" w:line="240" w:lineRule="auto"/>
        <w:textAlignment w:val="baseline"/>
        <w:rPr>
          <w:rFonts w:eastAsia="Times New Roman" w:cstheme="minorHAnsi"/>
          <w:b/>
          <w:bCs/>
          <w:sz w:val="24"/>
          <w:szCs w:val="24"/>
        </w:rPr>
      </w:pPr>
    </w:p>
    <w:p w14:paraId="5DD418BF" w14:textId="77777777" w:rsidR="00790BBD" w:rsidRPr="00A55D3B" w:rsidRDefault="00790BBD" w:rsidP="00790BBD">
      <w:pPr>
        <w:spacing w:after="0" w:line="240" w:lineRule="auto"/>
        <w:textAlignment w:val="baseline"/>
        <w:rPr>
          <w:rFonts w:eastAsia="Times New Roman" w:cstheme="minorHAnsi"/>
          <w:b/>
          <w:bCs/>
          <w:sz w:val="24"/>
          <w:szCs w:val="24"/>
        </w:rPr>
      </w:pPr>
      <w:r>
        <w:rPr>
          <w:rFonts w:eastAsia="Times New Roman" w:cstheme="minorHAnsi"/>
          <w:b/>
          <w:bCs/>
          <w:sz w:val="24"/>
          <w:szCs w:val="24"/>
        </w:rPr>
        <w:t>Case Report</w:t>
      </w:r>
    </w:p>
    <w:p w14:paraId="2CC63F9D" w14:textId="77777777" w:rsidR="00790BBD" w:rsidRDefault="00790BBD" w:rsidP="00790BBD">
      <w:pPr>
        <w:spacing w:after="0" w:line="240" w:lineRule="auto"/>
        <w:jc w:val="both"/>
        <w:textAlignment w:val="baseline"/>
        <w:rPr>
          <w:rFonts w:eastAsia="Times New Roman" w:cstheme="minorHAnsi"/>
          <w:sz w:val="24"/>
          <w:szCs w:val="24"/>
        </w:rPr>
      </w:pPr>
      <w:r w:rsidRPr="00A55D3B">
        <w:rPr>
          <w:rFonts w:eastAsia="Times New Roman" w:cstheme="minorHAnsi"/>
          <w:sz w:val="24"/>
          <w:szCs w:val="24"/>
        </w:rPr>
        <w:t>A 55-year-old Afghan woman was admitted to</w:t>
      </w:r>
      <w:r>
        <w:rPr>
          <w:rFonts w:eastAsia="Times New Roman" w:cstheme="minorHAnsi"/>
          <w:sz w:val="24"/>
          <w:szCs w:val="24"/>
        </w:rPr>
        <w:t xml:space="preserve"> a tertiary care hospital </w:t>
      </w:r>
      <w:r w:rsidRPr="00A55D3B">
        <w:rPr>
          <w:rFonts w:eastAsia="Times New Roman" w:cstheme="minorHAnsi"/>
          <w:sz w:val="24"/>
          <w:szCs w:val="24"/>
        </w:rPr>
        <w:t>with</w:t>
      </w:r>
      <w:r>
        <w:rPr>
          <w:rFonts w:eastAsia="Times New Roman" w:cstheme="minorHAnsi"/>
          <w:sz w:val="24"/>
          <w:szCs w:val="24"/>
        </w:rPr>
        <w:t xml:space="preserve"> recurrent</w:t>
      </w:r>
      <w:r w:rsidRPr="00A55D3B">
        <w:rPr>
          <w:rFonts w:eastAsia="Times New Roman" w:cstheme="minorHAnsi"/>
          <w:sz w:val="24"/>
          <w:szCs w:val="24"/>
        </w:rPr>
        <w:t xml:space="preserve"> seizures.</w:t>
      </w:r>
      <w:r>
        <w:rPr>
          <w:rFonts w:eastAsia="Times New Roman" w:cstheme="minorHAnsi"/>
          <w:sz w:val="24"/>
          <w:szCs w:val="24"/>
        </w:rPr>
        <w:t xml:space="preserve"> She had normal growth and development. She </w:t>
      </w:r>
      <w:r w:rsidRPr="00A55D3B">
        <w:rPr>
          <w:rFonts w:eastAsia="Times New Roman" w:cstheme="minorHAnsi"/>
          <w:sz w:val="24"/>
          <w:szCs w:val="24"/>
        </w:rPr>
        <w:t xml:space="preserve">had </w:t>
      </w:r>
      <w:r>
        <w:rPr>
          <w:rFonts w:eastAsia="Times New Roman" w:cstheme="minorHAnsi"/>
          <w:sz w:val="24"/>
          <w:szCs w:val="24"/>
        </w:rPr>
        <w:t>her first episode of seizures with no obvious cause at the age of 20 years. The patient was put on antiepileptic drugs (</w:t>
      </w:r>
      <w:r w:rsidRPr="00A55D3B">
        <w:rPr>
          <w:rFonts w:eastAsia="Times New Roman" w:cstheme="minorHAnsi"/>
          <w:sz w:val="24"/>
          <w:szCs w:val="24"/>
        </w:rPr>
        <w:t xml:space="preserve">sodium valproate 500 mg and levetiracetam </w:t>
      </w:r>
      <w:r>
        <w:rPr>
          <w:rFonts w:eastAsia="Times New Roman" w:cstheme="minorHAnsi"/>
          <w:sz w:val="24"/>
          <w:szCs w:val="24"/>
        </w:rPr>
        <w:t>500mg a day) by a local doctor in the village. Due to financial issues and limited resources, the patient did not undergo a neurology consultation or tertiary care hospital visit. Despite strict adherence to the medication prescribed, the patient’s seizures did not resolve for 35 years.</w:t>
      </w:r>
      <w:r w:rsidRPr="00A55D3B">
        <w:rPr>
          <w:rFonts w:eastAsia="Times New Roman" w:cstheme="minorHAnsi"/>
          <w:sz w:val="24"/>
          <w:szCs w:val="24"/>
        </w:rPr>
        <w:t xml:space="preserve"> She also had a history of renal calculi and cataracts. </w:t>
      </w:r>
      <w:r>
        <w:rPr>
          <w:rFonts w:eastAsia="Times New Roman" w:cstheme="minorHAnsi"/>
          <w:sz w:val="24"/>
          <w:szCs w:val="24"/>
        </w:rPr>
        <w:t>She did no</w:t>
      </w:r>
      <w:r w:rsidRPr="003B5B6D">
        <w:rPr>
          <w:rFonts w:eastAsia="Times New Roman" w:cstheme="minorHAnsi"/>
          <w:sz w:val="24"/>
          <w:szCs w:val="24"/>
        </w:rPr>
        <w:t>t have any history of surgical procedures in the cervical regio</w:t>
      </w:r>
      <w:r w:rsidRPr="00BF2D11">
        <w:rPr>
          <w:rFonts w:eastAsia="Times New Roman" w:cstheme="minorHAnsi"/>
          <w:sz w:val="24"/>
          <w:szCs w:val="24"/>
        </w:rPr>
        <w:t>n</w:t>
      </w:r>
      <w:r>
        <w:rPr>
          <w:rFonts w:eastAsia="Times New Roman" w:cstheme="minorHAnsi"/>
          <w:sz w:val="24"/>
          <w:szCs w:val="24"/>
        </w:rPr>
        <w:t xml:space="preserve">. </w:t>
      </w:r>
      <w:r w:rsidRPr="00A55D3B">
        <w:rPr>
          <w:rFonts w:eastAsia="Times New Roman" w:cstheme="minorHAnsi"/>
          <w:sz w:val="24"/>
          <w:szCs w:val="24"/>
        </w:rPr>
        <w:t>The family history was unremarkable for seizures, other neurological disorders, and autoimmune diseases.</w:t>
      </w:r>
    </w:p>
    <w:p w14:paraId="4C8336E9" w14:textId="77777777" w:rsidR="00790BBD" w:rsidRDefault="00790BBD" w:rsidP="00790BBD">
      <w:pPr>
        <w:spacing w:after="0" w:line="240" w:lineRule="auto"/>
        <w:jc w:val="both"/>
        <w:textAlignment w:val="baseline"/>
        <w:rPr>
          <w:rFonts w:eastAsia="Times New Roman" w:cstheme="minorHAnsi"/>
          <w:sz w:val="24"/>
          <w:szCs w:val="24"/>
        </w:rPr>
      </w:pPr>
      <w:r>
        <w:rPr>
          <w:rFonts w:eastAsia="Times New Roman" w:cstheme="minorHAnsi"/>
          <w:sz w:val="24"/>
          <w:szCs w:val="24"/>
        </w:rPr>
        <w:t>Her physical examination showed a</w:t>
      </w:r>
      <w:r w:rsidRPr="00A55D3B">
        <w:rPr>
          <w:rFonts w:eastAsia="Times New Roman" w:cstheme="minorHAnsi"/>
          <w:sz w:val="24"/>
          <w:szCs w:val="24"/>
        </w:rPr>
        <w:t xml:space="preserve"> positive Trousseau’s sign and </w:t>
      </w:r>
      <w:r>
        <w:rPr>
          <w:rFonts w:eastAsia="Times New Roman" w:cstheme="minorHAnsi"/>
          <w:sz w:val="24"/>
          <w:szCs w:val="24"/>
        </w:rPr>
        <w:t>a Chvostek</w:t>
      </w:r>
      <w:r w:rsidRPr="00A55D3B">
        <w:rPr>
          <w:rFonts w:eastAsia="Times New Roman" w:cstheme="minorHAnsi"/>
          <w:sz w:val="24"/>
          <w:szCs w:val="24"/>
        </w:rPr>
        <w:t xml:space="preserve"> sign.</w:t>
      </w:r>
      <w:r>
        <w:rPr>
          <w:rFonts w:eastAsia="Times New Roman" w:cstheme="minorHAnsi"/>
          <w:sz w:val="24"/>
          <w:szCs w:val="24"/>
        </w:rPr>
        <w:t xml:space="preserve"> The biochemical analysis (Table 1) revealed hypocalcemia and the brain imaging (Figure 1) demonstrated ependymal and basal ganglia calcification. Other causes of hypocalcemia were ruled out (Table 2) and a diagnosis of autoimmune hypoparathyroidism leading to hypocalcemia-induced seizures was made.</w:t>
      </w:r>
    </w:p>
    <w:p w14:paraId="60DE706B" w14:textId="77777777" w:rsidR="00790BBD" w:rsidRPr="00A55D3B" w:rsidRDefault="00790BBD" w:rsidP="00790BBD">
      <w:pPr>
        <w:spacing w:after="0" w:line="240" w:lineRule="auto"/>
        <w:jc w:val="both"/>
        <w:textAlignment w:val="baseline"/>
        <w:rPr>
          <w:rFonts w:eastAsia="Times New Roman" w:cstheme="minorHAnsi"/>
          <w:sz w:val="24"/>
          <w:szCs w:val="24"/>
        </w:rPr>
      </w:pPr>
      <w:r w:rsidRPr="00A55D3B">
        <w:rPr>
          <w:rFonts w:eastAsia="Times New Roman" w:cstheme="minorHAnsi"/>
          <w:sz w:val="24"/>
          <w:szCs w:val="24"/>
        </w:rPr>
        <w:t xml:space="preserve">The patient was started on </w:t>
      </w:r>
      <w:r>
        <w:rPr>
          <w:rFonts w:eastAsia="Times New Roman" w:cstheme="minorHAnsi"/>
          <w:sz w:val="24"/>
          <w:szCs w:val="24"/>
        </w:rPr>
        <w:t xml:space="preserve">600 mg oral calcium supplements twice a day, 50,0000 IU of vitamin D2 weekly injection for </w:t>
      </w:r>
      <w:r w:rsidRPr="003B5B6D">
        <w:rPr>
          <w:rFonts w:eastAsia="Times New Roman" w:cstheme="minorHAnsi"/>
          <w:sz w:val="24"/>
          <w:szCs w:val="24"/>
        </w:rPr>
        <w:t>12 weeks</w:t>
      </w:r>
      <w:r>
        <w:rPr>
          <w:rFonts w:eastAsia="Times New Roman" w:cstheme="minorHAnsi"/>
          <w:sz w:val="24"/>
          <w:szCs w:val="24"/>
        </w:rPr>
        <w:t xml:space="preserve">, and 500 mg oral sodium valproate twice a day. The patient was advised to check her serum calcium level weekly. Despite these interventions, the patient’s serum calcium level did not improve over eight weeks. Prednisone 60 mg once daily was added to the patient’s regimen. After the addition of prednisone, the patient’s calcium level was raised </w:t>
      </w:r>
      <w:r>
        <w:rPr>
          <w:rFonts w:eastAsia="Times New Roman" w:cstheme="minorHAnsi"/>
          <w:sz w:val="24"/>
          <w:szCs w:val="24"/>
        </w:rPr>
        <w:lastRenderedPageBreak/>
        <w:t xml:space="preserve">by 37% </w:t>
      </w:r>
      <w:r w:rsidRPr="003B5B6D">
        <w:rPr>
          <w:rFonts w:eastAsia="Times New Roman" w:cstheme="minorHAnsi"/>
          <w:sz w:val="24"/>
          <w:szCs w:val="24"/>
        </w:rPr>
        <w:t>(4.9</w:t>
      </w:r>
      <w:r>
        <w:rPr>
          <w:rFonts w:eastAsia="Times New Roman" w:cstheme="minorHAnsi"/>
          <w:sz w:val="24"/>
          <w:szCs w:val="24"/>
        </w:rPr>
        <w:t xml:space="preserve"> to </w:t>
      </w:r>
      <w:r w:rsidRPr="003B5B6D">
        <w:rPr>
          <w:rFonts w:eastAsia="Times New Roman" w:cstheme="minorHAnsi"/>
          <w:sz w:val="24"/>
          <w:szCs w:val="24"/>
        </w:rPr>
        <w:t>7.8 mg/dL)</w:t>
      </w:r>
      <w:r>
        <w:rPr>
          <w:rFonts w:eastAsia="Times New Roman" w:cstheme="minorHAnsi"/>
          <w:sz w:val="24"/>
          <w:szCs w:val="24"/>
        </w:rPr>
        <w:t xml:space="preserve"> over the next three weeks</w:t>
      </w:r>
      <w:r w:rsidRPr="003B5B6D">
        <w:rPr>
          <w:rFonts w:eastAsia="Times New Roman" w:cstheme="minorHAnsi"/>
          <w:sz w:val="24"/>
          <w:szCs w:val="24"/>
        </w:rPr>
        <w:t>.</w:t>
      </w:r>
      <w:r>
        <w:rPr>
          <w:rFonts w:eastAsia="Times New Roman" w:cstheme="minorHAnsi"/>
          <w:sz w:val="24"/>
          <w:szCs w:val="24"/>
        </w:rPr>
        <w:t xml:space="preserve"> Sodium valproate and prednisone were tapered off and the patient’s serum calcium level was stable. The patient was continued on calcium 600mg and cholecalciferol daily, and she remained seizure-free for one year.</w:t>
      </w:r>
    </w:p>
    <w:p w14:paraId="508BA8AA" w14:textId="77777777" w:rsidR="00790BBD" w:rsidRDefault="00790BBD" w:rsidP="00790BBD">
      <w:pPr>
        <w:spacing w:after="0" w:line="240" w:lineRule="auto"/>
        <w:jc w:val="both"/>
        <w:textAlignment w:val="baseline"/>
        <w:rPr>
          <w:rFonts w:eastAsia="Times New Roman" w:cstheme="minorHAnsi"/>
          <w:sz w:val="24"/>
          <w:szCs w:val="24"/>
        </w:rPr>
      </w:pPr>
    </w:p>
    <w:p w14:paraId="18D25BE6" w14:textId="77777777" w:rsidR="00790BBD" w:rsidRPr="00BE163A" w:rsidRDefault="00790BBD" w:rsidP="00790BBD">
      <w:pPr>
        <w:spacing w:after="0" w:line="240" w:lineRule="auto"/>
        <w:textAlignment w:val="baseline"/>
        <w:rPr>
          <w:rFonts w:eastAsia="Times New Roman" w:cstheme="minorHAnsi"/>
          <w:sz w:val="18"/>
          <w:szCs w:val="18"/>
        </w:rPr>
      </w:pPr>
      <w:r w:rsidRPr="00A55D3B">
        <w:rPr>
          <w:rFonts w:eastAsia="Times New Roman" w:cstheme="minorHAnsi"/>
          <w:b/>
          <w:bCs/>
          <w:sz w:val="28"/>
          <w:szCs w:val="28"/>
        </w:rPr>
        <w:t>Discussion</w:t>
      </w:r>
      <w:r w:rsidRPr="00A55D3B">
        <w:rPr>
          <w:rFonts w:eastAsia="Times New Roman" w:cstheme="minorHAnsi"/>
          <w:sz w:val="28"/>
          <w:szCs w:val="28"/>
        </w:rPr>
        <w:t> </w:t>
      </w:r>
    </w:p>
    <w:p w14:paraId="591C4DBC" w14:textId="77777777" w:rsidR="00790BBD" w:rsidRDefault="00790BBD" w:rsidP="00790BBD">
      <w:p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Seizures have a broad list of etiologies, including structural, genetic, infectious, metabolic, and immunological causes. Any </w:t>
      </w:r>
      <w:r w:rsidRPr="00D8234C">
        <w:rPr>
          <w:rFonts w:eastAsia="Times New Roman" w:cstheme="minorHAnsi"/>
          <w:color w:val="000000" w:themeColor="text1"/>
          <w:sz w:val="24"/>
          <w:szCs w:val="24"/>
        </w:rPr>
        <w:t xml:space="preserve">patient presenting for the first time with seizures should be evaluated by taking </w:t>
      </w:r>
      <w:r>
        <w:rPr>
          <w:rFonts w:eastAsia="Times New Roman" w:cstheme="minorHAnsi"/>
          <w:color w:val="000000" w:themeColor="text1"/>
          <w:sz w:val="24"/>
          <w:szCs w:val="24"/>
        </w:rPr>
        <w:t xml:space="preserve">a </w:t>
      </w:r>
      <w:r w:rsidRPr="00D8234C">
        <w:rPr>
          <w:rFonts w:eastAsia="Times New Roman" w:cstheme="minorHAnsi"/>
          <w:color w:val="000000" w:themeColor="text1"/>
          <w:sz w:val="24"/>
          <w:szCs w:val="24"/>
        </w:rPr>
        <w:t xml:space="preserve">detailed history, doing </w:t>
      </w:r>
      <w:r>
        <w:rPr>
          <w:rFonts w:eastAsia="Times New Roman" w:cstheme="minorHAnsi"/>
          <w:color w:val="000000" w:themeColor="text1"/>
          <w:sz w:val="24"/>
          <w:szCs w:val="24"/>
        </w:rPr>
        <w:t xml:space="preserve">the </w:t>
      </w:r>
      <w:r w:rsidRPr="00D8234C">
        <w:rPr>
          <w:rFonts w:eastAsia="Times New Roman" w:cstheme="minorHAnsi"/>
          <w:color w:val="000000" w:themeColor="text1"/>
          <w:sz w:val="24"/>
          <w:szCs w:val="24"/>
        </w:rPr>
        <w:t>relevant clinical examination</w:t>
      </w:r>
      <w:r>
        <w:rPr>
          <w:rFonts w:eastAsia="Times New Roman" w:cstheme="minorHAnsi"/>
          <w:color w:val="000000" w:themeColor="text1"/>
          <w:sz w:val="24"/>
          <w:szCs w:val="24"/>
        </w:rPr>
        <w:t>,</w:t>
      </w:r>
      <w:r w:rsidRPr="00D8234C">
        <w:rPr>
          <w:rFonts w:eastAsia="Times New Roman" w:cstheme="minorHAnsi"/>
          <w:color w:val="000000" w:themeColor="text1"/>
          <w:sz w:val="24"/>
          <w:szCs w:val="24"/>
        </w:rPr>
        <w:t xml:space="preserve"> and baseline investigations</w:t>
      </w:r>
      <w:r>
        <w:rPr>
          <w:rFonts w:eastAsia="Times New Roman" w:cstheme="minorHAnsi"/>
          <w:color w:val="000000" w:themeColor="text1"/>
          <w:sz w:val="24"/>
          <w:szCs w:val="24"/>
        </w:rPr>
        <w:t xml:space="preserve">, </w:t>
      </w:r>
      <w:r w:rsidRPr="00D8234C">
        <w:rPr>
          <w:rFonts w:eastAsia="Times New Roman" w:cstheme="minorHAnsi"/>
          <w:color w:val="000000" w:themeColor="text1"/>
          <w:sz w:val="24"/>
          <w:szCs w:val="24"/>
        </w:rPr>
        <w:t>including serum calcium and magnesium level.</w:t>
      </w:r>
      <w:r>
        <w:rPr>
          <w:rFonts w:eastAsia="Times New Roman" w:cstheme="minorHAnsi"/>
          <w:color w:val="000000" w:themeColor="text1"/>
          <w:sz w:val="24"/>
          <w:szCs w:val="24"/>
        </w:rPr>
        <w:t xml:space="preserve"> </w:t>
      </w:r>
      <w:r w:rsidRPr="00D8234C">
        <w:rPr>
          <w:rFonts w:eastAsia="Times New Roman" w:cstheme="minorHAnsi"/>
          <w:color w:val="000000" w:themeColor="text1"/>
          <w:sz w:val="24"/>
          <w:szCs w:val="24"/>
        </w:rPr>
        <w:t xml:space="preserve">(7) Autoimmune </w:t>
      </w:r>
      <w:r w:rsidRPr="00D8234C">
        <w:rPr>
          <w:rFonts w:eastAsia="Times New Roman" w:cstheme="minorHAnsi"/>
          <w:color w:val="000000" w:themeColor="text1"/>
          <w:sz w:val="24"/>
          <w:szCs w:val="24"/>
          <w:shd w:val="clear" w:color="auto" w:fill="FFFFFF"/>
        </w:rPr>
        <w:t xml:space="preserve">hypoparathyroidism is an endocrine disorder characterized by the autoimmune destruction of the parathyroid gland and indicated by hypocalcemia and low or undetectable levels of parathyroid hormone. Seizures in autoimmune hypoparathyroidism </w:t>
      </w:r>
      <w:r>
        <w:rPr>
          <w:rFonts w:eastAsia="Times New Roman" w:cstheme="minorHAnsi"/>
          <w:color w:val="000000" w:themeColor="text1"/>
          <w:sz w:val="24"/>
          <w:szCs w:val="24"/>
          <w:shd w:val="clear" w:color="auto" w:fill="FFFFFF"/>
        </w:rPr>
        <w:t>are</w:t>
      </w:r>
      <w:r w:rsidRPr="00D8234C">
        <w:rPr>
          <w:rFonts w:eastAsia="Times New Roman" w:cstheme="minorHAnsi"/>
          <w:color w:val="000000" w:themeColor="text1"/>
          <w:sz w:val="24"/>
          <w:szCs w:val="24"/>
          <w:shd w:val="clear" w:color="auto" w:fill="FFFFFF"/>
        </w:rPr>
        <w:t xml:space="preserve"> secondary to hypocalcemia and can clinically present as a generalized tonic-</w:t>
      </w:r>
      <w:proofErr w:type="spellStart"/>
      <w:r w:rsidRPr="00D8234C">
        <w:rPr>
          <w:rFonts w:eastAsia="Times New Roman" w:cstheme="minorHAnsi"/>
          <w:color w:val="000000" w:themeColor="text1"/>
          <w:sz w:val="24"/>
          <w:szCs w:val="24"/>
          <w:shd w:val="clear" w:color="auto" w:fill="FFFFFF"/>
        </w:rPr>
        <w:t>clonic</w:t>
      </w:r>
      <w:proofErr w:type="spellEnd"/>
      <w:r w:rsidRPr="00D8234C">
        <w:rPr>
          <w:rFonts w:eastAsia="Times New Roman" w:cstheme="minorHAnsi"/>
          <w:color w:val="000000" w:themeColor="text1"/>
          <w:sz w:val="24"/>
          <w:szCs w:val="24"/>
          <w:shd w:val="clear" w:color="auto" w:fill="FFFFFF"/>
        </w:rPr>
        <w:t xml:space="preserve"> type. This unique case describes a patient in whom the secondary causes of hypoparathyroidism were absent</w:t>
      </w:r>
      <w:r>
        <w:rPr>
          <w:rFonts w:eastAsia="Times New Roman" w:cstheme="minorHAnsi"/>
          <w:color w:val="000000" w:themeColor="text1"/>
          <w:sz w:val="24"/>
          <w:szCs w:val="24"/>
          <w:shd w:val="clear" w:color="auto" w:fill="FFFFFF"/>
        </w:rPr>
        <w:t>. A</w:t>
      </w:r>
      <w:r w:rsidRPr="00D8234C">
        <w:rPr>
          <w:rFonts w:eastAsia="Times New Roman" w:cstheme="minorHAnsi"/>
          <w:color w:val="000000" w:themeColor="text1"/>
          <w:sz w:val="24"/>
          <w:szCs w:val="24"/>
        </w:rPr>
        <w:t>lthough she had no family history of autoimmune</w:t>
      </w:r>
      <w:r>
        <w:rPr>
          <w:rFonts w:eastAsia="Times New Roman" w:cstheme="minorHAnsi"/>
          <w:sz w:val="24"/>
          <w:szCs w:val="24"/>
        </w:rPr>
        <w:t xml:space="preserve"> disease, she experienced her first seizure in her 20s which makes autoimmune likely to be the etiology</w:t>
      </w:r>
      <w:r w:rsidRPr="00A55D3B">
        <w:rPr>
          <w:rFonts w:eastAsia="Times New Roman" w:cstheme="minorHAnsi"/>
          <w:sz w:val="24"/>
          <w:szCs w:val="24"/>
        </w:rPr>
        <w:t>. This was supported by positive</w:t>
      </w:r>
      <w:r>
        <w:rPr>
          <w:rFonts w:eastAsia="Times New Roman" w:cstheme="minorHAnsi"/>
          <w:sz w:val="24"/>
          <w:szCs w:val="24"/>
        </w:rPr>
        <w:t xml:space="preserve"> activating </w:t>
      </w:r>
      <w:r w:rsidRPr="00A55D3B">
        <w:rPr>
          <w:rFonts w:eastAsia="Times New Roman" w:cstheme="minorHAnsi"/>
          <w:sz w:val="24"/>
          <w:szCs w:val="24"/>
        </w:rPr>
        <w:t>CaSR antibodies</w:t>
      </w:r>
      <w:r>
        <w:rPr>
          <w:rFonts w:eastAsia="Times New Roman" w:cstheme="minorHAnsi"/>
          <w:sz w:val="24"/>
          <w:szCs w:val="24"/>
        </w:rPr>
        <w:t xml:space="preserve"> in this patient</w:t>
      </w:r>
      <w:r w:rsidRPr="00A55D3B">
        <w:rPr>
          <w:rFonts w:eastAsia="Times New Roman" w:cstheme="minorHAnsi"/>
          <w:sz w:val="24"/>
          <w:szCs w:val="24"/>
        </w:rPr>
        <w:t xml:space="preserve">. </w:t>
      </w:r>
      <w:r>
        <w:rPr>
          <w:rFonts w:eastAsia="Times New Roman" w:cstheme="minorHAnsi"/>
          <w:sz w:val="24"/>
          <w:szCs w:val="24"/>
        </w:rPr>
        <w:t>The management of this case was unique because the patient did not respond to standard therapy of vitamin D and calcium until the addition of prednisone. The addition of prednisone to the supplements corrected the patient’s serum calcium level over the period of three weeks. Tapering off the steroids did not change the patient’s calcium level. That is why this patient was put on a long-term intake of vitamin D and calcium supplements.</w:t>
      </w:r>
    </w:p>
    <w:p w14:paraId="2DDF1491" w14:textId="77777777" w:rsidR="00790BBD" w:rsidRPr="009B1DB9" w:rsidRDefault="00790BBD" w:rsidP="00790BBD">
      <w:pPr>
        <w:spacing w:after="0" w:line="240" w:lineRule="auto"/>
        <w:jc w:val="both"/>
        <w:textAlignment w:val="baseline"/>
        <w:rPr>
          <w:rFonts w:eastAsia="Times New Roman" w:cstheme="minorHAnsi"/>
          <w:color w:val="000000" w:themeColor="text1"/>
          <w:sz w:val="24"/>
          <w:szCs w:val="24"/>
        </w:rPr>
      </w:pPr>
    </w:p>
    <w:p w14:paraId="6224CE66" w14:textId="77777777" w:rsidR="00790BBD" w:rsidRPr="009B1DB9" w:rsidRDefault="00790BBD" w:rsidP="00790BBD">
      <w:pPr>
        <w:spacing w:after="0" w:line="240" w:lineRule="auto"/>
        <w:jc w:val="both"/>
        <w:textAlignment w:val="baseline"/>
        <w:rPr>
          <w:rFonts w:eastAsia="Times New Roman" w:cstheme="minorHAnsi"/>
          <w:color w:val="000000" w:themeColor="text1"/>
          <w:sz w:val="24"/>
          <w:szCs w:val="24"/>
        </w:rPr>
      </w:pPr>
      <w:r w:rsidRPr="009B1DB9">
        <w:rPr>
          <w:rFonts w:eastAsia="Times New Roman" w:cstheme="minorHAnsi"/>
          <w:color w:val="000000" w:themeColor="text1"/>
          <w:sz w:val="24"/>
          <w:szCs w:val="24"/>
        </w:rPr>
        <w:t>Patients with hypoparathyroidism usually undergo initial examinations, such as electrolytes examination (serum Ca</w:t>
      </w:r>
      <w:r w:rsidRPr="00491977">
        <w:rPr>
          <w:rFonts w:eastAsia="Times New Roman" w:cstheme="minorHAnsi"/>
          <w:color w:val="000000" w:themeColor="text1"/>
          <w:sz w:val="24"/>
          <w:szCs w:val="24"/>
          <w:vertAlign w:val="superscript"/>
        </w:rPr>
        <w:t>2+</w:t>
      </w:r>
      <w:r>
        <w:rPr>
          <w:rFonts w:eastAsia="Times New Roman" w:cstheme="minorHAnsi"/>
          <w:color w:val="000000" w:themeColor="text1"/>
          <w:sz w:val="24"/>
          <w:szCs w:val="24"/>
        </w:rPr>
        <w:t xml:space="preserve"> and </w:t>
      </w:r>
      <w:r w:rsidRPr="009B1DB9">
        <w:rPr>
          <w:rFonts w:eastAsia="Times New Roman" w:cstheme="minorHAnsi"/>
          <w:color w:val="000000" w:themeColor="text1"/>
          <w:sz w:val="24"/>
          <w:szCs w:val="24"/>
        </w:rPr>
        <w:t>serum Mg</w:t>
      </w:r>
      <w:r w:rsidRPr="00491977">
        <w:rPr>
          <w:rFonts w:eastAsia="Times New Roman" w:cstheme="minorHAnsi"/>
          <w:color w:val="000000" w:themeColor="text1"/>
          <w:sz w:val="24"/>
          <w:szCs w:val="24"/>
          <w:vertAlign w:val="superscript"/>
        </w:rPr>
        <w:t>2+</w:t>
      </w:r>
      <w:r>
        <w:rPr>
          <w:rFonts w:eastAsia="Times New Roman" w:cstheme="minorHAnsi"/>
          <w:color w:val="000000" w:themeColor="text1"/>
          <w:sz w:val="24"/>
          <w:szCs w:val="24"/>
        </w:rPr>
        <w:t xml:space="preserve">) </w:t>
      </w:r>
      <w:r w:rsidRPr="009B1DB9">
        <w:rPr>
          <w:rFonts w:eastAsia="Times New Roman" w:cstheme="minorHAnsi"/>
          <w:color w:val="000000" w:themeColor="text1"/>
          <w:sz w:val="24"/>
          <w:szCs w:val="24"/>
        </w:rPr>
        <w:t xml:space="preserve">and vitamin D measurement. Diagnosis of hypoparathyroidism relies on </w:t>
      </w:r>
      <w:r>
        <w:rPr>
          <w:rFonts w:eastAsia="Times New Roman" w:cstheme="minorHAnsi"/>
          <w:color w:val="000000" w:themeColor="text1"/>
          <w:sz w:val="24"/>
          <w:szCs w:val="24"/>
        </w:rPr>
        <w:t xml:space="preserve">the </w:t>
      </w:r>
      <w:r w:rsidRPr="009B1DB9">
        <w:rPr>
          <w:rFonts w:eastAsia="Times New Roman" w:cstheme="minorHAnsi"/>
          <w:color w:val="000000" w:themeColor="text1"/>
          <w:sz w:val="24"/>
          <w:szCs w:val="24"/>
        </w:rPr>
        <w:t xml:space="preserve">measurement of the serum parathyroid hormone which can be absent or low. Further examinations may be performed to establish the underlying etiologies. Genetic screening among family members </w:t>
      </w:r>
      <w:r>
        <w:rPr>
          <w:rFonts w:eastAsia="Times New Roman" w:cstheme="minorHAnsi"/>
          <w:color w:val="000000" w:themeColor="text1"/>
          <w:sz w:val="24"/>
          <w:szCs w:val="24"/>
        </w:rPr>
        <w:t>is</w:t>
      </w:r>
      <w:r w:rsidRPr="009B1DB9">
        <w:rPr>
          <w:rFonts w:eastAsia="Times New Roman" w:cstheme="minorHAnsi"/>
          <w:color w:val="000000" w:themeColor="text1"/>
          <w:sz w:val="24"/>
          <w:szCs w:val="24"/>
        </w:rPr>
        <w:t xml:space="preserve"> conducted to look for genetic defects in the family. Bone biopsy and non-invasive high</w:t>
      </w:r>
      <w:r>
        <w:rPr>
          <w:rFonts w:eastAsia="Times New Roman" w:cstheme="minorHAnsi"/>
          <w:color w:val="000000" w:themeColor="text1"/>
          <w:sz w:val="24"/>
          <w:szCs w:val="24"/>
        </w:rPr>
        <w:t>-</w:t>
      </w:r>
      <w:r w:rsidRPr="009B1DB9">
        <w:rPr>
          <w:rFonts w:eastAsia="Times New Roman" w:cstheme="minorHAnsi"/>
          <w:color w:val="000000" w:themeColor="text1"/>
          <w:sz w:val="24"/>
          <w:szCs w:val="24"/>
        </w:rPr>
        <w:t xml:space="preserve">resolution skeletal imaging are two modalities used for assessing the impact of hypoparathyroidism on </w:t>
      </w:r>
      <w:r>
        <w:rPr>
          <w:rFonts w:eastAsia="Times New Roman" w:cstheme="minorHAnsi"/>
          <w:color w:val="000000" w:themeColor="text1"/>
          <w:sz w:val="24"/>
          <w:szCs w:val="24"/>
        </w:rPr>
        <w:t xml:space="preserve">the </w:t>
      </w:r>
      <w:r w:rsidRPr="009B1DB9">
        <w:rPr>
          <w:rFonts w:eastAsia="Times New Roman" w:cstheme="minorHAnsi"/>
          <w:color w:val="000000" w:themeColor="text1"/>
          <w:sz w:val="24"/>
          <w:szCs w:val="24"/>
        </w:rPr>
        <w:t xml:space="preserve">microarchitecture of </w:t>
      </w:r>
      <w:r>
        <w:rPr>
          <w:rFonts w:eastAsia="Times New Roman" w:cstheme="minorHAnsi"/>
          <w:color w:val="000000" w:themeColor="text1"/>
          <w:sz w:val="24"/>
          <w:szCs w:val="24"/>
        </w:rPr>
        <w:t xml:space="preserve">the </w:t>
      </w:r>
      <w:r w:rsidRPr="009B1DB9">
        <w:rPr>
          <w:rFonts w:eastAsia="Times New Roman" w:cstheme="minorHAnsi"/>
          <w:color w:val="000000" w:themeColor="text1"/>
          <w:sz w:val="24"/>
          <w:szCs w:val="24"/>
        </w:rPr>
        <w:t xml:space="preserve">skeleton and the changes </w:t>
      </w:r>
      <w:r>
        <w:rPr>
          <w:rFonts w:eastAsia="Times New Roman" w:cstheme="minorHAnsi"/>
          <w:color w:val="000000" w:themeColor="text1"/>
          <w:sz w:val="24"/>
          <w:szCs w:val="24"/>
        </w:rPr>
        <w:t>i</w:t>
      </w:r>
      <w:r w:rsidRPr="009B1DB9">
        <w:rPr>
          <w:rFonts w:eastAsia="Times New Roman" w:cstheme="minorHAnsi"/>
          <w:color w:val="000000" w:themeColor="text1"/>
          <w:sz w:val="24"/>
          <w:szCs w:val="24"/>
        </w:rPr>
        <w:t>n</w:t>
      </w:r>
      <w:r>
        <w:rPr>
          <w:rFonts w:eastAsia="Times New Roman" w:cstheme="minorHAnsi"/>
          <w:color w:val="000000" w:themeColor="text1"/>
          <w:sz w:val="24"/>
          <w:szCs w:val="24"/>
        </w:rPr>
        <w:t xml:space="preserve"> the</w:t>
      </w:r>
      <w:r w:rsidRPr="009B1DB9">
        <w:rPr>
          <w:rFonts w:eastAsia="Times New Roman" w:cstheme="minorHAnsi"/>
          <w:color w:val="000000" w:themeColor="text1"/>
          <w:sz w:val="24"/>
          <w:szCs w:val="24"/>
        </w:rPr>
        <w:t xml:space="preserve"> skeleton following the PTH treatment. Autoantibodies examinations may be performed when suspecting autoimmune hypoparathyroidism.</w:t>
      </w:r>
      <w:r>
        <w:rPr>
          <w:rFonts w:eastAsia="Times New Roman" w:cstheme="minorHAnsi"/>
          <w:color w:val="000000" w:themeColor="text1"/>
          <w:sz w:val="24"/>
          <w:szCs w:val="24"/>
        </w:rPr>
        <w:t xml:space="preserve"> </w:t>
      </w:r>
      <w:r w:rsidRPr="009B1DB9">
        <w:rPr>
          <w:rFonts w:eastAsia="Times New Roman" w:cstheme="minorHAnsi"/>
          <w:color w:val="000000" w:themeColor="text1"/>
          <w:sz w:val="24"/>
          <w:szCs w:val="24"/>
        </w:rPr>
        <w:t>(8)</w:t>
      </w:r>
      <w:r>
        <w:rPr>
          <w:rFonts w:eastAsia="Times New Roman" w:cstheme="minorHAnsi"/>
          <w:color w:val="000000" w:themeColor="text1"/>
          <w:sz w:val="24"/>
          <w:szCs w:val="24"/>
        </w:rPr>
        <w:t xml:space="preserve"> </w:t>
      </w:r>
      <w:r>
        <w:rPr>
          <w:rFonts w:eastAsia="Times New Roman" w:cstheme="minorHAnsi"/>
          <w:sz w:val="24"/>
          <w:szCs w:val="24"/>
        </w:rPr>
        <w:t xml:space="preserve">Activating antibodies against calcium-sensing receptors (CaSR) are sometimes present in the serum of patients with autoimmune hypoparathyroidism. (9,10) The presence of these antibodies is not confirmatory because of their </w:t>
      </w:r>
      <w:r w:rsidRPr="00773E7F">
        <w:rPr>
          <w:rFonts w:eastAsia="Times New Roman" w:cstheme="minorHAnsi"/>
          <w:color w:val="000000" w:themeColor="text1"/>
          <w:sz w:val="24"/>
          <w:szCs w:val="24"/>
        </w:rPr>
        <w:t>low sensitivity (39%) and specificity (83%).</w:t>
      </w:r>
      <w:r>
        <w:rPr>
          <w:rFonts w:eastAsia="Times New Roman" w:cstheme="minorHAnsi"/>
          <w:color w:val="000000" w:themeColor="text1"/>
          <w:sz w:val="24"/>
          <w:szCs w:val="24"/>
        </w:rPr>
        <w:t xml:space="preserve"> </w:t>
      </w:r>
      <w:r w:rsidRPr="00773E7F">
        <w:rPr>
          <w:rFonts w:eastAsia="Times New Roman" w:cstheme="minorHAnsi"/>
          <w:color w:val="000000" w:themeColor="text1"/>
          <w:sz w:val="24"/>
          <w:szCs w:val="24"/>
        </w:rPr>
        <w:t>(11) CaSR, a G protein-coupled receptor whose role is to activate protein kinase C and ERK1/2</w:t>
      </w:r>
      <w:r>
        <w:rPr>
          <w:rFonts w:eastAsia="Times New Roman" w:cstheme="minorHAnsi"/>
          <w:sz w:val="24"/>
          <w:szCs w:val="24"/>
        </w:rPr>
        <w:t xml:space="preserve"> pathway which results in modulation of PTH secretion. Production of activating antibodies against CaSR further activates the CaSR which leads to a decreased production of PTH and manifests as hypoparathyroidism. (12,13) Some patients with hypoparathyroidism also show calcification in the brain which is often evident on computed tomography scans of the brain incidentally. Like in our case these calcifications mainly involve basal ganglia, ventricles, or brain parenchyma. The condition is known as </w:t>
      </w:r>
      <w:proofErr w:type="spellStart"/>
      <w:proofErr w:type="gramStart"/>
      <w:r>
        <w:rPr>
          <w:rFonts w:eastAsia="Times New Roman" w:cstheme="minorHAnsi"/>
          <w:sz w:val="24"/>
          <w:szCs w:val="24"/>
        </w:rPr>
        <w:t>Fahr‘</w:t>
      </w:r>
      <w:proofErr w:type="gramEnd"/>
      <w:r>
        <w:rPr>
          <w:rFonts w:eastAsia="Times New Roman" w:cstheme="minorHAnsi"/>
          <w:sz w:val="24"/>
          <w:szCs w:val="24"/>
        </w:rPr>
        <w:t>s</w:t>
      </w:r>
      <w:proofErr w:type="spellEnd"/>
      <w:r>
        <w:rPr>
          <w:rFonts w:eastAsia="Times New Roman" w:cstheme="minorHAnsi"/>
          <w:sz w:val="24"/>
          <w:szCs w:val="24"/>
        </w:rPr>
        <w:t xml:space="preserve"> syndrome in which hypoparathyroidism is one of the causes. (14)</w:t>
      </w:r>
    </w:p>
    <w:p w14:paraId="390F0316" w14:textId="77777777" w:rsidR="00790BBD" w:rsidRDefault="00790BBD" w:rsidP="00790BBD">
      <w:pPr>
        <w:spacing w:after="0" w:line="240" w:lineRule="auto"/>
        <w:jc w:val="both"/>
        <w:textAlignment w:val="baseline"/>
        <w:rPr>
          <w:rFonts w:eastAsia="Times New Roman" w:cstheme="minorHAnsi"/>
          <w:sz w:val="24"/>
          <w:szCs w:val="24"/>
        </w:rPr>
      </w:pPr>
    </w:p>
    <w:p w14:paraId="0FF62947" w14:textId="77777777" w:rsidR="00790BBD" w:rsidRDefault="00790BBD" w:rsidP="00790BBD">
      <w:pPr>
        <w:spacing w:after="0" w:line="240" w:lineRule="auto"/>
        <w:jc w:val="both"/>
        <w:textAlignment w:val="baseline"/>
        <w:rPr>
          <w:rFonts w:eastAsia="Times New Roman" w:cstheme="minorHAnsi"/>
          <w:sz w:val="24"/>
          <w:szCs w:val="24"/>
        </w:rPr>
      </w:pPr>
      <w:r w:rsidRPr="00A55D3B">
        <w:rPr>
          <w:rFonts w:eastAsia="Times New Roman" w:cstheme="minorHAnsi"/>
          <w:sz w:val="24"/>
          <w:szCs w:val="24"/>
        </w:rPr>
        <w:t xml:space="preserve">Any etiologies of hypoparathyroidism are treated with the </w:t>
      </w:r>
      <w:r>
        <w:rPr>
          <w:rFonts w:eastAsia="Times New Roman" w:cstheme="minorHAnsi"/>
          <w:sz w:val="24"/>
          <w:szCs w:val="24"/>
        </w:rPr>
        <w:t xml:space="preserve">standard therapy of active vitamin D such as calcitriol and calcium supplements. If calcitriol is not available cholecalciferol can also be </w:t>
      </w:r>
      <w:r>
        <w:rPr>
          <w:rFonts w:eastAsia="Times New Roman" w:cstheme="minorHAnsi"/>
          <w:sz w:val="24"/>
          <w:szCs w:val="24"/>
        </w:rPr>
        <w:lastRenderedPageBreak/>
        <w:t xml:space="preserve">used. In addition, calcium supplements are given with a dose of </w:t>
      </w:r>
      <w:r w:rsidRPr="00A55D3B">
        <w:rPr>
          <w:rFonts w:eastAsia="Times New Roman" w:cstheme="minorHAnsi"/>
          <w:sz w:val="24"/>
          <w:szCs w:val="24"/>
        </w:rPr>
        <w:t>1 to 3</w:t>
      </w:r>
      <w:r>
        <w:rPr>
          <w:rFonts w:eastAsia="Times New Roman" w:cstheme="minorHAnsi"/>
          <w:sz w:val="24"/>
          <w:szCs w:val="24"/>
        </w:rPr>
        <w:t xml:space="preserve"> g in divided doses</w:t>
      </w:r>
      <w:r>
        <w:rPr>
          <w:rFonts w:eastAsia="Times New Roman" w:cstheme="minorHAnsi"/>
        </w:rPr>
        <w:t>. T</w:t>
      </w:r>
      <w:r w:rsidRPr="00A55D3B">
        <w:rPr>
          <w:rFonts w:eastAsia="Times New Roman" w:cstheme="minorHAnsi"/>
          <w:sz w:val="24"/>
          <w:szCs w:val="24"/>
        </w:rPr>
        <w:t xml:space="preserve">he </w:t>
      </w:r>
      <w:r w:rsidRPr="00FE2A8B">
        <w:rPr>
          <w:rFonts w:eastAsia="Times New Roman" w:cstheme="minorHAnsi"/>
          <w:sz w:val="24"/>
          <w:szCs w:val="24"/>
        </w:rPr>
        <w:t>desired therapeutic result is to maintain the serum calcium close to the lower limit of the normal range.</w:t>
      </w:r>
      <w:r>
        <w:rPr>
          <w:rFonts w:eastAsia="Times New Roman" w:cstheme="minorHAnsi"/>
          <w:sz w:val="24"/>
          <w:szCs w:val="24"/>
        </w:rPr>
        <w:t xml:space="preserve"> </w:t>
      </w:r>
      <w:r w:rsidRPr="00FE2A8B">
        <w:rPr>
          <w:rFonts w:eastAsia="Times New Roman" w:cstheme="minorHAnsi"/>
          <w:sz w:val="24"/>
          <w:szCs w:val="24"/>
        </w:rPr>
        <w:t>(1</w:t>
      </w:r>
      <w:r>
        <w:rPr>
          <w:rFonts w:eastAsia="Times New Roman" w:cstheme="minorHAnsi"/>
          <w:sz w:val="24"/>
          <w:szCs w:val="24"/>
        </w:rPr>
        <w:t>5</w:t>
      </w:r>
      <w:r w:rsidRPr="00FE2A8B">
        <w:rPr>
          <w:rFonts w:eastAsia="Times New Roman" w:cstheme="minorHAnsi"/>
          <w:sz w:val="24"/>
          <w:szCs w:val="24"/>
        </w:rPr>
        <w:t>,</w:t>
      </w:r>
      <w:r>
        <w:rPr>
          <w:rFonts w:eastAsia="Times New Roman" w:cstheme="minorHAnsi"/>
          <w:sz w:val="24"/>
          <w:szCs w:val="24"/>
        </w:rPr>
        <w:t>16</w:t>
      </w:r>
      <w:r w:rsidRPr="00FE2A8B">
        <w:rPr>
          <w:rFonts w:eastAsia="Times New Roman" w:cstheme="minorHAnsi"/>
          <w:sz w:val="24"/>
          <w:szCs w:val="24"/>
        </w:rPr>
        <w:t>)</w:t>
      </w:r>
      <w:r>
        <w:rPr>
          <w:rFonts w:eastAsia="Times New Roman" w:cstheme="minorHAnsi"/>
          <w:sz w:val="24"/>
          <w:szCs w:val="24"/>
        </w:rPr>
        <w:t xml:space="preserve"> Moreover, t</w:t>
      </w:r>
      <w:r w:rsidRPr="00A55D3B">
        <w:rPr>
          <w:rFonts w:eastAsia="Times New Roman" w:cstheme="minorHAnsi"/>
          <w:sz w:val="24"/>
          <w:szCs w:val="24"/>
        </w:rPr>
        <w:t xml:space="preserve">here is an increased possibility of treating patients with </w:t>
      </w:r>
      <w:r>
        <w:rPr>
          <w:rFonts w:eastAsia="Times New Roman" w:cstheme="minorHAnsi"/>
          <w:sz w:val="24"/>
          <w:szCs w:val="24"/>
        </w:rPr>
        <w:t>CaSR</w:t>
      </w:r>
      <w:r w:rsidRPr="00A55D3B">
        <w:rPr>
          <w:rFonts w:eastAsia="Times New Roman" w:cstheme="minorHAnsi"/>
          <w:sz w:val="24"/>
          <w:szCs w:val="24"/>
        </w:rPr>
        <w:t xml:space="preserve"> antagonists or </w:t>
      </w:r>
      <w:r>
        <w:rPr>
          <w:rFonts w:eastAsia="Times New Roman" w:cstheme="minorHAnsi"/>
          <w:sz w:val="24"/>
          <w:szCs w:val="24"/>
        </w:rPr>
        <w:t xml:space="preserve">CaSR </w:t>
      </w:r>
      <w:r w:rsidRPr="00A55D3B">
        <w:rPr>
          <w:rFonts w:eastAsia="Times New Roman" w:cstheme="minorHAnsi"/>
          <w:sz w:val="24"/>
          <w:szCs w:val="24"/>
        </w:rPr>
        <w:t>activators when patients are found to have activated or inactivat</w:t>
      </w:r>
      <w:r>
        <w:rPr>
          <w:rFonts w:eastAsia="Times New Roman" w:cstheme="minorHAnsi"/>
          <w:sz w:val="24"/>
          <w:szCs w:val="24"/>
        </w:rPr>
        <w:t xml:space="preserve">ed </w:t>
      </w:r>
      <w:r w:rsidRPr="00A55D3B">
        <w:rPr>
          <w:rFonts w:eastAsia="Times New Roman" w:cstheme="minorHAnsi"/>
          <w:sz w:val="24"/>
          <w:szCs w:val="24"/>
        </w:rPr>
        <w:t>antibodies to the CaSR</w:t>
      </w:r>
      <w:r>
        <w:rPr>
          <w:rFonts w:eastAsia="Times New Roman" w:cstheme="minorHAnsi"/>
          <w:sz w:val="24"/>
          <w:szCs w:val="24"/>
        </w:rPr>
        <w:t>, respectively</w:t>
      </w:r>
      <w:r w:rsidRPr="00A55D3B">
        <w:rPr>
          <w:rFonts w:eastAsia="Times New Roman" w:cstheme="minorHAnsi"/>
          <w:sz w:val="24"/>
          <w:szCs w:val="24"/>
        </w:rPr>
        <w:t>.</w:t>
      </w:r>
      <w:r>
        <w:rPr>
          <w:rFonts w:eastAsia="Times New Roman" w:cstheme="minorHAnsi"/>
          <w:sz w:val="24"/>
          <w:szCs w:val="24"/>
        </w:rPr>
        <w:t xml:space="preserve"> (15)</w:t>
      </w:r>
      <w:r w:rsidRPr="00A55D3B">
        <w:rPr>
          <w:rFonts w:eastAsia="Times New Roman" w:cstheme="minorHAnsi"/>
          <w:sz w:val="24"/>
          <w:szCs w:val="24"/>
        </w:rPr>
        <w:t> </w:t>
      </w:r>
    </w:p>
    <w:p w14:paraId="47349BA6" w14:textId="55CE73A6" w:rsidR="00790BBD" w:rsidRDefault="00790BBD" w:rsidP="00790BBD">
      <w:pPr>
        <w:spacing w:after="0" w:line="240" w:lineRule="auto"/>
        <w:jc w:val="both"/>
        <w:textAlignment w:val="baseline"/>
        <w:rPr>
          <w:rFonts w:eastAsia="Times New Roman" w:cstheme="minorHAnsi"/>
          <w:sz w:val="24"/>
          <w:szCs w:val="24"/>
        </w:rPr>
      </w:pPr>
      <w:r w:rsidRPr="00620861">
        <w:rPr>
          <w:rFonts w:eastAsia="Times New Roman" w:cstheme="minorHAnsi"/>
          <w:sz w:val="24"/>
          <w:szCs w:val="24"/>
        </w:rPr>
        <w:t xml:space="preserve">The use of </w:t>
      </w:r>
      <w:r>
        <w:rPr>
          <w:rFonts w:eastAsia="Times New Roman" w:cstheme="minorHAnsi"/>
          <w:sz w:val="24"/>
          <w:szCs w:val="24"/>
        </w:rPr>
        <w:t>steroids</w:t>
      </w:r>
      <w:r w:rsidRPr="00620861">
        <w:rPr>
          <w:rFonts w:eastAsia="Times New Roman" w:cstheme="minorHAnsi"/>
          <w:sz w:val="24"/>
          <w:szCs w:val="24"/>
        </w:rPr>
        <w:t xml:space="preserve"> to treat autoimmune hypoparathyroidism has been reported previously. </w:t>
      </w:r>
      <w:r>
        <w:rPr>
          <w:rFonts w:eastAsia="Times New Roman" w:cstheme="minorHAnsi"/>
          <w:sz w:val="24"/>
          <w:szCs w:val="24"/>
        </w:rPr>
        <w:t xml:space="preserve">Previous study by </w:t>
      </w:r>
      <w:r w:rsidRPr="00620861">
        <w:rPr>
          <w:rFonts w:eastAsia="Times New Roman" w:cstheme="minorHAnsi"/>
          <w:sz w:val="24"/>
          <w:szCs w:val="24"/>
        </w:rPr>
        <w:t>Chamberlin demonstrated the first evidence that a patient with CaSR antibody-mediated hypoparathyroidism who had been refractory to calcitriol and high-dose calcium supplements responded well to immunosuppressive therapy namely prednisone</w:t>
      </w:r>
      <w:r>
        <w:rPr>
          <w:rFonts w:eastAsia="Times New Roman" w:cstheme="minorHAnsi"/>
          <w:sz w:val="24"/>
          <w:szCs w:val="24"/>
        </w:rPr>
        <w:t xml:space="preserve"> and azathioprine</w:t>
      </w:r>
      <w:r w:rsidRPr="00620861">
        <w:rPr>
          <w:rFonts w:eastAsia="Times New Roman" w:cstheme="minorHAnsi"/>
          <w:sz w:val="24"/>
          <w:szCs w:val="24"/>
        </w:rPr>
        <w:t xml:space="preserve">, indicated by improvement of hypocalcemia. The CaSR antibody disappeared following immunosuppressive therapy. </w:t>
      </w:r>
      <w:r>
        <w:rPr>
          <w:rFonts w:eastAsia="Times New Roman" w:cstheme="minorHAnsi"/>
          <w:sz w:val="24"/>
          <w:szCs w:val="24"/>
        </w:rPr>
        <w:t>H</w:t>
      </w:r>
      <w:r w:rsidRPr="00620861">
        <w:rPr>
          <w:rFonts w:eastAsia="Times New Roman" w:cstheme="minorHAnsi"/>
          <w:sz w:val="24"/>
          <w:szCs w:val="24"/>
        </w:rPr>
        <w:t>ypocalcemia relapsed when the dose of prednisone was decreased. Administration of high-dose calcitriol and calcium supplements during relapse resulted in hypercalcemia. (4)</w:t>
      </w:r>
      <w:r w:rsidR="00801622">
        <w:rPr>
          <w:rFonts w:eastAsia="Times New Roman" w:cstheme="minorHAnsi"/>
          <w:sz w:val="24"/>
          <w:szCs w:val="24"/>
        </w:rPr>
        <w:t xml:space="preserve"> </w:t>
      </w:r>
      <w:r>
        <w:rPr>
          <w:rFonts w:eastAsia="Times New Roman" w:cstheme="minorHAnsi"/>
          <w:sz w:val="24"/>
          <w:szCs w:val="24"/>
        </w:rPr>
        <w:t xml:space="preserve">The patient in this study had an improvement in the seizure and improvement of hypocalcemia condition following the combination therapy. The limitation of our study is we did only qualitative testing of circulating CaSR antibodies, the change in the antibody levels has not been measured after administration of steroids. Thus, we did not know whether the combination therapy impacted the circulating CaSR antibodies. </w:t>
      </w:r>
    </w:p>
    <w:p w14:paraId="48440ED7" w14:textId="77777777" w:rsidR="00790BBD" w:rsidRPr="00D724ED" w:rsidRDefault="00790BBD" w:rsidP="00790BBD">
      <w:pPr>
        <w:spacing w:after="0" w:line="240" w:lineRule="auto"/>
        <w:jc w:val="both"/>
        <w:textAlignment w:val="baseline"/>
        <w:rPr>
          <w:rFonts w:eastAsia="Times New Roman" w:cstheme="minorHAnsi"/>
          <w:sz w:val="24"/>
          <w:szCs w:val="24"/>
        </w:rPr>
      </w:pPr>
    </w:p>
    <w:p w14:paraId="75FA1848" w14:textId="77777777" w:rsidR="00790BBD" w:rsidRPr="00A55D3B" w:rsidRDefault="00790BBD" w:rsidP="00790BBD">
      <w:pPr>
        <w:spacing w:after="0" w:line="240" w:lineRule="auto"/>
        <w:textAlignment w:val="baseline"/>
        <w:rPr>
          <w:rFonts w:eastAsia="Times New Roman" w:cstheme="minorHAnsi"/>
          <w:sz w:val="18"/>
          <w:szCs w:val="18"/>
        </w:rPr>
      </w:pPr>
      <w:r w:rsidRPr="00A55D3B">
        <w:rPr>
          <w:rFonts w:eastAsia="Times New Roman" w:cstheme="minorHAnsi"/>
          <w:b/>
          <w:bCs/>
          <w:sz w:val="28"/>
          <w:szCs w:val="28"/>
        </w:rPr>
        <w:t>Conclusion</w:t>
      </w:r>
      <w:r w:rsidRPr="00A55D3B">
        <w:rPr>
          <w:rFonts w:eastAsia="Times New Roman" w:cstheme="minorHAnsi"/>
          <w:sz w:val="28"/>
          <w:szCs w:val="28"/>
        </w:rPr>
        <w:t> </w:t>
      </w:r>
    </w:p>
    <w:p w14:paraId="16827B9E" w14:textId="1A185D83" w:rsidR="00790BBD" w:rsidRDefault="00790BBD" w:rsidP="00790BBD">
      <w:pPr>
        <w:spacing w:after="0" w:line="240" w:lineRule="auto"/>
        <w:jc w:val="both"/>
        <w:textAlignment w:val="baseline"/>
        <w:rPr>
          <w:rFonts w:eastAsia="Times New Roman" w:cstheme="minorHAnsi"/>
          <w:sz w:val="24"/>
          <w:szCs w:val="24"/>
        </w:rPr>
      </w:pPr>
      <w:r w:rsidRPr="007B1BCE">
        <w:rPr>
          <w:sz w:val="24"/>
          <w:szCs w:val="24"/>
        </w:rPr>
        <w:t xml:space="preserve"> The addition of immunosuppressive therapy to the supplementations gives a better response compared to </w:t>
      </w:r>
      <w:r>
        <w:rPr>
          <w:sz w:val="24"/>
          <w:szCs w:val="24"/>
        </w:rPr>
        <w:t>replacement therapy</w:t>
      </w:r>
      <w:r w:rsidRPr="007B1BCE">
        <w:rPr>
          <w:sz w:val="24"/>
          <w:szCs w:val="24"/>
        </w:rPr>
        <w:t xml:space="preserve"> alone</w:t>
      </w:r>
      <w:r>
        <w:rPr>
          <w:sz w:val="24"/>
          <w:szCs w:val="24"/>
        </w:rPr>
        <w:t>.</w:t>
      </w:r>
      <w:r w:rsidRPr="00E406F2">
        <w:rPr>
          <w:rFonts w:eastAsia="Times New Roman" w:cstheme="minorHAnsi"/>
          <w:sz w:val="24"/>
          <w:szCs w:val="24"/>
        </w:rPr>
        <w:t xml:space="preserve"> </w:t>
      </w:r>
      <w:r>
        <w:rPr>
          <w:rFonts w:eastAsia="Times New Roman" w:cstheme="minorHAnsi"/>
          <w:sz w:val="24"/>
          <w:szCs w:val="24"/>
        </w:rPr>
        <w:t>Further study is needed to support the combination of steroids plus vitamins as the therapy for autoimmune hypoparathyroidism. In the future, the research should also compare the efficacy of combination therapy and immunosuppressive therapy alone, so that physicians can provide the best treatment for autoimmune hypoparathyroidism patients.</w:t>
      </w:r>
    </w:p>
    <w:p w14:paraId="33C82B7B" w14:textId="77777777" w:rsidR="00A23D7A" w:rsidRDefault="00A23D7A" w:rsidP="00790BBD">
      <w:pPr>
        <w:spacing w:after="0" w:line="240" w:lineRule="auto"/>
        <w:jc w:val="both"/>
        <w:textAlignment w:val="baseline"/>
        <w:rPr>
          <w:rFonts w:eastAsia="Times New Roman" w:cstheme="minorHAnsi"/>
          <w:sz w:val="24"/>
          <w:szCs w:val="24"/>
        </w:rPr>
      </w:pPr>
    </w:p>
    <w:p w14:paraId="5FEE3FC6" w14:textId="2138CCB3" w:rsidR="00A23D7A" w:rsidRDefault="00A23D7A" w:rsidP="00790BBD">
      <w:pPr>
        <w:spacing w:after="0" w:line="240" w:lineRule="auto"/>
        <w:jc w:val="both"/>
        <w:textAlignment w:val="baseline"/>
        <w:rPr>
          <w:rFonts w:eastAsia="Times New Roman" w:cstheme="minorHAnsi"/>
          <w:b/>
          <w:bCs/>
          <w:sz w:val="24"/>
          <w:szCs w:val="24"/>
        </w:rPr>
      </w:pPr>
      <w:r w:rsidRPr="00A23D7A">
        <w:rPr>
          <w:rFonts w:eastAsia="Times New Roman" w:cstheme="minorHAnsi"/>
          <w:b/>
          <w:bCs/>
          <w:sz w:val="24"/>
          <w:szCs w:val="24"/>
        </w:rPr>
        <w:t>Authors contribution:</w:t>
      </w:r>
    </w:p>
    <w:p w14:paraId="1939B766" w14:textId="7C610D8C" w:rsidR="003033AE" w:rsidRDefault="00A23D7A" w:rsidP="00BF11DF">
      <w:pPr>
        <w:spacing w:after="0" w:line="240" w:lineRule="auto"/>
        <w:jc w:val="both"/>
        <w:textAlignment w:val="baseline"/>
        <w:rPr>
          <w:rFonts w:eastAsia="Times New Roman" w:cstheme="minorHAnsi"/>
          <w:sz w:val="24"/>
          <w:szCs w:val="24"/>
        </w:rPr>
      </w:pPr>
      <w:r>
        <w:rPr>
          <w:rFonts w:eastAsia="Times New Roman" w:cstheme="minorHAnsi"/>
          <w:sz w:val="24"/>
          <w:szCs w:val="24"/>
        </w:rPr>
        <w:t>QAK, AS, AS conceived the idea &amp; collected the data</w:t>
      </w:r>
      <w:r w:rsidR="00B457C5">
        <w:rPr>
          <w:rFonts w:eastAsia="Times New Roman" w:cstheme="minorHAnsi"/>
          <w:sz w:val="24"/>
          <w:szCs w:val="24"/>
        </w:rPr>
        <w:t>, RV, AAH, PS, MA, IKS, HUA</w:t>
      </w:r>
      <w:r w:rsidR="003033AE">
        <w:rPr>
          <w:rFonts w:eastAsia="Times New Roman" w:cstheme="minorHAnsi"/>
          <w:sz w:val="24"/>
          <w:szCs w:val="24"/>
        </w:rPr>
        <w:t xml:space="preserve"> wrote &amp; edited the manuscript. QAK, TT and AB critically reviewed the manuscript and did final editing. All the authors finally approved the manuscript for publication. </w:t>
      </w:r>
    </w:p>
    <w:p w14:paraId="3251C020" w14:textId="054466AB" w:rsidR="00BF11DF" w:rsidRDefault="00BF11DF" w:rsidP="00BF11DF">
      <w:pPr>
        <w:spacing w:after="0" w:line="240" w:lineRule="auto"/>
        <w:jc w:val="both"/>
        <w:textAlignment w:val="baseline"/>
        <w:rPr>
          <w:rFonts w:eastAsia="Times New Roman" w:cstheme="minorHAnsi"/>
          <w:sz w:val="24"/>
          <w:szCs w:val="24"/>
        </w:rPr>
      </w:pPr>
    </w:p>
    <w:p w14:paraId="2C2355D6" w14:textId="3FF9FB4B" w:rsidR="00BF11DF" w:rsidRPr="00BF11DF" w:rsidRDefault="00BF11DF" w:rsidP="00BF11DF">
      <w:pPr>
        <w:spacing w:after="0" w:line="240" w:lineRule="auto"/>
        <w:jc w:val="both"/>
        <w:textAlignment w:val="baseline"/>
        <w:rPr>
          <w:rFonts w:eastAsia="Times New Roman" w:cstheme="minorHAnsi"/>
          <w:b/>
          <w:bCs/>
          <w:sz w:val="24"/>
          <w:szCs w:val="24"/>
        </w:rPr>
      </w:pPr>
      <w:r w:rsidRPr="00BF11DF">
        <w:rPr>
          <w:rFonts w:eastAsia="Times New Roman" w:cstheme="minorHAnsi"/>
          <w:b/>
          <w:bCs/>
          <w:sz w:val="24"/>
          <w:szCs w:val="24"/>
        </w:rPr>
        <w:t>Ethical approval:</w:t>
      </w:r>
    </w:p>
    <w:p w14:paraId="742A4E66" w14:textId="0F0BD7BC" w:rsidR="00BF11DF" w:rsidRDefault="00BF11DF" w:rsidP="00BF11DF">
      <w:p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Not required </w:t>
      </w:r>
    </w:p>
    <w:p w14:paraId="545FF35B" w14:textId="0007BC69" w:rsidR="00BF11DF" w:rsidRDefault="00BF11DF" w:rsidP="00BF11DF">
      <w:pPr>
        <w:spacing w:after="0" w:line="240" w:lineRule="auto"/>
        <w:jc w:val="both"/>
        <w:textAlignment w:val="baseline"/>
        <w:rPr>
          <w:rFonts w:eastAsia="Times New Roman" w:cstheme="minorHAnsi"/>
          <w:sz w:val="24"/>
          <w:szCs w:val="24"/>
        </w:rPr>
      </w:pPr>
    </w:p>
    <w:p w14:paraId="43D3AD29" w14:textId="5438BF0C" w:rsidR="00BF11DF" w:rsidRDefault="00BF11DF" w:rsidP="00BF11DF">
      <w:pPr>
        <w:spacing w:after="0" w:line="240" w:lineRule="auto"/>
        <w:jc w:val="both"/>
        <w:textAlignment w:val="baseline"/>
        <w:rPr>
          <w:rFonts w:eastAsia="Times New Roman" w:cstheme="minorHAnsi"/>
          <w:b/>
          <w:bCs/>
          <w:sz w:val="24"/>
          <w:szCs w:val="24"/>
        </w:rPr>
      </w:pPr>
      <w:r w:rsidRPr="00BF11DF">
        <w:rPr>
          <w:rFonts w:eastAsia="Times New Roman" w:cstheme="minorHAnsi"/>
          <w:b/>
          <w:bCs/>
          <w:sz w:val="24"/>
          <w:szCs w:val="24"/>
        </w:rPr>
        <w:t>Consent:</w:t>
      </w:r>
    </w:p>
    <w:p w14:paraId="20060FCB" w14:textId="1A28A7B2" w:rsidR="00BF11DF" w:rsidRPr="00BF11DF" w:rsidRDefault="00BF11DF" w:rsidP="00BF11DF">
      <w:p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Written informed consent </w:t>
      </w:r>
      <w:r w:rsidR="00EC2E13">
        <w:rPr>
          <w:rFonts w:eastAsia="Times New Roman" w:cstheme="minorHAnsi"/>
          <w:sz w:val="24"/>
          <w:szCs w:val="24"/>
        </w:rPr>
        <w:t>was obtained from the patient for publication of this case report and any accompanying images. A copy of written consent is available for review by the Editor-in-</w:t>
      </w:r>
      <w:r w:rsidR="002E12AB">
        <w:rPr>
          <w:rFonts w:eastAsia="Times New Roman" w:cstheme="minorHAnsi"/>
          <w:sz w:val="24"/>
          <w:szCs w:val="24"/>
        </w:rPr>
        <w:t>Chief of this journal.</w:t>
      </w:r>
    </w:p>
    <w:p w14:paraId="585934CF" w14:textId="714BE0EF" w:rsidR="00BF11DF" w:rsidRDefault="00BF11DF" w:rsidP="00BF11DF">
      <w:pPr>
        <w:spacing w:after="0" w:line="240" w:lineRule="auto"/>
        <w:jc w:val="both"/>
        <w:textAlignment w:val="baseline"/>
        <w:rPr>
          <w:rFonts w:eastAsia="Times New Roman" w:cstheme="minorHAnsi"/>
          <w:sz w:val="24"/>
          <w:szCs w:val="24"/>
        </w:rPr>
      </w:pPr>
    </w:p>
    <w:p w14:paraId="070114B5" w14:textId="55EAB4C1" w:rsidR="00BF11DF" w:rsidRDefault="00BF11DF" w:rsidP="00BF11DF">
      <w:pPr>
        <w:spacing w:after="0" w:line="240" w:lineRule="auto"/>
        <w:jc w:val="both"/>
        <w:textAlignment w:val="baseline"/>
        <w:rPr>
          <w:rFonts w:eastAsia="Times New Roman" w:cstheme="minorHAnsi"/>
          <w:b/>
          <w:bCs/>
          <w:sz w:val="24"/>
          <w:szCs w:val="24"/>
        </w:rPr>
      </w:pPr>
      <w:r w:rsidRPr="00BF11DF">
        <w:rPr>
          <w:rFonts w:eastAsia="Times New Roman" w:cstheme="minorHAnsi"/>
          <w:b/>
          <w:bCs/>
          <w:sz w:val="24"/>
          <w:szCs w:val="24"/>
        </w:rPr>
        <w:t xml:space="preserve"> </w:t>
      </w:r>
      <w:r w:rsidR="002E12AB" w:rsidRPr="00BF11DF">
        <w:rPr>
          <w:rFonts w:eastAsia="Times New Roman" w:cstheme="minorHAnsi"/>
          <w:b/>
          <w:bCs/>
          <w:sz w:val="24"/>
          <w:szCs w:val="24"/>
        </w:rPr>
        <w:t>F</w:t>
      </w:r>
      <w:r w:rsidRPr="00BF11DF">
        <w:rPr>
          <w:rFonts w:eastAsia="Times New Roman" w:cstheme="minorHAnsi"/>
          <w:b/>
          <w:bCs/>
          <w:sz w:val="24"/>
          <w:szCs w:val="24"/>
        </w:rPr>
        <w:t>unding</w:t>
      </w:r>
      <w:r>
        <w:rPr>
          <w:rFonts w:eastAsia="Times New Roman" w:cstheme="minorHAnsi"/>
          <w:b/>
          <w:bCs/>
          <w:sz w:val="24"/>
          <w:szCs w:val="24"/>
        </w:rPr>
        <w:t>:</w:t>
      </w:r>
      <w:r w:rsidR="002E12AB">
        <w:rPr>
          <w:rFonts w:eastAsia="Times New Roman" w:cstheme="minorHAnsi"/>
          <w:b/>
          <w:bCs/>
          <w:sz w:val="24"/>
          <w:szCs w:val="24"/>
        </w:rPr>
        <w:t xml:space="preserve"> </w:t>
      </w:r>
    </w:p>
    <w:p w14:paraId="68AE669B" w14:textId="4B557368" w:rsidR="00BF11DF" w:rsidRDefault="002E12AB" w:rsidP="00BF11DF">
      <w:pPr>
        <w:spacing w:after="0" w:line="240" w:lineRule="auto"/>
        <w:jc w:val="both"/>
        <w:textAlignment w:val="baseline"/>
        <w:rPr>
          <w:rFonts w:eastAsia="Times New Roman" w:cstheme="minorHAnsi"/>
          <w:sz w:val="24"/>
          <w:szCs w:val="24"/>
        </w:rPr>
      </w:pPr>
      <w:r>
        <w:rPr>
          <w:rFonts w:eastAsia="Times New Roman" w:cstheme="minorHAnsi"/>
          <w:sz w:val="24"/>
          <w:szCs w:val="24"/>
        </w:rPr>
        <w:t>The study received no external funding</w:t>
      </w:r>
      <w:r w:rsidR="00BF11DF">
        <w:rPr>
          <w:rFonts w:eastAsia="Times New Roman" w:cstheme="minorHAnsi"/>
          <w:sz w:val="24"/>
          <w:szCs w:val="24"/>
        </w:rPr>
        <w:t>.</w:t>
      </w:r>
    </w:p>
    <w:p w14:paraId="39707897" w14:textId="2ACF1B50" w:rsidR="00BF11DF" w:rsidRDefault="00BF11DF" w:rsidP="00BF11DF">
      <w:pPr>
        <w:spacing w:after="0" w:line="240" w:lineRule="auto"/>
        <w:jc w:val="both"/>
        <w:textAlignment w:val="baseline"/>
        <w:rPr>
          <w:rFonts w:eastAsia="Times New Roman" w:cstheme="minorHAnsi"/>
          <w:sz w:val="24"/>
          <w:szCs w:val="24"/>
        </w:rPr>
      </w:pPr>
    </w:p>
    <w:p w14:paraId="15A6A5FA" w14:textId="0017B974" w:rsidR="002E12AB" w:rsidRDefault="00BF11DF" w:rsidP="002E12AB">
      <w:pPr>
        <w:spacing w:after="0" w:line="240" w:lineRule="auto"/>
        <w:jc w:val="both"/>
        <w:textAlignment w:val="baseline"/>
        <w:rPr>
          <w:rFonts w:eastAsia="Times New Roman" w:cstheme="minorHAnsi"/>
          <w:b/>
          <w:bCs/>
          <w:sz w:val="24"/>
          <w:szCs w:val="24"/>
        </w:rPr>
      </w:pPr>
      <w:r w:rsidRPr="00BF11DF">
        <w:rPr>
          <w:rFonts w:eastAsia="Times New Roman" w:cstheme="minorHAnsi"/>
          <w:b/>
          <w:bCs/>
          <w:sz w:val="24"/>
          <w:szCs w:val="24"/>
        </w:rPr>
        <w:t>Conflict of interest</w:t>
      </w:r>
      <w:r w:rsidR="002E12AB">
        <w:rPr>
          <w:rFonts w:eastAsia="Times New Roman" w:cstheme="minorHAnsi"/>
          <w:b/>
          <w:bCs/>
          <w:sz w:val="24"/>
          <w:szCs w:val="24"/>
        </w:rPr>
        <w:t>:</w:t>
      </w:r>
    </w:p>
    <w:p w14:paraId="29324E37" w14:textId="37C202A8" w:rsidR="002E12AB" w:rsidRDefault="002E12AB" w:rsidP="002E12AB">
      <w:pPr>
        <w:spacing w:after="0" w:line="240" w:lineRule="auto"/>
        <w:jc w:val="both"/>
        <w:textAlignment w:val="baseline"/>
        <w:rPr>
          <w:rFonts w:eastAsia="Times New Roman" w:cstheme="minorHAnsi"/>
          <w:sz w:val="24"/>
          <w:szCs w:val="24"/>
        </w:rPr>
      </w:pPr>
      <w:r>
        <w:rPr>
          <w:rFonts w:eastAsia="Times New Roman" w:cstheme="minorHAnsi"/>
          <w:sz w:val="24"/>
          <w:szCs w:val="24"/>
        </w:rPr>
        <w:t>There is no conflict of interest to declare.</w:t>
      </w:r>
    </w:p>
    <w:p w14:paraId="28ECB57C" w14:textId="4BE0BEE8" w:rsidR="005200DF" w:rsidRPr="00897955" w:rsidRDefault="00897955" w:rsidP="002E12AB">
      <w:pPr>
        <w:spacing w:after="0" w:line="240" w:lineRule="auto"/>
        <w:jc w:val="both"/>
        <w:textAlignment w:val="baseline"/>
        <w:rPr>
          <w:rFonts w:eastAsia="Times New Roman" w:cstheme="minorHAnsi"/>
          <w:b/>
          <w:bCs/>
          <w:sz w:val="24"/>
          <w:szCs w:val="24"/>
        </w:rPr>
      </w:pPr>
      <w:r w:rsidRPr="00897955">
        <w:rPr>
          <w:rFonts w:eastAsia="Times New Roman" w:cstheme="minorHAnsi"/>
          <w:b/>
          <w:bCs/>
          <w:sz w:val="24"/>
          <w:szCs w:val="24"/>
        </w:rPr>
        <w:lastRenderedPageBreak/>
        <w:t xml:space="preserve">Guarantor </w:t>
      </w:r>
    </w:p>
    <w:p w14:paraId="33A11E13" w14:textId="1A1E41E4" w:rsidR="002E12AB" w:rsidRPr="00897955" w:rsidRDefault="00897955" w:rsidP="00BF11DF">
      <w:pPr>
        <w:spacing w:after="0" w:line="240" w:lineRule="auto"/>
        <w:jc w:val="both"/>
        <w:textAlignment w:val="baseline"/>
        <w:rPr>
          <w:rFonts w:eastAsia="Times New Roman" w:cstheme="minorHAnsi"/>
          <w:sz w:val="24"/>
          <w:szCs w:val="24"/>
        </w:rPr>
      </w:pPr>
      <w:r>
        <w:rPr>
          <w:rFonts w:eastAsia="Times New Roman" w:cstheme="minorHAnsi"/>
          <w:sz w:val="24"/>
          <w:szCs w:val="24"/>
        </w:rPr>
        <w:t>Qaisar Ali Khan</w:t>
      </w:r>
    </w:p>
    <w:p w14:paraId="34C091C1" w14:textId="77777777" w:rsidR="003033AE" w:rsidRPr="00A23D7A" w:rsidRDefault="003033AE" w:rsidP="00790BBD">
      <w:pPr>
        <w:spacing w:after="0" w:line="240" w:lineRule="auto"/>
        <w:jc w:val="both"/>
        <w:textAlignment w:val="baseline"/>
        <w:rPr>
          <w:rFonts w:eastAsia="Times New Roman" w:cstheme="minorHAnsi"/>
          <w:sz w:val="24"/>
          <w:szCs w:val="24"/>
        </w:rPr>
      </w:pPr>
    </w:p>
    <w:p w14:paraId="26CD20CF" w14:textId="77777777" w:rsidR="00790BBD" w:rsidRDefault="00790BBD" w:rsidP="00790BBD">
      <w:pPr>
        <w:spacing w:after="0" w:line="240" w:lineRule="auto"/>
        <w:jc w:val="both"/>
        <w:textAlignment w:val="baseline"/>
        <w:rPr>
          <w:rFonts w:eastAsia="Times New Roman" w:cstheme="minorHAnsi"/>
          <w:sz w:val="24"/>
          <w:szCs w:val="24"/>
        </w:rPr>
      </w:pPr>
    </w:p>
    <w:p w14:paraId="267078D2" w14:textId="77777777" w:rsidR="00790BBD" w:rsidRPr="00DA57B7" w:rsidRDefault="00790BBD" w:rsidP="00790BBD">
      <w:pPr>
        <w:spacing w:after="0" w:line="240" w:lineRule="auto"/>
        <w:textAlignment w:val="baseline"/>
        <w:rPr>
          <w:rFonts w:eastAsia="Times New Roman" w:cstheme="minorHAnsi"/>
          <w:sz w:val="28"/>
          <w:szCs w:val="28"/>
        </w:rPr>
      </w:pPr>
      <w:r w:rsidRPr="00DA57B7">
        <w:rPr>
          <w:rFonts w:eastAsia="Times New Roman" w:cstheme="minorHAnsi"/>
          <w:b/>
          <w:bCs/>
          <w:sz w:val="28"/>
          <w:szCs w:val="28"/>
        </w:rPr>
        <w:t>References</w:t>
      </w:r>
      <w:r w:rsidRPr="00DA57B7">
        <w:rPr>
          <w:rFonts w:eastAsia="Times New Roman" w:cstheme="minorHAnsi"/>
          <w:sz w:val="28"/>
          <w:szCs w:val="28"/>
        </w:rPr>
        <w:t> </w:t>
      </w:r>
    </w:p>
    <w:p w14:paraId="43D7DF0A" w14:textId="77777777" w:rsidR="00790BBD" w:rsidRPr="00A55D3B" w:rsidRDefault="00790BBD" w:rsidP="00790BBD">
      <w:pPr>
        <w:pStyle w:val="ListParagraph"/>
        <w:numPr>
          <w:ilvl w:val="0"/>
          <w:numId w:val="1"/>
        </w:numPr>
        <w:spacing w:after="0" w:line="240" w:lineRule="auto"/>
        <w:jc w:val="both"/>
        <w:textAlignment w:val="baseline"/>
        <w:rPr>
          <w:rFonts w:eastAsia="Times New Roman" w:cstheme="minorHAnsi"/>
          <w:color w:val="000000" w:themeColor="text1"/>
          <w:sz w:val="24"/>
          <w:szCs w:val="24"/>
        </w:rPr>
      </w:pPr>
      <w:r w:rsidRPr="00A55D3B">
        <w:rPr>
          <w:rFonts w:eastAsia="Times New Roman" w:cstheme="minorHAnsi"/>
          <w:sz w:val="24"/>
          <w:szCs w:val="24"/>
        </w:rPr>
        <w:t xml:space="preserve">Powers J, Joy K, </w:t>
      </w:r>
      <w:proofErr w:type="spellStart"/>
      <w:r w:rsidRPr="00A55D3B">
        <w:rPr>
          <w:rFonts w:eastAsia="Times New Roman" w:cstheme="minorHAnsi"/>
          <w:sz w:val="24"/>
          <w:szCs w:val="24"/>
        </w:rPr>
        <w:t>Ruscio</w:t>
      </w:r>
      <w:proofErr w:type="spellEnd"/>
      <w:r w:rsidRPr="00A55D3B">
        <w:rPr>
          <w:rFonts w:eastAsia="Times New Roman" w:cstheme="minorHAnsi"/>
          <w:sz w:val="24"/>
          <w:szCs w:val="24"/>
        </w:rPr>
        <w:t xml:space="preserve"> A, </w:t>
      </w:r>
      <w:proofErr w:type="spellStart"/>
      <w:r w:rsidRPr="00A55D3B">
        <w:rPr>
          <w:rFonts w:eastAsia="Times New Roman" w:cstheme="minorHAnsi"/>
          <w:sz w:val="24"/>
          <w:szCs w:val="24"/>
        </w:rPr>
        <w:t>Lagast</w:t>
      </w:r>
      <w:proofErr w:type="spellEnd"/>
      <w:r w:rsidRPr="00A55D3B">
        <w:rPr>
          <w:rFonts w:eastAsia="Times New Roman" w:cstheme="minorHAnsi"/>
          <w:sz w:val="24"/>
          <w:szCs w:val="24"/>
        </w:rPr>
        <w:t xml:space="preserve"> H. </w:t>
      </w:r>
      <w:proofErr w:type="gramStart"/>
      <w:r w:rsidRPr="00A55D3B">
        <w:rPr>
          <w:rFonts w:eastAsia="Times New Roman" w:cstheme="minorHAnsi"/>
          <w:sz w:val="24"/>
          <w:szCs w:val="24"/>
        </w:rPr>
        <w:t>Prevalence</w:t>
      </w:r>
      <w:proofErr w:type="gramEnd"/>
      <w:r w:rsidRPr="00A55D3B">
        <w:rPr>
          <w:rFonts w:eastAsia="Times New Roman" w:cstheme="minorHAnsi"/>
          <w:sz w:val="24"/>
          <w:szCs w:val="24"/>
        </w:rPr>
        <w:t xml:space="preserve"> and Incidence of Hypoparathyroidism in the United </w:t>
      </w:r>
      <w:r w:rsidRPr="00A55D3B">
        <w:rPr>
          <w:rFonts w:eastAsia="Times New Roman" w:cstheme="minorHAnsi"/>
          <w:color w:val="000000" w:themeColor="text1"/>
          <w:sz w:val="24"/>
          <w:szCs w:val="24"/>
        </w:rPr>
        <w:t xml:space="preserve">States Using a Large Claims Database. J Bone Miner Res. 2013; 28(12): 2570-6. DOI: </w:t>
      </w:r>
      <w:hyperlink r:id="rId29" w:history="1">
        <w:r w:rsidRPr="00A55D3B">
          <w:rPr>
            <w:rStyle w:val="Hyperlink"/>
            <w:rFonts w:cstheme="minorHAnsi"/>
            <w:color w:val="000000" w:themeColor="text1"/>
            <w:sz w:val="24"/>
            <w:szCs w:val="24"/>
            <w:shd w:val="clear" w:color="auto" w:fill="FFFFFF"/>
          </w:rPr>
          <w:t>10.1002/jbmr.2004</w:t>
        </w:r>
      </w:hyperlink>
    </w:p>
    <w:p w14:paraId="4B9458CD" w14:textId="77777777" w:rsidR="00790BBD" w:rsidRPr="00A55D3B"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sidRPr="00A55D3B">
        <w:rPr>
          <w:rFonts w:eastAsia="Times New Roman" w:cstheme="minorHAnsi"/>
          <w:color w:val="000000" w:themeColor="text1"/>
          <w:sz w:val="24"/>
          <w:szCs w:val="24"/>
        </w:rPr>
        <w:t xml:space="preserve">Khan N, Nawaz M, Ijaz A, Memon A, Asif N, Khadim M, et al. Biochemical spectrum of parathyroid disorders diagnosed at a tertiary care setting. J Pak Med Assoc. 2020; 70(2): 243-7. DOI: </w:t>
      </w:r>
      <w:r w:rsidRPr="00A55D3B">
        <w:rPr>
          <w:rFonts w:cstheme="minorHAnsi"/>
          <w:color w:val="000000" w:themeColor="text1"/>
          <w:sz w:val="24"/>
          <w:szCs w:val="24"/>
          <w:shd w:val="clear" w:color="auto" w:fill="FFFFFF"/>
        </w:rPr>
        <w:t>10.5455/JPMA.302643153.</w:t>
      </w:r>
      <w:r w:rsidRPr="00A55D3B">
        <w:rPr>
          <w:rFonts w:eastAsia="Times New Roman" w:cstheme="minorHAnsi"/>
          <w:color w:val="000000" w:themeColor="text1"/>
          <w:sz w:val="24"/>
          <w:szCs w:val="24"/>
        </w:rPr>
        <w:t xml:space="preserve">  </w:t>
      </w:r>
    </w:p>
    <w:p w14:paraId="151F85F8" w14:textId="77777777" w:rsidR="00790BBD" w:rsidRPr="009B3353"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sidRPr="00A55D3B">
        <w:rPr>
          <w:rFonts w:eastAsia="Times New Roman" w:cstheme="minorHAnsi"/>
          <w:sz w:val="24"/>
          <w:szCs w:val="24"/>
        </w:rPr>
        <w:t xml:space="preserve">Brandi ML, </w:t>
      </w:r>
      <w:proofErr w:type="spellStart"/>
      <w:r w:rsidRPr="00A55D3B">
        <w:rPr>
          <w:rFonts w:eastAsia="Times New Roman" w:cstheme="minorHAnsi"/>
          <w:sz w:val="24"/>
          <w:szCs w:val="24"/>
        </w:rPr>
        <w:t>Bilezikian</w:t>
      </w:r>
      <w:proofErr w:type="spellEnd"/>
      <w:r w:rsidRPr="00A55D3B">
        <w:rPr>
          <w:rFonts w:eastAsia="Times New Roman" w:cstheme="minorHAnsi"/>
          <w:sz w:val="24"/>
          <w:szCs w:val="24"/>
        </w:rPr>
        <w:t xml:space="preserve"> JP, </w:t>
      </w:r>
      <w:proofErr w:type="spellStart"/>
      <w:r w:rsidRPr="00A55D3B">
        <w:rPr>
          <w:rFonts w:eastAsia="Times New Roman" w:cstheme="minorHAnsi"/>
          <w:sz w:val="24"/>
          <w:szCs w:val="24"/>
        </w:rPr>
        <w:t>Shoback</w:t>
      </w:r>
      <w:proofErr w:type="spellEnd"/>
      <w:r w:rsidRPr="00A55D3B">
        <w:rPr>
          <w:rFonts w:eastAsia="Times New Roman" w:cstheme="minorHAnsi"/>
          <w:sz w:val="24"/>
          <w:szCs w:val="24"/>
        </w:rPr>
        <w:t xml:space="preserve"> D, Bouillon R, Clarke BL, </w:t>
      </w:r>
      <w:proofErr w:type="spellStart"/>
      <w:r w:rsidRPr="00A55D3B">
        <w:rPr>
          <w:rFonts w:eastAsia="Times New Roman" w:cstheme="minorHAnsi"/>
          <w:sz w:val="24"/>
          <w:szCs w:val="24"/>
        </w:rPr>
        <w:t>Thakker</w:t>
      </w:r>
      <w:proofErr w:type="spellEnd"/>
      <w:r w:rsidRPr="00A55D3B">
        <w:rPr>
          <w:rFonts w:eastAsia="Times New Roman" w:cstheme="minorHAnsi"/>
          <w:sz w:val="24"/>
          <w:szCs w:val="24"/>
        </w:rPr>
        <w:t xml:space="preserve"> RV, et al. Management of Hypoparathyroidism: Summary Statement and Guidelines. J Clin</w:t>
      </w:r>
      <w:r>
        <w:rPr>
          <w:rFonts w:eastAsia="Times New Roman" w:cstheme="minorHAnsi"/>
          <w:sz w:val="24"/>
          <w:szCs w:val="24"/>
        </w:rPr>
        <w:t xml:space="preserve"> </w:t>
      </w:r>
      <w:proofErr w:type="spellStart"/>
      <w:r w:rsidRPr="00A55D3B">
        <w:rPr>
          <w:rFonts w:eastAsia="Times New Roman" w:cstheme="minorHAnsi"/>
          <w:sz w:val="24"/>
          <w:szCs w:val="24"/>
        </w:rPr>
        <w:t>Endocr</w:t>
      </w:r>
      <w:proofErr w:type="spellEnd"/>
      <w:r w:rsidRPr="00A55D3B">
        <w:rPr>
          <w:rFonts w:eastAsia="Times New Roman" w:cstheme="minorHAnsi"/>
          <w:sz w:val="24"/>
          <w:szCs w:val="24"/>
        </w:rPr>
        <w:t>. 2016; 101(6): 2273-8</w:t>
      </w:r>
      <w:r w:rsidRPr="00A55D3B">
        <w:rPr>
          <w:rFonts w:eastAsia="Times New Roman" w:cstheme="minorHAnsi"/>
          <w:color w:val="000000" w:themeColor="text1"/>
          <w:sz w:val="24"/>
          <w:szCs w:val="24"/>
        </w:rPr>
        <w:t xml:space="preserve">3. DOI: </w:t>
      </w:r>
      <w:hyperlink r:id="rId30" w:history="1">
        <w:r w:rsidRPr="00A55D3B">
          <w:rPr>
            <w:rFonts w:cstheme="minorHAnsi"/>
            <w:color w:val="000000" w:themeColor="text1"/>
            <w:sz w:val="24"/>
            <w:szCs w:val="24"/>
            <w:bdr w:val="none" w:sz="0" w:space="0" w:color="auto" w:frame="1"/>
            <w:shd w:val="clear" w:color="auto" w:fill="FFFFFF"/>
          </w:rPr>
          <w:t>10.1210/jc.2015-3907</w:t>
        </w:r>
      </w:hyperlink>
    </w:p>
    <w:p w14:paraId="7563383B" w14:textId="77777777" w:rsidR="00790BBD" w:rsidRPr="00B96786"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Chamberlin M, Kemp EH, </w:t>
      </w:r>
      <w:proofErr w:type="spellStart"/>
      <w:r>
        <w:rPr>
          <w:rFonts w:eastAsia="Times New Roman" w:cstheme="minorHAnsi"/>
          <w:sz w:val="24"/>
          <w:szCs w:val="24"/>
        </w:rPr>
        <w:t>Weetman</w:t>
      </w:r>
      <w:proofErr w:type="spellEnd"/>
      <w:r>
        <w:rPr>
          <w:rFonts w:eastAsia="Times New Roman" w:cstheme="minorHAnsi"/>
          <w:sz w:val="24"/>
          <w:szCs w:val="24"/>
        </w:rPr>
        <w:t xml:space="preserve"> AP, Khadka B, Brown EM. Immunosuppressive therapy of autoimmune hypoparathyroidism in a patient with activating autoantibodies against the calcium-sensing receptor. Clin Endocrinol. 2018; 90(1): 213-21. DOI: 10.1111/cen.13886</w:t>
      </w:r>
    </w:p>
    <w:p w14:paraId="7A713806" w14:textId="77777777" w:rsidR="00790BBD" w:rsidRPr="00A55D3B"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sidRPr="00A55D3B">
        <w:rPr>
          <w:rFonts w:eastAsia="Times New Roman" w:cstheme="minorHAnsi"/>
          <w:sz w:val="24"/>
          <w:szCs w:val="24"/>
        </w:rPr>
        <w:t xml:space="preserve">Arruda ACG de, Guerra ACDZ, Pessoa CH, </w:t>
      </w:r>
      <w:proofErr w:type="spellStart"/>
      <w:r w:rsidRPr="00A55D3B">
        <w:rPr>
          <w:rFonts w:eastAsia="Times New Roman" w:cstheme="minorHAnsi"/>
          <w:sz w:val="24"/>
          <w:szCs w:val="24"/>
        </w:rPr>
        <w:t>Marquezine</w:t>
      </w:r>
      <w:proofErr w:type="spellEnd"/>
      <w:r w:rsidRPr="00A55D3B">
        <w:rPr>
          <w:rFonts w:eastAsia="Times New Roman" w:cstheme="minorHAnsi"/>
          <w:sz w:val="24"/>
          <w:szCs w:val="24"/>
        </w:rPr>
        <w:t xml:space="preserve"> GF, Delfino VDA. </w:t>
      </w:r>
      <w:r w:rsidRPr="00A55D3B">
        <w:rPr>
          <w:rFonts w:eastAsia="Times New Roman" w:cstheme="minorHAnsi"/>
          <w:color w:val="000000" w:themeColor="text1"/>
          <w:sz w:val="24"/>
          <w:szCs w:val="24"/>
        </w:rPr>
        <w:t xml:space="preserve">Hypoparathyroidism and </w:t>
      </w:r>
      <w:proofErr w:type="spellStart"/>
      <w:r w:rsidRPr="00A55D3B">
        <w:rPr>
          <w:rFonts w:eastAsia="Times New Roman" w:cstheme="minorHAnsi"/>
          <w:color w:val="000000" w:themeColor="text1"/>
          <w:sz w:val="24"/>
          <w:szCs w:val="24"/>
        </w:rPr>
        <w:t>Fahr’s</w:t>
      </w:r>
      <w:proofErr w:type="spellEnd"/>
      <w:r w:rsidRPr="00A55D3B">
        <w:rPr>
          <w:rFonts w:eastAsia="Times New Roman" w:cstheme="minorHAnsi"/>
          <w:color w:val="000000" w:themeColor="text1"/>
          <w:sz w:val="24"/>
          <w:szCs w:val="24"/>
        </w:rPr>
        <w:t xml:space="preserve"> syndrome: case series. </w:t>
      </w:r>
      <w:proofErr w:type="spellStart"/>
      <w:r w:rsidRPr="00A55D3B">
        <w:rPr>
          <w:rFonts w:eastAsia="Times New Roman" w:cstheme="minorHAnsi"/>
          <w:color w:val="000000" w:themeColor="text1"/>
          <w:sz w:val="24"/>
          <w:szCs w:val="24"/>
        </w:rPr>
        <w:t>Braz</w:t>
      </w:r>
      <w:proofErr w:type="spellEnd"/>
      <w:r w:rsidRPr="00A55D3B">
        <w:rPr>
          <w:rFonts w:eastAsia="Times New Roman" w:cstheme="minorHAnsi"/>
          <w:color w:val="000000" w:themeColor="text1"/>
          <w:sz w:val="24"/>
          <w:szCs w:val="24"/>
        </w:rPr>
        <w:t xml:space="preserve"> J Nephrol. 2021. DOI: </w:t>
      </w:r>
      <w:r w:rsidRPr="00A55D3B">
        <w:rPr>
          <w:rFonts w:cstheme="minorHAnsi"/>
          <w:color w:val="000000" w:themeColor="text1"/>
          <w:sz w:val="24"/>
          <w:szCs w:val="24"/>
          <w:shd w:val="clear" w:color="auto" w:fill="FFFFFF"/>
        </w:rPr>
        <w:t xml:space="preserve">10.1590/2175-8239-JBN-2020-0243 </w:t>
      </w:r>
    </w:p>
    <w:p w14:paraId="647F437A" w14:textId="77777777" w:rsidR="00790BBD" w:rsidRPr="00491977"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proofErr w:type="spellStart"/>
      <w:r w:rsidRPr="00A55D3B">
        <w:rPr>
          <w:rFonts w:eastAsia="Times New Roman" w:cstheme="minorHAnsi"/>
          <w:sz w:val="24"/>
          <w:szCs w:val="24"/>
        </w:rPr>
        <w:t>Bilezikian</w:t>
      </w:r>
      <w:proofErr w:type="spellEnd"/>
      <w:r w:rsidRPr="00A55D3B">
        <w:rPr>
          <w:rFonts w:eastAsia="Times New Roman" w:cstheme="minorHAnsi"/>
          <w:sz w:val="24"/>
          <w:szCs w:val="24"/>
        </w:rPr>
        <w:t xml:space="preserve"> JP. Hypoparathyroidism. J. Clin. </w:t>
      </w:r>
      <w:proofErr w:type="spellStart"/>
      <w:r w:rsidRPr="00A55D3B">
        <w:rPr>
          <w:rFonts w:eastAsia="Times New Roman" w:cstheme="minorHAnsi"/>
          <w:sz w:val="24"/>
          <w:szCs w:val="24"/>
        </w:rPr>
        <w:t>Endocr</w:t>
      </w:r>
      <w:proofErr w:type="spellEnd"/>
      <w:r w:rsidRPr="00A55D3B">
        <w:rPr>
          <w:rFonts w:eastAsia="Times New Roman" w:cstheme="minorHAnsi"/>
          <w:sz w:val="24"/>
          <w:szCs w:val="24"/>
        </w:rPr>
        <w:t xml:space="preserve">. 2020; 105(6):1722–36. DOI: </w:t>
      </w:r>
      <w:r w:rsidRPr="00A55D3B">
        <w:rPr>
          <w:rFonts w:cstheme="minorHAnsi"/>
          <w:sz w:val="24"/>
          <w:szCs w:val="24"/>
        </w:rPr>
        <w:t>10.1210/</w:t>
      </w:r>
      <w:proofErr w:type="spellStart"/>
      <w:r w:rsidRPr="00A55D3B">
        <w:rPr>
          <w:rFonts w:cstheme="minorHAnsi"/>
          <w:sz w:val="24"/>
          <w:szCs w:val="24"/>
        </w:rPr>
        <w:t>clinem</w:t>
      </w:r>
      <w:proofErr w:type="spellEnd"/>
      <w:r w:rsidRPr="00A55D3B">
        <w:rPr>
          <w:rFonts w:cstheme="minorHAnsi"/>
          <w:sz w:val="24"/>
          <w:szCs w:val="24"/>
        </w:rPr>
        <w:t>/dgaa113</w:t>
      </w:r>
    </w:p>
    <w:p w14:paraId="014C7E8F" w14:textId="77777777" w:rsidR="00790BBD" w:rsidRPr="00491977"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proofErr w:type="spellStart"/>
      <w:r>
        <w:rPr>
          <w:rFonts w:eastAsia="Times New Roman" w:cstheme="minorHAnsi"/>
          <w:sz w:val="24"/>
          <w:szCs w:val="24"/>
        </w:rPr>
        <w:t>Scheffer</w:t>
      </w:r>
      <w:proofErr w:type="spellEnd"/>
      <w:r>
        <w:rPr>
          <w:rFonts w:eastAsia="Times New Roman" w:cstheme="minorHAnsi"/>
          <w:sz w:val="24"/>
          <w:szCs w:val="24"/>
        </w:rPr>
        <w:t xml:space="preserve"> IE, </w:t>
      </w:r>
      <w:proofErr w:type="spellStart"/>
      <w:r>
        <w:rPr>
          <w:rFonts w:eastAsia="Times New Roman" w:cstheme="minorHAnsi"/>
          <w:sz w:val="24"/>
          <w:szCs w:val="24"/>
        </w:rPr>
        <w:t>Berkovic</w:t>
      </w:r>
      <w:proofErr w:type="spellEnd"/>
      <w:r>
        <w:rPr>
          <w:rFonts w:eastAsia="Times New Roman" w:cstheme="minorHAnsi"/>
          <w:sz w:val="24"/>
          <w:szCs w:val="24"/>
        </w:rPr>
        <w:t xml:space="preserve"> S, </w:t>
      </w:r>
      <w:proofErr w:type="spellStart"/>
      <w:r>
        <w:rPr>
          <w:rFonts w:eastAsia="Times New Roman" w:cstheme="minorHAnsi"/>
          <w:sz w:val="24"/>
          <w:szCs w:val="24"/>
        </w:rPr>
        <w:t>Capovilla</w:t>
      </w:r>
      <w:proofErr w:type="spellEnd"/>
      <w:r>
        <w:rPr>
          <w:rFonts w:eastAsia="Times New Roman" w:cstheme="minorHAnsi"/>
          <w:sz w:val="24"/>
          <w:szCs w:val="24"/>
        </w:rPr>
        <w:t xml:space="preserve"> G, Connolly MB, French J, </w:t>
      </w:r>
      <w:proofErr w:type="spellStart"/>
      <w:r>
        <w:rPr>
          <w:rFonts w:eastAsia="Times New Roman" w:cstheme="minorHAnsi"/>
          <w:sz w:val="24"/>
          <w:szCs w:val="24"/>
        </w:rPr>
        <w:t>Guilhoto</w:t>
      </w:r>
      <w:proofErr w:type="spellEnd"/>
      <w:r>
        <w:rPr>
          <w:rFonts w:eastAsia="Times New Roman" w:cstheme="minorHAnsi"/>
          <w:sz w:val="24"/>
          <w:szCs w:val="24"/>
        </w:rPr>
        <w:t xml:space="preserve"> L, et al. ILAE classification of the epilepsies: Position paper of the ILAE Commission for Classification and Terminology. </w:t>
      </w:r>
      <w:proofErr w:type="spellStart"/>
      <w:r>
        <w:rPr>
          <w:rFonts w:eastAsia="Times New Roman" w:cstheme="minorHAnsi"/>
          <w:sz w:val="24"/>
          <w:szCs w:val="24"/>
        </w:rPr>
        <w:t>Epilepsia</w:t>
      </w:r>
      <w:proofErr w:type="spellEnd"/>
      <w:r>
        <w:rPr>
          <w:rFonts w:eastAsia="Times New Roman" w:cstheme="minorHAnsi"/>
          <w:sz w:val="24"/>
          <w:szCs w:val="24"/>
        </w:rPr>
        <w:t>. 2017; 58(4): 512-21. DOI: 10.1111/epi.13709</w:t>
      </w:r>
    </w:p>
    <w:p w14:paraId="6E9FE241"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proofErr w:type="spellStart"/>
      <w:r>
        <w:rPr>
          <w:rFonts w:eastAsia="Times New Roman" w:cstheme="minorHAnsi"/>
          <w:sz w:val="24"/>
          <w:szCs w:val="24"/>
        </w:rPr>
        <w:t>Bilezikian</w:t>
      </w:r>
      <w:proofErr w:type="spellEnd"/>
      <w:r>
        <w:rPr>
          <w:rFonts w:eastAsia="Times New Roman" w:cstheme="minorHAnsi"/>
          <w:sz w:val="24"/>
          <w:szCs w:val="24"/>
        </w:rPr>
        <w:t xml:space="preserve"> JP, Khan A, Potts JT, Brandi ML, Clarke BL, </w:t>
      </w:r>
      <w:proofErr w:type="spellStart"/>
      <w:r>
        <w:rPr>
          <w:rFonts w:eastAsia="Times New Roman" w:cstheme="minorHAnsi"/>
          <w:sz w:val="24"/>
          <w:szCs w:val="24"/>
        </w:rPr>
        <w:t>Shoback</w:t>
      </w:r>
      <w:proofErr w:type="spellEnd"/>
      <w:r>
        <w:rPr>
          <w:rFonts w:eastAsia="Times New Roman" w:cstheme="minorHAnsi"/>
          <w:sz w:val="24"/>
          <w:szCs w:val="24"/>
        </w:rPr>
        <w:t xml:space="preserve"> D, et al. Hypoparathyroidism in the Adult: Epidemiology, Diagnosis, Pathophysiology, Target Organ Involvement, Treatment, and Challenges for Future Research. J Bone Miner Res. 2011; 26(10): 2317-37. DOI: 10.1002/jbmr.483</w:t>
      </w:r>
    </w:p>
    <w:p w14:paraId="06B7BB33"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Goswami R, Brown EM, </w:t>
      </w:r>
      <w:proofErr w:type="spellStart"/>
      <w:r>
        <w:rPr>
          <w:rFonts w:eastAsia="Times New Roman" w:cstheme="minorHAnsi"/>
          <w:sz w:val="24"/>
          <w:szCs w:val="24"/>
        </w:rPr>
        <w:t>Kochupillai</w:t>
      </w:r>
      <w:proofErr w:type="spellEnd"/>
      <w:r>
        <w:rPr>
          <w:rFonts w:eastAsia="Times New Roman" w:cstheme="minorHAnsi"/>
          <w:sz w:val="24"/>
          <w:szCs w:val="24"/>
        </w:rPr>
        <w:t xml:space="preserve"> N, Gupta N, Rani R, </w:t>
      </w:r>
      <w:proofErr w:type="spellStart"/>
      <w:r>
        <w:rPr>
          <w:rFonts w:eastAsia="Times New Roman" w:cstheme="minorHAnsi"/>
          <w:sz w:val="24"/>
          <w:szCs w:val="24"/>
        </w:rPr>
        <w:t>Kifor</w:t>
      </w:r>
      <w:proofErr w:type="spellEnd"/>
      <w:r>
        <w:rPr>
          <w:rFonts w:eastAsia="Times New Roman" w:cstheme="minorHAnsi"/>
          <w:sz w:val="24"/>
          <w:szCs w:val="24"/>
        </w:rPr>
        <w:t xml:space="preserve"> O, et al. Prevalence of calcium sensing receptor autoantibodies in patients with sporadic idiopathic hypoparathyroidism. </w:t>
      </w:r>
      <w:proofErr w:type="spellStart"/>
      <w:r>
        <w:rPr>
          <w:rFonts w:eastAsia="Times New Roman" w:cstheme="minorHAnsi"/>
          <w:sz w:val="24"/>
          <w:szCs w:val="24"/>
        </w:rPr>
        <w:t>Eur</w:t>
      </w:r>
      <w:proofErr w:type="spellEnd"/>
      <w:r>
        <w:rPr>
          <w:rFonts w:eastAsia="Times New Roman" w:cstheme="minorHAnsi"/>
          <w:sz w:val="24"/>
          <w:szCs w:val="24"/>
        </w:rPr>
        <w:t xml:space="preserve"> J Endocrinol. 2004; 150: 9-18. DOI: 10.1530/eje.0.1500009</w:t>
      </w:r>
    </w:p>
    <w:p w14:paraId="51953B9D"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Mayer A, </w:t>
      </w:r>
      <w:proofErr w:type="spellStart"/>
      <w:r>
        <w:rPr>
          <w:rFonts w:eastAsia="Times New Roman" w:cstheme="minorHAnsi"/>
          <w:sz w:val="24"/>
          <w:szCs w:val="24"/>
        </w:rPr>
        <w:t>Ploix</w:t>
      </w:r>
      <w:proofErr w:type="spellEnd"/>
      <w:r>
        <w:rPr>
          <w:rFonts w:eastAsia="Times New Roman" w:cstheme="minorHAnsi"/>
          <w:sz w:val="24"/>
          <w:szCs w:val="24"/>
        </w:rPr>
        <w:t xml:space="preserve"> C, </w:t>
      </w:r>
      <w:proofErr w:type="spellStart"/>
      <w:r>
        <w:rPr>
          <w:rFonts w:eastAsia="Times New Roman" w:cstheme="minorHAnsi"/>
          <w:sz w:val="24"/>
          <w:szCs w:val="24"/>
        </w:rPr>
        <w:t>Orgiazzi</w:t>
      </w:r>
      <w:proofErr w:type="spellEnd"/>
      <w:r>
        <w:rPr>
          <w:rFonts w:eastAsia="Times New Roman" w:cstheme="minorHAnsi"/>
          <w:sz w:val="24"/>
          <w:szCs w:val="24"/>
        </w:rPr>
        <w:t xml:space="preserve"> J, </w:t>
      </w:r>
      <w:proofErr w:type="spellStart"/>
      <w:r>
        <w:rPr>
          <w:rFonts w:eastAsia="Times New Roman" w:cstheme="minorHAnsi"/>
          <w:sz w:val="24"/>
          <w:szCs w:val="24"/>
        </w:rPr>
        <w:t>Desbos</w:t>
      </w:r>
      <w:proofErr w:type="spellEnd"/>
      <w:r>
        <w:rPr>
          <w:rFonts w:eastAsia="Times New Roman" w:cstheme="minorHAnsi"/>
          <w:sz w:val="24"/>
          <w:szCs w:val="24"/>
        </w:rPr>
        <w:t xml:space="preserve"> A, Moreira A, Vidal H, et al. Calcium-sensing receptor autoantibodies are relevant markers of acquired hypoparathyroidism. J Clin Endocrinol </w:t>
      </w:r>
      <w:proofErr w:type="spellStart"/>
      <w:r>
        <w:rPr>
          <w:rFonts w:eastAsia="Times New Roman" w:cstheme="minorHAnsi"/>
          <w:sz w:val="24"/>
          <w:szCs w:val="24"/>
        </w:rPr>
        <w:t>Metab</w:t>
      </w:r>
      <w:proofErr w:type="spellEnd"/>
      <w:r>
        <w:rPr>
          <w:rFonts w:eastAsia="Times New Roman" w:cstheme="minorHAnsi"/>
          <w:sz w:val="24"/>
          <w:szCs w:val="24"/>
        </w:rPr>
        <w:t>. 2004; 89: 4484-9. DOI: 10.1210/jc.2004-0021.</w:t>
      </w:r>
    </w:p>
    <w:p w14:paraId="651CD6B1"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Habibullah MMA. An Investigation of Autoantibodies against the Calcium-Sensing Receptor in Patients with Autoimmune Polyendocrine Syndrome Type 1. PhD dissertation. The University of Sheffield. 2016. Available from: </w:t>
      </w:r>
      <w:hyperlink r:id="rId31" w:history="1">
        <w:r w:rsidRPr="009D4E7B">
          <w:rPr>
            <w:rStyle w:val="Hyperlink"/>
            <w:rFonts w:eastAsia="Times New Roman" w:cstheme="minorHAnsi"/>
            <w:sz w:val="24"/>
            <w:szCs w:val="24"/>
          </w:rPr>
          <w:t>https://etheses.whiterose.ac.uk/14411/1/thesis%20Final.pdf</w:t>
        </w:r>
      </w:hyperlink>
      <w:r>
        <w:rPr>
          <w:rFonts w:eastAsia="Times New Roman" w:cstheme="minorHAnsi"/>
          <w:sz w:val="24"/>
          <w:szCs w:val="24"/>
        </w:rPr>
        <w:t xml:space="preserve"> </w:t>
      </w:r>
    </w:p>
    <w:p w14:paraId="1E652A48"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r>
        <w:rPr>
          <w:rFonts w:eastAsia="Times New Roman" w:cstheme="minorHAnsi"/>
          <w:sz w:val="24"/>
          <w:szCs w:val="24"/>
        </w:rPr>
        <w:t xml:space="preserve">Brown EM. Control of parathyroid hormone secretion by its key physiological regulators. In: </w:t>
      </w:r>
      <w:proofErr w:type="spellStart"/>
      <w:r>
        <w:rPr>
          <w:rFonts w:eastAsia="Times New Roman" w:cstheme="minorHAnsi"/>
          <w:sz w:val="24"/>
          <w:szCs w:val="24"/>
        </w:rPr>
        <w:t>Bilezikian</w:t>
      </w:r>
      <w:proofErr w:type="spellEnd"/>
      <w:r>
        <w:rPr>
          <w:rFonts w:eastAsia="Times New Roman" w:cstheme="minorHAnsi"/>
          <w:sz w:val="24"/>
          <w:szCs w:val="24"/>
        </w:rPr>
        <w:t xml:space="preserve"> JP, Marcus R, Levine MA, </w:t>
      </w:r>
      <w:proofErr w:type="spellStart"/>
      <w:r>
        <w:rPr>
          <w:rFonts w:eastAsia="Times New Roman" w:cstheme="minorHAnsi"/>
          <w:sz w:val="24"/>
          <w:szCs w:val="24"/>
        </w:rPr>
        <w:t>Marcocci</w:t>
      </w:r>
      <w:proofErr w:type="spellEnd"/>
      <w:r>
        <w:rPr>
          <w:rFonts w:eastAsia="Times New Roman" w:cstheme="minorHAnsi"/>
          <w:sz w:val="24"/>
          <w:szCs w:val="24"/>
        </w:rPr>
        <w:t xml:space="preserve"> C, Silverberg SJ, Potts JT. The Parathyroids: Basic and Clinical Concepts. Boston: Elsevier; 2015. p:101-18.</w:t>
      </w:r>
    </w:p>
    <w:p w14:paraId="2A13C7CD"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proofErr w:type="spellStart"/>
      <w:r>
        <w:rPr>
          <w:rFonts w:eastAsia="Times New Roman" w:cstheme="minorHAnsi"/>
          <w:sz w:val="24"/>
          <w:szCs w:val="24"/>
        </w:rPr>
        <w:t>Hauache</w:t>
      </w:r>
      <w:proofErr w:type="spellEnd"/>
      <w:r>
        <w:rPr>
          <w:rFonts w:eastAsia="Times New Roman" w:cstheme="minorHAnsi"/>
          <w:sz w:val="24"/>
          <w:szCs w:val="24"/>
        </w:rPr>
        <w:t xml:space="preserve"> OM. Extracellular calcium-sensing receptor: structural and functional features and association with diseases. </w:t>
      </w:r>
      <w:proofErr w:type="spellStart"/>
      <w:r>
        <w:rPr>
          <w:rFonts w:eastAsia="Times New Roman" w:cstheme="minorHAnsi"/>
          <w:sz w:val="24"/>
          <w:szCs w:val="24"/>
        </w:rPr>
        <w:t>Braz</w:t>
      </w:r>
      <w:proofErr w:type="spellEnd"/>
      <w:r>
        <w:rPr>
          <w:rFonts w:eastAsia="Times New Roman" w:cstheme="minorHAnsi"/>
          <w:sz w:val="24"/>
          <w:szCs w:val="24"/>
        </w:rPr>
        <w:t xml:space="preserve"> J Med Bio. Res. 2001; 34: 577-84. DOI: 10.1590/s0100-879x2001000500004.</w:t>
      </w:r>
    </w:p>
    <w:p w14:paraId="53E4CD6D" w14:textId="77777777" w:rsidR="00790BBD" w:rsidRDefault="00790BBD" w:rsidP="00790BBD">
      <w:pPr>
        <w:pStyle w:val="ListParagraph"/>
        <w:numPr>
          <w:ilvl w:val="0"/>
          <w:numId w:val="1"/>
        </w:numPr>
        <w:spacing w:after="0" w:line="240" w:lineRule="auto"/>
        <w:jc w:val="both"/>
        <w:textAlignment w:val="baseline"/>
        <w:rPr>
          <w:rFonts w:eastAsia="Times New Roman" w:cstheme="minorHAnsi"/>
          <w:sz w:val="24"/>
          <w:szCs w:val="24"/>
        </w:rPr>
      </w:pPr>
      <w:proofErr w:type="spellStart"/>
      <w:r>
        <w:rPr>
          <w:rFonts w:eastAsia="Times New Roman" w:cstheme="minorHAnsi"/>
          <w:color w:val="000000" w:themeColor="text1"/>
          <w:sz w:val="24"/>
          <w:szCs w:val="24"/>
        </w:rPr>
        <w:t>P</w:t>
      </w:r>
      <w:r w:rsidRPr="00A55D3B">
        <w:rPr>
          <w:rFonts w:eastAsia="Times New Roman" w:cstheme="minorHAnsi"/>
          <w:color w:val="000000" w:themeColor="text1"/>
          <w:sz w:val="24"/>
          <w:szCs w:val="24"/>
        </w:rPr>
        <w:t>esi</w:t>
      </w:r>
      <w:hyperlink r:id="rId32" w:history="1">
        <w:r w:rsidRPr="00330E42">
          <w:rPr>
            <w:rFonts w:cstheme="minorHAnsi"/>
            <w:color w:val="000000" w:themeColor="text1"/>
            <w:sz w:val="24"/>
            <w:szCs w:val="24"/>
            <w:shd w:val="clear" w:color="auto" w:fill="FFFFFF"/>
          </w:rPr>
          <w:t>ć</w:t>
        </w:r>
        <w:proofErr w:type="spellEnd"/>
      </w:hyperlink>
      <w:r w:rsidRPr="00330E42">
        <w:rPr>
          <w:rFonts w:cstheme="minorHAnsi"/>
          <w:color w:val="000000" w:themeColor="text1"/>
          <w:sz w:val="24"/>
          <w:szCs w:val="24"/>
          <w:shd w:val="clear" w:color="auto" w:fill="FFFFFF"/>
        </w:rPr>
        <w:t xml:space="preserve"> </w:t>
      </w:r>
      <w:r w:rsidRPr="00A55D3B">
        <w:rPr>
          <w:rFonts w:eastAsia="Times New Roman" w:cstheme="minorHAnsi"/>
          <w:sz w:val="24"/>
          <w:szCs w:val="24"/>
        </w:rPr>
        <w:t xml:space="preserve">M, </w:t>
      </w:r>
      <w:proofErr w:type="spellStart"/>
      <w:r w:rsidRPr="00A55D3B">
        <w:rPr>
          <w:rFonts w:eastAsia="Times New Roman" w:cstheme="minorHAnsi"/>
          <w:sz w:val="24"/>
          <w:szCs w:val="24"/>
        </w:rPr>
        <w:t>Radojkovic</w:t>
      </w:r>
      <w:proofErr w:type="spellEnd"/>
      <w:r w:rsidRPr="00A55D3B">
        <w:rPr>
          <w:rFonts w:eastAsia="Times New Roman" w:cstheme="minorHAnsi"/>
          <w:sz w:val="24"/>
          <w:szCs w:val="24"/>
        </w:rPr>
        <w:t xml:space="preserve"> D, Radenkovic S, </w:t>
      </w:r>
      <w:proofErr w:type="spellStart"/>
      <w:r w:rsidRPr="00A55D3B">
        <w:rPr>
          <w:rFonts w:eastAsia="Times New Roman" w:cstheme="minorHAnsi"/>
          <w:sz w:val="24"/>
          <w:szCs w:val="24"/>
        </w:rPr>
        <w:t>Spasic</w:t>
      </w:r>
      <w:proofErr w:type="spellEnd"/>
      <w:r w:rsidRPr="00A55D3B">
        <w:rPr>
          <w:rFonts w:eastAsia="Times New Roman" w:cstheme="minorHAnsi"/>
          <w:sz w:val="24"/>
          <w:szCs w:val="24"/>
        </w:rPr>
        <w:t xml:space="preserve"> M, Lukic S. Epileptic seizure as the first sign of hypoparathyroidism. </w:t>
      </w:r>
      <w:proofErr w:type="spellStart"/>
      <w:r w:rsidRPr="00A55D3B">
        <w:rPr>
          <w:rFonts w:eastAsia="Times New Roman" w:cstheme="minorHAnsi"/>
          <w:sz w:val="24"/>
          <w:szCs w:val="24"/>
        </w:rPr>
        <w:t>Vojnosanit</w:t>
      </w:r>
      <w:proofErr w:type="spellEnd"/>
      <w:r w:rsidRPr="00A55D3B">
        <w:rPr>
          <w:rFonts w:eastAsia="Times New Roman" w:cstheme="minorHAnsi"/>
          <w:sz w:val="24"/>
          <w:szCs w:val="24"/>
        </w:rPr>
        <w:t xml:space="preserve"> Pregl. 2011; 68(1):</w:t>
      </w:r>
      <w:r w:rsidRPr="00A55D3B">
        <w:rPr>
          <w:rFonts w:eastAsia="Times New Roman" w:cstheme="minorHAnsi"/>
          <w:color w:val="000000" w:themeColor="text1"/>
          <w:sz w:val="24"/>
          <w:szCs w:val="24"/>
        </w:rPr>
        <w:t>81–4. DOI: 1</w:t>
      </w:r>
      <w:r w:rsidRPr="00A55D3B">
        <w:rPr>
          <w:rFonts w:cstheme="minorHAnsi"/>
          <w:color w:val="000000" w:themeColor="text1"/>
          <w:sz w:val="24"/>
          <w:szCs w:val="24"/>
          <w:shd w:val="clear" w:color="auto" w:fill="FFFFFF"/>
        </w:rPr>
        <w:t>0.2298/vsp1101081p.</w:t>
      </w:r>
    </w:p>
    <w:p w14:paraId="0BA9B328" w14:textId="77777777" w:rsidR="00790BBD" w:rsidRDefault="00790BBD" w:rsidP="00790BBD">
      <w:pPr>
        <w:pStyle w:val="NormalWeb"/>
        <w:numPr>
          <w:ilvl w:val="0"/>
          <w:numId w:val="1"/>
        </w:numPr>
        <w:spacing w:before="0" w:beforeAutospacing="0" w:after="0" w:afterAutospacing="0"/>
        <w:jc w:val="both"/>
        <w:textAlignment w:val="baseline"/>
        <w:rPr>
          <w:rFonts w:ascii="Calibri" w:hAnsi="Calibri" w:cs="Calibri"/>
          <w:color w:val="000000"/>
        </w:rPr>
      </w:pPr>
      <w:r>
        <w:rPr>
          <w:rFonts w:ascii="Calibri" w:hAnsi="Calibri" w:cs="Calibri"/>
          <w:color w:val="000000"/>
        </w:rPr>
        <w:lastRenderedPageBreak/>
        <w:t xml:space="preserve">Brown EM. Anti-parathyroid and anti-calcium sensing receptor antibodies in autoimmune hypoparathyroidism. Endocrinol </w:t>
      </w:r>
      <w:proofErr w:type="spellStart"/>
      <w:r>
        <w:rPr>
          <w:rFonts w:ascii="Calibri" w:hAnsi="Calibri" w:cs="Calibri"/>
          <w:color w:val="000000"/>
        </w:rPr>
        <w:t>Metab</w:t>
      </w:r>
      <w:proofErr w:type="spellEnd"/>
      <w:r>
        <w:rPr>
          <w:rFonts w:ascii="Calibri" w:hAnsi="Calibri" w:cs="Calibri"/>
          <w:color w:val="000000"/>
        </w:rPr>
        <w:t xml:space="preserve"> Clin North Am. 2009; 38(2): 437–45. DOI: 10.1016/j.ecl.2009.01.001  </w:t>
      </w:r>
    </w:p>
    <w:p w14:paraId="084AAFDF" w14:textId="77777777" w:rsidR="00790BBD" w:rsidRDefault="00790BBD" w:rsidP="00790BBD">
      <w:pPr>
        <w:pStyle w:val="NormalWeb"/>
        <w:numPr>
          <w:ilvl w:val="0"/>
          <w:numId w:val="1"/>
        </w:numPr>
        <w:spacing w:before="0" w:beforeAutospacing="0" w:after="0" w:afterAutospacing="0"/>
        <w:jc w:val="both"/>
        <w:textAlignment w:val="baseline"/>
        <w:rPr>
          <w:rFonts w:ascii="Calibri" w:hAnsi="Calibri" w:cs="Calibri"/>
          <w:color w:val="000000"/>
        </w:rPr>
      </w:pPr>
      <w:proofErr w:type="spellStart"/>
      <w:r>
        <w:rPr>
          <w:rFonts w:ascii="Calibri" w:hAnsi="Calibri" w:cs="Calibri"/>
          <w:color w:val="000000"/>
        </w:rPr>
        <w:t>Lupi</w:t>
      </w:r>
      <w:proofErr w:type="spellEnd"/>
      <w:r>
        <w:rPr>
          <w:rFonts w:ascii="Calibri" w:hAnsi="Calibri" w:cs="Calibri"/>
          <w:color w:val="000000"/>
        </w:rPr>
        <w:t xml:space="preserve"> I, </w:t>
      </w:r>
      <w:proofErr w:type="spellStart"/>
      <w:r>
        <w:rPr>
          <w:rFonts w:ascii="Calibri" w:hAnsi="Calibri" w:cs="Calibri"/>
          <w:color w:val="000000"/>
        </w:rPr>
        <w:t>Brancatella</w:t>
      </w:r>
      <w:proofErr w:type="spellEnd"/>
      <w:r>
        <w:rPr>
          <w:rFonts w:ascii="Calibri" w:hAnsi="Calibri" w:cs="Calibri"/>
          <w:color w:val="000000"/>
        </w:rPr>
        <w:t xml:space="preserve"> A, </w:t>
      </w:r>
      <w:proofErr w:type="spellStart"/>
      <w:r>
        <w:rPr>
          <w:rFonts w:ascii="Calibri" w:hAnsi="Calibri" w:cs="Calibri"/>
          <w:color w:val="000000"/>
        </w:rPr>
        <w:t>Cetani</w:t>
      </w:r>
      <w:proofErr w:type="spellEnd"/>
      <w:r>
        <w:rPr>
          <w:rFonts w:ascii="Calibri" w:hAnsi="Calibri" w:cs="Calibri"/>
          <w:color w:val="000000"/>
        </w:rPr>
        <w:t xml:space="preserve"> F, </w:t>
      </w:r>
      <w:proofErr w:type="spellStart"/>
      <w:r>
        <w:rPr>
          <w:rFonts w:ascii="Calibri" w:hAnsi="Calibri" w:cs="Calibri"/>
          <w:color w:val="000000"/>
        </w:rPr>
        <w:t>Latrofa</w:t>
      </w:r>
      <w:proofErr w:type="spellEnd"/>
      <w:r>
        <w:rPr>
          <w:rFonts w:ascii="Calibri" w:hAnsi="Calibri" w:cs="Calibri"/>
          <w:color w:val="000000"/>
        </w:rPr>
        <w:t xml:space="preserve"> F, Kemp EH, </w:t>
      </w:r>
      <w:proofErr w:type="spellStart"/>
      <w:r>
        <w:rPr>
          <w:rFonts w:ascii="Calibri" w:hAnsi="Calibri" w:cs="Calibri"/>
          <w:color w:val="000000"/>
        </w:rPr>
        <w:t>Marcocci</w:t>
      </w:r>
      <w:proofErr w:type="spellEnd"/>
      <w:r>
        <w:rPr>
          <w:rFonts w:ascii="Calibri" w:hAnsi="Calibri" w:cs="Calibri"/>
          <w:color w:val="000000"/>
        </w:rPr>
        <w:t xml:space="preserve"> C. Activating Antibodies to The Calcium-sensing Receptor in Immunotherapy-induced Hypoparathyroidism. J. Clin. </w:t>
      </w:r>
      <w:proofErr w:type="spellStart"/>
      <w:r>
        <w:rPr>
          <w:rFonts w:ascii="Calibri" w:hAnsi="Calibri" w:cs="Calibri"/>
          <w:color w:val="000000"/>
        </w:rPr>
        <w:t>Endocr</w:t>
      </w:r>
      <w:proofErr w:type="spellEnd"/>
      <w:r>
        <w:rPr>
          <w:rFonts w:ascii="Calibri" w:hAnsi="Calibri" w:cs="Calibri"/>
          <w:color w:val="000000"/>
        </w:rPr>
        <w:t>. 2020; 105(5): 1581–8. DOI: 10.1210/</w:t>
      </w:r>
      <w:proofErr w:type="spellStart"/>
      <w:r>
        <w:rPr>
          <w:rFonts w:ascii="Calibri" w:hAnsi="Calibri" w:cs="Calibri"/>
          <w:color w:val="000000"/>
        </w:rPr>
        <w:t>clinem</w:t>
      </w:r>
      <w:proofErr w:type="spellEnd"/>
      <w:r>
        <w:rPr>
          <w:rFonts w:ascii="Calibri" w:hAnsi="Calibri" w:cs="Calibri"/>
          <w:color w:val="000000"/>
        </w:rPr>
        <w:t>/dgaa092. </w:t>
      </w:r>
    </w:p>
    <w:p w14:paraId="3449A32D" w14:textId="77777777"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0805D2C9" w14:textId="77777777"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62742FE6" w14:textId="77777777"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1E5E8451" w14:textId="77777777"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2B06D146" w14:textId="77777777"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3F972699" w14:textId="16AA8DDC"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2810ED2B" w14:textId="2C674B19" w:rsidR="005200DF" w:rsidRDefault="005200DF" w:rsidP="00790BBD">
      <w:pPr>
        <w:pStyle w:val="NormalWeb"/>
        <w:spacing w:before="0" w:beforeAutospacing="0" w:after="0" w:afterAutospacing="0"/>
        <w:jc w:val="both"/>
        <w:textAlignment w:val="baseline"/>
        <w:rPr>
          <w:rFonts w:ascii="Calibri" w:hAnsi="Calibri" w:cs="Calibri"/>
          <w:color w:val="000000"/>
        </w:rPr>
      </w:pPr>
    </w:p>
    <w:p w14:paraId="11B8D052" w14:textId="7A1C8788" w:rsidR="005200DF" w:rsidRDefault="005200DF" w:rsidP="00790BBD">
      <w:pPr>
        <w:pStyle w:val="NormalWeb"/>
        <w:spacing w:before="0" w:beforeAutospacing="0" w:after="0" w:afterAutospacing="0"/>
        <w:jc w:val="both"/>
        <w:textAlignment w:val="baseline"/>
        <w:rPr>
          <w:rFonts w:ascii="Calibri" w:hAnsi="Calibri" w:cs="Calibri"/>
          <w:color w:val="000000"/>
        </w:rPr>
      </w:pPr>
    </w:p>
    <w:p w14:paraId="33885545" w14:textId="77777777" w:rsidR="005200DF" w:rsidRDefault="005200DF" w:rsidP="00790BBD">
      <w:pPr>
        <w:pStyle w:val="NormalWeb"/>
        <w:spacing w:before="0" w:beforeAutospacing="0" w:after="0" w:afterAutospacing="0"/>
        <w:jc w:val="both"/>
        <w:textAlignment w:val="baseline"/>
        <w:rPr>
          <w:rFonts w:ascii="Calibri" w:hAnsi="Calibri" w:cs="Calibri"/>
          <w:color w:val="000000"/>
        </w:rPr>
      </w:pPr>
    </w:p>
    <w:p w14:paraId="24B08FF4" w14:textId="77777777" w:rsidR="00790BBD" w:rsidRDefault="00790BBD" w:rsidP="00790BBD">
      <w:pPr>
        <w:pStyle w:val="NormalWeb"/>
        <w:spacing w:before="0" w:beforeAutospacing="0" w:after="0" w:afterAutospacing="0"/>
        <w:jc w:val="both"/>
        <w:textAlignment w:val="baseline"/>
        <w:rPr>
          <w:rFonts w:ascii="Calibri" w:hAnsi="Calibri" w:cs="Calibri"/>
          <w:color w:val="000000"/>
        </w:rPr>
      </w:pPr>
    </w:p>
    <w:p w14:paraId="248F4B59" w14:textId="77777777" w:rsidR="00790BBD" w:rsidRPr="0056017F" w:rsidRDefault="00790BBD" w:rsidP="00790BBD">
      <w:pPr>
        <w:pStyle w:val="NormalWeb"/>
        <w:spacing w:before="0" w:beforeAutospacing="0" w:after="0" w:afterAutospacing="0"/>
        <w:jc w:val="both"/>
        <w:textAlignment w:val="baseline"/>
        <w:rPr>
          <w:rFonts w:ascii="Calibri" w:hAnsi="Calibri" w:cs="Calibri"/>
          <w:color w:val="000000"/>
        </w:rPr>
      </w:pPr>
    </w:p>
    <w:tbl>
      <w:tblPr>
        <w:tblStyle w:val="PlainTable11"/>
        <w:tblW w:w="0" w:type="auto"/>
        <w:tblLook w:val="04A0" w:firstRow="1" w:lastRow="0" w:firstColumn="1" w:lastColumn="0" w:noHBand="0" w:noVBand="1"/>
      </w:tblPr>
      <w:tblGrid>
        <w:gridCol w:w="3150"/>
        <w:gridCol w:w="2722"/>
        <w:gridCol w:w="2673"/>
      </w:tblGrid>
      <w:tr w:rsidR="00790BBD" w:rsidRPr="00A55D3B" w14:paraId="58D085D1" w14:textId="77777777" w:rsidTr="004F0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284A68A7" w14:textId="77777777" w:rsidR="00790BBD" w:rsidRPr="00A55D3B" w:rsidRDefault="00790BBD" w:rsidP="004F07D5">
            <w:pPr>
              <w:jc w:val="center"/>
              <w:textAlignment w:val="baseline"/>
              <w:rPr>
                <w:rFonts w:eastAsia="Times New Roman" w:cstheme="minorHAnsi"/>
                <w:sz w:val="24"/>
                <w:szCs w:val="24"/>
              </w:rPr>
            </w:pPr>
            <w:r>
              <w:rPr>
                <w:rFonts w:eastAsia="Times New Roman" w:cstheme="minorHAnsi"/>
                <w:sz w:val="24"/>
                <w:szCs w:val="24"/>
              </w:rPr>
              <w:t>Investigation</w:t>
            </w:r>
          </w:p>
        </w:tc>
        <w:tc>
          <w:tcPr>
            <w:tcW w:w="2722" w:type="dxa"/>
          </w:tcPr>
          <w:p w14:paraId="499DA7E8" w14:textId="77777777" w:rsidR="00790BBD" w:rsidRPr="00A55D3B" w:rsidRDefault="00790BBD" w:rsidP="004F07D5">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R</w:t>
            </w:r>
            <w:r>
              <w:rPr>
                <w:rFonts w:eastAsia="Times New Roman" w:cstheme="minorHAnsi"/>
                <w:sz w:val="24"/>
                <w:szCs w:val="24"/>
              </w:rPr>
              <w:t>esult</w:t>
            </w:r>
          </w:p>
        </w:tc>
        <w:tc>
          <w:tcPr>
            <w:tcW w:w="2673" w:type="dxa"/>
          </w:tcPr>
          <w:p w14:paraId="403F55EF" w14:textId="77777777" w:rsidR="00790BBD" w:rsidRPr="00A55D3B" w:rsidRDefault="00790BBD" w:rsidP="004F07D5">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Reference Range</w:t>
            </w:r>
          </w:p>
        </w:tc>
      </w:tr>
      <w:tr w:rsidR="00790BBD" w:rsidRPr="00A55D3B" w14:paraId="40061BDB"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52AA9484"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Hemoglobin</w:t>
            </w:r>
          </w:p>
        </w:tc>
        <w:tc>
          <w:tcPr>
            <w:tcW w:w="2722" w:type="dxa"/>
          </w:tcPr>
          <w:p w14:paraId="751073E0"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11.8</w:t>
            </w:r>
            <w:r>
              <w:rPr>
                <w:rFonts w:eastAsia="Times New Roman" w:cstheme="minorHAnsi"/>
                <w:sz w:val="24"/>
                <w:szCs w:val="24"/>
              </w:rPr>
              <w:t xml:space="preserve"> g/dL</w:t>
            </w:r>
          </w:p>
        </w:tc>
        <w:tc>
          <w:tcPr>
            <w:tcW w:w="2673" w:type="dxa"/>
          </w:tcPr>
          <w:p w14:paraId="133A561C"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12.0-16.0</w:t>
            </w:r>
          </w:p>
        </w:tc>
      </w:tr>
      <w:tr w:rsidR="00790BBD" w:rsidRPr="00A55D3B" w14:paraId="0417B4DA"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4567766D"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Red blood cells</w:t>
            </w:r>
          </w:p>
        </w:tc>
        <w:tc>
          <w:tcPr>
            <w:tcW w:w="2722" w:type="dxa"/>
          </w:tcPr>
          <w:p w14:paraId="2D371395" w14:textId="77777777" w:rsidR="00790BBD" w:rsidRPr="0058727A"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4</w:t>
            </w:r>
            <w:r>
              <w:rPr>
                <w:rFonts w:eastAsia="Times New Roman" w:cstheme="minorHAnsi"/>
                <w:sz w:val="24"/>
                <w:szCs w:val="24"/>
              </w:rPr>
              <w:t>.1^10</w:t>
            </w:r>
            <w:r w:rsidRPr="0058727A">
              <w:rPr>
                <w:rFonts w:eastAsia="Times New Roman" w:cstheme="minorHAnsi"/>
                <w:sz w:val="24"/>
                <w:szCs w:val="24"/>
                <w:vertAlign w:val="superscript"/>
              </w:rPr>
              <w:t>6</w:t>
            </w:r>
            <w:r>
              <w:rPr>
                <w:rFonts w:eastAsia="Times New Roman" w:cstheme="minorHAnsi"/>
                <w:sz w:val="24"/>
                <w:szCs w:val="24"/>
              </w:rPr>
              <w:t>cells/</w:t>
            </w:r>
            <w:proofErr w:type="spellStart"/>
            <w:r>
              <w:rPr>
                <w:rFonts w:eastAsia="Times New Roman" w:cstheme="minorHAnsi"/>
                <w:sz w:val="24"/>
                <w:szCs w:val="24"/>
              </w:rPr>
              <w:t>mcL</w:t>
            </w:r>
            <w:proofErr w:type="spellEnd"/>
          </w:p>
        </w:tc>
        <w:tc>
          <w:tcPr>
            <w:tcW w:w="2673" w:type="dxa"/>
          </w:tcPr>
          <w:p w14:paraId="34F708C1"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3.5-5.5^10</w:t>
            </w:r>
            <w:r w:rsidRPr="0058727A">
              <w:rPr>
                <w:rFonts w:eastAsia="Times New Roman" w:cstheme="minorHAnsi"/>
                <w:sz w:val="24"/>
                <w:szCs w:val="24"/>
                <w:vertAlign w:val="superscript"/>
              </w:rPr>
              <w:t>6</w:t>
            </w:r>
          </w:p>
        </w:tc>
      </w:tr>
      <w:tr w:rsidR="00790BBD" w:rsidRPr="00A55D3B" w14:paraId="78F3E4D8"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1C81AF6B"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Total leukocyte count</w:t>
            </w:r>
          </w:p>
        </w:tc>
        <w:tc>
          <w:tcPr>
            <w:tcW w:w="2722" w:type="dxa"/>
          </w:tcPr>
          <w:p w14:paraId="36335365" w14:textId="77777777" w:rsidR="00790BBD" w:rsidRPr="0058727A"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5</w:t>
            </w:r>
            <w:r>
              <w:rPr>
                <w:rFonts w:eastAsia="Times New Roman" w:cstheme="minorHAnsi"/>
                <w:sz w:val="24"/>
                <w:szCs w:val="24"/>
              </w:rPr>
              <w:t>.6^10</w:t>
            </w:r>
            <w:r w:rsidRPr="0058727A">
              <w:rPr>
                <w:rFonts w:eastAsia="Times New Roman" w:cstheme="minorHAnsi"/>
                <w:sz w:val="24"/>
                <w:szCs w:val="24"/>
                <w:vertAlign w:val="superscript"/>
              </w:rPr>
              <w:t>3</w:t>
            </w:r>
            <w:r w:rsidRPr="00A55D3B">
              <w:rPr>
                <w:rFonts w:eastAsia="Times New Roman" w:cstheme="minorHAnsi"/>
                <w:sz w:val="24"/>
                <w:szCs w:val="24"/>
              </w:rPr>
              <w:t xml:space="preserve"> cells/</w:t>
            </w:r>
            <w:proofErr w:type="spellStart"/>
            <w:r w:rsidRPr="00A55D3B">
              <w:rPr>
                <w:rFonts w:eastAsia="Times New Roman" w:cstheme="minorHAnsi"/>
                <w:sz w:val="24"/>
                <w:szCs w:val="24"/>
              </w:rPr>
              <w:t>mcL</w:t>
            </w:r>
            <w:proofErr w:type="spellEnd"/>
          </w:p>
        </w:tc>
        <w:tc>
          <w:tcPr>
            <w:tcW w:w="2673" w:type="dxa"/>
          </w:tcPr>
          <w:p w14:paraId="6A131405"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4.5-11.0^10</w:t>
            </w:r>
            <w:r w:rsidRPr="00A87084">
              <w:rPr>
                <w:rFonts w:eastAsia="Times New Roman" w:cstheme="minorHAnsi"/>
                <w:sz w:val="24"/>
                <w:szCs w:val="24"/>
                <w:vertAlign w:val="superscript"/>
              </w:rPr>
              <w:t>3</w:t>
            </w:r>
          </w:p>
        </w:tc>
      </w:tr>
      <w:tr w:rsidR="00790BBD" w:rsidRPr="00A55D3B" w14:paraId="1F787410"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3F9F3B4A" w14:textId="77777777" w:rsidR="00790BBD" w:rsidRPr="00A55D3B" w:rsidRDefault="00790BBD" w:rsidP="004F07D5">
            <w:pPr>
              <w:jc w:val="both"/>
              <w:textAlignment w:val="baseline"/>
              <w:rPr>
                <w:rFonts w:eastAsia="Times New Roman" w:cstheme="minorHAnsi"/>
                <w:sz w:val="24"/>
                <w:szCs w:val="24"/>
              </w:rPr>
            </w:pPr>
            <w:r>
              <w:rPr>
                <w:rFonts w:eastAsia="Times New Roman" w:cstheme="minorHAnsi"/>
                <w:sz w:val="24"/>
                <w:szCs w:val="24"/>
              </w:rPr>
              <w:t>Platelets</w:t>
            </w:r>
          </w:p>
        </w:tc>
        <w:tc>
          <w:tcPr>
            <w:tcW w:w="2722" w:type="dxa"/>
          </w:tcPr>
          <w:p w14:paraId="5AB2536F" w14:textId="77777777" w:rsidR="00790BBD" w:rsidRPr="0058727A"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3.76^10</w:t>
            </w:r>
            <w:r w:rsidRPr="0058727A">
              <w:rPr>
                <w:rFonts w:eastAsia="Times New Roman" w:cstheme="minorHAnsi"/>
                <w:sz w:val="24"/>
                <w:szCs w:val="24"/>
                <w:vertAlign w:val="superscript"/>
              </w:rPr>
              <w:t>6</w:t>
            </w:r>
            <w:r w:rsidRPr="00A55D3B">
              <w:rPr>
                <w:rFonts w:eastAsia="Times New Roman" w:cstheme="minorHAnsi"/>
                <w:sz w:val="24"/>
                <w:szCs w:val="24"/>
              </w:rPr>
              <w:t xml:space="preserve"> cells/</w:t>
            </w:r>
            <w:proofErr w:type="spellStart"/>
            <w:r w:rsidRPr="00A55D3B">
              <w:rPr>
                <w:rFonts w:eastAsia="Times New Roman" w:cstheme="minorHAnsi"/>
                <w:sz w:val="24"/>
                <w:szCs w:val="24"/>
              </w:rPr>
              <w:t>mcL</w:t>
            </w:r>
            <w:proofErr w:type="spellEnd"/>
          </w:p>
        </w:tc>
        <w:tc>
          <w:tcPr>
            <w:tcW w:w="2673" w:type="dxa"/>
          </w:tcPr>
          <w:p w14:paraId="0637A318"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1.5-4.5^10</w:t>
            </w:r>
            <w:r w:rsidRPr="0058727A">
              <w:rPr>
                <w:rFonts w:eastAsia="Times New Roman" w:cstheme="minorHAnsi"/>
                <w:sz w:val="24"/>
                <w:szCs w:val="24"/>
                <w:vertAlign w:val="superscript"/>
              </w:rPr>
              <w:t>6</w:t>
            </w:r>
          </w:p>
        </w:tc>
      </w:tr>
      <w:tr w:rsidR="00790BBD" w:rsidRPr="00A55D3B" w14:paraId="42D977DA"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6B0940F5"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Random blood sugar</w:t>
            </w:r>
          </w:p>
        </w:tc>
        <w:tc>
          <w:tcPr>
            <w:tcW w:w="2722" w:type="dxa"/>
          </w:tcPr>
          <w:p w14:paraId="5D0DEB37"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127</w:t>
            </w:r>
            <w:r>
              <w:rPr>
                <w:rFonts w:eastAsia="Times New Roman" w:cstheme="minorHAnsi"/>
                <w:sz w:val="24"/>
                <w:szCs w:val="24"/>
              </w:rPr>
              <w:t xml:space="preserve"> mg/dL</w:t>
            </w:r>
          </w:p>
        </w:tc>
        <w:tc>
          <w:tcPr>
            <w:tcW w:w="2673" w:type="dxa"/>
          </w:tcPr>
          <w:p w14:paraId="7A0592B1"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&lt;200</w:t>
            </w:r>
          </w:p>
        </w:tc>
      </w:tr>
      <w:tr w:rsidR="00790BBD" w:rsidRPr="00A55D3B" w14:paraId="279B0706"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2BD7C13C"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Magnesium (Mg)</w:t>
            </w:r>
          </w:p>
        </w:tc>
        <w:tc>
          <w:tcPr>
            <w:tcW w:w="2722" w:type="dxa"/>
          </w:tcPr>
          <w:p w14:paraId="0F1CE8E0"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1.</w:t>
            </w:r>
            <w:r>
              <w:rPr>
                <w:rFonts w:eastAsia="Times New Roman" w:cstheme="minorHAnsi"/>
                <w:sz w:val="24"/>
                <w:szCs w:val="24"/>
              </w:rPr>
              <w:t>8</w:t>
            </w:r>
            <w:r w:rsidRPr="00A55D3B">
              <w:rPr>
                <w:rFonts w:eastAsia="Times New Roman" w:cstheme="minorHAnsi"/>
                <w:sz w:val="24"/>
                <w:szCs w:val="24"/>
              </w:rPr>
              <w:t xml:space="preserve"> m</w:t>
            </w:r>
            <w:r>
              <w:rPr>
                <w:rFonts w:eastAsia="Times New Roman" w:cstheme="minorHAnsi"/>
                <w:sz w:val="24"/>
                <w:szCs w:val="24"/>
              </w:rPr>
              <w:t>g</w:t>
            </w:r>
            <w:r w:rsidRPr="00A55D3B">
              <w:rPr>
                <w:rFonts w:eastAsia="Times New Roman" w:cstheme="minorHAnsi"/>
                <w:sz w:val="24"/>
                <w:szCs w:val="24"/>
              </w:rPr>
              <w:t>/</w:t>
            </w:r>
            <w:r>
              <w:rPr>
                <w:rFonts w:eastAsia="Times New Roman" w:cstheme="minorHAnsi"/>
                <w:sz w:val="24"/>
                <w:szCs w:val="24"/>
              </w:rPr>
              <w:t>d</w:t>
            </w:r>
            <w:r w:rsidRPr="00A55D3B">
              <w:rPr>
                <w:rFonts w:eastAsia="Times New Roman" w:cstheme="minorHAnsi"/>
                <w:sz w:val="24"/>
                <w:szCs w:val="24"/>
              </w:rPr>
              <w:t>L</w:t>
            </w:r>
          </w:p>
        </w:tc>
        <w:tc>
          <w:tcPr>
            <w:tcW w:w="2673" w:type="dxa"/>
          </w:tcPr>
          <w:p w14:paraId="631E9730"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1.5-2.5</w:t>
            </w:r>
          </w:p>
        </w:tc>
      </w:tr>
      <w:tr w:rsidR="00790BBD" w:rsidRPr="00A55D3B" w14:paraId="2D608F61"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01692AF4"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Serum calcium</w:t>
            </w:r>
          </w:p>
        </w:tc>
        <w:tc>
          <w:tcPr>
            <w:tcW w:w="2722" w:type="dxa"/>
          </w:tcPr>
          <w:p w14:paraId="3AA187D7"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4.9 mg/dL</w:t>
            </w:r>
          </w:p>
        </w:tc>
        <w:tc>
          <w:tcPr>
            <w:tcW w:w="2673" w:type="dxa"/>
          </w:tcPr>
          <w:p w14:paraId="61E51B98"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7.5-10.0</w:t>
            </w:r>
          </w:p>
        </w:tc>
      </w:tr>
      <w:tr w:rsidR="00790BBD" w:rsidRPr="00A55D3B" w14:paraId="3D285C0E"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6C694B0F"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Serum albumin</w:t>
            </w:r>
          </w:p>
        </w:tc>
        <w:tc>
          <w:tcPr>
            <w:tcW w:w="2722" w:type="dxa"/>
          </w:tcPr>
          <w:p w14:paraId="1E7181F3"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3.9g/dL</w:t>
            </w:r>
          </w:p>
        </w:tc>
        <w:tc>
          <w:tcPr>
            <w:tcW w:w="2673" w:type="dxa"/>
          </w:tcPr>
          <w:p w14:paraId="039318BA"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3.5-5.5</w:t>
            </w:r>
          </w:p>
        </w:tc>
      </w:tr>
      <w:tr w:rsidR="00790BBD" w:rsidRPr="00A55D3B" w14:paraId="2C8A6042"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50605FAC" w14:textId="77777777" w:rsidR="00790BBD" w:rsidRPr="00A55D3B" w:rsidRDefault="00790BBD" w:rsidP="004F07D5">
            <w:pPr>
              <w:tabs>
                <w:tab w:val="right" w:pos="2121"/>
              </w:tabs>
              <w:jc w:val="both"/>
              <w:textAlignment w:val="baseline"/>
              <w:rPr>
                <w:rFonts w:eastAsia="Times New Roman" w:cstheme="minorHAnsi"/>
                <w:sz w:val="24"/>
                <w:szCs w:val="24"/>
              </w:rPr>
            </w:pPr>
            <w:r w:rsidRPr="00A55D3B">
              <w:rPr>
                <w:rFonts w:eastAsia="Times New Roman" w:cstheme="minorHAnsi"/>
                <w:sz w:val="24"/>
                <w:szCs w:val="24"/>
              </w:rPr>
              <w:t>Serum potassium</w:t>
            </w:r>
          </w:p>
        </w:tc>
        <w:tc>
          <w:tcPr>
            <w:tcW w:w="2722" w:type="dxa"/>
          </w:tcPr>
          <w:p w14:paraId="1C433A7B"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 xml:space="preserve">4.0 </w:t>
            </w:r>
            <w:proofErr w:type="spellStart"/>
            <w:r w:rsidRPr="00A55D3B">
              <w:rPr>
                <w:rFonts w:eastAsia="Times New Roman" w:cstheme="minorHAnsi"/>
                <w:sz w:val="24"/>
                <w:szCs w:val="24"/>
              </w:rPr>
              <w:t>mEq</w:t>
            </w:r>
            <w:proofErr w:type="spellEnd"/>
            <w:r w:rsidRPr="00A55D3B">
              <w:rPr>
                <w:rFonts w:eastAsia="Times New Roman" w:cstheme="minorHAnsi"/>
                <w:sz w:val="24"/>
                <w:szCs w:val="24"/>
              </w:rPr>
              <w:t>/L</w:t>
            </w:r>
          </w:p>
        </w:tc>
        <w:tc>
          <w:tcPr>
            <w:tcW w:w="2673" w:type="dxa"/>
          </w:tcPr>
          <w:p w14:paraId="5A2730DC"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3.5-4.5</w:t>
            </w:r>
          </w:p>
        </w:tc>
      </w:tr>
      <w:tr w:rsidR="00790BBD" w:rsidRPr="00A55D3B" w14:paraId="093FDB15"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539B92E0" w14:textId="77777777" w:rsidR="00790BBD" w:rsidRPr="00A55D3B" w:rsidRDefault="00790BBD" w:rsidP="004F07D5">
            <w:pPr>
              <w:tabs>
                <w:tab w:val="right" w:pos="2121"/>
              </w:tabs>
              <w:jc w:val="both"/>
              <w:textAlignment w:val="baseline"/>
              <w:rPr>
                <w:rFonts w:eastAsia="Times New Roman" w:cstheme="minorHAnsi"/>
                <w:sz w:val="24"/>
                <w:szCs w:val="24"/>
              </w:rPr>
            </w:pPr>
            <w:r w:rsidRPr="00A55D3B">
              <w:rPr>
                <w:rFonts w:eastAsia="Times New Roman" w:cstheme="minorHAnsi"/>
                <w:sz w:val="24"/>
                <w:szCs w:val="24"/>
              </w:rPr>
              <w:t xml:space="preserve">Serum sodium </w:t>
            </w:r>
          </w:p>
        </w:tc>
        <w:tc>
          <w:tcPr>
            <w:tcW w:w="2722" w:type="dxa"/>
          </w:tcPr>
          <w:p w14:paraId="125E7F7B"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 xml:space="preserve">138 </w:t>
            </w:r>
            <w:proofErr w:type="spellStart"/>
            <w:r w:rsidRPr="00A55D3B">
              <w:rPr>
                <w:rFonts w:eastAsia="Times New Roman" w:cstheme="minorHAnsi"/>
                <w:sz w:val="24"/>
                <w:szCs w:val="24"/>
              </w:rPr>
              <w:t>mEq</w:t>
            </w:r>
            <w:proofErr w:type="spellEnd"/>
            <w:r w:rsidRPr="00A55D3B">
              <w:rPr>
                <w:rFonts w:eastAsia="Times New Roman" w:cstheme="minorHAnsi"/>
                <w:sz w:val="24"/>
                <w:szCs w:val="24"/>
              </w:rPr>
              <w:t>/L</w:t>
            </w:r>
          </w:p>
        </w:tc>
        <w:tc>
          <w:tcPr>
            <w:tcW w:w="2673" w:type="dxa"/>
          </w:tcPr>
          <w:p w14:paraId="4E4D5EEF"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135-145</w:t>
            </w:r>
          </w:p>
        </w:tc>
      </w:tr>
      <w:tr w:rsidR="00790BBD" w:rsidRPr="00A55D3B" w14:paraId="4DF6FFC7"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71C46973" w14:textId="77777777" w:rsidR="00790BBD" w:rsidRPr="00A55D3B" w:rsidRDefault="00790BBD" w:rsidP="004F07D5">
            <w:pPr>
              <w:tabs>
                <w:tab w:val="right" w:pos="2121"/>
              </w:tabs>
              <w:jc w:val="both"/>
              <w:textAlignment w:val="baseline"/>
              <w:rPr>
                <w:rFonts w:eastAsia="Times New Roman" w:cstheme="minorHAnsi"/>
                <w:sz w:val="24"/>
                <w:szCs w:val="24"/>
              </w:rPr>
            </w:pPr>
            <w:r w:rsidRPr="00A55D3B">
              <w:rPr>
                <w:rFonts w:eastAsia="Times New Roman" w:cstheme="minorHAnsi"/>
                <w:sz w:val="24"/>
                <w:szCs w:val="24"/>
              </w:rPr>
              <w:t>Serum bicarbonate</w:t>
            </w:r>
          </w:p>
        </w:tc>
        <w:tc>
          <w:tcPr>
            <w:tcW w:w="2722" w:type="dxa"/>
          </w:tcPr>
          <w:p w14:paraId="170E6328"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 xml:space="preserve">24 </w:t>
            </w:r>
            <w:proofErr w:type="spellStart"/>
            <w:r w:rsidRPr="00A55D3B">
              <w:rPr>
                <w:rFonts w:eastAsia="Times New Roman" w:cstheme="minorHAnsi"/>
                <w:sz w:val="24"/>
                <w:szCs w:val="24"/>
              </w:rPr>
              <w:t>mEq</w:t>
            </w:r>
            <w:proofErr w:type="spellEnd"/>
            <w:r w:rsidRPr="00A55D3B">
              <w:rPr>
                <w:rFonts w:eastAsia="Times New Roman" w:cstheme="minorHAnsi"/>
                <w:sz w:val="24"/>
                <w:szCs w:val="24"/>
              </w:rPr>
              <w:t>/L</w:t>
            </w:r>
          </w:p>
        </w:tc>
        <w:tc>
          <w:tcPr>
            <w:tcW w:w="2673" w:type="dxa"/>
          </w:tcPr>
          <w:p w14:paraId="1DFEAB1B"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22-26</w:t>
            </w:r>
          </w:p>
        </w:tc>
      </w:tr>
      <w:tr w:rsidR="00790BBD" w:rsidRPr="00A55D3B" w14:paraId="72C7353C"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17BF4E63" w14:textId="77777777" w:rsidR="00790BBD" w:rsidRPr="00A55D3B" w:rsidRDefault="00790BBD" w:rsidP="004F07D5">
            <w:pPr>
              <w:tabs>
                <w:tab w:val="right" w:pos="2121"/>
              </w:tabs>
              <w:jc w:val="both"/>
              <w:textAlignment w:val="baseline"/>
              <w:rPr>
                <w:rFonts w:eastAsia="Times New Roman" w:cstheme="minorHAnsi"/>
                <w:sz w:val="24"/>
                <w:szCs w:val="24"/>
              </w:rPr>
            </w:pPr>
            <w:r w:rsidRPr="00A55D3B">
              <w:rPr>
                <w:rFonts w:eastAsia="Times New Roman" w:cstheme="minorHAnsi"/>
                <w:sz w:val="24"/>
                <w:szCs w:val="24"/>
              </w:rPr>
              <w:t>Chloride</w:t>
            </w:r>
          </w:p>
        </w:tc>
        <w:tc>
          <w:tcPr>
            <w:tcW w:w="2722" w:type="dxa"/>
          </w:tcPr>
          <w:p w14:paraId="212EDE52"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 xml:space="preserve">99 </w:t>
            </w:r>
            <w:proofErr w:type="spellStart"/>
            <w:r w:rsidRPr="00A55D3B">
              <w:rPr>
                <w:rFonts w:eastAsia="Times New Roman" w:cstheme="minorHAnsi"/>
                <w:sz w:val="24"/>
                <w:szCs w:val="24"/>
              </w:rPr>
              <w:t>mEq</w:t>
            </w:r>
            <w:proofErr w:type="spellEnd"/>
            <w:r w:rsidRPr="00A55D3B">
              <w:rPr>
                <w:rFonts w:eastAsia="Times New Roman" w:cstheme="minorHAnsi"/>
                <w:sz w:val="24"/>
                <w:szCs w:val="24"/>
              </w:rPr>
              <w:t>/L</w:t>
            </w:r>
          </w:p>
        </w:tc>
        <w:tc>
          <w:tcPr>
            <w:tcW w:w="2673" w:type="dxa"/>
          </w:tcPr>
          <w:p w14:paraId="1E13A5AA"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90-100</w:t>
            </w:r>
          </w:p>
        </w:tc>
      </w:tr>
      <w:tr w:rsidR="00790BBD" w:rsidRPr="00A55D3B" w14:paraId="58B6D1DA"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5F522DC4" w14:textId="77777777" w:rsidR="00790BBD" w:rsidRPr="00A55D3B" w:rsidRDefault="00790BBD" w:rsidP="004F07D5">
            <w:pPr>
              <w:tabs>
                <w:tab w:val="right" w:pos="2121"/>
              </w:tabs>
              <w:jc w:val="both"/>
              <w:textAlignment w:val="baseline"/>
              <w:rPr>
                <w:rFonts w:eastAsia="Times New Roman" w:cstheme="minorHAnsi"/>
                <w:sz w:val="24"/>
                <w:szCs w:val="24"/>
              </w:rPr>
            </w:pPr>
            <w:r>
              <w:rPr>
                <w:rFonts w:eastAsia="Times New Roman" w:cstheme="minorHAnsi"/>
                <w:sz w:val="24"/>
                <w:szCs w:val="24"/>
              </w:rPr>
              <w:t>Serum c</w:t>
            </w:r>
            <w:r w:rsidRPr="00A55D3B">
              <w:rPr>
                <w:rFonts w:eastAsia="Times New Roman" w:cstheme="minorHAnsi"/>
                <w:sz w:val="24"/>
                <w:szCs w:val="24"/>
              </w:rPr>
              <w:t>reatinine</w:t>
            </w:r>
          </w:p>
        </w:tc>
        <w:tc>
          <w:tcPr>
            <w:tcW w:w="2722" w:type="dxa"/>
          </w:tcPr>
          <w:p w14:paraId="6EB2927D"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0.95 mg/dL</w:t>
            </w:r>
          </w:p>
        </w:tc>
        <w:tc>
          <w:tcPr>
            <w:tcW w:w="2673" w:type="dxa"/>
          </w:tcPr>
          <w:p w14:paraId="53AAC0E4"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&lt;1.5</w:t>
            </w:r>
          </w:p>
        </w:tc>
      </w:tr>
      <w:tr w:rsidR="00790BBD" w:rsidRPr="00A55D3B" w14:paraId="18229C1F" w14:textId="77777777" w:rsidTr="004F07D5">
        <w:tc>
          <w:tcPr>
            <w:cnfStyle w:val="001000000000" w:firstRow="0" w:lastRow="0" w:firstColumn="1" w:lastColumn="0" w:oddVBand="0" w:evenVBand="0" w:oddHBand="0" w:evenHBand="0" w:firstRowFirstColumn="0" w:firstRowLastColumn="0" w:lastRowFirstColumn="0" w:lastRowLastColumn="0"/>
            <w:tcW w:w="3150" w:type="dxa"/>
          </w:tcPr>
          <w:p w14:paraId="789D8F07" w14:textId="77777777" w:rsidR="00790BBD" w:rsidRPr="00A55D3B" w:rsidRDefault="00790BBD" w:rsidP="004F07D5">
            <w:pPr>
              <w:tabs>
                <w:tab w:val="right" w:pos="2121"/>
              </w:tabs>
              <w:jc w:val="both"/>
              <w:textAlignment w:val="baseline"/>
              <w:rPr>
                <w:rFonts w:eastAsia="Times New Roman" w:cstheme="minorHAnsi"/>
                <w:sz w:val="24"/>
                <w:szCs w:val="24"/>
              </w:rPr>
            </w:pPr>
            <w:r w:rsidRPr="00A55D3B">
              <w:rPr>
                <w:rFonts w:eastAsia="Times New Roman" w:cstheme="minorHAnsi"/>
                <w:sz w:val="24"/>
                <w:szCs w:val="24"/>
              </w:rPr>
              <w:t>Blood urea nitrogen (BUN)</w:t>
            </w:r>
          </w:p>
        </w:tc>
        <w:tc>
          <w:tcPr>
            <w:tcW w:w="2722" w:type="dxa"/>
          </w:tcPr>
          <w:p w14:paraId="4F8502E4"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22 mg/dL</w:t>
            </w:r>
          </w:p>
        </w:tc>
        <w:tc>
          <w:tcPr>
            <w:tcW w:w="2673" w:type="dxa"/>
          </w:tcPr>
          <w:p w14:paraId="3CCCCEB4"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5-25</w:t>
            </w:r>
          </w:p>
        </w:tc>
      </w:tr>
    </w:tbl>
    <w:p w14:paraId="02CC04BE" w14:textId="77777777" w:rsidR="00790BBD" w:rsidRPr="0056560C" w:rsidRDefault="00790BBD" w:rsidP="00790BBD">
      <w:pPr>
        <w:rPr>
          <w:b/>
          <w:bCs/>
        </w:rPr>
      </w:pPr>
      <w:r w:rsidRPr="00A87084">
        <w:rPr>
          <w:b/>
          <w:bCs/>
        </w:rPr>
        <w:t>Table</w:t>
      </w:r>
      <w:r>
        <w:rPr>
          <w:b/>
          <w:bCs/>
        </w:rPr>
        <w:t xml:space="preserve"> </w:t>
      </w:r>
      <w:r w:rsidRPr="00A87084">
        <w:rPr>
          <w:b/>
          <w:bCs/>
        </w:rPr>
        <w:t>1</w:t>
      </w:r>
      <w:r>
        <w:rPr>
          <w:b/>
          <w:bCs/>
        </w:rPr>
        <w:t>. Biochemical analysis revealed hypocalcemia.</w:t>
      </w:r>
      <w:r>
        <w:t xml:space="preserve"> G/dL: gram per deciliter, </w:t>
      </w:r>
      <w:proofErr w:type="spellStart"/>
      <w:r>
        <w:t>mcL</w:t>
      </w:r>
      <w:proofErr w:type="spellEnd"/>
      <w:r>
        <w:t xml:space="preserve">: microliter, mg/dL: milligram per deciliter, </w:t>
      </w:r>
      <w:proofErr w:type="spellStart"/>
      <w:r>
        <w:t>mEq</w:t>
      </w:r>
      <w:proofErr w:type="spellEnd"/>
      <w:r>
        <w:t>/L: milli equivalent per liter.</w:t>
      </w:r>
    </w:p>
    <w:p w14:paraId="67DE9854" w14:textId="72AAD6AD" w:rsidR="00790BBD" w:rsidRDefault="00790BBD" w:rsidP="00790BBD"/>
    <w:p w14:paraId="1EFAA97B" w14:textId="11448643" w:rsidR="00D626A5" w:rsidRDefault="00D626A5" w:rsidP="00790BBD"/>
    <w:p w14:paraId="0CDF831F" w14:textId="75B5FA60" w:rsidR="00D626A5" w:rsidRDefault="00D626A5" w:rsidP="00790BBD"/>
    <w:p w14:paraId="615324F7" w14:textId="15D27876" w:rsidR="00D626A5" w:rsidRDefault="00D626A5" w:rsidP="00790BBD"/>
    <w:p w14:paraId="0F220F16" w14:textId="63FAE964" w:rsidR="00D626A5" w:rsidRDefault="00D626A5" w:rsidP="00790BBD"/>
    <w:p w14:paraId="2BD87CF8" w14:textId="77777777" w:rsidR="00897955" w:rsidRDefault="00897955" w:rsidP="00790BBD"/>
    <w:tbl>
      <w:tblPr>
        <w:tblStyle w:val="PlainTable11"/>
        <w:tblW w:w="0" w:type="auto"/>
        <w:tblLook w:val="04A0" w:firstRow="1" w:lastRow="0" w:firstColumn="1" w:lastColumn="0" w:noHBand="0" w:noVBand="1"/>
      </w:tblPr>
      <w:tblGrid>
        <w:gridCol w:w="4709"/>
        <w:gridCol w:w="1946"/>
        <w:gridCol w:w="2160"/>
      </w:tblGrid>
      <w:tr w:rsidR="00790BBD" w:rsidRPr="00A55D3B" w14:paraId="3B9E2069" w14:textId="77777777" w:rsidTr="004F0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9" w:type="dxa"/>
          </w:tcPr>
          <w:p w14:paraId="6186CE45" w14:textId="77777777" w:rsidR="00790BBD" w:rsidRPr="00A55D3B" w:rsidRDefault="00790BBD" w:rsidP="004F07D5">
            <w:pPr>
              <w:jc w:val="center"/>
              <w:textAlignment w:val="baseline"/>
              <w:rPr>
                <w:rFonts w:eastAsia="Times New Roman" w:cstheme="minorHAnsi"/>
                <w:sz w:val="24"/>
                <w:szCs w:val="24"/>
              </w:rPr>
            </w:pPr>
            <w:r>
              <w:rPr>
                <w:rFonts w:eastAsia="Times New Roman" w:cstheme="minorHAnsi"/>
                <w:sz w:val="24"/>
                <w:szCs w:val="24"/>
              </w:rPr>
              <w:lastRenderedPageBreak/>
              <w:t>Investigation</w:t>
            </w:r>
          </w:p>
        </w:tc>
        <w:tc>
          <w:tcPr>
            <w:tcW w:w="1946" w:type="dxa"/>
          </w:tcPr>
          <w:p w14:paraId="0BA4124C" w14:textId="77777777" w:rsidR="00790BBD" w:rsidRPr="00A55D3B" w:rsidRDefault="00790BBD" w:rsidP="004F07D5">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R</w:t>
            </w:r>
            <w:r>
              <w:rPr>
                <w:rFonts w:eastAsia="Times New Roman" w:cstheme="minorHAnsi"/>
                <w:sz w:val="24"/>
                <w:szCs w:val="24"/>
              </w:rPr>
              <w:t>esult</w:t>
            </w:r>
          </w:p>
        </w:tc>
        <w:tc>
          <w:tcPr>
            <w:tcW w:w="2160" w:type="dxa"/>
          </w:tcPr>
          <w:p w14:paraId="305EB04C" w14:textId="77777777" w:rsidR="00790BBD" w:rsidRPr="00A55D3B" w:rsidRDefault="00790BBD" w:rsidP="004F07D5">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Reference Range</w:t>
            </w:r>
          </w:p>
        </w:tc>
      </w:tr>
      <w:tr w:rsidR="00790BBD" w:rsidRPr="00A55D3B" w14:paraId="1F4E4C62"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9" w:type="dxa"/>
          </w:tcPr>
          <w:p w14:paraId="3C4E3CF4"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Parathyroid hormone (PTH)</w:t>
            </w:r>
          </w:p>
        </w:tc>
        <w:tc>
          <w:tcPr>
            <w:tcW w:w="1946" w:type="dxa"/>
          </w:tcPr>
          <w:p w14:paraId="20852A32"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0.9</w:t>
            </w:r>
            <w:r>
              <w:rPr>
                <w:rFonts w:eastAsia="Times New Roman" w:cstheme="minorHAnsi"/>
                <w:sz w:val="24"/>
                <w:szCs w:val="24"/>
              </w:rPr>
              <w:t xml:space="preserve"> pg/mL</w:t>
            </w:r>
          </w:p>
        </w:tc>
        <w:tc>
          <w:tcPr>
            <w:tcW w:w="2160" w:type="dxa"/>
          </w:tcPr>
          <w:p w14:paraId="2FB07391" w14:textId="77777777" w:rsidR="00790BBD" w:rsidRPr="00A55D3B" w:rsidRDefault="00790BBD" w:rsidP="004F07D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10-65</w:t>
            </w:r>
          </w:p>
        </w:tc>
      </w:tr>
      <w:tr w:rsidR="00790BBD" w:rsidRPr="00A55D3B" w14:paraId="0DB530EE" w14:textId="77777777" w:rsidTr="004F07D5">
        <w:tc>
          <w:tcPr>
            <w:cnfStyle w:val="001000000000" w:firstRow="0" w:lastRow="0" w:firstColumn="1" w:lastColumn="0" w:oddVBand="0" w:evenVBand="0" w:oddHBand="0" w:evenHBand="0" w:firstRowFirstColumn="0" w:firstRowLastColumn="0" w:lastRowFirstColumn="0" w:lastRowLastColumn="0"/>
            <w:tcW w:w="4709" w:type="dxa"/>
          </w:tcPr>
          <w:p w14:paraId="19D502C0"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Serum phosphate</w:t>
            </w:r>
          </w:p>
        </w:tc>
        <w:tc>
          <w:tcPr>
            <w:tcW w:w="1946" w:type="dxa"/>
          </w:tcPr>
          <w:p w14:paraId="1BD74D9A"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7.8</w:t>
            </w:r>
            <w:r>
              <w:rPr>
                <w:rFonts w:eastAsia="Times New Roman" w:cstheme="minorHAnsi"/>
                <w:sz w:val="24"/>
                <w:szCs w:val="24"/>
              </w:rPr>
              <w:t xml:space="preserve"> mg/dL</w:t>
            </w:r>
          </w:p>
        </w:tc>
        <w:tc>
          <w:tcPr>
            <w:tcW w:w="2160" w:type="dxa"/>
          </w:tcPr>
          <w:p w14:paraId="2DC8DC39" w14:textId="77777777" w:rsidR="00790BBD" w:rsidRPr="00A55D3B" w:rsidRDefault="00790BBD" w:rsidP="004F07D5">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2.5-4.5</w:t>
            </w:r>
          </w:p>
        </w:tc>
      </w:tr>
      <w:tr w:rsidR="00790BBD" w:rsidRPr="00A55D3B" w14:paraId="4F233F27" w14:textId="77777777" w:rsidTr="004F0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9" w:type="dxa"/>
          </w:tcPr>
          <w:p w14:paraId="7B22D31A" w14:textId="77777777" w:rsidR="00790BBD" w:rsidRPr="00A55D3B" w:rsidRDefault="00790BBD" w:rsidP="004F07D5">
            <w:pPr>
              <w:jc w:val="both"/>
              <w:textAlignment w:val="baseline"/>
              <w:rPr>
                <w:rFonts w:eastAsia="Times New Roman" w:cstheme="minorHAnsi"/>
                <w:sz w:val="24"/>
                <w:szCs w:val="24"/>
              </w:rPr>
            </w:pPr>
            <w:r>
              <w:rPr>
                <w:rFonts w:eastAsia="Times New Roman" w:cstheme="minorHAnsi"/>
                <w:sz w:val="24"/>
                <w:szCs w:val="24"/>
              </w:rPr>
              <w:t>Serum 25(OH) vitamin D level</w:t>
            </w:r>
          </w:p>
        </w:tc>
        <w:tc>
          <w:tcPr>
            <w:tcW w:w="1946" w:type="dxa"/>
          </w:tcPr>
          <w:p w14:paraId="020998F1"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33 ng/mL</w:t>
            </w:r>
          </w:p>
        </w:tc>
        <w:tc>
          <w:tcPr>
            <w:tcW w:w="2160" w:type="dxa"/>
          </w:tcPr>
          <w:p w14:paraId="453CF8D8" w14:textId="77777777" w:rsidR="00790BBD" w:rsidRPr="00A55D3B" w:rsidRDefault="00790BBD" w:rsidP="004F07D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Pr>
                <w:rFonts w:eastAsia="Times New Roman" w:cstheme="minorHAnsi"/>
                <w:sz w:val="24"/>
                <w:szCs w:val="24"/>
              </w:rPr>
              <w:t>20-45</w:t>
            </w:r>
          </w:p>
        </w:tc>
      </w:tr>
      <w:tr w:rsidR="00790BBD" w:rsidRPr="00A55D3B" w14:paraId="117C2EF2" w14:textId="77777777" w:rsidTr="004F07D5">
        <w:tc>
          <w:tcPr>
            <w:cnfStyle w:val="001000000000" w:firstRow="0" w:lastRow="0" w:firstColumn="1" w:lastColumn="0" w:oddVBand="0" w:evenVBand="0" w:oddHBand="0" w:evenHBand="0" w:firstRowFirstColumn="0" w:firstRowLastColumn="0" w:lastRowFirstColumn="0" w:lastRowLastColumn="0"/>
            <w:tcW w:w="4709" w:type="dxa"/>
          </w:tcPr>
          <w:p w14:paraId="163A8CFE" w14:textId="77777777" w:rsidR="00790BBD" w:rsidRDefault="00790BBD" w:rsidP="004F07D5">
            <w:pPr>
              <w:jc w:val="both"/>
              <w:textAlignment w:val="baseline"/>
              <w:rPr>
                <w:rFonts w:eastAsia="Times New Roman" w:cstheme="minorHAnsi"/>
                <w:sz w:val="24"/>
                <w:szCs w:val="24"/>
              </w:rPr>
            </w:pPr>
            <w:r>
              <w:rPr>
                <w:rFonts w:eastAsia="Times New Roman" w:cstheme="minorHAnsi"/>
                <w:sz w:val="24"/>
                <w:szCs w:val="24"/>
              </w:rPr>
              <w:t>Serum 1,25(OH) vitamin D3 level</w:t>
            </w:r>
          </w:p>
        </w:tc>
        <w:tc>
          <w:tcPr>
            <w:tcW w:w="1946" w:type="dxa"/>
          </w:tcPr>
          <w:p w14:paraId="5F3FAD3C" w14:textId="77777777" w:rsidR="00790BBD" w:rsidRPr="00A55D3B" w:rsidRDefault="00790BBD" w:rsidP="004F07D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11 pg/mL</w:t>
            </w:r>
          </w:p>
        </w:tc>
        <w:tc>
          <w:tcPr>
            <w:tcW w:w="2160" w:type="dxa"/>
          </w:tcPr>
          <w:p w14:paraId="28E5C325" w14:textId="77777777" w:rsidR="00790BBD" w:rsidRPr="00A55D3B" w:rsidRDefault="00790BBD" w:rsidP="004F07D5">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Pr>
                <w:rFonts w:eastAsia="Times New Roman" w:cstheme="minorHAnsi"/>
                <w:sz w:val="24"/>
                <w:szCs w:val="24"/>
              </w:rPr>
              <w:t>20-78</w:t>
            </w:r>
          </w:p>
        </w:tc>
      </w:tr>
      <w:tr w:rsidR="00790BBD" w:rsidRPr="00A55D3B" w14:paraId="342CBDF3" w14:textId="77777777" w:rsidTr="004F07D5">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4709" w:type="dxa"/>
          </w:tcPr>
          <w:p w14:paraId="6421BED9" w14:textId="77777777" w:rsidR="00790BBD" w:rsidRPr="00A55D3B" w:rsidRDefault="00790BBD" w:rsidP="004F07D5">
            <w:pPr>
              <w:jc w:val="both"/>
              <w:textAlignment w:val="baseline"/>
              <w:rPr>
                <w:rFonts w:eastAsia="Times New Roman" w:cstheme="minorHAnsi"/>
                <w:sz w:val="24"/>
                <w:szCs w:val="24"/>
              </w:rPr>
            </w:pPr>
            <w:r w:rsidRPr="00A55D3B">
              <w:rPr>
                <w:rFonts w:eastAsia="Times New Roman" w:cstheme="minorHAnsi"/>
                <w:sz w:val="24"/>
                <w:szCs w:val="24"/>
              </w:rPr>
              <w:t>Activating calcium-sensing receptor (CaSR)</w:t>
            </w:r>
          </w:p>
        </w:tc>
        <w:tc>
          <w:tcPr>
            <w:tcW w:w="1946" w:type="dxa"/>
          </w:tcPr>
          <w:p w14:paraId="7DA368DD" w14:textId="77777777" w:rsidR="00790BBD" w:rsidRPr="00A55D3B" w:rsidRDefault="00790BBD" w:rsidP="004F07D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Positive</w:t>
            </w:r>
          </w:p>
        </w:tc>
        <w:tc>
          <w:tcPr>
            <w:tcW w:w="2160" w:type="dxa"/>
          </w:tcPr>
          <w:p w14:paraId="00FAE4EB" w14:textId="77777777" w:rsidR="00790BBD" w:rsidRPr="00A55D3B" w:rsidRDefault="00790BBD" w:rsidP="004F07D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A55D3B">
              <w:rPr>
                <w:rFonts w:eastAsia="Times New Roman" w:cstheme="minorHAnsi"/>
                <w:sz w:val="24"/>
                <w:szCs w:val="24"/>
              </w:rPr>
              <w:t>-</w:t>
            </w:r>
          </w:p>
        </w:tc>
      </w:tr>
    </w:tbl>
    <w:p w14:paraId="337FDE0F" w14:textId="77777777" w:rsidR="00790BBD" w:rsidRPr="00B47F0F" w:rsidRDefault="00790BBD" w:rsidP="00790BBD">
      <w:pPr>
        <w:spacing w:after="0" w:line="240" w:lineRule="auto"/>
        <w:textAlignment w:val="baseline"/>
        <w:rPr>
          <w:rFonts w:eastAsia="Times New Roman" w:cstheme="minorHAnsi"/>
          <w:sz w:val="24"/>
          <w:szCs w:val="24"/>
        </w:rPr>
      </w:pPr>
      <w:r w:rsidRPr="00B47F0F">
        <w:rPr>
          <w:rFonts w:eastAsia="Times New Roman" w:cstheme="minorHAnsi"/>
          <w:b/>
          <w:bCs/>
          <w:sz w:val="24"/>
          <w:szCs w:val="24"/>
        </w:rPr>
        <w:t>Table</w:t>
      </w:r>
      <w:r>
        <w:rPr>
          <w:rFonts w:eastAsia="Times New Roman" w:cstheme="minorHAnsi"/>
          <w:b/>
          <w:bCs/>
          <w:sz w:val="24"/>
          <w:szCs w:val="24"/>
        </w:rPr>
        <w:t xml:space="preserve"> 2. Further investigation of hypocalcemia showed low PTH and positive CaSR antibodies. </w:t>
      </w:r>
      <w:r>
        <w:rPr>
          <w:rFonts w:eastAsia="Times New Roman" w:cstheme="minorHAnsi"/>
          <w:sz w:val="24"/>
          <w:szCs w:val="24"/>
        </w:rPr>
        <w:t>Pg/mL: picogram per milliliter</w:t>
      </w:r>
      <w:r>
        <w:t>, mg/dL: milligram per deciliter, ng/mL: nanogram per milliliter.</w:t>
      </w:r>
    </w:p>
    <w:p w14:paraId="4B76AF11" w14:textId="77777777" w:rsidR="00790BBD" w:rsidRPr="004C09AE" w:rsidRDefault="00790BBD" w:rsidP="00790BBD"/>
    <w:p w14:paraId="2326F78E" w14:textId="77777777" w:rsidR="00790BBD" w:rsidRDefault="00790BBD" w:rsidP="00790BBD">
      <w:pPr>
        <w:spacing w:after="0" w:line="240" w:lineRule="auto"/>
        <w:textAlignment w:val="baseline"/>
        <w:rPr>
          <w:rFonts w:eastAsia="Times New Roman" w:cstheme="minorHAnsi"/>
          <w:sz w:val="24"/>
          <w:szCs w:val="24"/>
        </w:rPr>
      </w:pPr>
    </w:p>
    <w:p w14:paraId="28F3D29C" w14:textId="77777777" w:rsidR="00790BBD" w:rsidRDefault="00790BBD" w:rsidP="00790BBD">
      <w:pPr>
        <w:spacing w:after="0" w:line="240" w:lineRule="auto"/>
        <w:textAlignment w:val="baseline"/>
        <w:rPr>
          <w:rFonts w:eastAsia="Times New Roman" w:cstheme="minorHAnsi"/>
          <w:sz w:val="24"/>
          <w:szCs w:val="24"/>
        </w:rPr>
      </w:pPr>
    </w:p>
    <w:p w14:paraId="2CE38436" w14:textId="77777777" w:rsidR="00790BBD" w:rsidRPr="00A55D3B" w:rsidRDefault="00790BBD" w:rsidP="00790BBD">
      <w:pPr>
        <w:spacing w:after="0" w:line="240" w:lineRule="auto"/>
        <w:jc w:val="center"/>
        <w:textAlignment w:val="baseline"/>
        <w:rPr>
          <w:rFonts w:eastAsia="Times New Roman" w:cstheme="minorHAnsi"/>
          <w:b/>
          <w:bCs/>
          <w:sz w:val="24"/>
          <w:szCs w:val="24"/>
        </w:rPr>
      </w:pPr>
      <w:r>
        <w:rPr>
          <w:rFonts w:cstheme="minorHAnsi"/>
          <w:noProof/>
          <w:sz w:val="24"/>
          <w:szCs w:val="24"/>
        </w:rPr>
        <mc:AlternateContent>
          <mc:Choice Requires="wps">
            <w:drawing>
              <wp:anchor distT="0" distB="0" distL="114300" distR="114300" simplePos="0" relativeHeight="251660288" behindDoc="0" locked="0" layoutInCell="1" allowOverlap="1" wp14:anchorId="4FC0D52C" wp14:editId="33BECAA8">
                <wp:simplePos x="0" y="0"/>
                <wp:positionH relativeFrom="column">
                  <wp:posOffset>4020065</wp:posOffset>
                </wp:positionH>
                <wp:positionV relativeFrom="paragraph">
                  <wp:posOffset>954199</wp:posOffset>
                </wp:positionV>
                <wp:extent cx="584886" cy="609600"/>
                <wp:effectExtent l="0" t="0" r="12065" b="12700"/>
                <wp:wrapNone/>
                <wp:docPr id="5" name="Frame 5"/>
                <wp:cNvGraphicFramePr/>
                <a:graphic xmlns:a="http://schemas.openxmlformats.org/drawingml/2006/main">
                  <a:graphicData uri="http://schemas.microsoft.com/office/word/2010/wordprocessingShape">
                    <wps:wsp>
                      <wps:cNvSpPr/>
                      <wps:spPr>
                        <a:xfrm>
                          <a:off x="0" y="0"/>
                          <a:ext cx="584886" cy="609600"/>
                        </a:xfrm>
                        <a:prstGeom prst="frame">
                          <a:avLst>
                            <a:gd name="adj1" fmla="val 3851"/>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F3A7" id="Frame 5" o:spid="_x0000_s1026" style="position:absolute;margin-left:316.55pt;margin-top:75.15pt;width:46.0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4886,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" path="m,l584886,r,609600l,609600,,xm22524,22524r,564552l562362,587076r,-564552l22524,22524xe" fillcolor="white [3212]" strokecolor="white [3212]" strokeweight="1pt">
                <v:stroke joinstyle="miter"/>
                <v:path arrowok="t" o:connecttype="custom" o:connectlocs="0,0;584886,0;584886,609600;0,609600;0,0;22524,22524;22524,587076;562362,587076;562362,22524;22524,22524" o:connectangles="0,0,0,0,0,0,0,0,0,0"/>
              </v:shape>
            </w:pict>
          </mc:Fallback>
        </mc:AlternateContent>
      </w:r>
      <w:r w:rsidRPr="00A55D3B">
        <w:rPr>
          <w:rFonts w:cstheme="minorHAnsi"/>
          <w:noProof/>
          <w:sz w:val="24"/>
          <w:szCs w:val="24"/>
        </w:rPr>
        <w:drawing>
          <wp:inline distT="0" distB="0" distL="0" distR="0" wp14:anchorId="3971686C" wp14:editId="4EBFC575">
            <wp:extent cx="5133802" cy="2519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17900" cy="2560955"/>
                    </a:xfrm>
                    <a:prstGeom prst="rect">
                      <a:avLst/>
                    </a:prstGeom>
                    <a:noFill/>
                    <a:ln>
                      <a:noFill/>
                    </a:ln>
                  </pic:spPr>
                </pic:pic>
              </a:graphicData>
            </a:graphic>
          </wp:inline>
        </w:drawing>
      </w:r>
    </w:p>
    <w:p w14:paraId="2F53E7C8" w14:textId="77777777" w:rsidR="00790BBD" w:rsidRPr="00A55D3B" w:rsidRDefault="00790BBD" w:rsidP="00790BBD">
      <w:pPr>
        <w:spacing w:after="0" w:line="240" w:lineRule="auto"/>
        <w:jc w:val="both"/>
        <w:textAlignment w:val="baseline"/>
        <w:rPr>
          <w:rFonts w:eastAsia="Times New Roman" w:cstheme="minorHAnsi"/>
          <w:sz w:val="24"/>
          <w:szCs w:val="24"/>
        </w:rPr>
      </w:pPr>
      <w:r w:rsidRPr="00A55D3B">
        <w:rPr>
          <w:rFonts w:eastAsia="Times New Roman" w:cstheme="minorHAnsi"/>
          <w:b/>
          <w:bCs/>
          <w:sz w:val="24"/>
          <w:szCs w:val="24"/>
        </w:rPr>
        <w:t xml:space="preserve">Figure 1. </w:t>
      </w:r>
      <w:r w:rsidRPr="00A55D3B">
        <w:rPr>
          <w:rFonts w:eastAsia="Times New Roman" w:cstheme="minorHAnsi"/>
          <w:sz w:val="24"/>
          <w:szCs w:val="24"/>
        </w:rPr>
        <w:t>C</w:t>
      </w:r>
      <w:r>
        <w:rPr>
          <w:rFonts w:eastAsia="Times New Roman" w:cstheme="minorHAnsi"/>
          <w:sz w:val="24"/>
          <w:szCs w:val="24"/>
        </w:rPr>
        <w:t xml:space="preserve">omputed tomographic </w:t>
      </w:r>
      <w:r w:rsidRPr="00A55D3B">
        <w:rPr>
          <w:rFonts w:eastAsia="Times New Roman" w:cstheme="minorHAnsi"/>
          <w:sz w:val="24"/>
          <w:szCs w:val="24"/>
        </w:rPr>
        <w:t xml:space="preserve">scan of the brain showing ependymal </w:t>
      </w:r>
      <w:r>
        <w:rPr>
          <w:noProof/>
        </w:rPr>
        <mc:AlternateContent>
          <mc:Choice Requires="wpi">
            <w:drawing>
              <wp:anchor distT="8639" distB="9359" distL="123299" distR="123299" simplePos="0" relativeHeight="251659264" behindDoc="0" locked="0" layoutInCell="1" allowOverlap="1" wp14:anchorId="2E070B9F" wp14:editId="5F559EBD">
                <wp:simplePos x="0" y="0"/>
                <wp:positionH relativeFrom="column">
                  <wp:posOffset>4518659</wp:posOffset>
                </wp:positionH>
                <wp:positionV relativeFrom="paragraph">
                  <wp:posOffset>132714</wp:posOffset>
                </wp:positionV>
                <wp:extent cx="0" cy="0"/>
                <wp:effectExtent l="38100" t="38100" r="25400" b="25400"/>
                <wp:wrapNone/>
                <wp:docPr id="2" name="Ink 2"/>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1D01310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355.8pt;margin-top:10.45pt;width:0;height:0;z-index:251659264;visibility:visible;mso-wrap-style:square;mso-width-percent:0;mso-height-percent:0;mso-wrap-distance-left:3.42497mm;mso-wrap-distance-top:.23997mm;mso-wrap-distance-right:3.42497mm;mso-wrap-distance-bottom:.25997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">
                <v:imagedata r:id="rId35" o:title=""/>
                <o:lock v:ext="edit" aspectratio="f"/>
              </v:shape>
            </w:pict>
          </mc:Fallback>
        </mc:AlternateContent>
      </w:r>
      <w:r w:rsidRPr="00A55D3B">
        <w:rPr>
          <w:rFonts w:eastAsia="Times New Roman" w:cstheme="minorHAnsi"/>
          <w:sz w:val="24"/>
          <w:szCs w:val="24"/>
        </w:rPr>
        <w:t>and</w:t>
      </w:r>
      <w:r>
        <w:rPr>
          <w:rFonts w:eastAsia="Times New Roman" w:cstheme="minorHAnsi"/>
          <w:sz w:val="24"/>
          <w:szCs w:val="24"/>
        </w:rPr>
        <w:t xml:space="preserve"> </w:t>
      </w:r>
      <w:r w:rsidRPr="00A55D3B">
        <w:rPr>
          <w:rFonts w:eastAsia="Times New Roman" w:cstheme="minorHAnsi"/>
          <w:sz w:val="24"/>
          <w:szCs w:val="24"/>
        </w:rPr>
        <w:t>bilateral basal ganglia calcifications</w:t>
      </w:r>
      <w:r>
        <w:rPr>
          <w:rFonts w:eastAsia="Times New Roman" w:cstheme="minorHAnsi"/>
          <w:sz w:val="24"/>
          <w:szCs w:val="24"/>
        </w:rPr>
        <w:t xml:space="preserve"> represented by a white square</w:t>
      </w:r>
      <w:r w:rsidRPr="00A55D3B">
        <w:rPr>
          <w:rFonts w:eastAsia="Times New Roman" w:cstheme="minorHAnsi"/>
          <w:sz w:val="24"/>
          <w:szCs w:val="24"/>
        </w:rPr>
        <w:t>. </w:t>
      </w:r>
    </w:p>
    <w:p w14:paraId="40EFA72B" w14:textId="77777777" w:rsidR="00790BBD" w:rsidRPr="00A55D3B" w:rsidRDefault="00790BBD" w:rsidP="00790BBD">
      <w:pPr>
        <w:spacing w:after="0" w:line="240" w:lineRule="auto"/>
        <w:jc w:val="both"/>
        <w:textAlignment w:val="baseline"/>
        <w:rPr>
          <w:rFonts w:eastAsia="Times New Roman" w:cstheme="minorHAnsi"/>
          <w:sz w:val="24"/>
          <w:szCs w:val="24"/>
        </w:rPr>
      </w:pPr>
    </w:p>
    <w:p w14:paraId="44ECE959" w14:textId="77777777" w:rsidR="00790BBD" w:rsidRDefault="00790BBD" w:rsidP="00790BBD"/>
    <w:p w14:paraId="6BAB0BB8" w14:textId="77777777" w:rsidR="00087B6D" w:rsidRDefault="00087B6D"/>
    <w:sectPr w:rsidR="00087B6D" w:rsidSect="00036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40D04"/>
    <w:multiLevelType w:val="hybridMultilevel"/>
    <w:tmpl w:val="DF86D2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8A7091"/>
    <w:multiLevelType w:val="hybridMultilevel"/>
    <w:tmpl w:val="CB340F80"/>
    <w:lvl w:ilvl="0" w:tplc="FA541B74">
      <w:start w:val="1"/>
      <w:numFmt w:val="decimal"/>
      <w:lvlText w:val="%1."/>
      <w:lvlJc w:val="left"/>
      <w:pPr>
        <w:ind w:left="10" w:hanging="640"/>
      </w:pPr>
      <w:rPr>
        <w:rFonts w:ascii="Times New Roman" w:hAnsi="Times New Roman" w:cs="Times New Roman"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 w15:restartNumberingAfterBreak="0">
    <w:nsid w:val="5A5F4AAA"/>
    <w:multiLevelType w:val="hybridMultilevel"/>
    <w:tmpl w:val="DF86D266"/>
    <w:lvl w:ilvl="0" w:tplc="6A747E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742CE6"/>
    <w:multiLevelType w:val="hybridMultilevel"/>
    <w:tmpl w:val="4878A064"/>
    <w:lvl w:ilvl="0" w:tplc="6A747E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4532362">
    <w:abstractNumId w:val="1"/>
  </w:num>
  <w:num w:numId="2" w16cid:durableId="1970352235">
    <w:abstractNumId w:val="2"/>
  </w:num>
  <w:num w:numId="3" w16cid:durableId="1549293336">
    <w:abstractNumId w:val="3"/>
  </w:num>
  <w:num w:numId="4" w16cid:durableId="1972053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BD"/>
    <w:rsid w:val="00004608"/>
    <w:rsid w:val="00087B6D"/>
    <w:rsid w:val="002379F2"/>
    <w:rsid w:val="00237C02"/>
    <w:rsid w:val="002E12AB"/>
    <w:rsid w:val="002F3537"/>
    <w:rsid w:val="003033AE"/>
    <w:rsid w:val="003E24E7"/>
    <w:rsid w:val="005200DF"/>
    <w:rsid w:val="005C219D"/>
    <w:rsid w:val="006328A6"/>
    <w:rsid w:val="00675EDE"/>
    <w:rsid w:val="006F65FD"/>
    <w:rsid w:val="00790BBD"/>
    <w:rsid w:val="007C5BC3"/>
    <w:rsid w:val="00801622"/>
    <w:rsid w:val="00897955"/>
    <w:rsid w:val="008C283D"/>
    <w:rsid w:val="00A048DD"/>
    <w:rsid w:val="00A23D7A"/>
    <w:rsid w:val="00AA1A04"/>
    <w:rsid w:val="00B457C5"/>
    <w:rsid w:val="00BF11DF"/>
    <w:rsid w:val="00CC5DFA"/>
    <w:rsid w:val="00D626A5"/>
    <w:rsid w:val="00DF4F1B"/>
    <w:rsid w:val="00EA1B37"/>
    <w:rsid w:val="00EC2E13"/>
    <w:rsid w:val="00EE7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960A1"/>
  <w15:chartTrackingRefBased/>
  <w15:docId w15:val="{0240EB66-A8BB-4D15-A441-D995645B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BBD"/>
  </w:style>
  <w:style w:type="paragraph" w:styleId="Heading1">
    <w:name w:val="heading 1"/>
    <w:basedOn w:val="Normal"/>
    <w:next w:val="Normal"/>
    <w:link w:val="Heading1Char"/>
    <w:uiPriority w:val="9"/>
    <w:qFormat/>
    <w:rsid w:val="00790B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BB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90BBD"/>
    <w:rPr>
      <w:color w:val="0563C1" w:themeColor="hyperlink"/>
      <w:u w:val="single"/>
    </w:rPr>
  </w:style>
  <w:style w:type="paragraph" w:styleId="ListParagraph">
    <w:name w:val="List Paragraph"/>
    <w:basedOn w:val="Normal"/>
    <w:uiPriority w:val="34"/>
    <w:qFormat/>
    <w:rsid w:val="00790BBD"/>
    <w:pPr>
      <w:ind w:left="720"/>
      <w:contextualSpacing/>
    </w:pPr>
  </w:style>
  <w:style w:type="table" w:customStyle="1" w:styleId="PlainTable11">
    <w:name w:val="Plain Table 11"/>
    <w:basedOn w:val="TableNormal"/>
    <w:uiPriority w:val="41"/>
    <w:rsid w:val="00790BB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790BB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90BBD"/>
    <w:pPr>
      <w:spacing w:after="0" w:line="240" w:lineRule="auto"/>
    </w:pPr>
  </w:style>
  <w:style w:type="character" w:styleId="UnresolvedMention">
    <w:name w:val="Unresolved Mention"/>
    <w:basedOn w:val="DefaultParagraphFont"/>
    <w:uiPriority w:val="99"/>
    <w:semiHidden/>
    <w:unhideWhenUsed/>
    <w:rsid w:val="00004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1004">
      <w:bodyDiv w:val="1"/>
      <w:marLeft w:val="0"/>
      <w:marRight w:val="0"/>
      <w:marTop w:val="0"/>
      <w:marBottom w:val="0"/>
      <w:divBdr>
        <w:top w:val="none" w:sz="0" w:space="0" w:color="auto"/>
        <w:left w:val="none" w:sz="0" w:space="0" w:color="auto"/>
        <w:bottom w:val="none" w:sz="0" w:space="0" w:color="auto"/>
        <w:right w:val="none" w:sz="0" w:space="0" w:color="auto"/>
      </w:divBdr>
    </w:div>
    <w:div w:id="295569025">
      <w:bodyDiv w:val="1"/>
      <w:marLeft w:val="0"/>
      <w:marRight w:val="0"/>
      <w:marTop w:val="0"/>
      <w:marBottom w:val="0"/>
      <w:divBdr>
        <w:top w:val="none" w:sz="0" w:space="0" w:color="auto"/>
        <w:left w:val="none" w:sz="0" w:space="0" w:color="auto"/>
        <w:bottom w:val="none" w:sz="0" w:space="0" w:color="auto"/>
        <w:right w:val="none" w:sz="0" w:space="0" w:color="auto"/>
      </w:divBdr>
    </w:div>
    <w:div w:id="382365806">
      <w:bodyDiv w:val="1"/>
      <w:marLeft w:val="0"/>
      <w:marRight w:val="0"/>
      <w:marTop w:val="0"/>
      <w:marBottom w:val="0"/>
      <w:divBdr>
        <w:top w:val="none" w:sz="0" w:space="0" w:color="auto"/>
        <w:left w:val="none" w:sz="0" w:space="0" w:color="auto"/>
        <w:bottom w:val="none" w:sz="0" w:space="0" w:color="auto"/>
        <w:right w:val="none" w:sz="0" w:space="0" w:color="auto"/>
      </w:divBdr>
    </w:div>
    <w:div w:id="402676347">
      <w:bodyDiv w:val="1"/>
      <w:marLeft w:val="0"/>
      <w:marRight w:val="0"/>
      <w:marTop w:val="0"/>
      <w:marBottom w:val="0"/>
      <w:divBdr>
        <w:top w:val="none" w:sz="0" w:space="0" w:color="auto"/>
        <w:left w:val="none" w:sz="0" w:space="0" w:color="auto"/>
        <w:bottom w:val="none" w:sz="0" w:space="0" w:color="auto"/>
        <w:right w:val="none" w:sz="0" w:space="0" w:color="auto"/>
      </w:divBdr>
    </w:div>
    <w:div w:id="597829299">
      <w:bodyDiv w:val="1"/>
      <w:marLeft w:val="0"/>
      <w:marRight w:val="0"/>
      <w:marTop w:val="0"/>
      <w:marBottom w:val="0"/>
      <w:divBdr>
        <w:top w:val="none" w:sz="0" w:space="0" w:color="auto"/>
        <w:left w:val="none" w:sz="0" w:space="0" w:color="auto"/>
        <w:bottom w:val="none" w:sz="0" w:space="0" w:color="auto"/>
        <w:right w:val="none" w:sz="0" w:space="0" w:color="auto"/>
      </w:divBdr>
    </w:div>
    <w:div w:id="610744104">
      <w:bodyDiv w:val="1"/>
      <w:marLeft w:val="0"/>
      <w:marRight w:val="0"/>
      <w:marTop w:val="0"/>
      <w:marBottom w:val="0"/>
      <w:divBdr>
        <w:top w:val="none" w:sz="0" w:space="0" w:color="auto"/>
        <w:left w:val="none" w:sz="0" w:space="0" w:color="auto"/>
        <w:bottom w:val="none" w:sz="0" w:space="0" w:color="auto"/>
        <w:right w:val="none" w:sz="0" w:space="0" w:color="auto"/>
      </w:divBdr>
    </w:div>
    <w:div w:id="831413187">
      <w:bodyDiv w:val="1"/>
      <w:marLeft w:val="0"/>
      <w:marRight w:val="0"/>
      <w:marTop w:val="0"/>
      <w:marBottom w:val="0"/>
      <w:divBdr>
        <w:top w:val="none" w:sz="0" w:space="0" w:color="auto"/>
        <w:left w:val="none" w:sz="0" w:space="0" w:color="auto"/>
        <w:bottom w:val="none" w:sz="0" w:space="0" w:color="auto"/>
        <w:right w:val="none" w:sz="0" w:space="0" w:color="auto"/>
      </w:divBdr>
    </w:div>
    <w:div w:id="1262497238">
      <w:bodyDiv w:val="1"/>
      <w:marLeft w:val="0"/>
      <w:marRight w:val="0"/>
      <w:marTop w:val="0"/>
      <w:marBottom w:val="0"/>
      <w:divBdr>
        <w:top w:val="none" w:sz="0" w:space="0" w:color="auto"/>
        <w:left w:val="none" w:sz="0" w:space="0" w:color="auto"/>
        <w:bottom w:val="none" w:sz="0" w:space="0" w:color="auto"/>
        <w:right w:val="none" w:sz="0" w:space="0" w:color="auto"/>
      </w:divBdr>
    </w:div>
    <w:div w:id="1282806245">
      <w:bodyDiv w:val="1"/>
      <w:marLeft w:val="0"/>
      <w:marRight w:val="0"/>
      <w:marTop w:val="0"/>
      <w:marBottom w:val="0"/>
      <w:divBdr>
        <w:top w:val="none" w:sz="0" w:space="0" w:color="auto"/>
        <w:left w:val="none" w:sz="0" w:space="0" w:color="auto"/>
        <w:bottom w:val="none" w:sz="0" w:space="0" w:color="auto"/>
        <w:right w:val="none" w:sz="0" w:space="0" w:color="auto"/>
      </w:divBdr>
    </w:div>
    <w:div w:id="20122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mara.tango@ui.ac.id" TargetMode="External"/><Relationship Id="rId18" Type="http://schemas.openxmlformats.org/officeDocument/2006/relationships/hyperlink" Target="http://orcid.org/0000-0002-9701-8930" TargetMode="External"/><Relationship Id="rId26" Type="http://schemas.openxmlformats.org/officeDocument/2006/relationships/hyperlink" Target="http://orcid.org/0000-0002-6842-8906" TargetMode="External"/><Relationship Id="rId21" Type="http://schemas.openxmlformats.org/officeDocument/2006/relationships/hyperlink" Target="mailto:mazharalam15505@gmail.com" TargetMode="External"/><Relationship Id="rId34" Type="http://schemas.openxmlformats.org/officeDocument/2006/relationships/customXml" Target="ink/ink1.xml"/><Relationship Id="rId7" Type="http://schemas.openxmlformats.org/officeDocument/2006/relationships/hyperlink" Target="mailto:ameena.shahi.khattak@gmail.com" TargetMode="External"/><Relationship Id="rId12" Type="http://schemas.openxmlformats.org/officeDocument/2006/relationships/hyperlink" Target="http://orcid.org/0000-0003-2548-4288" TargetMode="External"/><Relationship Id="rId17" Type="http://schemas.openxmlformats.org/officeDocument/2006/relationships/hyperlink" Target="mailto:Asrah_25@hotmail.com" TargetMode="External"/><Relationship Id="rId25" Type="http://schemas.openxmlformats.org/officeDocument/2006/relationships/hyperlink" Target="mailto:hoormalik966@gmail.com" TargetMode="External"/><Relationship Id="rId33"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orcid.org/0000-0002-9647-7887" TargetMode="External"/><Relationship Id="rId20" Type="http://schemas.openxmlformats.org/officeDocument/2006/relationships/hyperlink" Target="http://orcid.org/0000-0003-3853-5505" TargetMode="External"/><Relationship Id="rId29" Type="http://schemas.openxmlformats.org/officeDocument/2006/relationships/hyperlink" Target="https://doi.org/10.1002/jbmr.2004" TargetMode="External"/><Relationship Id="rId1" Type="http://schemas.openxmlformats.org/officeDocument/2006/relationships/numbering" Target="numbering.xml"/><Relationship Id="rId6" Type="http://schemas.openxmlformats.org/officeDocument/2006/relationships/hyperlink" Target="http://orcid.org/0000-0001-8660-9551" TargetMode="External"/><Relationship Id="rId11" Type="http://schemas.openxmlformats.org/officeDocument/2006/relationships/hyperlink" Target="mailto:dr_abdulbaqi56@yahoo.com" TargetMode="External"/><Relationship Id="rId24" Type="http://schemas.openxmlformats.org/officeDocument/2006/relationships/hyperlink" Target="http://orcid.org/0000-0002-8762-1824" TargetMode="External"/><Relationship Id="rId32" Type="http://schemas.openxmlformats.org/officeDocument/2006/relationships/hyperlink" Target="https://pubmed.ncbi.nlm.nih.gov/?term=Pesi%C4%87+M&amp;cauthor_id=21425623" TargetMode="External"/><Relationship Id="rId37" Type="http://schemas.openxmlformats.org/officeDocument/2006/relationships/theme" Target="theme/theme1.xml"/><Relationship Id="rId5" Type="http://schemas.openxmlformats.org/officeDocument/2006/relationships/hyperlink" Target="mailto:qaisarak62@gmail.com" TargetMode="External"/><Relationship Id="rId15" Type="http://schemas.openxmlformats.org/officeDocument/2006/relationships/hyperlink" Target="mailto:ravinaverma51@gmail.com" TargetMode="External"/><Relationship Id="rId23" Type="http://schemas.openxmlformats.org/officeDocument/2006/relationships/hyperlink" Target="mailto:drismailakhtarkhan666@gmail.com" TargetMode="External"/><Relationship Id="rId28" Type="http://schemas.openxmlformats.org/officeDocument/2006/relationships/hyperlink" Target="http://orcid.org/0000-0003-2548-4288" TargetMode="External"/><Relationship Id="rId36" Type="http://schemas.openxmlformats.org/officeDocument/2006/relationships/fontTable" Target="fontTable.xml"/><Relationship Id="rId10" Type="http://schemas.openxmlformats.org/officeDocument/2006/relationships/hyperlink" Target="http://orcid.org/0000-0002-1566-5377" TargetMode="External"/><Relationship Id="rId19" Type="http://schemas.openxmlformats.org/officeDocument/2006/relationships/hyperlink" Target="mailto:dr.priyasara@gmail.com" TargetMode="External"/><Relationship Id="rId31" Type="http://schemas.openxmlformats.org/officeDocument/2006/relationships/hyperlink" Target="https://etheses.whiterose.ac.uk/14411/1/thesis%20Final.pdf" TargetMode="External"/><Relationship Id="rId4" Type="http://schemas.openxmlformats.org/officeDocument/2006/relationships/webSettings" Target="webSettings.xml"/><Relationship Id="rId9" Type="http://schemas.openxmlformats.org/officeDocument/2006/relationships/hyperlink" Target="mailto:alishbashahi.321@gmail.com" TargetMode="External"/><Relationship Id="rId14" Type="http://schemas.openxmlformats.org/officeDocument/2006/relationships/hyperlink" Target="http://orcid.org/0000-0002-8340-4259" TargetMode="External"/><Relationship Id="rId22" Type="http://schemas.openxmlformats.org/officeDocument/2006/relationships/hyperlink" Target="http://orcid.org/0000-0002-9541-8105" TargetMode="External"/><Relationship Id="rId27" Type="http://schemas.openxmlformats.org/officeDocument/2006/relationships/hyperlink" Target="mailto:dr_abdulbaqi56@yahoo.com" TargetMode="External"/><Relationship Id="rId30" Type="http://schemas.openxmlformats.org/officeDocument/2006/relationships/hyperlink" Target="https://doi.org/10.1210/jc.2015-3907" TargetMode="External"/><Relationship Id="rId35" Type="http://schemas.openxmlformats.org/officeDocument/2006/relationships/image" Target="media/image2.png"/><Relationship Id="rId8" Type="http://schemas.openxmlformats.org/officeDocument/2006/relationships/hyperlink" Target="http://orcid.org/0000-0002-8527-6019" TargetMode="External"/><Relationship Id="rId3" Type="http://schemas.openxmlformats.org/officeDocument/2006/relationships/settings" Target="setting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9-14T15:12:51.315"/>
    </inkml:context>
    <inkml:brush xml:id="br0">
      <inkml:brushProperty name="width" value="0.05" units="cm"/>
      <inkml:brushProperty name="height" value="0.05" units="cm"/>
      <inkml:brushProperty name="color" value="#FFC114"/>
    </inkml:brush>
  </inkml:definitions>
  <inkml:trace contextRef="#ctx0" brushRef="#br0">0 1 24575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7</Pages>
  <Words>2785</Words>
  <Characters>15880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Qaisar Ali Khan</dc:creator>
  <cp:keywords/>
  <dc:description/>
  <cp:lastModifiedBy>Qaisar Ali Khan</cp:lastModifiedBy>
  <cp:revision>2</cp:revision>
  <dcterms:created xsi:type="dcterms:W3CDTF">2022-09-29T06:14:00Z</dcterms:created>
  <dcterms:modified xsi:type="dcterms:W3CDTF">2022-09-29T15:50:00Z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15a13a84-599f-47d3-8620-3f5fc27394fb</vt:lpwstr>
  </property>
</Properties>
</file>