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A64F68" w14:textId="4F377D37" w:rsidR="00E953E9" w:rsidRDefault="00922E10">
      <w:pPr>
        <w:rPr>
          <w:b/>
          <w:bCs/>
          <w:sz w:val="28"/>
          <w:szCs w:val="28"/>
        </w:rPr>
      </w:pPr>
      <w:r>
        <w:rPr>
          <w:b/>
          <w:bCs/>
          <w:sz w:val="28"/>
          <w:szCs w:val="28"/>
        </w:rPr>
        <w:t xml:space="preserve">Clinical </w:t>
      </w:r>
      <w:r w:rsidR="00E953E9">
        <w:rPr>
          <w:b/>
          <w:bCs/>
          <w:sz w:val="28"/>
          <w:szCs w:val="28"/>
        </w:rPr>
        <w:t xml:space="preserve">Manifestations </w:t>
      </w:r>
      <w:r>
        <w:rPr>
          <w:b/>
          <w:bCs/>
          <w:sz w:val="28"/>
          <w:szCs w:val="28"/>
        </w:rPr>
        <w:t xml:space="preserve">of </w:t>
      </w:r>
      <w:r w:rsidR="00B93477" w:rsidRPr="00B93477">
        <w:rPr>
          <w:b/>
          <w:bCs/>
          <w:sz w:val="28"/>
          <w:szCs w:val="28"/>
        </w:rPr>
        <w:t>Apert syndrome</w:t>
      </w:r>
    </w:p>
    <w:p w14:paraId="1ECB8BE9" w14:textId="4DF7FFED" w:rsidR="00FE4C36" w:rsidRPr="00FE4C36" w:rsidRDefault="00FE4C36">
      <w:pPr>
        <w:rPr>
          <w:rFonts w:cstheme="minorHAnsi"/>
          <w:b/>
          <w:bCs/>
          <w:sz w:val="24"/>
          <w:szCs w:val="24"/>
        </w:rPr>
      </w:pPr>
      <w:r w:rsidRPr="00FE4C36">
        <w:rPr>
          <w:rFonts w:cstheme="minorHAnsi"/>
          <w:sz w:val="24"/>
          <w:szCs w:val="24"/>
        </w:rPr>
        <w:t xml:space="preserve">Qaisar Ali Khan </w:t>
      </w:r>
      <w:r w:rsidRPr="00FE4C36">
        <w:rPr>
          <w:rFonts w:cstheme="minorHAnsi"/>
          <w:sz w:val="24"/>
          <w:szCs w:val="24"/>
          <w:vertAlign w:val="superscript"/>
        </w:rPr>
        <w:t>1</w:t>
      </w:r>
      <w:r w:rsidRPr="00FE4C36">
        <w:rPr>
          <w:rFonts w:cstheme="minorHAnsi"/>
          <w:sz w:val="24"/>
          <w:szCs w:val="24"/>
        </w:rPr>
        <w:t>,</w:t>
      </w:r>
      <w:r w:rsidRPr="00FE4C36">
        <w:rPr>
          <w:rFonts w:cstheme="minorHAnsi"/>
          <w:b/>
          <w:bCs/>
          <w:sz w:val="24"/>
          <w:szCs w:val="24"/>
        </w:rPr>
        <w:t xml:space="preserve"> </w:t>
      </w:r>
      <w:r w:rsidRPr="00FE4C36">
        <w:rPr>
          <w:rFonts w:cstheme="minorHAnsi"/>
          <w:color w:val="000000"/>
          <w:sz w:val="24"/>
          <w:szCs w:val="24"/>
        </w:rPr>
        <w:t xml:space="preserve">Christopher Farkouh </w:t>
      </w:r>
      <w:r w:rsidRPr="00FE4C36">
        <w:rPr>
          <w:rFonts w:cstheme="minorHAnsi"/>
          <w:color w:val="000000"/>
          <w:sz w:val="24"/>
          <w:szCs w:val="24"/>
          <w:vertAlign w:val="superscript"/>
        </w:rPr>
        <w:t>2</w:t>
      </w:r>
      <w:r w:rsidRPr="00FE4C36">
        <w:rPr>
          <w:rFonts w:cstheme="minorHAnsi"/>
          <w:color w:val="000000"/>
          <w:sz w:val="24"/>
          <w:szCs w:val="24"/>
        </w:rPr>
        <w:t xml:space="preserve">, Uzair Wazir </w:t>
      </w:r>
      <w:r w:rsidRPr="00FE4C36">
        <w:rPr>
          <w:rFonts w:cstheme="minorHAnsi"/>
          <w:color w:val="000000"/>
          <w:sz w:val="24"/>
          <w:szCs w:val="24"/>
          <w:vertAlign w:val="superscript"/>
        </w:rPr>
        <w:t>3</w:t>
      </w:r>
      <w:r w:rsidRPr="00FE4C36">
        <w:rPr>
          <w:rFonts w:cstheme="minorHAnsi"/>
          <w:color w:val="000000"/>
          <w:sz w:val="24"/>
          <w:szCs w:val="24"/>
        </w:rPr>
        <w:t>, Bikona Ghosh</w:t>
      </w:r>
      <w:r w:rsidRPr="00FE4C36">
        <w:rPr>
          <w:rFonts w:cstheme="minorHAnsi"/>
          <w:color w:val="000000"/>
          <w:sz w:val="24"/>
          <w:szCs w:val="24"/>
          <w:vertAlign w:val="superscript"/>
        </w:rPr>
        <w:t xml:space="preserve"> 4</w:t>
      </w:r>
    </w:p>
    <w:p w14:paraId="4703AE8A" w14:textId="77C3AC06" w:rsidR="00087B6D" w:rsidRPr="00FE4C36" w:rsidRDefault="00FE4C36">
      <w:pPr>
        <w:rPr>
          <w:rFonts w:cstheme="minorHAnsi"/>
          <w:b/>
          <w:bCs/>
          <w:sz w:val="24"/>
          <w:szCs w:val="24"/>
        </w:rPr>
      </w:pPr>
      <w:r w:rsidRPr="00FE4C36">
        <w:rPr>
          <w:rFonts w:cstheme="minorHAnsi"/>
          <w:b/>
          <w:bCs/>
          <w:sz w:val="24"/>
          <w:szCs w:val="24"/>
        </w:rPr>
        <w:t>Affiliation(s):</w:t>
      </w:r>
      <w:r w:rsidR="00B93477" w:rsidRPr="00FE4C36">
        <w:rPr>
          <w:rFonts w:cstheme="minorHAnsi"/>
          <w:b/>
          <w:bCs/>
          <w:sz w:val="24"/>
          <w:szCs w:val="24"/>
        </w:rPr>
        <w:t xml:space="preserve"> </w:t>
      </w:r>
    </w:p>
    <w:p w14:paraId="28AB5B1E" w14:textId="4FF34A0E" w:rsidR="00FE4C36" w:rsidRPr="00FE4C36" w:rsidRDefault="00FE4C36" w:rsidP="00FE4C36">
      <w:pPr>
        <w:pStyle w:val="ListParagraph"/>
        <w:numPr>
          <w:ilvl w:val="0"/>
          <w:numId w:val="5"/>
        </w:numPr>
        <w:rPr>
          <w:rFonts w:cstheme="minorHAnsi"/>
          <w:sz w:val="24"/>
          <w:szCs w:val="24"/>
        </w:rPr>
      </w:pPr>
      <w:r w:rsidRPr="00FE4C36">
        <w:rPr>
          <w:rFonts w:cstheme="minorHAnsi"/>
          <w:sz w:val="24"/>
          <w:szCs w:val="24"/>
        </w:rPr>
        <w:t>DHQ &amp; Teaching Hospital KDA Kohat, Khyber Pakhtunkhwa, Pakistan</w:t>
      </w:r>
    </w:p>
    <w:p w14:paraId="18A89819" w14:textId="09806222" w:rsidR="00FE4C36" w:rsidRPr="00FE4C36" w:rsidRDefault="00FE4C36" w:rsidP="00FE4C36">
      <w:pPr>
        <w:pStyle w:val="ListParagraph"/>
        <w:numPr>
          <w:ilvl w:val="0"/>
          <w:numId w:val="5"/>
        </w:numPr>
        <w:rPr>
          <w:rFonts w:cstheme="minorHAnsi"/>
          <w:sz w:val="24"/>
          <w:szCs w:val="24"/>
        </w:rPr>
      </w:pPr>
      <w:r w:rsidRPr="00FE4C36">
        <w:rPr>
          <w:rFonts w:cstheme="minorHAnsi"/>
          <w:color w:val="000000"/>
          <w:sz w:val="24"/>
          <w:szCs w:val="24"/>
          <w:vertAlign w:val="superscript"/>
        </w:rPr>
        <w:t> </w:t>
      </w:r>
      <w:r w:rsidRPr="00FE4C36">
        <w:rPr>
          <w:rFonts w:cstheme="minorHAnsi"/>
          <w:color w:val="000000"/>
          <w:sz w:val="24"/>
          <w:szCs w:val="24"/>
        </w:rPr>
        <w:t>Rush Medical College, Chicago, IL USA</w:t>
      </w:r>
    </w:p>
    <w:p w14:paraId="1D416814" w14:textId="0E84548E" w:rsidR="00FE4C36" w:rsidRPr="00FE4C36" w:rsidRDefault="00FE4C36" w:rsidP="00FE4C36">
      <w:pPr>
        <w:pStyle w:val="ListParagraph"/>
        <w:numPr>
          <w:ilvl w:val="0"/>
          <w:numId w:val="5"/>
        </w:numPr>
        <w:rPr>
          <w:rFonts w:cstheme="minorHAnsi"/>
          <w:sz w:val="24"/>
          <w:szCs w:val="24"/>
        </w:rPr>
      </w:pPr>
      <w:r w:rsidRPr="00FE4C36">
        <w:rPr>
          <w:rFonts w:cstheme="minorHAnsi"/>
          <w:color w:val="000000"/>
          <w:sz w:val="24"/>
          <w:szCs w:val="24"/>
        </w:rPr>
        <w:t>KMU Institute of Medical Sciences Kohat,</w:t>
      </w:r>
      <w:r w:rsidRPr="00FE4C36">
        <w:rPr>
          <w:rFonts w:cstheme="minorHAnsi"/>
          <w:sz w:val="24"/>
          <w:szCs w:val="24"/>
        </w:rPr>
        <w:t xml:space="preserve"> Khyber Pakhtunkhwa, Pakistan</w:t>
      </w:r>
    </w:p>
    <w:p w14:paraId="05AC7BB2" w14:textId="0A406730" w:rsidR="00FE4C36" w:rsidRPr="00754CE4" w:rsidRDefault="00FE4C36" w:rsidP="00FE4C36">
      <w:pPr>
        <w:pStyle w:val="ListParagraph"/>
        <w:numPr>
          <w:ilvl w:val="0"/>
          <w:numId w:val="5"/>
        </w:numPr>
        <w:rPr>
          <w:rFonts w:cstheme="minorHAnsi"/>
          <w:sz w:val="24"/>
          <w:szCs w:val="24"/>
        </w:rPr>
      </w:pPr>
      <w:r w:rsidRPr="00FE4C36">
        <w:rPr>
          <w:rFonts w:cstheme="minorHAnsi"/>
          <w:color w:val="000000"/>
          <w:sz w:val="24"/>
          <w:szCs w:val="24"/>
        </w:rPr>
        <w:t>Dhaka Medical College and Hospital, Dhaka, Bangladesh.</w:t>
      </w:r>
    </w:p>
    <w:p w14:paraId="63C36172" w14:textId="479AA6EA" w:rsidR="00754CE4" w:rsidRPr="00754CE4" w:rsidRDefault="00754CE4" w:rsidP="00754CE4">
      <w:pPr>
        <w:rPr>
          <w:rFonts w:cstheme="minorHAnsi"/>
          <w:b/>
          <w:bCs/>
          <w:sz w:val="24"/>
          <w:szCs w:val="24"/>
        </w:rPr>
      </w:pPr>
      <w:r w:rsidRPr="00754CE4">
        <w:rPr>
          <w:rFonts w:cstheme="minorHAnsi"/>
          <w:b/>
          <w:bCs/>
          <w:sz w:val="24"/>
          <w:szCs w:val="24"/>
        </w:rPr>
        <w:t>Email(s):</w:t>
      </w:r>
    </w:p>
    <w:p w14:paraId="13023866" w14:textId="47168708" w:rsidR="00754CE4" w:rsidRDefault="00000000" w:rsidP="00754CE4">
      <w:pPr>
        <w:pStyle w:val="ListParagraph"/>
        <w:numPr>
          <w:ilvl w:val="0"/>
          <w:numId w:val="6"/>
        </w:numPr>
        <w:rPr>
          <w:rFonts w:cstheme="minorHAnsi"/>
          <w:sz w:val="24"/>
          <w:szCs w:val="24"/>
        </w:rPr>
      </w:pPr>
      <w:hyperlink r:id="rId7" w:history="1">
        <w:r w:rsidR="00754CE4" w:rsidRPr="00882C94">
          <w:rPr>
            <w:rStyle w:val="Hyperlink"/>
            <w:rFonts w:cstheme="minorHAnsi"/>
            <w:sz w:val="24"/>
            <w:szCs w:val="24"/>
          </w:rPr>
          <w:t>Qaisarak62@gmail.com</w:t>
        </w:r>
      </w:hyperlink>
    </w:p>
    <w:p w14:paraId="75FA472A" w14:textId="0D21F57E" w:rsidR="00754CE4" w:rsidRDefault="00000000" w:rsidP="00754CE4">
      <w:pPr>
        <w:pStyle w:val="ListParagraph"/>
        <w:numPr>
          <w:ilvl w:val="0"/>
          <w:numId w:val="6"/>
        </w:numPr>
        <w:rPr>
          <w:rFonts w:cstheme="minorHAnsi"/>
          <w:sz w:val="24"/>
          <w:szCs w:val="24"/>
        </w:rPr>
      </w:pPr>
      <w:hyperlink r:id="rId8" w:history="1">
        <w:r w:rsidR="00754CE4" w:rsidRPr="00882C94">
          <w:rPr>
            <w:rStyle w:val="Hyperlink"/>
            <w:rFonts w:cstheme="minorHAnsi"/>
            <w:sz w:val="24"/>
            <w:szCs w:val="24"/>
          </w:rPr>
          <w:t>Christopher_s_farkouh@rush.edu</w:t>
        </w:r>
      </w:hyperlink>
    </w:p>
    <w:p w14:paraId="61B2DF98" w14:textId="08AF2D63" w:rsidR="00754CE4" w:rsidRDefault="00000000" w:rsidP="00754CE4">
      <w:pPr>
        <w:pStyle w:val="ListParagraph"/>
        <w:numPr>
          <w:ilvl w:val="0"/>
          <w:numId w:val="6"/>
        </w:numPr>
        <w:rPr>
          <w:rFonts w:cstheme="minorHAnsi"/>
          <w:sz w:val="24"/>
          <w:szCs w:val="24"/>
        </w:rPr>
      </w:pPr>
      <w:hyperlink r:id="rId9" w:history="1">
        <w:r w:rsidR="00754CE4" w:rsidRPr="00882C94">
          <w:rPr>
            <w:rStyle w:val="Hyperlink"/>
            <w:rFonts w:cstheme="minorHAnsi"/>
            <w:sz w:val="24"/>
            <w:szCs w:val="24"/>
          </w:rPr>
          <w:t>Waziruzair1@gmail.com</w:t>
        </w:r>
      </w:hyperlink>
    </w:p>
    <w:p w14:paraId="1D24E4BB" w14:textId="1361D65B" w:rsidR="00754CE4" w:rsidRDefault="00000000" w:rsidP="00754CE4">
      <w:pPr>
        <w:pStyle w:val="ListParagraph"/>
        <w:numPr>
          <w:ilvl w:val="0"/>
          <w:numId w:val="6"/>
        </w:numPr>
        <w:rPr>
          <w:rFonts w:cstheme="minorHAnsi"/>
          <w:sz w:val="24"/>
          <w:szCs w:val="24"/>
        </w:rPr>
      </w:pPr>
      <w:hyperlink r:id="rId10" w:history="1">
        <w:r w:rsidR="00754CE4" w:rsidRPr="00882C94">
          <w:rPr>
            <w:rStyle w:val="Hyperlink"/>
            <w:rFonts w:cstheme="minorHAnsi"/>
            <w:sz w:val="24"/>
            <w:szCs w:val="24"/>
          </w:rPr>
          <w:t>Bikonaghosh.01@gmail.com</w:t>
        </w:r>
      </w:hyperlink>
    </w:p>
    <w:p w14:paraId="5E525F07" w14:textId="5CA98525" w:rsidR="003C7247" w:rsidRPr="003C7247" w:rsidRDefault="00754CE4" w:rsidP="00754CE4">
      <w:pPr>
        <w:rPr>
          <w:rFonts w:cstheme="minorHAnsi"/>
          <w:b/>
          <w:bCs/>
          <w:sz w:val="24"/>
          <w:szCs w:val="24"/>
        </w:rPr>
      </w:pPr>
      <w:r w:rsidRPr="00754CE4">
        <w:rPr>
          <w:rFonts w:cstheme="minorHAnsi"/>
          <w:b/>
          <w:bCs/>
          <w:sz w:val="24"/>
          <w:szCs w:val="24"/>
        </w:rPr>
        <w:t>Corresponding Author:</w:t>
      </w:r>
      <w:r w:rsidR="003C7247">
        <w:rPr>
          <w:rFonts w:cstheme="minorHAnsi"/>
          <w:b/>
          <w:bCs/>
          <w:sz w:val="24"/>
          <w:szCs w:val="24"/>
        </w:rPr>
        <w:t xml:space="preserve">                                                                                                                           </w:t>
      </w:r>
      <w:r>
        <w:rPr>
          <w:rFonts w:cstheme="minorHAnsi"/>
          <w:b/>
          <w:bCs/>
          <w:sz w:val="24"/>
          <w:szCs w:val="24"/>
        </w:rPr>
        <w:t xml:space="preserve"> </w:t>
      </w:r>
      <w:r w:rsidRPr="003C7247">
        <w:rPr>
          <w:rFonts w:cstheme="minorHAnsi"/>
          <w:sz w:val="24"/>
          <w:szCs w:val="24"/>
        </w:rPr>
        <w:t>Bikona Ghosh</w:t>
      </w:r>
      <w:r w:rsidR="003C7247">
        <w:rPr>
          <w:rFonts w:cstheme="minorHAnsi"/>
          <w:b/>
          <w:bCs/>
          <w:sz w:val="24"/>
          <w:szCs w:val="24"/>
        </w:rPr>
        <w:t xml:space="preserve">                                                                                                                                               </w:t>
      </w:r>
      <w:r w:rsidRPr="00FE4C36">
        <w:rPr>
          <w:rFonts w:cstheme="minorHAnsi"/>
          <w:color w:val="000000"/>
          <w:sz w:val="24"/>
          <w:szCs w:val="24"/>
        </w:rPr>
        <w:t>Dhaka Medical College and Hospital, Dhaka, Bangladesh</w:t>
      </w:r>
      <w:r w:rsidR="003C7247">
        <w:rPr>
          <w:rFonts w:cstheme="minorHAnsi"/>
          <w:color w:val="000000"/>
          <w:sz w:val="24"/>
          <w:szCs w:val="24"/>
        </w:rPr>
        <w:t xml:space="preserve">                             </w:t>
      </w:r>
      <w:hyperlink r:id="rId11" w:history="1">
        <w:r w:rsidR="003C7247" w:rsidRPr="00882C94">
          <w:rPr>
            <w:rStyle w:val="Hyperlink"/>
            <w:rFonts w:cstheme="minorHAnsi"/>
            <w:sz w:val="24"/>
            <w:szCs w:val="24"/>
          </w:rPr>
          <w:t>Bikonaghosh.01@gmail.com</w:t>
        </w:r>
      </w:hyperlink>
      <w:r w:rsidR="003C7247">
        <w:rPr>
          <w:rFonts w:cstheme="minorHAnsi"/>
          <w:color w:val="000000"/>
          <w:sz w:val="24"/>
          <w:szCs w:val="24"/>
        </w:rPr>
        <w:t xml:space="preserve">                                                                                                       ORCID:0000-0003-0703-9656</w:t>
      </w:r>
    </w:p>
    <w:p w14:paraId="0FAD3B58" w14:textId="77777777" w:rsidR="003C7247" w:rsidRPr="00754CE4" w:rsidRDefault="003C7247" w:rsidP="00754CE4">
      <w:pPr>
        <w:rPr>
          <w:rFonts w:cstheme="minorHAnsi"/>
          <w:b/>
          <w:bCs/>
          <w:sz w:val="24"/>
          <w:szCs w:val="24"/>
        </w:rPr>
      </w:pPr>
    </w:p>
    <w:p w14:paraId="3CEEBDAE" w14:textId="77777777" w:rsidR="00B93477" w:rsidRDefault="00B93477">
      <w:pPr>
        <w:rPr>
          <w:sz w:val="24"/>
          <w:szCs w:val="24"/>
        </w:rPr>
      </w:pPr>
      <w:r w:rsidRPr="00B93477">
        <w:rPr>
          <w:b/>
          <w:bCs/>
          <w:sz w:val="24"/>
          <w:szCs w:val="24"/>
        </w:rPr>
        <w:t>Abstract:</w:t>
      </w:r>
    </w:p>
    <w:p w14:paraId="2DEF8F28" w14:textId="6FF1F557" w:rsidR="00B93477" w:rsidRDefault="00A62A9B">
      <w:pPr>
        <w:rPr>
          <w:sz w:val="24"/>
          <w:szCs w:val="24"/>
        </w:rPr>
      </w:pPr>
      <w:r>
        <w:rPr>
          <w:sz w:val="24"/>
          <w:szCs w:val="24"/>
        </w:rPr>
        <w:t>Apert syndrome</w:t>
      </w:r>
      <w:r w:rsidR="00B93477">
        <w:rPr>
          <w:sz w:val="24"/>
          <w:szCs w:val="24"/>
        </w:rPr>
        <w:t xml:space="preserve"> presents similarly to the one we presented in this image and a genetic study is used for confirmation. Through this image, we pretend to show the typical findings of physical examination</w:t>
      </w:r>
      <w:r w:rsidR="009D3DF7">
        <w:rPr>
          <w:sz w:val="24"/>
          <w:szCs w:val="24"/>
        </w:rPr>
        <w:t>,</w:t>
      </w:r>
      <w:r w:rsidR="00B93477">
        <w:rPr>
          <w:sz w:val="24"/>
          <w:szCs w:val="24"/>
        </w:rPr>
        <w:t xml:space="preserve"> so that if </w:t>
      </w:r>
      <w:r w:rsidR="009D3DF7">
        <w:rPr>
          <w:sz w:val="24"/>
          <w:szCs w:val="24"/>
        </w:rPr>
        <w:t>this appears in the outpatient department the diagnosis of Apert syndrome should be assumed.</w:t>
      </w:r>
    </w:p>
    <w:p w14:paraId="5A53CE4B" w14:textId="04223F3C" w:rsidR="00B93477" w:rsidRDefault="0024580E">
      <w:pPr>
        <w:rPr>
          <w:sz w:val="24"/>
          <w:szCs w:val="24"/>
        </w:rPr>
      </w:pPr>
      <w:r w:rsidRPr="009D3DF7">
        <w:rPr>
          <w:b/>
          <w:bCs/>
          <w:sz w:val="24"/>
          <w:szCs w:val="24"/>
        </w:rPr>
        <w:t>Keywords:</w:t>
      </w:r>
      <w:r>
        <w:rPr>
          <w:sz w:val="24"/>
          <w:szCs w:val="24"/>
        </w:rPr>
        <w:t xml:space="preserve"> Apert</w:t>
      </w:r>
      <w:r w:rsidR="009D3DF7">
        <w:rPr>
          <w:sz w:val="24"/>
          <w:szCs w:val="24"/>
        </w:rPr>
        <w:t xml:space="preserve"> syndrome, syndactyly, craniosynostosis,</w:t>
      </w:r>
      <w:r w:rsidR="00AB7C52">
        <w:rPr>
          <w:sz w:val="24"/>
          <w:szCs w:val="24"/>
        </w:rPr>
        <w:t xml:space="preserve"> synonychia. </w:t>
      </w:r>
    </w:p>
    <w:p w14:paraId="5C1DE823" w14:textId="427C4FF0" w:rsidR="00AB7C52" w:rsidRDefault="0024580E">
      <w:pPr>
        <w:rPr>
          <w:sz w:val="24"/>
          <w:szCs w:val="24"/>
        </w:rPr>
      </w:pPr>
      <w:r w:rsidRPr="00AB7C52">
        <w:rPr>
          <w:b/>
          <w:bCs/>
          <w:sz w:val="24"/>
          <w:szCs w:val="24"/>
        </w:rPr>
        <w:t>Abbreviation</w:t>
      </w:r>
      <w:r w:rsidR="00AB7C52">
        <w:rPr>
          <w:sz w:val="24"/>
          <w:szCs w:val="24"/>
        </w:rPr>
        <w:t>; Fibroblast growth factor</w:t>
      </w:r>
    </w:p>
    <w:p w14:paraId="025F7F34" w14:textId="6F7793D9" w:rsidR="00922E10" w:rsidRDefault="00922E10">
      <w:pPr>
        <w:rPr>
          <w:sz w:val="24"/>
          <w:szCs w:val="24"/>
        </w:rPr>
      </w:pPr>
      <w:r w:rsidRPr="00922E10">
        <w:rPr>
          <w:b/>
          <w:bCs/>
          <w:sz w:val="24"/>
          <w:szCs w:val="24"/>
        </w:rPr>
        <w:t xml:space="preserve">Case </w:t>
      </w:r>
      <w:r w:rsidR="0024580E" w:rsidRPr="00922E10">
        <w:rPr>
          <w:b/>
          <w:bCs/>
          <w:sz w:val="24"/>
          <w:szCs w:val="24"/>
        </w:rPr>
        <w:t>presentation:</w:t>
      </w:r>
      <w:r w:rsidR="0024580E">
        <w:rPr>
          <w:sz w:val="24"/>
          <w:szCs w:val="24"/>
        </w:rPr>
        <w:t xml:space="preserve"> An</w:t>
      </w:r>
      <w:r>
        <w:rPr>
          <w:sz w:val="24"/>
          <w:szCs w:val="24"/>
        </w:rPr>
        <w:t xml:space="preserve"> eleven-year-old female patient presented to the outpatient department for </w:t>
      </w:r>
      <w:r w:rsidR="0024580E">
        <w:rPr>
          <w:sz w:val="24"/>
          <w:szCs w:val="24"/>
        </w:rPr>
        <w:t>deformities in her hands, feet, and face</w:t>
      </w:r>
      <w:r>
        <w:rPr>
          <w:sz w:val="24"/>
          <w:szCs w:val="24"/>
        </w:rPr>
        <w:t xml:space="preserve">. On </w:t>
      </w:r>
      <w:r w:rsidR="0024580E">
        <w:rPr>
          <w:sz w:val="24"/>
          <w:szCs w:val="24"/>
        </w:rPr>
        <w:t>examination, she</w:t>
      </w:r>
      <w:r w:rsidR="00301851">
        <w:rPr>
          <w:sz w:val="24"/>
          <w:szCs w:val="24"/>
        </w:rPr>
        <w:t xml:space="preserve"> had congenital abnormalities including </w:t>
      </w:r>
      <w:r w:rsidR="00921C3A">
        <w:rPr>
          <w:sz w:val="24"/>
          <w:szCs w:val="24"/>
        </w:rPr>
        <w:t xml:space="preserve">complete </w:t>
      </w:r>
      <w:r>
        <w:rPr>
          <w:sz w:val="24"/>
          <w:szCs w:val="24"/>
        </w:rPr>
        <w:t>fusion of</w:t>
      </w:r>
      <w:r w:rsidR="00921C3A">
        <w:rPr>
          <w:sz w:val="24"/>
          <w:szCs w:val="24"/>
        </w:rPr>
        <w:t xml:space="preserve"> the second,</w:t>
      </w:r>
      <w:r w:rsidR="0024580E">
        <w:rPr>
          <w:sz w:val="24"/>
          <w:szCs w:val="24"/>
        </w:rPr>
        <w:t xml:space="preserve"> </w:t>
      </w:r>
      <w:r w:rsidR="00921C3A">
        <w:rPr>
          <w:sz w:val="24"/>
          <w:szCs w:val="24"/>
        </w:rPr>
        <w:t xml:space="preserve">third, </w:t>
      </w:r>
      <w:r w:rsidR="0024580E">
        <w:rPr>
          <w:sz w:val="24"/>
          <w:szCs w:val="24"/>
        </w:rPr>
        <w:t>and fourth</w:t>
      </w:r>
      <w:r w:rsidR="00921C3A">
        <w:rPr>
          <w:sz w:val="24"/>
          <w:szCs w:val="24"/>
        </w:rPr>
        <w:t xml:space="preserve"> digits of both the upper and lower </w:t>
      </w:r>
      <w:r w:rsidR="001515BE">
        <w:rPr>
          <w:sz w:val="24"/>
          <w:szCs w:val="24"/>
        </w:rPr>
        <w:t>limbs, the</w:t>
      </w:r>
      <w:r w:rsidR="003D718A">
        <w:rPr>
          <w:sz w:val="24"/>
          <w:szCs w:val="24"/>
        </w:rPr>
        <w:t xml:space="preserve"> forehead was high and prominent, the eyes were down slanting, the nasal bridge was depressed, </w:t>
      </w:r>
      <w:r w:rsidR="001515BE">
        <w:rPr>
          <w:sz w:val="24"/>
          <w:szCs w:val="24"/>
        </w:rPr>
        <w:t xml:space="preserve">the </w:t>
      </w:r>
      <w:r w:rsidR="003D718A">
        <w:rPr>
          <w:sz w:val="24"/>
          <w:szCs w:val="24"/>
        </w:rPr>
        <w:t xml:space="preserve">skull sutures were fused, </w:t>
      </w:r>
      <w:r w:rsidR="001515BE">
        <w:rPr>
          <w:sz w:val="24"/>
          <w:szCs w:val="24"/>
        </w:rPr>
        <w:t xml:space="preserve">and </w:t>
      </w:r>
      <w:r w:rsidR="003D718A">
        <w:rPr>
          <w:sz w:val="24"/>
          <w:szCs w:val="24"/>
        </w:rPr>
        <w:t>the palate was high arched.</w:t>
      </w:r>
      <w:r w:rsidR="001515BE">
        <w:rPr>
          <w:sz w:val="24"/>
          <w:szCs w:val="24"/>
        </w:rPr>
        <w:t xml:space="preserve"> (Figure 1) </w:t>
      </w:r>
      <w:r w:rsidR="003D718A">
        <w:rPr>
          <w:sz w:val="24"/>
          <w:szCs w:val="24"/>
        </w:rPr>
        <w:t xml:space="preserve">She also has a </w:t>
      </w:r>
      <w:r w:rsidR="000610B1">
        <w:rPr>
          <w:sz w:val="24"/>
          <w:szCs w:val="24"/>
        </w:rPr>
        <w:t>four-year-old</w:t>
      </w:r>
      <w:r w:rsidR="003D718A">
        <w:rPr>
          <w:sz w:val="24"/>
          <w:szCs w:val="24"/>
        </w:rPr>
        <w:t xml:space="preserve"> sister who has similar prob</w:t>
      </w:r>
      <w:r w:rsidR="000610B1">
        <w:rPr>
          <w:sz w:val="24"/>
          <w:szCs w:val="24"/>
        </w:rPr>
        <w:t>lem since birth. What is the most likely diagnosis?</w:t>
      </w:r>
    </w:p>
    <w:p w14:paraId="6AA268E8" w14:textId="4E6DEABF" w:rsidR="000E00D4" w:rsidRDefault="000E00D4" w:rsidP="00364AAB">
      <w:pPr>
        <w:rPr>
          <w:b/>
          <w:bCs/>
          <w:sz w:val="24"/>
          <w:szCs w:val="24"/>
        </w:rPr>
      </w:pPr>
      <w:r>
        <w:rPr>
          <w:noProof/>
        </w:rPr>
        <w:lastRenderedPageBreak/>
        <w:drawing>
          <wp:inline distT="0" distB="0" distL="0" distR="0" wp14:anchorId="421EBF33" wp14:editId="5833C5CE">
            <wp:extent cx="5943600" cy="47529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752975"/>
                    </a:xfrm>
                    <a:prstGeom prst="rect">
                      <a:avLst/>
                    </a:prstGeom>
                    <a:noFill/>
                    <a:ln>
                      <a:noFill/>
                    </a:ln>
                  </pic:spPr>
                </pic:pic>
              </a:graphicData>
            </a:graphic>
          </wp:inline>
        </w:drawing>
      </w:r>
    </w:p>
    <w:p w14:paraId="1056FD48" w14:textId="77777777" w:rsidR="00465FDE" w:rsidRDefault="000E00D4" w:rsidP="00364AAB">
      <w:pPr>
        <w:rPr>
          <w:b/>
          <w:bCs/>
          <w:sz w:val="24"/>
          <w:szCs w:val="24"/>
        </w:rPr>
      </w:pPr>
      <w:r>
        <w:rPr>
          <w:b/>
          <w:bCs/>
          <w:sz w:val="24"/>
          <w:szCs w:val="24"/>
        </w:rPr>
        <w:t>Figure 1: Clinical Diagnosis of Apert syndrome.</w:t>
      </w:r>
    </w:p>
    <w:p w14:paraId="6C3AC2EE" w14:textId="6361EBD2" w:rsidR="000E00D4" w:rsidRPr="00465FDE" w:rsidRDefault="00465FDE" w:rsidP="00364AAB">
      <w:pPr>
        <w:rPr>
          <w:sz w:val="24"/>
          <w:szCs w:val="24"/>
        </w:rPr>
      </w:pPr>
      <w:r w:rsidRPr="00465FDE">
        <w:rPr>
          <w:sz w:val="24"/>
          <w:szCs w:val="24"/>
        </w:rPr>
        <w:t>(</w:t>
      </w:r>
      <w:r>
        <w:rPr>
          <w:sz w:val="24"/>
          <w:szCs w:val="24"/>
        </w:rPr>
        <w:t xml:space="preserve">Panel </w:t>
      </w:r>
      <w:r w:rsidRPr="00465FDE">
        <w:rPr>
          <w:sz w:val="24"/>
          <w:szCs w:val="24"/>
        </w:rPr>
        <w:t>A</w:t>
      </w:r>
      <w:r w:rsidR="000E00D4" w:rsidRPr="00465FDE">
        <w:rPr>
          <w:sz w:val="24"/>
          <w:szCs w:val="24"/>
        </w:rPr>
        <w:t xml:space="preserve"> </w:t>
      </w:r>
      <w:r w:rsidRPr="00465FDE">
        <w:rPr>
          <w:sz w:val="24"/>
          <w:szCs w:val="24"/>
        </w:rPr>
        <w:t>&amp;</w:t>
      </w:r>
      <w:r w:rsidR="000E00D4" w:rsidRPr="00465FDE">
        <w:rPr>
          <w:sz w:val="24"/>
          <w:szCs w:val="24"/>
        </w:rPr>
        <w:t xml:space="preserve"> B</w:t>
      </w:r>
      <w:r w:rsidRPr="00465FDE">
        <w:rPr>
          <w:sz w:val="24"/>
          <w:szCs w:val="24"/>
        </w:rPr>
        <w:t>)</w:t>
      </w:r>
      <w:r w:rsidR="000E00D4" w:rsidRPr="00465FDE">
        <w:rPr>
          <w:sz w:val="24"/>
          <w:szCs w:val="24"/>
        </w:rPr>
        <w:t>. Mittens hands and Sock feet</w:t>
      </w:r>
      <w:r w:rsidRPr="00465FDE">
        <w:rPr>
          <w:sz w:val="24"/>
          <w:szCs w:val="24"/>
        </w:rPr>
        <w:t xml:space="preserve"> (Syndactyly) </w:t>
      </w:r>
      <w:r w:rsidR="00776AF0" w:rsidRPr="00465FDE">
        <w:rPr>
          <w:sz w:val="24"/>
          <w:szCs w:val="24"/>
        </w:rPr>
        <w:t>i.e.</w:t>
      </w:r>
      <w:r w:rsidRPr="00465FDE">
        <w:rPr>
          <w:sz w:val="24"/>
          <w:szCs w:val="24"/>
        </w:rPr>
        <w:t xml:space="preserve"> the fusion of the digits of hands and feet.</w:t>
      </w:r>
      <w:r w:rsidR="00F44E38" w:rsidRPr="00465FDE">
        <w:rPr>
          <w:sz w:val="24"/>
          <w:szCs w:val="24"/>
        </w:rPr>
        <w:t xml:space="preserve"> </w:t>
      </w:r>
      <w:r w:rsidRPr="00465FDE">
        <w:rPr>
          <w:sz w:val="24"/>
          <w:szCs w:val="24"/>
        </w:rPr>
        <w:t>(</w:t>
      </w:r>
      <w:r w:rsidR="00F44E38" w:rsidRPr="00465FDE">
        <w:rPr>
          <w:sz w:val="24"/>
          <w:szCs w:val="24"/>
        </w:rPr>
        <w:t>Panel C</w:t>
      </w:r>
      <w:r w:rsidRPr="00465FDE">
        <w:rPr>
          <w:sz w:val="24"/>
          <w:szCs w:val="24"/>
        </w:rPr>
        <w:t>).</w:t>
      </w:r>
      <w:r w:rsidR="00F44E38">
        <w:rPr>
          <w:b/>
          <w:bCs/>
          <w:sz w:val="24"/>
          <w:szCs w:val="24"/>
        </w:rPr>
        <w:t xml:space="preserve"> </w:t>
      </w:r>
      <w:r>
        <w:rPr>
          <w:color w:val="000000" w:themeColor="text1"/>
          <w:sz w:val="24"/>
          <w:szCs w:val="24"/>
        </w:rPr>
        <w:t>T</w:t>
      </w:r>
      <w:r w:rsidRPr="00777EDB">
        <w:rPr>
          <w:color w:val="000000" w:themeColor="text1"/>
          <w:sz w:val="24"/>
          <w:szCs w:val="24"/>
        </w:rPr>
        <w:t xml:space="preserve">all, pointed head (acrocephaly), </w:t>
      </w:r>
      <w:r>
        <w:rPr>
          <w:color w:val="000000" w:themeColor="text1"/>
          <w:sz w:val="24"/>
          <w:szCs w:val="24"/>
        </w:rPr>
        <w:t xml:space="preserve">a </w:t>
      </w:r>
      <w:r w:rsidRPr="00777EDB">
        <w:rPr>
          <w:color w:val="000000" w:themeColor="text1"/>
          <w:sz w:val="24"/>
          <w:szCs w:val="24"/>
        </w:rPr>
        <w:t xml:space="preserve">high prominent forehead, hypertelorism with </w:t>
      </w:r>
      <w:r>
        <w:rPr>
          <w:color w:val="000000" w:themeColor="text1"/>
          <w:sz w:val="24"/>
          <w:szCs w:val="24"/>
        </w:rPr>
        <w:t xml:space="preserve">an </w:t>
      </w:r>
      <w:r>
        <w:rPr>
          <w:color w:val="000000" w:themeColor="text1"/>
          <w:sz w:val="24"/>
          <w:szCs w:val="24"/>
          <w:shd w:val="clear" w:color="auto" w:fill="FFFFFF"/>
        </w:rPr>
        <w:t>extruded</w:t>
      </w:r>
      <w:r w:rsidRPr="00777EDB">
        <w:rPr>
          <w:color w:val="000000" w:themeColor="text1"/>
          <w:sz w:val="24"/>
          <w:szCs w:val="24"/>
          <w:shd w:val="clear" w:color="auto" w:fill="FFFFFF"/>
        </w:rPr>
        <w:t xml:space="preserve"> brow, protruded eyes (exorbitism)slanting downward, </w:t>
      </w:r>
      <w:r>
        <w:rPr>
          <w:color w:val="000000" w:themeColor="text1"/>
          <w:sz w:val="24"/>
          <w:szCs w:val="24"/>
          <w:shd w:val="clear" w:color="auto" w:fill="FFFFFF"/>
        </w:rPr>
        <w:t>and a depressed nasal bridge</w:t>
      </w:r>
      <w:r w:rsidRPr="00465FDE">
        <w:rPr>
          <w:color w:val="000000" w:themeColor="text1"/>
          <w:sz w:val="24"/>
          <w:szCs w:val="24"/>
          <w:shd w:val="clear" w:color="auto" w:fill="FFFFFF"/>
        </w:rPr>
        <w:t>.</w:t>
      </w:r>
      <w:r w:rsidR="00F44E38" w:rsidRPr="00465FDE">
        <w:rPr>
          <w:sz w:val="24"/>
          <w:szCs w:val="24"/>
        </w:rPr>
        <w:t xml:space="preserve"> </w:t>
      </w:r>
      <w:r w:rsidRPr="00465FDE">
        <w:rPr>
          <w:sz w:val="24"/>
          <w:szCs w:val="24"/>
        </w:rPr>
        <w:t>(</w:t>
      </w:r>
      <w:r w:rsidR="00F44E38" w:rsidRPr="00465FDE">
        <w:rPr>
          <w:sz w:val="24"/>
          <w:szCs w:val="24"/>
        </w:rPr>
        <w:t>Panel D</w:t>
      </w:r>
      <w:r w:rsidRPr="00465FDE">
        <w:rPr>
          <w:sz w:val="24"/>
          <w:szCs w:val="24"/>
        </w:rPr>
        <w:t>).</w:t>
      </w:r>
      <w:r w:rsidR="00F44E38" w:rsidRPr="00465FDE">
        <w:rPr>
          <w:sz w:val="24"/>
          <w:szCs w:val="24"/>
        </w:rPr>
        <w:t xml:space="preserve"> </w:t>
      </w:r>
      <w:r w:rsidRPr="00465FDE">
        <w:rPr>
          <w:sz w:val="24"/>
          <w:szCs w:val="24"/>
        </w:rPr>
        <w:t>H</w:t>
      </w:r>
      <w:r w:rsidR="00F44E38" w:rsidRPr="00465FDE">
        <w:rPr>
          <w:sz w:val="24"/>
          <w:szCs w:val="24"/>
        </w:rPr>
        <w:t>igh arched palate and missed teeth.</w:t>
      </w:r>
    </w:p>
    <w:p w14:paraId="33748166" w14:textId="6C9A083B" w:rsidR="00364AAB" w:rsidRDefault="00364AAB" w:rsidP="00364AAB">
      <w:pPr>
        <w:rPr>
          <w:b/>
          <w:bCs/>
          <w:sz w:val="24"/>
          <w:szCs w:val="24"/>
        </w:rPr>
      </w:pPr>
      <w:r w:rsidRPr="000610B1">
        <w:rPr>
          <w:b/>
          <w:bCs/>
          <w:sz w:val="24"/>
          <w:szCs w:val="24"/>
        </w:rPr>
        <w:t>Discussion/conclusion:</w:t>
      </w:r>
    </w:p>
    <w:p w14:paraId="1795031E" w14:textId="108CEC73" w:rsidR="00364AAB" w:rsidRDefault="00364AAB" w:rsidP="00364AAB">
      <w:pPr>
        <w:rPr>
          <w:rFonts w:cs="Arial"/>
          <w:color w:val="000000" w:themeColor="text1"/>
          <w:sz w:val="24"/>
          <w:szCs w:val="24"/>
          <w:shd w:val="clear" w:color="auto" w:fill="FFFFFF"/>
        </w:rPr>
      </w:pPr>
      <w:r w:rsidRPr="00364AAB">
        <w:rPr>
          <w:sz w:val="24"/>
          <w:szCs w:val="24"/>
        </w:rPr>
        <w:t xml:space="preserve">Apert syndrome is an autosomal recessive genetic condition caused by a mutation in FGR genes and mainly targets the skull sutures, </w:t>
      </w:r>
      <w:r>
        <w:rPr>
          <w:sz w:val="24"/>
          <w:szCs w:val="24"/>
        </w:rPr>
        <w:t>h</w:t>
      </w:r>
      <w:r w:rsidRPr="00364AAB">
        <w:rPr>
          <w:sz w:val="24"/>
          <w:szCs w:val="24"/>
        </w:rPr>
        <w:t xml:space="preserve">ands, and </w:t>
      </w:r>
      <w:r>
        <w:rPr>
          <w:sz w:val="24"/>
          <w:szCs w:val="24"/>
        </w:rPr>
        <w:t>feet resulting in various congenital deformities. (1)</w:t>
      </w:r>
      <w:r w:rsidRPr="00364AAB">
        <w:rPr>
          <w:sz w:val="24"/>
          <w:szCs w:val="24"/>
        </w:rPr>
        <w:t xml:space="preserve"> </w:t>
      </w:r>
      <w:r w:rsidRPr="00777EDB">
        <w:rPr>
          <w:color w:val="000000" w:themeColor="text1"/>
          <w:sz w:val="24"/>
          <w:szCs w:val="24"/>
        </w:rPr>
        <w:t>The image that we present show</w:t>
      </w:r>
      <w:r w:rsidR="003C7247">
        <w:rPr>
          <w:color w:val="000000" w:themeColor="text1"/>
          <w:sz w:val="24"/>
          <w:szCs w:val="24"/>
        </w:rPr>
        <w:t>s</w:t>
      </w:r>
      <w:r w:rsidRPr="00777EDB">
        <w:rPr>
          <w:color w:val="000000" w:themeColor="text1"/>
          <w:sz w:val="24"/>
          <w:szCs w:val="24"/>
        </w:rPr>
        <w:t xml:space="preserve"> the typical presentation of Apert </w:t>
      </w:r>
      <w:r>
        <w:rPr>
          <w:color w:val="000000" w:themeColor="text1"/>
          <w:sz w:val="24"/>
          <w:szCs w:val="24"/>
        </w:rPr>
        <w:t>syndromes</w:t>
      </w:r>
      <w:r w:rsidRPr="00777EDB">
        <w:rPr>
          <w:color w:val="000000" w:themeColor="text1"/>
          <w:sz w:val="24"/>
          <w:szCs w:val="24"/>
        </w:rPr>
        <w:t xml:space="preserve"> like </w:t>
      </w:r>
      <w:r w:rsidR="000E00D4">
        <w:rPr>
          <w:color w:val="000000" w:themeColor="text1"/>
          <w:sz w:val="24"/>
          <w:szCs w:val="24"/>
        </w:rPr>
        <w:t>Mitten’s</w:t>
      </w:r>
      <w:r w:rsidRPr="00777EDB">
        <w:rPr>
          <w:color w:val="000000" w:themeColor="text1"/>
          <w:sz w:val="24"/>
          <w:szCs w:val="24"/>
        </w:rPr>
        <w:t xml:space="preserve"> hands and Sock feet (</w:t>
      </w:r>
      <w:r>
        <w:rPr>
          <w:color w:val="000000" w:themeColor="text1"/>
          <w:sz w:val="24"/>
          <w:szCs w:val="24"/>
        </w:rPr>
        <w:t>syndactyly</w:t>
      </w:r>
      <w:r w:rsidRPr="00777EDB">
        <w:rPr>
          <w:color w:val="000000" w:themeColor="text1"/>
          <w:sz w:val="24"/>
          <w:szCs w:val="24"/>
        </w:rPr>
        <w:t xml:space="preserve">) </w:t>
      </w:r>
      <w:r w:rsidR="00776AF0" w:rsidRPr="00777EDB">
        <w:rPr>
          <w:color w:val="000000" w:themeColor="text1"/>
          <w:sz w:val="24"/>
          <w:szCs w:val="24"/>
        </w:rPr>
        <w:t>i.e.</w:t>
      </w:r>
      <w:r w:rsidRPr="00777EDB">
        <w:rPr>
          <w:color w:val="000000" w:themeColor="text1"/>
          <w:sz w:val="24"/>
          <w:szCs w:val="24"/>
        </w:rPr>
        <w:t xml:space="preserve"> the fusion of the digits of hands and feet (Panel A</w:t>
      </w:r>
      <w:r>
        <w:rPr>
          <w:color w:val="000000" w:themeColor="text1"/>
          <w:sz w:val="24"/>
          <w:szCs w:val="24"/>
        </w:rPr>
        <w:t xml:space="preserve"> and B)</w:t>
      </w:r>
      <w:r w:rsidR="003C7247">
        <w:rPr>
          <w:color w:val="000000" w:themeColor="text1"/>
          <w:sz w:val="24"/>
          <w:szCs w:val="24"/>
        </w:rPr>
        <w:t>,</w:t>
      </w:r>
      <w:r w:rsidR="00776AF0">
        <w:rPr>
          <w:color w:val="000000" w:themeColor="text1"/>
          <w:sz w:val="24"/>
          <w:szCs w:val="24"/>
        </w:rPr>
        <w:t xml:space="preserve"> and </w:t>
      </w:r>
      <w:r>
        <w:rPr>
          <w:color w:val="000000" w:themeColor="text1"/>
          <w:sz w:val="24"/>
          <w:szCs w:val="24"/>
        </w:rPr>
        <w:t xml:space="preserve">a </w:t>
      </w:r>
      <w:r w:rsidRPr="00777EDB">
        <w:rPr>
          <w:color w:val="000000" w:themeColor="text1"/>
          <w:sz w:val="24"/>
          <w:szCs w:val="24"/>
        </w:rPr>
        <w:t xml:space="preserve">tall pointed head (acrocephaly), </w:t>
      </w:r>
      <w:r>
        <w:rPr>
          <w:color w:val="000000" w:themeColor="text1"/>
          <w:sz w:val="24"/>
          <w:szCs w:val="24"/>
        </w:rPr>
        <w:t xml:space="preserve">a </w:t>
      </w:r>
      <w:r w:rsidRPr="00777EDB">
        <w:rPr>
          <w:color w:val="000000" w:themeColor="text1"/>
          <w:sz w:val="24"/>
          <w:szCs w:val="24"/>
        </w:rPr>
        <w:t xml:space="preserve">high prominent forehead, hypertelorism with </w:t>
      </w:r>
      <w:r>
        <w:rPr>
          <w:color w:val="000000" w:themeColor="text1"/>
          <w:sz w:val="24"/>
          <w:szCs w:val="24"/>
        </w:rPr>
        <w:t xml:space="preserve">an </w:t>
      </w:r>
      <w:r>
        <w:rPr>
          <w:color w:val="000000" w:themeColor="text1"/>
          <w:sz w:val="24"/>
          <w:szCs w:val="24"/>
          <w:shd w:val="clear" w:color="auto" w:fill="FFFFFF"/>
        </w:rPr>
        <w:t>extruded</w:t>
      </w:r>
      <w:r w:rsidRPr="00777EDB">
        <w:rPr>
          <w:color w:val="000000" w:themeColor="text1"/>
          <w:sz w:val="24"/>
          <w:szCs w:val="24"/>
          <w:shd w:val="clear" w:color="auto" w:fill="FFFFFF"/>
        </w:rPr>
        <w:t xml:space="preserve"> brow, protruded eyes (exorbitism)</w:t>
      </w:r>
      <w:r w:rsidR="003C7247">
        <w:rPr>
          <w:color w:val="000000" w:themeColor="text1"/>
          <w:sz w:val="24"/>
          <w:szCs w:val="24"/>
          <w:shd w:val="clear" w:color="auto" w:fill="FFFFFF"/>
        </w:rPr>
        <w:t xml:space="preserve"> </w:t>
      </w:r>
      <w:r w:rsidRPr="00777EDB">
        <w:rPr>
          <w:color w:val="000000" w:themeColor="text1"/>
          <w:sz w:val="24"/>
          <w:szCs w:val="24"/>
          <w:shd w:val="clear" w:color="auto" w:fill="FFFFFF"/>
        </w:rPr>
        <w:t xml:space="preserve">slanting downward, </w:t>
      </w:r>
      <w:r>
        <w:rPr>
          <w:color w:val="000000" w:themeColor="text1"/>
          <w:sz w:val="24"/>
          <w:szCs w:val="24"/>
          <w:shd w:val="clear" w:color="auto" w:fill="FFFFFF"/>
        </w:rPr>
        <w:t xml:space="preserve">a </w:t>
      </w:r>
      <w:r w:rsidR="00465FDE">
        <w:rPr>
          <w:color w:val="000000" w:themeColor="text1"/>
          <w:sz w:val="24"/>
          <w:szCs w:val="24"/>
          <w:shd w:val="clear" w:color="auto" w:fill="FFFFFF"/>
        </w:rPr>
        <w:t>depressed nasal bridge</w:t>
      </w:r>
      <w:r w:rsidRPr="00777EDB">
        <w:rPr>
          <w:color w:val="000000" w:themeColor="text1"/>
          <w:sz w:val="24"/>
          <w:szCs w:val="24"/>
          <w:shd w:val="clear" w:color="auto" w:fill="FFFFFF"/>
        </w:rPr>
        <w:t xml:space="preserve">. (Panel </w:t>
      </w:r>
      <w:r>
        <w:rPr>
          <w:color w:val="000000" w:themeColor="text1"/>
          <w:sz w:val="24"/>
          <w:szCs w:val="24"/>
          <w:shd w:val="clear" w:color="auto" w:fill="FFFFFF"/>
        </w:rPr>
        <w:t>C</w:t>
      </w:r>
      <w:r w:rsidRPr="00777EDB">
        <w:rPr>
          <w:color w:val="000000" w:themeColor="text1"/>
          <w:sz w:val="24"/>
          <w:szCs w:val="24"/>
          <w:shd w:val="clear" w:color="auto" w:fill="FFFFFF"/>
        </w:rPr>
        <w:t>) Intraorally: Dentition tarda, crowding</w:t>
      </w:r>
      <w:r>
        <w:rPr>
          <w:color w:val="000000" w:themeColor="text1"/>
          <w:sz w:val="24"/>
          <w:szCs w:val="24"/>
          <w:shd w:val="clear" w:color="auto" w:fill="FFFFFF"/>
        </w:rPr>
        <w:t>,</w:t>
      </w:r>
      <w:r w:rsidRPr="00777EDB">
        <w:rPr>
          <w:color w:val="000000" w:themeColor="text1"/>
          <w:sz w:val="24"/>
          <w:szCs w:val="24"/>
          <w:shd w:val="clear" w:color="auto" w:fill="FFFFFF"/>
        </w:rPr>
        <w:t xml:space="preserve"> and severe </w:t>
      </w:r>
      <w:r>
        <w:rPr>
          <w:color w:val="000000" w:themeColor="text1"/>
          <w:sz w:val="24"/>
          <w:szCs w:val="24"/>
          <w:shd w:val="clear" w:color="auto" w:fill="FFFFFF"/>
        </w:rPr>
        <w:t>high-arched</w:t>
      </w:r>
      <w:r w:rsidRPr="00777EDB">
        <w:rPr>
          <w:color w:val="000000" w:themeColor="text1"/>
          <w:sz w:val="24"/>
          <w:szCs w:val="24"/>
          <w:shd w:val="clear" w:color="auto" w:fill="FFFFFF"/>
        </w:rPr>
        <w:t xml:space="preserve"> palate can be seen (panel </w:t>
      </w:r>
      <w:r>
        <w:rPr>
          <w:color w:val="000000" w:themeColor="text1"/>
          <w:sz w:val="24"/>
          <w:szCs w:val="24"/>
          <w:shd w:val="clear" w:color="auto" w:fill="FFFFFF"/>
        </w:rPr>
        <w:t>D</w:t>
      </w:r>
      <w:r w:rsidRPr="00777EDB">
        <w:rPr>
          <w:color w:val="000000" w:themeColor="text1"/>
          <w:sz w:val="24"/>
          <w:szCs w:val="24"/>
          <w:shd w:val="clear" w:color="auto" w:fill="FFFFFF"/>
        </w:rPr>
        <w:t xml:space="preserve">). These clinical signs especially the fusion of </w:t>
      </w:r>
      <w:r w:rsidRPr="00777EDB">
        <w:rPr>
          <w:rFonts w:cs="Arial"/>
          <w:color w:val="000000" w:themeColor="text1"/>
          <w:sz w:val="24"/>
          <w:szCs w:val="24"/>
          <w:shd w:val="clear" w:color="auto" w:fill="FFFFFF"/>
        </w:rPr>
        <w:t>fingers and toes distinguish Apert syndrome from other craniofacial disorders.</w:t>
      </w:r>
      <w:r w:rsidR="00604B2E">
        <w:rPr>
          <w:rFonts w:cs="Arial"/>
          <w:color w:val="000000" w:themeColor="text1"/>
          <w:sz w:val="24"/>
          <w:szCs w:val="24"/>
          <w:shd w:val="clear" w:color="auto" w:fill="FFFFFF"/>
        </w:rPr>
        <w:t xml:space="preserve"> The deformities in Apert syndrome are generally </w:t>
      </w:r>
      <w:r w:rsidR="00604B2E">
        <w:rPr>
          <w:rFonts w:cs="Arial"/>
          <w:color w:val="000000" w:themeColor="text1"/>
          <w:sz w:val="24"/>
          <w:szCs w:val="24"/>
          <w:shd w:val="clear" w:color="auto" w:fill="FFFFFF"/>
        </w:rPr>
        <w:lastRenderedPageBreak/>
        <w:t xml:space="preserve">cosmetic but can affect various functions such as hearing, visual abnormalities, swallowing, writing, </w:t>
      </w:r>
      <w:r w:rsidR="000E00D4">
        <w:rPr>
          <w:rFonts w:cs="Arial"/>
          <w:color w:val="000000" w:themeColor="text1"/>
          <w:sz w:val="24"/>
          <w:szCs w:val="24"/>
          <w:shd w:val="clear" w:color="auto" w:fill="FFFFFF"/>
        </w:rPr>
        <w:t>etc.</w:t>
      </w:r>
      <w:r w:rsidR="00604B2E">
        <w:rPr>
          <w:rFonts w:cs="Arial"/>
          <w:color w:val="000000" w:themeColor="text1"/>
          <w:sz w:val="24"/>
          <w:szCs w:val="24"/>
          <w:shd w:val="clear" w:color="auto" w:fill="FFFFFF"/>
        </w:rPr>
        <w:t xml:space="preserve"> so a multidisciplinary approach is needed for its management. (2)</w:t>
      </w:r>
    </w:p>
    <w:p w14:paraId="1FBE3A46" w14:textId="4B3C5512" w:rsidR="00AA71BE" w:rsidRDefault="00AA71BE" w:rsidP="00AA71BE">
      <w:pPr>
        <w:spacing w:after="0" w:line="240" w:lineRule="auto"/>
        <w:jc w:val="both"/>
        <w:textAlignment w:val="baseline"/>
        <w:rPr>
          <w:rFonts w:eastAsia="Times New Roman" w:cstheme="minorHAnsi"/>
          <w:b/>
          <w:bCs/>
          <w:sz w:val="24"/>
          <w:szCs w:val="24"/>
        </w:rPr>
      </w:pPr>
      <w:r w:rsidRPr="00A23D7A">
        <w:rPr>
          <w:rFonts w:eastAsia="Times New Roman" w:cstheme="minorHAnsi"/>
          <w:b/>
          <w:bCs/>
          <w:sz w:val="24"/>
          <w:szCs w:val="24"/>
        </w:rPr>
        <w:t>Authors contribution:</w:t>
      </w:r>
    </w:p>
    <w:p w14:paraId="64986BF4" w14:textId="66A11FC3" w:rsidR="00E953E9" w:rsidRPr="00E953E9" w:rsidRDefault="00E953E9" w:rsidP="00AA71BE">
      <w:pPr>
        <w:spacing w:after="0" w:line="240" w:lineRule="auto"/>
        <w:jc w:val="both"/>
        <w:textAlignment w:val="baseline"/>
        <w:rPr>
          <w:rFonts w:eastAsia="Times New Roman" w:cstheme="minorHAnsi"/>
          <w:b/>
          <w:bCs/>
          <w:sz w:val="24"/>
          <w:szCs w:val="24"/>
        </w:rPr>
      </w:pPr>
      <w:r w:rsidRPr="00E953E9">
        <w:rPr>
          <w:rFonts w:cstheme="minorHAnsi"/>
          <w:color w:val="1C1D1E"/>
          <w:sz w:val="24"/>
          <w:szCs w:val="24"/>
          <w:shd w:val="clear" w:color="auto" w:fill="FFFFFF"/>
        </w:rPr>
        <w:t xml:space="preserve">Dr. Qaisar Ali Khan and Dr. </w:t>
      </w:r>
      <w:r w:rsidRPr="00E953E9">
        <w:rPr>
          <w:rFonts w:cstheme="minorHAnsi"/>
          <w:color w:val="000000"/>
          <w:sz w:val="24"/>
          <w:szCs w:val="24"/>
        </w:rPr>
        <w:t xml:space="preserve">Christopher Farkouh </w:t>
      </w:r>
      <w:r w:rsidRPr="00E953E9">
        <w:rPr>
          <w:rFonts w:cstheme="minorHAnsi"/>
          <w:color w:val="1C1D1E"/>
          <w:sz w:val="24"/>
          <w:szCs w:val="24"/>
          <w:shd w:val="clear" w:color="auto" w:fill="FFFFFF"/>
        </w:rPr>
        <w:t>prepared, organized, wrote, and edited all aspects of the manuscript. Dr. Uzair Wazir prepared all the figures in the manuscript. Dr. Bikona Ghosh participated in the conception and design of the study. All authors contributed equally to preparing the manuscript and participated in the final approval of the manuscript before its submission.</w:t>
      </w:r>
    </w:p>
    <w:p w14:paraId="09E06DD1" w14:textId="77777777" w:rsidR="00AA71BE" w:rsidRDefault="00AA71BE" w:rsidP="00AA71BE">
      <w:pPr>
        <w:spacing w:after="0" w:line="240" w:lineRule="auto"/>
        <w:jc w:val="both"/>
        <w:textAlignment w:val="baseline"/>
        <w:rPr>
          <w:rFonts w:eastAsia="Times New Roman" w:cstheme="minorHAnsi"/>
          <w:sz w:val="24"/>
          <w:szCs w:val="24"/>
        </w:rPr>
      </w:pPr>
    </w:p>
    <w:p w14:paraId="01E1902B" w14:textId="77777777" w:rsidR="00AA71BE" w:rsidRPr="00BF11DF" w:rsidRDefault="00AA71BE" w:rsidP="00AA71BE">
      <w:pPr>
        <w:spacing w:after="0" w:line="240" w:lineRule="auto"/>
        <w:jc w:val="both"/>
        <w:textAlignment w:val="baseline"/>
        <w:rPr>
          <w:rFonts w:eastAsia="Times New Roman" w:cstheme="minorHAnsi"/>
          <w:b/>
          <w:bCs/>
          <w:sz w:val="24"/>
          <w:szCs w:val="24"/>
        </w:rPr>
      </w:pPr>
      <w:r w:rsidRPr="00BF11DF">
        <w:rPr>
          <w:rFonts w:eastAsia="Times New Roman" w:cstheme="minorHAnsi"/>
          <w:b/>
          <w:bCs/>
          <w:sz w:val="24"/>
          <w:szCs w:val="24"/>
        </w:rPr>
        <w:t>Ethical approval:</w:t>
      </w:r>
    </w:p>
    <w:p w14:paraId="45647FA9" w14:textId="77777777" w:rsidR="00AA71BE" w:rsidRDefault="00AA71BE" w:rsidP="00AA71BE">
      <w:pPr>
        <w:spacing w:after="0" w:line="240" w:lineRule="auto"/>
        <w:jc w:val="both"/>
        <w:textAlignment w:val="baseline"/>
        <w:rPr>
          <w:rFonts w:eastAsia="Times New Roman" w:cstheme="minorHAnsi"/>
          <w:sz w:val="24"/>
          <w:szCs w:val="24"/>
        </w:rPr>
      </w:pPr>
      <w:r>
        <w:rPr>
          <w:rFonts w:eastAsia="Times New Roman" w:cstheme="minorHAnsi"/>
          <w:sz w:val="24"/>
          <w:szCs w:val="24"/>
        </w:rPr>
        <w:t xml:space="preserve">Not required </w:t>
      </w:r>
    </w:p>
    <w:p w14:paraId="3B825F86" w14:textId="77777777" w:rsidR="00AA71BE" w:rsidRDefault="00AA71BE" w:rsidP="00AA71BE">
      <w:pPr>
        <w:spacing w:after="0" w:line="240" w:lineRule="auto"/>
        <w:jc w:val="both"/>
        <w:textAlignment w:val="baseline"/>
        <w:rPr>
          <w:rFonts w:eastAsia="Times New Roman" w:cstheme="minorHAnsi"/>
          <w:sz w:val="24"/>
          <w:szCs w:val="24"/>
        </w:rPr>
      </w:pPr>
    </w:p>
    <w:p w14:paraId="13975C18" w14:textId="77777777" w:rsidR="00AA71BE" w:rsidRDefault="00AA71BE" w:rsidP="00AA71BE">
      <w:pPr>
        <w:spacing w:after="0" w:line="240" w:lineRule="auto"/>
        <w:jc w:val="both"/>
        <w:textAlignment w:val="baseline"/>
        <w:rPr>
          <w:rFonts w:eastAsia="Times New Roman" w:cstheme="minorHAnsi"/>
          <w:b/>
          <w:bCs/>
          <w:sz w:val="24"/>
          <w:szCs w:val="24"/>
        </w:rPr>
      </w:pPr>
      <w:r w:rsidRPr="00BF11DF">
        <w:rPr>
          <w:rFonts w:eastAsia="Times New Roman" w:cstheme="minorHAnsi"/>
          <w:b/>
          <w:bCs/>
          <w:sz w:val="24"/>
          <w:szCs w:val="24"/>
        </w:rPr>
        <w:t>Consent:</w:t>
      </w:r>
    </w:p>
    <w:p w14:paraId="30B4B1FA" w14:textId="676C927B" w:rsidR="00AA71BE" w:rsidRPr="00BF11DF" w:rsidRDefault="00AA71BE" w:rsidP="00AA71BE">
      <w:pPr>
        <w:spacing w:after="0" w:line="240" w:lineRule="auto"/>
        <w:jc w:val="both"/>
        <w:textAlignment w:val="baseline"/>
        <w:rPr>
          <w:rFonts w:eastAsia="Times New Roman" w:cstheme="minorHAnsi"/>
          <w:sz w:val="24"/>
          <w:szCs w:val="24"/>
        </w:rPr>
      </w:pPr>
      <w:r>
        <w:rPr>
          <w:rFonts w:eastAsia="Times New Roman" w:cstheme="minorHAnsi"/>
          <w:sz w:val="24"/>
          <w:szCs w:val="24"/>
        </w:rPr>
        <w:t xml:space="preserve">Written informed consent was obtained from the patient for </w:t>
      </w:r>
      <w:r w:rsidR="00E953E9">
        <w:rPr>
          <w:rFonts w:eastAsia="Times New Roman" w:cstheme="minorHAnsi"/>
          <w:sz w:val="24"/>
          <w:szCs w:val="24"/>
        </w:rPr>
        <w:t xml:space="preserve">the </w:t>
      </w:r>
      <w:r>
        <w:rPr>
          <w:rFonts w:eastAsia="Times New Roman" w:cstheme="minorHAnsi"/>
          <w:sz w:val="24"/>
          <w:szCs w:val="24"/>
        </w:rPr>
        <w:t>publication of th</w:t>
      </w:r>
      <w:r w:rsidR="00E953E9">
        <w:rPr>
          <w:rFonts w:eastAsia="Times New Roman" w:cstheme="minorHAnsi"/>
          <w:sz w:val="24"/>
          <w:szCs w:val="24"/>
        </w:rPr>
        <w:t>ese</w:t>
      </w:r>
      <w:r>
        <w:rPr>
          <w:rFonts w:eastAsia="Times New Roman" w:cstheme="minorHAnsi"/>
          <w:sz w:val="24"/>
          <w:szCs w:val="24"/>
        </w:rPr>
        <w:t xml:space="preserve"> images. A copy of written consent is available for review by the Editor-in-Chief of this journal.</w:t>
      </w:r>
    </w:p>
    <w:p w14:paraId="1F1C9293" w14:textId="77777777" w:rsidR="00AA71BE" w:rsidRDefault="00AA71BE" w:rsidP="00AA71BE">
      <w:pPr>
        <w:spacing w:after="0" w:line="240" w:lineRule="auto"/>
        <w:jc w:val="both"/>
        <w:textAlignment w:val="baseline"/>
        <w:rPr>
          <w:rFonts w:eastAsia="Times New Roman" w:cstheme="minorHAnsi"/>
          <w:sz w:val="24"/>
          <w:szCs w:val="24"/>
        </w:rPr>
      </w:pPr>
    </w:p>
    <w:p w14:paraId="262FC135" w14:textId="77777777" w:rsidR="00AA71BE" w:rsidRDefault="00AA71BE" w:rsidP="00AA71BE">
      <w:pPr>
        <w:spacing w:after="0" w:line="240" w:lineRule="auto"/>
        <w:jc w:val="both"/>
        <w:textAlignment w:val="baseline"/>
        <w:rPr>
          <w:rFonts w:eastAsia="Times New Roman" w:cstheme="minorHAnsi"/>
          <w:b/>
          <w:bCs/>
          <w:sz w:val="24"/>
          <w:szCs w:val="24"/>
        </w:rPr>
      </w:pPr>
      <w:r w:rsidRPr="00BF11DF">
        <w:rPr>
          <w:rFonts w:eastAsia="Times New Roman" w:cstheme="minorHAnsi"/>
          <w:b/>
          <w:bCs/>
          <w:sz w:val="24"/>
          <w:szCs w:val="24"/>
        </w:rPr>
        <w:t xml:space="preserve"> Funding</w:t>
      </w:r>
      <w:r>
        <w:rPr>
          <w:rFonts w:eastAsia="Times New Roman" w:cstheme="minorHAnsi"/>
          <w:b/>
          <w:bCs/>
          <w:sz w:val="24"/>
          <w:szCs w:val="24"/>
        </w:rPr>
        <w:t xml:space="preserve">: </w:t>
      </w:r>
    </w:p>
    <w:p w14:paraId="1113E3C0" w14:textId="77777777" w:rsidR="00AA71BE" w:rsidRDefault="00AA71BE" w:rsidP="00AA71BE">
      <w:pPr>
        <w:spacing w:after="0" w:line="240" w:lineRule="auto"/>
        <w:jc w:val="both"/>
        <w:textAlignment w:val="baseline"/>
        <w:rPr>
          <w:rFonts w:eastAsia="Times New Roman" w:cstheme="minorHAnsi"/>
          <w:sz w:val="24"/>
          <w:szCs w:val="24"/>
        </w:rPr>
      </w:pPr>
      <w:r>
        <w:rPr>
          <w:rFonts w:eastAsia="Times New Roman" w:cstheme="minorHAnsi"/>
          <w:sz w:val="24"/>
          <w:szCs w:val="24"/>
        </w:rPr>
        <w:t>The study received no external funding.</w:t>
      </w:r>
    </w:p>
    <w:p w14:paraId="4314F9E4" w14:textId="77777777" w:rsidR="00AA71BE" w:rsidRDefault="00AA71BE" w:rsidP="00AA71BE">
      <w:pPr>
        <w:spacing w:after="0" w:line="240" w:lineRule="auto"/>
        <w:jc w:val="both"/>
        <w:textAlignment w:val="baseline"/>
        <w:rPr>
          <w:rFonts w:eastAsia="Times New Roman" w:cstheme="minorHAnsi"/>
          <w:sz w:val="24"/>
          <w:szCs w:val="24"/>
        </w:rPr>
      </w:pPr>
    </w:p>
    <w:p w14:paraId="16C38210" w14:textId="77777777" w:rsidR="00AA71BE" w:rsidRDefault="00AA71BE" w:rsidP="00AA71BE">
      <w:pPr>
        <w:spacing w:after="0" w:line="240" w:lineRule="auto"/>
        <w:jc w:val="both"/>
        <w:textAlignment w:val="baseline"/>
        <w:rPr>
          <w:rFonts w:eastAsia="Times New Roman" w:cstheme="minorHAnsi"/>
          <w:b/>
          <w:bCs/>
          <w:sz w:val="24"/>
          <w:szCs w:val="24"/>
        </w:rPr>
      </w:pPr>
      <w:r w:rsidRPr="00BF11DF">
        <w:rPr>
          <w:rFonts w:eastAsia="Times New Roman" w:cstheme="minorHAnsi"/>
          <w:b/>
          <w:bCs/>
          <w:sz w:val="24"/>
          <w:szCs w:val="24"/>
        </w:rPr>
        <w:t>Conflict of interest</w:t>
      </w:r>
      <w:r>
        <w:rPr>
          <w:rFonts w:eastAsia="Times New Roman" w:cstheme="minorHAnsi"/>
          <w:b/>
          <w:bCs/>
          <w:sz w:val="24"/>
          <w:szCs w:val="24"/>
        </w:rPr>
        <w:t>:</w:t>
      </w:r>
    </w:p>
    <w:p w14:paraId="6561584E" w14:textId="77777777" w:rsidR="00AA71BE" w:rsidRDefault="00AA71BE" w:rsidP="00AA71BE">
      <w:pPr>
        <w:spacing w:after="0" w:line="240" w:lineRule="auto"/>
        <w:jc w:val="both"/>
        <w:textAlignment w:val="baseline"/>
        <w:rPr>
          <w:rFonts w:eastAsia="Times New Roman" w:cstheme="minorHAnsi"/>
          <w:sz w:val="24"/>
          <w:szCs w:val="24"/>
        </w:rPr>
      </w:pPr>
      <w:r>
        <w:rPr>
          <w:rFonts w:eastAsia="Times New Roman" w:cstheme="minorHAnsi"/>
          <w:sz w:val="24"/>
          <w:szCs w:val="24"/>
        </w:rPr>
        <w:t>There is no conflict of interest to declare.</w:t>
      </w:r>
    </w:p>
    <w:p w14:paraId="6285A6E3" w14:textId="77777777" w:rsidR="00AA71BE" w:rsidRPr="00897955" w:rsidRDefault="00AA71BE" w:rsidP="00AA71BE">
      <w:pPr>
        <w:spacing w:after="0" w:line="240" w:lineRule="auto"/>
        <w:jc w:val="both"/>
        <w:textAlignment w:val="baseline"/>
        <w:rPr>
          <w:rFonts w:eastAsia="Times New Roman" w:cstheme="minorHAnsi"/>
          <w:b/>
          <w:bCs/>
          <w:sz w:val="24"/>
          <w:szCs w:val="24"/>
        </w:rPr>
      </w:pPr>
      <w:r w:rsidRPr="00897955">
        <w:rPr>
          <w:rFonts w:eastAsia="Times New Roman" w:cstheme="minorHAnsi"/>
          <w:b/>
          <w:bCs/>
          <w:sz w:val="24"/>
          <w:szCs w:val="24"/>
        </w:rPr>
        <w:t xml:space="preserve">Guarantor </w:t>
      </w:r>
    </w:p>
    <w:p w14:paraId="3C604AA6" w14:textId="77777777" w:rsidR="00AA71BE" w:rsidRPr="00897955" w:rsidRDefault="00AA71BE" w:rsidP="00AA71BE">
      <w:pPr>
        <w:spacing w:after="0" w:line="240" w:lineRule="auto"/>
        <w:jc w:val="both"/>
        <w:textAlignment w:val="baseline"/>
        <w:rPr>
          <w:rFonts w:eastAsia="Times New Roman" w:cstheme="minorHAnsi"/>
          <w:sz w:val="24"/>
          <w:szCs w:val="24"/>
        </w:rPr>
      </w:pPr>
      <w:r>
        <w:rPr>
          <w:rFonts w:eastAsia="Times New Roman" w:cstheme="minorHAnsi"/>
          <w:sz w:val="24"/>
          <w:szCs w:val="24"/>
        </w:rPr>
        <w:t>Qaisar Ali Khan</w:t>
      </w:r>
    </w:p>
    <w:p w14:paraId="7E76699A" w14:textId="77777777" w:rsidR="00AA71BE" w:rsidRDefault="00AA71BE" w:rsidP="00364AAB">
      <w:pPr>
        <w:rPr>
          <w:rFonts w:cs="Arial"/>
          <w:color w:val="000000" w:themeColor="text1"/>
          <w:sz w:val="24"/>
          <w:szCs w:val="24"/>
          <w:shd w:val="clear" w:color="auto" w:fill="FFFFFF"/>
        </w:rPr>
      </w:pPr>
    </w:p>
    <w:p w14:paraId="31D7EFE1" w14:textId="58F06959" w:rsidR="00604B2E" w:rsidRDefault="00604B2E" w:rsidP="00364AAB">
      <w:pPr>
        <w:rPr>
          <w:rFonts w:cs="Arial"/>
          <w:b/>
          <w:bCs/>
          <w:color w:val="000000" w:themeColor="text1"/>
          <w:sz w:val="24"/>
          <w:szCs w:val="24"/>
          <w:shd w:val="clear" w:color="auto" w:fill="FFFFFF"/>
        </w:rPr>
      </w:pPr>
      <w:r w:rsidRPr="00604B2E">
        <w:rPr>
          <w:rFonts w:cs="Arial"/>
          <w:b/>
          <w:bCs/>
          <w:color w:val="000000" w:themeColor="text1"/>
          <w:sz w:val="24"/>
          <w:szCs w:val="24"/>
          <w:shd w:val="clear" w:color="auto" w:fill="FFFFFF"/>
        </w:rPr>
        <w:t xml:space="preserve">References </w:t>
      </w:r>
    </w:p>
    <w:p w14:paraId="1A066EA6" w14:textId="01437DD2" w:rsidR="00604B2E" w:rsidRPr="00604B2E" w:rsidRDefault="00604B2E" w:rsidP="00604B2E">
      <w:pPr>
        <w:pStyle w:val="ListParagraph"/>
        <w:numPr>
          <w:ilvl w:val="0"/>
          <w:numId w:val="4"/>
        </w:numPr>
        <w:rPr>
          <w:rFonts w:asciiTheme="majorHAnsi" w:hAnsiTheme="majorHAnsi" w:cstheme="majorHAnsi"/>
          <w:sz w:val="24"/>
          <w:szCs w:val="24"/>
        </w:rPr>
      </w:pPr>
      <w:r>
        <w:rPr>
          <w:b/>
          <w:bCs/>
          <w:sz w:val="24"/>
          <w:szCs w:val="24"/>
        </w:rPr>
        <w:t xml:space="preserve"> </w:t>
      </w:r>
      <w:r>
        <w:rPr>
          <w:rStyle w:val="Strong"/>
          <w:rFonts w:ascii="Cambria" w:hAnsi="Cambria"/>
          <w:color w:val="212121"/>
          <w:sz w:val="30"/>
          <w:szCs w:val="30"/>
          <w:shd w:val="clear" w:color="auto" w:fill="FFFFFF"/>
        </w:rPr>
        <w:t> </w:t>
      </w:r>
      <w:r w:rsidRPr="00604B2E">
        <w:rPr>
          <w:rFonts w:asciiTheme="majorHAnsi" w:hAnsiTheme="majorHAnsi" w:cstheme="majorHAnsi"/>
          <w:color w:val="212121"/>
          <w:sz w:val="24"/>
          <w:szCs w:val="24"/>
          <w:shd w:val="clear" w:color="auto" w:fill="FFFFFF"/>
        </w:rPr>
        <w:t>Kumar GR, Jyothsna M, Ahmed SB, Lakshmi KRS. Apert's Syndrome. Int J Clin Pediatr Dent 2014;7(1):69-72.</w:t>
      </w:r>
    </w:p>
    <w:p w14:paraId="2CE9D0DA" w14:textId="37F87D7A" w:rsidR="00604B2E" w:rsidRPr="00604B2E" w:rsidRDefault="00604B2E" w:rsidP="00604B2E">
      <w:pPr>
        <w:pStyle w:val="ListParagraph"/>
        <w:numPr>
          <w:ilvl w:val="0"/>
          <w:numId w:val="4"/>
        </w:numPr>
        <w:rPr>
          <w:sz w:val="24"/>
          <w:szCs w:val="24"/>
        </w:rPr>
      </w:pPr>
      <w:r w:rsidRPr="00604B2E">
        <w:rPr>
          <w:rFonts w:ascii="Segoe UI" w:hAnsi="Segoe UI" w:cs="Segoe UI"/>
          <w:color w:val="212121"/>
          <w:shd w:val="clear" w:color="auto" w:fill="FFFFFF"/>
        </w:rPr>
        <w:t>Ornoy A. Craniofacial malformations and their association with brain development: the importance of a multidisciplinary approach for treatment. Odontology. 2020 Jan;108(1):1-15. doi: 10.1007/s10266-019-00433-7. Epub 2019 Jun 6. PMID: 31172336.</w:t>
      </w:r>
    </w:p>
    <w:p w14:paraId="4AA5604D" w14:textId="77777777" w:rsidR="00364AAB" w:rsidRPr="00604B2E" w:rsidRDefault="00364AAB" w:rsidP="00364AAB">
      <w:pPr>
        <w:rPr>
          <w:rFonts w:ascii="Georgia" w:hAnsi="Georgia"/>
          <w:color w:val="665546"/>
          <w:sz w:val="21"/>
          <w:szCs w:val="21"/>
          <w:shd w:val="clear" w:color="auto" w:fill="FFFFFF"/>
        </w:rPr>
      </w:pPr>
    </w:p>
    <w:p w14:paraId="249FA45E" w14:textId="1B93A3CB" w:rsidR="00301851" w:rsidRDefault="00301851">
      <w:pPr>
        <w:rPr>
          <w:sz w:val="24"/>
          <w:szCs w:val="24"/>
        </w:rPr>
      </w:pPr>
    </w:p>
    <w:p w14:paraId="1B715FA7" w14:textId="2334E980" w:rsidR="00301851" w:rsidRDefault="00301851">
      <w:pPr>
        <w:rPr>
          <w:sz w:val="24"/>
          <w:szCs w:val="24"/>
        </w:rPr>
      </w:pPr>
    </w:p>
    <w:p w14:paraId="676F484E" w14:textId="77777777" w:rsidR="00301851" w:rsidRDefault="00301851">
      <w:pPr>
        <w:rPr>
          <w:sz w:val="24"/>
          <w:szCs w:val="24"/>
        </w:rPr>
      </w:pPr>
    </w:p>
    <w:sectPr w:rsidR="00301851" w:rsidSect="00DF35E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86EB5D" w14:textId="77777777" w:rsidR="00581700" w:rsidRDefault="00581700" w:rsidP="00294FD6">
      <w:pPr>
        <w:spacing w:after="0" w:line="240" w:lineRule="auto"/>
      </w:pPr>
      <w:r>
        <w:separator/>
      </w:r>
    </w:p>
  </w:endnote>
  <w:endnote w:type="continuationSeparator" w:id="0">
    <w:p w14:paraId="622B455E" w14:textId="77777777" w:rsidR="00581700" w:rsidRDefault="00581700" w:rsidP="00294F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534CCF" w14:textId="77777777" w:rsidR="00581700" w:rsidRDefault="00581700" w:rsidP="00294FD6">
      <w:pPr>
        <w:spacing w:after="0" w:line="240" w:lineRule="auto"/>
      </w:pPr>
      <w:r>
        <w:separator/>
      </w:r>
    </w:p>
  </w:footnote>
  <w:footnote w:type="continuationSeparator" w:id="0">
    <w:p w14:paraId="0EFDEC7B" w14:textId="77777777" w:rsidR="00581700" w:rsidRDefault="00581700" w:rsidP="00294FD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6F347F"/>
    <w:multiLevelType w:val="hybridMultilevel"/>
    <w:tmpl w:val="656EB2E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2386ACC"/>
    <w:multiLevelType w:val="hybridMultilevel"/>
    <w:tmpl w:val="0C36E782"/>
    <w:lvl w:ilvl="0" w:tplc="444A2C3A">
      <w:start w:val="1"/>
      <w:numFmt w:val="decimal"/>
      <w:lvlText w:val="%1."/>
      <w:lvlJc w:val="left"/>
      <w:pPr>
        <w:ind w:left="720" w:hanging="360"/>
      </w:pPr>
      <w:rPr>
        <w:rFonts w:cs="Arial"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B594333"/>
    <w:multiLevelType w:val="hybridMultilevel"/>
    <w:tmpl w:val="97F284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1BE0A8E"/>
    <w:multiLevelType w:val="hybridMultilevel"/>
    <w:tmpl w:val="58AEA3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1E20449"/>
    <w:multiLevelType w:val="hybridMultilevel"/>
    <w:tmpl w:val="E69451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1A5483D"/>
    <w:multiLevelType w:val="hybridMultilevel"/>
    <w:tmpl w:val="FB9C2B5E"/>
    <w:lvl w:ilvl="0" w:tplc="0409000D">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6" w15:restartNumberingAfterBreak="0">
    <w:nsid w:val="6EC833E0"/>
    <w:multiLevelType w:val="hybridMultilevel"/>
    <w:tmpl w:val="58AEA3F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51146044">
    <w:abstractNumId w:val="0"/>
  </w:num>
  <w:num w:numId="2" w16cid:durableId="1062405832">
    <w:abstractNumId w:val="5"/>
  </w:num>
  <w:num w:numId="3" w16cid:durableId="458958597">
    <w:abstractNumId w:val="1"/>
  </w:num>
  <w:num w:numId="4" w16cid:durableId="1570533566">
    <w:abstractNumId w:val="4"/>
  </w:num>
  <w:num w:numId="5" w16cid:durableId="541791835">
    <w:abstractNumId w:val="2"/>
  </w:num>
  <w:num w:numId="6" w16cid:durableId="1231647819">
    <w:abstractNumId w:val="3"/>
  </w:num>
  <w:num w:numId="7" w16cid:durableId="157516238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93477"/>
    <w:rsid w:val="00007EDE"/>
    <w:rsid w:val="00042AAD"/>
    <w:rsid w:val="000610B1"/>
    <w:rsid w:val="00087B6D"/>
    <w:rsid w:val="000E00D4"/>
    <w:rsid w:val="001515BE"/>
    <w:rsid w:val="001C7FEC"/>
    <w:rsid w:val="00231FE4"/>
    <w:rsid w:val="0024580E"/>
    <w:rsid w:val="00294FD6"/>
    <w:rsid w:val="00301851"/>
    <w:rsid w:val="00364AAB"/>
    <w:rsid w:val="003C7247"/>
    <w:rsid w:val="003D718A"/>
    <w:rsid w:val="00465FDE"/>
    <w:rsid w:val="00581700"/>
    <w:rsid w:val="005F3EF9"/>
    <w:rsid w:val="00604B2E"/>
    <w:rsid w:val="00754CE4"/>
    <w:rsid w:val="00776AF0"/>
    <w:rsid w:val="00777EDB"/>
    <w:rsid w:val="008641A4"/>
    <w:rsid w:val="0088709E"/>
    <w:rsid w:val="00921C3A"/>
    <w:rsid w:val="00922E10"/>
    <w:rsid w:val="00976310"/>
    <w:rsid w:val="009D3DF7"/>
    <w:rsid w:val="00A62A9B"/>
    <w:rsid w:val="00A766A5"/>
    <w:rsid w:val="00AA71BE"/>
    <w:rsid w:val="00AB7C52"/>
    <w:rsid w:val="00B93477"/>
    <w:rsid w:val="00D52649"/>
    <w:rsid w:val="00DF35E1"/>
    <w:rsid w:val="00E953E9"/>
    <w:rsid w:val="00EE7D62"/>
    <w:rsid w:val="00F44E38"/>
    <w:rsid w:val="00F82553"/>
    <w:rsid w:val="00F82B9B"/>
    <w:rsid w:val="00FE4C36"/>
    <w:rsid w:val="00FE4FF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031663"/>
  <w15:docId w15:val="{7685E03F-3AC9-47E2-82A2-438217D485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35E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07ED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07EDE"/>
    <w:rPr>
      <w:rFonts w:ascii="Tahoma" w:hAnsi="Tahoma" w:cs="Tahoma"/>
      <w:sz w:val="16"/>
      <w:szCs w:val="16"/>
    </w:rPr>
  </w:style>
  <w:style w:type="paragraph" w:styleId="ListParagraph">
    <w:name w:val="List Paragraph"/>
    <w:basedOn w:val="Normal"/>
    <w:uiPriority w:val="34"/>
    <w:qFormat/>
    <w:rsid w:val="00F82B9B"/>
    <w:pPr>
      <w:ind w:left="720"/>
      <w:contextualSpacing/>
    </w:pPr>
  </w:style>
  <w:style w:type="paragraph" w:styleId="Header">
    <w:name w:val="header"/>
    <w:basedOn w:val="Normal"/>
    <w:link w:val="HeaderChar"/>
    <w:uiPriority w:val="99"/>
    <w:semiHidden/>
    <w:unhideWhenUsed/>
    <w:rsid w:val="00294FD6"/>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94FD6"/>
  </w:style>
  <w:style w:type="paragraph" w:styleId="Footer">
    <w:name w:val="footer"/>
    <w:basedOn w:val="Normal"/>
    <w:link w:val="FooterChar"/>
    <w:uiPriority w:val="99"/>
    <w:semiHidden/>
    <w:unhideWhenUsed/>
    <w:rsid w:val="00294FD6"/>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294FD6"/>
  </w:style>
  <w:style w:type="character" w:styleId="Strong">
    <w:name w:val="Strong"/>
    <w:basedOn w:val="DefaultParagraphFont"/>
    <w:uiPriority w:val="22"/>
    <w:qFormat/>
    <w:rsid w:val="00604B2E"/>
    <w:rPr>
      <w:b/>
      <w:bCs/>
    </w:rPr>
  </w:style>
  <w:style w:type="character" w:styleId="Hyperlink">
    <w:name w:val="Hyperlink"/>
    <w:basedOn w:val="DefaultParagraphFont"/>
    <w:uiPriority w:val="99"/>
    <w:unhideWhenUsed/>
    <w:rsid w:val="00754CE4"/>
    <w:rPr>
      <w:color w:val="0563C1" w:themeColor="hyperlink"/>
      <w:u w:val="single"/>
    </w:rPr>
  </w:style>
  <w:style w:type="character" w:styleId="UnresolvedMention">
    <w:name w:val="Unresolved Mention"/>
    <w:basedOn w:val="DefaultParagraphFont"/>
    <w:uiPriority w:val="99"/>
    <w:semiHidden/>
    <w:unhideWhenUsed/>
    <w:rsid w:val="00754C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opher_s_farkouh@rush.edu"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Qaisarak62@gmail.com" TargetMode="External"/><Relationship Id="rId12" Type="http://schemas.openxmlformats.org/officeDocument/2006/relationships/image" Target="media/image1.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Bikonaghosh.01@gmail.com" TargetMode="External"/><Relationship Id="rId5" Type="http://schemas.openxmlformats.org/officeDocument/2006/relationships/footnotes" Target="footnotes.xml"/><Relationship Id="rId10" Type="http://schemas.openxmlformats.org/officeDocument/2006/relationships/hyperlink" Target="mailto:Bikonaghosh.01@gmail.com" TargetMode="External"/><Relationship Id="rId4" Type="http://schemas.openxmlformats.org/officeDocument/2006/relationships/webSettings" Target="webSettings.xml"/><Relationship Id="rId9" Type="http://schemas.openxmlformats.org/officeDocument/2006/relationships/hyperlink" Target="mailto:Waziruzair1@gmail.com"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150</TotalTime>
  <Pages>3</Pages>
  <Words>716</Words>
  <Characters>4086</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Qaisar Ali Khan</dc:creator>
  <cp:lastModifiedBy>Qaisar Ali Khan</cp:lastModifiedBy>
  <cp:revision>7</cp:revision>
  <dcterms:created xsi:type="dcterms:W3CDTF">2022-11-23T20:01:00Z</dcterms:created>
  <dcterms:modified xsi:type="dcterms:W3CDTF">2022-11-29T04:52:00Z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2bcc05be-fbcb-4fd2-94b9-a4572353746a</vt:lpwstr>
  </property>
</Properties>
</file>