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A6A62C" w14:textId="7CEE6AF0" w:rsidR="002D1897" w:rsidRDefault="00B95BA4">
      <w:r w:rsidRPr="008D0061">
        <w:rPr>
          <w:noProof/>
          <w:color w:val="000000" w:themeColor="text1"/>
        </w:rPr>
        <w:drawing>
          <wp:inline distT="0" distB="0" distL="0" distR="0" wp14:anchorId="10FE6E5E" wp14:editId="0BDCD701">
            <wp:extent cx="5653377" cy="4019005"/>
            <wp:effectExtent l="0" t="0" r="0" b="0"/>
            <wp:docPr id="4" name="Picture 4"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bar chart&#10;&#10;Description automatically generated"/>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l="12485" t="7589" r="13849"/>
                    <a:stretch/>
                  </pic:blipFill>
                  <pic:spPr bwMode="auto">
                    <a:xfrm>
                      <a:off x="0" y="0"/>
                      <a:ext cx="5685270" cy="4041678"/>
                    </a:xfrm>
                    <a:prstGeom prst="rect">
                      <a:avLst/>
                    </a:prstGeom>
                    <a:noFill/>
                    <a:ln>
                      <a:noFill/>
                    </a:ln>
                    <a:extLst>
                      <a:ext uri="{53640926-AAD7-44D8-BBD7-CCE9431645EC}">
                        <a14:shadowObscured xmlns:a14="http://schemas.microsoft.com/office/drawing/2010/main"/>
                      </a:ext>
                    </a:extLst>
                  </pic:spPr>
                </pic:pic>
              </a:graphicData>
            </a:graphic>
          </wp:inline>
        </w:drawing>
      </w:r>
    </w:p>
    <w:p w14:paraId="7289DD12" w14:textId="77777777" w:rsidR="00B95BA4" w:rsidRDefault="00B95BA4" w:rsidP="00B95BA4">
      <w:pPr>
        <w:pStyle w:val="NormalWeb"/>
        <w:jc w:val="both"/>
        <w:rPr>
          <w:rFonts w:asciiTheme="minorHAnsi" w:hAnsiTheme="minorHAnsi" w:cstheme="minorHAnsi"/>
          <w:color w:val="000000" w:themeColor="text1"/>
          <w:sz w:val="20"/>
          <w:szCs w:val="20"/>
          <w:lang w:val="en-US"/>
        </w:rPr>
      </w:pPr>
      <w:r w:rsidRPr="00320C8C">
        <w:rPr>
          <w:rFonts w:asciiTheme="minorHAnsi" w:hAnsiTheme="minorHAnsi" w:cstheme="minorHAnsi"/>
          <w:b/>
          <w:bCs/>
          <w:color w:val="000000" w:themeColor="text1"/>
          <w:sz w:val="20"/>
          <w:szCs w:val="20"/>
        </w:rPr>
        <w:t xml:space="preserve">Figure </w:t>
      </w:r>
      <w:r w:rsidRPr="0061757D">
        <w:rPr>
          <w:rFonts w:asciiTheme="minorHAnsi" w:hAnsiTheme="minorHAnsi" w:cstheme="minorHAnsi"/>
          <w:b/>
          <w:bCs/>
          <w:color w:val="000000" w:themeColor="text1"/>
          <w:sz w:val="20"/>
          <w:szCs w:val="20"/>
          <w:lang w:val="en-US"/>
        </w:rPr>
        <w:t>1</w:t>
      </w:r>
      <w:r w:rsidRPr="00320C8C">
        <w:rPr>
          <w:rFonts w:asciiTheme="minorHAnsi" w:hAnsiTheme="minorHAnsi" w:cstheme="minorHAnsi"/>
          <w:b/>
          <w:bCs/>
          <w:color w:val="000000" w:themeColor="text1"/>
          <w:sz w:val="20"/>
          <w:szCs w:val="20"/>
        </w:rPr>
        <w:t>. Heatmap</w:t>
      </w:r>
      <w:r w:rsidRPr="00B369E9">
        <w:rPr>
          <w:rFonts w:asciiTheme="minorHAnsi" w:hAnsiTheme="minorHAnsi" w:cstheme="minorHAnsi"/>
          <w:b/>
          <w:bCs/>
          <w:color w:val="000000" w:themeColor="text1"/>
          <w:sz w:val="20"/>
          <w:szCs w:val="20"/>
        </w:rPr>
        <w:t xml:space="preserve"> of normalized gene expressions for the </w:t>
      </w:r>
      <w:r w:rsidRPr="00B369E9">
        <w:rPr>
          <w:rFonts w:asciiTheme="minorHAnsi" w:hAnsiTheme="minorHAnsi" w:cstheme="minorHAnsi"/>
          <w:b/>
          <w:bCs/>
          <w:color w:val="000000" w:themeColor="text1"/>
          <w:sz w:val="20"/>
          <w:szCs w:val="20"/>
          <w:lang w:val="en-US"/>
        </w:rPr>
        <w:t>5</w:t>
      </w:r>
      <w:r w:rsidRPr="00B369E9">
        <w:rPr>
          <w:rFonts w:asciiTheme="minorHAnsi" w:hAnsiTheme="minorHAnsi" w:cstheme="minorHAnsi"/>
          <w:b/>
          <w:bCs/>
          <w:color w:val="000000" w:themeColor="text1"/>
          <w:sz w:val="20"/>
          <w:szCs w:val="20"/>
        </w:rPr>
        <w:t xml:space="preserve"> selected genes in all samples identified by the REFS algorithm (algorithm 1).</w:t>
      </w:r>
      <w:r w:rsidRPr="008D0061">
        <w:rPr>
          <w:rFonts w:asciiTheme="minorHAnsi" w:hAnsiTheme="minorHAnsi" w:cstheme="minorHAnsi"/>
          <w:color w:val="000000" w:themeColor="text1"/>
          <w:sz w:val="20"/>
          <w:szCs w:val="20"/>
        </w:rPr>
        <w:t xml:space="preserve"> The heatmap legend displays a color gradient range where -2 denotes the lowest gene expression and 4 the highest gene expression. Merely from visual inspection, samples can be differentiated into two groups: responders and non-responders </w:t>
      </w:r>
      <w:r w:rsidRPr="008D0061">
        <w:rPr>
          <w:rFonts w:asciiTheme="minorHAnsi" w:hAnsiTheme="minorHAnsi" w:cstheme="minorHAnsi"/>
          <w:color w:val="000000" w:themeColor="text1"/>
          <w:sz w:val="20"/>
          <w:szCs w:val="20"/>
          <w:lang w:val="en-US"/>
        </w:rPr>
        <w:t xml:space="preserve">to </w:t>
      </w:r>
      <w:r>
        <w:rPr>
          <w:rFonts w:asciiTheme="minorHAnsi" w:hAnsiTheme="minorHAnsi" w:cstheme="minorHAnsi"/>
          <w:color w:val="000000" w:themeColor="text1"/>
          <w:sz w:val="20"/>
          <w:szCs w:val="20"/>
          <w:lang w:val="en-US"/>
        </w:rPr>
        <w:t>omalizumab</w:t>
      </w:r>
      <w:r w:rsidRPr="008D0061">
        <w:rPr>
          <w:rFonts w:asciiTheme="minorHAnsi" w:hAnsiTheme="minorHAnsi" w:cstheme="minorHAnsi"/>
          <w:color w:val="000000" w:themeColor="text1"/>
          <w:sz w:val="20"/>
          <w:szCs w:val="20"/>
          <w:lang w:val="en-US"/>
        </w:rPr>
        <w:t xml:space="preserve"> treatment.</w:t>
      </w:r>
    </w:p>
    <w:p w14:paraId="368133D2" w14:textId="15ADD72F" w:rsidR="00B95BA4" w:rsidRPr="008D0061" w:rsidRDefault="00B95BA4" w:rsidP="00B95BA4">
      <w:pPr>
        <w:jc w:val="both"/>
        <w:rPr>
          <w:rFonts w:cstheme="minorHAnsi"/>
          <w:color w:val="000000" w:themeColor="text1"/>
        </w:rPr>
      </w:pPr>
      <w:r w:rsidRPr="008D0061">
        <w:rPr>
          <w:rFonts w:cstheme="minorHAnsi"/>
          <w:noProof/>
          <w:color w:val="000000" w:themeColor="text1"/>
        </w:rPr>
        <w:drawing>
          <wp:inline distT="0" distB="0" distL="0" distR="0" wp14:anchorId="7BEF1FCE" wp14:editId="1FA40E09">
            <wp:extent cx="5771213" cy="3799309"/>
            <wp:effectExtent l="0" t="0" r="0" b="0"/>
            <wp:docPr id="18" name="Picture 1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 line char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800631" cy="3818675"/>
                    </a:xfrm>
                    <a:prstGeom prst="rect">
                      <a:avLst/>
                    </a:prstGeom>
                  </pic:spPr>
                </pic:pic>
              </a:graphicData>
            </a:graphic>
          </wp:inline>
        </w:drawing>
      </w:r>
    </w:p>
    <w:p w14:paraId="42095AD9" w14:textId="77777777" w:rsidR="00B95BA4" w:rsidRPr="008D0061" w:rsidRDefault="00B95BA4" w:rsidP="00B95BA4">
      <w:pPr>
        <w:pStyle w:val="NormalWeb"/>
        <w:jc w:val="both"/>
        <w:rPr>
          <w:rFonts w:asciiTheme="minorHAnsi" w:hAnsiTheme="minorHAnsi" w:cstheme="minorHAnsi"/>
          <w:color w:val="000000" w:themeColor="text1"/>
        </w:rPr>
      </w:pPr>
      <w:r w:rsidRPr="0073777A">
        <w:rPr>
          <w:rFonts w:asciiTheme="minorHAnsi" w:hAnsiTheme="minorHAnsi" w:cstheme="minorHAnsi"/>
          <w:b/>
          <w:bCs/>
          <w:color w:val="000000" w:themeColor="text1"/>
          <w:sz w:val="20"/>
          <w:szCs w:val="20"/>
        </w:rPr>
        <w:lastRenderedPageBreak/>
        <w:t xml:space="preserve">Figure </w:t>
      </w:r>
      <w:r w:rsidRPr="0061757D">
        <w:rPr>
          <w:rFonts w:asciiTheme="minorHAnsi" w:hAnsiTheme="minorHAnsi" w:cstheme="minorHAnsi"/>
          <w:b/>
          <w:bCs/>
          <w:color w:val="000000" w:themeColor="text1"/>
          <w:sz w:val="20"/>
          <w:szCs w:val="20"/>
          <w:lang w:val="en-US"/>
        </w:rPr>
        <w:t>2</w:t>
      </w:r>
      <w:r w:rsidRPr="0073777A">
        <w:rPr>
          <w:rFonts w:asciiTheme="minorHAnsi" w:hAnsiTheme="minorHAnsi" w:cstheme="minorHAnsi"/>
          <w:b/>
          <w:bCs/>
          <w:color w:val="000000" w:themeColor="text1"/>
          <w:sz w:val="20"/>
          <w:szCs w:val="20"/>
        </w:rPr>
        <w:t>. ROC curve</w:t>
      </w:r>
      <w:r w:rsidRPr="0073777A">
        <w:rPr>
          <w:rFonts w:asciiTheme="minorHAnsi" w:hAnsiTheme="minorHAnsi" w:cstheme="minorHAnsi"/>
          <w:b/>
          <w:bCs/>
          <w:color w:val="000000" w:themeColor="text1"/>
          <w:sz w:val="20"/>
          <w:szCs w:val="20"/>
          <w:lang w:val="en-US"/>
        </w:rPr>
        <w:t xml:space="preserve"> over all 8 classifiers from REFS</w:t>
      </w:r>
      <w:r w:rsidRPr="0073777A">
        <w:rPr>
          <w:rFonts w:asciiTheme="minorHAnsi" w:hAnsiTheme="minorHAnsi" w:cstheme="minorHAnsi"/>
          <w:color w:val="000000" w:themeColor="text1"/>
          <w:sz w:val="20"/>
          <w:szCs w:val="20"/>
          <w:lang w:val="en-US"/>
        </w:rPr>
        <w:t xml:space="preserve"> </w:t>
      </w:r>
      <w:r w:rsidRPr="0073777A">
        <w:rPr>
          <w:rFonts w:asciiTheme="minorHAnsi" w:hAnsiTheme="minorHAnsi" w:cstheme="minorHAnsi"/>
          <w:b/>
          <w:bCs/>
          <w:color w:val="000000" w:themeColor="text1"/>
          <w:sz w:val="20"/>
          <w:szCs w:val="20"/>
          <w:lang w:val="en-US"/>
        </w:rPr>
        <w:t>to</w:t>
      </w:r>
      <w:r w:rsidRPr="0073777A">
        <w:rPr>
          <w:rFonts w:asciiTheme="minorHAnsi" w:hAnsiTheme="minorHAnsi" w:cstheme="minorHAnsi"/>
          <w:b/>
          <w:bCs/>
          <w:color w:val="000000" w:themeColor="text1"/>
          <w:sz w:val="20"/>
          <w:szCs w:val="20"/>
        </w:rPr>
        <w:t xml:space="preserve"> validat</w:t>
      </w:r>
      <w:r w:rsidRPr="0073777A">
        <w:rPr>
          <w:rFonts w:asciiTheme="minorHAnsi" w:hAnsiTheme="minorHAnsi" w:cstheme="minorHAnsi"/>
          <w:b/>
          <w:bCs/>
          <w:color w:val="000000" w:themeColor="text1"/>
          <w:sz w:val="20"/>
          <w:szCs w:val="20"/>
          <w:lang w:val="en-US"/>
        </w:rPr>
        <w:t>e</w:t>
      </w:r>
      <w:r w:rsidRPr="0073777A">
        <w:rPr>
          <w:rFonts w:asciiTheme="minorHAnsi" w:hAnsiTheme="minorHAnsi" w:cstheme="minorHAnsi"/>
          <w:b/>
          <w:bCs/>
          <w:color w:val="000000" w:themeColor="text1"/>
          <w:sz w:val="20"/>
          <w:szCs w:val="20"/>
        </w:rPr>
        <w:t xml:space="preserve"> </w:t>
      </w:r>
      <w:r w:rsidRPr="0073777A">
        <w:rPr>
          <w:rFonts w:asciiTheme="minorHAnsi" w:hAnsiTheme="minorHAnsi" w:cstheme="minorHAnsi"/>
          <w:b/>
          <w:bCs/>
          <w:color w:val="000000" w:themeColor="text1"/>
          <w:sz w:val="20"/>
          <w:szCs w:val="20"/>
          <w:lang w:val="en-US"/>
        </w:rPr>
        <w:t xml:space="preserve">the </w:t>
      </w:r>
      <w:r w:rsidRPr="0073777A">
        <w:rPr>
          <w:rFonts w:asciiTheme="minorHAnsi" w:hAnsiTheme="minorHAnsi" w:cstheme="minorHAnsi"/>
          <w:b/>
          <w:bCs/>
          <w:color w:val="000000" w:themeColor="text1"/>
          <w:sz w:val="20"/>
          <w:szCs w:val="20"/>
        </w:rPr>
        <w:t xml:space="preserve">identified </w:t>
      </w:r>
      <w:r w:rsidRPr="0073777A">
        <w:rPr>
          <w:rFonts w:asciiTheme="minorHAnsi" w:hAnsiTheme="minorHAnsi" w:cstheme="minorHAnsi"/>
          <w:b/>
          <w:bCs/>
          <w:color w:val="000000" w:themeColor="text1"/>
          <w:sz w:val="20"/>
          <w:szCs w:val="20"/>
          <w:lang w:val="en-US"/>
        </w:rPr>
        <w:t>5</w:t>
      </w:r>
      <w:r w:rsidRPr="0073777A">
        <w:rPr>
          <w:rFonts w:asciiTheme="minorHAnsi" w:hAnsiTheme="minorHAnsi" w:cstheme="minorHAnsi"/>
          <w:b/>
          <w:bCs/>
          <w:color w:val="000000" w:themeColor="text1"/>
          <w:sz w:val="20"/>
          <w:szCs w:val="20"/>
        </w:rPr>
        <w:t>-gene signature</w:t>
      </w:r>
      <w:r w:rsidRPr="0073777A">
        <w:rPr>
          <w:rFonts w:asciiTheme="minorHAnsi" w:hAnsiTheme="minorHAnsi" w:cstheme="minorHAnsi"/>
          <w:b/>
          <w:bCs/>
          <w:color w:val="000000" w:themeColor="text1"/>
          <w:sz w:val="20"/>
          <w:szCs w:val="20"/>
          <w:lang w:val="en-US"/>
        </w:rPr>
        <w:t>.</w:t>
      </w:r>
      <w:r w:rsidRPr="0073777A">
        <w:rPr>
          <w:rFonts w:asciiTheme="minorHAnsi" w:hAnsiTheme="minorHAnsi" w:cstheme="minorHAnsi"/>
          <w:color w:val="000000" w:themeColor="text1"/>
          <w:sz w:val="20"/>
          <w:szCs w:val="20"/>
          <w:lang w:val="en-US"/>
        </w:rPr>
        <w:t xml:space="preserve"> </w:t>
      </w:r>
      <w:r w:rsidRPr="0073777A">
        <w:rPr>
          <w:rFonts w:asciiTheme="minorHAnsi" w:hAnsiTheme="minorHAnsi" w:cstheme="minorHAnsi"/>
          <w:color w:val="000000" w:themeColor="text1"/>
          <w:sz w:val="20"/>
          <w:szCs w:val="20"/>
        </w:rPr>
        <w:t>The ROC curve shows the binarization threshold from 0 (all moderate-to-severe asthma patients as omalizumab responders and both the TPR and FPR =1; upper right corner of ROC) to 1 (all moderate-severe asthma patients classified as non-responders to</w:t>
      </w:r>
      <w:r w:rsidRPr="008D0061">
        <w:rPr>
          <w:rFonts w:asciiTheme="minorHAnsi" w:hAnsiTheme="minorHAnsi" w:cstheme="minorHAnsi"/>
          <w:color w:val="000000" w:themeColor="text1"/>
          <w:sz w:val="20"/>
          <w:szCs w:val="20"/>
        </w:rPr>
        <w:t xml:space="preserve"> </w:t>
      </w:r>
      <w:r w:rsidRPr="007828F6">
        <w:rPr>
          <w:rFonts w:asciiTheme="minorHAnsi" w:hAnsiTheme="minorHAnsi" w:cstheme="minorHAnsi"/>
          <w:color w:val="000000" w:themeColor="text1"/>
          <w:sz w:val="20"/>
          <w:szCs w:val="20"/>
          <w:lang w:val="en-US"/>
        </w:rPr>
        <w:t>o</w:t>
      </w:r>
      <w:r>
        <w:rPr>
          <w:rFonts w:asciiTheme="minorHAnsi" w:hAnsiTheme="minorHAnsi" w:cstheme="minorHAnsi"/>
          <w:color w:val="000000" w:themeColor="text1"/>
          <w:sz w:val="20"/>
          <w:szCs w:val="20"/>
        </w:rPr>
        <w:t>malizumab</w:t>
      </w:r>
      <w:r w:rsidRPr="008D0061">
        <w:rPr>
          <w:rFonts w:asciiTheme="minorHAnsi" w:hAnsiTheme="minorHAnsi" w:cstheme="minorHAnsi"/>
          <w:color w:val="000000" w:themeColor="text1"/>
          <w:sz w:val="20"/>
          <w:szCs w:val="20"/>
        </w:rPr>
        <w:t xml:space="preserve"> and both TPR and FPR=0; lower left corner of ROC). The AUC is the area in the plot which stays under the ROC curve. The Passive aggressive classifier which produced the blue ROC curve shows the best predictive accuracy as it covers a larger area compared to the straight ROC curve with the random classifier (red dashed line). </w:t>
      </w:r>
    </w:p>
    <w:p w14:paraId="784B4730" w14:textId="77777777" w:rsidR="00B95BA4" w:rsidRPr="008D0061" w:rsidRDefault="00B95BA4" w:rsidP="00B95BA4">
      <w:pPr>
        <w:spacing w:before="100" w:beforeAutospacing="1" w:after="100" w:afterAutospacing="1" w:line="276" w:lineRule="auto"/>
        <w:jc w:val="both"/>
        <w:rPr>
          <w:rFonts w:cstheme="minorHAnsi"/>
          <w:color w:val="000000" w:themeColor="text1"/>
          <w:sz w:val="20"/>
          <w:szCs w:val="20"/>
          <w:lang w:val="en-GB"/>
        </w:rPr>
      </w:pPr>
      <w:r w:rsidRPr="008D0061">
        <w:rPr>
          <w:rFonts w:cstheme="minorHAnsi"/>
          <w:noProof/>
          <w:color w:val="000000" w:themeColor="text1"/>
          <w:sz w:val="20"/>
          <w:szCs w:val="20"/>
          <w:lang w:val="en-GB"/>
        </w:rPr>
        <w:drawing>
          <wp:inline distT="0" distB="0" distL="0" distR="0" wp14:anchorId="7155252A" wp14:editId="6A7FBF4E">
            <wp:extent cx="5731510" cy="3250194"/>
            <wp:effectExtent l="0" t="0" r="0" b="1270"/>
            <wp:docPr id="5" name="Picture 5"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imeline&#10;&#10;Description automatically generated"/>
                    <pic:cNvPicPr/>
                  </pic:nvPicPr>
                  <pic:blipFill rotWithShape="1">
                    <a:blip r:embed="rId6" cstate="print">
                      <a:extLst>
                        <a:ext uri="{28A0092B-C50C-407E-A947-70E740481C1C}">
                          <a14:useLocalDpi xmlns:a14="http://schemas.microsoft.com/office/drawing/2010/main" val="0"/>
                        </a:ext>
                      </a:extLst>
                    </a:blip>
                    <a:srcRect b="3771"/>
                    <a:stretch/>
                  </pic:blipFill>
                  <pic:spPr bwMode="auto">
                    <a:xfrm>
                      <a:off x="0" y="0"/>
                      <a:ext cx="5731510" cy="3250194"/>
                    </a:xfrm>
                    <a:prstGeom prst="rect">
                      <a:avLst/>
                    </a:prstGeom>
                    <a:ln>
                      <a:noFill/>
                    </a:ln>
                    <a:extLst>
                      <a:ext uri="{53640926-AAD7-44D8-BBD7-CCE9431645EC}">
                        <a14:shadowObscured xmlns:a14="http://schemas.microsoft.com/office/drawing/2010/main"/>
                      </a:ext>
                    </a:extLst>
                  </pic:spPr>
                </pic:pic>
              </a:graphicData>
            </a:graphic>
          </wp:inline>
        </w:drawing>
      </w:r>
    </w:p>
    <w:p w14:paraId="7AF703AE" w14:textId="7EC46B7F" w:rsidR="00B95BA4" w:rsidRDefault="00B95BA4" w:rsidP="00B95BA4">
      <w:pPr>
        <w:pStyle w:val="NormalWeb"/>
        <w:spacing w:line="276" w:lineRule="auto"/>
        <w:jc w:val="both"/>
        <w:rPr>
          <w:rFonts w:asciiTheme="minorHAnsi" w:hAnsiTheme="minorHAnsi" w:cstheme="minorHAnsi"/>
          <w:color w:val="000000" w:themeColor="text1"/>
          <w:sz w:val="20"/>
          <w:szCs w:val="20"/>
          <w:lang w:val="en-US"/>
        </w:rPr>
      </w:pPr>
      <w:r w:rsidRPr="00B95BA4">
        <w:rPr>
          <w:rFonts w:asciiTheme="minorHAnsi" w:hAnsiTheme="minorHAnsi" w:cstheme="minorHAnsi"/>
          <w:b/>
          <w:bCs/>
          <w:color w:val="000000" w:themeColor="text1"/>
          <w:sz w:val="20"/>
          <w:szCs w:val="20"/>
          <w:lang w:val="en-US"/>
        </w:rPr>
        <w:t>Fig</w:t>
      </w:r>
      <w:r w:rsidRPr="00B95BA4">
        <w:rPr>
          <w:rFonts w:asciiTheme="minorHAnsi" w:hAnsiTheme="minorHAnsi" w:cstheme="minorHAnsi"/>
          <w:b/>
          <w:bCs/>
          <w:color w:val="000000" w:themeColor="text1"/>
          <w:sz w:val="20"/>
          <w:szCs w:val="20"/>
          <w:lang w:val="en-US"/>
        </w:rPr>
        <w:t>ure</w:t>
      </w:r>
      <w:r w:rsidRPr="00B95BA4">
        <w:rPr>
          <w:rFonts w:asciiTheme="minorHAnsi" w:hAnsiTheme="minorHAnsi" w:cstheme="minorHAnsi"/>
          <w:b/>
          <w:bCs/>
          <w:color w:val="000000" w:themeColor="text1"/>
          <w:sz w:val="20"/>
          <w:szCs w:val="20"/>
          <w:lang w:val="en-US"/>
        </w:rPr>
        <w:t xml:space="preserve"> 3.</w:t>
      </w:r>
      <w:r w:rsidRPr="008D0061">
        <w:rPr>
          <w:rFonts w:asciiTheme="minorHAnsi" w:hAnsiTheme="minorHAnsi" w:cstheme="minorHAnsi"/>
          <w:color w:val="000000" w:themeColor="text1"/>
          <w:sz w:val="20"/>
          <w:szCs w:val="20"/>
          <w:lang w:val="en-US"/>
        </w:rPr>
        <w:t xml:space="preserve"> </w:t>
      </w:r>
      <w:r>
        <w:rPr>
          <w:rFonts w:asciiTheme="minorHAnsi" w:hAnsiTheme="minorHAnsi" w:cstheme="minorHAnsi"/>
          <w:color w:val="000000" w:themeColor="text1"/>
          <w:sz w:val="20"/>
          <w:szCs w:val="20"/>
          <w:lang w:val="en-US"/>
        </w:rPr>
        <w:t xml:space="preserve"> </w:t>
      </w:r>
      <w:r w:rsidRPr="00C23E85">
        <w:rPr>
          <w:rFonts w:asciiTheme="minorHAnsi" w:hAnsiTheme="minorHAnsi" w:cstheme="minorHAnsi"/>
          <w:b/>
          <w:bCs/>
          <w:color w:val="000000" w:themeColor="text1"/>
          <w:sz w:val="20"/>
          <w:szCs w:val="20"/>
          <w:lang w:val="en-US"/>
        </w:rPr>
        <w:t>Summarized results of the t</w:t>
      </w:r>
      <w:r w:rsidRPr="00C23E85">
        <w:rPr>
          <w:rFonts w:asciiTheme="minorHAnsi" w:hAnsiTheme="minorHAnsi" w:cstheme="minorHAnsi"/>
          <w:b/>
          <w:bCs/>
          <w:color w:val="000000" w:themeColor="text1"/>
          <w:sz w:val="20"/>
          <w:szCs w:val="20"/>
        </w:rPr>
        <w:t>wo algorithms predict</w:t>
      </w:r>
      <w:proofErr w:type="spellStart"/>
      <w:r w:rsidRPr="00C23E85">
        <w:rPr>
          <w:rFonts w:asciiTheme="minorHAnsi" w:hAnsiTheme="minorHAnsi" w:cstheme="minorHAnsi"/>
          <w:b/>
          <w:bCs/>
          <w:color w:val="000000" w:themeColor="text1"/>
          <w:sz w:val="20"/>
          <w:szCs w:val="20"/>
          <w:lang w:val="en-US"/>
        </w:rPr>
        <w:t>ing</w:t>
      </w:r>
      <w:proofErr w:type="spellEnd"/>
      <w:r w:rsidRPr="00C23E85">
        <w:rPr>
          <w:rFonts w:asciiTheme="minorHAnsi" w:hAnsiTheme="minorHAnsi" w:cstheme="minorHAnsi"/>
          <w:b/>
          <w:bCs/>
          <w:color w:val="000000" w:themeColor="text1"/>
          <w:sz w:val="20"/>
          <w:szCs w:val="20"/>
        </w:rPr>
        <w:t xml:space="preserve"> treatment responsiveness of </w:t>
      </w:r>
      <w:r w:rsidRPr="007828F6">
        <w:rPr>
          <w:rFonts w:asciiTheme="minorHAnsi" w:hAnsiTheme="minorHAnsi" w:cstheme="minorHAnsi"/>
          <w:b/>
          <w:bCs/>
          <w:color w:val="000000" w:themeColor="text1"/>
          <w:sz w:val="20"/>
          <w:szCs w:val="20"/>
          <w:lang w:val="en-US"/>
        </w:rPr>
        <w:t>o</w:t>
      </w:r>
      <w:r>
        <w:rPr>
          <w:rFonts w:asciiTheme="minorHAnsi" w:hAnsiTheme="minorHAnsi" w:cstheme="minorHAnsi"/>
          <w:b/>
          <w:bCs/>
          <w:color w:val="000000" w:themeColor="text1"/>
          <w:sz w:val="20"/>
          <w:szCs w:val="20"/>
        </w:rPr>
        <w:t>malizumab</w:t>
      </w:r>
      <w:r w:rsidRPr="00C23E85">
        <w:rPr>
          <w:rFonts w:asciiTheme="minorHAnsi" w:hAnsiTheme="minorHAnsi" w:cstheme="minorHAnsi"/>
          <w:b/>
          <w:bCs/>
          <w:color w:val="000000" w:themeColor="text1"/>
          <w:sz w:val="20"/>
          <w:szCs w:val="20"/>
          <w:lang w:val="en-US"/>
        </w:rPr>
        <w:t xml:space="preserve"> in moderate-to-severe asthma</w:t>
      </w:r>
      <w:r w:rsidRPr="00C23E85">
        <w:rPr>
          <w:rFonts w:asciiTheme="minorHAnsi" w:hAnsiTheme="minorHAnsi" w:cstheme="minorHAnsi"/>
          <w:b/>
          <w:bCs/>
          <w:color w:val="000000" w:themeColor="text1"/>
          <w:sz w:val="20"/>
          <w:szCs w:val="20"/>
        </w:rPr>
        <w:t>.</w:t>
      </w:r>
      <w:r w:rsidRPr="008D0061">
        <w:rPr>
          <w:rFonts w:asciiTheme="minorHAnsi" w:hAnsiTheme="minorHAnsi" w:cstheme="minorHAnsi"/>
          <w:color w:val="000000" w:themeColor="text1"/>
          <w:sz w:val="20"/>
          <w:szCs w:val="20"/>
        </w:rPr>
        <w:t xml:space="preserve"> </w:t>
      </w:r>
      <w:r w:rsidRPr="008D0061">
        <w:rPr>
          <w:rFonts w:asciiTheme="minorHAnsi" w:hAnsiTheme="minorHAnsi" w:cstheme="minorHAnsi"/>
          <w:color w:val="000000" w:themeColor="text1"/>
          <w:sz w:val="20"/>
          <w:szCs w:val="20"/>
          <w:lang w:val="en-US"/>
        </w:rPr>
        <w:t>Whole blood mRNA</w:t>
      </w:r>
      <w:r w:rsidRPr="008D0061">
        <w:rPr>
          <w:rFonts w:asciiTheme="minorHAnsi" w:hAnsiTheme="minorHAnsi" w:cstheme="minorHAnsi"/>
          <w:color w:val="000000" w:themeColor="text1"/>
          <w:sz w:val="20"/>
          <w:szCs w:val="20"/>
        </w:rPr>
        <w:t xml:space="preserve"> expression profiles </w:t>
      </w:r>
      <w:r w:rsidRPr="008D0061">
        <w:rPr>
          <w:rFonts w:asciiTheme="minorHAnsi" w:hAnsiTheme="minorHAnsi" w:cstheme="minorHAnsi"/>
          <w:color w:val="000000" w:themeColor="text1"/>
          <w:sz w:val="20"/>
          <w:szCs w:val="20"/>
          <w:lang w:val="en-US"/>
        </w:rPr>
        <w:t xml:space="preserve">in samples collected day 0 (1 week before the start of the treatment) </w:t>
      </w:r>
      <w:r w:rsidRPr="008D0061">
        <w:rPr>
          <w:rFonts w:asciiTheme="minorHAnsi" w:hAnsiTheme="minorHAnsi" w:cstheme="minorHAnsi"/>
          <w:color w:val="000000" w:themeColor="text1"/>
          <w:sz w:val="20"/>
          <w:szCs w:val="20"/>
        </w:rPr>
        <w:t xml:space="preserve">were used </w:t>
      </w:r>
      <w:r w:rsidRPr="008D0061">
        <w:rPr>
          <w:rFonts w:asciiTheme="minorHAnsi" w:hAnsiTheme="minorHAnsi" w:cstheme="minorHAnsi"/>
          <w:color w:val="000000" w:themeColor="text1"/>
          <w:sz w:val="20"/>
          <w:szCs w:val="20"/>
          <w:lang w:val="en-US"/>
        </w:rPr>
        <w:t>for the REFS analysis (algorithm 1)</w:t>
      </w:r>
      <w:r w:rsidRPr="008D0061">
        <w:rPr>
          <w:rFonts w:asciiTheme="minorHAnsi" w:hAnsiTheme="minorHAnsi" w:cstheme="minorHAnsi"/>
          <w:color w:val="000000" w:themeColor="text1"/>
          <w:sz w:val="20"/>
          <w:szCs w:val="20"/>
        </w:rPr>
        <w:t>.</w:t>
      </w:r>
      <w:r w:rsidRPr="008D0061">
        <w:rPr>
          <w:rFonts w:asciiTheme="minorHAnsi" w:hAnsiTheme="minorHAnsi" w:cstheme="minorHAnsi"/>
          <w:color w:val="000000" w:themeColor="text1"/>
          <w:sz w:val="20"/>
          <w:szCs w:val="20"/>
          <w:lang w:val="en-US"/>
        </w:rPr>
        <w:t xml:space="preserve"> In total 40 moderate-to-severe asthmatic patients, n= 30 responders, and n=10 non-responders</w:t>
      </w:r>
      <w:r>
        <w:rPr>
          <w:rFonts w:asciiTheme="minorHAnsi" w:hAnsiTheme="minorHAnsi" w:cstheme="minorHAnsi"/>
          <w:color w:val="000000" w:themeColor="text1"/>
          <w:sz w:val="20"/>
          <w:szCs w:val="20"/>
          <w:lang w:val="en-US"/>
        </w:rPr>
        <w:t xml:space="preserve"> were included</w:t>
      </w:r>
      <w:r w:rsidRPr="008D0061">
        <w:rPr>
          <w:rFonts w:asciiTheme="minorHAnsi" w:hAnsiTheme="minorHAnsi" w:cstheme="minorHAnsi"/>
          <w:color w:val="000000" w:themeColor="text1"/>
          <w:sz w:val="20"/>
          <w:szCs w:val="20"/>
          <w:lang w:val="en-US"/>
        </w:rPr>
        <w:t>. For LEN analysis (algorithm 2), n=17 healthy controls were also included. With REFS</w:t>
      </w:r>
      <w:r>
        <w:rPr>
          <w:rFonts w:asciiTheme="minorHAnsi" w:hAnsiTheme="minorHAnsi" w:cstheme="minorHAnsi"/>
          <w:color w:val="000000" w:themeColor="text1"/>
          <w:sz w:val="20"/>
          <w:szCs w:val="20"/>
          <w:lang w:val="en-US"/>
        </w:rPr>
        <w:t>,</w:t>
      </w:r>
      <w:r w:rsidRPr="008D0061">
        <w:rPr>
          <w:rFonts w:asciiTheme="minorHAnsi" w:hAnsiTheme="minorHAnsi" w:cstheme="minorHAnsi"/>
          <w:color w:val="000000" w:themeColor="text1"/>
          <w:sz w:val="20"/>
          <w:szCs w:val="20"/>
          <w:lang w:val="en-US"/>
        </w:rPr>
        <w:t xml:space="preserve"> </w:t>
      </w:r>
      <w:r>
        <w:rPr>
          <w:rFonts w:asciiTheme="minorHAnsi" w:hAnsiTheme="minorHAnsi" w:cstheme="minorHAnsi"/>
          <w:color w:val="000000" w:themeColor="text1"/>
          <w:sz w:val="20"/>
          <w:szCs w:val="20"/>
          <w:lang w:val="en-US"/>
        </w:rPr>
        <w:t xml:space="preserve">five </w:t>
      </w:r>
      <w:r w:rsidRPr="008D0061">
        <w:rPr>
          <w:rFonts w:asciiTheme="minorHAnsi" w:hAnsiTheme="minorHAnsi" w:cstheme="minorHAnsi"/>
          <w:color w:val="000000" w:themeColor="text1"/>
          <w:sz w:val="20"/>
          <w:szCs w:val="20"/>
          <w:lang w:val="en-US"/>
        </w:rPr>
        <w:t>independent responsiveness-predictive genes are identified, whereas rule-based LEN identifie</w:t>
      </w:r>
      <w:r>
        <w:rPr>
          <w:rFonts w:asciiTheme="minorHAnsi" w:hAnsiTheme="minorHAnsi" w:cstheme="minorHAnsi"/>
          <w:color w:val="000000" w:themeColor="text1"/>
          <w:sz w:val="20"/>
          <w:szCs w:val="20"/>
          <w:lang w:val="en-US"/>
        </w:rPr>
        <w:t>d</w:t>
      </w:r>
      <w:r w:rsidRPr="008D0061">
        <w:rPr>
          <w:rFonts w:asciiTheme="minorHAnsi" w:hAnsiTheme="minorHAnsi" w:cstheme="minorHAnsi"/>
          <w:color w:val="000000" w:themeColor="text1"/>
          <w:sz w:val="20"/>
          <w:szCs w:val="20"/>
          <w:lang w:val="en-US"/>
        </w:rPr>
        <w:t xml:space="preserve"> </w:t>
      </w:r>
      <w:r>
        <w:rPr>
          <w:rFonts w:asciiTheme="minorHAnsi" w:hAnsiTheme="minorHAnsi" w:cstheme="minorHAnsi"/>
          <w:color w:val="000000" w:themeColor="text1"/>
          <w:sz w:val="20"/>
          <w:szCs w:val="20"/>
          <w:lang w:val="en-US"/>
        </w:rPr>
        <w:t xml:space="preserve">three </w:t>
      </w:r>
      <w:r w:rsidRPr="008D0061">
        <w:rPr>
          <w:rFonts w:asciiTheme="minorHAnsi" w:hAnsiTheme="minorHAnsi" w:cstheme="minorHAnsi"/>
          <w:color w:val="000000" w:themeColor="text1"/>
          <w:sz w:val="20"/>
          <w:szCs w:val="20"/>
          <w:lang w:val="en-US"/>
        </w:rPr>
        <w:t xml:space="preserve">gene groups </w:t>
      </w:r>
      <w:r>
        <w:rPr>
          <w:rFonts w:asciiTheme="minorHAnsi" w:hAnsiTheme="minorHAnsi" w:cstheme="minorHAnsi"/>
          <w:color w:val="000000" w:themeColor="text1"/>
          <w:sz w:val="20"/>
          <w:szCs w:val="20"/>
          <w:lang w:val="en-US"/>
        </w:rPr>
        <w:t>that</w:t>
      </w:r>
      <w:r w:rsidRPr="008D0061">
        <w:rPr>
          <w:rFonts w:asciiTheme="minorHAnsi" w:hAnsiTheme="minorHAnsi" w:cstheme="minorHAnsi"/>
          <w:color w:val="000000" w:themeColor="text1"/>
          <w:sz w:val="20"/>
          <w:szCs w:val="20"/>
          <w:lang w:val="en-US"/>
        </w:rPr>
        <w:t xml:space="preserve"> predict</w:t>
      </w:r>
      <w:r>
        <w:rPr>
          <w:rFonts w:asciiTheme="minorHAnsi" w:hAnsiTheme="minorHAnsi" w:cstheme="minorHAnsi"/>
          <w:color w:val="000000" w:themeColor="text1"/>
          <w:sz w:val="20"/>
          <w:szCs w:val="20"/>
          <w:lang w:val="en-US"/>
        </w:rPr>
        <w:t>ed</w:t>
      </w:r>
      <w:r w:rsidRPr="008D0061">
        <w:rPr>
          <w:rFonts w:asciiTheme="minorHAnsi" w:hAnsiTheme="minorHAnsi" w:cstheme="minorHAnsi"/>
          <w:color w:val="000000" w:themeColor="text1"/>
          <w:sz w:val="20"/>
          <w:szCs w:val="20"/>
          <w:lang w:val="en-US"/>
        </w:rPr>
        <w:t xml:space="preserve"> responsiveness. Comparing both approaches an overlap of </w:t>
      </w:r>
      <w:r>
        <w:rPr>
          <w:rFonts w:asciiTheme="minorHAnsi" w:hAnsiTheme="minorHAnsi" w:cstheme="minorHAnsi"/>
          <w:color w:val="000000" w:themeColor="text1"/>
          <w:sz w:val="20"/>
          <w:szCs w:val="20"/>
          <w:lang w:val="en-US"/>
        </w:rPr>
        <w:t>four</w:t>
      </w:r>
      <w:r w:rsidRPr="008D0061">
        <w:rPr>
          <w:rFonts w:asciiTheme="minorHAnsi" w:hAnsiTheme="minorHAnsi" w:cstheme="minorHAnsi"/>
          <w:color w:val="000000" w:themeColor="text1"/>
          <w:sz w:val="20"/>
          <w:szCs w:val="20"/>
          <w:lang w:val="en-US"/>
        </w:rPr>
        <w:t xml:space="preserve"> genes was found.  The relationship between responder status (R/NR) is shown in the heatmap. The mRNA expression of responders compared to healthy controls is shown in the table. </w:t>
      </w:r>
    </w:p>
    <w:p w14:paraId="69626604" w14:textId="77777777" w:rsidR="00B95BA4" w:rsidRPr="00B95BA4" w:rsidRDefault="00B95BA4"/>
    <w:sectPr w:rsidR="00B95BA4" w:rsidRPr="00B95BA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5BA4"/>
    <w:rsid w:val="0045469A"/>
    <w:rsid w:val="0062753C"/>
    <w:rsid w:val="007576DA"/>
    <w:rsid w:val="00B95BA4"/>
    <w:rsid w:val="00BC6544"/>
    <w:rsid w:val="00C3667C"/>
    <w:rsid w:val="00C87A0F"/>
    <w:rsid w:val="00F65DD8"/>
  </w:rsids>
  <m:mathPr>
    <m:mathFont m:val="Cambria Math"/>
    <m:brkBin m:val="before"/>
    <m:brkBinSub m:val="--"/>
    <m:smallFrac m:val="0"/>
    <m:dispDef/>
    <m:lMargin m:val="0"/>
    <m:rMargin m:val="0"/>
    <m:defJc m:val="centerGroup"/>
    <m:wrapIndent m:val="1440"/>
    <m:intLim m:val="subSup"/>
    <m:naryLim m:val="undOvr"/>
  </m:mathPr>
  <w:themeFontLang w:val="en-NL"/>
  <w:clrSchemeMapping w:bg1="light1" w:t1="dark1" w:bg2="light2" w:t2="dark2" w:accent1="accent1" w:accent2="accent2" w:accent3="accent3" w:accent4="accent4" w:accent5="accent5" w:accent6="accent6" w:hyperlink="hyperlink" w:followedHyperlink="followedHyperlink"/>
  <w:decimalSymbol w:val="."/>
  <w:listSeparator w:val=","/>
  <w14:docId w14:val="1BBBAD0C"/>
  <w15:chartTrackingRefBased/>
  <w15:docId w15:val="{4CA8437A-1E6D-D049-8DE8-4B1341748E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B95BA4"/>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B95BA4"/>
    <w:pPr>
      <w:spacing w:before="100" w:beforeAutospacing="1" w:after="100" w:afterAutospacing="1"/>
    </w:pPr>
    <w:rPr>
      <w:rFonts w:ascii="Times New Roman" w:eastAsia="Times New Roman" w:hAnsi="Times New Roman" w:cs="Times New Roman"/>
      <w:lang w:val="en-NL" w:eastAsia="en-GB"/>
    </w:rPr>
  </w:style>
  <w:style w:type="character" w:customStyle="1" w:styleId="Heading1Char">
    <w:name w:val="Heading 1 Char"/>
    <w:basedOn w:val="DefaultParagraphFont"/>
    <w:link w:val="Heading1"/>
    <w:uiPriority w:val="9"/>
    <w:rsid w:val="00B95BA4"/>
    <w:rPr>
      <w:rFonts w:asciiTheme="majorHAnsi" w:eastAsiaTheme="majorEastAsia" w:hAnsiTheme="majorHAnsi" w:cstheme="majorBidi"/>
      <w:color w:val="2F5496" w:themeColor="accent1" w:themeShade="BF"/>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2</Pages>
  <Words>290</Words>
  <Characters>1654</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Kidwai, S. (Sarah)</dc:creator>
  <cp:keywords/>
  <dc:description/>
  <cp:lastModifiedBy>Kidwai, S. (Sarah)</cp:lastModifiedBy>
  <cp:revision>2</cp:revision>
  <dcterms:created xsi:type="dcterms:W3CDTF">2022-09-24T22:34:00Z</dcterms:created>
  <dcterms:modified xsi:type="dcterms:W3CDTF">2022-09-24T23:27:00Z</dcterms:modified>
</cp:coreProperties>
</file>