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C503C" w14:textId="7F0776BC" w:rsidR="0070028E" w:rsidRPr="00456C7B" w:rsidRDefault="0070028E" w:rsidP="00EA6F50">
      <w:pPr>
        <w:pStyle w:val="Heading1"/>
      </w:pPr>
      <w:r w:rsidRPr="00456C7B">
        <w:t xml:space="preserve">Title: </w:t>
      </w:r>
      <w:r w:rsidR="00AF30C5" w:rsidRPr="00456C7B">
        <w:rPr>
          <w:rFonts w:eastAsia="Times New Roman"/>
        </w:rPr>
        <w:t>Is Thailand’s hepatitis C treatment program at risk from its plans to join an Asia-Pacific trade pact?</w:t>
      </w:r>
    </w:p>
    <w:p w14:paraId="66A2D6F0" w14:textId="51165DE1" w:rsidR="0070028E" w:rsidRPr="00456C7B" w:rsidRDefault="0070028E" w:rsidP="0070028E">
      <w:pPr>
        <w:pStyle w:val="Heading1"/>
      </w:pPr>
      <w:r w:rsidRPr="00456C7B">
        <w:t>Authors</w:t>
      </w:r>
    </w:p>
    <w:p w14:paraId="7007D6E2" w14:textId="77777777" w:rsidR="002F59CC" w:rsidRPr="00456C7B" w:rsidRDefault="002F59CC" w:rsidP="00E775BA">
      <w:pPr>
        <w:spacing w:after="0"/>
      </w:pPr>
    </w:p>
    <w:p w14:paraId="3C7B7CBA" w14:textId="3E196A17" w:rsidR="00E775BA" w:rsidRPr="00456C7B" w:rsidRDefault="00E775BA" w:rsidP="00E775BA">
      <w:pPr>
        <w:spacing w:after="0"/>
      </w:pPr>
      <w:r w:rsidRPr="00456C7B">
        <w:t>Ms Brigitte Tenni*</w:t>
      </w:r>
    </w:p>
    <w:p w14:paraId="686CAF87" w14:textId="77777777" w:rsidR="00E775BA" w:rsidRPr="00456C7B" w:rsidRDefault="00E775BA" w:rsidP="00E775BA">
      <w:pPr>
        <w:spacing w:after="0"/>
      </w:pPr>
      <w:r w:rsidRPr="00456C7B">
        <w:t>Orchid ID number 0000-0002-3356-4967</w:t>
      </w:r>
    </w:p>
    <w:p w14:paraId="2C96C495" w14:textId="77777777" w:rsidR="00E775BA" w:rsidRPr="00456C7B" w:rsidRDefault="00E775BA" w:rsidP="00E775BA">
      <w:pPr>
        <w:spacing w:after="0"/>
      </w:pPr>
      <w:r w:rsidRPr="00456C7B">
        <w:t>PhD Candidate La Trobe University, Melbourne, Australia</w:t>
      </w:r>
    </w:p>
    <w:p w14:paraId="1087C8DF" w14:textId="77777777" w:rsidR="005C60F3" w:rsidRPr="00456C7B" w:rsidRDefault="005C60F3" w:rsidP="00E775BA">
      <w:pPr>
        <w:spacing w:after="0"/>
      </w:pPr>
    </w:p>
    <w:p w14:paraId="4505B62B" w14:textId="77777777" w:rsidR="005C60F3" w:rsidRPr="00456C7B" w:rsidRDefault="00E775BA" w:rsidP="00E775BA">
      <w:pPr>
        <w:spacing w:after="0"/>
      </w:pPr>
      <w:r w:rsidRPr="00456C7B">
        <w:t xml:space="preserve">Nossal Institute for Global Health, </w:t>
      </w:r>
    </w:p>
    <w:p w14:paraId="3906A372" w14:textId="4431C956" w:rsidR="00E775BA" w:rsidRPr="00456C7B" w:rsidRDefault="00E775BA" w:rsidP="00E775BA">
      <w:pPr>
        <w:spacing w:after="0"/>
      </w:pPr>
      <w:r w:rsidRPr="00456C7B">
        <w:t>University of Melbourne, Melbourne, Australia</w:t>
      </w:r>
    </w:p>
    <w:p w14:paraId="6F8E667E" w14:textId="77777777" w:rsidR="00E775BA" w:rsidRPr="00456C7B" w:rsidRDefault="00E775BA" w:rsidP="00E775BA">
      <w:pPr>
        <w:spacing w:after="0"/>
      </w:pPr>
    </w:p>
    <w:p w14:paraId="44FED620" w14:textId="77777777" w:rsidR="00E775BA" w:rsidRPr="00456C7B" w:rsidRDefault="00E775BA" w:rsidP="00E775BA">
      <w:pPr>
        <w:spacing w:after="0"/>
      </w:pPr>
      <w:r w:rsidRPr="00456C7B">
        <w:t>Professor Emeritus Joel Lexchin</w:t>
      </w:r>
    </w:p>
    <w:p w14:paraId="7F696842" w14:textId="77777777" w:rsidR="00E775BA" w:rsidRPr="00456C7B" w:rsidRDefault="00E775BA" w:rsidP="00E775BA">
      <w:pPr>
        <w:spacing w:after="0"/>
      </w:pPr>
      <w:r w:rsidRPr="00456C7B">
        <w:t>School of Health Policy and Management</w:t>
      </w:r>
    </w:p>
    <w:p w14:paraId="09D195A1" w14:textId="77777777" w:rsidR="00E775BA" w:rsidRPr="00456C7B" w:rsidRDefault="00E775BA" w:rsidP="00E775BA">
      <w:pPr>
        <w:spacing w:after="0"/>
      </w:pPr>
      <w:r w:rsidRPr="00456C7B">
        <w:t>York University, Toronto, Canada</w:t>
      </w:r>
    </w:p>
    <w:p w14:paraId="727ED00E" w14:textId="77777777" w:rsidR="00E775BA" w:rsidRPr="00456C7B" w:rsidRDefault="00E775BA" w:rsidP="00E775BA">
      <w:pPr>
        <w:spacing w:after="0"/>
      </w:pPr>
    </w:p>
    <w:p w14:paraId="55949464" w14:textId="77777777" w:rsidR="009A4F63" w:rsidRPr="00456C7B" w:rsidRDefault="009A4F63" w:rsidP="009A4F63">
      <w:pPr>
        <w:spacing w:after="0"/>
      </w:pPr>
      <w:r w:rsidRPr="00456C7B">
        <w:t xml:space="preserve">Dr Chutima </w:t>
      </w:r>
      <w:proofErr w:type="spellStart"/>
      <w:r w:rsidRPr="00456C7B">
        <w:t>Akaleephan</w:t>
      </w:r>
      <w:proofErr w:type="spellEnd"/>
    </w:p>
    <w:p w14:paraId="400D97D8" w14:textId="0994EEFA" w:rsidR="009A4F63" w:rsidRPr="00456C7B" w:rsidRDefault="009A4F63" w:rsidP="009A4F63">
      <w:pPr>
        <w:spacing w:after="0"/>
      </w:pPr>
      <w:r w:rsidRPr="00456C7B">
        <w:t>International Health Policy Programme</w:t>
      </w:r>
    </w:p>
    <w:p w14:paraId="6487194D" w14:textId="77777777" w:rsidR="009A4F63" w:rsidRPr="00456C7B" w:rsidRDefault="009A4F63" w:rsidP="009A4F63">
      <w:pPr>
        <w:spacing w:after="0"/>
      </w:pPr>
      <w:r w:rsidRPr="00456C7B">
        <w:t xml:space="preserve">Ministry of Public Health, </w:t>
      </w:r>
    </w:p>
    <w:p w14:paraId="2DE28507" w14:textId="77777777" w:rsidR="009A4F63" w:rsidRPr="00456C7B" w:rsidRDefault="009A4F63" w:rsidP="009A4F63">
      <w:pPr>
        <w:spacing w:after="0"/>
      </w:pPr>
      <w:r w:rsidRPr="00456C7B">
        <w:t>Bangkok, Thailand</w:t>
      </w:r>
    </w:p>
    <w:p w14:paraId="1D446C6B" w14:textId="77777777" w:rsidR="009A4F63" w:rsidRPr="00456C7B" w:rsidRDefault="009A4F63" w:rsidP="00E775BA">
      <w:pPr>
        <w:spacing w:after="0"/>
      </w:pPr>
    </w:p>
    <w:p w14:paraId="0600ADA3" w14:textId="5290EF98" w:rsidR="00E775BA" w:rsidRPr="00456C7B" w:rsidRDefault="00E775BA" w:rsidP="00E775BA">
      <w:pPr>
        <w:spacing w:after="0"/>
      </w:pPr>
      <w:r w:rsidRPr="00456C7B">
        <w:t>Mr Chalermsak Kittitrakul</w:t>
      </w:r>
    </w:p>
    <w:p w14:paraId="63120620" w14:textId="77777777" w:rsidR="00E775BA" w:rsidRPr="00456C7B" w:rsidRDefault="00E775BA" w:rsidP="00E775BA">
      <w:pPr>
        <w:spacing w:after="0"/>
      </w:pPr>
      <w:r w:rsidRPr="00456C7B">
        <w:t xml:space="preserve">Coordinator Access to Medicines Campaign </w:t>
      </w:r>
    </w:p>
    <w:p w14:paraId="4581F781" w14:textId="77777777" w:rsidR="00E775BA" w:rsidRPr="00456C7B" w:rsidRDefault="00E775BA" w:rsidP="00E775BA">
      <w:pPr>
        <w:spacing w:after="0"/>
      </w:pPr>
      <w:r w:rsidRPr="00456C7B">
        <w:t>AIDS Access Foundation</w:t>
      </w:r>
    </w:p>
    <w:p w14:paraId="2600EFB3" w14:textId="77777777" w:rsidR="00E775BA" w:rsidRPr="00456C7B" w:rsidRDefault="00E775BA" w:rsidP="00E775BA">
      <w:pPr>
        <w:spacing w:after="0"/>
      </w:pPr>
      <w:r w:rsidRPr="00456C7B">
        <w:t>Bangkok, Thailand</w:t>
      </w:r>
    </w:p>
    <w:p w14:paraId="7C6FA011" w14:textId="77777777" w:rsidR="002F59CC" w:rsidRPr="00456C7B" w:rsidRDefault="002F59CC" w:rsidP="002F59CC">
      <w:pPr>
        <w:spacing w:after="0"/>
      </w:pPr>
    </w:p>
    <w:p w14:paraId="7247D419" w14:textId="48082B3D" w:rsidR="002F59CC" w:rsidRPr="00456C7B" w:rsidRDefault="002F59CC" w:rsidP="002F59CC">
      <w:pPr>
        <w:spacing w:after="0"/>
      </w:pPr>
      <w:r w:rsidRPr="00456C7B">
        <w:t>Associate Professor Deborah Gleeson</w:t>
      </w:r>
    </w:p>
    <w:p w14:paraId="48A0BE90" w14:textId="77777777" w:rsidR="002F59CC" w:rsidRPr="00456C7B" w:rsidRDefault="002F59CC" w:rsidP="002F59CC">
      <w:pPr>
        <w:spacing w:after="0"/>
      </w:pPr>
      <w:r w:rsidRPr="00456C7B">
        <w:t xml:space="preserve">School of Psychology and Public Health </w:t>
      </w:r>
    </w:p>
    <w:p w14:paraId="59BB8156" w14:textId="77777777" w:rsidR="002F59CC" w:rsidRPr="00456C7B" w:rsidRDefault="002F59CC" w:rsidP="002F59CC">
      <w:pPr>
        <w:spacing w:after="0"/>
      </w:pPr>
      <w:r w:rsidRPr="00456C7B">
        <w:t>La Trobe University, Melbourne, Australia</w:t>
      </w:r>
    </w:p>
    <w:p w14:paraId="0CF865B8" w14:textId="77777777" w:rsidR="00E775BA" w:rsidRPr="00456C7B" w:rsidRDefault="00E775BA" w:rsidP="00E775BA"/>
    <w:p w14:paraId="7DA6736A" w14:textId="16A3C8F6" w:rsidR="0070028E" w:rsidRPr="00456C7B" w:rsidRDefault="00E775BA" w:rsidP="009F0B10">
      <w:r w:rsidRPr="00456C7B">
        <w:t xml:space="preserve">*Corresponding author </w:t>
      </w:r>
      <w:hyperlink r:id="rId8" w:history="1">
        <w:r w:rsidRPr="00456C7B">
          <w:rPr>
            <w:rStyle w:val="Hyperlink"/>
          </w:rPr>
          <w:t>btenni@unimelb.edu.au</w:t>
        </w:r>
      </w:hyperlink>
      <w:r w:rsidRPr="00456C7B">
        <w:t xml:space="preserve"> </w:t>
      </w:r>
    </w:p>
    <w:p w14:paraId="2FA47E74" w14:textId="77777777" w:rsidR="0070028E" w:rsidRPr="00456C7B" w:rsidRDefault="0070028E" w:rsidP="008B3131">
      <w:pPr>
        <w:pStyle w:val="Heading1"/>
      </w:pPr>
      <w:r w:rsidRPr="00456C7B">
        <w:t>Acknowledgments</w:t>
      </w:r>
    </w:p>
    <w:p w14:paraId="5500EE3B" w14:textId="5AC55612" w:rsidR="006D259B" w:rsidRPr="00456C7B" w:rsidRDefault="00965203" w:rsidP="008B3131">
      <w:r w:rsidRPr="00456C7B">
        <w:t xml:space="preserve">The authors would like to acknowledge and thank the National Health Security Office in Thailand for sharing their hepatitis C treatment data. </w:t>
      </w:r>
    </w:p>
    <w:p w14:paraId="5494013B" w14:textId="77777777" w:rsidR="0070028E" w:rsidRPr="00456C7B" w:rsidRDefault="0070028E" w:rsidP="006D259B">
      <w:pPr>
        <w:pStyle w:val="Heading1"/>
      </w:pPr>
      <w:r w:rsidRPr="00456C7B">
        <w:t>Funding or sources of support in the form of grants, equipment, drugs etc</w:t>
      </w:r>
    </w:p>
    <w:p w14:paraId="0891F550" w14:textId="0E052ACA" w:rsidR="006D259B" w:rsidRPr="00456C7B" w:rsidRDefault="006D259B" w:rsidP="00EA6F50">
      <w:r w:rsidRPr="00456C7B">
        <w:t xml:space="preserve">Brigitte Tenni </w:t>
      </w:r>
      <w:r w:rsidR="00916000" w:rsidRPr="00456C7B">
        <w:t>is the recipient of a</w:t>
      </w:r>
      <w:r w:rsidR="00CF4577" w:rsidRPr="00456C7B">
        <w:t xml:space="preserve"> Research Training Program </w:t>
      </w:r>
      <w:r w:rsidR="00916000" w:rsidRPr="00456C7B">
        <w:t>scholarship from La Trobe University.</w:t>
      </w:r>
    </w:p>
    <w:p w14:paraId="4D000D26" w14:textId="129566B5" w:rsidR="0070028E" w:rsidRPr="00456C7B" w:rsidRDefault="0070028E" w:rsidP="006D259B">
      <w:pPr>
        <w:pStyle w:val="Heading1"/>
      </w:pPr>
      <w:r w:rsidRPr="00456C7B">
        <w:t>Conflict of interest statement for all authors</w:t>
      </w:r>
    </w:p>
    <w:p w14:paraId="5EC6F274" w14:textId="754BCC25" w:rsidR="007865AE" w:rsidRPr="00456C7B" w:rsidRDefault="00916000" w:rsidP="009F0B10">
      <w:r w:rsidRPr="00456C7B">
        <w:t>The authors declare no conflict of interest.</w:t>
      </w:r>
    </w:p>
    <w:p w14:paraId="7432F038" w14:textId="77777777" w:rsidR="008C2D7A" w:rsidRPr="00456C7B" w:rsidRDefault="008C2D7A" w:rsidP="008C2D7A">
      <w:pPr>
        <w:keepNext/>
        <w:keepLines/>
        <w:spacing w:before="240" w:after="0"/>
        <w:outlineLvl w:val="0"/>
        <w:rPr>
          <w:rFonts w:asciiTheme="majorHAnsi" w:eastAsiaTheme="majorEastAsia" w:hAnsiTheme="majorHAnsi" w:cstheme="majorBidi"/>
          <w:color w:val="2F5496" w:themeColor="accent1" w:themeShade="BF"/>
          <w:sz w:val="32"/>
          <w:szCs w:val="32"/>
        </w:rPr>
      </w:pPr>
      <w:r w:rsidRPr="00456C7B">
        <w:rPr>
          <w:rFonts w:asciiTheme="majorHAnsi" w:eastAsiaTheme="majorEastAsia" w:hAnsiTheme="majorHAnsi" w:cstheme="majorBidi"/>
          <w:color w:val="2F5496" w:themeColor="accent1" w:themeShade="BF"/>
          <w:sz w:val="32"/>
          <w:szCs w:val="32"/>
        </w:rPr>
        <w:lastRenderedPageBreak/>
        <w:t>Ethics</w:t>
      </w:r>
    </w:p>
    <w:p w14:paraId="61368CE7" w14:textId="77777777" w:rsidR="008C2D7A" w:rsidRPr="00456C7B" w:rsidRDefault="008C2D7A" w:rsidP="008C2D7A">
      <w:r w:rsidRPr="00456C7B">
        <w:t>This study has ethics approval from La Trobe University (Ethics reference number HEC 21216) and approval from the National Research Council of Thailand.</w:t>
      </w:r>
    </w:p>
    <w:p w14:paraId="77E3AB63" w14:textId="77777777" w:rsidR="008C2D7A" w:rsidRPr="00456C7B" w:rsidRDefault="008C2D7A" w:rsidP="009F0B10"/>
    <w:p w14:paraId="1B65FC42" w14:textId="5B4EC39D" w:rsidR="007865AE" w:rsidRPr="00456C7B" w:rsidRDefault="007865AE" w:rsidP="0012241C">
      <w:pPr>
        <w:pStyle w:val="Heading1"/>
      </w:pPr>
      <w:r w:rsidRPr="00456C7B">
        <w:t xml:space="preserve">Abstract </w:t>
      </w:r>
    </w:p>
    <w:p w14:paraId="0CDA69E4" w14:textId="1CD15EA9" w:rsidR="00E77088" w:rsidRPr="00456C7B" w:rsidRDefault="00C22878" w:rsidP="007A3165">
      <w:pPr>
        <w:spacing w:after="0" w:line="360" w:lineRule="auto"/>
        <w:jc w:val="both"/>
      </w:pPr>
      <w:r w:rsidRPr="00456C7B">
        <w:t xml:space="preserve">Thailand has </w:t>
      </w:r>
      <w:r w:rsidR="00132C61" w:rsidRPr="00456C7B">
        <w:t>expressed</w:t>
      </w:r>
      <w:r w:rsidRPr="00456C7B">
        <w:t xml:space="preserve"> interest in joining the </w:t>
      </w:r>
      <w:r w:rsidR="007239AC" w:rsidRPr="00456C7B">
        <w:t>Comprehensive and Progressive Agreement for Trans-Pacific Partnership</w:t>
      </w:r>
      <w:r w:rsidR="00196E0F" w:rsidRPr="00456C7B">
        <w:t xml:space="preserve"> (CPTPP)</w:t>
      </w:r>
      <w:r w:rsidR="00132C61" w:rsidRPr="00456C7B">
        <w:t xml:space="preserve">, </w:t>
      </w:r>
      <w:r w:rsidRPr="00456C7B">
        <w:t>an 11</w:t>
      </w:r>
      <w:r w:rsidR="0033538F" w:rsidRPr="00456C7B">
        <w:t>-</w:t>
      </w:r>
      <w:r w:rsidRPr="00456C7B">
        <w:t xml:space="preserve">country </w:t>
      </w:r>
      <w:r w:rsidR="00915D34" w:rsidRPr="00456C7B">
        <w:t xml:space="preserve">plurilateral trade agreement </w:t>
      </w:r>
      <w:r w:rsidR="00110D72" w:rsidRPr="00456C7B">
        <w:t>whose original incarnation</w:t>
      </w:r>
      <w:r w:rsidR="00915D34" w:rsidRPr="00456C7B">
        <w:t xml:space="preserve"> included the U</w:t>
      </w:r>
      <w:r w:rsidR="0033538F" w:rsidRPr="00456C7B">
        <w:t xml:space="preserve">nited </w:t>
      </w:r>
      <w:r w:rsidR="00915D34" w:rsidRPr="00456C7B">
        <w:t>S</w:t>
      </w:r>
      <w:r w:rsidR="0033538F" w:rsidRPr="00456C7B">
        <w:t xml:space="preserve">tates of </w:t>
      </w:r>
      <w:r w:rsidR="00915D34" w:rsidRPr="00456C7B">
        <w:t>A</w:t>
      </w:r>
      <w:r w:rsidR="0033538F" w:rsidRPr="00456C7B">
        <w:t>merica</w:t>
      </w:r>
      <w:r w:rsidR="007004FC" w:rsidRPr="00456C7B">
        <w:t xml:space="preserve"> (USA)</w:t>
      </w:r>
      <w:r w:rsidR="00915D34" w:rsidRPr="00456C7B">
        <w:t xml:space="preserve">. When </w:t>
      </w:r>
      <w:r w:rsidR="00071085" w:rsidRPr="00456C7B">
        <w:t xml:space="preserve">the </w:t>
      </w:r>
      <w:r w:rsidR="008316DD" w:rsidRPr="00456C7B">
        <w:t>USA</w:t>
      </w:r>
      <w:r w:rsidR="00681C24" w:rsidRPr="00456C7B">
        <w:t xml:space="preserve"> withdrew</w:t>
      </w:r>
      <w:r w:rsidR="00196E0F" w:rsidRPr="00456C7B">
        <w:t xml:space="preserve"> from this agreement</w:t>
      </w:r>
      <w:r w:rsidR="00071085" w:rsidRPr="00456C7B">
        <w:t>,</w:t>
      </w:r>
      <w:r w:rsidR="008316DD" w:rsidRPr="00456C7B">
        <w:t xml:space="preserve"> </w:t>
      </w:r>
      <w:r w:rsidR="003C4F56" w:rsidRPr="00456C7B">
        <w:t xml:space="preserve">key </w:t>
      </w:r>
      <w:r w:rsidR="007239AC" w:rsidRPr="00456C7B">
        <w:t>intellectual property</w:t>
      </w:r>
      <w:r w:rsidR="003C4F56" w:rsidRPr="00456C7B">
        <w:t xml:space="preserve"> clauses </w:t>
      </w:r>
      <w:r w:rsidR="00196E0F" w:rsidRPr="00456C7B">
        <w:t xml:space="preserve">relevant to pharmaceuticals </w:t>
      </w:r>
      <w:r w:rsidR="003C4F56" w:rsidRPr="00456C7B">
        <w:t>were suspended</w:t>
      </w:r>
      <w:r w:rsidR="0033538F" w:rsidRPr="00456C7B">
        <w:t>. These</w:t>
      </w:r>
      <w:r w:rsidR="003A4933" w:rsidRPr="00456C7B">
        <w:t xml:space="preserve"> </w:t>
      </w:r>
      <w:r w:rsidR="00936D38" w:rsidRPr="00456C7B">
        <w:t>could be reinstated</w:t>
      </w:r>
      <w:r w:rsidR="003A4933" w:rsidRPr="00456C7B">
        <w:t xml:space="preserve"> should </w:t>
      </w:r>
      <w:r w:rsidR="0071246B" w:rsidRPr="00456C7B">
        <w:t>the USA decide to</w:t>
      </w:r>
      <w:r w:rsidR="003A4933" w:rsidRPr="00456C7B">
        <w:t xml:space="preserve"> re-join. This study aimed to measure the impact of these </w:t>
      </w:r>
      <w:r w:rsidR="00110D72" w:rsidRPr="00456C7B">
        <w:t>susp</w:t>
      </w:r>
      <w:r w:rsidR="002E7B5A" w:rsidRPr="00456C7B">
        <w:t xml:space="preserve">ended </w:t>
      </w:r>
      <w:r w:rsidR="003A4933" w:rsidRPr="00456C7B">
        <w:t>clauses</w:t>
      </w:r>
      <w:r w:rsidR="00196E0F" w:rsidRPr="00456C7B">
        <w:t xml:space="preserve"> </w:t>
      </w:r>
      <w:r w:rsidR="003A4933" w:rsidRPr="00456C7B">
        <w:t xml:space="preserve">by costing </w:t>
      </w:r>
      <w:r w:rsidR="00E62C02" w:rsidRPr="00456C7B">
        <w:t xml:space="preserve">Thailand’s </w:t>
      </w:r>
      <w:r w:rsidR="0060423E" w:rsidRPr="00456C7B">
        <w:t xml:space="preserve">2020 </w:t>
      </w:r>
      <w:r w:rsidR="003A4933" w:rsidRPr="00456C7B">
        <w:t xml:space="preserve">hepatitis C </w:t>
      </w:r>
      <w:r w:rsidR="00FE6B5C" w:rsidRPr="00456C7B">
        <w:t xml:space="preserve">treatment </w:t>
      </w:r>
      <w:r w:rsidR="003A4933" w:rsidRPr="00456C7B">
        <w:t>program under four scenarios</w:t>
      </w:r>
      <w:r w:rsidR="00196E0F" w:rsidRPr="00456C7B">
        <w:t>:</w:t>
      </w:r>
      <w:r w:rsidR="003A4933" w:rsidRPr="00456C7B">
        <w:t xml:space="preserve"> 1) </w:t>
      </w:r>
      <w:r w:rsidR="0060423E" w:rsidRPr="00456C7B">
        <w:t xml:space="preserve">existing </w:t>
      </w:r>
      <w:r w:rsidR="003A4933" w:rsidRPr="00456C7B">
        <w:t>treatment regime</w:t>
      </w:r>
      <w:r w:rsidR="00156BC4" w:rsidRPr="00456C7B">
        <w:t>,</w:t>
      </w:r>
      <w:r w:rsidR="00E06F90" w:rsidRPr="00456C7B">
        <w:t xml:space="preserve"> which does not use the currently recommended treatment regime and does not source the lowest price </w:t>
      </w:r>
      <w:r w:rsidR="00D775BE" w:rsidRPr="00456C7B">
        <w:t>medicine</w:t>
      </w:r>
      <w:r w:rsidR="00E06F90" w:rsidRPr="00456C7B">
        <w:t>s</w:t>
      </w:r>
      <w:r w:rsidR="003A4933" w:rsidRPr="00456C7B">
        <w:t xml:space="preserve">, 2) treatment regime if Thailand joined the </w:t>
      </w:r>
      <w:r w:rsidR="00196E0F" w:rsidRPr="00456C7B">
        <w:t>CPTPP</w:t>
      </w:r>
      <w:r w:rsidR="003032B6" w:rsidRPr="00456C7B">
        <w:t xml:space="preserve"> </w:t>
      </w:r>
      <w:r w:rsidR="003A4933" w:rsidRPr="00456C7B">
        <w:t xml:space="preserve">and suspended clauses were reinstated, 3) treatment regime if Thailand </w:t>
      </w:r>
      <w:r w:rsidR="00156BC4" w:rsidRPr="00456C7B">
        <w:t>ut</w:t>
      </w:r>
      <w:r w:rsidR="0033538F" w:rsidRPr="00456C7B">
        <w:t>i</w:t>
      </w:r>
      <w:r w:rsidR="00156BC4" w:rsidRPr="00456C7B">
        <w:t>lised</w:t>
      </w:r>
      <w:r w:rsidR="003A4933" w:rsidRPr="00456C7B">
        <w:t xml:space="preserve"> flexibilities</w:t>
      </w:r>
      <w:r w:rsidR="00156BC4" w:rsidRPr="00456C7B">
        <w:t xml:space="preserve"> in international law</w:t>
      </w:r>
      <w:r w:rsidR="003A4933" w:rsidRPr="00456C7B">
        <w:t xml:space="preserve"> </w:t>
      </w:r>
      <w:r w:rsidR="00956124" w:rsidRPr="00456C7B">
        <w:t>enabling</w:t>
      </w:r>
      <w:r w:rsidR="00F502E8" w:rsidRPr="00456C7B">
        <w:t xml:space="preserve"> </w:t>
      </w:r>
      <w:r w:rsidR="003A4933" w:rsidRPr="00456C7B">
        <w:t xml:space="preserve">access </w:t>
      </w:r>
      <w:r w:rsidR="00956124" w:rsidRPr="00456C7B">
        <w:t xml:space="preserve">to </w:t>
      </w:r>
      <w:r w:rsidR="003A4933" w:rsidRPr="00456C7B">
        <w:t xml:space="preserve">the cheapest </w:t>
      </w:r>
      <w:r w:rsidR="003032B6" w:rsidRPr="00456C7B">
        <w:t xml:space="preserve">direct acting antivirals </w:t>
      </w:r>
      <w:r w:rsidR="003A4933" w:rsidRPr="00456C7B">
        <w:t>on the global market and 4) lowest</w:t>
      </w:r>
      <w:r w:rsidR="00956124" w:rsidRPr="00456C7B">
        <w:t>-</w:t>
      </w:r>
      <w:r w:rsidR="003A4933" w:rsidRPr="00456C7B">
        <w:t xml:space="preserve">cost generic pan-genotypic regime on the global market. </w:t>
      </w:r>
      <w:r w:rsidR="00A85173" w:rsidRPr="00456C7B">
        <w:t xml:space="preserve">Joining the </w:t>
      </w:r>
      <w:r w:rsidR="00196E0F" w:rsidRPr="00456C7B">
        <w:t>CPTPP</w:t>
      </w:r>
      <w:r w:rsidR="00A85173" w:rsidRPr="00456C7B">
        <w:t xml:space="preserve"> would increase the cost of </w:t>
      </w:r>
      <w:r w:rsidR="00E62C02" w:rsidRPr="00456C7B">
        <w:t>Thailand’s</w:t>
      </w:r>
      <w:r w:rsidR="00A85173" w:rsidRPr="00456C7B">
        <w:t xml:space="preserve"> hepatitis C treatment program </w:t>
      </w:r>
      <w:r w:rsidR="00BE39FB" w:rsidRPr="00456C7B">
        <w:t xml:space="preserve">more than </w:t>
      </w:r>
      <w:r w:rsidR="00CC5FC0" w:rsidRPr="00456C7B">
        <w:t>ten</w:t>
      </w:r>
      <w:r w:rsidR="00BE39FB" w:rsidRPr="00456C7B">
        <w:t>fold</w:t>
      </w:r>
      <w:r w:rsidR="00196E0F" w:rsidRPr="00456C7B">
        <w:t xml:space="preserve"> if suspended </w:t>
      </w:r>
      <w:r w:rsidR="00956124" w:rsidRPr="00456C7B">
        <w:t xml:space="preserve">CPTPP </w:t>
      </w:r>
      <w:r w:rsidR="00196E0F" w:rsidRPr="00456C7B">
        <w:t>clauses were reinstated</w:t>
      </w:r>
      <w:r w:rsidR="00681C24" w:rsidRPr="00456C7B">
        <w:t xml:space="preserve"> and TRIPS flexibilities not fully utilised</w:t>
      </w:r>
      <w:r w:rsidR="00BE39FB" w:rsidRPr="00456C7B">
        <w:t>.</w:t>
      </w:r>
      <w:r w:rsidR="00E77088" w:rsidRPr="00456C7B">
        <w:t xml:space="preserve"> </w:t>
      </w:r>
      <w:r w:rsidR="00956124" w:rsidRPr="00456C7B">
        <w:t>Within</w:t>
      </w:r>
      <w:r w:rsidR="00FB116A" w:rsidRPr="00456C7B">
        <w:t xml:space="preserve"> the existing budget</w:t>
      </w:r>
      <w:r w:rsidR="00956124" w:rsidRPr="00456C7B">
        <w:t>,</w:t>
      </w:r>
      <w:r w:rsidR="00FB116A" w:rsidRPr="00456C7B">
        <w:t xml:space="preserve"> the price and regime </w:t>
      </w:r>
      <w:r w:rsidR="00956124" w:rsidRPr="00456C7B">
        <w:t>for</w:t>
      </w:r>
      <w:r w:rsidR="00FB116A" w:rsidRPr="00456C7B">
        <w:t xml:space="preserve"> scenario 4 would enable an additional 7,571 people to access hepatitis C treatment and avoid the need for genotype testing. </w:t>
      </w:r>
      <w:r w:rsidR="00904213" w:rsidRPr="00456C7B">
        <w:t>Signing trade agreements such as the CPTPP that require stronger intellectual property protections could compromise Thailand’s</w:t>
      </w:r>
      <w:r w:rsidR="00F057E1" w:rsidRPr="00456C7B">
        <w:t xml:space="preserve"> </w:t>
      </w:r>
      <w:r w:rsidR="00034A96" w:rsidRPr="00456C7B">
        <w:t xml:space="preserve">hepatitis C program </w:t>
      </w:r>
      <w:r w:rsidR="00E62C02" w:rsidRPr="00456C7B">
        <w:t xml:space="preserve">and other </w:t>
      </w:r>
      <w:r w:rsidR="00034A96" w:rsidRPr="00456C7B">
        <w:t xml:space="preserve">national treatment programs reliant on affordable generic </w:t>
      </w:r>
      <w:r w:rsidR="007004FC" w:rsidRPr="00456C7B">
        <w:t>medicines and</w:t>
      </w:r>
      <w:r w:rsidR="00904213" w:rsidRPr="00456C7B">
        <w:t xml:space="preserve"> prevent it from relying </w:t>
      </w:r>
      <w:r w:rsidR="00034A96" w:rsidRPr="00456C7B">
        <w:t xml:space="preserve">on its own pharmaceutical capabilities to manufacture medicines needed to sustain its treatment programs. </w:t>
      </w:r>
    </w:p>
    <w:p w14:paraId="052BA150" w14:textId="5B6771FF" w:rsidR="007865AE" w:rsidRPr="00456C7B" w:rsidRDefault="007865AE" w:rsidP="00721C37">
      <w:pPr>
        <w:spacing w:after="0" w:line="360" w:lineRule="auto"/>
        <w:jc w:val="both"/>
        <w:rPr>
          <w:u w:val="single"/>
        </w:rPr>
      </w:pPr>
    </w:p>
    <w:p w14:paraId="214411F5" w14:textId="18258547" w:rsidR="008A1CEA" w:rsidRPr="00456C7B" w:rsidRDefault="008A1CEA" w:rsidP="008A1CEA">
      <w:pPr>
        <w:pStyle w:val="Heading1"/>
      </w:pPr>
      <w:r w:rsidRPr="00456C7B">
        <w:t xml:space="preserve">Highlights </w:t>
      </w:r>
    </w:p>
    <w:p w14:paraId="1A8169C5" w14:textId="2EAE48BA" w:rsidR="008448A7" w:rsidRPr="00456C7B" w:rsidRDefault="00883761" w:rsidP="00F67812">
      <w:pPr>
        <w:pStyle w:val="ListParagraph"/>
        <w:numPr>
          <w:ilvl w:val="0"/>
          <w:numId w:val="8"/>
        </w:numPr>
        <w:spacing w:after="0" w:line="360" w:lineRule="auto"/>
        <w:ind w:left="714" w:hanging="357"/>
      </w:pPr>
      <w:r w:rsidRPr="00456C7B">
        <w:t>Thailand has expressed interest in joining the C</w:t>
      </w:r>
      <w:r w:rsidR="00565114" w:rsidRPr="00456C7B">
        <w:t>PTPP trade agreement</w:t>
      </w:r>
      <w:r w:rsidR="00F67812" w:rsidRPr="00456C7B">
        <w:t>, an eleven</w:t>
      </w:r>
      <w:r w:rsidR="00904213" w:rsidRPr="00456C7B">
        <w:t>-</w:t>
      </w:r>
      <w:r w:rsidR="00F67812" w:rsidRPr="00456C7B">
        <w:t>country plurilateral trade agreement signed in 2018</w:t>
      </w:r>
    </w:p>
    <w:p w14:paraId="60918279" w14:textId="77777777" w:rsidR="00F67812" w:rsidRPr="00456C7B" w:rsidRDefault="00565114" w:rsidP="00F67812">
      <w:pPr>
        <w:pStyle w:val="ListParagraph"/>
        <w:numPr>
          <w:ilvl w:val="0"/>
          <w:numId w:val="8"/>
        </w:numPr>
        <w:spacing w:after="0" w:line="360" w:lineRule="auto"/>
        <w:ind w:left="714" w:hanging="357"/>
      </w:pPr>
      <w:r w:rsidRPr="00456C7B">
        <w:t xml:space="preserve">The CPTPP contains (currently suspended) intellectual property clauses relevant to pharmaceuticals which could have implications for access to </w:t>
      </w:r>
      <w:r w:rsidR="00F67812" w:rsidRPr="00456C7B">
        <w:t xml:space="preserve">affordable </w:t>
      </w:r>
      <w:r w:rsidRPr="00456C7B">
        <w:t xml:space="preserve">hepatitis C medications </w:t>
      </w:r>
    </w:p>
    <w:p w14:paraId="735465CD" w14:textId="7C2CDFC5" w:rsidR="00565114" w:rsidRPr="00456C7B" w:rsidRDefault="00F67812" w:rsidP="00F67812">
      <w:pPr>
        <w:pStyle w:val="ListParagraph"/>
        <w:numPr>
          <w:ilvl w:val="0"/>
          <w:numId w:val="8"/>
        </w:numPr>
        <w:spacing w:after="0" w:line="360" w:lineRule="auto"/>
        <w:ind w:left="714" w:hanging="357"/>
      </w:pPr>
      <w:r w:rsidRPr="00456C7B">
        <w:t>Thailand should reject joining the CPTPP due its potential impact on not only the cost of the hepatitis C program but all national treatment programs reliant on affordable generic medicines.</w:t>
      </w:r>
    </w:p>
    <w:p w14:paraId="2A8D2771" w14:textId="22292D3D" w:rsidR="007865AE" w:rsidRPr="00456C7B" w:rsidRDefault="0012241C" w:rsidP="0012241C">
      <w:pPr>
        <w:pStyle w:val="Heading1"/>
      </w:pPr>
      <w:r w:rsidRPr="00456C7B">
        <w:lastRenderedPageBreak/>
        <w:t>Keywords</w:t>
      </w:r>
    </w:p>
    <w:p w14:paraId="47250E3A" w14:textId="77938D25" w:rsidR="0012241C" w:rsidRPr="00456C7B" w:rsidRDefault="00854CD0" w:rsidP="00721C37">
      <w:pPr>
        <w:spacing w:after="0" w:line="360" w:lineRule="auto"/>
        <w:jc w:val="both"/>
      </w:pPr>
      <w:r w:rsidRPr="00456C7B">
        <w:t>Intellectual property, patents, generic medicines, compulsory licencing, TRIPS flexibilities, trade agreements, TRIPS-plus</w:t>
      </w:r>
      <w:r w:rsidR="00F62264" w:rsidRPr="00456C7B">
        <w:t>, hepatitis C, direct-acting antivirals.</w:t>
      </w:r>
    </w:p>
    <w:p w14:paraId="5505E0C5" w14:textId="77777777" w:rsidR="00EA6F50" w:rsidRPr="00456C7B" w:rsidRDefault="00EA6F50">
      <w:r w:rsidRPr="00456C7B">
        <w:br w:type="page"/>
      </w:r>
    </w:p>
    <w:p w14:paraId="69B73C66" w14:textId="67201656" w:rsidR="0012241C" w:rsidRPr="00456C7B" w:rsidRDefault="0012241C" w:rsidP="00EA6F50">
      <w:pPr>
        <w:pStyle w:val="Heading1"/>
      </w:pPr>
      <w:r w:rsidRPr="00456C7B">
        <w:lastRenderedPageBreak/>
        <w:t xml:space="preserve">Main text </w:t>
      </w:r>
    </w:p>
    <w:p w14:paraId="6C3ADA77" w14:textId="77777777" w:rsidR="0012241C" w:rsidRPr="00456C7B" w:rsidRDefault="0012241C" w:rsidP="0012241C"/>
    <w:p w14:paraId="4062CEB8" w14:textId="47F29F3E" w:rsidR="007B0CEE" w:rsidRPr="00456C7B" w:rsidRDefault="00721C37" w:rsidP="00AE0A21">
      <w:pPr>
        <w:pStyle w:val="Heading1"/>
      </w:pPr>
      <w:r w:rsidRPr="00456C7B">
        <w:t>Intro</w:t>
      </w:r>
      <w:r w:rsidR="009F0B10" w:rsidRPr="00456C7B">
        <w:t>duction</w:t>
      </w:r>
      <w:r w:rsidRPr="00456C7B">
        <w:t xml:space="preserve"> and background </w:t>
      </w:r>
    </w:p>
    <w:p w14:paraId="117340CB" w14:textId="51C67BEA" w:rsidR="006A5D66" w:rsidRPr="00456C7B" w:rsidRDefault="007B0CEE" w:rsidP="00EA6F50">
      <w:pPr>
        <w:spacing w:after="0" w:line="360" w:lineRule="auto"/>
        <w:jc w:val="both"/>
        <w:rPr>
          <w:rFonts w:cstheme="minorHAnsi"/>
        </w:rPr>
      </w:pPr>
      <w:r w:rsidRPr="00456C7B">
        <w:rPr>
          <w:rFonts w:cstheme="minorHAnsi"/>
        </w:rPr>
        <w:t xml:space="preserve">Thailand has expressed interest in joining the </w:t>
      </w:r>
      <w:r w:rsidR="00DB57E4" w:rsidRPr="00456C7B">
        <w:rPr>
          <w:rFonts w:cstheme="minorHAnsi"/>
        </w:rPr>
        <w:t xml:space="preserve">Comprehensive and Progressive Agreement for Trans-Pacific Partnership (CPTPP), </w:t>
      </w:r>
      <w:r w:rsidRPr="00456C7B">
        <w:rPr>
          <w:rFonts w:cstheme="minorHAnsi"/>
        </w:rPr>
        <w:t>an 11</w:t>
      </w:r>
      <w:r w:rsidR="00904213" w:rsidRPr="00456C7B">
        <w:rPr>
          <w:rFonts w:cstheme="minorHAnsi"/>
        </w:rPr>
        <w:t>-</w:t>
      </w:r>
      <w:r w:rsidRPr="00456C7B">
        <w:rPr>
          <w:rFonts w:cstheme="minorHAnsi"/>
        </w:rPr>
        <w:t xml:space="preserve">country </w:t>
      </w:r>
      <w:r w:rsidR="00DB57E4" w:rsidRPr="00456C7B">
        <w:rPr>
          <w:rFonts w:cstheme="minorHAnsi"/>
        </w:rPr>
        <w:t xml:space="preserve">plurilateral trade agreement </w:t>
      </w:r>
      <w:r w:rsidR="00696679" w:rsidRPr="00456C7B">
        <w:rPr>
          <w:rFonts w:cstheme="minorHAnsi"/>
        </w:rPr>
        <w:t xml:space="preserve">signed in 2018 </w:t>
      </w:r>
      <w:r w:rsidR="00DB57E4" w:rsidRPr="00456C7B">
        <w:rPr>
          <w:rFonts w:cstheme="minorHAnsi"/>
        </w:rPr>
        <w:t xml:space="preserve">between Australia, Brunei Darussalam, Canada, Chile, Japan, Malaysia, Mexico, Peru, New Zealand, </w:t>
      </w:r>
      <w:proofErr w:type="gramStart"/>
      <w:r w:rsidR="00DB57E4" w:rsidRPr="00456C7B">
        <w:rPr>
          <w:rFonts w:cstheme="minorHAnsi"/>
        </w:rPr>
        <w:t>Singapore</w:t>
      </w:r>
      <w:proofErr w:type="gramEnd"/>
      <w:r w:rsidR="00DB57E4" w:rsidRPr="00456C7B">
        <w:rPr>
          <w:rFonts w:cstheme="minorHAnsi"/>
        </w:rPr>
        <w:t xml:space="preserve"> and Vietnam. </w:t>
      </w:r>
      <w:r w:rsidRPr="00456C7B">
        <w:rPr>
          <w:rFonts w:cstheme="minorHAnsi"/>
        </w:rPr>
        <w:t>This research aims to measure the</w:t>
      </w:r>
      <w:r w:rsidR="004A381E" w:rsidRPr="00456C7B">
        <w:rPr>
          <w:rFonts w:cstheme="minorHAnsi"/>
        </w:rPr>
        <w:t xml:space="preserve"> potential</w:t>
      </w:r>
      <w:r w:rsidRPr="00456C7B">
        <w:rPr>
          <w:rFonts w:cstheme="minorHAnsi"/>
        </w:rPr>
        <w:t xml:space="preserve"> impact of signing th</w:t>
      </w:r>
      <w:r w:rsidR="006A5D66" w:rsidRPr="00456C7B">
        <w:rPr>
          <w:rFonts w:cstheme="minorHAnsi"/>
        </w:rPr>
        <w:t xml:space="preserve">is </w:t>
      </w:r>
      <w:r w:rsidRPr="00456C7B">
        <w:rPr>
          <w:rFonts w:cstheme="minorHAnsi"/>
        </w:rPr>
        <w:t xml:space="preserve">agreement on access to medicines in Thailand, </w:t>
      </w:r>
      <w:r w:rsidR="006A5D66" w:rsidRPr="00456C7B">
        <w:rPr>
          <w:rFonts w:cstheme="minorHAnsi"/>
        </w:rPr>
        <w:t>specifically</w:t>
      </w:r>
      <w:r w:rsidRPr="00456C7B">
        <w:rPr>
          <w:rFonts w:cstheme="minorHAnsi"/>
        </w:rPr>
        <w:t xml:space="preserve"> </w:t>
      </w:r>
      <w:r w:rsidR="00C50C6C" w:rsidRPr="00456C7B">
        <w:rPr>
          <w:rFonts w:cstheme="minorHAnsi"/>
        </w:rPr>
        <w:t>the impact of its intellectual property</w:t>
      </w:r>
      <w:r w:rsidR="002466FB" w:rsidRPr="00456C7B">
        <w:rPr>
          <w:rFonts w:cstheme="minorHAnsi"/>
        </w:rPr>
        <w:t xml:space="preserve"> (IP)</w:t>
      </w:r>
      <w:r w:rsidR="00C50C6C" w:rsidRPr="00456C7B">
        <w:rPr>
          <w:rFonts w:cstheme="minorHAnsi"/>
        </w:rPr>
        <w:t xml:space="preserve"> provisions </w:t>
      </w:r>
      <w:r w:rsidRPr="00456C7B">
        <w:rPr>
          <w:rFonts w:cstheme="minorHAnsi"/>
        </w:rPr>
        <w:t xml:space="preserve">on access to direct acting antivirals </w:t>
      </w:r>
      <w:r w:rsidR="00896134" w:rsidRPr="00456C7B">
        <w:rPr>
          <w:rFonts w:cstheme="minorHAnsi"/>
        </w:rPr>
        <w:t xml:space="preserve">(DAA) </w:t>
      </w:r>
      <w:r w:rsidRPr="00456C7B">
        <w:rPr>
          <w:rFonts w:cstheme="minorHAnsi"/>
        </w:rPr>
        <w:t xml:space="preserve">used to treat hepatitis C. </w:t>
      </w:r>
    </w:p>
    <w:p w14:paraId="14BC5BA4" w14:textId="191466C4" w:rsidR="007B0CEE" w:rsidRPr="00456C7B" w:rsidRDefault="007B0CEE" w:rsidP="00EA6F50">
      <w:pPr>
        <w:spacing w:after="0" w:line="360" w:lineRule="auto"/>
        <w:jc w:val="both"/>
        <w:rPr>
          <w:rFonts w:cstheme="minorHAnsi"/>
        </w:rPr>
      </w:pPr>
    </w:p>
    <w:p w14:paraId="5EF5741A" w14:textId="1305CD43" w:rsidR="005605C4" w:rsidRPr="00456C7B" w:rsidRDefault="002B7FAD" w:rsidP="007F4376">
      <w:pPr>
        <w:pStyle w:val="Heading2"/>
        <w:spacing w:before="0" w:line="360" w:lineRule="auto"/>
      </w:pPr>
      <w:r w:rsidRPr="00456C7B">
        <w:t>Thailand</w:t>
      </w:r>
      <w:r w:rsidR="00EE3B05" w:rsidRPr="00456C7B">
        <w:t>’s</w:t>
      </w:r>
      <w:r w:rsidRPr="00456C7B">
        <w:t xml:space="preserve"> Economic </w:t>
      </w:r>
      <w:r w:rsidR="00BC17D9" w:rsidRPr="00456C7B">
        <w:t>S</w:t>
      </w:r>
      <w:r w:rsidRPr="00456C7B">
        <w:t xml:space="preserve">ituation </w:t>
      </w:r>
    </w:p>
    <w:p w14:paraId="0973FF3C" w14:textId="0CC4BF3D" w:rsidR="005605C4" w:rsidRPr="00456C7B" w:rsidRDefault="005605C4" w:rsidP="00EA6F50">
      <w:pPr>
        <w:spacing w:after="0" w:line="360" w:lineRule="auto"/>
        <w:jc w:val="both"/>
        <w:rPr>
          <w:rFonts w:cstheme="minorHAnsi"/>
        </w:rPr>
      </w:pPr>
      <w:r w:rsidRPr="00456C7B">
        <w:rPr>
          <w:rFonts w:cstheme="minorHAnsi"/>
        </w:rPr>
        <w:t xml:space="preserve">Thailand has made significant strides in socio-economic development, moving from a low-income to an upper-middle income country (as defined by The World Bank) in less than a generation </w:t>
      </w:r>
      <w:r w:rsidRPr="00456C7B">
        <w:rPr>
          <w:rFonts w:cstheme="minorHAnsi"/>
        </w:rPr>
        <w:fldChar w:fldCharType="begin"/>
      </w:r>
      <w:r w:rsidR="007F4376" w:rsidRPr="00456C7B">
        <w:rPr>
          <w:rFonts w:cstheme="minorHAnsi"/>
        </w:rPr>
        <w:instrText xml:space="preserve"> ADDIN EN.CITE &lt;EndNote&gt;&lt;Cite&gt;&lt;Author&gt;The World Bank&lt;/Author&gt;&lt;Year&gt;2021&lt;/Year&gt;&lt;RecNum&gt;294&lt;/RecNum&gt;&lt;DisplayText&gt;(1)&lt;/DisplayText&gt;&lt;record&gt;&lt;rec-number&gt;294&lt;/rec-number&gt;&lt;foreign-keys&gt;&lt;key app="EN" db-id="dfp5tt9d12x9vhewffovwt2jvd9t5vpwzvxr" timestamp="1616728187"&gt;294&lt;/key&gt;&lt;/foreign-keys&gt;&lt;ref-type name="Web Page"&gt;12&lt;/ref-type&gt;&lt;contributors&gt;&lt;authors&gt;&lt;author&gt;The World Bank,&lt;/author&gt;&lt;/authors&gt;&lt;/contributors&gt;&lt;titles&gt;&lt;title&gt;The World Bank In Thailand&lt;/title&gt;&lt;/titles&gt;&lt;volume&gt;2021&lt;/volume&gt;&lt;number&gt;26th March 2021&lt;/number&gt;&lt;dates&gt;&lt;year&gt;2021&lt;/year&gt;&lt;pub-dates&gt;&lt;date&gt;September 2020&lt;/date&gt;&lt;/pub-dates&gt;&lt;/dates&gt;&lt;urls&gt;&lt;related-urls&gt;&lt;url&gt;https://www.worldbank.org/en/country/thailand/overview&lt;/url&gt;&lt;/related-urls&gt;&lt;/urls&gt;&lt;custom1&gt;2021&lt;/custom1&gt;&lt;custom2&gt;26th March 2021&lt;/custom2&gt;&lt;/record&gt;&lt;/Cite&gt;&lt;/EndNote&gt;</w:instrText>
      </w:r>
      <w:r w:rsidRPr="00456C7B">
        <w:rPr>
          <w:rFonts w:cstheme="minorHAnsi"/>
        </w:rPr>
        <w:fldChar w:fldCharType="separate"/>
      </w:r>
      <w:r w:rsidR="007F4376" w:rsidRPr="00456C7B">
        <w:rPr>
          <w:rFonts w:cstheme="minorHAnsi"/>
          <w:noProof/>
        </w:rPr>
        <w:t>(1)</w:t>
      </w:r>
      <w:r w:rsidRPr="00456C7B">
        <w:rPr>
          <w:rFonts w:cstheme="minorHAnsi"/>
        </w:rPr>
        <w:fldChar w:fldCharType="end"/>
      </w:r>
      <w:r w:rsidRPr="00456C7B">
        <w:rPr>
          <w:rFonts w:cstheme="minorHAnsi"/>
        </w:rPr>
        <w:t xml:space="preserve">. It has experienced strong economic growth and marked poverty reduction. </w:t>
      </w:r>
    </w:p>
    <w:p w14:paraId="146A0009" w14:textId="47FC675A" w:rsidR="00946953" w:rsidRPr="00456C7B" w:rsidRDefault="00946953" w:rsidP="00EA6F50">
      <w:pPr>
        <w:spacing w:after="0" w:line="360" w:lineRule="auto"/>
        <w:jc w:val="both"/>
        <w:rPr>
          <w:rFonts w:cstheme="minorHAnsi"/>
        </w:rPr>
      </w:pPr>
    </w:p>
    <w:p w14:paraId="0768881E" w14:textId="6E8C070F" w:rsidR="000E1E31" w:rsidRPr="00456C7B" w:rsidRDefault="00946953" w:rsidP="00A310BE">
      <w:pPr>
        <w:pStyle w:val="Heading2"/>
      </w:pPr>
      <w:r w:rsidRPr="00456C7B">
        <w:t>Implications of Thailand’s membership of the World Trade Organization</w:t>
      </w:r>
    </w:p>
    <w:p w14:paraId="4A706345" w14:textId="5B4365D2" w:rsidR="000E1E31" w:rsidRPr="00456C7B" w:rsidRDefault="000E1E31" w:rsidP="00956F9A">
      <w:pPr>
        <w:spacing w:after="0" w:line="360" w:lineRule="auto"/>
        <w:jc w:val="both"/>
        <w:rPr>
          <w:rFonts w:cstheme="minorHAnsi"/>
        </w:rPr>
      </w:pPr>
      <w:r w:rsidRPr="00456C7B">
        <w:rPr>
          <w:rFonts w:cstheme="minorHAnsi"/>
        </w:rPr>
        <w:t xml:space="preserve">The WTO’s Agreement on Trade-Related Aspects of Intellectual Property Rights (TRIPS) came into effect on 1 January 1995 and remains the most comprehensive multilateral agreement on </w:t>
      </w:r>
      <w:r w:rsidR="00AF79C0" w:rsidRPr="00456C7B">
        <w:rPr>
          <w:rFonts w:cstheme="minorHAnsi"/>
        </w:rPr>
        <w:t>intellectual property (IP)</w:t>
      </w:r>
      <w:r w:rsidRPr="00456C7B">
        <w:rPr>
          <w:rFonts w:cstheme="minorHAnsi"/>
        </w:rPr>
        <w:t xml:space="preserve"> </w:t>
      </w:r>
      <w:r w:rsidRPr="00456C7B">
        <w:rPr>
          <w:rFonts w:cstheme="minorHAnsi"/>
        </w:rPr>
        <w:fldChar w:fldCharType="begin"/>
      </w:r>
      <w:r w:rsidR="00124454">
        <w:rPr>
          <w:rFonts w:cstheme="minorHAnsi"/>
        </w:rPr>
        <w:instrText xml:space="preserve"> ADDIN EN.CITE &lt;EndNote&gt;&lt;Cite&gt;&lt;Author&gt;World Trade Organization&lt;/Author&gt;&lt;Year&gt;2021&lt;/Year&gt;&lt;RecNum&gt;208&lt;/RecNum&gt;&lt;DisplayText&gt;(2, 3)&lt;/DisplayText&gt;&lt;record&gt;&lt;rec-number&gt;208&lt;/rec-number&gt;&lt;foreign-keys&gt;&lt;key app="EN" db-id="dfp5tt9d12x9vhewffovwt2jvd9t5vpwzvxr" timestamp="1614045736"&gt;208&lt;/key&gt;&lt;/foreign-keys&gt;&lt;ref-type name="Web Page"&gt;12&lt;/ref-type&gt;&lt;contributors&gt;&lt;authors&gt;&lt;author&gt;World Trade Organization,&lt;/author&gt;&lt;/authors&gt;&lt;/contributors&gt;&lt;titles&gt;&lt;title&gt;Frequently asked questions about TRIPS [ trade-related aspects of intellectual property rights ] in the WTO&lt;/title&gt;&lt;/titles&gt;&lt;volume&gt;2021&lt;/volume&gt;&lt;number&gt;23rd February 2021&lt;/number&gt;&lt;dates&gt;&lt;year&gt;2021&lt;/year&gt;&lt;/dates&gt;&lt;urls&gt;&lt;related-urls&gt;&lt;url&gt;https://www.wto.org/english/tratop_e/trips_e/tripfq_e.htm&lt;/url&gt;&lt;/related-urls&gt;&lt;/urls&gt;&lt;custom1&gt;2021&lt;/custom1&gt;&lt;custom2&gt;23rd February 2021&lt;/custom2&gt;&lt;/record&gt;&lt;/Cite&gt;&lt;Cite&gt;&lt;Author&gt;World Trade Organization&lt;/Author&gt;&lt;Year&gt;Apr. 15, 1994&lt;/Year&gt;&lt;RecNum&gt;307&lt;/RecNum&gt;&lt;record&gt;&lt;rec-number&gt;307&lt;/rec-number&gt;&lt;foreign-keys&gt;&lt;key app="EN" db-id="dfp5tt9d12x9vhewffovwt2jvd9t5vpwzvxr" timestamp="1617235025"&gt;307&lt;/key&gt;&lt;/foreign-keys&gt;&lt;ref-type name="Legal Rule or Regulation"&gt;50&lt;/ref-type&gt;&lt;contributors&gt;&lt;authors&gt;&lt;author&gt;World Trade Organization,&lt;/author&gt;&lt;/authors&gt;&lt;secondary-authors&gt;&lt;author&gt;World Trade Organization,&lt;/author&gt;&lt;/secondary-authors&gt;&lt;/contributors&gt;&lt;titles&gt;&lt;title&gt;TRIPS: Agreement on Trade-Related Aspects of Intellectual Property Rights.&lt;/title&gt;&lt;/titles&gt;&lt;volume&gt;Annex 1C, 1869 U.N.T.S. 299, 33 I.L.M. 1197&lt;/volume&gt;&lt;dates&gt;&lt;year&gt;Apr. 15, 1994&lt;/year&gt;&lt;/dates&gt;&lt;pub-location&gt;Marrakesh &lt;/pub-location&gt;&lt;urls&gt;&lt;/urls&gt;&lt;/record&gt;&lt;/Cite&gt;&lt;/EndNote&gt;</w:instrText>
      </w:r>
      <w:r w:rsidRPr="00456C7B">
        <w:rPr>
          <w:rFonts w:cstheme="minorHAnsi"/>
        </w:rPr>
        <w:fldChar w:fldCharType="separate"/>
      </w:r>
      <w:r w:rsidR="00124454">
        <w:rPr>
          <w:rFonts w:cstheme="minorHAnsi"/>
          <w:noProof/>
        </w:rPr>
        <w:t>(2, 3)</w:t>
      </w:r>
      <w:r w:rsidRPr="00456C7B">
        <w:rPr>
          <w:rFonts w:cstheme="minorHAnsi"/>
        </w:rPr>
        <w:fldChar w:fldCharType="end"/>
      </w:r>
      <w:r w:rsidRPr="00456C7B">
        <w:rPr>
          <w:rFonts w:cstheme="minorHAnsi"/>
        </w:rPr>
        <w:t xml:space="preserve">. </w:t>
      </w:r>
      <w:r w:rsidR="00BE5B19" w:rsidRPr="00456C7B">
        <w:rPr>
          <w:rFonts w:cstheme="minorHAnsi"/>
        </w:rPr>
        <w:t xml:space="preserve">As a WTO Member State, Thailand </w:t>
      </w:r>
      <w:r w:rsidR="000D0B26" w:rsidRPr="00456C7B">
        <w:rPr>
          <w:rFonts w:cstheme="minorHAnsi"/>
        </w:rPr>
        <w:t>must</w:t>
      </w:r>
      <w:r w:rsidR="00BE5B19" w:rsidRPr="00456C7B">
        <w:rPr>
          <w:rFonts w:cstheme="minorHAnsi"/>
        </w:rPr>
        <w:t xml:space="preserve"> comply with TRIPS and provide minimum standards of IP protection</w:t>
      </w:r>
      <w:r w:rsidR="001E7688" w:rsidRPr="00456C7B">
        <w:rPr>
          <w:rFonts w:cstheme="minorHAnsi"/>
        </w:rPr>
        <w:t xml:space="preserve">, </w:t>
      </w:r>
      <w:r w:rsidR="00CD35E1" w:rsidRPr="00456C7B">
        <w:rPr>
          <w:rFonts w:cstheme="minorHAnsi"/>
        </w:rPr>
        <w:t>including making</w:t>
      </w:r>
      <w:r w:rsidRPr="00456C7B">
        <w:rPr>
          <w:rFonts w:cstheme="minorHAnsi"/>
        </w:rPr>
        <w:t xml:space="preserve"> patents </w:t>
      </w:r>
      <w:r w:rsidR="00CD35E1" w:rsidRPr="00456C7B">
        <w:rPr>
          <w:rFonts w:cstheme="minorHAnsi"/>
        </w:rPr>
        <w:t xml:space="preserve">of at least 20 years </w:t>
      </w:r>
      <w:r w:rsidRPr="00456C7B">
        <w:rPr>
          <w:rFonts w:cstheme="minorHAnsi"/>
        </w:rPr>
        <w:t>available for pharmaceutical products or processes that meet standard criteria for patentability, novelty, inventive step and industrial applicability</w:t>
      </w:r>
      <w:r w:rsidR="00E81C98" w:rsidRPr="00456C7B">
        <w:rPr>
          <w:rFonts w:cstheme="minorHAnsi"/>
        </w:rPr>
        <w:t xml:space="preserve"> </w:t>
      </w:r>
      <w:r w:rsidR="00E50888" w:rsidRPr="00456C7B">
        <w:rPr>
          <w:rFonts w:cstheme="minorHAnsi"/>
        </w:rPr>
        <w:fldChar w:fldCharType="begin"/>
      </w:r>
      <w:r w:rsidR="00124454">
        <w:rPr>
          <w:rFonts w:cstheme="minorHAnsi"/>
        </w:rPr>
        <w:instrText xml:space="preserve"> ADDIN EN.CITE &lt;EndNote&gt;&lt;Cite&gt;&lt;Author&gt;World Trade Organization&lt;/Author&gt;&lt;Year&gt;Apr. 15, 1994&lt;/Year&gt;&lt;RecNum&gt;454&lt;/RecNum&gt;&lt;DisplayText&gt;(4)&lt;/DisplayText&gt;&lt;record&gt;&lt;rec-number&gt;454&lt;/rec-number&gt;&lt;foreign-keys&gt;&lt;key app="EN" db-id="dfp5tt9d12x9vhewffovwt2jvd9t5vpwzvxr" timestamp="1651806454"&gt;454&lt;/key&gt;&lt;/foreign-keys&gt;&lt;ref-type name="Legal Rule or Regulation"&gt;50&lt;/ref-type&gt;&lt;contributors&gt;&lt;authors&gt;&lt;author&gt;World Trade Organization,&lt;/author&gt;&lt;/authors&gt;&lt;/contributors&gt;&lt;titles&gt;&lt;title&gt;Agreement on Trade-related Aspects of Intellectual Property Rights. Section 5: patents Article 27 Patentable Subject Matter&lt;/title&gt;&lt;/titles&gt;&lt;volume&gt;Annex 1C &lt;/volume&gt;&lt;dates&gt;&lt;year&gt;Apr. 15, 1994&lt;/year&gt;&lt;/dates&gt;&lt;urls&gt;&lt;/urls&gt;&lt;/record&gt;&lt;/Cite&gt;&lt;/EndNote&gt;</w:instrText>
      </w:r>
      <w:r w:rsidR="00E50888" w:rsidRPr="00456C7B">
        <w:rPr>
          <w:rFonts w:cstheme="minorHAnsi"/>
        </w:rPr>
        <w:fldChar w:fldCharType="separate"/>
      </w:r>
      <w:r w:rsidR="00124454">
        <w:rPr>
          <w:rFonts w:cstheme="minorHAnsi"/>
          <w:noProof/>
        </w:rPr>
        <w:t>(4)</w:t>
      </w:r>
      <w:r w:rsidR="00E50888" w:rsidRPr="00456C7B">
        <w:rPr>
          <w:rFonts w:cstheme="minorHAnsi"/>
        </w:rPr>
        <w:fldChar w:fldCharType="end"/>
      </w:r>
      <w:r w:rsidRPr="00456C7B">
        <w:rPr>
          <w:rFonts w:cstheme="minorHAnsi"/>
        </w:rPr>
        <w:t xml:space="preserve">. </w:t>
      </w:r>
    </w:p>
    <w:p w14:paraId="549D21D6" w14:textId="77777777" w:rsidR="000E1E31" w:rsidRPr="00456C7B" w:rsidRDefault="000E1E31" w:rsidP="00195113">
      <w:pPr>
        <w:spacing w:after="0" w:line="240" w:lineRule="auto"/>
        <w:rPr>
          <w:rFonts w:cstheme="minorHAnsi"/>
        </w:rPr>
      </w:pPr>
    </w:p>
    <w:p w14:paraId="2B27EB6E" w14:textId="337C1081" w:rsidR="000E1E31" w:rsidRPr="00456C7B" w:rsidRDefault="000F0028" w:rsidP="00EA6F50">
      <w:pPr>
        <w:pStyle w:val="Heading2"/>
        <w:spacing w:line="360" w:lineRule="auto"/>
      </w:pPr>
      <w:r w:rsidRPr="00456C7B">
        <w:t xml:space="preserve">Thailand’s Use of </w:t>
      </w:r>
      <w:r w:rsidR="009E480B" w:rsidRPr="00456C7B">
        <w:t>F</w:t>
      </w:r>
      <w:r w:rsidR="00E634F8" w:rsidRPr="00456C7B">
        <w:t xml:space="preserve">lexibilities in the Agreement on </w:t>
      </w:r>
      <w:r w:rsidR="000E1E31" w:rsidRPr="00456C7B">
        <w:t>Trade-Related Aspects of Intellectual Property Rights</w:t>
      </w:r>
    </w:p>
    <w:p w14:paraId="0EA7AD00" w14:textId="0989B087" w:rsidR="003678E1" w:rsidRPr="00456C7B" w:rsidRDefault="00356205" w:rsidP="00EA6F50">
      <w:pPr>
        <w:spacing w:line="360" w:lineRule="auto"/>
        <w:jc w:val="both"/>
        <w:rPr>
          <w:rFonts w:cstheme="minorHAnsi"/>
        </w:rPr>
      </w:pPr>
      <w:r w:rsidRPr="00456C7B">
        <w:rPr>
          <w:rFonts w:cstheme="minorHAnsi"/>
        </w:rPr>
        <w:t xml:space="preserve">Together with Ecuador, Thailand has made the most frequent use of TRIPS flexibilities </w:t>
      </w:r>
      <w:r w:rsidRPr="00456C7B">
        <w:rPr>
          <w:rFonts w:cstheme="minorHAnsi"/>
        </w:rPr>
        <w:fldChar w:fldCharType="begin"/>
      </w:r>
      <w:r w:rsidR="00124454">
        <w:rPr>
          <w:rFonts w:cstheme="minorHAnsi"/>
        </w:rPr>
        <w:instrText xml:space="preserve"> ADDIN EN.CITE &lt;EndNote&gt;&lt;Cite&gt;&lt;Author&gt;Vawda&lt;/Author&gt;&lt;Year&gt;2022&lt;/Year&gt;&lt;RecNum&gt;457&lt;/RecNum&gt;&lt;DisplayText&gt;(5)&lt;/DisplayText&gt;&lt;record&gt;&lt;rec-number&gt;457&lt;/rec-number&gt;&lt;foreign-keys&gt;&lt;key app="EN" db-id="dfp5tt9d12x9vhewffovwt2jvd9t5vpwzvxr" timestamp="1651809859"&gt;457&lt;/key&gt;&lt;/foreign-keys&gt;&lt;ref-type name="Book Section"&gt;5&lt;/ref-type&gt;&lt;contributors&gt;&lt;authors&gt;&lt;author&gt;Vawda, Yousuf A&lt;/author&gt;&lt;/authors&gt;&lt;/contributors&gt;&lt;titles&gt;&lt;title&gt;Compulsory Licenses and Government Use: Challenges and Opportunities&lt;/title&gt;&lt;secondary-title&gt;Access to Medicines and Vaccines&lt;/secondary-title&gt;&lt;/titles&gt;&lt;periodical&gt;&lt;full-title&gt;Access to Medicines and Vaccines&lt;/full-title&gt;&lt;/periodical&gt;&lt;pages&gt;73-104&lt;/pages&gt;&lt;dates&gt;&lt;year&gt;2022&lt;/year&gt;&lt;/dates&gt;&lt;publisher&gt;Springer, Cham&lt;/publisher&gt;&lt;urls&gt;&lt;/urls&gt;&lt;/record&gt;&lt;/Cite&gt;&lt;/EndNote&gt;</w:instrText>
      </w:r>
      <w:r w:rsidRPr="00456C7B">
        <w:rPr>
          <w:rFonts w:cstheme="minorHAnsi"/>
        </w:rPr>
        <w:fldChar w:fldCharType="separate"/>
      </w:r>
      <w:r w:rsidR="00124454">
        <w:rPr>
          <w:rFonts w:cstheme="minorHAnsi"/>
          <w:noProof/>
        </w:rPr>
        <w:t>(5)</w:t>
      </w:r>
      <w:r w:rsidRPr="00456C7B">
        <w:rPr>
          <w:rFonts w:cstheme="minorHAnsi"/>
        </w:rPr>
        <w:fldChar w:fldCharType="end"/>
      </w:r>
      <w:r w:rsidR="00070F36" w:rsidRPr="00456C7B">
        <w:rPr>
          <w:rFonts w:cstheme="minorHAnsi"/>
        </w:rPr>
        <w:t xml:space="preserve"> which are</w:t>
      </w:r>
      <w:r w:rsidR="00E239D8" w:rsidRPr="00456C7B">
        <w:rPr>
          <w:rFonts w:cstheme="minorHAnsi"/>
        </w:rPr>
        <w:t xml:space="preserve"> </w:t>
      </w:r>
      <w:r w:rsidR="000E1E31" w:rsidRPr="00456C7B">
        <w:rPr>
          <w:rFonts w:cstheme="minorHAnsi"/>
        </w:rPr>
        <w:t>designed to mitigate the negative impacts of patents, such as high medicine prices</w:t>
      </w:r>
      <w:r w:rsidR="00070F36" w:rsidRPr="00456C7B">
        <w:rPr>
          <w:rFonts w:cstheme="minorHAnsi"/>
        </w:rPr>
        <w:t>.</w:t>
      </w:r>
      <w:r w:rsidR="000E1E31" w:rsidRPr="00456C7B">
        <w:rPr>
          <w:rFonts w:cstheme="minorHAnsi"/>
        </w:rPr>
        <w:t xml:space="preserve"> </w:t>
      </w:r>
      <w:r w:rsidR="00070F36" w:rsidRPr="00456C7B">
        <w:rPr>
          <w:rFonts w:cstheme="minorHAnsi"/>
        </w:rPr>
        <w:t xml:space="preserve">Compulsory licenses are an important example of </w:t>
      </w:r>
      <w:r w:rsidR="000E1E31" w:rsidRPr="00456C7B">
        <w:rPr>
          <w:rFonts w:cstheme="minorHAnsi"/>
        </w:rPr>
        <w:t xml:space="preserve">TRIPS flexibilities </w:t>
      </w:r>
      <w:r w:rsidR="000E1E31" w:rsidRPr="00456C7B">
        <w:rPr>
          <w:rFonts w:cstheme="minorHAnsi"/>
        </w:rPr>
        <w:fldChar w:fldCharType="begin"/>
      </w:r>
      <w:r w:rsidR="00124454">
        <w:rPr>
          <w:rFonts w:cstheme="minorHAnsi"/>
        </w:rPr>
        <w:instrText xml:space="preserve"> ADDIN EN.CITE &lt;EndNote&gt;&lt;Cite&gt;&lt;Author&gt;World Trade Organization&lt;/Author&gt;&lt;Year&gt;2021&lt;/Year&gt;&lt;RecNum&gt;183&lt;/RecNum&gt;&lt;DisplayText&gt;(6)&lt;/DisplayText&gt;&lt;record&gt;&lt;rec-number&gt;183&lt;/rec-number&gt;&lt;foreign-keys&gt;&lt;key app="EN" db-id="dfp5tt9d12x9vhewffovwt2jvd9t5vpwzvxr" timestamp="1610494007"&gt;183&lt;/key&gt;&lt;/foreign-keys&gt;&lt;ref-type name="Web Page"&gt;12&lt;/ref-type&gt;&lt;contributors&gt;&lt;authors&gt;&lt;author&gt;World Trade Organization,&lt;/author&gt;&lt;/authors&gt;&lt;/contributors&gt;&lt;titles&gt;&lt;title&gt;TRIPS AND HEALTH: FREQUENTLY ASKED QUESTIONS. Compulsory licensing of pharmaceuticals and TRIPS&lt;/title&gt;&lt;/titles&gt;&lt;number&gt;13th January 2021&lt;/number&gt;&lt;dates&gt;&lt;year&gt;2021&lt;/year&gt;&lt;/dates&gt;&lt;urls&gt;&lt;related-urls&gt;&lt;url&gt;https://www.wto.org/english/tratop_e/trips_e/public_health_faq_e.htm&lt;/url&gt;&lt;/related-urls&gt;&lt;/urls&gt;&lt;/record&gt;&lt;/Cite&gt;&lt;/EndNote&gt;</w:instrText>
      </w:r>
      <w:r w:rsidR="000E1E31" w:rsidRPr="00456C7B">
        <w:rPr>
          <w:rFonts w:cstheme="minorHAnsi"/>
        </w:rPr>
        <w:fldChar w:fldCharType="separate"/>
      </w:r>
      <w:r w:rsidR="00124454">
        <w:rPr>
          <w:rFonts w:cstheme="minorHAnsi"/>
          <w:noProof/>
        </w:rPr>
        <w:t>(6)</w:t>
      </w:r>
      <w:r w:rsidR="000E1E31" w:rsidRPr="00456C7B">
        <w:rPr>
          <w:rFonts w:cstheme="minorHAnsi"/>
        </w:rPr>
        <w:fldChar w:fldCharType="end"/>
      </w:r>
      <w:r w:rsidR="000E1E31" w:rsidRPr="00456C7B">
        <w:rPr>
          <w:rFonts w:cstheme="minorHAnsi"/>
        </w:rPr>
        <w:t xml:space="preserve">. </w:t>
      </w:r>
      <w:r w:rsidR="00112E1D" w:rsidRPr="00456C7B">
        <w:rPr>
          <w:rFonts w:cstheme="minorHAnsi"/>
        </w:rPr>
        <w:t>TRIPS article 31 defines a</w:t>
      </w:r>
      <w:r w:rsidR="00DC4D00" w:rsidRPr="00456C7B">
        <w:rPr>
          <w:rFonts w:cstheme="minorHAnsi"/>
        </w:rPr>
        <w:t xml:space="preserve"> compulsory licence</w:t>
      </w:r>
      <w:r w:rsidR="00112E1D" w:rsidRPr="00456C7B">
        <w:rPr>
          <w:rFonts w:cstheme="minorHAnsi"/>
        </w:rPr>
        <w:t xml:space="preserve"> a</w:t>
      </w:r>
      <w:r w:rsidR="00DC4D00" w:rsidRPr="00456C7B">
        <w:rPr>
          <w:rFonts w:cstheme="minorHAnsi"/>
        </w:rPr>
        <w:t xml:space="preserve">s an authorisation granted by a government </w:t>
      </w:r>
      <w:r w:rsidR="00E66E80" w:rsidRPr="00456C7B">
        <w:rPr>
          <w:rFonts w:cstheme="minorHAnsi"/>
        </w:rPr>
        <w:t xml:space="preserve">that allows </w:t>
      </w:r>
      <w:r w:rsidR="00112E1D" w:rsidRPr="00456C7B">
        <w:rPr>
          <w:rFonts w:cstheme="minorHAnsi"/>
        </w:rPr>
        <w:t xml:space="preserve">the government or </w:t>
      </w:r>
      <w:r w:rsidR="00E66E80" w:rsidRPr="00456C7B">
        <w:rPr>
          <w:rFonts w:cstheme="minorHAnsi"/>
        </w:rPr>
        <w:t>a</w:t>
      </w:r>
      <w:r w:rsidR="00DC4D00" w:rsidRPr="00456C7B">
        <w:rPr>
          <w:rFonts w:cstheme="minorHAnsi"/>
        </w:rPr>
        <w:t xml:space="preserve"> third part</w:t>
      </w:r>
      <w:r w:rsidR="00E66E80" w:rsidRPr="00456C7B">
        <w:rPr>
          <w:rFonts w:cstheme="minorHAnsi"/>
        </w:rPr>
        <w:t>y</w:t>
      </w:r>
      <w:r w:rsidR="00DC4D00" w:rsidRPr="00456C7B">
        <w:rPr>
          <w:rFonts w:cstheme="minorHAnsi"/>
        </w:rPr>
        <w:t xml:space="preserve"> to produce a patented product or to </w:t>
      </w:r>
      <w:r w:rsidR="00E66E80" w:rsidRPr="00456C7B">
        <w:rPr>
          <w:rFonts w:cstheme="minorHAnsi"/>
        </w:rPr>
        <w:t>use</w:t>
      </w:r>
      <w:r w:rsidR="00DC4D00" w:rsidRPr="00456C7B">
        <w:rPr>
          <w:rFonts w:cstheme="minorHAnsi"/>
        </w:rPr>
        <w:t xml:space="preserve"> a patented process without the consent of the patent holder</w:t>
      </w:r>
      <w:r w:rsidR="00E66E80" w:rsidRPr="00456C7B">
        <w:rPr>
          <w:rFonts w:cstheme="minorHAnsi"/>
        </w:rPr>
        <w:t xml:space="preserve"> </w:t>
      </w:r>
      <w:r w:rsidR="000E1E31" w:rsidRPr="00456C7B">
        <w:rPr>
          <w:rFonts w:cstheme="minorHAnsi"/>
        </w:rPr>
        <w:fldChar w:fldCharType="begin"/>
      </w:r>
      <w:r w:rsidR="00124454">
        <w:rPr>
          <w:rFonts w:cstheme="minorHAnsi"/>
        </w:rPr>
        <w:instrText xml:space="preserve"> ADDIN EN.CITE &lt;EndNote&gt;&lt;Cite&gt;&lt;Author&gt;World Trade Organization&lt;/Author&gt;&lt;Year&gt;2021&lt;/Year&gt;&lt;RecNum&gt;183&lt;/RecNum&gt;&lt;DisplayText&gt;(6)&lt;/DisplayText&gt;&lt;record&gt;&lt;rec-number&gt;183&lt;/rec-number&gt;&lt;foreign-keys&gt;&lt;key app="EN" db-id="dfp5tt9d12x9vhewffovwt2jvd9t5vpwzvxr" timestamp="1610494007"&gt;183&lt;/key&gt;&lt;/foreign-keys&gt;&lt;ref-type name="Web Page"&gt;12&lt;/ref-type&gt;&lt;contributors&gt;&lt;authors&gt;&lt;author&gt;World Trade Organization,&lt;/author&gt;&lt;/authors&gt;&lt;/contributors&gt;&lt;titles&gt;&lt;title&gt;TRIPS AND HEALTH: FREQUENTLY ASKED QUESTIONS. Compulsory licensing of pharmaceuticals and TRIPS&lt;/title&gt;&lt;/titles&gt;&lt;number&gt;13th January 2021&lt;/number&gt;&lt;dates&gt;&lt;year&gt;2021&lt;/year&gt;&lt;/dates&gt;&lt;urls&gt;&lt;related-urls&gt;&lt;url&gt;https://www.wto.org/english/tratop_e/trips_e/public_health_faq_e.htm&lt;/url&gt;&lt;/related-urls&gt;&lt;/urls&gt;&lt;/record&gt;&lt;/Cite&gt;&lt;/EndNote&gt;</w:instrText>
      </w:r>
      <w:r w:rsidR="000E1E31" w:rsidRPr="00456C7B">
        <w:rPr>
          <w:rFonts w:cstheme="minorHAnsi"/>
        </w:rPr>
        <w:fldChar w:fldCharType="separate"/>
      </w:r>
      <w:r w:rsidR="00124454">
        <w:rPr>
          <w:rFonts w:cstheme="minorHAnsi"/>
          <w:noProof/>
        </w:rPr>
        <w:t>(6)</w:t>
      </w:r>
      <w:r w:rsidR="000E1E31" w:rsidRPr="00456C7B">
        <w:rPr>
          <w:rFonts w:cstheme="minorHAnsi"/>
        </w:rPr>
        <w:fldChar w:fldCharType="end"/>
      </w:r>
      <w:r w:rsidR="000E1E31" w:rsidRPr="00456C7B">
        <w:rPr>
          <w:rFonts w:cstheme="minorHAnsi"/>
        </w:rPr>
        <w:t xml:space="preserve">. The patent holder must be paid a royalty based on the percentage of sales. </w:t>
      </w:r>
      <w:r w:rsidR="000E1E31" w:rsidRPr="00456C7B">
        <w:rPr>
          <w:rFonts w:cstheme="minorHAnsi"/>
        </w:rPr>
        <w:fldChar w:fldCharType="begin"/>
      </w:r>
      <w:r w:rsidR="00124454">
        <w:rPr>
          <w:rFonts w:cstheme="minorHAnsi"/>
        </w:rPr>
        <w:instrText xml:space="preserve"> ADDIN EN.CITE &lt;EndNote&gt;&lt;Cite&gt;&lt;Author&gt;WTO OMC&lt;/Author&gt;&lt;Year&gt;September 2003 &lt;/Year&gt;&lt;RecNum&gt;205&lt;/RecNum&gt;&lt;DisplayText&gt;(7)&lt;/DisplayText&gt;&lt;record&gt;&lt;rec-number&gt;205&lt;/rec-number&gt;&lt;foreign-keys&gt;&lt;key app="EN" db-id="dfp5tt9d12x9vhewffovwt2jvd9t5vpwzvxr" timestamp="1613345375"&gt;205&lt;/key&gt;&lt;/foreign-keys&gt;&lt;ref-type name="Web Page"&gt;12&lt;/ref-type&gt;&lt;contributors&gt;&lt;authors&gt;&lt;author&gt;WTO OMC,&lt;/author&gt;&lt;/authors&gt;&lt;/contributors&gt;&lt;titles&gt;&lt;title&gt;FACT SHEET TRIPS and pharmaceutical patents &lt;/title&gt;&lt;/titles&gt;&lt;volume&gt;2021&lt;/volume&gt;&lt;dates&gt;&lt;year&gt;September 2003 &lt;/year&gt;&lt;/dates&gt;&lt;urls&gt;&lt;related-urls&gt;&lt;url&gt;https://www.wto.org/english/tratop_e/trips_e/tripsfactsheet_pharma_e.pdf&lt;/url&gt;&lt;/related-urls&gt;&lt;/urls&gt;&lt;custom2&gt;15th Feb 2021&lt;/custom2&gt;&lt;/record&gt;&lt;/Cite&gt;&lt;/EndNote&gt;</w:instrText>
      </w:r>
      <w:r w:rsidR="000E1E31" w:rsidRPr="00456C7B">
        <w:rPr>
          <w:rFonts w:cstheme="minorHAnsi"/>
        </w:rPr>
        <w:fldChar w:fldCharType="separate"/>
      </w:r>
      <w:r w:rsidR="00124454">
        <w:rPr>
          <w:rFonts w:cstheme="minorHAnsi"/>
          <w:noProof/>
        </w:rPr>
        <w:t>(7)</w:t>
      </w:r>
      <w:r w:rsidR="000E1E31" w:rsidRPr="00456C7B">
        <w:rPr>
          <w:rFonts w:cstheme="minorHAnsi"/>
        </w:rPr>
        <w:fldChar w:fldCharType="end"/>
      </w:r>
      <w:r w:rsidR="000E1E31" w:rsidRPr="00456C7B">
        <w:rPr>
          <w:rFonts w:cstheme="minorHAnsi"/>
        </w:rPr>
        <w:t xml:space="preserve">. </w:t>
      </w:r>
    </w:p>
    <w:p w14:paraId="357FA8E3" w14:textId="3524FEFD" w:rsidR="000E1E31" w:rsidRPr="00456C7B" w:rsidRDefault="00356205" w:rsidP="00EA6F50">
      <w:pPr>
        <w:spacing w:line="360" w:lineRule="auto"/>
        <w:jc w:val="both"/>
        <w:rPr>
          <w:rFonts w:cstheme="minorHAnsi"/>
        </w:rPr>
      </w:pPr>
      <w:r w:rsidRPr="00456C7B">
        <w:rPr>
          <w:rFonts w:cstheme="minorHAnsi"/>
        </w:rPr>
        <w:t>Thailand</w:t>
      </w:r>
      <w:r w:rsidR="00122162" w:rsidRPr="00456C7B">
        <w:rPr>
          <w:rFonts w:cstheme="minorHAnsi"/>
        </w:rPr>
        <w:t xml:space="preserve"> </w:t>
      </w:r>
      <w:r w:rsidR="003678E1" w:rsidRPr="00456C7B">
        <w:rPr>
          <w:rFonts w:cstheme="minorHAnsi"/>
        </w:rPr>
        <w:t xml:space="preserve">has issued seven </w:t>
      </w:r>
      <w:r w:rsidR="00112E1D" w:rsidRPr="00456C7B">
        <w:rPr>
          <w:rFonts w:cstheme="minorHAnsi"/>
        </w:rPr>
        <w:t xml:space="preserve">government for public non-commercial use </w:t>
      </w:r>
      <w:r w:rsidR="003678E1" w:rsidRPr="00456C7B">
        <w:rPr>
          <w:rFonts w:cstheme="minorHAnsi"/>
        </w:rPr>
        <w:t>compulsory licences</w:t>
      </w:r>
      <w:r w:rsidR="000F6C8B" w:rsidRPr="00456C7B">
        <w:rPr>
          <w:rFonts w:cstheme="minorHAnsi"/>
        </w:rPr>
        <w:t xml:space="preserve"> </w:t>
      </w:r>
      <w:r w:rsidR="003678E1" w:rsidRPr="00456C7B">
        <w:rPr>
          <w:rFonts w:cstheme="minorHAnsi"/>
        </w:rPr>
        <w:t>in total. In 2006</w:t>
      </w:r>
      <w:r w:rsidR="0000690B" w:rsidRPr="00456C7B">
        <w:rPr>
          <w:rFonts w:cstheme="minorHAnsi"/>
        </w:rPr>
        <w:t>,</w:t>
      </w:r>
      <w:r w:rsidR="003678E1" w:rsidRPr="00456C7B">
        <w:rPr>
          <w:rFonts w:cstheme="minorHAnsi"/>
        </w:rPr>
        <w:t xml:space="preserve"> the </w:t>
      </w:r>
      <w:r w:rsidR="00686141" w:rsidRPr="00456C7B">
        <w:rPr>
          <w:rFonts w:cstheme="minorHAnsi"/>
        </w:rPr>
        <w:t xml:space="preserve">Government of </w:t>
      </w:r>
      <w:r w:rsidR="003678E1" w:rsidRPr="00456C7B">
        <w:rPr>
          <w:rFonts w:cstheme="minorHAnsi"/>
        </w:rPr>
        <w:t>Thai</w:t>
      </w:r>
      <w:r w:rsidR="00686141" w:rsidRPr="00456C7B">
        <w:rPr>
          <w:rFonts w:cstheme="minorHAnsi"/>
        </w:rPr>
        <w:t>land</w:t>
      </w:r>
      <w:r w:rsidR="003678E1" w:rsidRPr="00456C7B">
        <w:rPr>
          <w:rFonts w:cstheme="minorHAnsi"/>
        </w:rPr>
        <w:t xml:space="preserve"> issued a compulsory licence for the </w:t>
      </w:r>
      <w:r w:rsidR="00A306AC" w:rsidRPr="00456C7B">
        <w:rPr>
          <w:rFonts w:cstheme="minorHAnsi"/>
        </w:rPr>
        <w:t>anti-retroviral (</w:t>
      </w:r>
      <w:r w:rsidR="003678E1" w:rsidRPr="00456C7B">
        <w:rPr>
          <w:rFonts w:cstheme="minorHAnsi"/>
        </w:rPr>
        <w:t>ARV</w:t>
      </w:r>
      <w:r w:rsidR="00A306AC" w:rsidRPr="00456C7B">
        <w:rPr>
          <w:rFonts w:cstheme="minorHAnsi"/>
        </w:rPr>
        <w:t>)</w:t>
      </w:r>
      <w:r w:rsidR="003678E1" w:rsidRPr="00456C7B">
        <w:rPr>
          <w:rFonts w:cstheme="minorHAnsi"/>
        </w:rPr>
        <w:t xml:space="preserve"> </w:t>
      </w:r>
      <w:r w:rsidR="009B7976" w:rsidRPr="00456C7B">
        <w:rPr>
          <w:rFonts w:cstheme="minorHAnsi"/>
        </w:rPr>
        <w:t>medicine</w:t>
      </w:r>
      <w:r w:rsidR="003678E1" w:rsidRPr="00456C7B">
        <w:rPr>
          <w:rFonts w:cstheme="minorHAnsi"/>
        </w:rPr>
        <w:t xml:space="preserve"> </w:t>
      </w:r>
      <w:bookmarkStart w:id="0" w:name="OLE_LINK3"/>
      <w:bookmarkStart w:id="1" w:name="OLE_LINK4"/>
      <w:r w:rsidR="003678E1" w:rsidRPr="00456C7B">
        <w:rPr>
          <w:rFonts w:cstheme="minorHAnsi"/>
        </w:rPr>
        <w:lastRenderedPageBreak/>
        <w:t>efavirenz</w:t>
      </w:r>
      <w:bookmarkEnd w:id="0"/>
      <w:bookmarkEnd w:id="1"/>
      <w:r w:rsidR="003678E1" w:rsidRPr="00456C7B">
        <w:rPr>
          <w:rFonts w:cstheme="minorHAnsi"/>
        </w:rPr>
        <w:t xml:space="preserve">. In 2007 it issued compulsory licences for </w:t>
      </w:r>
      <w:r w:rsidR="002B6AC5" w:rsidRPr="00456C7B">
        <w:rPr>
          <w:rFonts w:cstheme="minorHAnsi"/>
        </w:rPr>
        <w:t xml:space="preserve">the </w:t>
      </w:r>
      <w:r w:rsidR="003678E1" w:rsidRPr="00456C7B">
        <w:rPr>
          <w:rFonts w:cstheme="minorHAnsi"/>
        </w:rPr>
        <w:t>second-line ARV combination of lopinavir/ritonavir (LPV/r)</w:t>
      </w:r>
      <w:r w:rsidR="00645006" w:rsidRPr="00456C7B">
        <w:rPr>
          <w:rFonts w:cstheme="minorHAnsi"/>
        </w:rPr>
        <w:t xml:space="preserve">, marketed as </w:t>
      </w:r>
      <w:proofErr w:type="spellStart"/>
      <w:r w:rsidR="00645006" w:rsidRPr="00456C7B">
        <w:rPr>
          <w:rFonts w:cstheme="minorHAnsi"/>
        </w:rPr>
        <w:t>Kaletra</w:t>
      </w:r>
      <w:proofErr w:type="spellEnd"/>
      <w:r w:rsidR="00645006" w:rsidRPr="00456C7B">
        <w:rPr>
          <w:rFonts w:cstheme="minorHAnsi"/>
        </w:rPr>
        <w:t xml:space="preserve"> by Abbott </w:t>
      </w:r>
      <w:r w:rsidR="00AF02B9" w:rsidRPr="00456C7B">
        <w:rPr>
          <w:rFonts w:cstheme="minorHAnsi"/>
        </w:rPr>
        <w:t>Laboratories</w:t>
      </w:r>
      <w:r w:rsidR="003678E1" w:rsidRPr="00456C7B">
        <w:rPr>
          <w:rFonts w:cstheme="minorHAnsi"/>
        </w:rPr>
        <w:t xml:space="preserve"> and clopidogrel (an antiplatelet agent used in the treatment of </w:t>
      </w:r>
      <w:r w:rsidR="00EE32B3" w:rsidRPr="00456C7B">
        <w:rPr>
          <w:rFonts w:cstheme="minorHAnsi"/>
        </w:rPr>
        <w:t xml:space="preserve">stroke and </w:t>
      </w:r>
      <w:r w:rsidR="003678E1" w:rsidRPr="00456C7B">
        <w:rPr>
          <w:rFonts w:cstheme="minorHAnsi"/>
        </w:rPr>
        <w:t>coronary artery disease)</w:t>
      </w:r>
      <w:r w:rsidR="00A2659F">
        <w:rPr>
          <w:rFonts w:cstheme="minorHAnsi"/>
        </w:rPr>
        <w:t xml:space="preserve"> </w:t>
      </w:r>
      <w:r w:rsidR="00A2659F">
        <w:rPr>
          <w:rFonts w:cstheme="minorHAnsi"/>
        </w:rPr>
        <w:fldChar w:fldCharType="begin"/>
      </w:r>
      <w:r w:rsidR="00A2659F">
        <w:rPr>
          <w:rFonts w:cstheme="minorHAnsi"/>
        </w:rPr>
        <w:instrText xml:space="preserve"> ADDIN EN.CITE &lt;EndNote&gt;&lt;Cite&gt;&lt;Author&gt;Department of Disease Control. Ministry of Public Health&lt;/Author&gt;&lt;Year&gt;24th January, B.E. 2550 (2007)&lt;/Year&gt;&lt;RecNum&gt;372&lt;/RecNum&gt;&lt;DisplayText&gt;(8)&lt;/DisplayText&gt;&lt;record&gt;&lt;rec-number&gt;372&lt;/rec-number&gt;&lt;foreign-keys&gt;&lt;key app="EN" db-id="dfp5tt9d12x9vhewffovwt2jvd9t5vpwzvxr" timestamp="1639357617"&gt;372&lt;/key&gt;&lt;/foreign-keys&gt;&lt;ref-type name="Government Document"&gt;46&lt;/ref-type&gt;&lt;contributors&gt;&lt;authors&gt;&lt;author&gt;Department of Disease Control. Ministry of Public Health,&lt;/author&gt;&lt;/authors&gt;&lt;/contributors&gt;&lt;titles&gt;&lt;title&gt;Compulsory License for Patented Medicines and Medical Devices: Lopinavir/Ritonavir&lt;/title&gt;&lt;/titles&gt;&lt;dates&gt;&lt;year&gt;24th January, B.E. 2550 (2007)&lt;/year&gt;&lt;/dates&gt;&lt;urls&gt;&lt;/urls&gt;&lt;/record&gt;&lt;/Cite&gt;&lt;/EndNote&gt;</w:instrText>
      </w:r>
      <w:r w:rsidR="00A2659F">
        <w:rPr>
          <w:rFonts w:cstheme="minorHAnsi"/>
        </w:rPr>
        <w:fldChar w:fldCharType="separate"/>
      </w:r>
      <w:r w:rsidR="00A2659F">
        <w:rPr>
          <w:rFonts w:cstheme="minorHAnsi"/>
          <w:noProof/>
        </w:rPr>
        <w:t>(8)</w:t>
      </w:r>
      <w:r w:rsidR="00A2659F">
        <w:rPr>
          <w:rFonts w:cstheme="minorHAnsi"/>
        </w:rPr>
        <w:fldChar w:fldCharType="end"/>
      </w:r>
      <w:r w:rsidR="003678E1" w:rsidRPr="00456C7B">
        <w:rPr>
          <w:rFonts w:cstheme="minorHAnsi"/>
        </w:rPr>
        <w:t xml:space="preserve">. This was the first time a developing country had issued a compulsory licence for a </w:t>
      </w:r>
      <w:r w:rsidR="009B7976" w:rsidRPr="00456C7B">
        <w:rPr>
          <w:rFonts w:cstheme="minorHAnsi"/>
        </w:rPr>
        <w:t>medicine</w:t>
      </w:r>
      <w:r w:rsidR="003678E1" w:rsidRPr="00456C7B">
        <w:rPr>
          <w:rFonts w:cstheme="minorHAnsi"/>
        </w:rPr>
        <w:t xml:space="preserve"> other than an ARV.</w:t>
      </w:r>
      <w:r w:rsidR="00124454">
        <w:rPr>
          <w:rFonts w:cstheme="minorHAnsi"/>
        </w:rPr>
        <w:t xml:space="preserve"> </w:t>
      </w:r>
      <w:r w:rsidR="003678E1" w:rsidRPr="00456C7B">
        <w:rPr>
          <w:rFonts w:cstheme="minorHAnsi"/>
        </w:rPr>
        <w:t>Four additional</w:t>
      </w:r>
      <w:r w:rsidR="008835AA" w:rsidRPr="00456C7B">
        <w:rPr>
          <w:rFonts w:cstheme="minorHAnsi"/>
        </w:rPr>
        <w:t xml:space="preserve"> compulsory</w:t>
      </w:r>
      <w:r w:rsidR="003678E1" w:rsidRPr="00456C7B">
        <w:rPr>
          <w:rFonts w:cstheme="minorHAnsi"/>
        </w:rPr>
        <w:t xml:space="preserve"> licenses were granted in 2008</w:t>
      </w:r>
      <w:r w:rsidR="008835AA" w:rsidRPr="00456C7B">
        <w:rPr>
          <w:rFonts w:cstheme="minorHAnsi"/>
        </w:rPr>
        <w:t xml:space="preserve"> by the Government of Thailand</w:t>
      </w:r>
      <w:r w:rsidR="003678E1" w:rsidRPr="00456C7B">
        <w:rPr>
          <w:rFonts w:cstheme="minorHAnsi"/>
        </w:rPr>
        <w:t xml:space="preserve"> for letrozole</w:t>
      </w:r>
      <w:r w:rsidR="00AF02B9" w:rsidRPr="00456C7B">
        <w:rPr>
          <w:rFonts w:cstheme="minorHAnsi"/>
        </w:rPr>
        <w:t xml:space="preserve"> (for </w:t>
      </w:r>
      <w:r w:rsidR="00F37482" w:rsidRPr="00456C7B">
        <w:rPr>
          <w:rFonts w:cstheme="minorHAnsi"/>
        </w:rPr>
        <w:t>breast cancer</w:t>
      </w:r>
      <w:r w:rsidR="00A2659F">
        <w:rPr>
          <w:rFonts w:cstheme="minorHAnsi"/>
        </w:rPr>
        <w:t xml:space="preserve"> </w:t>
      </w:r>
      <w:r w:rsidR="00A2659F">
        <w:rPr>
          <w:rFonts w:cstheme="minorHAnsi"/>
        </w:rPr>
        <w:fldChar w:fldCharType="begin"/>
      </w:r>
      <w:r w:rsidR="00A2659F">
        <w:rPr>
          <w:rFonts w:cstheme="minorHAnsi"/>
        </w:rPr>
        <w:instrText xml:space="preserve"> ADDIN EN.CITE &lt;EndNote&gt;&lt;Cite&gt;&lt;Author&gt;Ministry of Public Health&lt;/Author&gt;&lt;Year&gt;4th January, B.E. 2551 (2008)&lt;/Year&gt;&lt;RecNum&gt;374&lt;/RecNum&gt;&lt;DisplayText&gt;(9)&lt;/DisplayText&gt;&lt;record&gt;&lt;rec-number&gt;374&lt;/rec-number&gt;&lt;foreign-keys&gt;&lt;key app="EN" db-id="dfp5tt9d12x9vhewffovwt2jvd9t5vpwzvxr" timestamp="1639357892"&gt;374&lt;/key&gt;&lt;/foreign-keys&gt;&lt;ref-type name="Government Document"&gt;46&lt;/ref-type&gt;&lt;contributors&gt;&lt;authors&gt;&lt;author&gt;Ministry of Public Health, &lt;/author&gt;&lt;/authors&gt;&lt;/contributors&gt;&lt;titles&gt;&lt;title&gt;Compulsory License for Patented Medicines and Medical Devices: Letrozole&lt;/title&gt;&lt;/titles&gt;&lt;dates&gt;&lt;year&gt;4th January, B.E. 2551 (2008)&lt;/year&gt;&lt;/dates&gt;&lt;urls&gt;&lt;/urls&gt;&lt;/record&gt;&lt;/Cite&gt;&lt;/EndNote&gt;</w:instrText>
      </w:r>
      <w:r w:rsidR="00A2659F">
        <w:rPr>
          <w:rFonts w:cstheme="minorHAnsi"/>
        </w:rPr>
        <w:fldChar w:fldCharType="separate"/>
      </w:r>
      <w:r w:rsidR="00A2659F">
        <w:rPr>
          <w:rFonts w:cstheme="minorHAnsi"/>
          <w:noProof/>
        </w:rPr>
        <w:t>(9)</w:t>
      </w:r>
      <w:r w:rsidR="00A2659F">
        <w:rPr>
          <w:rFonts w:cstheme="minorHAnsi"/>
        </w:rPr>
        <w:fldChar w:fldCharType="end"/>
      </w:r>
      <w:r w:rsidR="00F37482" w:rsidRPr="00456C7B">
        <w:rPr>
          <w:rFonts w:cstheme="minorHAnsi"/>
        </w:rPr>
        <w:t>)</w:t>
      </w:r>
      <w:r w:rsidR="00E22418" w:rsidRPr="00456C7B">
        <w:rPr>
          <w:rFonts w:cstheme="minorHAnsi"/>
        </w:rPr>
        <w:t xml:space="preserve">, </w:t>
      </w:r>
      <w:r w:rsidR="003678E1" w:rsidRPr="00456C7B">
        <w:rPr>
          <w:rFonts w:cstheme="minorHAnsi"/>
        </w:rPr>
        <w:t>docetaxel</w:t>
      </w:r>
      <w:r w:rsidR="00F37482" w:rsidRPr="00456C7B">
        <w:rPr>
          <w:rFonts w:cstheme="minorHAnsi"/>
        </w:rPr>
        <w:t xml:space="preserve"> (for </w:t>
      </w:r>
      <w:r w:rsidR="00CF7090" w:rsidRPr="00456C7B">
        <w:rPr>
          <w:rFonts w:cstheme="minorHAnsi"/>
        </w:rPr>
        <w:t>breast, head and neck, stomach, prostate and non-small-cell lung cancer</w:t>
      </w:r>
      <w:r w:rsidR="00F37482" w:rsidRPr="00456C7B">
        <w:rPr>
          <w:rFonts w:cstheme="minorHAnsi"/>
        </w:rPr>
        <w:t>)</w:t>
      </w:r>
      <w:r w:rsidR="00A2659F">
        <w:rPr>
          <w:rFonts w:cstheme="minorHAnsi"/>
        </w:rPr>
        <w:t xml:space="preserve"> </w:t>
      </w:r>
      <w:r w:rsidR="00A2659F">
        <w:rPr>
          <w:rFonts w:cstheme="minorHAnsi"/>
        </w:rPr>
        <w:fldChar w:fldCharType="begin"/>
      </w:r>
      <w:r w:rsidR="00A2659F">
        <w:rPr>
          <w:rFonts w:cstheme="minorHAnsi"/>
        </w:rPr>
        <w:instrText xml:space="preserve"> ADDIN EN.CITE &lt;EndNote&gt;&lt;Cite&gt;&lt;Author&gt;Ministry of Public Health&lt;/Author&gt;&lt;Year&gt;4th January, B.E. 2551 (2008)&lt;/Year&gt;&lt;RecNum&gt;375&lt;/RecNum&gt;&lt;DisplayText&gt;(10)&lt;/DisplayText&gt;&lt;record&gt;&lt;rec-number&gt;375&lt;/rec-number&gt;&lt;foreign-keys&gt;&lt;key app="EN" db-id="dfp5tt9d12x9vhewffovwt2jvd9t5vpwzvxr" timestamp="1639357973"&gt;375&lt;/key&gt;&lt;/foreign-keys&gt;&lt;ref-type name="Government Document"&gt;46&lt;/ref-type&gt;&lt;contributors&gt;&lt;authors&gt;&lt;author&gt;Ministry of Public Health,&lt;/author&gt;&lt;/authors&gt;&lt;/contributors&gt;&lt;titles&gt;&lt;title&gt;Compulsory License for Patented Medicines and Medical Devices: Docetaxel&lt;/title&gt;&lt;/titles&gt;&lt;dates&gt;&lt;year&gt;4th January, B.E. 2551 (2008)&lt;/year&gt;&lt;/dates&gt;&lt;urls&gt;&lt;/urls&gt;&lt;/record&gt;&lt;/Cite&gt;&lt;/EndNote&gt;</w:instrText>
      </w:r>
      <w:r w:rsidR="00A2659F">
        <w:rPr>
          <w:rFonts w:cstheme="minorHAnsi"/>
        </w:rPr>
        <w:fldChar w:fldCharType="separate"/>
      </w:r>
      <w:r w:rsidR="00A2659F">
        <w:rPr>
          <w:rFonts w:cstheme="minorHAnsi"/>
          <w:noProof/>
        </w:rPr>
        <w:t>(10)</w:t>
      </w:r>
      <w:r w:rsidR="00A2659F">
        <w:rPr>
          <w:rFonts w:cstheme="minorHAnsi"/>
        </w:rPr>
        <w:fldChar w:fldCharType="end"/>
      </w:r>
      <w:r w:rsidR="00E22418" w:rsidRPr="00456C7B">
        <w:rPr>
          <w:rFonts w:cstheme="minorHAnsi"/>
        </w:rPr>
        <w:t xml:space="preserve">, </w:t>
      </w:r>
      <w:r w:rsidR="000A12E3" w:rsidRPr="00456C7B">
        <w:rPr>
          <w:rFonts w:cstheme="minorHAnsi"/>
        </w:rPr>
        <w:t xml:space="preserve">erlotinib </w:t>
      </w:r>
      <w:r w:rsidR="00F37482" w:rsidRPr="00456C7B">
        <w:rPr>
          <w:rFonts w:cstheme="minorHAnsi"/>
        </w:rPr>
        <w:t xml:space="preserve">(for </w:t>
      </w:r>
      <w:r w:rsidR="00354A50" w:rsidRPr="00456C7B">
        <w:rPr>
          <w:rFonts w:cstheme="minorHAnsi"/>
        </w:rPr>
        <w:t>lung and pancreatic cancer</w:t>
      </w:r>
      <w:r w:rsidR="00F37482" w:rsidRPr="00456C7B">
        <w:rPr>
          <w:rFonts w:cstheme="minorHAnsi"/>
        </w:rPr>
        <w:t xml:space="preserve">) </w:t>
      </w:r>
      <w:r w:rsidR="00A2659F">
        <w:rPr>
          <w:rFonts w:cstheme="minorHAnsi"/>
        </w:rPr>
        <w:fldChar w:fldCharType="begin"/>
      </w:r>
      <w:r w:rsidR="00A2659F">
        <w:rPr>
          <w:rFonts w:cstheme="minorHAnsi"/>
        </w:rPr>
        <w:instrText xml:space="preserve"> ADDIN EN.CITE &lt;EndNote&gt;&lt;Cite&gt;&lt;Author&gt;Ministry of Public Health&lt;/Author&gt;&lt;Year&gt;4th January, B.E. 2551&lt;/Year&gt;&lt;RecNum&gt;376&lt;/RecNum&gt;&lt;DisplayText&gt;(11)&lt;/DisplayText&gt;&lt;record&gt;&lt;rec-number&gt;376&lt;/rec-number&gt;&lt;foreign-keys&gt;&lt;key app="EN" db-id="dfp5tt9d12x9vhewffovwt2jvd9t5vpwzvxr" timestamp="1639358044"&gt;376&lt;/key&gt;&lt;/foreign-keys&gt;&lt;ref-type name="Government Document"&gt;46&lt;/ref-type&gt;&lt;contributors&gt;&lt;authors&gt;&lt;author&gt;Ministry of Public Health,&lt;/author&gt;&lt;/authors&gt;&lt;/contributors&gt;&lt;titles&gt;&lt;title&gt;Compulsory License for Patented Medicines and Medical Devices: Erlotinib&lt;/title&gt;&lt;/titles&gt;&lt;dates&gt;&lt;year&gt;4th January, B.E. 2551&lt;/year&gt;&lt;/dates&gt;&lt;urls&gt;&lt;/urls&gt;&lt;/record&gt;&lt;/Cite&gt;&lt;/EndNote&gt;</w:instrText>
      </w:r>
      <w:r w:rsidR="00A2659F">
        <w:rPr>
          <w:rFonts w:cstheme="minorHAnsi"/>
        </w:rPr>
        <w:fldChar w:fldCharType="separate"/>
      </w:r>
      <w:r w:rsidR="00A2659F">
        <w:rPr>
          <w:rFonts w:cstheme="minorHAnsi"/>
          <w:noProof/>
        </w:rPr>
        <w:t>(11)</w:t>
      </w:r>
      <w:r w:rsidR="00A2659F">
        <w:rPr>
          <w:rFonts w:cstheme="minorHAnsi"/>
        </w:rPr>
        <w:fldChar w:fldCharType="end"/>
      </w:r>
      <w:r w:rsidR="00A2659F">
        <w:rPr>
          <w:rFonts w:cstheme="minorHAnsi"/>
        </w:rPr>
        <w:t xml:space="preserve"> </w:t>
      </w:r>
      <w:r w:rsidR="003678E1" w:rsidRPr="00456C7B">
        <w:rPr>
          <w:rFonts w:cstheme="minorHAnsi"/>
        </w:rPr>
        <w:t xml:space="preserve">and imatinib </w:t>
      </w:r>
      <w:r w:rsidR="00F37482" w:rsidRPr="00456C7B">
        <w:rPr>
          <w:rFonts w:cstheme="minorHAnsi"/>
        </w:rPr>
        <w:t>(</w:t>
      </w:r>
      <w:r w:rsidR="003678E1" w:rsidRPr="00456C7B">
        <w:rPr>
          <w:rFonts w:cstheme="minorHAnsi"/>
        </w:rPr>
        <w:t xml:space="preserve">for </w:t>
      </w:r>
      <w:r w:rsidR="003678E1" w:rsidRPr="00A2659F">
        <w:rPr>
          <w:rFonts w:cstheme="minorHAnsi"/>
        </w:rPr>
        <w:t>leukaemia</w:t>
      </w:r>
      <w:r w:rsidR="00A2659F" w:rsidRPr="00A2659F">
        <w:rPr>
          <w:rFonts w:cstheme="minorHAnsi"/>
        </w:rPr>
        <w:t xml:space="preserve">) </w:t>
      </w:r>
      <w:r w:rsidR="00A2659F" w:rsidRPr="00A2659F">
        <w:rPr>
          <w:rFonts w:cstheme="minorHAnsi"/>
        </w:rPr>
        <w:fldChar w:fldCharType="begin"/>
      </w:r>
      <w:r w:rsidR="00A2659F" w:rsidRPr="00A2659F">
        <w:rPr>
          <w:rFonts w:cstheme="minorHAnsi"/>
        </w:rPr>
        <w:instrText xml:space="preserve"> ADDIN EN.CITE &lt;EndNote&gt;&lt;Cite&gt;&lt;Author&gt;Ministry of Public Health&lt;/Author&gt;&lt;Year&gt;4th January, B.E. 2551 (2008)&lt;/Year&gt;&lt;RecNum&gt;377&lt;/RecNum&gt;&lt;DisplayText&gt;(12)&lt;/DisplayText&gt;&lt;record&gt;&lt;rec-number&gt;377&lt;/rec-number&gt;&lt;foreign-keys&gt;&lt;key app="EN" db-id="dfp5tt9d12x9vhewffovwt2jvd9t5vpwzvxr" timestamp="1639358110"&gt;377&lt;/key&gt;&lt;/foreign-keys&gt;&lt;ref-type name="Government Document"&gt;46&lt;/ref-type&gt;&lt;contributors&gt;&lt;authors&gt;&lt;author&gt;Ministry of Public Health,&lt;/author&gt;&lt;/authors&gt;&lt;/contributors&gt;&lt;titles&gt;&lt;title&gt;Compulsory License for Patented Medicines and Medical Devices: Imatinib&lt;/title&gt;&lt;/titles&gt;&lt;dates&gt;&lt;year&gt;4th January, B.E. 2551 (2008)&lt;/year&gt;&lt;/dates&gt;&lt;urls&gt;&lt;/urls&gt;&lt;/record&gt;&lt;/Cite&gt;&lt;/EndNote&gt;</w:instrText>
      </w:r>
      <w:r w:rsidR="00A2659F" w:rsidRPr="00A2659F">
        <w:rPr>
          <w:rFonts w:cstheme="minorHAnsi"/>
        </w:rPr>
        <w:fldChar w:fldCharType="separate"/>
      </w:r>
      <w:r w:rsidR="00A2659F" w:rsidRPr="00A2659F">
        <w:rPr>
          <w:rFonts w:cstheme="minorHAnsi"/>
          <w:noProof/>
        </w:rPr>
        <w:t>(12)</w:t>
      </w:r>
      <w:r w:rsidR="00A2659F" w:rsidRPr="00A2659F">
        <w:rPr>
          <w:rFonts w:cstheme="minorHAnsi"/>
        </w:rPr>
        <w:fldChar w:fldCharType="end"/>
      </w:r>
      <w:r w:rsidR="00A2659F">
        <w:rPr>
          <w:rFonts w:cstheme="minorHAnsi"/>
        </w:rPr>
        <w:t>.</w:t>
      </w:r>
    </w:p>
    <w:p w14:paraId="7EDCAF5B" w14:textId="61C17A0B" w:rsidR="000E1E31" w:rsidRPr="00456C7B" w:rsidRDefault="008217C1" w:rsidP="00EA6F50">
      <w:pPr>
        <w:pStyle w:val="Heading2"/>
        <w:spacing w:line="360" w:lineRule="auto"/>
      </w:pPr>
      <w:r w:rsidRPr="00456C7B">
        <w:t xml:space="preserve">Intellectual </w:t>
      </w:r>
      <w:r w:rsidR="00B0553D" w:rsidRPr="00456C7B">
        <w:t>P</w:t>
      </w:r>
      <w:r w:rsidRPr="00456C7B">
        <w:t>roperty</w:t>
      </w:r>
      <w:r w:rsidR="000E1E31" w:rsidRPr="00456C7B">
        <w:t xml:space="preserve"> law </w:t>
      </w:r>
      <w:r w:rsidR="00CF3031" w:rsidRPr="00456C7B">
        <w:t>in Thailand</w:t>
      </w:r>
      <w:r w:rsidRPr="00456C7B">
        <w:t xml:space="preserve"> </w:t>
      </w:r>
    </w:p>
    <w:p w14:paraId="36ADBA55" w14:textId="7AB5D58E" w:rsidR="00D56182" w:rsidRPr="00456C7B" w:rsidRDefault="000E1E31" w:rsidP="00EA6F50">
      <w:pPr>
        <w:spacing w:line="360" w:lineRule="auto"/>
        <w:jc w:val="both"/>
        <w:rPr>
          <w:rFonts w:cstheme="minorHAnsi"/>
        </w:rPr>
      </w:pPr>
      <w:r w:rsidRPr="00456C7B">
        <w:rPr>
          <w:rFonts w:cstheme="minorHAnsi"/>
        </w:rPr>
        <w:t xml:space="preserve">Thailand passed the Patent Act B.E. 2522 in 1979 </w:t>
      </w:r>
      <w:r w:rsidRPr="00456C7B">
        <w:rPr>
          <w:rFonts w:cstheme="minorHAnsi"/>
        </w:rPr>
        <w:fldChar w:fldCharType="begin"/>
      </w:r>
      <w:r w:rsidR="00A2659F">
        <w:rPr>
          <w:rFonts w:cstheme="minorHAnsi"/>
        </w:rPr>
        <w:instrText xml:space="preserve"> ADDIN EN.CITE &lt;EndNote&gt;&lt;Cite&gt;&lt;RecNum&gt;241&lt;/RecNum&gt;&lt;DisplayText&gt;(13)&lt;/DisplayText&gt;&lt;record&gt;&lt;rec-number&gt;241&lt;/rec-number&gt;&lt;foreign-keys&gt;&lt;key app="EN" db-id="dfp5tt9d12x9vhewffovwt2jvd9t5vpwzvxr" timestamp="1615336702"&gt;241&lt;/key&gt;&lt;/foreign-keys&gt;&lt;ref-type name="Legal Rule or Regulation"&gt;50&lt;/ref-type&gt;&lt;contributors&gt;&lt;secondary-authors&gt;&lt;author&gt;Government of Thailand&lt;/author&gt;&lt;/secondary-authors&gt;&lt;/contributors&gt;&lt;titles&gt;&lt;title&gt;THAILAND Patent Act B.E. 2522 (1979) As Amended by the Patent Act (No. 2) B.E 2535 (1992) and the Patent Act (No. 3) B.E. 2542 (1999)&lt;/title&gt;&lt;/titles&gt;&lt;dates&gt;&lt;/dates&gt;&lt;urls&gt;&lt;related-urls&gt;&lt;url&gt;https://www.wipo.int/edocs/lexdocs/laws/en/th/th007en.html&lt;/url&gt;&lt;/related-urls&gt;&lt;/urls&gt;&lt;/record&gt;&lt;/Cite&gt;&lt;/EndNote&gt;</w:instrText>
      </w:r>
      <w:r w:rsidRPr="00456C7B">
        <w:rPr>
          <w:rFonts w:cstheme="minorHAnsi"/>
        </w:rPr>
        <w:fldChar w:fldCharType="separate"/>
      </w:r>
      <w:r w:rsidR="00A2659F">
        <w:rPr>
          <w:rFonts w:cstheme="minorHAnsi"/>
          <w:noProof/>
        </w:rPr>
        <w:t>(13)</w:t>
      </w:r>
      <w:r w:rsidRPr="00456C7B">
        <w:rPr>
          <w:rFonts w:cstheme="minorHAnsi"/>
        </w:rPr>
        <w:fldChar w:fldCharType="end"/>
      </w:r>
      <w:r w:rsidRPr="00456C7B">
        <w:rPr>
          <w:rFonts w:cstheme="minorHAnsi"/>
        </w:rPr>
        <w:t xml:space="preserve">. </w:t>
      </w:r>
      <w:r w:rsidR="00145CCD" w:rsidRPr="00456C7B">
        <w:rPr>
          <w:rFonts w:cstheme="minorHAnsi"/>
        </w:rPr>
        <w:t>This has</w:t>
      </w:r>
      <w:r w:rsidRPr="00456C7B">
        <w:rPr>
          <w:rFonts w:cstheme="minorHAnsi"/>
        </w:rPr>
        <w:t xml:space="preserve"> been amended twice; first in 1992, </w:t>
      </w:r>
      <w:r w:rsidR="00DE6685" w:rsidRPr="00456C7B">
        <w:rPr>
          <w:rFonts w:cstheme="minorHAnsi"/>
        </w:rPr>
        <w:t xml:space="preserve">due to </w:t>
      </w:r>
      <w:r w:rsidRPr="00456C7B">
        <w:rPr>
          <w:rFonts w:cstheme="minorHAnsi"/>
        </w:rPr>
        <w:t>pressure</w:t>
      </w:r>
      <w:r w:rsidR="00DE6685" w:rsidRPr="00456C7B">
        <w:rPr>
          <w:rFonts w:cstheme="minorHAnsi"/>
        </w:rPr>
        <w:t xml:space="preserve"> on Thailand</w:t>
      </w:r>
      <w:r w:rsidRPr="00456C7B">
        <w:rPr>
          <w:rFonts w:cstheme="minorHAnsi"/>
        </w:rPr>
        <w:t xml:space="preserve"> from the </w:t>
      </w:r>
      <w:r w:rsidR="002C4C3B" w:rsidRPr="00456C7B">
        <w:rPr>
          <w:rFonts w:cstheme="minorHAnsi"/>
        </w:rPr>
        <w:t>United States of America (</w:t>
      </w:r>
      <w:r w:rsidRPr="00456C7B">
        <w:rPr>
          <w:rFonts w:cstheme="minorHAnsi"/>
        </w:rPr>
        <w:t>USA</w:t>
      </w:r>
      <w:r w:rsidR="002C4C3B" w:rsidRPr="00456C7B">
        <w:rPr>
          <w:rFonts w:cstheme="minorHAnsi"/>
        </w:rPr>
        <w:t>)</w:t>
      </w:r>
      <w:r w:rsidRPr="00456C7B">
        <w:rPr>
          <w:rFonts w:cstheme="minorHAnsi"/>
        </w:rPr>
        <w:t xml:space="preserve"> to increase patent protection for US pharmaceutical companies</w:t>
      </w:r>
      <w:r w:rsidR="00B60B51" w:rsidRPr="00456C7B">
        <w:rPr>
          <w:rFonts w:cstheme="minorHAnsi"/>
        </w:rPr>
        <w:t xml:space="preserve"> </w:t>
      </w:r>
      <w:r w:rsidRPr="00456C7B">
        <w:rPr>
          <w:rFonts w:cstheme="minorHAnsi"/>
        </w:rPr>
        <w:fldChar w:fldCharType="begin"/>
      </w:r>
      <w:r w:rsidR="00A2659F">
        <w:rPr>
          <w:rFonts w:cstheme="minorHAnsi"/>
        </w:rPr>
        <w:instrText xml:space="preserve"> ADDIN EN.CITE &lt;EndNote&gt;&lt;Cite&gt;&lt;Author&gt;Puasiri&lt;/Author&gt;&lt;Year&gt;2013&lt;/Year&gt;&lt;RecNum&gt;337&lt;/RecNum&gt;&lt;DisplayText&gt;(14)&lt;/DisplayText&gt;&lt;record&gt;&lt;rec-number&gt;337&lt;/rec-number&gt;&lt;foreign-keys&gt;&lt;key app="EN" db-id="dfp5tt9d12x9vhewffovwt2jvd9t5vpwzvxr" timestamp="1638403995"&gt;337&lt;/key&gt;&lt;/foreign-keys&gt;&lt;ref-type name="Journal Article"&gt;17&lt;/ref-type&gt;&lt;contributors&gt;&lt;authors&gt;&lt;author&gt;Puasiri, Wanwipar&lt;/author&gt;&lt;/authors&gt;&lt;/contributors&gt;&lt;titles&gt;&lt;title&gt;Improving patent quality through pre-grant opposition in Thailand&lt;/title&gt;&lt;secondary-title&gt;J. Int&amp;apos;t Com. L. &amp;amp; Tech.&lt;/secondary-title&gt;&lt;/titles&gt;&lt;periodical&gt;&lt;full-title&gt;J. Int&amp;apos;t Com. L. &amp;amp; Tech.&lt;/full-title&gt;&lt;/periodical&gt;&lt;pages&gt;219&lt;/pages&gt;&lt;volume&gt;8&lt;/volume&gt;&lt;dates&gt;&lt;year&gt;2013&lt;/year&gt;&lt;/dates&gt;&lt;urls&gt;&lt;/urls&gt;&lt;/record&gt;&lt;/Cite&gt;&lt;/EndNote&gt;</w:instrText>
      </w:r>
      <w:r w:rsidRPr="00456C7B">
        <w:rPr>
          <w:rFonts w:cstheme="minorHAnsi"/>
        </w:rPr>
        <w:fldChar w:fldCharType="separate"/>
      </w:r>
      <w:r w:rsidR="00A2659F">
        <w:rPr>
          <w:rFonts w:cstheme="minorHAnsi"/>
          <w:noProof/>
        </w:rPr>
        <w:t>(14)</w:t>
      </w:r>
      <w:r w:rsidRPr="00456C7B">
        <w:rPr>
          <w:rFonts w:cstheme="minorHAnsi"/>
        </w:rPr>
        <w:fldChar w:fldCharType="end"/>
      </w:r>
      <w:r w:rsidRPr="00456C7B">
        <w:rPr>
          <w:rFonts w:cstheme="minorHAnsi"/>
        </w:rPr>
        <w:t xml:space="preserve">. This amendment included patents for pharmaceutical products, increased the patent protection period from </w:t>
      </w:r>
      <w:r w:rsidR="00DB7313" w:rsidRPr="00456C7B">
        <w:rPr>
          <w:rFonts w:cstheme="minorHAnsi"/>
        </w:rPr>
        <w:t xml:space="preserve">filing </w:t>
      </w:r>
      <w:r w:rsidR="00D8637D" w:rsidRPr="00456C7B">
        <w:rPr>
          <w:rFonts w:cstheme="minorHAnsi"/>
        </w:rPr>
        <w:t xml:space="preserve">from </w:t>
      </w:r>
      <w:r w:rsidRPr="00456C7B">
        <w:rPr>
          <w:rFonts w:cstheme="minorHAnsi"/>
        </w:rPr>
        <w:t xml:space="preserve">15 to 20 years and added a </w:t>
      </w:r>
      <w:r w:rsidR="00340B79" w:rsidRPr="00456C7B">
        <w:rPr>
          <w:rFonts w:cstheme="minorHAnsi"/>
        </w:rPr>
        <w:t xml:space="preserve">pre-grant </w:t>
      </w:r>
      <w:r w:rsidRPr="00456C7B">
        <w:rPr>
          <w:rFonts w:cstheme="minorHAnsi"/>
        </w:rPr>
        <w:t xml:space="preserve">opposition procedure. The second amendment occurred in 1999 to comply with the TRIPS Agreement. It narrowed the grounds for compulsory licences and abolished The Drug Board, a government agency set up in 1992 to control </w:t>
      </w:r>
      <w:r w:rsidR="002A6530" w:rsidRPr="00456C7B">
        <w:rPr>
          <w:rFonts w:cstheme="minorHAnsi"/>
        </w:rPr>
        <w:t>medicine</w:t>
      </w:r>
      <w:r w:rsidRPr="00456C7B">
        <w:rPr>
          <w:rFonts w:cstheme="minorHAnsi"/>
        </w:rPr>
        <w:t xml:space="preserve"> prices and prevent pharmaceutical industry monopolies. </w:t>
      </w:r>
    </w:p>
    <w:p w14:paraId="7028CEE6" w14:textId="6644A202" w:rsidR="0084241F" w:rsidRPr="00456C7B" w:rsidRDefault="00521E9C" w:rsidP="00782DCF">
      <w:pPr>
        <w:spacing w:after="0" w:line="360" w:lineRule="auto"/>
        <w:jc w:val="both"/>
      </w:pPr>
      <w:r w:rsidRPr="00456C7B">
        <w:t xml:space="preserve">Thailand’s Trade Secret Act </w:t>
      </w:r>
      <w:r w:rsidR="00BA22EB" w:rsidRPr="00456C7B">
        <w:t>2545</w:t>
      </w:r>
      <w:r w:rsidR="00F8127C" w:rsidRPr="00456C7B">
        <w:t xml:space="preserve"> (2002)</w:t>
      </w:r>
      <w:r w:rsidR="00BA22EB" w:rsidRPr="00456C7B">
        <w:t xml:space="preserve"> </w:t>
      </w:r>
      <w:r w:rsidR="000A5070" w:rsidRPr="00456C7B">
        <w:t xml:space="preserve">(amended in 2015 to be Trade Secret Act 2558) </w:t>
      </w:r>
      <w:r w:rsidR="009F54D5" w:rsidRPr="00456C7B">
        <w:t xml:space="preserve">provides </w:t>
      </w:r>
      <w:r w:rsidR="00A512BB" w:rsidRPr="00456C7B">
        <w:t>protection</w:t>
      </w:r>
      <w:r w:rsidR="003B12CD" w:rsidRPr="00456C7B">
        <w:t xml:space="preserve"> </w:t>
      </w:r>
      <w:r w:rsidR="00782DCF" w:rsidRPr="00456C7B">
        <w:t xml:space="preserve">against </w:t>
      </w:r>
      <w:r w:rsidR="00A27BC8" w:rsidRPr="00456C7B">
        <w:t xml:space="preserve">breaches of confidentiality and </w:t>
      </w:r>
      <w:r w:rsidR="00782DCF" w:rsidRPr="00456C7B">
        <w:t xml:space="preserve">unfair commercial use </w:t>
      </w:r>
      <w:r w:rsidR="003B12CD" w:rsidRPr="00456C7B">
        <w:t>for five years</w:t>
      </w:r>
      <w:r w:rsidR="009F54D5" w:rsidRPr="00456C7B">
        <w:t xml:space="preserve"> </w:t>
      </w:r>
      <w:r w:rsidR="00C64475" w:rsidRPr="00456C7B">
        <w:t>for</w:t>
      </w:r>
      <w:r w:rsidR="009F54D5" w:rsidRPr="00456C7B">
        <w:t xml:space="preserve"> </w:t>
      </w:r>
      <w:r w:rsidR="00A512BB" w:rsidRPr="00456C7B">
        <w:t xml:space="preserve">test </w:t>
      </w:r>
      <w:r w:rsidR="009F54D5" w:rsidRPr="00456C7B">
        <w:t>data</w:t>
      </w:r>
      <w:r w:rsidR="00A27BC8" w:rsidRPr="00456C7B">
        <w:t xml:space="preserve"> and other information</w:t>
      </w:r>
      <w:r w:rsidR="009F54D5" w:rsidRPr="00456C7B">
        <w:t xml:space="preserve"> submitted to the Thai </w:t>
      </w:r>
      <w:r w:rsidR="000E7226" w:rsidRPr="00456C7B">
        <w:t>Food and Drug Administration (</w:t>
      </w:r>
      <w:r w:rsidR="009F54D5" w:rsidRPr="00456C7B">
        <w:t>FDA</w:t>
      </w:r>
      <w:r w:rsidR="000E7226" w:rsidRPr="00456C7B">
        <w:t>)</w:t>
      </w:r>
      <w:r w:rsidR="008D354D" w:rsidRPr="00456C7B">
        <w:t xml:space="preserve"> in dossiers for pharmaceuticals</w:t>
      </w:r>
      <w:r w:rsidR="0031435E" w:rsidRPr="00456C7B">
        <w:t xml:space="preserve"> </w:t>
      </w:r>
      <w:r w:rsidR="009C650F" w:rsidRPr="00456C7B">
        <w:fldChar w:fldCharType="begin"/>
      </w:r>
      <w:r w:rsidR="00A2659F">
        <w:instrText xml:space="preserve"> ADDIN EN.CITE &lt;EndNote&gt;&lt;Cite&gt;&lt;Author&gt;Goverment of Thailand&lt;/Author&gt;&lt;Year&gt;2015&lt;/Year&gt;&lt;RecNum&gt;496&lt;/RecNum&gt;&lt;DisplayText&gt;(15)&lt;/DisplayText&gt;&lt;record&gt;&lt;rec-number&gt;496&lt;/rec-number&gt;&lt;foreign-keys&gt;&lt;key app="EN" db-id="dfp5tt9d12x9vhewffovwt2jvd9t5vpwzvxr" timestamp="1662007364"&gt;496&lt;/key&gt;&lt;/foreign-keys&gt;&lt;ref-type name="Legal Rule or Regulation"&gt;50&lt;/ref-type&gt;&lt;contributors&gt;&lt;authors&gt;&lt;author&gt;Goverment of Thailand,&lt;/author&gt;&lt;/authors&gt;&lt;/contributors&gt;&lt;titles&gt;&lt;title&gt;Trade Secrets Act B.E 2545 Amended by Trade Secret Act (No. 2) B. E 2558 &lt;/title&gt;&lt;/titles&gt;&lt;dates&gt;&lt;year&gt;2015&lt;/year&gt;&lt;/dates&gt;&lt;urls&gt;&lt;/urls&gt;&lt;/record&gt;&lt;/Cite&gt;&lt;/EndNote&gt;</w:instrText>
      </w:r>
      <w:r w:rsidR="009C650F" w:rsidRPr="00456C7B">
        <w:fldChar w:fldCharType="separate"/>
      </w:r>
      <w:r w:rsidR="00A2659F">
        <w:rPr>
          <w:noProof/>
        </w:rPr>
        <w:t>(15)</w:t>
      </w:r>
      <w:r w:rsidR="009C650F" w:rsidRPr="00456C7B">
        <w:fldChar w:fldCharType="end"/>
      </w:r>
      <w:r w:rsidR="000E7226" w:rsidRPr="00456C7B">
        <w:t>.</w:t>
      </w:r>
      <w:r w:rsidR="009F54D5" w:rsidRPr="00456C7B">
        <w:t xml:space="preserve"> </w:t>
      </w:r>
      <w:r w:rsidR="003041C0" w:rsidRPr="00456C7B">
        <w:t xml:space="preserve">This form of data protection does not prevent the FDA from relying on the data to assess and approve applications for generic </w:t>
      </w:r>
      <w:r w:rsidR="002A6530" w:rsidRPr="00456C7B">
        <w:t>medicines</w:t>
      </w:r>
      <w:r w:rsidR="003041C0" w:rsidRPr="00456C7B">
        <w:t xml:space="preserve">. </w:t>
      </w:r>
      <w:r w:rsidR="006D0B3F" w:rsidRPr="00456C7B">
        <w:t xml:space="preserve">The 2007 Ministerial Regulation Regarding Trade Secrets further specifies that this data </w:t>
      </w:r>
      <w:r w:rsidR="00A512BB" w:rsidRPr="00456C7B">
        <w:t>protection</w:t>
      </w:r>
      <w:r w:rsidR="006D0B3F" w:rsidRPr="00456C7B">
        <w:t xml:space="preserve"> only applies to ne</w:t>
      </w:r>
      <w:r w:rsidR="000E7226" w:rsidRPr="00456C7B">
        <w:t xml:space="preserve">w </w:t>
      </w:r>
      <w:r w:rsidR="006D0B3F" w:rsidRPr="00456C7B">
        <w:t>medicines with a new chemical entity</w:t>
      </w:r>
      <w:r w:rsidR="000E7226" w:rsidRPr="00456C7B">
        <w:t xml:space="preserve"> and </w:t>
      </w:r>
      <w:r w:rsidR="006D0B3F" w:rsidRPr="00456C7B">
        <w:t>is not available for new biologics, new formulations</w:t>
      </w:r>
      <w:r w:rsidR="000E7226" w:rsidRPr="00456C7B">
        <w:t xml:space="preserve"> </w:t>
      </w:r>
      <w:r w:rsidR="004C2D43" w:rsidRPr="00456C7B">
        <w:t xml:space="preserve">of existing </w:t>
      </w:r>
      <w:r w:rsidR="002A6530" w:rsidRPr="00456C7B">
        <w:t>medicines</w:t>
      </w:r>
      <w:r w:rsidR="004C2D43" w:rsidRPr="00456C7B">
        <w:t xml:space="preserve"> </w:t>
      </w:r>
      <w:r w:rsidR="000E7226" w:rsidRPr="00456C7B">
        <w:t xml:space="preserve">and </w:t>
      </w:r>
      <w:r w:rsidR="006D0B3F" w:rsidRPr="00456C7B">
        <w:t>new use</w:t>
      </w:r>
      <w:r w:rsidR="00C64475" w:rsidRPr="00456C7B">
        <w:t>s</w:t>
      </w:r>
      <w:r w:rsidR="006D0B3F" w:rsidRPr="00456C7B">
        <w:t>/indications</w:t>
      </w:r>
      <w:r w:rsidR="009C650F" w:rsidRPr="00456C7B">
        <w:t xml:space="preserve"> </w:t>
      </w:r>
      <w:r w:rsidR="006F3C26" w:rsidRPr="00456C7B">
        <w:fldChar w:fldCharType="begin"/>
      </w:r>
      <w:r w:rsidR="00A2659F">
        <w:instrText xml:space="preserve"> ADDIN EN.CITE &lt;EndNote&gt;&lt;Cite&gt;&lt;Author&gt;Ministry of Public Health&lt;/Author&gt;&lt;Year&gt;2007&lt;/Year&gt;&lt;RecNum&gt;497&lt;/RecNum&gt;&lt;DisplayText&gt;(16)&lt;/DisplayText&gt;&lt;record&gt;&lt;rec-number&gt;497&lt;/rec-number&gt;&lt;foreign-keys&gt;&lt;key app="EN" db-id="dfp5tt9d12x9vhewffovwt2jvd9t5vpwzvxr" timestamp="1662007710"&gt;497&lt;/key&gt;&lt;/foreign-keys&gt;&lt;ref-type name="Legal Rule or Regulation"&gt;50&lt;/ref-type&gt;&lt;contributors&gt;&lt;authors&gt;&lt;author&gt;Ministry of Public Health, Government of Thailand,&lt;/author&gt;&lt;/authors&gt;&lt;/contributors&gt;&lt;titles&gt;&lt;title&gt;The 2007 Ministerial Regulation Regarding Trade Secrets &lt;/title&gt;&lt;/titles&gt;&lt;dates&gt;&lt;year&gt;2007&lt;/year&gt;&lt;/dates&gt;&lt;urls&gt;&lt;/urls&gt;&lt;/record&gt;&lt;/Cite&gt;&lt;/EndNote&gt;</w:instrText>
      </w:r>
      <w:r w:rsidR="006F3C26" w:rsidRPr="00456C7B">
        <w:fldChar w:fldCharType="separate"/>
      </w:r>
      <w:r w:rsidR="00A2659F">
        <w:rPr>
          <w:noProof/>
        </w:rPr>
        <w:t>(16)</w:t>
      </w:r>
      <w:r w:rsidR="006F3C26" w:rsidRPr="00456C7B">
        <w:fldChar w:fldCharType="end"/>
      </w:r>
      <w:r w:rsidR="000E7226" w:rsidRPr="00456C7B">
        <w:t>.</w:t>
      </w:r>
      <w:r w:rsidR="00A512BB" w:rsidRPr="00456C7B">
        <w:t xml:space="preserve"> </w:t>
      </w:r>
    </w:p>
    <w:p w14:paraId="5C4D14E3" w14:textId="77777777" w:rsidR="00D51F7C" w:rsidRPr="00456C7B" w:rsidRDefault="00D51F7C" w:rsidP="00782DCF"/>
    <w:p w14:paraId="17BE211A" w14:textId="29244FCA" w:rsidR="000E02AE" w:rsidRPr="00456C7B" w:rsidRDefault="00063180" w:rsidP="00EA6F50">
      <w:pPr>
        <w:pStyle w:val="Heading2"/>
        <w:spacing w:line="360" w:lineRule="auto"/>
      </w:pPr>
      <w:r w:rsidRPr="00456C7B">
        <w:t>T</w:t>
      </w:r>
      <w:r w:rsidR="00016598" w:rsidRPr="00456C7B">
        <w:t>hailand’s interest in t</w:t>
      </w:r>
      <w:r w:rsidRPr="00456C7B">
        <w:t xml:space="preserve">he TPP and </w:t>
      </w:r>
      <w:r w:rsidR="000E02AE" w:rsidRPr="00456C7B">
        <w:t>CPTPP</w:t>
      </w:r>
    </w:p>
    <w:p w14:paraId="64BE6BE6" w14:textId="0C16C552" w:rsidR="009E480B" w:rsidRPr="00456C7B" w:rsidRDefault="009E480B" w:rsidP="009E480B">
      <w:pPr>
        <w:spacing w:after="0" w:line="360" w:lineRule="auto"/>
        <w:jc w:val="both"/>
        <w:rPr>
          <w:rFonts w:cstheme="minorHAnsi"/>
        </w:rPr>
      </w:pPr>
      <w:r w:rsidRPr="00456C7B">
        <w:rPr>
          <w:rFonts w:cstheme="minorHAnsi"/>
        </w:rPr>
        <w:t xml:space="preserve">Thailand has repeatedly expressed interest in joining the CPTPP </w:t>
      </w:r>
      <w:r w:rsidRPr="00456C7B">
        <w:rPr>
          <w:rFonts w:cstheme="minorHAnsi"/>
        </w:rPr>
        <w:fldChar w:fldCharType="begin"/>
      </w:r>
      <w:r w:rsidR="00A2659F">
        <w:rPr>
          <w:rFonts w:cstheme="minorHAnsi"/>
        </w:rPr>
        <w:instrText xml:space="preserve"> ADDIN EN.CITE &lt;EndNote&gt;&lt;Cite&gt;&lt;Author&gt;Theparat&lt;/Author&gt;&lt;Year&gt;2021&lt;/Year&gt;&lt;RecNum&gt;242&lt;/RecNum&gt;&lt;DisplayText&gt;(17)&lt;/DisplayText&gt;&lt;record&gt;&lt;rec-number&gt;242&lt;/rec-number&gt;&lt;foreign-keys&gt;&lt;key app="EN" db-id="dfp5tt9d12x9vhewffovwt2jvd9t5vpwzvxr" timestamp="1615337080"&gt;242&lt;/key&gt;&lt;/foreign-keys&gt;&lt;ref-type name="Newspaper Article"&gt;23&lt;/ref-type&gt;&lt;contributors&gt;&lt;authors&gt;&lt;author&gt;Chatrudee Theparat &lt;/author&gt;&lt;/authors&gt;&lt;/contributors&gt;&lt;titles&gt;&lt;title&gt;Another 3 months of studies, followed by CPTPP decision&lt;/title&gt;&lt;secondary-title&gt;The Bangkok Post &lt;/secondary-title&gt;&lt;/titles&gt;&lt;dates&gt;&lt;year&gt;2021&lt;/year&gt;&lt;pub-dates&gt;&lt;date&gt;6 FEB 2021&lt;/date&gt;&lt;/pub-dates&gt;&lt;/dates&gt;&lt;publisher&gt;Bangkok Post Group&lt;/publisher&gt;&lt;urls&gt;&lt;related-urls&gt;&lt;url&gt;https://www.bangkokpost.com/business/2063435/another-3-months-of-studies-followed-by-cptpp-decision&lt;/url&gt;&lt;/related-urls&gt;&lt;/urls&gt;&lt;access-date&gt;10th March 2021&lt;/access-date&gt;&lt;/record&gt;&lt;/Cite&gt;&lt;/EndNote&gt;</w:instrText>
      </w:r>
      <w:r w:rsidRPr="00456C7B">
        <w:rPr>
          <w:rFonts w:cstheme="minorHAnsi"/>
        </w:rPr>
        <w:fldChar w:fldCharType="separate"/>
      </w:r>
      <w:r w:rsidR="00A2659F">
        <w:rPr>
          <w:rFonts w:cstheme="minorHAnsi"/>
          <w:noProof/>
        </w:rPr>
        <w:t>(17)</w:t>
      </w:r>
      <w:r w:rsidRPr="00456C7B">
        <w:rPr>
          <w:rFonts w:cstheme="minorHAnsi"/>
        </w:rPr>
        <w:fldChar w:fldCharType="end"/>
      </w:r>
      <w:r w:rsidRPr="00456C7B">
        <w:rPr>
          <w:rFonts w:cstheme="minorHAnsi"/>
        </w:rPr>
        <w:t xml:space="preserve">. </w:t>
      </w:r>
      <w:r w:rsidRPr="00456C7B">
        <w:t xml:space="preserve"> Membership </w:t>
      </w:r>
      <w:r w:rsidR="00886B30">
        <w:t>of</w:t>
      </w:r>
      <w:r w:rsidR="00886B30" w:rsidRPr="00456C7B">
        <w:t xml:space="preserve"> </w:t>
      </w:r>
      <w:r w:rsidRPr="00456C7B">
        <w:t>the CPTPP is seen by many in the Thai government as a demonstration of</w:t>
      </w:r>
      <w:r w:rsidRPr="00456C7B">
        <w:rPr>
          <w:rFonts w:cstheme="minorHAnsi"/>
        </w:rPr>
        <w:t xml:space="preserve"> international relevance and a conduit to joining future FTAs </w:t>
      </w:r>
      <w:r w:rsidR="00886B30">
        <w:rPr>
          <w:rFonts w:cstheme="minorHAnsi"/>
        </w:rPr>
        <w:t>as well as</w:t>
      </w:r>
      <w:r w:rsidRPr="00456C7B">
        <w:rPr>
          <w:rFonts w:cstheme="minorHAnsi"/>
        </w:rPr>
        <w:t xml:space="preserve"> an opportunity to boost exports, attract foreign direct investment (FDI), and create jobs </w:t>
      </w:r>
      <w:r w:rsidRPr="00456C7B">
        <w:rPr>
          <w:rFonts w:cstheme="minorHAnsi"/>
        </w:rPr>
        <w:fldChar w:fldCharType="begin"/>
      </w:r>
      <w:r w:rsidR="00A2659F">
        <w:rPr>
          <w:rFonts w:cstheme="minorHAnsi"/>
        </w:rPr>
        <w:instrText xml:space="preserve"> ADDIN EN.CITE &lt;EndNote&gt;&lt;Cite&gt;&lt;Author&gt;Sanglee&lt;/Author&gt;&lt;Year&gt;November 05, 2021&lt;/Year&gt;&lt;RecNum&gt;458&lt;/RecNum&gt;&lt;DisplayText&gt;(18)&lt;/DisplayText&gt;&lt;record&gt;&lt;rec-number&gt;458&lt;/rec-number&gt;&lt;foreign-keys&gt;&lt;key app="EN" db-id="dfp5tt9d12x9vhewffovwt2jvd9t5vpwzvxr" timestamp="1651810416"&gt;458&lt;/key&gt;&lt;/foreign-keys&gt;&lt;ref-type name="Newspaper Article"&gt;23&lt;/ref-type&gt;&lt;contributors&gt;&lt;authors&gt;&lt;author&gt;Tita Sanglee&lt;/author&gt;&lt;/authors&gt;&lt;/contributors&gt;&lt;titles&gt;&lt;title&gt;Will Thailand Ever Join the CPTPP?&lt;/title&gt;&lt;secondary-title&gt;The Diplomat&lt;/secondary-title&gt;&lt;/titles&gt;&lt;dates&gt;&lt;year&gt;November 05, 2021&lt;/year&gt;&lt;/dates&gt;&lt;pub-location&gt;Bangkok, Thailand&lt;/pub-location&gt;&lt;publisher&gt;Diplomat Media Inc.&lt;/publisher&gt;&lt;urls&gt;&lt;related-urls&gt;&lt;url&gt;https://thediplomat.com/2021/11/will-thailand-ever-join-the-cptpp/&lt;/url&gt;&lt;/related-urls&gt;&lt;/urls&gt;&lt;/record&gt;&lt;/Cite&gt;&lt;/EndNote&gt;</w:instrText>
      </w:r>
      <w:r w:rsidRPr="00456C7B">
        <w:rPr>
          <w:rFonts w:cstheme="minorHAnsi"/>
        </w:rPr>
        <w:fldChar w:fldCharType="separate"/>
      </w:r>
      <w:r w:rsidR="00A2659F">
        <w:rPr>
          <w:rFonts w:cstheme="minorHAnsi"/>
          <w:noProof/>
        </w:rPr>
        <w:t>(18)</w:t>
      </w:r>
      <w:r w:rsidRPr="00456C7B">
        <w:rPr>
          <w:rFonts w:cstheme="minorHAnsi"/>
        </w:rPr>
        <w:fldChar w:fldCharType="end"/>
      </w:r>
      <w:r w:rsidRPr="00456C7B">
        <w:rPr>
          <w:rFonts w:cstheme="minorHAnsi"/>
        </w:rPr>
        <w:t>.</w:t>
      </w:r>
    </w:p>
    <w:p w14:paraId="7016201C" w14:textId="77777777" w:rsidR="009E480B" w:rsidRPr="00456C7B" w:rsidRDefault="009E480B" w:rsidP="009E480B">
      <w:pPr>
        <w:spacing w:after="0" w:line="360" w:lineRule="auto"/>
        <w:jc w:val="both"/>
        <w:rPr>
          <w:rFonts w:cstheme="minorHAnsi"/>
        </w:rPr>
      </w:pPr>
    </w:p>
    <w:p w14:paraId="47B50A7F" w14:textId="49936F65" w:rsidR="00E01B6B" w:rsidRPr="00456C7B" w:rsidRDefault="00F938B7" w:rsidP="00EA6F50">
      <w:pPr>
        <w:spacing w:after="0" w:line="360" w:lineRule="auto"/>
        <w:jc w:val="both"/>
        <w:rPr>
          <w:rFonts w:cstheme="minorHAnsi"/>
        </w:rPr>
      </w:pPr>
      <w:r w:rsidRPr="00456C7B">
        <w:rPr>
          <w:rFonts w:cstheme="minorHAnsi"/>
        </w:rPr>
        <w:t>The Trans</w:t>
      </w:r>
      <w:r w:rsidR="00886B30">
        <w:rPr>
          <w:rFonts w:cstheme="minorHAnsi"/>
        </w:rPr>
        <w:t>-P</w:t>
      </w:r>
      <w:r w:rsidRPr="00456C7B">
        <w:rPr>
          <w:rFonts w:cstheme="minorHAnsi"/>
        </w:rPr>
        <w:t xml:space="preserve">acific Partnership Agreement (TPP) </w:t>
      </w:r>
      <w:r w:rsidR="00084A2F" w:rsidRPr="00456C7B">
        <w:rPr>
          <w:rFonts w:cstheme="minorHAnsi"/>
        </w:rPr>
        <w:t>was a proposed trade agreement between Australia, Brunei, Canada, Chile, Japan, Malaysia, Mexico, New Zealand, Peru, Singapore, Vietnam, and the United States</w:t>
      </w:r>
      <w:r w:rsidR="00DE6685" w:rsidRPr="00456C7B">
        <w:rPr>
          <w:rFonts w:cstheme="minorHAnsi"/>
        </w:rPr>
        <w:t>. It was</w:t>
      </w:r>
      <w:r w:rsidR="00084A2F" w:rsidRPr="00456C7B">
        <w:rPr>
          <w:rFonts w:cstheme="minorHAnsi"/>
        </w:rPr>
        <w:t xml:space="preserve"> signed </w:t>
      </w:r>
      <w:r w:rsidR="00886B30">
        <w:rPr>
          <w:rFonts w:cstheme="minorHAnsi"/>
        </w:rPr>
        <w:t>in</w:t>
      </w:r>
      <w:r w:rsidR="00084A2F" w:rsidRPr="00456C7B">
        <w:rPr>
          <w:rFonts w:cstheme="minorHAnsi"/>
        </w:rPr>
        <w:t xml:space="preserve"> </w:t>
      </w:r>
      <w:proofErr w:type="gramStart"/>
      <w:r w:rsidR="00084A2F" w:rsidRPr="00456C7B">
        <w:rPr>
          <w:rFonts w:cstheme="minorHAnsi"/>
        </w:rPr>
        <w:t>February 2016</w:t>
      </w:r>
      <w:r w:rsidR="00DE6685" w:rsidRPr="00456C7B">
        <w:rPr>
          <w:rFonts w:cstheme="minorHAnsi"/>
        </w:rPr>
        <w:t>, and</w:t>
      </w:r>
      <w:proofErr w:type="gramEnd"/>
      <w:r w:rsidR="00DE6685" w:rsidRPr="00456C7B">
        <w:rPr>
          <w:rFonts w:cstheme="minorHAnsi"/>
        </w:rPr>
        <w:t xml:space="preserve"> </w:t>
      </w:r>
      <w:r w:rsidR="00E01B6B" w:rsidRPr="00456C7B">
        <w:rPr>
          <w:rFonts w:cstheme="minorHAnsi"/>
        </w:rPr>
        <w:t>had not been</w:t>
      </w:r>
      <w:r w:rsidR="00AA3F2A" w:rsidRPr="00456C7B">
        <w:rPr>
          <w:rFonts w:cstheme="minorHAnsi"/>
        </w:rPr>
        <w:t xml:space="preserve"> ratified </w:t>
      </w:r>
      <w:r w:rsidR="00E01B6B" w:rsidRPr="00456C7B">
        <w:rPr>
          <w:rFonts w:cstheme="minorHAnsi"/>
        </w:rPr>
        <w:t xml:space="preserve">when </w:t>
      </w:r>
      <w:r w:rsidR="00084A2F" w:rsidRPr="00456C7B">
        <w:rPr>
          <w:rFonts w:cstheme="minorHAnsi"/>
        </w:rPr>
        <w:t xml:space="preserve">President Donald Trump </w:t>
      </w:r>
      <w:r w:rsidR="00084A2F" w:rsidRPr="00456C7B">
        <w:rPr>
          <w:rFonts w:cstheme="minorHAnsi"/>
        </w:rPr>
        <w:lastRenderedPageBreak/>
        <w:t>withdrew the United States in January 2017</w:t>
      </w:r>
      <w:r w:rsidR="00AA3F2A" w:rsidRPr="00456C7B">
        <w:rPr>
          <w:rFonts w:cstheme="minorHAnsi"/>
        </w:rPr>
        <w:t xml:space="preserve">. </w:t>
      </w:r>
      <w:r w:rsidR="00084A2F" w:rsidRPr="00456C7B">
        <w:rPr>
          <w:rFonts w:cstheme="minorHAnsi"/>
        </w:rPr>
        <w:t>The remaining</w:t>
      </w:r>
      <w:r w:rsidR="00AA3F2A" w:rsidRPr="00456C7B">
        <w:rPr>
          <w:rFonts w:cstheme="minorHAnsi"/>
        </w:rPr>
        <w:t xml:space="preserve"> 11</w:t>
      </w:r>
      <w:r w:rsidR="00084A2F" w:rsidRPr="00456C7B">
        <w:rPr>
          <w:rFonts w:cstheme="minorHAnsi"/>
        </w:rPr>
        <w:t xml:space="preserve"> countries negotiated a new trade agreement called </w:t>
      </w:r>
      <w:r w:rsidR="00082980" w:rsidRPr="00456C7B">
        <w:rPr>
          <w:rFonts w:cstheme="minorHAnsi"/>
        </w:rPr>
        <w:t>CPTPP</w:t>
      </w:r>
      <w:r w:rsidR="00084A2F" w:rsidRPr="00456C7B">
        <w:rPr>
          <w:rFonts w:cstheme="minorHAnsi"/>
        </w:rPr>
        <w:t>, which incorporates most of the provisions of the TPP</w:t>
      </w:r>
      <w:r w:rsidR="00E01B6B" w:rsidRPr="00456C7B">
        <w:rPr>
          <w:rFonts w:cstheme="minorHAnsi"/>
        </w:rPr>
        <w:t>,</w:t>
      </w:r>
      <w:r w:rsidR="00084A2F" w:rsidRPr="00456C7B">
        <w:rPr>
          <w:rFonts w:cstheme="minorHAnsi"/>
        </w:rPr>
        <w:t xml:space="preserve"> and entered into force on 30 December 2018.</w:t>
      </w:r>
      <w:r w:rsidR="00AA3F2A" w:rsidRPr="00456C7B">
        <w:rPr>
          <w:rFonts w:cstheme="minorHAnsi"/>
        </w:rPr>
        <w:t xml:space="preserve"> </w:t>
      </w:r>
    </w:p>
    <w:p w14:paraId="1ADC74B4" w14:textId="77777777" w:rsidR="00E01B6B" w:rsidRPr="00456C7B" w:rsidRDefault="00E01B6B" w:rsidP="00EA6F50">
      <w:pPr>
        <w:spacing w:after="0" w:line="360" w:lineRule="auto"/>
        <w:jc w:val="both"/>
        <w:rPr>
          <w:rFonts w:cstheme="minorHAnsi"/>
        </w:rPr>
      </w:pPr>
    </w:p>
    <w:p w14:paraId="09620536" w14:textId="5398696A" w:rsidR="00D51F7C" w:rsidRPr="00456C7B" w:rsidRDefault="0011317B" w:rsidP="0016059B">
      <w:pPr>
        <w:spacing w:after="0" w:line="360" w:lineRule="auto"/>
        <w:jc w:val="both"/>
        <w:rPr>
          <w:rFonts w:cstheme="minorHAnsi"/>
        </w:rPr>
      </w:pPr>
      <w:r w:rsidRPr="00456C7B">
        <w:rPr>
          <w:rFonts w:cstheme="minorHAnsi"/>
        </w:rPr>
        <w:t xml:space="preserve">The TPP included an IP chapter </w:t>
      </w:r>
      <w:r w:rsidR="00AC680B" w:rsidRPr="00456C7B">
        <w:rPr>
          <w:rFonts w:cstheme="minorHAnsi"/>
        </w:rPr>
        <w:t xml:space="preserve">with </w:t>
      </w:r>
      <w:r w:rsidR="00DE6685" w:rsidRPr="00456C7B">
        <w:rPr>
          <w:rFonts w:cstheme="minorHAnsi"/>
        </w:rPr>
        <w:t xml:space="preserve">multiple </w:t>
      </w:r>
      <w:r w:rsidR="00AC680B" w:rsidRPr="00456C7B">
        <w:rPr>
          <w:rFonts w:cstheme="minorHAnsi"/>
        </w:rPr>
        <w:t xml:space="preserve">provisions </w:t>
      </w:r>
      <w:r w:rsidR="00E059C4" w:rsidRPr="00456C7B">
        <w:rPr>
          <w:rFonts w:cstheme="minorHAnsi"/>
        </w:rPr>
        <w:t>shown to have a negative impact on access to medicines</w:t>
      </w:r>
      <w:r w:rsidR="00AD004C" w:rsidRPr="00456C7B">
        <w:rPr>
          <w:rFonts w:cstheme="minorHAnsi"/>
        </w:rPr>
        <w:t xml:space="preserve"> </w:t>
      </w:r>
      <w:r w:rsidR="00AD004C" w:rsidRPr="00456C7B">
        <w:rPr>
          <w:rFonts w:cstheme="minorHAnsi"/>
        </w:rPr>
        <w:fldChar w:fldCharType="begin"/>
      </w:r>
      <w:r w:rsidR="00A2659F">
        <w:rPr>
          <w:rFonts w:cstheme="minorHAnsi"/>
        </w:rPr>
        <w:instrText xml:space="preserve"> ADDIN EN.CITE &lt;EndNote&gt;&lt;Cite&gt;&lt;Author&gt;Gleeson&lt;/Author&gt;&lt;Year&gt;2018&lt;/Year&gt;&lt;RecNum&gt;459&lt;/RecNum&gt;&lt;DisplayText&gt;(19)&lt;/DisplayText&gt;&lt;record&gt;&lt;rec-number&gt;459&lt;/rec-number&gt;&lt;foreign-keys&gt;&lt;key app="EN" db-id="dfp5tt9d12x9vhewffovwt2jvd9t5vpwzvxr" timestamp="1651811155"&gt;459&lt;/key&gt;&lt;/foreign-keys&gt;&lt;ref-type name="Journal Article"&gt;17&lt;/ref-type&gt;&lt;contributors&gt;&lt;authors&gt;&lt;author&gt;Gleeson, Deborah&lt;/author&gt;&lt;author&gt;Lexchin, Joel&lt;/author&gt;&lt;author&gt;Lopert, Ruth&lt;/author&gt;&lt;author&gt;Kilic, Burcu&lt;/author&gt;&lt;/authors&gt;&lt;/contributors&gt;&lt;titles&gt;&lt;title&gt;The trans Pacific partnership agreement, intellectual property and medicines: differential outcomes for developed and developing countries&lt;/title&gt;&lt;secondary-title&gt;Global Social Policy&lt;/secondary-title&gt;&lt;/titles&gt;&lt;periodical&gt;&lt;full-title&gt;Global Social Policy&lt;/full-title&gt;&lt;/periodical&gt;&lt;pages&gt;7-27&lt;/pages&gt;&lt;volume&gt;18&lt;/volume&gt;&lt;number&gt;1&lt;/number&gt;&lt;dates&gt;&lt;year&gt;2018&lt;/year&gt;&lt;/dates&gt;&lt;isbn&gt;1468-0181&lt;/isbn&gt;&lt;urls&gt;&lt;/urls&gt;&lt;/record&gt;&lt;/Cite&gt;&lt;/EndNote&gt;</w:instrText>
      </w:r>
      <w:r w:rsidR="00AD004C" w:rsidRPr="00456C7B">
        <w:rPr>
          <w:rFonts w:cstheme="minorHAnsi"/>
        </w:rPr>
        <w:fldChar w:fldCharType="separate"/>
      </w:r>
      <w:r w:rsidR="00A2659F">
        <w:rPr>
          <w:rFonts w:cstheme="minorHAnsi"/>
          <w:noProof/>
        </w:rPr>
        <w:t>(19)</w:t>
      </w:r>
      <w:r w:rsidR="00AD004C" w:rsidRPr="00456C7B">
        <w:rPr>
          <w:rFonts w:cstheme="minorHAnsi"/>
        </w:rPr>
        <w:fldChar w:fldCharType="end"/>
      </w:r>
      <w:r w:rsidR="00A10DDA" w:rsidRPr="00456C7B">
        <w:rPr>
          <w:rFonts w:cstheme="minorHAnsi"/>
        </w:rPr>
        <w:t>.</w:t>
      </w:r>
      <w:r w:rsidRPr="00456C7B">
        <w:rPr>
          <w:rFonts w:cstheme="minorHAnsi"/>
        </w:rPr>
        <w:t xml:space="preserve"> </w:t>
      </w:r>
      <w:r w:rsidR="005B2ED3" w:rsidRPr="00456C7B">
        <w:rPr>
          <w:rFonts w:cstheme="minorHAnsi"/>
        </w:rPr>
        <w:t xml:space="preserve">After the US withdrawal, several </w:t>
      </w:r>
      <w:r w:rsidR="00DE3661" w:rsidRPr="00456C7B">
        <w:rPr>
          <w:rFonts w:cstheme="minorHAnsi"/>
        </w:rPr>
        <w:t xml:space="preserve">of these </w:t>
      </w:r>
      <w:r w:rsidR="005B2ED3" w:rsidRPr="00456C7B">
        <w:rPr>
          <w:rFonts w:cstheme="minorHAnsi"/>
        </w:rPr>
        <w:t xml:space="preserve">provisions were suspended including </w:t>
      </w:r>
      <w:r w:rsidR="00667C6C">
        <w:rPr>
          <w:rFonts w:cstheme="minorHAnsi"/>
        </w:rPr>
        <w:t>IP</w:t>
      </w:r>
      <w:r w:rsidR="00D07350" w:rsidRPr="00456C7B">
        <w:rPr>
          <w:rFonts w:cstheme="minorHAnsi"/>
        </w:rPr>
        <w:t xml:space="preserve"> provisions that go</w:t>
      </w:r>
      <w:r w:rsidR="000F4037" w:rsidRPr="00456C7B">
        <w:rPr>
          <w:rFonts w:cstheme="minorHAnsi"/>
        </w:rPr>
        <w:t xml:space="preserve"> beyond the requirements </w:t>
      </w:r>
      <w:r w:rsidR="0068599F" w:rsidRPr="00456C7B">
        <w:rPr>
          <w:rFonts w:cstheme="minorHAnsi"/>
        </w:rPr>
        <w:t>of</w:t>
      </w:r>
      <w:r w:rsidR="000F4037" w:rsidRPr="00456C7B">
        <w:rPr>
          <w:rFonts w:cstheme="minorHAnsi"/>
        </w:rPr>
        <w:t xml:space="preserve"> the TRIPS Agreement</w:t>
      </w:r>
      <w:r w:rsidR="00667C6C">
        <w:rPr>
          <w:rFonts w:cstheme="minorHAnsi"/>
        </w:rPr>
        <w:t xml:space="preserve"> (TRIPS-plus provisions)</w:t>
      </w:r>
      <w:r w:rsidR="000F4037" w:rsidRPr="00456C7B">
        <w:rPr>
          <w:rFonts w:cstheme="minorHAnsi"/>
        </w:rPr>
        <w:t>.</w:t>
      </w:r>
      <w:r w:rsidR="00D07350" w:rsidRPr="00456C7B">
        <w:rPr>
          <w:rFonts w:cstheme="minorHAnsi"/>
        </w:rPr>
        <w:t xml:space="preserve"> These</w:t>
      </w:r>
      <w:r w:rsidR="007F21B3" w:rsidRPr="00456C7B">
        <w:rPr>
          <w:rFonts w:cstheme="minorHAnsi"/>
        </w:rPr>
        <w:t xml:space="preserve"> </w:t>
      </w:r>
      <w:r w:rsidR="00667C6C">
        <w:rPr>
          <w:rFonts w:cstheme="minorHAnsi"/>
        </w:rPr>
        <w:t>suspended</w:t>
      </w:r>
      <w:r w:rsidR="005B2ED3" w:rsidRPr="00456C7B">
        <w:rPr>
          <w:rFonts w:cstheme="minorHAnsi"/>
        </w:rPr>
        <w:t xml:space="preserve"> </w:t>
      </w:r>
      <w:r w:rsidR="007F21B3" w:rsidRPr="00456C7B">
        <w:rPr>
          <w:rFonts w:cstheme="minorHAnsi"/>
        </w:rPr>
        <w:t>provisions</w:t>
      </w:r>
      <w:r w:rsidR="00667C6C">
        <w:rPr>
          <w:rFonts w:cstheme="minorHAnsi"/>
        </w:rPr>
        <w:t xml:space="preserve"> could</w:t>
      </w:r>
      <w:r w:rsidR="005B2ED3" w:rsidRPr="00456C7B">
        <w:rPr>
          <w:rFonts w:cstheme="minorHAnsi"/>
        </w:rPr>
        <w:t xml:space="preserve"> be reintroduced by agreement amongst the parties if the Biden Administration decides to re-join this Agreement </w:t>
      </w:r>
      <w:r w:rsidR="005B2ED3" w:rsidRPr="00456C7B">
        <w:rPr>
          <w:rFonts w:cstheme="minorHAnsi"/>
        </w:rPr>
        <w:fldChar w:fldCharType="begin"/>
      </w:r>
      <w:r w:rsidR="00A2659F">
        <w:rPr>
          <w:rFonts w:cstheme="minorHAnsi"/>
        </w:rPr>
        <w:instrText xml:space="preserve"> ADDIN EN.CITE &lt;EndNote&gt;&lt;Cite&gt;&lt;Author&gt;New&lt;/Author&gt;&lt;Year&gt;16/11/2017 &lt;/Year&gt;&lt;RecNum&gt;244&lt;/RecNum&gt;&lt;DisplayText&gt;(20)&lt;/DisplayText&gt;&lt;record&gt;&lt;rec-number&gt;244&lt;/rec-number&gt;&lt;foreign-keys&gt;&lt;key app="EN" db-id="dfp5tt9d12x9vhewffovwt2jvd9t5vpwzvxr" timestamp="1615337630"&gt;244&lt;/key&gt;&lt;/foreign-keys&gt;&lt;ref-type name="Web Page"&gt;12&lt;/ref-type&gt;&lt;contributors&gt;&lt;authors&gt;&lt;author&gt;William New&lt;/author&gt;&lt;/authors&gt;&lt;/contributors&gt;&lt;titles&gt;&lt;title&gt;TPP Texts Show Suspended IP Provisions&lt;/title&gt;&lt;/titles&gt;&lt;volume&gt;2021&lt;/volume&gt;&lt;number&gt;10th March 2021&lt;/number&gt;&lt;dates&gt;&lt;year&gt;16/11/2017 &lt;/year&gt;&lt;/dates&gt;&lt;publisher&gt;Intellectual Property Watch&lt;/publisher&gt;&lt;urls&gt;&lt;related-urls&gt;&lt;url&gt;https://www.ip-watch.org/2017/11/16/tpp-texts-show-suspended-ip-provisions/&lt;/url&gt;&lt;/related-urls&gt;&lt;/urls&gt;&lt;custom1&gt;2021&lt;/custom1&gt;&lt;custom2&gt;10th March 2021&lt;/custom2&gt;&lt;/record&gt;&lt;/Cite&gt;&lt;/EndNote&gt;</w:instrText>
      </w:r>
      <w:r w:rsidR="005B2ED3" w:rsidRPr="00456C7B">
        <w:rPr>
          <w:rFonts w:cstheme="minorHAnsi"/>
        </w:rPr>
        <w:fldChar w:fldCharType="separate"/>
      </w:r>
      <w:r w:rsidR="00A2659F">
        <w:rPr>
          <w:rFonts w:cstheme="minorHAnsi"/>
          <w:noProof/>
        </w:rPr>
        <w:t>(20)</w:t>
      </w:r>
      <w:r w:rsidR="005B2ED3" w:rsidRPr="00456C7B">
        <w:rPr>
          <w:rFonts w:cstheme="minorHAnsi"/>
        </w:rPr>
        <w:fldChar w:fldCharType="end"/>
      </w:r>
      <w:r w:rsidR="005B2ED3" w:rsidRPr="00456C7B">
        <w:rPr>
          <w:rFonts w:cstheme="minorHAnsi"/>
        </w:rPr>
        <w:t xml:space="preserve">. The suspended provisions are explained in Table 1 below. </w:t>
      </w:r>
    </w:p>
    <w:p w14:paraId="68E612D5" w14:textId="77777777" w:rsidR="00D51F7C" w:rsidRPr="00456C7B" w:rsidRDefault="00D51F7C" w:rsidP="0016059B">
      <w:pPr>
        <w:spacing w:after="0" w:line="360" w:lineRule="auto"/>
        <w:jc w:val="both"/>
        <w:rPr>
          <w:rFonts w:cstheme="minorHAnsi"/>
        </w:rPr>
      </w:pPr>
    </w:p>
    <w:p w14:paraId="70DF7C5A" w14:textId="3DF1C803" w:rsidR="006469B5" w:rsidRPr="00456C7B" w:rsidRDefault="00774538" w:rsidP="0016059B">
      <w:pPr>
        <w:spacing w:after="0" w:line="360" w:lineRule="auto"/>
        <w:jc w:val="both"/>
        <w:rPr>
          <w:rFonts w:cstheme="minorHAnsi"/>
        </w:rPr>
      </w:pPr>
      <w:r w:rsidRPr="00456C7B">
        <w:rPr>
          <w:rFonts w:cstheme="minorHAnsi"/>
        </w:rPr>
        <w:t xml:space="preserve">Not all TRIPS-plus provisions were suspended. </w:t>
      </w:r>
      <w:r w:rsidR="00257A4F" w:rsidRPr="00456C7B">
        <w:rPr>
          <w:rFonts w:cstheme="minorHAnsi"/>
        </w:rPr>
        <w:t>For example, t</w:t>
      </w:r>
      <w:r w:rsidRPr="00456C7B">
        <w:rPr>
          <w:rFonts w:cstheme="minorHAnsi"/>
        </w:rPr>
        <w:t xml:space="preserve">he CPTPP </w:t>
      </w:r>
      <w:r w:rsidR="00667C6C">
        <w:rPr>
          <w:rFonts w:cstheme="minorHAnsi"/>
        </w:rPr>
        <w:t>retained TPP</w:t>
      </w:r>
      <w:r w:rsidRPr="00456C7B">
        <w:rPr>
          <w:rFonts w:cstheme="minorHAnsi"/>
        </w:rPr>
        <w:t xml:space="preserve"> </w:t>
      </w:r>
      <w:r w:rsidR="009F7BB4" w:rsidRPr="00456C7B">
        <w:rPr>
          <w:rFonts w:cstheme="minorHAnsi"/>
        </w:rPr>
        <w:t xml:space="preserve">Article 18.53 </w:t>
      </w:r>
      <w:r w:rsidR="00CE3892" w:rsidRPr="00456C7B">
        <w:rPr>
          <w:rFonts w:cstheme="minorHAnsi"/>
        </w:rPr>
        <w:t>which</w:t>
      </w:r>
      <w:r w:rsidR="009F7BB4" w:rsidRPr="00456C7B">
        <w:rPr>
          <w:rFonts w:cstheme="minorHAnsi"/>
        </w:rPr>
        <w:t xml:space="preserve"> provides for patent linkage</w:t>
      </w:r>
      <w:r w:rsidR="00726BD2" w:rsidRPr="00456C7B">
        <w:rPr>
          <w:rFonts w:cstheme="minorHAnsi"/>
        </w:rPr>
        <w:t xml:space="preserve">. </w:t>
      </w:r>
      <w:r w:rsidR="009F7BB4" w:rsidRPr="00456C7B">
        <w:rPr>
          <w:rFonts w:cstheme="minorHAnsi"/>
        </w:rPr>
        <w:t xml:space="preserve"> </w:t>
      </w:r>
      <w:r w:rsidR="00726BD2" w:rsidRPr="00456C7B">
        <w:rPr>
          <w:rFonts w:cstheme="minorHAnsi"/>
        </w:rPr>
        <w:t>This is</w:t>
      </w:r>
      <w:r w:rsidR="009F7BB4" w:rsidRPr="00456C7B">
        <w:rPr>
          <w:rFonts w:cstheme="minorHAnsi"/>
        </w:rPr>
        <w:t xml:space="preserve"> a conditional relationship between the granting of marketing approval for a generic medicine and the patent status of the originator </w:t>
      </w:r>
      <w:r w:rsidR="002A6530" w:rsidRPr="00456C7B">
        <w:rPr>
          <w:rFonts w:cstheme="minorHAnsi"/>
        </w:rPr>
        <w:t>medicine</w:t>
      </w:r>
      <w:r w:rsidR="009F7BB4" w:rsidRPr="00456C7B">
        <w:rPr>
          <w:rFonts w:cstheme="minorHAnsi"/>
        </w:rPr>
        <w:t>.</w:t>
      </w:r>
      <w:r w:rsidR="007806E3" w:rsidRPr="00456C7B">
        <w:rPr>
          <w:rFonts w:cstheme="minorHAnsi"/>
        </w:rPr>
        <w:t xml:space="preserve"> </w:t>
      </w:r>
      <w:r w:rsidR="00AA03AD" w:rsidRPr="00456C7B">
        <w:rPr>
          <w:rFonts w:cstheme="minorHAnsi"/>
        </w:rPr>
        <w:t xml:space="preserve">The CPTPP </w:t>
      </w:r>
      <w:r w:rsidR="000B49FA" w:rsidRPr="00456C7B">
        <w:rPr>
          <w:rFonts w:cstheme="minorHAnsi"/>
        </w:rPr>
        <w:t>allows</w:t>
      </w:r>
      <w:r w:rsidR="00BD4FF7" w:rsidRPr="00456C7B">
        <w:rPr>
          <w:rFonts w:cstheme="minorHAnsi"/>
        </w:rPr>
        <w:t xml:space="preserve"> for two different</w:t>
      </w:r>
      <w:r w:rsidR="000B49FA" w:rsidRPr="00456C7B">
        <w:rPr>
          <w:rFonts w:cstheme="minorHAnsi"/>
        </w:rPr>
        <w:t xml:space="preserve"> approaches to patent linkage. The first</w:t>
      </w:r>
      <w:r w:rsidR="00192234" w:rsidRPr="00456C7B">
        <w:rPr>
          <w:rFonts w:cstheme="minorHAnsi"/>
        </w:rPr>
        <w:t xml:space="preserve">, described in Art. 18.53 para 1, </w:t>
      </w:r>
      <w:r w:rsidR="00ED1A53" w:rsidRPr="00456C7B">
        <w:rPr>
          <w:rFonts w:cstheme="minorHAnsi"/>
        </w:rPr>
        <w:t xml:space="preserve">requires a system to </w:t>
      </w:r>
      <w:r w:rsidR="00D13E95" w:rsidRPr="00456C7B">
        <w:rPr>
          <w:rFonts w:cstheme="minorHAnsi"/>
        </w:rPr>
        <w:t xml:space="preserve">alert the rights holder </w:t>
      </w:r>
      <w:r w:rsidR="00584AFC" w:rsidRPr="00456C7B">
        <w:rPr>
          <w:rFonts w:cstheme="minorHAnsi"/>
        </w:rPr>
        <w:t>when a third party is seeking to market a product covered by a patent, and the provision of a judicial or administrative process for resolving disputes. The second alternative (Art 18.53 para 2)</w:t>
      </w:r>
      <w:r w:rsidR="00023251" w:rsidRPr="00456C7B">
        <w:rPr>
          <w:rFonts w:cstheme="minorHAnsi"/>
        </w:rPr>
        <w:t xml:space="preserve"> requires direct coordination between the marketing approval authority and the patent office, and a</w:t>
      </w:r>
      <w:r w:rsidR="00E02813" w:rsidRPr="00456C7B">
        <w:rPr>
          <w:rFonts w:cstheme="minorHAnsi"/>
        </w:rPr>
        <w:t xml:space="preserve">n automatic stay on marketing </w:t>
      </w:r>
      <w:r w:rsidR="00893E9F" w:rsidRPr="00456C7B">
        <w:rPr>
          <w:rFonts w:cstheme="minorHAnsi"/>
        </w:rPr>
        <w:t xml:space="preserve">approval where a patent may be infringed. </w:t>
      </w:r>
      <w:r w:rsidR="00667C6C">
        <w:rPr>
          <w:rFonts w:cstheme="minorHAnsi"/>
        </w:rPr>
        <w:t>The two options allow Thailand some flexibility in implementing patent linkage in a way that mitigates its impact on the market entry of generics. However, a</w:t>
      </w:r>
      <w:r w:rsidR="00296524" w:rsidRPr="00456C7B">
        <w:rPr>
          <w:rFonts w:cstheme="minorHAnsi"/>
        </w:rPr>
        <w:t xml:space="preserve"> health impact assessment found</w:t>
      </w:r>
      <w:r w:rsidR="00263853" w:rsidRPr="00456C7B">
        <w:rPr>
          <w:rFonts w:cstheme="minorHAnsi"/>
        </w:rPr>
        <w:t xml:space="preserve"> that </w:t>
      </w:r>
      <w:r w:rsidR="00BF5019" w:rsidRPr="00456C7B">
        <w:rPr>
          <w:rFonts w:cstheme="minorHAnsi"/>
        </w:rPr>
        <w:t xml:space="preserve">implementing patent linkage </w:t>
      </w:r>
      <w:r w:rsidR="00637A1D" w:rsidRPr="00456C7B">
        <w:rPr>
          <w:rFonts w:cstheme="minorHAnsi"/>
        </w:rPr>
        <w:t xml:space="preserve">could </w:t>
      </w:r>
      <w:r w:rsidR="00D22A92" w:rsidRPr="00456C7B">
        <w:rPr>
          <w:rFonts w:cstheme="minorHAnsi"/>
        </w:rPr>
        <w:t xml:space="preserve">negatively affect the domestic pharmaceutical industry in Thailand and increase its reliance on imported </w:t>
      </w:r>
      <w:r w:rsidR="002A6530" w:rsidRPr="00456C7B">
        <w:rPr>
          <w:rFonts w:cstheme="minorHAnsi"/>
        </w:rPr>
        <w:t>medicines</w:t>
      </w:r>
      <w:r w:rsidR="009206E6" w:rsidRPr="00456C7B">
        <w:rPr>
          <w:rFonts w:cstheme="minorHAnsi"/>
        </w:rPr>
        <w:t xml:space="preserve"> </w:t>
      </w:r>
      <w:r w:rsidR="00136058" w:rsidRPr="00456C7B">
        <w:rPr>
          <w:rFonts w:cstheme="minorHAnsi"/>
        </w:rPr>
        <w:fldChar w:fldCharType="begin"/>
      </w:r>
      <w:r w:rsidR="00A2659F">
        <w:rPr>
          <w:rFonts w:cstheme="minorHAnsi"/>
        </w:rPr>
        <w:instrText xml:space="preserve"> ADDIN EN.CITE &lt;EndNote&gt;&lt;Cite&gt;&lt;Author&gt;Sakulbumrungsilp&lt;/Author&gt;&lt;Year&gt;2020&lt;/Year&gt;&lt;RecNum&gt;510&lt;/RecNum&gt;&lt;DisplayText&gt;(21)&lt;/DisplayText&gt;&lt;record&gt;&lt;rec-number&gt;510&lt;/rec-number&gt;&lt;foreign-keys&gt;&lt;key app="EN" db-id="dfp5tt9d12x9vhewffovwt2jvd9t5vpwzvxr" timestamp="1665988759"&gt;510&lt;/key&gt;&lt;/foreign-keys&gt;&lt;ref-type name="Report"&gt;27&lt;/ref-type&gt;&lt;contributors&gt;&lt;authors&gt;&lt;author&gt;Rungpetch Sakulbumrungsilp&lt;/author&gt;&lt;author&gt;Nusaraporn Kessomboon&lt;/author&gt;&lt;author&gt;Kuljira Udomaksorn&lt;/author&gt;&lt;author&gt;Sutheera Techakhunwut&lt;/author&gt;&lt;author&gt;Inthira Kanchanaphiboon&lt;/author&gt;&lt;author&gt;Thanathep Vanichayakon&lt;/author&gt;&lt;author&gt;Sitanan Poonphonsap&lt;/author&gt;&lt;author&gt;Chakkrit Hongthong&lt;/author&gt;&lt;author&gt;Chadathorn Inyai&lt;/author&gt;&lt;author&gt;Sukantha Phatthong&lt;/author&gt;&lt;author&gt;Nattanitcha Kultanachairot&lt;/author&gt;&lt;author&gt;Pannapat Lakshmiset&lt;/author&gt;&lt;/authors&gt;&lt;secondary-authors&gt;&lt;author&gt;HIAPP&lt;/author&gt;&lt;/secondary-authors&gt;&lt;/contributors&gt;&lt;titles&gt;&lt;title&gt;Health Impact Assessment of policies related to local pharmaceutical industry development towards technology readiness and access to medicines&lt;/title&gt;&lt;/titles&gt;&lt;dates&gt;&lt;year&gt;2020&lt;/year&gt;&lt;/dates&gt;&lt;urls&gt;&lt;related-urls&gt;&lt;url&gt;https://iththailand.net/public/upload_file/resources/128_file_EN27052021-19310505.pdf&lt;/url&gt;&lt;/related-urls&gt;&lt;/urls&gt;&lt;access-date&gt;18/10/2022&lt;/access-date&gt;&lt;/record&gt;&lt;/Cite&gt;&lt;/EndNote&gt;</w:instrText>
      </w:r>
      <w:r w:rsidR="00136058" w:rsidRPr="00456C7B">
        <w:rPr>
          <w:rFonts w:cstheme="minorHAnsi"/>
        </w:rPr>
        <w:fldChar w:fldCharType="separate"/>
      </w:r>
      <w:r w:rsidR="00A2659F">
        <w:rPr>
          <w:rFonts w:cstheme="minorHAnsi"/>
          <w:noProof/>
        </w:rPr>
        <w:t>(21)</w:t>
      </w:r>
      <w:r w:rsidR="00136058" w:rsidRPr="00456C7B">
        <w:rPr>
          <w:rFonts w:cstheme="minorHAnsi"/>
        </w:rPr>
        <w:fldChar w:fldCharType="end"/>
      </w:r>
      <w:r w:rsidR="009206E6" w:rsidRPr="00456C7B">
        <w:rPr>
          <w:rFonts w:cstheme="minorHAnsi"/>
        </w:rPr>
        <w:t>.</w:t>
      </w:r>
    </w:p>
    <w:p w14:paraId="04CAE8A2" w14:textId="77777777" w:rsidR="006469B5" w:rsidRPr="00456C7B" w:rsidRDefault="006469B5" w:rsidP="0016059B">
      <w:pPr>
        <w:spacing w:after="0" w:line="360" w:lineRule="auto"/>
        <w:jc w:val="both"/>
        <w:rPr>
          <w:rFonts w:cstheme="minorHAnsi"/>
        </w:rPr>
      </w:pPr>
    </w:p>
    <w:p w14:paraId="4C2492B8" w14:textId="10FD1AD7" w:rsidR="0016059B" w:rsidRPr="00456C7B" w:rsidRDefault="009638D4" w:rsidP="0016059B">
      <w:pPr>
        <w:spacing w:after="0" w:line="360" w:lineRule="auto"/>
        <w:jc w:val="both"/>
        <w:rPr>
          <w:rFonts w:cstheme="minorHAnsi"/>
        </w:rPr>
      </w:pPr>
      <w:r w:rsidRPr="00456C7B">
        <w:rPr>
          <w:rFonts w:cstheme="minorHAnsi"/>
        </w:rPr>
        <w:t xml:space="preserve">The CPTPP text also includes a </w:t>
      </w:r>
      <w:r w:rsidR="0016059B" w:rsidRPr="00456C7B">
        <w:rPr>
          <w:rFonts w:cstheme="minorHAnsi"/>
        </w:rPr>
        <w:t xml:space="preserve">footnote </w:t>
      </w:r>
      <w:r w:rsidRPr="00456C7B">
        <w:rPr>
          <w:rFonts w:cstheme="minorHAnsi"/>
        </w:rPr>
        <w:t xml:space="preserve">to Article </w:t>
      </w:r>
      <w:r w:rsidR="00494117" w:rsidRPr="00456C7B">
        <w:rPr>
          <w:rFonts w:cstheme="minorHAnsi"/>
        </w:rPr>
        <w:t xml:space="preserve">18.37 paragraph 1 </w:t>
      </w:r>
      <w:r w:rsidR="0016059B" w:rsidRPr="00456C7B">
        <w:rPr>
          <w:rFonts w:cstheme="minorHAnsi"/>
        </w:rPr>
        <w:t xml:space="preserve">which establishes a lower threshold for inventiveness than is </w:t>
      </w:r>
      <w:r w:rsidR="00277E0C" w:rsidRPr="00456C7B">
        <w:rPr>
          <w:rFonts w:cstheme="minorHAnsi"/>
        </w:rPr>
        <w:t>required by TRIPS:</w:t>
      </w:r>
    </w:p>
    <w:p w14:paraId="321D8C0A" w14:textId="77777777" w:rsidR="0016059B" w:rsidRPr="00456C7B" w:rsidRDefault="0016059B" w:rsidP="0016059B">
      <w:pPr>
        <w:spacing w:after="0" w:line="360" w:lineRule="auto"/>
        <w:jc w:val="both"/>
        <w:rPr>
          <w:rFonts w:cstheme="minorHAnsi"/>
        </w:rPr>
      </w:pPr>
    </w:p>
    <w:p w14:paraId="4455BE3B" w14:textId="428408D1" w:rsidR="00E01B6B" w:rsidRPr="00456C7B" w:rsidRDefault="0016059B" w:rsidP="00727346">
      <w:pPr>
        <w:spacing w:after="0" w:line="360" w:lineRule="auto"/>
        <w:ind w:left="720"/>
        <w:jc w:val="both"/>
        <w:rPr>
          <w:rFonts w:cstheme="minorHAnsi"/>
        </w:rPr>
      </w:pPr>
      <w:r w:rsidRPr="00456C7B">
        <w:rPr>
          <w:rFonts w:cstheme="minorHAnsi"/>
          <w:sz w:val="16"/>
          <w:szCs w:val="16"/>
        </w:rPr>
        <w:t>30</w:t>
      </w:r>
      <w:r w:rsidRPr="00456C7B">
        <w:rPr>
          <w:rFonts w:cstheme="minorHAnsi"/>
        </w:rPr>
        <w:t xml:space="preserve"> For the purposes of this Section, a Party may deem the terms ‘inventive step’ and ‘capable of industrial application’ to be synonymous with the terms ‘non-obvious’ and ‘useful’</w:t>
      </w:r>
      <w:r w:rsidR="00D83B8D">
        <w:rPr>
          <w:rFonts w:cstheme="minorHAnsi"/>
        </w:rPr>
        <w:t>,</w:t>
      </w:r>
      <w:r w:rsidRPr="00456C7B">
        <w:rPr>
          <w:rFonts w:cstheme="minorHAnsi"/>
        </w:rPr>
        <w:t xml:space="preserve"> respectively. In determinations regarding inventive step, or non-obviousness, each Party shall consider whether the claimed invention would have been obvious to a person skilled, or having ordinary skill in the art, having regard to prior art. (</w:t>
      </w:r>
      <w:r w:rsidR="00277E0C" w:rsidRPr="00456C7B">
        <w:rPr>
          <w:rFonts w:cstheme="minorHAnsi"/>
        </w:rPr>
        <w:t>CPT</w:t>
      </w:r>
      <w:r w:rsidRPr="00456C7B">
        <w:rPr>
          <w:rFonts w:cstheme="minorHAnsi"/>
        </w:rPr>
        <w:t>PP Chapter 18, Footnote 30)</w:t>
      </w:r>
    </w:p>
    <w:p w14:paraId="5F0ADECB" w14:textId="77777777" w:rsidR="00E01B6B" w:rsidRPr="00456C7B" w:rsidRDefault="00E01B6B" w:rsidP="00EA6F50">
      <w:pPr>
        <w:spacing w:after="0" w:line="360" w:lineRule="auto"/>
        <w:jc w:val="both"/>
        <w:rPr>
          <w:rFonts w:cstheme="minorHAnsi"/>
        </w:rPr>
      </w:pPr>
    </w:p>
    <w:p w14:paraId="57238E93" w14:textId="07D9CB2A" w:rsidR="004141BE" w:rsidRPr="00456C7B" w:rsidRDefault="007F1592" w:rsidP="00727346">
      <w:pPr>
        <w:spacing w:after="0" w:line="360" w:lineRule="auto"/>
        <w:jc w:val="both"/>
        <w:rPr>
          <w:rFonts w:cstheme="minorHAnsi"/>
        </w:rPr>
      </w:pPr>
      <w:r w:rsidRPr="00456C7B">
        <w:rPr>
          <w:rFonts w:cstheme="minorHAnsi"/>
        </w:rPr>
        <w:lastRenderedPageBreak/>
        <w:t>This provision</w:t>
      </w:r>
      <w:r w:rsidR="00AE55FC" w:rsidRPr="00456C7B">
        <w:rPr>
          <w:rFonts w:cstheme="minorHAnsi"/>
        </w:rPr>
        <w:t xml:space="preserve">, particularly the reference to </w:t>
      </w:r>
      <w:r w:rsidR="00FE5545" w:rsidRPr="00456C7B">
        <w:rPr>
          <w:rFonts w:cstheme="minorHAnsi"/>
        </w:rPr>
        <w:t>a person “having ordinary skill in the art” (which is TRIPS-Plus)</w:t>
      </w:r>
      <w:r w:rsidRPr="00456C7B">
        <w:rPr>
          <w:rFonts w:cstheme="minorHAnsi"/>
        </w:rPr>
        <w:t xml:space="preserve"> </w:t>
      </w:r>
      <w:r w:rsidR="0090473E" w:rsidRPr="00456C7B">
        <w:rPr>
          <w:rFonts w:cstheme="minorHAnsi"/>
        </w:rPr>
        <w:t>can result in the granting of</w:t>
      </w:r>
      <w:r w:rsidRPr="00456C7B">
        <w:rPr>
          <w:rFonts w:cstheme="minorHAnsi"/>
        </w:rPr>
        <w:t xml:space="preserve"> </w:t>
      </w:r>
      <w:r w:rsidR="0090473E" w:rsidRPr="00456C7B">
        <w:rPr>
          <w:rFonts w:cstheme="minorHAnsi"/>
        </w:rPr>
        <w:t>poor</w:t>
      </w:r>
      <w:r w:rsidR="00A66B24" w:rsidRPr="00456C7B">
        <w:rPr>
          <w:rFonts w:cstheme="minorHAnsi"/>
        </w:rPr>
        <w:t>-</w:t>
      </w:r>
      <w:r w:rsidR="0090473E" w:rsidRPr="00456C7B">
        <w:rPr>
          <w:rFonts w:cstheme="minorHAnsi"/>
        </w:rPr>
        <w:t>quality</w:t>
      </w:r>
      <w:r w:rsidRPr="00456C7B">
        <w:rPr>
          <w:rFonts w:cstheme="minorHAnsi"/>
        </w:rPr>
        <w:t xml:space="preserve"> patents</w:t>
      </w:r>
      <w:r w:rsidR="00B81786" w:rsidRPr="00456C7B">
        <w:rPr>
          <w:rFonts w:cstheme="minorHAnsi"/>
        </w:rPr>
        <w:t xml:space="preserve"> </w:t>
      </w:r>
      <w:r w:rsidR="00B81786" w:rsidRPr="00456C7B">
        <w:rPr>
          <w:rFonts w:cstheme="minorHAnsi"/>
        </w:rPr>
        <w:fldChar w:fldCharType="begin"/>
      </w:r>
      <w:r w:rsidR="00A2659F">
        <w:rPr>
          <w:rFonts w:cstheme="minorHAnsi"/>
        </w:rPr>
        <w:instrText xml:space="preserve"> ADDIN EN.CITE &lt;EndNote&gt;&lt;Cite&gt;&lt;Author&gt;Moir&lt;/Author&gt;&lt;Year&gt;2013&lt;/Year&gt;&lt;RecNum&gt;498&lt;/RecNum&gt;&lt;DisplayText&gt;(22)&lt;/DisplayText&gt;&lt;record&gt;&lt;rec-number&gt;498&lt;/rec-number&gt;&lt;foreign-keys&gt;&lt;key app="EN" db-id="dfp5tt9d12x9vhewffovwt2jvd9t5vpwzvxr" timestamp="1662078878"&gt;498&lt;/key&gt;&lt;/foreign-keys&gt;&lt;ref-type name="Journal Article"&gt;17&lt;/ref-type&gt;&lt;contributors&gt;&lt;authors&gt;&lt;author&gt;Moir, Hazel VJ&lt;/author&gt;&lt;author&gt;Palombi, Luigi&lt;/author&gt;&lt;/authors&gt;&lt;/contributors&gt;&lt;titles&gt;&lt;title&gt;Patents and Trademarks: empirical evidence on&amp;apos;evergreening&amp;apos;from Australia&lt;/title&gt;&lt;secondary-title&gt;Available at SSRN 2365786&lt;/secondary-title&gt;&lt;/titles&gt;&lt;periodical&gt;&lt;full-title&gt;Available at SSRN 2365786&lt;/full-title&gt;&lt;/periodical&gt;&lt;dates&gt;&lt;year&gt;2013&lt;/year&gt;&lt;/dates&gt;&lt;urls&gt;&lt;/urls&gt;&lt;/record&gt;&lt;/Cite&gt;&lt;/EndNote&gt;</w:instrText>
      </w:r>
      <w:r w:rsidR="00B81786" w:rsidRPr="00456C7B">
        <w:rPr>
          <w:rFonts w:cstheme="minorHAnsi"/>
        </w:rPr>
        <w:fldChar w:fldCharType="separate"/>
      </w:r>
      <w:r w:rsidR="00A2659F">
        <w:rPr>
          <w:rFonts w:cstheme="minorHAnsi"/>
          <w:noProof/>
        </w:rPr>
        <w:t>(22)</w:t>
      </w:r>
      <w:r w:rsidR="00B81786" w:rsidRPr="00456C7B">
        <w:rPr>
          <w:rFonts w:cstheme="minorHAnsi"/>
        </w:rPr>
        <w:fldChar w:fldCharType="end"/>
      </w:r>
      <w:r w:rsidR="00B81786" w:rsidRPr="00456C7B">
        <w:rPr>
          <w:rFonts w:cstheme="minorHAnsi"/>
        </w:rPr>
        <w:t xml:space="preserve">. </w:t>
      </w:r>
      <w:r w:rsidR="00A1569D" w:rsidRPr="00456C7B">
        <w:rPr>
          <w:rFonts w:cstheme="minorHAnsi"/>
        </w:rPr>
        <w:t xml:space="preserve">Although </w:t>
      </w:r>
      <w:r w:rsidR="0055096C" w:rsidRPr="00456C7B">
        <w:rPr>
          <w:rFonts w:cstheme="minorHAnsi"/>
        </w:rPr>
        <w:t xml:space="preserve">the Thai </w:t>
      </w:r>
      <w:r w:rsidR="00C174F2" w:rsidRPr="00456C7B">
        <w:rPr>
          <w:rFonts w:cstheme="minorHAnsi"/>
        </w:rPr>
        <w:t>Patent Act (No.3) B.E. 2542</w:t>
      </w:r>
      <w:r w:rsidR="00C64475" w:rsidRPr="00456C7B">
        <w:rPr>
          <w:rFonts w:cstheme="minorHAnsi"/>
        </w:rPr>
        <w:t xml:space="preserve"> includes a similarly low inventiveness threshold</w:t>
      </w:r>
      <w:r w:rsidR="00A66B24" w:rsidRPr="00456C7B">
        <w:rPr>
          <w:rFonts w:cstheme="minorHAnsi"/>
        </w:rPr>
        <w:t>,</w:t>
      </w:r>
      <w:r w:rsidR="00C406DD" w:rsidRPr="00456C7B">
        <w:rPr>
          <w:rFonts w:cstheme="minorHAnsi"/>
        </w:rPr>
        <w:t xml:space="preserve"> </w:t>
      </w:r>
      <w:r w:rsidR="00681F44" w:rsidRPr="00456C7B">
        <w:rPr>
          <w:rFonts w:cstheme="minorHAnsi"/>
        </w:rPr>
        <w:t>Thailand currently has the policy space to lift the threshold</w:t>
      </w:r>
      <w:r w:rsidR="00124454">
        <w:rPr>
          <w:rFonts w:cstheme="minorHAnsi"/>
        </w:rPr>
        <w:t xml:space="preserve">. </w:t>
      </w:r>
      <w:r w:rsidR="00792F88" w:rsidRPr="00456C7B">
        <w:rPr>
          <w:rFonts w:cstheme="minorHAnsi"/>
        </w:rPr>
        <w:t>M</w:t>
      </w:r>
      <w:r w:rsidR="00A66B24" w:rsidRPr="00456C7B">
        <w:rPr>
          <w:rFonts w:cstheme="minorHAnsi"/>
        </w:rPr>
        <w:t xml:space="preserve">embership of the CPTPP would </w:t>
      </w:r>
      <w:r w:rsidR="00045A50" w:rsidRPr="00456C7B">
        <w:rPr>
          <w:rFonts w:cstheme="minorHAnsi"/>
        </w:rPr>
        <w:t>remove this element of discretion</w:t>
      </w:r>
      <w:r w:rsidR="00681F44" w:rsidRPr="00456C7B">
        <w:rPr>
          <w:rFonts w:cstheme="minorHAnsi"/>
        </w:rPr>
        <w:t>, creating a binding obligation to retain the low inventiveness threshold</w:t>
      </w:r>
      <w:r w:rsidR="00366C79" w:rsidRPr="00456C7B">
        <w:rPr>
          <w:rFonts w:cstheme="minorHAnsi"/>
        </w:rPr>
        <w:t xml:space="preserve">. </w:t>
      </w:r>
    </w:p>
    <w:p w14:paraId="3A8BADC0" w14:textId="79AA14CC" w:rsidR="00E3636F" w:rsidRPr="00456C7B" w:rsidRDefault="00E3636F" w:rsidP="002B6AC5">
      <w:pPr>
        <w:pStyle w:val="Caption"/>
        <w:keepNext/>
        <w:keepLines/>
        <w:spacing w:after="0"/>
        <w:jc w:val="both"/>
        <w:rPr>
          <w:rFonts w:cstheme="minorHAnsi"/>
          <w:b/>
          <w:bCs/>
          <w:i w:val="0"/>
          <w:iCs w:val="0"/>
          <w:color w:val="auto"/>
          <w:sz w:val="22"/>
          <w:szCs w:val="22"/>
        </w:rPr>
      </w:pPr>
      <w:r w:rsidRPr="00456C7B">
        <w:rPr>
          <w:rFonts w:cstheme="minorHAnsi"/>
          <w:b/>
          <w:bCs/>
          <w:i w:val="0"/>
          <w:iCs w:val="0"/>
          <w:color w:val="auto"/>
          <w:sz w:val="22"/>
          <w:szCs w:val="22"/>
        </w:rPr>
        <w:t xml:space="preserve">Table </w:t>
      </w:r>
      <w:r w:rsidR="002B6AC5" w:rsidRPr="00456C7B">
        <w:rPr>
          <w:rFonts w:cstheme="minorHAnsi"/>
          <w:b/>
          <w:bCs/>
          <w:i w:val="0"/>
          <w:iCs w:val="0"/>
          <w:color w:val="auto"/>
          <w:sz w:val="22"/>
          <w:szCs w:val="22"/>
        </w:rPr>
        <w:t>1</w:t>
      </w:r>
      <w:r w:rsidRPr="00456C7B">
        <w:rPr>
          <w:rFonts w:cstheme="minorHAnsi"/>
          <w:b/>
          <w:bCs/>
          <w:i w:val="0"/>
          <w:iCs w:val="0"/>
          <w:color w:val="auto"/>
          <w:sz w:val="22"/>
          <w:szCs w:val="22"/>
        </w:rPr>
        <w:t xml:space="preserve">: Suspended </w:t>
      </w:r>
      <w:r w:rsidR="00257A4F" w:rsidRPr="00456C7B">
        <w:rPr>
          <w:rFonts w:cstheme="minorHAnsi"/>
          <w:b/>
          <w:bCs/>
          <w:i w:val="0"/>
          <w:iCs w:val="0"/>
          <w:color w:val="auto"/>
          <w:sz w:val="22"/>
          <w:szCs w:val="22"/>
        </w:rPr>
        <w:t xml:space="preserve">TRIPS-plus </w:t>
      </w:r>
      <w:r w:rsidR="004141BE" w:rsidRPr="00456C7B">
        <w:rPr>
          <w:rFonts w:cstheme="minorHAnsi"/>
          <w:b/>
          <w:bCs/>
          <w:i w:val="0"/>
          <w:iCs w:val="0"/>
          <w:color w:val="auto"/>
          <w:sz w:val="22"/>
          <w:szCs w:val="22"/>
        </w:rPr>
        <w:t xml:space="preserve">IP </w:t>
      </w:r>
      <w:r w:rsidRPr="00456C7B">
        <w:rPr>
          <w:rFonts w:cstheme="minorHAnsi"/>
          <w:b/>
          <w:bCs/>
          <w:i w:val="0"/>
          <w:iCs w:val="0"/>
          <w:color w:val="auto"/>
          <w:sz w:val="22"/>
          <w:szCs w:val="22"/>
        </w:rPr>
        <w:t xml:space="preserve">articles of the CPTPP </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30"/>
        <w:gridCol w:w="6518"/>
      </w:tblGrid>
      <w:tr w:rsidR="00E3636F" w:rsidRPr="00456C7B" w14:paraId="6366FD6A" w14:textId="77777777" w:rsidTr="004141BE">
        <w:tc>
          <w:tcPr>
            <w:tcW w:w="2830" w:type="dxa"/>
            <w:shd w:val="clear" w:color="auto" w:fill="D5DCE4" w:themeFill="text2" w:themeFillTint="33"/>
            <w:vAlign w:val="center"/>
          </w:tcPr>
          <w:p w14:paraId="1B9577EB" w14:textId="77777777" w:rsidR="00E3636F" w:rsidRPr="00456C7B" w:rsidRDefault="00E3636F" w:rsidP="002B6AC5">
            <w:pPr>
              <w:keepNext/>
              <w:keepLines/>
              <w:spacing w:after="0" w:line="240" w:lineRule="auto"/>
              <w:jc w:val="both"/>
              <w:rPr>
                <w:rFonts w:cstheme="minorHAnsi"/>
                <w:b/>
                <w:bCs/>
              </w:rPr>
            </w:pPr>
            <w:r w:rsidRPr="00456C7B">
              <w:rPr>
                <w:rFonts w:cstheme="minorHAnsi"/>
                <w:b/>
                <w:bCs/>
              </w:rPr>
              <w:t>Suspended Article</w:t>
            </w:r>
          </w:p>
        </w:tc>
        <w:tc>
          <w:tcPr>
            <w:tcW w:w="6518" w:type="dxa"/>
            <w:shd w:val="clear" w:color="auto" w:fill="D5DCE4" w:themeFill="text2" w:themeFillTint="33"/>
            <w:vAlign w:val="center"/>
          </w:tcPr>
          <w:p w14:paraId="50262BB1" w14:textId="59B1F9E8" w:rsidR="00E3636F" w:rsidRPr="00456C7B" w:rsidRDefault="00E3636F" w:rsidP="002B6AC5">
            <w:pPr>
              <w:keepNext/>
              <w:keepLines/>
              <w:spacing w:after="0" w:line="240" w:lineRule="auto"/>
              <w:jc w:val="both"/>
              <w:rPr>
                <w:rFonts w:cstheme="minorHAnsi"/>
                <w:b/>
                <w:bCs/>
              </w:rPr>
            </w:pPr>
            <w:r w:rsidRPr="00456C7B">
              <w:rPr>
                <w:rFonts w:cstheme="minorHAnsi"/>
                <w:b/>
                <w:bCs/>
              </w:rPr>
              <w:t xml:space="preserve">Explanation </w:t>
            </w:r>
          </w:p>
        </w:tc>
      </w:tr>
      <w:tr w:rsidR="00E3636F" w:rsidRPr="00456C7B" w14:paraId="761EC91A" w14:textId="77777777" w:rsidTr="004141BE">
        <w:tc>
          <w:tcPr>
            <w:tcW w:w="2830" w:type="dxa"/>
            <w:shd w:val="clear" w:color="auto" w:fill="FFFFFF"/>
            <w:hideMark/>
          </w:tcPr>
          <w:p w14:paraId="5968B186" w14:textId="77777777" w:rsidR="00DF0D5F" w:rsidRPr="00456C7B" w:rsidRDefault="00DF0D5F" w:rsidP="00DF0D5F">
            <w:pPr>
              <w:keepNext/>
              <w:keepLines/>
              <w:spacing w:after="0" w:line="240" w:lineRule="auto"/>
              <w:ind w:left="122"/>
              <w:rPr>
                <w:rFonts w:cstheme="minorHAnsi"/>
              </w:rPr>
            </w:pPr>
            <w:r w:rsidRPr="00456C7B">
              <w:rPr>
                <w:rFonts w:cstheme="minorHAnsi"/>
              </w:rPr>
              <w:t>Article 18.37 (Patentable Subject Matter)</w:t>
            </w:r>
          </w:p>
          <w:p w14:paraId="206F4C01" w14:textId="77777777" w:rsidR="00DF0D5F" w:rsidRPr="00456C7B" w:rsidRDefault="00DF0D5F" w:rsidP="00DF0D5F">
            <w:pPr>
              <w:keepNext/>
              <w:keepLines/>
              <w:spacing w:after="0" w:line="240" w:lineRule="auto"/>
              <w:ind w:left="122"/>
              <w:rPr>
                <w:rFonts w:cstheme="minorHAnsi"/>
              </w:rPr>
            </w:pPr>
            <w:r w:rsidRPr="00456C7B">
              <w:rPr>
                <w:rFonts w:cstheme="minorHAnsi"/>
              </w:rPr>
              <w:t>(</w:t>
            </w:r>
            <w:proofErr w:type="spellStart"/>
            <w:r w:rsidRPr="00456C7B">
              <w:rPr>
                <w:rFonts w:cstheme="minorHAnsi"/>
              </w:rPr>
              <w:t>i</w:t>
            </w:r>
            <w:proofErr w:type="spellEnd"/>
            <w:r w:rsidRPr="00456C7B">
              <w:rPr>
                <w:rFonts w:cstheme="minorHAnsi"/>
              </w:rPr>
              <w:t xml:space="preserve">) paragraph 2: all of this </w:t>
            </w:r>
            <w:proofErr w:type="gramStart"/>
            <w:r w:rsidRPr="00456C7B">
              <w:rPr>
                <w:rFonts w:cstheme="minorHAnsi"/>
              </w:rPr>
              <w:t>paragraph;</w:t>
            </w:r>
            <w:proofErr w:type="gramEnd"/>
          </w:p>
          <w:p w14:paraId="1398F0A8" w14:textId="68C39289" w:rsidR="00E3636F" w:rsidRPr="00456C7B" w:rsidRDefault="00DF0D5F" w:rsidP="00DF0D5F">
            <w:pPr>
              <w:keepNext/>
              <w:keepLines/>
              <w:spacing w:after="0" w:line="240" w:lineRule="auto"/>
              <w:ind w:left="122"/>
              <w:rPr>
                <w:rFonts w:cstheme="minorHAnsi"/>
              </w:rPr>
            </w:pPr>
            <w:r w:rsidRPr="00456C7B">
              <w:rPr>
                <w:rFonts w:cstheme="minorHAnsi"/>
              </w:rPr>
              <w:t>(ii) paragraph 4: the last sentence;</w:t>
            </w:r>
          </w:p>
        </w:tc>
        <w:tc>
          <w:tcPr>
            <w:tcW w:w="6518" w:type="dxa"/>
            <w:shd w:val="clear" w:color="auto" w:fill="FFFFFF"/>
            <w:hideMark/>
          </w:tcPr>
          <w:p w14:paraId="6D5522A3" w14:textId="0B6191B0" w:rsidR="00E3636F" w:rsidRPr="00456C7B" w:rsidRDefault="005C1797" w:rsidP="00DD5AD9">
            <w:pPr>
              <w:keepNext/>
              <w:keepLines/>
              <w:spacing w:after="0" w:line="240" w:lineRule="auto"/>
              <w:ind w:left="129" w:right="126"/>
              <w:jc w:val="both"/>
              <w:rPr>
                <w:rFonts w:cstheme="minorHAnsi"/>
              </w:rPr>
            </w:pPr>
            <w:r w:rsidRPr="00456C7B">
              <w:rPr>
                <w:rFonts w:cstheme="minorHAnsi"/>
              </w:rPr>
              <w:t>P</w:t>
            </w:r>
            <w:r w:rsidR="00E3636F" w:rsidRPr="00456C7B">
              <w:rPr>
                <w:rFonts w:cstheme="minorHAnsi"/>
              </w:rPr>
              <w:t>atents</w:t>
            </w:r>
            <w:r w:rsidR="00257A4F" w:rsidRPr="00456C7B">
              <w:rPr>
                <w:rFonts w:cstheme="minorHAnsi"/>
              </w:rPr>
              <w:t xml:space="preserve"> to</w:t>
            </w:r>
            <w:r w:rsidR="00E3636F" w:rsidRPr="00456C7B">
              <w:rPr>
                <w:rFonts w:cstheme="minorHAnsi"/>
              </w:rPr>
              <w:t xml:space="preserve"> be made available for </w:t>
            </w:r>
            <w:r w:rsidR="00305BE5" w:rsidRPr="00456C7B">
              <w:rPr>
                <w:rFonts w:cstheme="minorHAnsi"/>
              </w:rPr>
              <w:t xml:space="preserve">at least one of: </w:t>
            </w:r>
            <w:r w:rsidR="00E3636F" w:rsidRPr="00456C7B">
              <w:rPr>
                <w:rFonts w:cstheme="minorHAnsi"/>
              </w:rPr>
              <w:t xml:space="preserve">new uses of </w:t>
            </w:r>
            <w:r w:rsidR="00EC7F9F" w:rsidRPr="00456C7B">
              <w:rPr>
                <w:rFonts w:cstheme="minorHAnsi"/>
              </w:rPr>
              <w:t xml:space="preserve">a </w:t>
            </w:r>
            <w:r w:rsidR="00E3636F" w:rsidRPr="00456C7B">
              <w:rPr>
                <w:rFonts w:cstheme="minorHAnsi"/>
              </w:rPr>
              <w:t>known product, new methods of using a known product or new processes of using a known product</w:t>
            </w:r>
            <w:r w:rsidR="00305BE5" w:rsidRPr="00456C7B">
              <w:rPr>
                <w:rFonts w:cstheme="minorHAnsi"/>
              </w:rPr>
              <w:t>. P</w:t>
            </w:r>
            <w:r w:rsidR="00E3636F" w:rsidRPr="00456C7B">
              <w:rPr>
                <w:rFonts w:cstheme="minorHAnsi"/>
              </w:rPr>
              <w:t xml:space="preserve">atents </w:t>
            </w:r>
            <w:r w:rsidR="00E86114" w:rsidRPr="00456C7B">
              <w:rPr>
                <w:rFonts w:cstheme="minorHAnsi"/>
              </w:rPr>
              <w:t xml:space="preserve">must </w:t>
            </w:r>
            <w:r w:rsidR="00E3636F" w:rsidRPr="00456C7B">
              <w:rPr>
                <w:rFonts w:cstheme="minorHAnsi"/>
              </w:rPr>
              <w:t xml:space="preserve">be available for inventions derived from plants. </w:t>
            </w:r>
          </w:p>
        </w:tc>
      </w:tr>
      <w:tr w:rsidR="00E3636F" w:rsidRPr="00456C7B" w14:paraId="531EDA11" w14:textId="77777777" w:rsidTr="004141BE">
        <w:tc>
          <w:tcPr>
            <w:tcW w:w="2830" w:type="dxa"/>
            <w:shd w:val="clear" w:color="auto" w:fill="FFFFFF"/>
            <w:hideMark/>
          </w:tcPr>
          <w:p w14:paraId="74809FAF" w14:textId="77777777" w:rsidR="006A01AC" w:rsidRPr="00456C7B" w:rsidRDefault="006A01AC" w:rsidP="006A01AC">
            <w:pPr>
              <w:keepNext/>
              <w:keepLines/>
              <w:spacing w:after="0" w:line="240" w:lineRule="auto"/>
              <w:ind w:left="122"/>
              <w:rPr>
                <w:rFonts w:cstheme="minorHAnsi"/>
              </w:rPr>
            </w:pPr>
            <w:r w:rsidRPr="00456C7B">
              <w:rPr>
                <w:rFonts w:cstheme="minorHAnsi"/>
              </w:rPr>
              <w:t>Article 18.46 (Patent Term Adjustment for Unreasonable Granting Authority</w:t>
            </w:r>
          </w:p>
          <w:p w14:paraId="1615D2AC" w14:textId="057AE301" w:rsidR="00E3636F" w:rsidRPr="00456C7B" w:rsidRDefault="006A01AC" w:rsidP="006A01AC">
            <w:pPr>
              <w:keepNext/>
              <w:keepLines/>
              <w:spacing w:after="0" w:line="240" w:lineRule="auto"/>
              <w:ind w:left="122"/>
              <w:rPr>
                <w:rFonts w:cstheme="minorHAnsi"/>
              </w:rPr>
            </w:pPr>
            <w:r w:rsidRPr="00456C7B">
              <w:rPr>
                <w:rFonts w:cstheme="minorHAnsi"/>
              </w:rPr>
              <w:t xml:space="preserve">Delays): </w:t>
            </w:r>
            <w:proofErr w:type="gramStart"/>
            <w:r w:rsidRPr="00456C7B">
              <w:rPr>
                <w:rFonts w:cstheme="minorHAnsi"/>
              </w:rPr>
              <w:t>all of</w:t>
            </w:r>
            <w:proofErr w:type="gramEnd"/>
            <w:r w:rsidRPr="00456C7B">
              <w:rPr>
                <w:rFonts w:cstheme="minorHAnsi"/>
              </w:rPr>
              <w:t xml:space="preserve"> this Article including footnotes 36 through 39;</w:t>
            </w:r>
          </w:p>
        </w:tc>
        <w:tc>
          <w:tcPr>
            <w:tcW w:w="6518" w:type="dxa"/>
            <w:shd w:val="clear" w:color="auto" w:fill="FFFFFF"/>
            <w:hideMark/>
          </w:tcPr>
          <w:p w14:paraId="5E3FDD6F" w14:textId="391EC80F" w:rsidR="00E3636F" w:rsidRPr="00456C7B" w:rsidRDefault="004141BE" w:rsidP="00DD5AD9">
            <w:pPr>
              <w:keepNext/>
              <w:keepLines/>
              <w:spacing w:after="0" w:line="240" w:lineRule="auto"/>
              <w:ind w:left="129" w:right="268"/>
              <w:jc w:val="both"/>
              <w:rPr>
                <w:rFonts w:cstheme="minorHAnsi"/>
              </w:rPr>
            </w:pPr>
            <w:r w:rsidRPr="00456C7B">
              <w:rPr>
                <w:rFonts w:cstheme="minorHAnsi"/>
              </w:rPr>
              <w:t>A</w:t>
            </w:r>
            <w:r w:rsidR="00E3636F" w:rsidRPr="00456C7B">
              <w:rPr>
                <w:rFonts w:cstheme="minorHAnsi"/>
              </w:rPr>
              <w:t xml:space="preserve">djust, upon request, a patent's term of protection to compensate the patent owner if there are unreasonable delays in a patent office's issuance of </w:t>
            </w:r>
            <w:r w:rsidR="00EC7F9F" w:rsidRPr="00456C7B">
              <w:rPr>
                <w:rFonts w:cstheme="minorHAnsi"/>
              </w:rPr>
              <w:t xml:space="preserve">a </w:t>
            </w:r>
            <w:r w:rsidR="00E3636F" w:rsidRPr="00456C7B">
              <w:rPr>
                <w:rFonts w:cstheme="minorHAnsi"/>
              </w:rPr>
              <w:t xml:space="preserve">patent. </w:t>
            </w:r>
          </w:p>
        </w:tc>
      </w:tr>
      <w:tr w:rsidR="00E3636F" w:rsidRPr="00456C7B" w14:paraId="11994DFF" w14:textId="77777777" w:rsidTr="004141BE">
        <w:tc>
          <w:tcPr>
            <w:tcW w:w="2830" w:type="dxa"/>
            <w:shd w:val="clear" w:color="auto" w:fill="FFFFFF"/>
            <w:hideMark/>
          </w:tcPr>
          <w:p w14:paraId="0D392CD2" w14:textId="77777777" w:rsidR="00B86497" w:rsidRPr="00456C7B" w:rsidRDefault="00B86497" w:rsidP="00B86497">
            <w:pPr>
              <w:keepNext/>
              <w:keepLines/>
              <w:spacing w:after="0" w:line="240" w:lineRule="auto"/>
              <w:ind w:left="122"/>
              <w:rPr>
                <w:rFonts w:cstheme="minorHAnsi"/>
              </w:rPr>
            </w:pPr>
            <w:r w:rsidRPr="00456C7B">
              <w:rPr>
                <w:rFonts w:cstheme="minorHAnsi"/>
              </w:rPr>
              <w:t xml:space="preserve">Article 18.48 (Patent Term Adjustment for Unreasonable Curtailment): </w:t>
            </w:r>
            <w:proofErr w:type="gramStart"/>
            <w:r w:rsidRPr="00456C7B">
              <w:rPr>
                <w:rFonts w:cstheme="minorHAnsi"/>
              </w:rPr>
              <w:t>all of</w:t>
            </w:r>
            <w:proofErr w:type="gramEnd"/>
          </w:p>
          <w:p w14:paraId="61A0A9D9" w14:textId="65793A45" w:rsidR="00E3636F" w:rsidRPr="00456C7B" w:rsidRDefault="00B86497" w:rsidP="00B86497">
            <w:pPr>
              <w:keepNext/>
              <w:keepLines/>
              <w:spacing w:after="0" w:line="240" w:lineRule="auto"/>
              <w:ind w:left="122"/>
              <w:rPr>
                <w:rFonts w:cstheme="minorHAnsi"/>
              </w:rPr>
            </w:pPr>
            <w:r w:rsidRPr="00456C7B">
              <w:rPr>
                <w:rFonts w:cstheme="minorHAnsi"/>
              </w:rPr>
              <w:t>this Article including footnotes 45 through 48;</w:t>
            </w:r>
          </w:p>
        </w:tc>
        <w:tc>
          <w:tcPr>
            <w:tcW w:w="6518" w:type="dxa"/>
            <w:shd w:val="clear" w:color="auto" w:fill="FFFFFF"/>
            <w:hideMark/>
          </w:tcPr>
          <w:p w14:paraId="6BA0C458" w14:textId="7B77D6B4" w:rsidR="00E3636F" w:rsidRPr="00456C7B" w:rsidRDefault="004141BE" w:rsidP="00DD5AD9">
            <w:pPr>
              <w:keepNext/>
              <w:keepLines/>
              <w:spacing w:after="0" w:line="240" w:lineRule="auto"/>
              <w:ind w:left="129" w:right="126"/>
              <w:jc w:val="both"/>
              <w:rPr>
                <w:rFonts w:cstheme="minorHAnsi"/>
              </w:rPr>
            </w:pPr>
            <w:r w:rsidRPr="00456C7B">
              <w:rPr>
                <w:rFonts w:cstheme="minorHAnsi"/>
              </w:rPr>
              <w:t>A</w:t>
            </w:r>
            <w:r w:rsidR="00E3636F" w:rsidRPr="00456C7B">
              <w:rPr>
                <w:rFonts w:cstheme="minorHAnsi"/>
              </w:rPr>
              <w:t xml:space="preserve">djust a pharmaceutical patent's term of protection to compensate the patent owner for unreasonable curtailment of the effective term of a patent </w:t>
            </w:r>
            <w:proofErr w:type="gramStart"/>
            <w:r w:rsidR="00E3636F" w:rsidRPr="00456C7B">
              <w:rPr>
                <w:rFonts w:cstheme="minorHAnsi"/>
              </w:rPr>
              <w:t>as a result of</w:t>
            </w:r>
            <w:proofErr w:type="gramEnd"/>
            <w:r w:rsidR="00E3636F" w:rsidRPr="00456C7B">
              <w:rPr>
                <w:rFonts w:cstheme="minorHAnsi"/>
              </w:rPr>
              <w:t xml:space="preserve"> the marketing approval process for a pharmaceutical product. </w:t>
            </w:r>
          </w:p>
        </w:tc>
      </w:tr>
      <w:tr w:rsidR="00E3636F" w:rsidRPr="00456C7B" w14:paraId="42BC3E55" w14:textId="77777777" w:rsidTr="004141BE">
        <w:tc>
          <w:tcPr>
            <w:tcW w:w="2830" w:type="dxa"/>
            <w:shd w:val="clear" w:color="auto" w:fill="FFFFFF"/>
            <w:hideMark/>
          </w:tcPr>
          <w:p w14:paraId="509EB248" w14:textId="77777777" w:rsidR="00B86497" w:rsidRPr="00456C7B" w:rsidRDefault="00B86497" w:rsidP="00B86497">
            <w:pPr>
              <w:keepNext/>
              <w:keepLines/>
              <w:spacing w:after="0" w:line="240" w:lineRule="auto"/>
              <w:ind w:left="122"/>
              <w:rPr>
                <w:rFonts w:cstheme="minorHAnsi"/>
              </w:rPr>
            </w:pPr>
            <w:r w:rsidRPr="00456C7B">
              <w:rPr>
                <w:rFonts w:cstheme="minorHAnsi"/>
              </w:rPr>
              <w:t>Article 18.50 (Protection of Undisclosed Test or Other Data): all of this</w:t>
            </w:r>
          </w:p>
          <w:p w14:paraId="4151E403" w14:textId="732A5B1B" w:rsidR="00E3636F" w:rsidRPr="00456C7B" w:rsidRDefault="00B86497" w:rsidP="00B86497">
            <w:pPr>
              <w:keepNext/>
              <w:keepLines/>
              <w:spacing w:after="0" w:line="240" w:lineRule="auto"/>
              <w:ind w:left="122"/>
              <w:rPr>
                <w:rFonts w:cstheme="minorHAnsi"/>
              </w:rPr>
            </w:pPr>
            <w:r w:rsidRPr="00456C7B">
              <w:rPr>
                <w:rFonts w:cstheme="minorHAnsi"/>
              </w:rPr>
              <w:t>Article including footnotes 50 through 57;</w:t>
            </w:r>
          </w:p>
        </w:tc>
        <w:tc>
          <w:tcPr>
            <w:tcW w:w="6518" w:type="dxa"/>
            <w:shd w:val="clear" w:color="auto" w:fill="FFFFFF"/>
            <w:hideMark/>
          </w:tcPr>
          <w:p w14:paraId="7DA51FA7" w14:textId="2C44C68B" w:rsidR="00E3636F" w:rsidRPr="00456C7B" w:rsidRDefault="00305BE5" w:rsidP="00DD5AD9">
            <w:pPr>
              <w:keepNext/>
              <w:keepLines/>
              <w:spacing w:after="0" w:line="240" w:lineRule="auto"/>
              <w:ind w:left="129" w:right="126"/>
              <w:jc w:val="both"/>
              <w:rPr>
                <w:rFonts w:cstheme="minorHAnsi"/>
              </w:rPr>
            </w:pPr>
            <w:r w:rsidRPr="00456C7B">
              <w:rPr>
                <w:rFonts w:cstheme="minorHAnsi"/>
              </w:rPr>
              <w:t>At least f</w:t>
            </w:r>
            <w:r w:rsidR="00E3636F" w:rsidRPr="00456C7B">
              <w:rPr>
                <w:rFonts w:cstheme="minorHAnsi"/>
              </w:rPr>
              <w:t xml:space="preserve">ive years of </w:t>
            </w:r>
            <w:r w:rsidR="002E6460" w:rsidRPr="00456C7B">
              <w:rPr>
                <w:rFonts w:cstheme="minorHAnsi"/>
              </w:rPr>
              <w:t xml:space="preserve">exclusivity </w:t>
            </w:r>
            <w:r w:rsidR="00E3636F" w:rsidRPr="00456C7B">
              <w:rPr>
                <w:rFonts w:cstheme="minorHAnsi"/>
              </w:rPr>
              <w:t>for test or other data</w:t>
            </w:r>
            <w:r w:rsidR="00D83B8D">
              <w:rPr>
                <w:rFonts w:cstheme="minorHAnsi"/>
              </w:rPr>
              <w:t xml:space="preserve"> </w:t>
            </w:r>
            <w:r w:rsidR="00BC36EB" w:rsidRPr="00456C7B">
              <w:rPr>
                <w:rFonts w:cstheme="minorHAnsi"/>
              </w:rPr>
              <w:t xml:space="preserve">submitted to a regulatory agency to prove </w:t>
            </w:r>
            <w:r w:rsidR="00D83B8D">
              <w:rPr>
                <w:rFonts w:cstheme="minorHAnsi"/>
              </w:rPr>
              <w:t xml:space="preserve">the </w:t>
            </w:r>
            <w:r w:rsidR="00BC36EB" w:rsidRPr="00456C7B">
              <w:rPr>
                <w:rFonts w:cstheme="minorHAnsi"/>
              </w:rPr>
              <w:t xml:space="preserve">safety and efficacy of a new </w:t>
            </w:r>
            <w:r w:rsidR="002A6530" w:rsidRPr="00456C7B">
              <w:rPr>
                <w:rFonts w:cstheme="minorHAnsi"/>
              </w:rPr>
              <w:t>medicine</w:t>
            </w:r>
            <w:r w:rsidR="000340D9" w:rsidRPr="00456C7B">
              <w:rPr>
                <w:rFonts w:cstheme="minorHAnsi"/>
              </w:rPr>
              <w:t>.</w:t>
            </w:r>
          </w:p>
        </w:tc>
      </w:tr>
      <w:tr w:rsidR="00E3636F" w:rsidRPr="00456C7B" w14:paraId="06BC0FA0" w14:textId="77777777" w:rsidTr="004141BE">
        <w:tc>
          <w:tcPr>
            <w:tcW w:w="2830" w:type="dxa"/>
            <w:shd w:val="clear" w:color="auto" w:fill="FFFFFF"/>
            <w:hideMark/>
          </w:tcPr>
          <w:p w14:paraId="4AB015AD" w14:textId="5E260DB9" w:rsidR="00E3636F" w:rsidRPr="00456C7B" w:rsidRDefault="00196E62" w:rsidP="00DD5AD9">
            <w:pPr>
              <w:keepNext/>
              <w:keepLines/>
              <w:spacing w:after="0" w:line="240" w:lineRule="auto"/>
              <w:ind w:left="122"/>
              <w:rPr>
                <w:rFonts w:cstheme="minorHAnsi"/>
              </w:rPr>
            </w:pPr>
            <w:r w:rsidRPr="00456C7B">
              <w:rPr>
                <w:rFonts w:cstheme="minorHAnsi"/>
              </w:rPr>
              <w:t xml:space="preserve">Article 18.51 (Biologics): </w:t>
            </w:r>
            <w:proofErr w:type="gramStart"/>
            <w:r w:rsidRPr="00456C7B">
              <w:rPr>
                <w:rFonts w:cstheme="minorHAnsi"/>
              </w:rPr>
              <w:t>all of</w:t>
            </w:r>
            <w:proofErr w:type="gramEnd"/>
            <w:r w:rsidRPr="00456C7B">
              <w:rPr>
                <w:rFonts w:cstheme="minorHAnsi"/>
              </w:rPr>
              <w:t xml:space="preserve"> this Article including footnotes 58 through 60;</w:t>
            </w:r>
          </w:p>
        </w:tc>
        <w:tc>
          <w:tcPr>
            <w:tcW w:w="6518" w:type="dxa"/>
            <w:shd w:val="clear" w:color="auto" w:fill="FFFFFF"/>
            <w:hideMark/>
          </w:tcPr>
          <w:p w14:paraId="603C5CAC" w14:textId="682CB486" w:rsidR="00E3636F" w:rsidRPr="00456C7B" w:rsidRDefault="002E6460" w:rsidP="002E6460">
            <w:pPr>
              <w:keepNext/>
              <w:keepLines/>
              <w:spacing w:after="0" w:line="240" w:lineRule="auto"/>
              <w:ind w:left="129" w:right="126"/>
              <w:jc w:val="both"/>
              <w:rPr>
                <w:rFonts w:cstheme="minorHAnsi"/>
              </w:rPr>
            </w:pPr>
            <w:r w:rsidRPr="00456C7B">
              <w:rPr>
                <w:rFonts w:cstheme="minorHAnsi"/>
              </w:rPr>
              <w:t>At least eight years of effective market protection</w:t>
            </w:r>
            <w:r w:rsidR="00706B04" w:rsidRPr="00456C7B">
              <w:rPr>
                <w:rFonts w:cstheme="minorHAnsi"/>
              </w:rPr>
              <w:t xml:space="preserve"> </w:t>
            </w:r>
            <w:r w:rsidR="00305BE5" w:rsidRPr="00456C7B">
              <w:rPr>
                <w:rFonts w:cstheme="minorHAnsi"/>
              </w:rPr>
              <w:t xml:space="preserve">for </w:t>
            </w:r>
            <w:r w:rsidR="00706B04" w:rsidRPr="00456C7B">
              <w:rPr>
                <w:rFonts w:cstheme="minorHAnsi"/>
              </w:rPr>
              <w:t xml:space="preserve">biologics, provided </w:t>
            </w:r>
            <w:r w:rsidR="000F1ACF" w:rsidRPr="00456C7B">
              <w:rPr>
                <w:rFonts w:cstheme="minorHAnsi"/>
              </w:rPr>
              <w:t>via</w:t>
            </w:r>
            <w:r w:rsidR="00706B04" w:rsidRPr="00456C7B">
              <w:rPr>
                <w:rFonts w:cstheme="minorHAnsi"/>
              </w:rPr>
              <w:t xml:space="preserve"> at least 8 years of </w:t>
            </w:r>
            <w:r w:rsidRPr="00456C7B">
              <w:rPr>
                <w:rFonts w:cstheme="minorHAnsi"/>
              </w:rPr>
              <w:t xml:space="preserve">data </w:t>
            </w:r>
            <w:r w:rsidR="00706B04" w:rsidRPr="00456C7B">
              <w:rPr>
                <w:rFonts w:cstheme="minorHAnsi"/>
              </w:rPr>
              <w:t>exclusivity or at least 5 years of</w:t>
            </w:r>
            <w:r w:rsidRPr="00456C7B">
              <w:rPr>
                <w:rFonts w:cstheme="minorHAnsi"/>
              </w:rPr>
              <w:t xml:space="preserve"> data</w:t>
            </w:r>
            <w:r w:rsidR="00706B04" w:rsidRPr="00456C7B">
              <w:rPr>
                <w:rFonts w:cstheme="minorHAnsi"/>
              </w:rPr>
              <w:t xml:space="preserve"> exclusivity and other measures to ‘deliver a comparable outcome in the market’</w:t>
            </w:r>
            <w:r w:rsidRPr="00456C7B">
              <w:rPr>
                <w:rFonts w:cstheme="minorHAnsi"/>
              </w:rPr>
              <w:t>.</w:t>
            </w:r>
          </w:p>
        </w:tc>
      </w:tr>
    </w:tbl>
    <w:p w14:paraId="48670EDF" w14:textId="2BDF2F80" w:rsidR="003E0BEE" w:rsidRPr="00456C7B" w:rsidRDefault="009056DA" w:rsidP="008F74C1">
      <w:pPr>
        <w:spacing w:after="0" w:line="240" w:lineRule="auto"/>
      </w:pPr>
      <w:r w:rsidRPr="00456C7B">
        <w:rPr>
          <w:rFonts w:cstheme="minorHAnsi"/>
          <w:sz w:val="18"/>
          <w:szCs w:val="18"/>
        </w:rPr>
        <w:t>Adapted</w:t>
      </w:r>
      <w:r w:rsidR="00E3636F" w:rsidRPr="00456C7B">
        <w:rPr>
          <w:rFonts w:cstheme="minorHAnsi"/>
          <w:sz w:val="18"/>
          <w:szCs w:val="18"/>
        </w:rPr>
        <w:t xml:space="preserve"> from </w:t>
      </w:r>
      <w:r w:rsidR="002E1107" w:rsidRPr="00456C7B">
        <w:rPr>
          <w:rFonts w:cstheme="minorHAnsi"/>
          <w:sz w:val="18"/>
          <w:szCs w:val="18"/>
        </w:rPr>
        <w:t>Comprehensive and Progressive Agreement for Trans-Pacific Partnership</w:t>
      </w:r>
      <w:r w:rsidR="00C877EE" w:rsidRPr="00456C7B">
        <w:rPr>
          <w:rFonts w:cstheme="minorHAnsi"/>
          <w:sz w:val="18"/>
          <w:szCs w:val="18"/>
        </w:rPr>
        <w:t xml:space="preserve"> text</w:t>
      </w:r>
      <w:r w:rsidR="002E1107" w:rsidRPr="00456C7B">
        <w:rPr>
          <w:rFonts w:cstheme="minorHAnsi"/>
          <w:sz w:val="18"/>
          <w:szCs w:val="18"/>
        </w:rPr>
        <w:t xml:space="preserve">. </w:t>
      </w:r>
      <w:r w:rsidR="00E3636F" w:rsidRPr="00456C7B">
        <w:rPr>
          <w:rFonts w:cstheme="minorHAnsi"/>
          <w:sz w:val="18"/>
          <w:szCs w:val="18"/>
        </w:rPr>
        <w:t xml:space="preserve">See </w:t>
      </w:r>
      <w:hyperlink r:id="rId9" w:history="1">
        <w:r w:rsidR="008F74C1" w:rsidRPr="00456C7B">
          <w:rPr>
            <w:rFonts w:cstheme="minorHAnsi"/>
            <w:sz w:val="18"/>
            <w:szCs w:val="18"/>
          </w:rPr>
          <w:t>https://www.dfat.gov.au/sites/default/files/tpp-11-treaty-text.pdf</w:t>
        </w:r>
      </w:hyperlink>
      <w:r w:rsidR="008F74C1" w:rsidRPr="00456C7B">
        <w:rPr>
          <w:rFonts w:cstheme="minorHAnsi"/>
          <w:sz w:val="18"/>
          <w:szCs w:val="18"/>
        </w:rPr>
        <w:t xml:space="preserve"> </w:t>
      </w:r>
      <w:r w:rsidR="008F74C1" w:rsidRPr="00456C7B">
        <w:t xml:space="preserve"> </w:t>
      </w:r>
    </w:p>
    <w:p w14:paraId="3AC046D5" w14:textId="77777777" w:rsidR="008F74C1" w:rsidRPr="00456C7B" w:rsidRDefault="008F74C1" w:rsidP="008F74C1">
      <w:pPr>
        <w:spacing w:after="0" w:line="240" w:lineRule="auto"/>
      </w:pPr>
    </w:p>
    <w:p w14:paraId="2A364A38" w14:textId="11656D44" w:rsidR="007F0518" w:rsidRPr="00456C7B" w:rsidRDefault="00650100" w:rsidP="00EA6F50">
      <w:pPr>
        <w:spacing w:line="360" w:lineRule="auto"/>
        <w:jc w:val="both"/>
      </w:pPr>
      <w:r w:rsidRPr="00456C7B">
        <w:t xml:space="preserve">Most of the </w:t>
      </w:r>
      <w:r w:rsidR="00E311B7" w:rsidRPr="00456C7B">
        <w:t>higher</w:t>
      </w:r>
      <w:r w:rsidR="00D83B8D">
        <w:t>-</w:t>
      </w:r>
      <w:r w:rsidR="00E311B7" w:rsidRPr="00456C7B">
        <w:t>income countries in the CPTPP already have provisions in their patent law</w:t>
      </w:r>
      <w:r w:rsidR="002E6460" w:rsidRPr="00456C7B">
        <w:t xml:space="preserve"> that reflect these suspended clauses</w:t>
      </w:r>
      <w:r w:rsidR="00E311B7" w:rsidRPr="00456C7B">
        <w:t xml:space="preserve">. </w:t>
      </w:r>
      <w:r w:rsidR="009E4811" w:rsidRPr="00456C7B">
        <w:t xml:space="preserve">The impact of these </w:t>
      </w:r>
      <w:r w:rsidR="00F3121F" w:rsidRPr="00456C7B">
        <w:t xml:space="preserve">currently suspended </w:t>
      </w:r>
      <w:r w:rsidR="009E4811" w:rsidRPr="00456C7B">
        <w:t>provisions w</w:t>
      </w:r>
      <w:r w:rsidR="00AB15C5" w:rsidRPr="00456C7B">
        <w:t>ould</w:t>
      </w:r>
      <w:r w:rsidR="009E4811" w:rsidRPr="00456C7B">
        <w:t xml:space="preserve"> </w:t>
      </w:r>
      <w:r w:rsidR="00352AF3" w:rsidRPr="00456C7B">
        <w:t xml:space="preserve">therefore </w:t>
      </w:r>
      <w:r w:rsidR="009E4811" w:rsidRPr="00456C7B">
        <w:t xml:space="preserve">be felt most keenly in </w:t>
      </w:r>
      <w:r w:rsidR="00F3121F" w:rsidRPr="00456C7B">
        <w:t>lower</w:t>
      </w:r>
      <w:r w:rsidR="00AB15C5" w:rsidRPr="00456C7B">
        <w:t>-</w:t>
      </w:r>
      <w:r w:rsidR="00F3121F" w:rsidRPr="00456C7B">
        <w:t>income</w:t>
      </w:r>
      <w:r w:rsidR="002F4277" w:rsidRPr="00456C7B">
        <w:t xml:space="preserve"> countries which are already </w:t>
      </w:r>
      <w:r w:rsidR="00F3121F" w:rsidRPr="00456C7B">
        <w:t xml:space="preserve">the </w:t>
      </w:r>
      <w:r w:rsidR="002F4277" w:rsidRPr="00456C7B">
        <w:t>least able to provide affordable access to medicines for their populatio</w:t>
      </w:r>
      <w:r w:rsidR="006572A3" w:rsidRPr="00456C7B">
        <w:t>ns</w:t>
      </w:r>
      <w:r w:rsidR="00AB4D5D" w:rsidRPr="00456C7B">
        <w:t xml:space="preserve"> </w:t>
      </w:r>
      <w:r w:rsidR="00AB4D5D" w:rsidRPr="00456C7B">
        <w:fldChar w:fldCharType="begin"/>
      </w:r>
      <w:r w:rsidR="00A2659F">
        <w:instrText xml:space="preserve"> ADDIN EN.CITE &lt;EndNote&gt;&lt;Cite&gt;&lt;Author&gt;Gleeson&lt;/Author&gt;&lt;Year&gt;2018&lt;/Year&gt;&lt;RecNum&gt;408&lt;/RecNum&gt;&lt;DisplayText&gt;(19)&lt;/DisplayText&gt;&lt;record&gt;&lt;rec-number&gt;408&lt;/rec-number&gt;&lt;foreign-keys&gt;&lt;key app="EN" db-id="dfp5tt9d12x9vhewffovwt2jvd9t5vpwzvxr" timestamp="1645400780"&gt;408&lt;/key&gt;&lt;/foreign-keys&gt;&lt;ref-type name="Journal Article"&gt;17&lt;/ref-type&gt;&lt;contributors&gt;&lt;authors&gt;&lt;author&gt;Gleeson, Deborah&lt;/author&gt;&lt;author&gt;Lexchin, Joel&lt;/author&gt;&lt;author&gt;Lopert, Ruth&lt;/author&gt;&lt;author&gt;Kilic, Burcu&lt;/author&gt;&lt;/authors&gt;&lt;/contributors&gt;&lt;titles&gt;&lt;title&gt;The trans Pacific partnership agreement, intellectual property and medicines: differential outcomes for developed and developing countries&lt;/title&gt;&lt;secondary-title&gt;Global Social Policy&lt;/secondary-title&gt;&lt;/titles&gt;&lt;periodical&gt;&lt;full-title&gt;Global Social Policy&lt;/full-title&gt;&lt;/periodical&gt;&lt;pages&gt;7-27&lt;/pages&gt;&lt;volume&gt;18&lt;/volume&gt;&lt;number&gt;1&lt;/number&gt;&lt;dates&gt;&lt;year&gt;2018&lt;/year&gt;&lt;/dates&gt;&lt;isbn&gt;1468-0181&lt;/isbn&gt;&lt;urls&gt;&lt;/urls&gt;&lt;/record&gt;&lt;/Cite&gt;&lt;/EndNote&gt;</w:instrText>
      </w:r>
      <w:r w:rsidR="00AB4D5D" w:rsidRPr="00456C7B">
        <w:fldChar w:fldCharType="separate"/>
      </w:r>
      <w:r w:rsidR="00A2659F">
        <w:rPr>
          <w:noProof/>
        </w:rPr>
        <w:t>(19)</w:t>
      </w:r>
      <w:r w:rsidR="00AB4D5D" w:rsidRPr="00456C7B">
        <w:fldChar w:fldCharType="end"/>
      </w:r>
      <w:r w:rsidR="006572A3" w:rsidRPr="00456C7B">
        <w:t>.</w:t>
      </w:r>
    </w:p>
    <w:p w14:paraId="4354FC02" w14:textId="23EEF901" w:rsidR="00CE5599" w:rsidRPr="00456C7B" w:rsidRDefault="00045CEA" w:rsidP="00EA6F50">
      <w:pPr>
        <w:spacing w:line="360" w:lineRule="auto"/>
        <w:jc w:val="both"/>
      </w:pPr>
      <w:r w:rsidRPr="00456C7B">
        <w:t>With</w:t>
      </w:r>
      <w:r w:rsidR="00E020EA" w:rsidRPr="00456C7B">
        <w:t xml:space="preserve"> the Trump administration no longer in </w:t>
      </w:r>
      <w:r w:rsidR="00B75570" w:rsidRPr="00456C7B">
        <w:t xml:space="preserve">power, </w:t>
      </w:r>
      <w:r w:rsidR="00A16E49" w:rsidRPr="00456C7B">
        <w:t xml:space="preserve">the </w:t>
      </w:r>
      <w:r w:rsidR="003547FA" w:rsidRPr="00456C7B">
        <w:t xml:space="preserve">USA </w:t>
      </w:r>
      <w:r w:rsidRPr="00456C7B">
        <w:t>may wish</w:t>
      </w:r>
      <w:r w:rsidR="003547FA" w:rsidRPr="00456C7B">
        <w:t xml:space="preserve"> to re-join the CPTPP</w:t>
      </w:r>
      <w:r w:rsidRPr="00456C7B">
        <w:t xml:space="preserve">. </w:t>
      </w:r>
      <w:r w:rsidR="0025209F" w:rsidRPr="00456C7B">
        <w:t xml:space="preserve">If </w:t>
      </w:r>
      <w:r w:rsidR="00AB15C5" w:rsidRPr="00456C7B">
        <w:t>it does</w:t>
      </w:r>
      <w:r w:rsidR="004918A1" w:rsidRPr="00456C7B">
        <w:t xml:space="preserve"> re-join</w:t>
      </w:r>
      <w:r w:rsidR="00A837AE" w:rsidRPr="00456C7B">
        <w:t>,</w:t>
      </w:r>
      <w:r w:rsidR="004918A1" w:rsidRPr="00456C7B">
        <w:t xml:space="preserve"> </w:t>
      </w:r>
      <w:r w:rsidR="00AB15C5" w:rsidRPr="00456C7B">
        <w:t xml:space="preserve">some or </w:t>
      </w:r>
      <w:proofErr w:type="gramStart"/>
      <w:r w:rsidR="00AB15C5" w:rsidRPr="00456C7B">
        <w:t>all of</w:t>
      </w:r>
      <w:proofErr w:type="gramEnd"/>
      <w:r w:rsidR="00AB15C5" w:rsidRPr="00456C7B">
        <w:t xml:space="preserve"> </w:t>
      </w:r>
      <w:r w:rsidR="004918A1" w:rsidRPr="00456C7B">
        <w:t xml:space="preserve">the suspended clauses </w:t>
      </w:r>
      <w:r w:rsidR="00AB15C5" w:rsidRPr="00456C7B">
        <w:t>may</w:t>
      </w:r>
      <w:r w:rsidR="004918A1" w:rsidRPr="00456C7B">
        <w:t xml:space="preserve"> be </w:t>
      </w:r>
      <w:r w:rsidR="009D57B3" w:rsidRPr="00456C7B">
        <w:t>reinstated,</w:t>
      </w:r>
      <w:r w:rsidR="004918A1" w:rsidRPr="00456C7B">
        <w:t xml:space="preserve"> and </w:t>
      </w:r>
      <w:r w:rsidR="00560417" w:rsidRPr="00456C7B">
        <w:t xml:space="preserve">all Member countries </w:t>
      </w:r>
      <w:r w:rsidR="00AB15C5" w:rsidRPr="00456C7B">
        <w:t xml:space="preserve">would </w:t>
      </w:r>
      <w:r w:rsidR="00560417" w:rsidRPr="00456C7B">
        <w:t>need t</w:t>
      </w:r>
      <w:r w:rsidR="002D64E5" w:rsidRPr="00456C7B">
        <w:t>o</w:t>
      </w:r>
      <w:r w:rsidR="006F75BF" w:rsidRPr="00456C7B">
        <w:t xml:space="preserve"> ensure their domestic legislation is compliant</w:t>
      </w:r>
      <w:r w:rsidR="002D64E5" w:rsidRPr="00456C7B">
        <w:t xml:space="preserve">. </w:t>
      </w:r>
    </w:p>
    <w:p w14:paraId="21D357AF" w14:textId="76FF2441" w:rsidR="00306E5D" w:rsidRPr="00456C7B" w:rsidRDefault="00306E5D" w:rsidP="00EA6F50">
      <w:pPr>
        <w:spacing w:line="360" w:lineRule="auto"/>
        <w:jc w:val="both"/>
      </w:pPr>
      <w:r w:rsidRPr="00456C7B">
        <w:lastRenderedPageBreak/>
        <w:t>It is important to note</w:t>
      </w:r>
      <w:r w:rsidR="008822CD" w:rsidRPr="00456C7B">
        <w:t>, however,</w:t>
      </w:r>
      <w:r w:rsidRPr="00456C7B">
        <w:t xml:space="preserve"> that </w:t>
      </w:r>
      <w:r w:rsidR="008822CD" w:rsidRPr="00456C7B">
        <w:t xml:space="preserve">the CPTPP </w:t>
      </w:r>
      <w:r w:rsidR="006F3FD1" w:rsidRPr="00456C7B">
        <w:t xml:space="preserve">IP chapter </w:t>
      </w:r>
      <w:r w:rsidR="008822CD" w:rsidRPr="00456C7B">
        <w:t xml:space="preserve">does not place restrictions on compulsory licensing. </w:t>
      </w:r>
      <w:r w:rsidR="002E4E16" w:rsidRPr="00456C7B">
        <w:t xml:space="preserve">Article 18.6 of the TPP, retained in the CPTPP, </w:t>
      </w:r>
      <w:r w:rsidR="00627C3D" w:rsidRPr="00456C7B">
        <w:t xml:space="preserve">reaffirms each party’s right </w:t>
      </w:r>
      <w:r w:rsidR="00974209" w:rsidRPr="00456C7B">
        <w:t>to take measures to protect public health</w:t>
      </w:r>
      <w:r w:rsidR="009E5D6D" w:rsidRPr="00456C7B">
        <w:t xml:space="preserve"> and to use </w:t>
      </w:r>
      <w:r w:rsidR="00C173BA" w:rsidRPr="00456C7B">
        <w:t>TRIPS</w:t>
      </w:r>
      <w:r w:rsidR="009E5D6D" w:rsidRPr="00456C7B">
        <w:t xml:space="preserve"> </w:t>
      </w:r>
      <w:r w:rsidR="00C173BA" w:rsidRPr="00456C7B">
        <w:t>flexibilities</w:t>
      </w:r>
      <w:r w:rsidR="00BD51F8" w:rsidRPr="00456C7B">
        <w:t xml:space="preserve"> </w:t>
      </w:r>
      <w:r w:rsidR="00865A03" w:rsidRPr="00456C7B">
        <w:fldChar w:fldCharType="begin"/>
      </w:r>
      <w:r w:rsidR="00A2659F">
        <w:instrText xml:space="preserve"> ADDIN EN.CITE &lt;EndNote&gt;&lt;Cite&gt;&lt;Author&gt;Labonté&lt;/Author&gt;&lt;Year&gt;2016&lt;/Year&gt;&lt;RecNum&gt;482&lt;/RecNum&gt;&lt;DisplayText&gt;(23)&lt;/DisplayText&gt;&lt;record&gt;&lt;rec-number&gt;482&lt;/rec-number&gt;&lt;foreign-keys&gt;&lt;key app="EN" db-id="dfp5tt9d12x9vhewffovwt2jvd9t5vpwzvxr" timestamp="1660268893"&gt;482&lt;/key&gt;&lt;/foreign-keys&gt;&lt;ref-type name="Journal Article"&gt;17&lt;/ref-type&gt;&lt;contributors&gt;&lt;authors&gt;&lt;author&gt;Labonté, Ronald&lt;/author&gt;&lt;author&gt;Schram, Ashley&lt;/author&gt;&lt;author&gt;Ruckert, Arne&lt;/author&gt;&lt;/authors&gt;&lt;/contributors&gt;&lt;titles&gt;&lt;title&gt;The Trans-Pacific Partnership: Is it everything we feared for health?&lt;/title&gt;&lt;secondary-title&gt;International Journal of Health Policy and Management&lt;/secondary-title&gt;&lt;/titles&gt;&lt;periodical&gt;&lt;full-title&gt;International Journal of Health Policy and Management&lt;/full-title&gt;&lt;/periodical&gt;&lt;pages&gt;487&lt;/pages&gt;&lt;volume&gt;5&lt;/volume&gt;&lt;number&gt;8&lt;/number&gt;&lt;dates&gt;&lt;year&gt;2016&lt;/year&gt;&lt;/dates&gt;&lt;urls&gt;&lt;/urls&gt;&lt;/record&gt;&lt;/Cite&gt;&lt;/EndNote&gt;</w:instrText>
      </w:r>
      <w:r w:rsidR="00865A03" w:rsidRPr="00456C7B">
        <w:fldChar w:fldCharType="separate"/>
      </w:r>
      <w:r w:rsidR="00A2659F">
        <w:rPr>
          <w:noProof/>
        </w:rPr>
        <w:t>(23)</w:t>
      </w:r>
      <w:r w:rsidR="00865A03" w:rsidRPr="00456C7B">
        <w:fldChar w:fldCharType="end"/>
      </w:r>
      <w:r w:rsidR="0007207C" w:rsidRPr="00456C7B">
        <w:t>.</w:t>
      </w:r>
      <w:r w:rsidR="00974209" w:rsidRPr="00456C7B">
        <w:t xml:space="preserve"> </w:t>
      </w:r>
      <w:r w:rsidR="00352AF3" w:rsidRPr="00456C7B">
        <w:t>T</w:t>
      </w:r>
      <w:r w:rsidR="00DE60D5" w:rsidRPr="00456C7B">
        <w:t xml:space="preserve">he </w:t>
      </w:r>
      <w:r w:rsidR="00ED1AA5" w:rsidRPr="00456C7B">
        <w:t xml:space="preserve">final text of the </w:t>
      </w:r>
      <w:r w:rsidR="00350716" w:rsidRPr="00456C7B">
        <w:t xml:space="preserve">data exclusivity provision of the </w:t>
      </w:r>
      <w:r w:rsidR="00D722E4" w:rsidRPr="00456C7B">
        <w:t>TPP included a</w:t>
      </w:r>
      <w:r w:rsidR="00803BE0" w:rsidRPr="00456C7B">
        <w:t xml:space="preserve">n exception </w:t>
      </w:r>
      <w:r w:rsidR="0074758E" w:rsidRPr="00456C7B">
        <w:t>(Article 18.50 paragraph 3</w:t>
      </w:r>
      <w:r w:rsidR="0093556B" w:rsidRPr="00456C7B">
        <w:t>, which also applies to Article 18.51 for biologics</w:t>
      </w:r>
      <w:r w:rsidR="0074758E" w:rsidRPr="00456C7B">
        <w:t>)</w:t>
      </w:r>
      <w:r w:rsidR="001F7FEA" w:rsidRPr="00456C7B">
        <w:t xml:space="preserve"> for measures to protect public health</w:t>
      </w:r>
      <w:r w:rsidR="00187D98" w:rsidRPr="00456C7B">
        <w:t xml:space="preserve"> in accordance with the Declaration on TRIPS and Public health.</w:t>
      </w:r>
      <w:r w:rsidR="00CA5167" w:rsidRPr="00456C7B">
        <w:t xml:space="preserve"> </w:t>
      </w:r>
      <w:r w:rsidR="00D31C85" w:rsidRPr="00456C7B">
        <w:t xml:space="preserve">This means </w:t>
      </w:r>
      <w:r w:rsidR="001913B7" w:rsidRPr="00456C7B">
        <w:t xml:space="preserve">CPTPP signatories </w:t>
      </w:r>
      <w:r w:rsidR="00FB05B6" w:rsidRPr="00456C7B">
        <w:t>sh</w:t>
      </w:r>
      <w:r w:rsidR="001913B7" w:rsidRPr="00456C7B">
        <w:t xml:space="preserve">ould be able to </w:t>
      </w:r>
      <w:r w:rsidR="00485AE8" w:rsidRPr="00456C7B">
        <w:t>incorporate</w:t>
      </w:r>
      <w:r w:rsidR="001913B7" w:rsidRPr="00456C7B">
        <w:t xml:space="preserve"> exceptions from data exclusivity for compulsory licensing</w:t>
      </w:r>
      <w:r w:rsidR="00AD4AB2" w:rsidRPr="00456C7B">
        <w:t xml:space="preserve"> in their domestic laws without breaching the CPTPP even if the </w:t>
      </w:r>
      <w:r w:rsidR="00102B4E" w:rsidRPr="00456C7B">
        <w:t>data exclusivity provisions are reinstated.</w:t>
      </w:r>
    </w:p>
    <w:p w14:paraId="5F694FD6" w14:textId="2CEBF928" w:rsidR="00A41297" w:rsidRPr="00456C7B" w:rsidRDefault="00A41297" w:rsidP="008D74DA">
      <w:pPr>
        <w:spacing w:line="360" w:lineRule="auto"/>
        <w:jc w:val="both"/>
      </w:pPr>
      <w:r w:rsidRPr="00456C7B">
        <w:t xml:space="preserve">While the CPTPP IP chapter does not create obstacles to compulsory licensing, </w:t>
      </w:r>
      <w:r w:rsidR="007F5501" w:rsidRPr="00456C7B">
        <w:t>it</w:t>
      </w:r>
      <w:r w:rsidR="00824E90" w:rsidRPr="00456C7B">
        <w:t xml:space="preserve"> is possible that </w:t>
      </w:r>
      <w:r w:rsidR="00F478FA" w:rsidRPr="00456C7B">
        <w:t>its</w:t>
      </w:r>
      <w:r w:rsidRPr="00456C7B">
        <w:t xml:space="preserve"> investment chapter</w:t>
      </w:r>
      <w:r w:rsidR="007F5501" w:rsidRPr="00456C7B">
        <w:t xml:space="preserve"> may. </w:t>
      </w:r>
      <w:r w:rsidR="00E116D5" w:rsidRPr="00456C7B">
        <w:t xml:space="preserve">Intellectual property </w:t>
      </w:r>
      <w:r w:rsidR="002E2E91" w:rsidRPr="00456C7B">
        <w:t xml:space="preserve">rights are </w:t>
      </w:r>
      <w:r w:rsidR="00DF7D4B" w:rsidRPr="00456C7B">
        <w:t>recognised</w:t>
      </w:r>
      <w:r w:rsidR="002E2E91" w:rsidRPr="00456C7B">
        <w:t xml:space="preserve"> as covered investments in Article 9.1</w:t>
      </w:r>
      <w:r w:rsidR="00C466A0" w:rsidRPr="00456C7B">
        <w:t xml:space="preserve"> of the Investment Chapter</w:t>
      </w:r>
      <w:r w:rsidR="00DF7D4B" w:rsidRPr="00456C7B">
        <w:t xml:space="preserve">, </w:t>
      </w:r>
      <w:r w:rsidR="003C1E57" w:rsidRPr="00456C7B">
        <w:t>and investors may use</w:t>
      </w:r>
      <w:r w:rsidR="00DF7D4B" w:rsidRPr="00456C7B">
        <w:t xml:space="preserve"> the CPTPP’s investor-state dispute </w:t>
      </w:r>
      <w:r w:rsidR="0009251F" w:rsidRPr="00456C7B">
        <w:t>settlement (ISDS)</w:t>
      </w:r>
      <w:r w:rsidR="00DF7D4B" w:rsidRPr="00456C7B">
        <w:t xml:space="preserve"> mechanism</w:t>
      </w:r>
      <w:r w:rsidR="003C1E57" w:rsidRPr="00456C7B">
        <w:t xml:space="preserve"> to </w:t>
      </w:r>
      <w:r w:rsidR="00024398" w:rsidRPr="00456C7B">
        <w:t>initiate</w:t>
      </w:r>
      <w:r w:rsidR="00011C53" w:rsidRPr="00456C7B">
        <w:t xml:space="preserve"> arbitration </w:t>
      </w:r>
      <w:r w:rsidR="00024398" w:rsidRPr="00456C7B">
        <w:t xml:space="preserve">in an international tribunal </w:t>
      </w:r>
      <w:r w:rsidR="00011C53" w:rsidRPr="00456C7B">
        <w:t xml:space="preserve">when they believe their investor rights under the </w:t>
      </w:r>
      <w:r w:rsidR="00024398" w:rsidRPr="00456C7B">
        <w:t>agreement have been breached</w:t>
      </w:r>
      <w:r w:rsidR="00304697" w:rsidRPr="00456C7B">
        <w:t xml:space="preserve"> </w:t>
      </w:r>
      <w:r w:rsidR="00304697" w:rsidRPr="00456C7B">
        <w:fldChar w:fldCharType="begin"/>
      </w:r>
      <w:r w:rsidR="00A2659F">
        <w:instrText xml:space="preserve"> ADDIN EN.CITE &lt;EndNote&gt;&lt;Cite&gt;&lt;Author&gt;Baker&lt;/Author&gt;&lt;Year&gt;2016&lt;/Year&gt;&lt;RecNum&gt;483&lt;/RecNum&gt;&lt;DisplayText&gt;(24)&lt;/DisplayText&gt;&lt;record&gt;&lt;rec-number&gt;483&lt;/rec-number&gt;&lt;foreign-keys&gt;&lt;key app="EN" db-id="dfp5tt9d12x9vhewffovwt2jvd9t5vpwzvxr" timestamp="1660268993"&gt;483&lt;/key&gt;&lt;/foreign-keys&gt;&lt;ref-type name="Journal Article"&gt;17&lt;/ref-type&gt;&lt;contributors&gt;&lt;authors&gt;&lt;author&gt;Baker, Brook K&lt;/author&gt;&lt;/authors&gt;&lt;/contributors&gt;&lt;titles&gt;&lt;title&gt;Trans-Pacific partnership provisions in intellectual property, transparency, and investment chapters threaten access to medicines in the US and elsewhere&lt;/title&gt;&lt;secondary-title&gt;PLoS Medicine&lt;/secondary-title&gt;&lt;/titles&gt;&lt;periodical&gt;&lt;full-title&gt;PLOS Medicine&lt;/full-title&gt;&lt;/periodical&gt;&lt;pages&gt;e1001970&lt;/pages&gt;&lt;volume&gt;13&lt;/volume&gt;&lt;number&gt;3&lt;/number&gt;&lt;dates&gt;&lt;year&gt;2016&lt;/year&gt;&lt;/dates&gt;&lt;isbn&gt;1549-1277&lt;/isbn&gt;&lt;urls&gt;&lt;/urls&gt;&lt;/record&gt;&lt;/Cite&gt;&lt;/EndNote&gt;</w:instrText>
      </w:r>
      <w:r w:rsidR="00304697" w:rsidRPr="00456C7B">
        <w:fldChar w:fldCharType="separate"/>
      </w:r>
      <w:r w:rsidR="00A2659F">
        <w:rPr>
          <w:noProof/>
        </w:rPr>
        <w:t>(24)</w:t>
      </w:r>
      <w:r w:rsidR="00304697" w:rsidRPr="00456C7B">
        <w:fldChar w:fldCharType="end"/>
      </w:r>
      <w:r w:rsidR="00AD7095" w:rsidRPr="00456C7B">
        <w:t>.</w:t>
      </w:r>
      <w:r w:rsidR="000524F2" w:rsidRPr="00456C7B">
        <w:t xml:space="preserve"> Article 9.8 para 5 provides an exception to the expropriation provisions for compulsory licenses that are compliant with the CPTPP IP chapter and the TRIPS Agreement, but </w:t>
      </w:r>
      <w:r w:rsidR="00956FFA" w:rsidRPr="00456C7B">
        <w:t xml:space="preserve">it </w:t>
      </w:r>
      <w:r w:rsidR="000524F2" w:rsidRPr="00456C7B">
        <w:t>is possible that</w:t>
      </w:r>
      <w:r w:rsidR="00990FDD" w:rsidRPr="00456C7B">
        <w:t xml:space="preserve"> this (as yet untested) exception may not be sufficiently robust, or that</w:t>
      </w:r>
      <w:r w:rsidR="000524F2" w:rsidRPr="00456C7B">
        <w:t xml:space="preserve"> an ISDS case over compulsory licensing could </w:t>
      </w:r>
      <w:r w:rsidR="00F17C49" w:rsidRPr="00456C7B">
        <w:t xml:space="preserve">be </w:t>
      </w:r>
      <w:r w:rsidR="000524F2" w:rsidRPr="00456C7B">
        <w:t>initiate</w:t>
      </w:r>
      <w:r w:rsidR="00F17C49" w:rsidRPr="00456C7B">
        <w:t>d</w:t>
      </w:r>
      <w:r w:rsidR="000524F2" w:rsidRPr="00456C7B">
        <w:t xml:space="preserve"> </w:t>
      </w:r>
      <w:r w:rsidR="004318AA" w:rsidRPr="00456C7B">
        <w:t>using the investment chapter’s</w:t>
      </w:r>
      <w:r w:rsidR="000524F2" w:rsidRPr="00456C7B">
        <w:t xml:space="preserve"> provisions for ‘fair and equitable treatment’ (Article 9.6)</w:t>
      </w:r>
      <w:r w:rsidR="00304697" w:rsidRPr="00456C7B">
        <w:t xml:space="preserve"> </w:t>
      </w:r>
      <w:r w:rsidR="00304697" w:rsidRPr="00456C7B">
        <w:fldChar w:fldCharType="begin"/>
      </w:r>
      <w:r w:rsidR="00A2659F">
        <w:instrText xml:space="preserve"> ADDIN EN.CITE &lt;EndNote&gt;&lt;Cite&gt;&lt;Author&gt;Baker&lt;/Author&gt;&lt;Year&gt;2016&lt;/Year&gt;&lt;RecNum&gt;483&lt;/RecNum&gt;&lt;DisplayText&gt;(24)&lt;/DisplayText&gt;&lt;record&gt;&lt;rec-number&gt;483&lt;/rec-number&gt;&lt;foreign-keys&gt;&lt;key app="EN" db-id="dfp5tt9d12x9vhewffovwt2jvd9t5vpwzvxr" timestamp="1660268993"&gt;483&lt;/key&gt;&lt;/foreign-keys&gt;&lt;ref-type name="Journal Article"&gt;17&lt;/ref-type&gt;&lt;contributors&gt;&lt;authors&gt;&lt;author&gt;Baker, Brook K&lt;/author&gt;&lt;/authors&gt;&lt;/contributors&gt;&lt;titles&gt;&lt;title&gt;Trans-Pacific partnership provisions in intellectual property, transparency, and investment chapters threaten access to medicines in the US and elsewhere&lt;/title&gt;&lt;secondary-title&gt;PLoS Medicine&lt;/secondary-title&gt;&lt;/titles&gt;&lt;periodical&gt;&lt;full-title&gt;PLOS Medicine&lt;/full-title&gt;&lt;/periodical&gt;&lt;pages&gt;e1001970&lt;/pages&gt;&lt;volume&gt;13&lt;/volume&gt;&lt;number&gt;3&lt;/number&gt;&lt;dates&gt;&lt;year&gt;2016&lt;/year&gt;&lt;/dates&gt;&lt;isbn&gt;1549-1277&lt;/isbn&gt;&lt;urls&gt;&lt;/urls&gt;&lt;/record&gt;&lt;/Cite&gt;&lt;/EndNote&gt;</w:instrText>
      </w:r>
      <w:r w:rsidR="00304697" w:rsidRPr="00456C7B">
        <w:fldChar w:fldCharType="separate"/>
      </w:r>
      <w:r w:rsidR="00A2659F">
        <w:rPr>
          <w:noProof/>
        </w:rPr>
        <w:t>(24)</w:t>
      </w:r>
      <w:r w:rsidR="00304697" w:rsidRPr="00456C7B">
        <w:fldChar w:fldCharType="end"/>
      </w:r>
      <w:r w:rsidR="000524F2" w:rsidRPr="00456C7B">
        <w:t>.</w:t>
      </w:r>
      <w:r w:rsidR="00BF4A4C" w:rsidRPr="00456C7B">
        <w:t xml:space="preserve"> </w:t>
      </w:r>
      <w:r w:rsidR="00C32959" w:rsidRPr="00456C7B">
        <w:t xml:space="preserve">Scholars have raised </w:t>
      </w:r>
      <w:r w:rsidR="004F2CDB" w:rsidRPr="00456C7B">
        <w:t>c</w:t>
      </w:r>
      <w:r w:rsidR="00C32959" w:rsidRPr="00456C7B">
        <w:t xml:space="preserve">oncerns about the </w:t>
      </w:r>
      <w:r w:rsidR="004F2CDB" w:rsidRPr="00456C7B">
        <w:t>robustness</w:t>
      </w:r>
      <w:r w:rsidR="00BF4A4C" w:rsidRPr="00456C7B">
        <w:t xml:space="preserve"> of </w:t>
      </w:r>
      <w:r w:rsidR="00E11B8E" w:rsidRPr="00456C7B">
        <w:t xml:space="preserve">several </w:t>
      </w:r>
      <w:r w:rsidR="00BF4A4C" w:rsidRPr="00456C7B">
        <w:t>exceptions in the investment chapter</w:t>
      </w:r>
      <w:r w:rsidR="007A5A0B" w:rsidRPr="00456C7B">
        <w:t xml:space="preserve">, including the </w:t>
      </w:r>
      <w:r w:rsidR="008D74DA" w:rsidRPr="00456C7B">
        <w:t xml:space="preserve">exception </w:t>
      </w:r>
      <w:r w:rsidR="00E11B8E" w:rsidRPr="00456C7B">
        <w:t>in Annex 9-B para 3(b) which excludes</w:t>
      </w:r>
      <w:r w:rsidR="008D74DA" w:rsidRPr="00456C7B">
        <w:t xml:space="preserve"> ‘non-discriminatory regulatory actions…that are designed and applied to protect legitimate public welfare objectives, such as</w:t>
      </w:r>
      <w:r w:rsidR="000A654E" w:rsidRPr="00456C7B">
        <w:t xml:space="preserve"> public health, safety and the environmen</w:t>
      </w:r>
      <w:r w:rsidR="00D448E5" w:rsidRPr="00456C7B">
        <w:t>t…’</w:t>
      </w:r>
      <w:r w:rsidR="00F0003F" w:rsidRPr="00456C7B">
        <w:t xml:space="preserve"> from </w:t>
      </w:r>
      <w:r w:rsidR="00EB130B" w:rsidRPr="00456C7B">
        <w:t xml:space="preserve">claims regarding </w:t>
      </w:r>
      <w:r w:rsidR="00F0003F" w:rsidRPr="00456C7B">
        <w:t>indirect expropriation,</w:t>
      </w:r>
      <w:r w:rsidR="00BB4991" w:rsidRPr="00456C7B">
        <w:t xml:space="preserve"> </w:t>
      </w:r>
      <w:r w:rsidR="00EB130B" w:rsidRPr="00456C7B">
        <w:t>‘</w:t>
      </w:r>
      <w:r w:rsidR="000A654E" w:rsidRPr="00456C7B">
        <w:t>except in rare circumstances</w:t>
      </w:r>
      <w:r w:rsidR="00EB130B" w:rsidRPr="00456C7B">
        <w:t xml:space="preserve">’ </w:t>
      </w:r>
      <w:r w:rsidR="00702FBF" w:rsidRPr="00456C7B">
        <w:fldChar w:fldCharType="begin"/>
      </w:r>
      <w:r w:rsidR="00A2659F">
        <w:instrText xml:space="preserve"> ADDIN EN.CITE &lt;EndNote&gt;&lt;Cite&gt;&lt;Author&gt;Pusceddu&lt;/Author&gt;&lt;Year&gt;2018&lt;/Year&gt;&lt;RecNum&gt;401&lt;/RecNum&gt;&lt;DisplayText&gt;(25, 26)&lt;/DisplayText&gt;&lt;record&gt;&lt;rec-number&gt;401&lt;/rec-number&gt;&lt;foreign-keys&gt;&lt;key app="EN" db-id="dfp5tt9d12x9vhewffovwt2jvd9t5vpwzvxr" timestamp="1642129831"&gt;401&lt;/key&gt;&lt;/foreign-keys&gt;&lt;ref-type name="Journal Article"&gt;17&lt;/ref-type&gt;&lt;contributors&gt;&lt;authors&gt;&lt;author&gt;Pusceddu, Piergiuseppe&lt;/author&gt;&lt;/authors&gt;&lt;/contributors&gt;&lt;titles&gt;&lt;title&gt;Assessing access to medicines in preferential trade agreements: from the Trans-Pacific Partnership to the Comprehensive and Progressive Agreement for Trans-Pacific Partnership&lt;/title&gt;&lt;secondary-title&gt;IIC-International Review of Intellectual Property and Competition Law&lt;/secondary-title&gt;&lt;/titles&gt;&lt;periodical&gt;&lt;full-title&gt;IIC-International Review of Intellectual Property and Competition Law&lt;/full-title&gt;&lt;/periodical&gt;&lt;pages&gt;1048-1079&lt;/pages&gt;&lt;volume&gt;49&lt;/volume&gt;&lt;number&gt;9&lt;/number&gt;&lt;dates&gt;&lt;year&gt;2018&lt;/year&gt;&lt;/dates&gt;&lt;isbn&gt;2195-0237&lt;/isbn&gt;&lt;urls&gt;&lt;/urls&gt;&lt;/record&gt;&lt;/Cite&gt;&lt;Cite&gt;&lt;Author&gt;Hailes&lt;/Author&gt;&lt;Year&gt;2018&lt;/Year&gt;&lt;RecNum&gt;511&lt;/RecNum&gt;&lt;record&gt;&lt;rec-number&gt;511&lt;/rec-number&gt;&lt;foreign-keys&gt;&lt;key app="EN" db-id="dfp5tt9d12x9vhewffovwt2jvd9t5vpwzvxr" timestamp="1666060603"&gt;511&lt;/key&gt;&lt;/foreign-keys&gt;&lt;ref-type name="Journal Article"&gt;17&lt;/ref-type&gt;&lt;contributors&gt;&lt;authors&gt;&lt;author&gt;Hailes, Oliver&lt;/author&gt;&lt;author&gt;Jones, Rhys&lt;/author&gt;&lt;author&gt;Menkes, David&lt;/author&gt;&lt;author&gt;Freeman, Joshua&lt;/author&gt;&lt;author&gt;Monasterio, Erik&lt;/author&gt;&lt;/authors&gt;&lt;/contributors&gt;&lt;titles&gt;&lt;title&gt;Climate change, human health and the CPTPP&lt;/title&gt;&lt;secondary-title&gt;The New Zealand Medical Journal&lt;/secondary-title&gt;&lt;/titles&gt;&lt;periodical&gt;&lt;full-title&gt;The New Zealand Medical Journal&lt;/full-title&gt;&lt;/periodical&gt;&lt;pages&gt;7-12&lt;/pages&gt;&lt;volume&gt;131&lt;/volume&gt;&lt;number&gt;1471&lt;/number&gt;&lt;dates&gt;&lt;year&gt;2018&lt;/year&gt;&lt;/dates&gt;&lt;isbn&gt;0028-8446&lt;/isbn&gt;&lt;urls&gt;&lt;/urls&gt;&lt;/record&gt;&lt;/Cite&gt;&lt;/EndNote&gt;</w:instrText>
      </w:r>
      <w:r w:rsidR="00702FBF" w:rsidRPr="00456C7B">
        <w:fldChar w:fldCharType="separate"/>
      </w:r>
      <w:r w:rsidR="00A2659F">
        <w:rPr>
          <w:noProof/>
        </w:rPr>
        <w:t>(25, 26)</w:t>
      </w:r>
      <w:r w:rsidR="00702FBF" w:rsidRPr="00456C7B">
        <w:fldChar w:fldCharType="end"/>
      </w:r>
      <w:r w:rsidR="00594AF0" w:rsidRPr="00456C7B">
        <w:t>.</w:t>
      </w:r>
    </w:p>
    <w:p w14:paraId="7BE7388C" w14:textId="0075C827" w:rsidR="00133F99" w:rsidRPr="00456C7B" w:rsidRDefault="00133F99" w:rsidP="00EA6F50">
      <w:pPr>
        <w:spacing w:line="360" w:lineRule="auto"/>
        <w:jc w:val="both"/>
        <w:rPr>
          <w:cs/>
          <w:lang w:val="en-US" w:bidi="th-TH"/>
        </w:rPr>
      </w:pPr>
      <w:r w:rsidRPr="00456C7B">
        <w:t>Provisions in other CPTPP chapters have implications for</w:t>
      </w:r>
      <w:r w:rsidR="00E34426" w:rsidRPr="00456C7B">
        <w:t xml:space="preserve"> various aspects of</w:t>
      </w:r>
      <w:r w:rsidRPr="00456C7B">
        <w:t xml:space="preserve"> pharmaceutical policy</w:t>
      </w:r>
      <w:r w:rsidR="00BF308E" w:rsidRPr="00456C7B">
        <w:t xml:space="preserve">, </w:t>
      </w:r>
      <w:r w:rsidR="00136058" w:rsidRPr="00456C7B">
        <w:fldChar w:fldCharType="begin">
          <w:fldData xml:space="preserve">PEVuZE5vdGU+PENpdGU+PEF1dGhvcj5HbGVlc29uPC9BdXRob3I+PFllYXI+MjAxOTwvWWVhcj48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</w:fldData>
        </w:fldChar>
      </w:r>
      <w:r w:rsidR="00A2659F">
        <w:instrText xml:space="preserve"> ADDIN EN.CITE </w:instrText>
      </w:r>
      <w:r w:rsidR="00A2659F">
        <w:fldChar w:fldCharType="begin">
          <w:fldData xml:space="preserve">PEVuZE5vdGU+PENpdGU+PEF1dGhvcj5HbGVlc29uPC9BdXRob3I+PFllYXI+MjAxOTwvWWVhcj48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</w:fldData>
        </w:fldChar>
      </w:r>
      <w:r w:rsidR="00A2659F">
        <w:instrText xml:space="preserve"> ADDIN EN.CITE.DATA </w:instrText>
      </w:r>
      <w:r w:rsidR="00A2659F">
        <w:fldChar w:fldCharType="end"/>
      </w:r>
      <w:r w:rsidR="00136058" w:rsidRPr="00456C7B">
        <w:fldChar w:fldCharType="separate"/>
      </w:r>
      <w:r w:rsidR="00A2659F">
        <w:rPr>
          <w:noProof/>
        </w:rPr>
        <w:t>(27)</w:t>
      </w:r>
      <w:r w:rsidR="00136058" w:rsidRPr="00456C7B">
        <w:fldChar w:fldCharType="end"/>
      </w:r>
      <w:r w:rsidR="00352AF3" w:rsidRPr="00456C7B">
        <w:t xml:space="preserve"> however these </w:t>
      </w:r>
      <w:r w:rsidR="00BB5B2B" w:rsidRPr="00456C7B">
        <w:t xml:space="preserve">are beyond the scope of the current paper, which </w:t>
      </w:r>
      <w:r w:rsidR="00160837" w:rsidRPr="00456C7B">
        <w:t>focuses on the impact of the CPTPP’s IP provisions.</w:t>
      </w:r>
    </w:p>
    <w:p w14:paraId="01B39B76" w14:textId="77777777" w:rsidR="006572A3" w:rsidRPr="00456C7B" w:rsidRDefault="006572A3" w:rsidP="006572A3">
      <w:pPr>
        <w:spacing w:after="0" w:line="240" w:lineRule="auto"/>
        <w:rPr>
          <w:rFonts w:cstheme="minorHAnsi"/>
        </w:rPr>
      </w:pPr>
    </w:p>
    <w:p w14:paraId="5C4F535D" w14:textId="79E5A38F" w:rsidR="004A59CD" w:rsidRPr="00456C7B" w:rsidRDefault="005D6176" w:rsidP="00EA6F50">
      <w:pPr>
        <w:pStyle w:val="Heading2"/>
        <w:spacing w:line="360" w:lineRule="auto"/>
        <w:rPr>
          <w:color w:val="000000"/>
          <w:shd w:val="clear" w:color="auto" w:fill="FFFFFF"/>
        </w:rPr>
      </w:pPr>
      <w:r w:rsidRPr="00456C7B">
        <w:t xml:space="preserve">Hepatitis C </w:t>
      </w:r>
      <w:r w:rsidR="00BA605A" w:rsidRPr="00456C7B">
        <w:t xml:space="preserve">infection </w:t>
      </w:r>
      <w:r w:rsidRPr="00456C7B">
        <w:t xml:space="preserve">and treatment </w:t>
      </w:r>
    </w:p>
    <w:p w14:paraId="607CF221" w14:textId="42C8F1C6" w:rsidR="00DF73A6" w:rsidRPr="00456C7B" w:rsidRDefault="004A59CD" w:rsidP="00EA6F50">
      <w:pPr>
        <w:spacing w:line="360" w:lineRule="auto"/>
        <w:jc w:val="both"/>
      </w:pPr>
      <w:r w:rsidRPr="00456C7B">
        <w:t xml:space="preserve">Hepatitis C is a blood borne virus that </w:t>
      </w:r>
      <w:r w:rsidR="00BE5FA6" w:rsidRPr="00456C7B">
        <w:t xml:space="preserve">if </w:t>
      </w:r>
      <w:r w:rsidRPr="00456C7B">
        <w:t>untreated, can lead to liver damage, liver cancer and sometimes death</w:t>
      </w:r>
      <w:r w:rsidR="00124454">
        <w:t>.</w:t>
      </w:r>
    </w:p>
    <w:p w14:paraId="56BAECB8" w14:textId="3CFB678F" w:rsidR="00D64467" w:rsidRPr="00456C7B" w:rsidRDefault="00D64467" w:rsidP="00EA6F50">
      <w:pPr>
        <w:spacing w:line="360" w:lineRule="auto"/>
        <w:jc w:val="both"/>
      </w:pPr>
      <w:r w:rsidRPr="00456C7B">
        <w:t xml:space="preserve">WHO’s global hepatitis strategy, </w:t>
      </w:r>
      <w:r w:rsidR="00F329F2" w:rsidRPr="00456C7B">
        <w:t xml:space="preserve">The </w:t>
      </w:r>
      <w:r w:rsidR="007D7CCB" w:rsidRPr="00456C7B">
        <w:t>Global Health Sector Strategy</w:t>
      </w:r>
      <w:r w:rsidR="00F329F2" w:rsidRPr="00456C7B">
        <w:t xml:space="preserve">, </w:t>
      </w:r>
      <w:r w:rsidRPr="00456C7B">
        <w:t xml:space="preserve">endorsed by all WHO Member States including Thailand, aims to reduce </w:t>
      </w:r>
      <w:r w:rsidR="00A04E79" w:rsidRPr="00456C7B">
        <w:t>new cases of chronic HCV infection by 90%, decrease HCV-associated mortality by 65%, and treat 80% of chronic HCV infection</w:t>
      </w:r>
      <w:r w:rsidR="005D3082" w:rsidRPr="00456C7B">
        <w:t xml:space="preserve"> </w:t>
      </w:r>
      <w:r w:rsidR="00E96B65" w:rsidRPr="00456C7B">
        <w:t xml:space="preserve">by 2030 </w:t>
      </w:r>
      <w:r w:rsidR="005D3082" w:rsidRPr="00456C7B">
        <w:fldChar w:fldCharType="begin"/>
      </w:r>
      <w:r w:rsidR="00A2659F">
        <w:instrText xml:space="preserve"> ADDIN EN.CITE &lt;EndNote&gt;&lt;Cite&gt;&lt;Author&gt;World Health Organization&lt;/Author&gt;&lt;Year&gt;2016&lt;/Year&gt;&lt;RecNum&gt;405&lt;/RecNum&gt;&lt;DisplayText&gt;(28)&lt;/DisplayText&gt;&lt;record&gt;&lt;rec-number&gt;405&lt;/rec-number&gt;&lt;foreign-keys&gt;&lt;key app="EN" db-id="dfp5tt9d12x9vhewffovwt2jvd9t5vpwzvxr" timestamp="1644989411"&gt;405&lt;/key&gt;&lt;/foreign-keys&gt;&lt;ref-type name="Report"&gt;27&lt;/ref-type&gt;&lt;contributors&gt;&lt;authors&gt;&lt;author&gt;World Health Organization,&lt;/author&gt;&lt;/authors&gt;&lt;secondary-authors&gt;&lt;author&gt;WHO&lt;/author&gt;&lt;/secondary-authors&gt;&lt;/contributors&gt;&lt;titles&gt;&lt;title&gt;Combating hepatitis B and C to reach elimination by 2030: advocacy brief. &lt;/title&gt;&lt;/titles&gt;&lt;dates&gt;&lt;year&gt;2016&lt;/year&gt;&lt;/dates&gt;&lt;urls&gt;&lt;/urls&gt;&lt;/record&gt;&lt;/Cite&gt;&lt;/EndNote&gt;</w:instrText>
      </w:r>
      <w:r w:rsidR="005D3082" w:rsidRPr="00456C7B">
        <w:fldChar w:fldCharType="separate"/>
      </w:r>
      <w:r w:rsidR="00A2659F">
        <w:rPr>
          <w:noProof/>
        </w:rPr>
        <w:t>(28)</w:t>
      </w:r>
      <w:r w:rsidR="005D3082" w:rsidRPr="00456C7B">
        <w:fldChar w:fldCharType="end"/>
      </w:r>
      <w:r w:rsidRPr="00456C7B">
        <w:t>.</w:t>
      </w:r>
      <w:r w:rsidR="00115A91" w:rsidRPr="00456C7B">
        <w:t xml:space="preserve"> Despite progress against the 2020 hepatitis targets, the gaps towards achieving 2030 goals </w:t>
      </w:r>
      <w:r w:rsidR="0097251D" w:rsidRPr="00456C7B">
        <w:t xml:space="preserve">are huge </w:t>
      </w:r>
      <w:r w:rsidR="00180535" w:rsidRPr="00456C7B">
        <w:fldChar w:fldCharType="begin"/>
      </w:r>
      <w:r w:rsidR="00A2659F">
        <w:instrText xml:space="preserve"> ADDIN EN.CITE &lt;EndNote&gt;&lt;Cite&gt;&lt;Author&gt;World Health Organization&lt;/Author&gt;&lt;Year&gt;2021&lt;/Year&gt;&lt;RecNum&gt;461&lt;/RecNum&gt;&lt;DisplayText&gt;(29)&lt;/DisplayText&gt;&lt;record&gt;&lt;rec-number&gt;461&lt;/rec-number&gt;&lt;foreign-keys&gt;&lt;key app="EN" db-id="dfp5tt9d12x9vhewffovwt2jvd9t5vpwzvxr" timestamp="1652144332"&gt;461&lt;/key&gt;&lt;/foreign-keys&gt;&lt;ref-type name="Journal Article"&gt;17&lt;/ref-type&gt;&lt;contributors&gt;&lt;authors&gt;&lt;author&gt;World Health Organization,&lt;/author&gt;&lt;/authors&gt;&lt;/contributors&gt;&lt;titles&gt;&lt;title&gt;Global progress report on HIV, viral hepatitis and sexually transmitted infections, 2021: accountability for the global health sector strategies 2016–2021: actions for impact: web annex 2: data methods&lt;/title&gt;&lt;/titles&gt;&lt;dates&gt;&lt;year&gt;2021&lt;/year&gt;&lt;/dates&gt;&lt;isbn&gt;9240030999&lt;/isbn&gt;&lt;urls&gt;&lt;/urls&gt;&lt;/record&gt;&lt;/Cite&gt;&lt;/EndNote&gt;</w:instrText>
      </w:r>
      <w:r w:rsidR="00180535" w:rsidRPr="00456C7B">
        <w:fldChar w:fldCharType="separate"/>
      </w:r>
      <w:r w:rsidR="00A2659F">
        <w:rPr>
          <w:noProof/>
        </w:rPr>
        <w:t>(29)</w:t>
      </w:r>
      <w:r w:rsidR="00180535" w:rsidRPr="00456C7B">
        <w:fldChar w:fldCharType="end"/>
      </w:r>
      <w:r w:rsidR="00115A91" w:rsidRPr="00456C7B">
        <w:t>.</w:t>
      </w:r>
      <w:r w:rsidR="00475969" w:rsidRPr="00456C7B">
        <w:t xml:space="preserve"> </w:t>
      </w:r>
      <w:r w:rsidR="00E1278E" w:rsidRPr="00456C7B">
        <w:t>Infection with hepatitis C</w:t>
      </w:r>
      <w:r w:rsidRPr="00456C7B">
        <w:t xml:space="preserve"> does not always require treatment, as </w:t>
      </w:r>
      <w:r w:rsidR="00E1278E" w:rsidRPr="00456C7B">
        <w:t xml:space="preserve">some people’s immune response will clear the </w:t>
      </w:r>
      <w:r w:rsidR="00E1278E" w:rsidRPr="00456C7B">
        <w:lastRenderedPageBreak/>
        <w:t>infection. If this does not happen and the infection becomes chronic</w:t>
      </w:r>
      <w:r w:rsidRPr="00456C7B">
        <w:t>,</w:t>
      </w:r>
      <w:r w:rsidR="00E1278E" w:rsidRPr="00456C7B">
        <w:t xml:space="preserve"> treatment is necessary to avoid liver damage and sequalae</w:t>
      </w:r>
      <w:r w:rsidR="001C6F9D" w:rsidRPr="00456C7B">
        <w:t xml:space="preserve"> </w:t>
      </w:r>
      <w:r w:rsidR="00087291" w:rsidRPr="00456C7B">
        <w:t xml:space="preserve">including liver cancer </w:t>
      </w:r>
      <w:r w:rsidR="001C6F9D" w:rsidRPr="00456C7B">
        <w:fldChar w:fldCharType="begin"/>
      </w:r>
      <w:r w:rsidR="00A2659F">
        <w:instrText xml:space="preserve"> ADDIN EN.CITE &lt;EndNote&gt;&lt;Cite&gt;&lt;Author&gt;World Health Organization&lt;/Author&gt;&lt;Year&gt;24th June 2022&lt;/Year&gt;&lt;RecNum&gt;436&lt;/RecNum&gt;&lt;DisplayText&gt;(30)&lt;/DisplayText&gt;&lt;record&gt;&lt;rec-number&gt;436&lt;/rec-number&gt;&lt;foreign-keys&gt;&lt;key app="EN" db-id="dfp5tt9d12x9vhewffovwt2jvd9t5vpwzvxr" timestamp="1649205730"&gt;436&lt;/key&gt;&lt;/foreign-keys&gt;&lt;ref-type name="Web Page"&gt;12&lt;/ref-type&gt;&lt;contributors&gt;&lt;authors&gt;&lt;author&gt;World Health Organization,&lt;/author&gt;&lt;/authors&gt;&lt;/contributors&gt;&lt;titles&gt;&lt;title&gt;Hepatitis C&lt;/title&gt;&lt;/titles&gt;&lt;volume&gt;2022&lt;/volume&gt;&lt;number&gt;11/8/2022&lt;/number&gt;&lt;dates&gt;&lt;year&gt;24th June 2022&lt;/year&gt;&lt;/dates&gt;&lt;urls&gt;&lt;related-urls&gt;&lt;url&gt;https://www.who.int/news-room/fact-sheets/detail/hepatitis-c&lt;/url&gt;&lt;/related-urls&gt;&lt;/urls&gt;&lt;custom1&gt;2022&lt;/custom1&gt;&lt;custom2&gt;11/8/2022&lt;/custom2&gt;&lt;/record&gt;&lt;/Cite&gt;&lt;/EndNote&gt;</w:instrText>
      </w:r>
      <w:r w:rsidR="001C6F9D" w:rsidRPr="00456C7B">
        <w:fldChar w:fldCharType="separate"/>
      </w:r>
      <w:r w:rsidR="00A2659F">
        <w:rPr>
          <w:noProof/>
        </w:rPr>
        <w:t>(30)</w:t>
      </w:r>
      <w:r w:rsidR="001C6F9D" w:rsidRPr="00456C7B">
        <w:fldChar w:fldCharType="end"/>
      </w:r>
      <w:r w:rsidR="00E1278E" w:rsidRPr="00456C7B">
        <w:t xml:space="preserve">. </w:t>
      </w:r>
      <w:r w:rsidR="001C6F9D" w:rsidRPr="00456C7B">
        <w:t xml:space="preserve"> </w:t>
      </w:r>
      <w:r w:rsidR="005D3082" w:rsidRPr="00456C7B">
        <w:t>In the past decade</w:t>
      </w:r>
      <w:r w:rsidR="00E1278E" w:rsidRPr="00456C7B">
        <w:t xml:space="preserve">, the introduction of direct-acting antiviral (DAA) </w:t>
      </w:r>
      <w:r w:rsidR="002A6530" w:rsidRPr="00456C7B">
        <w:t>medicines</w:t>
      </w:r>
      <w:r w:rsidR="00E1278E" w:rsidRPr="00456C7B">
        <w:t xml:space="preserve"> ha</w:t>
      </w:r>
      <w:r w:rsidR="006B4F88" w:rsidRPr="00456C7B">
        <w:t>s</w:t>
      </w:r>
      <w:r w:rsidR="00E1278E" w:rsidRPr="00456C7B">
        <w:t xml:space="preserve"> revolutionized </w:t>
      </w:r>
      <w:r w:rsidR="00B74838" w:rsidRPr="00456C7B">
        <w:t>hepatitis C treatment</w:t>
      </w:r>
      <w:r w:rsidR="00E1278E" w:rsidRPr="00456C7B">
        <w:t xml:space="preserve">, demonstrating high efficacy and good tolerability. Previous treatment for hepatitis C had consisted of </w:t>
      </w:r>
      <w:r w:rsidR="00297F02" w:rsidRPr="00456C7B">
        <w:t xml:space="preserve">injectable pegylated interferon alpha and </w:t>
      </w:r>
      <w:r w:rsidR="003675C5" w:rsidRPr="00456C7B">
        <w:t xml:space="preserve">oral </w:t>
      </w:r>
      <w:r w:rsidR="00706A35" w:rsidRPr="00456C7B">
        <w:t>ribavirin</w:t>
      </w:r>
      <w:r w:rsidR="00E1278E" w:rsidRPr="00456C7B">
        <w:t>. This treatment was less efficacious than the DAA and took up to a year</w:t>
      </w:r>
      <w:r w:rsidR="009C79CA" w:rsidRPr="00456C7B">
        <w:t xml:space="preserve"> </w:t>
      </w:r>
      <w:r w:rsidR="009C79CA" w:rsidRPr="00456C7B">
        <w:fldChar w:fldCharType="begin"/>
      </w:r>
      <w:r w:rsidR="00A2659F">
        <w:instrText xml:space="preserve"> ADDIN EN.CITE &lt;EndNote&gt;&lt;Cite&gt;&lt;Author&gt;Mathur&lt;/Author&gt;&lt;Year&gt;2018&lt;/Year&gt;&lt;RecNum&gt;437&lt;/RecNum&gt;&lt;DisplayText&gt;(31)&lt;/DisplayText&gt;&lt;record&gt;&lt;rec-number&gt;437&lt;/rec-number&gt;&lt;foreign-keys&gt;&lt;key app="EN" db-id="dfp5tt9d12x9vhewffovwt2jvd9t5vpwzvxr" timestamp="1649206355"&gt;437&lt;/key&gt;&lt;/foreign-keys&gt;&lt;ref-type name="Journal Article"&gt;17&lt;/ref-type&gt;&lt;contributors&gt;&lt;authors&gt;&lt;author&gt;Mathur, Poonam&lt;/author&gt;&lt;author&gt;Kottilil, Shyamasundaran&lt;/author&gt;&lt;author&gt;Wilson, Eleanor&lt;/author&gt;&lt;/authors&gt;&lt;/contributors&gt;&lt;titles&gt;&lt;title&gt;Use of ribavirin for hepatitis C treatment in the modern direct-acting antiviral era&lt;/title&gt;&lt;secondary-title&gt;Journal of Clinical and Translational Hepatology&lt;/secondary-title&gt;&lt;/titles&gt;&lt;periodical&gt;&lt;full-title&gt;Journal of Clinical and Translational Hepatology&lt;/full-title&gt;&lt;/periodical&gt;&lt;pages&gt;431&lt;/pages&gt;&lt;volume&gt;6&lt;/volume&gt;&lt;number&gt;4&lt;/number&gt;&lt;dates&gt;&lt;year&gt;2018&lt;/year&gt;&lt;/dates&gt;&lt;urls&gt;&lt;/urls&gt;&lt;/record&gt;&lt;/Cite&gt;&lt;/EndNote&gt;</w:instrText>
      </w:r>
      <w:r w:rsidR="009C79CA" w:rsidRPr="00456C7B">
        <w:fldChar w:fldCharType="separate"/>
      </w:r>
      <w:r w:rsidR="00A2659F">
        <w:rPr>
          <w:noProof/>
        </w:rPr>
        <w:t>(31)</w:t>
      </w:r>
      <w:r w:rsidR="009C79CA" w:rsidRPr="00456C7B">
        <w:fldChar w:fldCharType="end"/>
      </w:r>
      <w:r w:rsidR="00087291" w:rsidRPr="00456C7B">
        <w:t xml:space="preserve"> compared with 8-24 weeks with the use of DAAs (</w:t>
      </w:r>
      <w:r w:rsidR="00BE5FA6" w:rsidRPr="00456C7B">
        <w:t xml:space="preserve">see </w:t>
      </w:r>
      <w:r w:rsidR="00087291" w:rsidRPr="00456C7B">
        <w:t xml:space="preserve">Table </w:t>
      </w:r>
      <w:r w:rsidR="00D2272E" w:rsidRPr="00456C7B">
        <w:t>2</w:t>
      </w:r>
      <w:r w:rsidR="00087291" w:rsidRPr="00456C7B">
        <w:t>)</w:t>
      </w:r>
      <w:r w:rsidR="00E1278E" w:rsidRPr="00456C7B">
        <w:t xml:space="preserve">. Side effects in some people were severe </w:t>
      </w:r>
      <w:r w:rsidR="00B74838" w:rsidRPr="00456C7B">
        <w:t xml:space="preserve">and </w:t>
      </w:r>
      <w:r w:rsidR="001D6233" w:rsidRPr="00456C7B">
        <w:t xml:space="preserve">commonly </w:t>
      </w:r>
      <w:r w:rsidR="00E1278E" w:rsidRPr="00456C7B">
        <w:t xml:space="preserve">resulted in </w:t>
      </w:r>
      <w:r w:rsidR="00E20002" w:rsidRPr="00456C7B">
        <w:t>default</w:t>
      </w:r>
      <w:r w:rsidR="00E1278E" w:rsidRPr="00456C7B">
        <w:t xml:space="preserve"> from treatment</w:t>
      </w:r>
      <w:r w:rsidR="00B10ED2" w:rsidRPr="00456C7B">
        <w:t xml:space="preserve"> </w:t>
      </w:r>
      <w:r w:rsidR="00B10ED2" w:rsidRPr="00456C7B">
        <w:fldChar w:fldCharType="begin"/>
      </w:r>
      <w:r w:rsidR="00A2659F">
        <w:instrText xml:space="preserve"> ADDIN EN.CITE &lt;EndNote&gt;&lt;Cite&gt;&lt;Author&gt;Lucaciu&lt;/Author&gt;&lt;Year&gt;2015&lt;/Year&gt;&lt;RecNum&gt;438&lt;/RecNum&gt;&lt;DisplayText&gt;(32)&lt;/DisplayText&gt;&lt;record&gt;&lt;rec-number&gt;438&lt;/rec-number&gt;&lt;foreign-keys&gt;&lt;key app="EN" db-id="dfp5tt9d12x9vhewffovwt2jvd9t5vpwzvxr" timestamp="1649206651"&gt;438&lt;/key&gt;&lt;/foreign-keys&gt;&lt;ref-type name="Journal Article"&gt;17&lt;/ref-type&gt;&lt;contributors&gt;&lt;authors&gt;&lt;author&gt;Lucaciu, Laura A&lt;/author&gt;&lt;author&gt;Dumitrascu, Dan L&lt;/author&gt;&lt;/authors&gt;&lt;/contributors&gt;&lt;titles&gt;&lt;title&gt;Depression and suicide ideation in chronic hepatitis C patients untreated and treated with interferon: prevalence, prevention, and treatment&lt;/title&gt;&lt;secondary-title&gt;Annals of gastroenterology: quarterly publication of the Hellenic Society of Gastroenterology&lt;/secondary-title&gt;&lt;/titles&gt;&lt;periodical&gt;&lt;full-title&gt;Annals of gastroenterology: quarterly publication of the Hellenic Society of Gastroenterology&lt;/full-title&gt;&lt;/periodical&gt;&lt;pages&gt;440&lt;/pages&gt;&lt;volume&gt;28&lt;/volume&gt;&lt;number&gt;4&lt;/number&gt;&lt;dates&gt;&lt;year&gt;2015&lt;/year&gt;&lt;/dates&gt;&lt;urls&gt;&lt;/urls&gt;&lt;/record&gt;&lt;/Cite&gt;&lt;/EndNote&gt;</w:instrText>
      </w:r>
      <w:r w:rsidR="00B10ED2" w:rsidRPr="00456C7B">
        <w:fldChar w:fldCharType="separate"/>
      </w:r>
      <w:r w:rsidR="00A2659F">
        <w:rPr>
          <w:noProof/>
        </w:rPr>
        <w:t>(32)</w:t>
      </w:r>
      <w:r w:rsidR="00B10ED2" w:rsidRPr="00456C7B">
        <w:fldChar w:fldCharType="end"/>
      </w:r>
      <w:r w:rsidR="00E1278E" w:rsidRPr="00456C7B">
        <w:t>.</w:t>
      </w:r>
    </w:p>
    <w:p w14:paraId="720420AD" w14:textId="037A6701" w:rsidR="001D6233" w:rsidRPr="00456C7B" w:rsidRDefault="00AD0FFE" w:rsidP="00EA6F50">
      <w:pPr>
        <w:spacing w:line="360" w:lineRule="auto"/>
        <w:jc w:val="both"/>
      </w:pPr>
      <w:r w:rsidRPr="00456C7B">
        <w:t>HCV has six genotype</w:t>
      </w:r>
      <w:r w:rsidR="00B74838" w:rsidRPr="00456C7B">
        <w:t>s named 1 to 6</w:t>
      </w:r>
      <w:r w:rsidRPr="00456C7B">
        <w:t xml:space="preserve">. </w:t>
      </w:r>
      <w:r w:rsidR="00B74838" w:rsidRPr="00456C7B">
        <w:t>People</w:t>
      </w:r>
      <w:r w:rsidRPr="00456C7B">
        <w:t xml:space="preserve"> infected with genotype 1 may have a greater chance of developing cirrhosis, or severe liver scarring, than </w:t>
      </w:r>
      <w:r w:rsidR="00087291" w:rsidRPr="00456C7B">
        <w:t xml:space="preserve">from </w:t>
      </w:r>
      <w:r w:rsidRPr="00456C7B">
        <w:t>other genotypes. Genotypes 1b and 3 may increase the risk of liver cancer</w:t>
      </w:r>
      <w:r w:rsidR="00F15D2C" w:rsidRPr="00456C7B">
        <w:t xml:space="preserve"> </w:t>
      </w:r>
      <w:r w:rsidR="00F15D2C" w:rsidRPr="00456C7B">
        <w:fldChar w:fldCharType="begin"/>
      </w:r>
      <w:r w:rsidR="00A2659F">
        <w:instrText xml:space="preserve"> ADDIN EN.CITE &lt;EndNote&gt;&lt;Cite&gt;&lt;Author&gt;Treatment Action Group&lt;/Author&gt;&lt;Year&gt;February 2017&lt;/Year&gt;&lt;RecNum&gt;439&lt;/RecNum&gt;&lt;DisplayText&gt;(33)&lt;/DisplayText&gt;&lt;record&gt;&lt;rec-number&gt;439&lt;/rec-number&gt;&lt;foreign-keys&gt;&lt;key app="EN" db-id="dfp5tt9d12x9vhewffovwt2jvd9t5vpwzvxr" timestamp="1649207120"&gt;439&lt;/key&gt;&lt;/foreign-keys&gt;&lt;ref-type name="Web Page"&gt;12&lt;/ref-type&gt;&lt;contributors&gt;&lt;authors&gt;&lt;author&gt;Treatment Action Group,&lt;/author&gt;&lt;/authors&gt;&lt;/contributors&gt;&lt;titles&gt;&lt;title&gt;HCV Genotypes&lt;/title&gt;&lt;/titles&gt;&lt;volume&gt;2022&lt;/volume&gt;&lt;number&gt;6/4/2022&lt;/number&gt;&lt;dates&gt;&lt;year&gt;February 2017&lt;/year&gt;&lt;/dates&gt;&lt;urls&gt;&lt;related-urls&gt;&lt;url&gt;https://www.treatmentactiongroup.org/publication/hcv-genotypes/&lt;/url&gt;&lt;/related-urls&gt;&lt;/urls&gt;&lt;custom1&gt;2022&lt;/custom1&gt;&lt;custom2&gt;6/4/2022&lt;/custom2&gt;&lt;/record&gt;&lt;/Cite&gt;&lt;/EndNote&gt;</w:instrText>
      </w:r>
      <w:r w:rsidR="00F15D2C" w:rsidRPr="00456C7B">
        <w:fldChar w:fldCharType="separate"/>
      </w:r>
      <w:r w:rsidR="00A2659F">
        <w:rPr>
          <w:noProof/>
        </w:rPr>
        <w:t>(33)</w:t>
      </w:r>
      <w:r w:rsidR="00F15D2C" w:rsidRPr="00456C7B">
        <w:fldChar w:fldCharType="end"/>
      </w:r>
      <w:r w:rsidRPr="00456C7B">
        <w:t xml:space="preserve">. </w:t>
      </w:r>
    </w:p>
    <w:p w14:paraId="0E76FA53" w14:textId="297CA2FD" w:rsidR="00EA6F50" w:rsidRPr="00456C7B" w:rsidRDefault="00D64467" w:rsidP="00EA6F50">
      <w:pPr>
        <w:spacing w:line="360" w:lineRule="auto"/>
        <w:jc w:val="both"/>
      </w:pPr>
      <w:r w:rsidRPr="00456C7B">
        <w:t xml:space="preserve">WHO recommends therapy with </w:t>
      </w:r>
      <w:proofErr w:type="gramStart"/>
      <w:r w:rsidRPr="00456C7B">
        <w:t>pan-genotypic</w:t>
      </w:r>
      <w:proofErr w:type="gramEnd"/>
      <w:r w:rsidRPr="00456C7B">
        <w:t xml:space="preserve"> </w:t>
      </w:r>
      <w:r w:rsidR="00B74838" w:rsidRPr="00456C7B">
        <w:t>DAA</w:t>
      </w:r>
      <w:r w:rsidRPr="00456C7B">
        <w:t xml:space="preserve"> </w:t>
      </w:r>
      <w:r w:rsidR="00726D3F" w:rsidRPr="00456C7B">
        <w:t>(i.e.</w:t>
      </w:r>
      <w:r w:rsidR="00087291" w:rsidRPr="00456C7B">
        <w:t>,</w:t>
      </w:r>
      <w:r w:rsidR="00726D3F" w:rsidRPr="00456C7B">
        <w:t xml:space="preserve"> those that can be used for all genotypes) </w:t>
      </w:r>
      <w:r w:rsidRPr="00456C7B">
        <w:t xml:space="preserve">for persons over the age of 12 years. DAAs can cure </w:t>
      </w:r>
      <w:r w:rsidR="00377DF4" w:rsidRPr="00456C7B">
        <w:t xml:space="preserve">90% or more of </w:t>
      </w:r>
      <w:r w:rsidRPr="00456C7B">
        <w:t>pe</w:t>
      </w:r>
      <w:r w:rsidR="00B74838" w:rsidRPr="00456C7B">
        <w:t>ople</w:t>
      </w:r>
      <w:r w:rsidRPr="00456C7B">
        <w:t xml:space="preserve"> with HCV infection and treatment duration is short (usually </w:t>
      </w:r>
      <w:r w:rsidR="00B74838" w:rsidRPr="00456C7B">
        <w:t>8</w:t>
      </w:r>
      <w:r w:rsidRPr="00456C7B">
        <w:t xml:space="preserve"> to 24 weeks), depending on the absence or presence of cirrhosis</w:t>
      </w:r>
      <w:r w:rsidR="00B04E3C" w:rsidRPr="00456C7B">
        <w:t xml:space="preserve"> </w:t>
      </w:r>
      <w:r w:rsidR="00B04E3C" w:rsidRPr="00456C7B">
        <w:fldChar w:fldCharType="begin"/>
      </w:r>
      <w:r w:rsidR="00A2659F">
        <w:instrText xml:space="preserve"> ADDIN EN.CITE &lt;EndNote&gt;&lt;Cite&gt;&lt;Author&gt;World Health Organization&lt;/Author&gt;&lt;Year&gt;24th June 2022&lt;/Year&gt;&lt;RecNum&gt;436&lt;/RecNum&gt;&lt;DisplayText&gt;(30)&lt;/DisplayText&gt;&lt;record&gt;&lt;rec-number&gt;436&lt;/rec-number&gt;&lt;foreign-keys&gt;&lt;key app="EN" db-id="dfp5tt9d12x9vhewffovwt2jvd9t5vpwzvxr" timestamp="1649205730"&gt;436&lt;/key&gt;&lt;/foreign-keys&gt;&lt;ref-type name="Web Page"&gt;12&lt;/ref-type&gt;&lt;contributors&gt;&lt;authors&gt;&lt;author&gt;World Health Organization,&lt;/author&gt;&lt;/authors&gt;&lt;/contributors&gt;&lt;titles&gt;&lt;title&gt;Hepatitis C&lt;/title&gt;&lt;/titles&gt;&lt;volume&gt;2022&lt;/volume&gt;&lt;number&gt;11/8/2022&lt;/number&gt;&lt;dates&gt;&lt;year&gt;24th June 2022&lt;/year&gt;&lt;/dates&gt;&lt;urls&gt;&lt;related-urls&gt;&lt;url&gt;https://www.who.int/news-room/fact-sheets/detail/hepatitis-c&lt;/url&gt;&lt;/related-urls&gt;&lt;/urls&gt;&lt;custom1&gt;2022&lt;/custom1&gt;&lt;custom2&gt;11/8/2022&lt;/custom2&gt;&lt;/record&gt;&lt;/Cite&gt;&lt;/EndNote&gt;</w:instrText>
      </w:r>
      <w:r w:rsidR="00B04E3C" w:rsidRPr="00456C7B">
        <w:fldChar w:fldCharType="separate"/>
      </w:r>
      <w:r w:rsidR="00A2659F">
        <w:rPr>
          <w:noProof/>
        </w:rPr>
        <w:t>(30)</w:t>
      </w:r>
      <w:r w:rsidR="00B04E3C" w:rsidRPr="00456C7B">
        <w:fldChar w:fldCharType="end"/>
      </w:r>
      <w:r w:rsidRPr="00456C7B">
        <w:t>.</w:t>
      </w:r>
      <w:r w:rsidR="00AA7DBE" w:rsidRPr="00456C7B">
        <w:t xml:space="preserve"> </w:t>
      </w:r>
      <w:r w:rsidR="00475268" w:rsidRPr="00456C7B">
        <w:t xml:space="preserve">WHO treatment guidelines for adults </w:t>
      </w:r>
      <w:r w:rsidR="00BA605A" w:rsidRPr="00456C7B">
        <w:t xml:space="preserve">are detailed in </w:t>
      </w:r>
      <w:r w:rsidR="00087291" w:rsidRPr="00456C7B">
        <w:t>T</w:t>
      </w:r>
      <w:r w:rsidR="00BA605A" w:rsidRPr="00456C7B">
        <w:t xml:space="preserve">able </w:t>
      </w:r>
      <w:r w:rsidR="00CD3606" w:rsidRPr="00456C7B">
        <w:t>2</w:t>
      </w:r>
      <w:r w:rsidR="00BA605A" w:rsidRPr="00456C7B">
        <w:t>.</w:t>
      </w:r>
    </w:p>
    <w:p w14:paraId="65D5D7BC" w14:textId="4E3E1C92" w:rsidR="00BA605A" w:rsidRPr="00456C7B" w:rsidRDefault="00BA605A" w:rsidP="00AD0FFE">
      <w:pPr>
        <w:rPr>
          <w:b/>
          <w:bCs/>
        </w:rPr>
      </w:pPr>
      <w:r w:rsidRPr="00456C7B">
        <w:rPr>
          <w:b/>
          <w:bCs/>
        </w:rPr>
        <w:t xml:space="preserve">Table </w:t>
      </w:r>
      <w:r w:rsidR="00CD3606" w:rsidRPr="00456C7B">
        <w:rPr>
          <w:b/>
          <w:bCs/>
        </w:rPr>
        <w:t>2</w:t>
      </w:r>
      <w:r w:rsidRPr="00456C7B">
        <w:rPr>
          <w:b/>
          <w:bCs/>
        </w:rPr>
        <w:t xml:space="preserve"> </w:t>
      </w:r>
      <w:r w:rsidR="0075548C" w:rsidRPr="00456C7B">
        <w:rPr>
          <w:b/>
          <w:bCs/>
        </w:rPr>
        <w:t>WHO hepatitis C treatment guidelines for adults 2018</w:t>
      </w:r>
    </w:p>
    <w:tbl>
      <w:tblPr>
        <w:tblStyle w:val="TableGrid"/>
        <w:tblW w:w="0" w:type="auto"/>
        <w:tblLook w:val="04A0" w:firstRow="1" w:lastRow="0" w:firstColumn="1" w:lastColumn="0" w:noHBand="0" w:noVBand="1"/>
      </w:tblPr>
      <w:tblGrid>
        <w:gridCol w:w="4106"/>
        <w:gridCol w:w="2693"/>
        <w:gridCol w:w="2217"/>
      </w:tblGrid>
      <w:tr w:rsidR="00D1254B" w:rsidRPr="00456C7B" w14:paraId="4E0CBACB" w14:textId="3F5E661F" w:rsidTr="007D1BE8">
        <w:tc>
          <w:tcPr>
            <w:tcW w:w="4106" w:type="dxa"/>
            <w:shd w:val="clear" w:color="auto" w:fill="D9E2F3" w:themeFill="accent1" w:themeFillTint="33"/>
          </w:tcPr>
          <w:p w14:paraId="64948295" w14:textId="5BD1CFD8" w:rsidR="00D1254B" w:rsidRPr="00456C7B" w:rsidRDefault="00D1254B" w:rsidP="004A59CD">
            <w:r w:rsidRPr="00456C7B">
              <w:t xml:space="preserve">HCV positive patients </w:t>
            </w:r>
          </w:p>
        </w:tc>
        <w:tc>
          <w:tcPr>
            <w:tcW w:w="2693" w:type="dxa"/>
            <w:shd w:val="clear" w:color="auto" w:fill="D9E2F3" w:themeFill="accent1" w:themeFillTint="33"/>
          </w:tcPr>
          <w:p w14:paraId="30628172" w14:textId="792C8799" w:rsidR="00D1254B" w:rsidRPr="00456C7B" w:rsidRDefault="00D1254B" w:rsidP="004A59CD">
            <w:r w:rsidRPr="00456C7B">
              <w:t xml:space="preserve">Treatment combination </w:t>
            </w:r>
          </w:p>
        </w:tc>
        <w:tc>
          <w:tcPr>
            <w:tcW w:w="2217" w:type="dxa"/>
            <w:shd w:val="clear" w:color="auto" w:fill="D9E2F3" w:themeFill="accent1" w:themeFillTint="33"/>
          </w:tcPr>
          <w:p w14:paraId="23808636" w14:textId="1EF504C9" w:rsidR="00D1254B" w:rsidRPr="00456C7B" w:rsidRDefault="00D1254B" w:rsidP="004A59CD">
            <w:r w:rsidRPr="00456C7B">
              <w:t xml:space="preserve">Treatment duration </w:t>
            </w:r>
          </w:p>
        </w:tc>
      </w:tr>
      <w:tr w:rsidR="00D1254B" w:rsidRPr="00456C7B" w14:paraId="7A59FC45" w14:textId="14A97C05" w:rsidTr="007D1BE8">
        <w:tc>
          <w:tcPr>
            <w:tcW w:w="4106" w:type="dxa"/>
            <w:vMerge w:val="restart"/>
            <w:shd w:val="clear" w:color="auto" w:fill="auto"/>
          </w:tcPr>
          <w:p w14:paraId="4E4A2E89" w14:textId="6E384A86" w:rsidR="00D1254B" w:rsidRPr="00456C7B" w:rsidRDefault="00D1254B" w:rsidP="004A59CD">
            <w:r w:rsidRPr="00456C7B">
              <w:t>Patients &gt; 18 years without cirrhosis</w:t>
            </w:r>
          </w:p>
        </w:tc>
        <w:tc>
          <w:tcPr>
            <w:tcW w:w="2693" w:type="dxa"/>
            <w:shd w:val="clear" w:color="auto" w:fill="auto"/>
          </w:tcPr>
          <w:p w14:paraId="0EE82181" w14:textId="48991FF9" w:rsidR="00D1254B" w:rsidRPr="00456C7B" w:rsidRDefault="00D1254B" w:rsidP="004A59CD">
            <w:proofErr w:type="spellStart"/>
            <w:r w:rsidRPr="00456C7B">
              <w:t>Glecaprevir</w:t>
            </w:r>
            <w:proofErr w:type="spellEnd"/>
            <w:r w:rsidRPr="00456C7B">
              <w:t>/</w:t>
            </w:r>
            <w:proofErr w:type="spellStart"/>
            <w:r w:rsidRPr="00456C7B">
              <w:t>Pibrentasvir</w:t>
            </w:r>
            <w:proofErr w:type="spellEnd"/>
            <w:r w:rsidRPr="00456C7B">
              <w:t xml:space="preserve">  </w:t>
            </w:r>
          </w:p>
        </w:tc>
        <w:tc>
          <w:tcPr>
            <w:tcW w:w="2217" w:type="dxa"/>
          </w:tcPr>
          <w:p w14:paraId="45077A59" w14:textId="356C7DC8" w:rsidR="00D1254B" w:rsidRPr="00456C7B" w:rsidRDefault="00D1254B" w:rsidP="004A59CD">
            <w:r w:rsidRPr="00456C7B">
              <w:t>8 weeks*</w:t>
            </w:r>
          </w:p>
        </w:tc>
      </w:tr>
      <w:tr w:rsidR="00D1254B" w:rsidRPr="00456C7B" w14:paraId="79C145A2" w14:textId="4AED7A74" w:rsidTr="007D1BE8">
        <w:tc>
          <w:tcPr>
            <w:tcW w:w="4106" w:type="dxa"/>
            <w:vMerge/>
            <w:shd w:val="clear" w:color="auto" w:fill="auto"/>
          </w:tcPr>
          <w:p w14:paraId="692FDBEC" w14:textId="77777777" w:rsidR="00D1254B" w:rsidRPr="00456C7B" w:rsidRDefault="00D1254B" w:rsidP="004A59CD"/>
        </w:tc>
        <w:tc>
          <w:tcPr>
            <w:tcW w:w="2693" w:type="dxa"/>
            <w:shd w:val="clear" w:color="auto" w:fill="auto"/>
          </w:tcPr>
          <w:p w14:paraId="6C14EC7C" w14:textId="237C01F4" w:rsidR="00D1254B" w:rsidRPr="00456C7B" w:rsidRDefault="00D1254B" w:rsidP="004A59CD">
            <w:r w:rsidRPr="00456C7B">
              <w:t xml:space="preserve">Sofosbuvir/daclatasvir </w:t>
            </w:r>
          </w:p>
        </w:tc>
        <w:tc>
          <w:tcPr>
            <w:tcW w:w="2217" w:type="dxa"/>
          </w:tcPr>
          <w:p w14:paraId="137F90FB" w14:textId="6763A862" w:rsidR="00D1254B" w:rsidRPr="00456C7B" w:rsidRDefault="00D1254B" w:rsidP="004A59CD">
            <w:r w:rsidRPr="00456C7B">
              <w:t>12 weeks</w:t>
            </w:r>
          </w:p>
        </w:tc>
      </w:tr>
      <w:tr w:rsidR="00D1254B" w:rsidRPr="00456C7B" w14:paraId="36FC224B" w14:textId="1FE9A2AF" w:rsidTr="007D1BE8">
        <w:tc>
          <w:tcPr>
            <w:tcW w:w="4106" w:type="dxa"/>
            <w:vMerge/>
            <w:shd w:val="clear" w:color="auto" w:fill="auto"/>
          </w:tcPr>
          <w:p w14:paraId="069949F9" w14:textId="77777777" w:rsidR="00D1254B" w:rsidRPr="00456C7B" w:rsidRDefault="00D1254B" w:rsidP="004A59CD"/>
        </w:tc>
        <w:tc>
          <w:tcPr>
            <w:tcW w:w="2693" w:type="dxa"/>
            <w:shd w:val="clear" w:color="auto" w:fill="auto"/>
          </w:tcPr>
          <w:p w14:paraId="41B77B25" w14:textId="68E3EC05" w:rsidR="00D1254B" w:rsidRPr="00456C7B" w:rsidRDefault="00D1254B" w:rsidP="004A59CD">
            <w:r w:rsidRPr="00456C7B">
              <w:t>Sofosbuvir/</w:t>
            </w:r>
            <w:proofErr w:type="spellStart"/>
            <w:r w:rsidRPr="00456C7B">
              <w:t>velpatasvir</w:t>
            </w:r>
            <w:proofErr w:type="spellEnd"/>
            <w:r w:rsidRPr="00456C7B">
              <w:t xml:space="preserve"> </w:t>
            </w:r>
          </w:p>
        </w:tc>
        <w:tc>
          <w:tcPr>
            <w:tcW w:w="2217" w:type="dxa"/>
          </w:tcPr>
          <w:p w14:paraId="6112E193" w14:textId="0AE26817" w:rsidR="00D1254B" w:rsidRPr="00456C7B" w:rsidRDefault="00D1254B" w:rsidP="004A59CD">
            <w:r w:rsidRPr="00456C7B">
              <w:t>12 weeks</w:t>
            </w:r>
          </w:p>
        </w:tc>
      </w:tr>
      <w:tr w:rsidR="00D1254B" w:rsidRPr="00456C7B" w14:paraId="590876ED" w14:textId="2C64A19D" w:rsidTr="007D1BE8">
        <w:tc>
          <w:tcPr>
            <w:tcW w:w="4106" w:type="dxa"/>
            <w:vMerge w:val="restart"/>
          </w:tcPr>
          <w:p w14:paraId="01BC67A6" w14:textId="47900215" w:rsidR="00D1254B" w:rsidRPr="00456C7B" w:rsidRDefault="00D1254B" w:rsidP="004A59CD">
            <w:r w:rsidRPr="00456C7B">
              <w:t>Patients &gt; 18 years with compensated cirrhosis</w:t>
            </w:r>
          </w:p>
        </w:tc>
        <w:tc>
          <w:tcPr>
            <w:tcW w:w="2693" w:type="dxa"/>
          </w:tcPr>
          <w:p w14:paraId="33E0FAF6" w14:textId="63323A92" w:rsidR="00D1254B" w:rsidRPr="00456C7B" w:rsidRDefault="00D1254B" w:rsidP="004A59CD">
            <w:proofErr w:type="spellStart"/>
            <w:r w:rsidRPr="00456C7B">
              <w:t>Glecaprevir</w:t>
            </w:r>
            <w:proofErr w:type="spellEnd"/>
            <w:r w:rsidRPr="00456C7B">
              <w:t>/</w:t>
            </w:r>
            <w:proofErr w:type="spellStart"/>
            <w:r w:rsidRPr="00456C7B">
              <w:t>Pibrentasvir</w:t>
            </w:r>
            <w:proofErr w:type="spellEnd"/>
            <w:r w:rsidRPr="00456C7B">
              <w:t xml:space="preserve"> </w:t>
            </w:r>
          </w:p>
        </w:tc>
        <w:tc>
          <w:tcPr>
            <w:tcW w:w="2217" w:type="dxa"/>
          </w:tcPr>
          <w:p w14:paraId="2B98DC61" w14:textId="18FDCFCE" w:rsidR="00D1254B" w:rsidRPr="00456C7B" w:rsidRDefault="00D1254B" w:rsidP="004A59CD">
            <w:r w:rsidRPr="00456C7B">
              <w:t>12 weeks*</w:t>
            </w:r>
          </w:p>
        </w:tc>
      </w:tr>
      <w:tr w:rsidR="00D1254B" w:rsidRPr="00456C7B" w14:paraId="16892800" w14:textId="224B2EA3" w:rsidTr="007D1BE8">
        <w:tc>
          <w:tcPr>
            <w:tcW w:w="4106" w:type="dxa"/>
            <w:vMerge/>
          </w:tcPr>
          <w:p w14:paraId="3E673586" w14:textId="77777777" w:rsidR="00D1254B" w:rsidRPr="00456C7B" w:rsidRDefault="00D1254B" w:rsidP="004A59CD"/>
        </w:tc>
        <w:tc>
          <w:tcPr>
            <w:tcW w:w="2693" w:type="dxa"/>
          </w:tcPr>
          <w:p w14:paraId="187D35E4" w14:textId="55C6161D" w:rsidR="00D1254B" w:rsidRPr="00456C7B" w:rsidRDefault="00D1254B" w:rsidP="004A59CD">
            <w:r w:rsidRPr="00456C7B">
              <w:t xml:space="preserve">Sofosbuvir/daclatasvir </w:t>
            </w:r>
          </w:p>
        </w:tc>
        <w:tc>
          <w:tcPr>
            <w:tcW w:w="2217" w:type="dxa"/>
          </w:tcPr>
          <w:p w14:paraId="3948DBF0" w14:textId="2B4B3ADE" w:rsidR="00D1254B" w:rsidRPr="00456C7B" w:rsidRDefault="00D1254B" w:rsidP="004A59CD">
            <w:r w:rsidRPr="00456C7B">
              <w:t>24 weeks</w:t>
            </w:r>
          </w:p>
        </w:tc>
      </w:tr>
      <w:tr w:rsidR="00D1254B" w:rsidRPr="00456C7B" w14:paraId="50A5895D" w14:textId="3B2A4CEC" w:rsidTr="007D1BE8">
        <w:tc>
          <w:tcPr>
            <w:tcW w:w="4106" w:type="dxa"/>
            <w:vMerge/>
          </w:tcPr>
          <w:p w14:paraId="5B2E1FA5" w14:textId="77777777" w:rsidR="00D1254B" w:rsidRPr="00456C7B" w:rsidRDefault="00D1254B" w:rsidP="004A59CD"/>
        </w:tc>
        <w:tc>
          <w:tcPr>
            <w:tcW w:w="2693" w:type="dxa"/>
          </w:tcPr>
          <w:p w14:paraId="1380D62F" w14:textId="1A971AE2" w:rsidR="00D1254B" w:rsidRPr="00456C7B" w:rsidRDefault="00D1254B" w:rsidP="004A59CD">
            <w:r w:rsidRPr="00456C7B">
              <w:t xml:space="preserve">Sofosbuvir/daclatasvir </w:t>
            </w:r>
          </w:p>
        </w:tc>
        <w:tc>
          <w:tcPr>
            <w:tcW w:w="2217" w:type="dxa"/>
          </w:tcPr>
          <w:p w14:paraId="60D5BF31" w14:textId="31EF0560" w:rsidR="00D1254B" w:rsidRPr="00456C7B" w:rsidRDefault="00D1254B" w:rsidP="004A59CD">
            <w:r w:rsidRPr="00456C7B">
              <w:t>12 weeks**</w:t>
            </w:r>
          </w:p>
        </w:tc>
      </w:tr>
      <w:tr w:rsidR="00D1254B" w:rsidRPr="00456C7B" w14:paraId="05D41B6E" w14:textId="0314A341" w:rsidTr="007D1BE8">
        <w:tc>
          <w:tcPr>
            <w:tcW w:w="4106" w:type="dxa"/>
            <w:vMerge/>
          </w:tcPr>
          <w:p w14:paraId="3DBF5D18" w14:textId="77777777" w:rsidR="00D1254B" w:rsidRPr="00456C7B" w:rsidRDefault="00D1254B" w:rsidP="004A59CD"/>
        </w:tc>
        <w:tc>
          <w:tcPr>
            <w:tcW w:w="2693" w:type="dxa"/>
          </w:tcPr>
          <w:p w14:paraId="71633423" w14:textId="2DC47319" w:rsidR="00D1254B" w:rsidRPr="00456C7B" w:rsidRDefault="00D1254B" w:rsidP="004A59CD">
            <w:r w:rsidRPr="00456C7B">
              <w:t>Sofosbuvir/</w:t>
            </w:r>
            <w:proofErr w:type="spellStart"/>
            <w:r w:rsidRPr="00456C7B">
              <w:t>velpatasvir</w:t>
            </w:r>
            <w:proofErr w:type="spellEnd"/>
            <w:r w:rsidRPr="00456C7B">
              <w:t xml:space="preserve"> </w:t>
            </w:r>
          </w:p>
        </w:tc>
        <w:tc>
          <w:tcPr>
            <w:tcW w:w="2217" w:type="dxa"/>
          </w:tcPr>
          <w:p w14:paraId="49C7B008" w14:textId="64805A60" w:rsidR="00D1254B" w:rsidRPr="00456C7B" w:rsidRDefault="00D1254B" w:rsidP="004A59CD">
            <w:r w:rsidRPr="00456C7B">
              <w:t>12 weeks</w:t>
            </w:r>
          </w:p>
        </w:tc>
      </w:tr>
    </w:tbl>
    <w:p w14:paraId="33B93A17" w14:textId="77777777" w:rsidR="00AD05E3" w:rsidRPr="00456C7B" w:rsidRDefault="00475268" w:rsidP="00AD05E3">
      <w:pPr>
        <w:spacing w:after="0" w:line="240" w:lineRule="auto"/>
        <w:ind w:right="-46"/>
        <w:rPr>
          <w:sz w:val="16"/>
          <w:szCs w:val="16"/>
        </w:rPr>
      </w:pPr>
      <w:r w:rsidRPr="00456C7B">
        <w:rPr>
          <w:sz w:val="16"/>
          <w:szCs w:val="16"/>
        </w:rPr>
        <w:t xml:space="preserve"> </w:t>
      </w:r>
      <w:r w:rsidR="00AD05E3" w:rsidRPr="00456C7B">
        <w:rPr>
          <w:sz w:val="16"/>
          <w:szCs w:val="16"/>
        </w:rPr>
        <w:t>* Persons with HCV genotype 3 infection who have received interferon and/or ribavirin in the past should be treated for 16 weeks.</w:t>
      </w:r>
    </w:p>
    <w:p w14:paraId="68239ACD" w14:textId="63F6465E" w:rsidR="00096E46" w:rsidRPr="00456C7B" w:rsidRDefault="00AD05E3" w:rsidP="00AD05E3">
      <w:pPr>
        <w:spacing w:after="0" w:line="240" w:lineRule="auto"/>
        <w:rPr>
          <w:sz w:val="16"/>
          <w:szCs w:val="16"/>
        </w:rPr>
      </w:pPr>
      <w:r w:rsidRPr="00456C7B">
        <w:rPr>
          <w:sz w:val="16"/>
          <w:szCs w:val="16"/>
        </w:rPr>
        <w:t xml:space="preserve">** May be considered in countries where genotype distribution is </w:t>
      </w:r>
      <w:proofErr w:type="gramStart"/>
      <w:r w:rsidRPr="00456C7B">
        <w:rPr>
          <w:sz w:val="16"/>
          <w:szCs w:val="16"/>
        </w:rPr>
        <w:t>known</w:t>
      </w:r>
      <w:proofErr w:type="gramEnd"/>
      <w:r w:rsidRPr="00456C7B">
        <w:rPr>
          <w:sz w:val="16"/>
          <w:szCs w:val="16"/>
        </w:rPr>
        <w:t xml:space="preserve"> and genotype 3 prevalence is &lt;5%.</w:t>
      </w:r>
    </w:p>
    <w:p w14:paraId="1E36BEDF" w14:textId="5E5C86EC" w:rsidR="007A746B" w:rsidRPr="00456C7B" w:rsidRDefault="007A746B" w:rsidP="00C14F64">
      <w:pPr>
        <w:rPr>
          <w:sz w:val="18"/>
          <w:szCs w:val="18"/>
        </w:rPr>
      </w:pPr>
      <w:r w:rsidRPr="00456C7B">
        <w:t xml:space="preserve"> </w:t>
      </w:r>
      <w:r w:rsidR="00CD3940" w:rsidRPr="00456C7B">
        <w:rPr>
          <w:sz w:val="18"/>
          <w:szCs w:val="18"/>
        </w:rPr>
        <w:t>Adapted</w:t>
      </w:r>
      <w:r w:rsidR="00A539A1" w:rsidRPr="00456C7B">
        <w:rPr>
          <w:sz w:val="18"/>
          <w:szCs w:val="18"/>
        </w:rPr>
        <w:t xml:space="preserve"> from the </w:t>
      </w:r>
      <w:bookmarkStart w:id="2" w:name="OLE_LINK1"/>
      <w:r w:rsidR="00A539A1" w:rsidRPr="00456C7B">
        <w:rPr>
          <w:sz w:val="18"/>
          <w:szCs w:val="18"/>
        </w:rPr>
        <w:t>WHO hepatitis C treatment guidelines</w:t>
      </w:r>
      <w:bookmarkEnd w:id="2"/>
      <w:r w:rsidR="00A539A1" w:rsidRPr="00456C7B">
        <w:rPr>
          <w:sz w:val="18"/>
          <w:szCs w:val="18"/>
        </w:rPr>
        <w:t xml:space="preserve"> 2018</w:t>
      </w:r>
    </w:p>
    <w:p w14:paraId="477279E9" w14:textId="57B72364" w:rsidR="00431F97" w:rsidRPr="00456C7B" w:rsidRDefault="00C25E79" w:rsidP="00EA6F50">
      <w:pPr>
        <w:spacing w:line="360" w:lineRule="auto"/>
        <w:jc w:val="both"/>
      </w:pPr>
      <w:r w:rsidRPr="00456C7B">
        <w:t xml:space="preserve">Sofosbuvir, </w:t>
      </w:r>
      <w:r w:rsidR="00192C0C" w:rsidRPr="00456C7B">
        <w:t xml:space="preserve">a DAA produced by Gilead Sciences (hereafter, Gilead) and </w:t>
      </w:r>
      <w:r w:rsidRPr="00456C7B">
        <w:t xml:space="preserve">marketed as </w:t>
      </w:r>
      <w:proofErr w:type="spellStart"/>
      <w:r w:rsidRPr="00456C7B">
        <w:t>Sovaldi</w:t>
      </w:r>
      <w:proofErr w:type="spellEnd"/>
      <w:r w:rsidR="004D39AC" w:rsidRPr="00456C7B">
        <w:t>,</w:t>
      </w:r>
      <w:r w:rsidRPr="00456C7B">
        <w:t xml:space="preserve"> was first launched in 2014 for </w:t>
      </w:r>
      <w:r w:rsidR="007C4395" w:rsidRPr="00456C7B">
        <w:t>a price that made it unaffordable to most people even in high-income countries</w:t>
      </w:r>
      <w:r w:rsidRPr="00456C7B">
        <w:t xml:space="preserve">. </w:t>
      </w:r>
      <w:r w:rsidR="00DC5DEE" w:rsidRPr="00456C7B">
        <w:t xml:space="preserve"> </w:t>
      </w:r>
      <w:r w:rsidRPr="00456C7B">
        <w:t>A 12-week combination treatment with a sofosbuvir-based regimen ranged from US$84,000 to $94,000</w:t>
      </w:r>
      <w:r w:rsidR="008B04A0" w:rsidRPr="00456C7B">
        <w:t xml:space="preserve"> or </w:t>
      </w:r>
      <w:r w:rsidR="000C16F7" w:rsidRPr="00456C7B">
        <w:rPr>
          <w:rFonts w:ascii="Cambria Math" w:hAnsi="Cambria Math" w:cs="Cambria Math"/>
        </w:rPr>
        <w:t xml:space="preserve">approximately </w:t>
      </w:r>
      <w:r w:rsidR="008B04A0" w:rsidRPr="00456C7B">
        <w:t>US$1000 per pill</w:t>
      </w:r>
      <w:r w:rsidR="00D12F1B" w:rsidRPr="00456C7B">
        <w:t xml:space="preserve"> </w:t>
      </w:r>
      <w:r w:rsidR="00D12F1B" w:rsidRPr="00456C7B">
        <w:fldChar w:fldCharType="begin"/>
      </w:r>
      <w:r w:rsidR="00A2659F">
        <w:instrText xml:space="preserve"> ADDIN EN.CITE &lt;EndNote&gt;&lt;Cite&gt;&lt;Author&gt;Senior&lt;/Author&gt;&lt;Year&gt;2014&lt;/Year&gt;&lt;RecNum&gt;423&lt;/RecNum&gt;&lt;DisplayText&gt;(34)&lt;/DisplayText&gt;&lt;record&gt;&lt;rec-number&gt;423&lt;/rec-number&gt;&lt;foreign-keys&gt;&lt;key app="EN" db-id="dfp5tt9d12x9vhewffovwt2jvd9t5vpwzvxr" timestamp="1648598046"&gt;423&lt;/key&gt;&lt;/foreign-keys&gt;&lt;ref-type name="Journal Article"&gt;17&lt;/ref-type&gt;&lt;contributors&gt;&lt;authors&gt;&lt;author&gt;Senior, Melanie&lt;/author&gt;&lt;/authors&gt;&lt;/contributors&gt;&lt;titles&gt;&lt;title&gt;Sovaldi makes blockbuster history, ignites drug pricing unrest&lt;/title&gt;&lt;secondary-title&gt;Nature Biotechnology&lt;/secondary-title&gt;&lt;/titles&gt;&lt;periodical&gt;&lt;full-title&gt;Nature Biotechnology&lt;/full-title&gt;&lt;/periodical&gt;&lt;pages&gt;501&lt;/pages&gt;&lt;volume&gt;32&lt;/volume&gt;&lt;number&gt;6&lt;/number&gt;&lt;dates&gt;&lt;year&gt;2014&lt;/year&gt;&lt;/dates&gt;&lt;isbn&gt;1087-0156&lt;/isbn&gt;&lt;urls&gt;&lt;/urls&gt;&lt;/record&gt;&lt;/Cite&gt;&lt;/EndNote&gt;</w:instrText>
      </w:r>
      <w:r w:rsidR="00D12F1B" w:rsidRPr="00456C7B">
        <w:fldChar w:fldCharType="separate"/>
      </w:r>
      <w:r w:rsidR="00A2659F">
        <w:rPr>
          <w:noProof/>
        </w:rPr>
        <w:t>(34)</w:t>
      </w:r>
      <w:r w:rsidR="00D12F1B" w:rsidRPr="00456C7B">
        <w:fldChar w:fldCharType="end"/>
      </w:r>
      <w:r w:rsidR="008B04A0" w:rsidRPr="00456C7B">
        <w:t>.</w:t>
      </w:r>
      <w:r w:rsidR="00232E54" w:rsidRPr="00456C7B">
        <w:t xml:space="preserve"> In its first year</w:t>
      </w:r>
      <w:r w:rsidR="00431F97" w:rsidRPr="00456C7B">
        <w:t xml:space="preserve"> on the market, </w:t>
      </w:r>
      <w:proofErr w:type="spellStart"/>
      <w:r w:rsidR="00232E54" w:rsidRPr="00456C7B">
        <w:t>Sovaldi</w:t>
      </w:r>
      <w:proofErr w:type="spellEnd"/>
      <w:r w:rsidR="00232E54" w:rsidRPr="00456C7B">
        <w:t xml:space="preserve"> generated $</w:t>
      </w:r>
      <w:r w:rsidR="007C4395" w:rsidRPr="00456C7B">
        <w:t>US</w:t>
      </w:r>
      <w:r w:rsidR="00232E54" w:rsidRPr="00456C7B">
        <w:t xml:space="preserve">10.3 billion in sales for Gilead and </w:t>
      </w:r>
      <w:r w:rsidR="0011707A" w:rsidRPr="00456C7B">
        <w:t xml:space="preserve">came close to being the </w:t>
      </w:r>
      <w:r w:rsidR="00742C17" w:rsidRPr="00456C7B">
        <w:t xml:space="preserve">highest revenue producing </w:t>
      </w:r>
      <w:r w:rsidR="006A6BFE" w:rsidRPr="00456C7B">
        <w:t>medicine</w:t>
      </w:r>
      <w:r w:rsidR="00742C17" w:rsidRPr="00456C7B">
        <w:t xml:space="preserve"> </w:t>
      </w:r>
      <w:r w:rsidR="0011707A" w:rsidRPr="00456C7B">
        <w:t>in the worl</w:t>
      </w:r>
      <w:r w:rsidR="00431F97" w:rsidRPr="00456C7B">
        <w:t>d</w:t>
      </w:r>
      <w:r w:rsidR="00594564" w:rsidRPr="00456C7B">
        <w:t xml:space="preserve"> </w:t>
      </w:r>
      <w:r w:rsidR="00594564" w:rsidRPr="00456C7B">
        <w:fldChar w:fldCharType="begin"/>
      </w:r>
      <w:r w:rsidR="00A2659F">
        <w:instrText xml:space="preserve"> ADDIN EN.CITE &lt;EndNote&gt;&lt;Cite&gt;&lt;Author&gt;Pollack&lt;/Author&gt;&lt;Year&gt;2015&lt;/Year&gt;&lt;RecNum&gt;424&lt;/RecNum&gt;&lt;DisplayText&gt;(35)&lt;/DisplayText&gt;&lt;record&gt;&lt;rec-number&gt;424&lt;/rec-number&gt;&lt;foreign-keys&gt;&lt;key app="EN" db-id="dfp5tt9d12x9vhewffovwt2jvd9t5vpwzvxr" timestamp="1648598560"&gt;424&lt;/key&gt;&lt;/foreign-keys&gt;&lt;ref-type name="Journal Article"&gt;17&lt;/ref-type&gt;&lt;contributors&gt;&lt;authors&gt;&lt;author&gt;Pollack, Andrew&lt;/author&gt;&lt;/authors&gt;&lt;/contributors&gt;&lt;titles&gt;&lt;title&gt;Sales of Sovaldi, new Gilead hepatitis C drug, soar to $10.3 billion&lt;/title&gt;&lt;secondary-title&gt;New York Times&lt;/secondary-title&gt;&lt;/titles&gt;&lt;periodical&gt;&lt;full-title&gt;New York Times&lt;/full-title&gt;&lt;/periodical&gt;&lt;volume&gt;3&lt;/volume&gt;&lt;dates&gt;&lt;year&gt;2015&lt;/year&gt;&lt;/dates&gt;&lt;urls&gt;&lt;/urls&gt;&lt;/record&gt;&lt;/Cite&gt;&lt;/EndNote&gt;</w:instrText>
      </w:r>
      <w:r w:rsidR="00594564" w:rsidRPr="00456C7B">
        <w:fldChar w:fldCharType="separate"/>
      </w:r>
      <w:r w:rsidR="00A2659F">
        <w:rPr>
          <w:noProof/>
        </w:rPr>
        <w:t>(35)</w:t>
      </w:r>
      <w:r w:rsidR="00594564" w:rsidRPr="00456C7B">
        <w:fldChar w:fldCharType="end"/>
      </w:r>
      <w:r w:rsidR="00431F97" w:rsidRPr="00456C7B">
        <w:t>.</w:t>
      </w:r>
      <w:r w:rsidR="00A511A8" w:rsidRPr="00456C7B">
        <w:t xml:space="preserve"> </w:t>
      </w:r>
      <w:r w:rsidR="00AE44F5" w:rsidRPr="00456C7B">
        <w:t>In contrast, a</w:t>
      </w:r>
      <w:r w:rsidR="00C756D9" w:rsidRPr="00456C7B">
        <w:t xml:space="preserve"> study from 2014 estimated the</w:t>
      </w:r>
      <w:r w:rsidR="007253E4" w:rsidRPr="00456C7B">
        <w:t xml:space="preserve"> manufacturing costs</w:t>
      </w:r>
      <w:r w:rsidR="00C756D9" w:rsidRPr="00456C7B">
        <w:t xml:space="preserve"> of a</w:t>
      </w:r>
      <w:r w:rsidR="007253E4" w:rsidRPr="00456C7B">
        <w:t xml:space="preserve"> </w:t>
      </w:r>
      <w:r w:rsidR="00C756D9" w:rsidRPr="00456C7B">
        <w:t>12-week course of sofosbuvir</w:t>
      </w:r>
      <w:r w:rsidR="00C245CB" w:rsidRPr="00456C7B">
        <w:t xml:space="preserve"> to be US</w:t>
      </w:r>
      <w:r w:rsidR="006A4118" w:rsidRPr="00456C7B">
        <w:t>$</w:t>
      </w:r>
      <w:r w:rsidR="007253E4" w:rsidRPr="00456C7B">
        <w:t>68–</w:t>
      </w:r>
      <w:r w:rsidR="00C245CB" w:rsidRPr="00456C7B">
        <w:t>US</w:t>
      </w:r>
      <w:r w:rsidR="006A4118" w:rsidRPr="00456C7B">
        <w:t>$</w:t>
      </w:r>
      <w:r w:rsidR="007253E4" w:rsidRPr="00456C7B">
        <w:t>136</w:t>
      </w:r>
      <w:r w:rsidR="002A00E6" w:rsidRPr="00456C7B">
        <w:t xml:space="preserve"> </w:t>
      </w:r>
      <w:r w:rsidR="002A00E6" w:rsidRPr="00456C7B">
        <w:fldChar w:fldCharType="begin"/>
      </w:r>
      <w:r w:rsidR="00A2659F">
        <w:instrText xml:space="preserve"> ADDIN EN.CITE &lt;EndNote&gt;&lt;Cite&gt;&lt;Author&gt;Hill&lt;/Author&gt;&lt;Year&gt;2014&lt;/Year&gt;&lt;RecNum&gt;431&lt;/RecNum&gt;&lt;DisplayText&gt;(36)&lt;/DisplayText&gt;&lt;record&gt;&lt;rec-number&gt;431&lt;/rec-number&gt;&lt;foreign-keys&gt;&lt;key app="EN" db-id="dfp5tt9d12x9vhewffovwt2jvd9t5vpwzvxr" timestamp="1648688031"&gt;431&lt;/key&gt;&lt;/foreign-keys&gt;&lt;ref-type name="Journal Article"&gt;17&lt;/ref-type&gt;&lt;contributors&gt;&lt;authors&gt;&lt;author&gt;Hill, Andrew&lt;/author&gt;&lt;author&gt;Khoo, Saye&lt;/author&gt;&lt;author&gt;Fortunak, Joe&lt;/author&gt;&lt;author&gt;Simmons, Bryony&lt;/author&gt;&lt;author&gt;Ford, Nathan&lt;/author&gt;&lt;/authors&gt;&lt;/contributors&gt;&lt;titles&gt;&lt;title&gt;Minimum costs for producing hepatitis C direct-acting antivirals for use in large-scale treatment access programs in developing countries&lt;/title&gt;&lt;secondary-title&gt;Clinical Infectious Diseases&lt;/secondary-title&gt;&lt;/titles&gt;&lt;periodical&gt;&lt;full-title&gt;Clinical Infectious Diseases&lt;/full-title&gt;&lt;/periodical&gt;&lt;pages&gt;928-936&lt;/pages&gt;&lt;volume&gt;58&lt;/volume&gt;&lt;number&gt;7&lt;/number&gt;&lt;dates&gt;&lt;year&gt;2014&lt;/year&gt;&lt;/dates&gt;&lt;isbn&gt;1537-6591&lt;/isbn&gt;&lt;urls&gt;&lt;/urls&gt;&lt;/record&gt;&lt;/Cite&gt;&lt;/EndNote&gt;</w:instrText>
      </w:r>
      <w:r w:rsidR="002A00E6" w:rsidRPr="00456C7B">
        <w:fldChar w:fldCharType="separate"/>
      </w:r>
      <w:r w:rsidR="00A2659F">
        <w:rPr>
          <w:noProof/>
        </w:rPr>
        <w:t>(36)</w:t>
      </w:r>
      <w:r w:rsidR="002A00E6" w:rsidRPr="00456C7B">
        <w:fldChar w:fldCharType="end"/>
      </w:r>
      <w:r w:rsidR="00C245CB" w:rsidRPr="00456C7B">
        <w:t>.</w:t>
      </w:r>
    </w:p>
    <w:p w14:paraId="2E86C256" w14:textId="24DCD8B6" w:rsidR="00726EFE" w:rsidRPr="00456C7B" w:rsidRDefault="00726EFE" w:rsidP="00EA6F50">
      <w:pPr>
        <w:pStyle w:val="Heading2"/>
        <w:spacing w:line="360" w:lineRule="auto"/>
      </w:pPr>
      <w:r w:rsidRPr="00456C7B">
        <w:t>Medicines Patent Pool (MPP) licences</w:t>
      </w:r>
    </w:p>
    <w:p w14:paraId="1346565F" w14:textId="009561C4" w:rsidR="00C14F64" w:rsidRPr="00456C7B" w:rsidRDefault="00726EFE" w:rsidP="00EA6F50">
      <w:pPr>
        <w:spacing w:line="360" w:lineRule="auto"/>
        <w:jc w:val="both"/>
      </w:pPr>
      <w:r w:rsidRPr="00456C7B">
        <w:t>The MPP</w:t>
      </w:r>
      <w:r w:rsidR="00C14F64" w:rsidRPr="00456C7B">
        <w:t xml:space="preserve"> is a United Nations-backed public health organisation working to increase access to, and facilitate the development of, life-saving medicines for </w:t>
      </w:r>
      <w:r w:rsidR="00A751DE">
        <w:t>LMIC</w:t>
      </w:r>
      <w:r w:rsidR="00C14F64" w:rsidRPr="00456C7B">
        <w:t xml:space="preserve">. MPP partners with civil society, </w:t>
      </w:r>
      <w:r w:rsidR="00C14F64" w:rsidRPr="00456C7B">
        <w:lastRenderedPageBreak/>
        <w:t>governments, international organisations, industry, patient groups, and other stakeholders, to prioritise and</w:t>
      </w:r>
      <w:r w:rsidR="00BA5CFF" w:rsidRPr="00456C7B">
        <w:t xml:space="preserve"> facilitate </w:t>
      </w:r>
      <w:r w:rsidR="00624AC9" w:rsidRPr="00456C7B">
        <w:t>voluntary</w:t>
      </w:r>
      <w:r w:rsidR="00C14F64" w:rsidRPr="00456C7B">
        <w:t xml:space="preserve"> license</w:t>
      </w:r>
      <w:r w:rsidR="00BA5CFF" w:rsidRPr="00456C7B">
        <w:t xml:space="preserve">s for priority </w:t>
      </w:r>
      <w:r w:rsidR="00C14F64" w:rsidRPr="00456C7B">
        <w:t>medicines and pool intellectual property to encourage generic manufacture and the development of new formulations</w:t>
      </w:r>
      <w:r w:rsidR="00400C5A" w:rsidRPr="00456C7B">
        <w:t xml:space="preserve"> </w:t>
      </w:r>
      <w:r w:rsidR="00400C5A" w:rsidRPr="00456C7B">
        <w:fldChar w:fldCharType="begin"/>
      </w:r>
      <w:r w:rsidR="00A2659F">
        <w:instrText xml:space="preserve"> ADDIN EN.CITE &lt;EndNote&gt;&lt;Cite&gt;&lt;Author&gt;Medicines Patent Pool&lt;/Author&gt;&lt;RecNum&gt;425&lt;/RecNum&gt;&lt;DisplayText&gt;(37)&lt;/DisplayText&gt;&lt;record&gt;&lt;rec-number&gt;425&lt;/rec-number&gt;&lt;foreign-keys&gt;&lt;key app="EN" db-id="dfp5tt9d12x9vhewffovwt2jvd9t5vpwzvxr" timestamp="1648598749"&gt;425&lt;/key&gt;&lt;/foreign-keys&gt;&lt;ref-type name="Web Page"&gt;12&lt;/ref-type&gt;&lt;contributors&gt;&lt;authors&gt;&lt;author&gt;Medicines Patent Pool,&lt;/author&gt;&lt;/authors&gt;&lt;/contributors&gt;&lt;titles&gt;&lt;title&gt;About Us&lt;/title&gt;&lt;/titles&gt;&lt;volume&gt;2022&lt;/volume&gt;&lt;number&gt;12/9/2022&lt;/number&gt;&lt;dates&gt;&lt;/dates&gt;&lt;urls&gt;&lt;related-urls&gt;&lt;url&gt;https://medicinespatentpool.org/who-we-are/about-us&lt;/url&gt;&lt;/related-urls&gt;&lt;/urls&gt;&lt;custom1&gt;2022&lt;/custom1&gt;&lt;custom2&gt;12/9/2022&lt;/custom2&gt;&lt;/record&gt;&lt;/Cite&gt;&lt;/EndNote&gt;</w:instrText>
      </w:r>
      <w:r w:rsidR="00400C5A" w:rsidRPr="00456C7B">
        <w:fldChar w:fldCharType="separate"/>
      </w:r>
      <w:r w:rsidR="00A2659F">
        <w:rPr>
          <w:noProof/>
        </w:rPr>
        <w:t>(37)</w:t>
      </w:r>
      <w:r w:rsidR="00400C5A" w:rsidRPr="00456C7B">
        <w:fldChar w:fldCharType="end"/>
      </w:r>
      <w:r w:rsidR="00C14F64" w:rsidRPr="00456C7B">
        <w:t>.</w:t>
      </w:r>
    </w:p>
    <w:p w14:paraId="2683165D" w14:textId="54DFD34F" w:rsidR="00624AC9" w:rsidRPr="00456C7B" w:rsidRDefault="00BA5CFF" w:rsidP="001E24A5">
      <w:pPr>
        <w:spacing w:line="360" w:lineRule="auto"/>
        <w:jc w:val="both"/>
      </w:pPr>
      <w:r w:rsidRPr="00456C7B">
        <w:t>Most agreements facilitated and signed by MPP are for ARV</w:t>
      </w:r>
      <w:r w:rsidR="00A10DF3" w:rsidRPr="00456C7B">
        <w:t>s,</w:t>
      </w:r>
      <w:r w:rsidRPr="00456C7B">
        <w:t xml:space="preserve"> however </w:t>
      </w:r>
      <w:r w:rsidR="00C14F64" w:rsidRPr="00456C7B">
        <w:t xml:space="preserve">MPP has </w:t>
      </w:r>
      <w:r w:rsidRPr="00456C7B">
        <w:t xml:space="preserve">also </w:t>
      </w:r>
      <w:r w:rsidR="00C14F64" w:rsidRPr="00456C7B">
        <w:t xml:space="preserve">signed agreements with </w:t>
      </w:r>
      <w:r w:rsidR="00624AC9" w:rsidRPr="00456C7B">
        <w:t>three</w:t>
      </w:r>
      <w:r w:rsidRPr="00456C7B">
        <w:t xml:space="preserve"> </w:t>
      </w:r>
      <w:r w:rsidR="00C14F64" w:rsidRPr="00456C7B">
        <w:t xml:space="preserve">patent </w:t>
      </w:r>
      <w:r w:rsidRPr="00456C7B">
        <w:t xml:space="preserve">holders for </w:t>
      </w:r>
      <w:r w:rsidR="00C14F64" w:rsidRPr="00456C7B">
        <w:t xml:space="preserve">three hepatitis C </w:t>
      </w:r>
      <w:r w:rsidRPr="00456C7B">
        <w:t>DAAs</w:t>
      </w:r>
      <w:r w:rsidR="001E24A5" w:rsidRPr="00456C7B">
        <w:t xml:space="preserve">; Daclatasvir (DAC) </w:t>
      </w:r>
      <w:proofErr w:type="spellStart"/>
      <w:r w:rsidR="001E24A5" w:rsidRPr="00456C7B">
        <w:t>Glecaprevir</w:t>
      </w:r>
      <w:proofErr w:type="spellEnd"/>
      <w:r w:rsidR="001E24A5" w:rsidRPr="00456C7B">
        <w:t>/</w:t>
      </w:r>
      <w:proofErr w:type="spellStart"/>
      <w:r w:rsidR="001E24A5" w:rsidRPr="00456C7B">
        <w:t>pibrentasvir</w:t>
      </w:r>
      <w:proofErr w:type="spellEnd"/>
      <w:r w:rsidR="001E24A5" w:rsidRPr="00456C7B">
        <w:t xml:space="preserve"> (G/P) and </w:t>
      </w:r>
      <w:proofErr w:type="spellStart"/>
      <w:r w:rsidR="001E24A5" w:rsidRPr="00456C7B">
        <w:t>Ravidasvir</w:t>
      </w:r>
      <w:proofErr w:type="spellEnd"/>
      <w:r w:rsidR="001E24A5" w:rsidRPr="00456C7B">
        <w:t xml:space="preserve"> (RAV)</w:t>
      </w:r>
      <w:r w:rsidR="00C046C5" w:rsidRPr="00456C7B">
        <w:t xml:space="preserve"> </w:t>
      </w:r>
      <w:r w:rsidR="00C046C5" w:rsidRPr="00456C7B">
        <w:fldChar w:fldCharType="begin"/>
      </w:r>
      <w:r w:rsidR="00A2659F">
        <w:instrText xml:space="preserve"> ADDIN EN.CITE &lt;EndNote&gt;&lt;Cite&gt;&lt;Author&gt;Medicines Patent Pool&lt;/Author&gt;&lt;RecNum&gt;426&lt;/RecNum&gt;&lt;DisplayText&gt;(38)&lt;/DisplayText&gt;&lt;record&gt;&lt;rec-number&gt;426&lt;/rec-number&gt;&lt;foreign-keys&gt;&lt;key app="EN" db-id="dfp5tt9d12x9vhewffovwt2jvd9t5vpwzvxr" timestamp="1648598873"&gt;426&lt;/key&gt;&lt;/foreign-keys&gt;&lt;ref-type name="Web Page"&gt;12&lt;/ref-type&gt;&lt;contributors&gt;&lt;authors&gt;&lt;author&gt;Medicines Patent Pool,&lt;/author&gt;&lt;/authors&gt;&lt;/contributors&gt;&lt;titles&gt;&lt;title&gt;Disease Areas&lt;/title&gt;&lt;/titles&gt;&lt;volume&gt;2022&lt;/volume&gt;&lt;number&gt;30/3/2022&lt;/number&gt;&lt;dates&gt;&lt;/dates&gt;&lt;urls&gt;&lt;related-urls&gt;&lt;url&gt;https://medicinespatentpool.org/what-we-do/disease-areas#pills-VIRAL-HEPATITIS&lt;/url&gt;&lt;/related-urls&gt;&lt;/urls&gt;&lt;custom1&gt;2022&lt;/custom1&gt;&lt;custom2&gt;30/3/2022&lt;/custom2&gt;&lt;/record&gt;&lt;/Cite&gt;&lt;/EndNote&gt;</w:instrText>
      </w:r>
      <w:r w:rsidR="00C046C5" w:rsidRPr="00456C7B">
        <w:fldChar w:fldCharType="separate"/>
      </w:r>
      <w:r w:rsidR="00A2659F">
        <w:rPr>
          <w:noProof/>
        </w:rPr>
        <w:t>(38)</w:t>
      </w:r>
      <w:r w:rsidR="00C046C5" w:rsidRPr="00456C7B">
        <w:fldChar w:fldCharType="end"/>
      </w:r>
      <w:r w:rsidRPr="00456C7B">
        <w:t>.</w:t>
      </w:r>
      <w:r w:rsidR="00624AC9" w:rsidRPr="00456C7B">
        <w:t xml:space="preserve"> The</w:t>
      </w:r>
      <w:r w:rsidR="00CD66AD" w:rsidRPr="00456C7B">
        <w:t>y</w:t>
      </w:r>
      <w:r w:rsidR="00624AC9" w:rsidRPr="00456C7B">
        <w:t xml:space="preserve"> are detailed in </w:t>
      </w:r>
      <w:r w:rsidR="001E24A5" w:rsidRPr="00456C7B">
        <w:t xml:space="preserve">Supplementary </w:t>
      </w:r>
      <w:r w:rsidR="00FF2E51" w:rsidRPr="00456C7B">
        <w:t>file</w:t>
      </w:r>
      <w:r w:rsidR="001E24A5" w:rsidRPr="00456C7B">
        <w:t xml:space="preserve"> 1</w:t>
      </w:r>
      <w:r w:rsidR="00CD66AD" w:rsidRPr="00456C7B">
        <w:t>.</w:t>
      </w:r>
      <w:r w:rsidR="00781494" w:rsidRPr="00456C7B">
        <w:rPr>
          <w:sz w:val="18"/>
          <w:szCs w:val="18"/>
        </w:rPr>
        <w:t xml:space="preserve"> </w:t>
      </w:r>
    </w:p>
    <w:p w14:paraId="3026D250" w14:textId="1C7690FA" w:rsidR="00C14F64" w:rsidRPr="00456C7B" w:rsidRDefault="00D25AEA" w:rsidP="008F158A">
      <w:pPr>
        <w:spacing w:line="360" w:lineRule="auto"/>
        <w:jc w:val="both"/>
      </w:pPr>
      <w:r w:rsidRPr="00456C7B">
        <w:t xml:space="preserve">Thailand is not included in any of the three DAA MPP agreements </w:t>
      </w:r>
      <w:r w:rsidR="00DF73A6" w:rsidRPr="00456C7B">
        <w:t xml:space="preserve">given it is an </w:t>
      </w:r>
      <w:r w:rsidR="00B27AD4" w:rsidRPr="00456C7B">
        <w:t xml:space="preserve">upper-middle income country </w:t>
      </w:r>
      <w:r w:rsidR="00DF73A6" w:rsidRPr="00456C7B">
        <w:t xml:space="preserve">and the MPP is focused primarily on increasing access to medication in </w:t>
      </w:r>
      <w:r w:rsidR="00A751DE">
        <w:t>LMIC</w:t>
      </w:r>
      <w:r w:rsidR="00DF73A6" w:rsidRPr="00456C7B">
        <w:t xml:space="preserve">. </w:t>
      </w:r>
      <w:r w:rsidR="005C5200" w:rsidRPr="00456C7B">
        <w:t>In</w:t>
      </w:r>
      <w:r w:rsidR="00376843" w:rsidRPr="00456C7B">
        <w:t xml:space="preserve"> March 2020</w:t>
      </w:r>
      <w:r w:rsidR="002915EE" w:rsidRPr="00456C7B">
        <w:t xml:space="preserve">, </w:t>
      </w:r>
      <w:r w:rsidR="00480D3B" w:rsidRPr="00456C7B">
        <w:t>Bristol-Myers Squibb (</w:t>
      </w:r>
      <w:r w:rsidR="00FD5AA9" w:rsidRPr="00456C7B">
        <w:t>BMS</w:t>
      </w:r>
      <w:r w:rsidR="00480D3B" w:rsidRPr="00456C7B">
        <w:t>)</w:t>
      </w:r>
      <w:r w:rsidR="00FD5AA9" w:rsidRPr="00456C7B">
        <w:t xml:space="preserve"> </w:t>
      </w:r>
      <w:r w:rsidR="005C5200" w:rsidRPr="00456C7B">
        <w:t>announced that it would</w:t>
      </w:r>
      <w:r w:rsidR="00FD5AA9" w:rsidRPr="00456C7B">
        <w:t xml:space="preserve"> not enforce patents on Dacla</w:t>
      </w:r>
      <w:r w:rsidR="00376843" w:rsidRPr="00456C7B">
        <w:t>ta</w:t>
      </w:r>
      <w:r w:rsidR="00FD5AA9" w:rsidRPr="00456C7B">
        <w:t>svir</w:t>
      </w:r>
      <w:r w:rsidR="005C5200" w:rsidRPr="00456C7B">
        <w:t xml:space="preserve"> in countries where the product </w:t>
      </w:r>
      <w:r w:rsidR="003C5215" w:rsidRPr="00456C7B">
        <w:t xml:space="preserve">is </w:t>
      </w:r>
      <w:r w:rsidR="005C5200" w:rsidRPr="00456C7B">
        <w:t>no longer routinely prescribed or where there are other therapeutic options available</w:t>
      </w:r>
      <w:r w:rsidR="003C5215" w:rsidRPr="00456C7B">
        <w:t xml:space="preserve">. </w:t>
      </w:r>
      <w:r w:rsidR="009C6314" w:rsidRPr="00456C7B">
        <w:t>Thailand was included among these countries.</w:t>
      </w:r>
      <w:r w:rsidR="003C5215" w:rsidRPr="00456C7B">
        <w:t xml:space="preserve"> Additionally</w:t>
      </w:r>
      <w:r w:rsidR="00D17210" w:rsidRPr="00456C7B">
        <w:t>,</w:t>
      </w:r>
      <w:r w:rsidR="003C5215" w:rsidRPr="00456C7B">
        <w:t xml:space="preserve"> BMS</w:t>
      </w:r>
      <w:r w:rsidR="005C5200" w:rsidRPr="00456C7B">
        <w:t xml:space="preserve"> </w:t>
      </w:r>
      <w:r w:rsidR="00981C47" w:rsidRPr="00456C7B">
        <w:t>will</w:t>
      </w:r>
      <w:r w:rsidR="003C5215" w:rsidRPr="00456C7B">
        <w:t xml:space="preserve"> </w:t>
      </w:r>
      <w:r w:rsidR="00A75ABF" w:rsidRPr="00456C7B">
        <w:t>discontinue</w:t>
      </w:r>
      <w:r w:rsidR="005C5200" w:rsidRPr="00456C7B">
        <w:t xml:space="preserve"> </w:t>
      </w:r>
      <w:proofErr w:type="spellStart"/>
      <w:r w:rsidR="005C5200" w:rsidRPr="00456C7B">
        <w:t>Daklinza</w:t>
      </w:r>
      <w:proofErr w:type="spellEnd"/>
      <w:r w:rsidR="005C5200" w:rsidRPr="00456C7B">
        <w:t xml:space="preserve">, </w:t>
      </w:r>
      <w:r w:rsidR="00A10DF3" w:rsidRPr="00456C7B">
        <w:t xml:space="preserve">its </w:t>
      </w:r>
      <w:r w:rsidR="003C5215" w:rsidRPr="00456C7B">
        <w:t xml:space="preserve">originator brand of </w:t>
      </w:r>
      <w:r w:rsidR="00192C0C" w:rsidRPr="00456C7B">
        <w:t>d</w:t>
      </w:r>
      <w:r w:rsidR="003C5215" w:rsidRPr="00456C7B">
        <w:t xml:space="preserve">aclatasvir in those </w:t>
      </w:r>
      <w:r w:rsidR="00D17210" w:rsidRPr="00456C7B">
        <w:t xml:space="preserve">same </w:t>
      </w:r>
      <w:r w:rsidR="003C5215" w:rsidRPr="00456C7B">
        <w:t xml:space="preserve">countries. </w:t>
      </w:r>
      <w:r w:rsidR="00D17210" w:rsidRPr="00456C7B">
        <w:t xml:space="preserve">The BMS </w:t>
      </w:r>
      <w:r w:rsidR="001F74C1" w:rsidRPr="00456C7B">
        <w:t xml:space="preserve">and the AbbVie </w:t>
      </w:r>
      <w:r w:rsidR="00D17210" w:rsidRPr="00456C7B">
        <w:t>MPP Agreement</w:t>
      </w:r>
      <w:r w:rsidR="00713954" w:rsidRPr="00456C7B">
        <w:t>s</w:t>
      </w:r>
      <w:r w:rsidR="00D17210" w:rsidRPr="00456C7B">
        <w:t xml:space="preserve"> allow</w:t>
      </w:r>
      <w:r w:rsidR="001F74C1" w:rsidRPr="00456C7B">
        <w:t xml:space="preserve"> </w:t>
      </w:r>
      <w:r w:rsidR="00DC5DEE" w:rsidRPr="00456C7B">
        <w:t xml:space="preserve">countries not included in the licence </w:t>
      </w:r>
      <w:r w:rsidR="00D17210" w:rsidRPr="00456C7B">
        <w:t>to</w:t>
      </w:r>
      <w:r w:rsidR="00DC5DEE" w:rsidRPr="00456C7B">
        <w:t xml:space="preserve"> be supplied by MPP licensees </w:t>
      </w:r>
      <w:r w:rsidR="00553C08" w:rsidRPr="00456C7B">
        <w:t xml:space="preserve">provided </w:t>
      </w:r>
      <w:r w:rsidR="00DC5DEE" w:rsidRPr="00456C7B">
        <w:t>no patent is being infringed</w:t>
      </w:r>
      <w:r w:rsidR="00C32861" w:rsidRPr="00456C7B">
        <w:t xml:space="preserve"> </w:t>
      </w:r>
      <w:r w:rsidR="00576048" w:rsidRPr="00456C7B">
        <w:fldChar w:fldCharType="begin"/>
      </w:r>
      <w:r w:rsidR="00A2659F">
        <w:instrText xml:space="preserve"> ADDIN EN.CITE &lt;EndNote&gt;&lt;Cite&gt;&lt;Author&gt;Medicines Patent Pool&lt;/Author&gt;&lt;Year&gt;16 March 2020&lt;/Year&gt;&lt;RecNum&gt;419&lt;/RecNum&gt;&lt;DisplayText&gt;(39)&lt;/DisplayText&gt;&lt;record&gt;&lt;rec-number&gt;419&lt;/rec-number&gt;&lt;foreign-keys&gt;&lt;key app="EN" db-id="dfp5tt9d12x9vhewffovwt2jvd9t5vpwzvxr" timestamp="1648595614"&gt;419&lt;/key&gt;&lt;/foreign-keys&gt;&lt;ref-type name="Web Page"&gt;12&lt;/ref-type&gt;&lt;contributors&gt;&lt;authors&gt;&lt;author&gt;Medicines Patent Pool,&lt;/author&gt;&lt;/authors&gt;&lt;/contributors&gt;&lt;titles&gt;&lt;title&gt;Affordable versions of hepatitis C medicine daclatasvir soon available in additional countries&lt;/title&gt;&lt;/titles&gt;&lt;volume&gt;2022&lt;/volume&gt;&lt;number&gt;30/3/2022&lt;/number&gt;&lt;dates&gt;&lt;year&gt;16 March 2020&lt;/year&gt;&lt;/dates&gt;&lt;urls&gt;&lt;related-urls&gt;&lt;url&gt;https://medicinespatentpool.org/news-publications-post/affordable-versions-of-hepatitis-c-medicine-daclatasvir-soon-available-in-additional-countries&lt;/url&gt;&lt;/related-urls&gt;&lt;/urls&gt;&lt;custom1&gt;2022&lt;/custom1&gt;&lt;custom2&gt;30/3/2022&lt;/custom2&gt;&lt;/record&gt;&lt;/Cite&gt;&lt;/EndNote&gt;</w:instrText>
      </w:r>
      <w:r w:rsidR="00576048" w:rsidRPr="00456C7B">
        <w:fldChar w:fldCharType="separate"/>
      </w:r>
      <w:r w:rsidR="00A2659F">
        <w:rPr>
          <w:noProof/>
        </w:rPr>
        <w:t>(39)</w:t>
      </w:r>
      <w:r w:rsidR="00576048" w:rsidRPr="00456C7B">
        <w:fldChar w:fldCharType="end"/>
      </w:r>
      <w:r w:rsidR="00DC5DEE" w:rsidRPr="00456C7B">
        <w:t>.</w:t>
      </w:r>
      <w:r w:rsidR="00D17210" w:rsidRPr="00456C7B">
        <w:t xml:space="preserve"> </w:t>
      </w:r>
    </w:p>
    <w:p w14:paraId="10B5F7CC" w14:textId="606928F2" w:rsidR="00C14F64" w:rsidRPr="00456C7B" w:rsidRDefault="00C14F64" w:rsidP="00EA6F50">
      <w:pPr>
        <w:pStyle w:val="Heading2"/>
        <w:spacing w:line="360" w:lineRule="auto"/>
      </w:pPr>
      <w:r w:rsidRPr="00456C7B">
        <w:t>Bilateral licences</w:t>
      </w:r>
    </w:p>
    <w:p w14:paraId="29166E20" w14:textId="164CFA6B" w:rsidR="00C14F64" w:rsidRPr="00456C7B" w:rsidRDefault="00A93F98" w:rsidP="00EA6F50">
      <w:pPr>
        <w:spacing w:line="360" w:lineRule="auto"/>
        <w:jc w:val="both"/>
      </w:pPr>
      <w:r w:rsidRPr="00456C7B">
        <w:t>In 201</w:t>
      </w:r>
      <w:r w:rsidR="00594F97" w:rsidRPr="00456C7B">
        <w:t>4</w:t>
      </w:r>
      <w:r w:rsidRPr="00456C7B">
        <w:t xml:space="preserve"> Gilead </w:t>
      </w:r>
      <w:r w:rsidR="00594F97" w:rsidRPr="00456C7B">
        <w:t xml:space="preserve">issued voluntary licences to manufacture </w:t>
      </w:r>
      <w:r w:rsidR="00192C0C" w:rsidRPr="00456C7B">
        <w:t>s</w:t>
      </w:r>
      <w:r w:rsidR="00594F97" w:rsidRPr="00456C7B">
        <w:t>ofosbuvir directly</w:t>
      </w:r>
      <w:r w:rsidRPr="00456C7B">
        <w:t xml:space="preserve"> to 11 generic manufacturers in India, allowing generic versions of its DAAs to be sold in over 100 countries. </w:t>
      </w:r>
      <w:r w:rsidR="00594F97" w:rsidRPr="00456C7B">
        <w:t>This agreement</w:t>
      </w:r>
      <w:r w:rsidRPr="00456C7B">
        <w:t xml:space="preserve"> exclude</w:t>
      </w:r>
      <w:r w:rsidR="00594F97" w:rsidRPr="00456C7B">
        <w:t xml:space="preserve">d </w:t>
      </w:r>
      <w:r w:rsidR="007B5FDA" w:rsidRPr="00456C7B">
        <w:t xml:space="preserve">Thailand and </w:t>
      </w:r>
      <w:r w:rsidRPr="00456C7B">
        <w:t>a number of middle-income countries with high burdens of HCV</w:t>
      </w:r>
      <w:r w:rsidR="00217187" w:rsidRPr="00456C7B">
        <w:t xml:space="preserve"> </w:t>
      </w:r>
      <w:r w:rsidR="00217187" w:rsidRPr="00456C7B">
        <w:fldChar w:fldCharType="begin"/>
      </w:r>
      <w:r w:rsidR="00A2659F">
        <w:instrText xml:space="preserve"> ADDIN EN.CITE &lt;EndNote&gt;&lt;Cite&gt;&lt;Author&gt;MSF Access Campaign&lt;/Author&gt;&lt;Year&gt;March 2015&lt;/Year&gt;&lt;RecNum&gt;420&lt;/RecNum&gt;&lt;DisplayText&gt;(40)&lt;/DisplayText&gt;&lt;record&gt;&lt;rec-number&gt;420&lt;/rec-number&gt;&lt;foreign-keys&gt;&lt;key app="EN" db-id="dfp5tt9d12x9vhewffovwt2jvd9t5vpwzvxr" timestamp="1648596184"&gt;420&lt;/key&gt;&lt;/foreign-keys&gt;&lt;ref-type name="Web Page"&gt;12&lt;/ref-type&gt;&lt;contributors&gt;&lt;authors&gt;&lt;author&gt;MSF Access Campaign,&lt;/author&gt;&lt;/authors&gt;&lt;/contributors&gt;&lt;titles&gt;&lt;title&gt;Access to Sofosbuvir, Ledipasvir and Velpatasvir Analysis &amp;amp; Key Recomemendations on Gilead&amp;apos;s Voluntary Licence  &lt;/title&gt;&lt;/titles&gt;&lt;volume&gt;2022&lt;/volume&gt;&lt;number&gt;30/3/2022&lt;/number&gt;&lt;dates&gt;&lt;year&gt;March 2015&lt;/year&gt;&lt;/dates&gt;&lt;urls&gt;&lt;related-urls&gt;&lt;url&gt;https://msfaccess.org/sites/default/files/MSF_assets/HepC/Docs/HEPC_Analystics_GileadHepCLicense_ENG_2015.pdf&lt;/url&gt;&lt;/related-urls&gt;&lt;/urls&gt;&lt;custom1&gt;2022&lt;/custom1&gt;&lt;custom2&gt;30/3/2022&lt;/custom2&gt;&lt;/record&gt;&lt;/Cite&gt;&lt;/EndNote&gt;</w:instrText>
      </w:r>
      <w:r w:rsidR="00217187" w:rsidRPr="00456C7B">
        <w:fldChar w:fldCharType="separate"/>
      </w:r>
      <w:r w:rsidR="00A2659F">
        <w:rPr>
          <w:noProof/>
        </w:rPr>
        <w:t>(40)</w:t>
      </w:r>
      <w:r w:rsidR="00217187" w:rsidRPr="00456C7B">
        <w:fldChar w:fldCharType="end"/>
      </w:r>
      <w:r w:rsidRPr="00456C7B">
        <w:t xml:space="preserve">. In August 2017, Gilead expanded the territory of its license to include Belarus, Malaysia, </w:t>
      </w:r>
      <w:proofErr w:type="gramStart"/>
      <w:r w:rsidRPr="00456C7B">
        <w:t>Thailand</w:t>
      </w:r>
      <w:proofErr w:type="gramEnd"/>
      <w:r w:rsidRPr="00456C7B">
        <w:t xml:space="preserve"> and Ukraine</w:t>
      </w:r>
      <w:r w:rsidR="00594F97" w:rsidRPr="00456C7B">
        <w:t xml:space="preserve">. </w:t>
      </w:r>
      <w:r w:rsidR="00BE6529" w:rsidRPr="00456C7B">
        <w:t xml:space="preserve">This followed </w:t>
      </w:r>
      <w:r w:rsidR="00594F97" w:rsidRPr="00456C7B">
        <w:t xml:space="preserve">Malaysia’s decision to issue a compulsory license for </w:t>
      </w:r>
      <w:r w:rsidR="00192C0C" w:rsidRPr="00456C7B">
        <w:t>s</w:t>
      </w:r>
      <w:r w:rsidR="00594F97" w:rsidRPr="00456C7B">
        <w:t>ofosbuvir following failed</w:t>
      </w:r>
      <w:r w:rsidR="00475268" w:rsidRPr="00456C7B">
        <w:t xml:space="preserve"> price</w:t>
      </w:r>
      <w:r w:rsidR="00594F97" w:rsidRPr="00456C7B">
        <w:t xml:space="preserve"> </w:t>
      </w:r>
      <w:r w:rsidR="00475268" w:rsidRPr="00456C7B">
        <w:t>negotiations</w:t>
      </w:r>
      <w:r w:rsidR="00594F97" w:rsidRPr="00456C7B">
        <w:t xml:space="preserve"> with </w:t>
      </w:r>
      <w:r w:rsidR="00475268" w:rsidRPr="00456C7B">
        <w:t>Gilead and attempts to be included in the original voluntary licence</w:t>
      </w:r>
      <w:r w:rsidR="002726EA" w:rsidRPr="00456C7B">
        <w:t xml:space="preserve"> </w:t>
      </w:r>
      <w:r w:rsidR="002726EA" w:rsidRPr="00456C7B">
        <w:fldChar w:fldCharType="begin"/>
      </w:r>
      <w:r w:rsidR="00A2659F">
        <w:instrText xml:space="preserve"> ADDIN EN.CITE &lt;EndNote&gt;&lt;Cite&gt;&lt;Author&gt;MSF Access Campaign&lt;/Author&gt;&lt;Year&gt;October 2020&lt;/Year&gt;&lt;RecNum&gt;417&lt;/RecNum&gt;&lt;DisplayText&gt;(41)&lt;/DisplayText&gt;&lt;record&gt;&lt;rec-number&gt;417&lt;/rec-number&gt;&lt;foreign-keys&gt;&lt;key app="EN" db-id="dfp5tt9d12x9vhewffovwt2jvd9t5vpwzvxr" timestamp="1648084409"&gt;417&lt;/key&gt;&lt;/foreign-keys&gt;&lt;ref-type name="Report"&gt;27&lt;/ref-type&gt;&lt;contributors&gt;&lt;authors&gt;&lt;author&gt;MSF Access Campaign,&lt;/author&gt;&lt;/authors&gt;&lt;/contributors&gt;&lt;titles&gt;&lt;title&gt;Voluntary licenses and access to medicines. &lt;/title&gt;&lt;/titles&gt;&lt;dates&gt;&lt;year&gt;October 2020&lt;/year&gt;&lt;/dates&gt;&lt;urls&gt;&lt;related-urls&gt;&lt;url&gt;https://msfaccess.org/sites/default/files/2020-10/IP_VoluntaryLicenses_full-brief_Oct2020_ENG.pdf&lt;/url&gt;&lt;/related-urls&gt;&lt;/urls&gt;&lt;access-date&gt;24th March 2022&lt;/access-date&gt;&lt;/record&gt;&lt;/Cite&gt;&lt;/EndNote&gt;</w:instrText>
      </w:r>
      <w:r w:rsidR="002726EA" w:rsidRPr="00456C7B">
        <w:fldChar w:fldCharType="separate"/>
      </w:r>
      <w:r w:rsidR="00A2659F">
        <w:rPr>
          <w:noProof/>
        </w:rPr>
        <w:t>(41)</w:t>
      </w:r>
      <w:r w:rsidR="002726EA" w:rsidRPr="00456C7B">
        <w:fldChar w:fldCharType="end"/>
      </w:r>
      <w:r w:rsidR="00475268" w:rsidRPr="00456C7B">
        <w:t xml:space="preserve">. </w:t>
      </w:r>
    </w:p>
    <w:p w14:paraId="6BC4C8A7" w14:textId="557F1037" w:rsidR="00BA605A" w:rsidRPr="00456C7B" w:rsidRDefault="00BA605A" w:rsidP="00EA6F50">
      <w:pPr>
        <w:pStyle w:val="Heading2"/>
        <w:spacing w:line="360" w:lineRule="auto"/>
      </w:pPr>
      <w:r w:rsidRPr="00456C7B">
        <w:t>Hepatitis C in Thailand</w:t>
      </w:r>
    </w:p>
    <w:p w14:paraId="4E1731CB" w14:textId="49FAEA3D" w:rsidR="00304BDE" w:rsidRPr="00456C7B" w:rsidRDefault="004F483C" w:rsidP="00EA6F50">
      <w:pPr>
        <w:spacing w:line="360" w:lineRule="auto"/>
        <w:jc w:val="both"/>
      </w:pPr>
      <w:r w:rsidRPr="00456C7B">
        <w:t xml:space="preserve">Approximately 760,000–790,000 </w:t>
      </w:r>
      <w:r w:rsidR="00D1254B" w:rsidRPr="00456C7B">
        <w:t xml:space="preserve">people in Thailand </w:t>
      </w:r>
      <w:r w:rsidRPr="00456C7B">
        <w:t>are HCV seropositive and about half are living with chronic infection</w:t>
      </w:r>
      <w:r w:rsidR="00616A26" w:rsidRPr="00456C7B">
        <w:t xml:space="preserve"> </w:t>
      </w:r>
      <w:r w:rsidR="00616A26" w:rsidRPr="00456C7B">
        <w:fldChar w:fldCharType="begin"/>
      </w:r>
      <w:r w:rsidR="00A2659F">
        <w:instrText xml:space="preserve"> ADDIN EN.CITE &lt;EndNote&gt;&lt;Cite&gt;&lt;Author&gt;Gower E&lt;/Author&gt;&lt;Year&gt;2014&lt;/Year&gt;&lt;RecNum&gt;403&lt;/RecNum&gt;&lt;DisplayText&gt;(42, 43)&lt;/DisplayText&gt;&lt;record&gt;&lt;rec-number&gt;403&lt;/rec-number&gt;&lt;foreign-keys&gt;&lt;key app="EN" db-id="dfp5tt9d12x9vhewffovwt2jvd9t5vpwzvxr" timestamp="1644988869"&gt;403&lt;/key&gt;&lt;/foreign-keys&gt;&lt;ref-type name="Journal Article"&gt;17&lt;/ref-type&gt;&lt;contributors&gt;&lt;authors&gt;&lt;author&gt;Gower E, Estes C, Blach S, Razavi-Shearer K, Razavi H,&lt;/author&gt;&lt;/authors&gt;&lt;/contributors&gt;&lt;titles&gt;&lt;title&gt;Global epidemiology and genotype distribution of the hepatitis C virus infection&lt;/title&gt;&lt;secondary-title&gt;J Hepatol&lt;/secondary-title&gt;&lt;/titles&gt;&lt;periodical&gt;&lt;full-title&gt;J Hepatol&lt;/full-title&gt;&lt;/periodical&gt;&lt;pages&gt;S45–S57&lt;/pages&gt;&lt;volume&gt;61&lt;/volume&gt;&lt;num-vols&gt;1&lt;/num-vols&gt;&lt;dates&gt;&lt;year&gt;2014&lt;/year&gt;&lt;/dates&gt;&lt;urls&gt;&lt;/urls&gt;&lt;/record&gt;&lt;/Cite&gt;&lt;Cite&gt;&lt;Author&gt;Posuwan N&lt;/Author&gt;&lt;Year&gt;2017&lt;/Year&gt;&lt;RecNum&gt;404&lt;/RecNum&gt;&lt;record&gt;&lt;rec-number&gt;404&lt;/rec-number&gt;&lt;foreign-keys&gt;&lt;key app="EN" db-id="dfp5tt9d12x9vhewffovwt2jvd9t5vpwzvxr" timestamp="1644989101"&gt;404&lt;/key&gt;&lt;/foreign-keys&gt;&lt;ref-type name="Journal Article"&gt;17&lt;/ref-type&gt;&lt;contributors&gt;&lt;authors&gt;&lt;author&gt;Posuwan N, Vuthitanachot V, Chinchai T, Wasitthankasem R,Wanlapakorn N, Poovorawan Y,&lt;/author&gt;&lt;/authors&gt;&lt;/contributors&gt;&lt;titles&gt;&lt;title&gt;2019 Serological evidence of hepatitis A,B,and C virus infection in older adults in Khon Kaen,Thailand and the estimated rates of chronic hepatitis B and C virus infection in Thais.&lt;/title&gt;&lt;secondary-title&gt;PeerJ&lt;/secondary-title&gt;&lt;/titles&gt;&lt;periodical&gt;&lt;full-title&gt;PeerJ&lt;/full-title&gt;&lt;/periodical&gt;&lt;volume&gt;7:e7492&lt;/volume&gt;&lt;dates&gt;&lt;year&gt;2017&lt;/year&gt;&lt;/dates&gt;&lt;urls&gt;&lt;/urls&gt;&lt;/record&gt;&lt;/Cite&gt;&lt;/EndNote&gt;</w:instrText>
      </w:r>
      <w:r w:rsidR="00616A26" w:rsidRPr="00456C7B">
        <w:fldChar w:fldCharType="separate"/>
      </w:r>
      <w:r w:rsidR="00A2659F">
        <w:rPr>
          <w:noProof/>
        </w:rPr>
        <w:t>(42, 43)</w:t>
      </w:r>
      <w:r w:rsidR="00616A26" w:rsidRPr="00456C7B">
        <w:fldChar w:fldCharType="end"/>
      </w:r>
      <w:r w:rsidRPr="00456C7B">
        <w:t xml:space="preserve">. </w:t>
      </w:r>
      <w:r w:rsidR="00BA605A" w:rsidRPr="00456C7B">
        <w:t xml:space="preserve">Although </w:t>
      </w:r>
      <w:r w:rsidR="00C14F64" w:rsidRPr="00456C7B">
        <w:t xml:space="preserve">genotype </w:t>
      </w:r>
      <w:r w:rsidR="00BA605A" w:rsidRPr="00456C7B">
        <w:t>1 is the most prevalent in the western world</w:t>
      </w:r>
      <w:r w:rsidR="00C23CCE" w:rsidRPr="00456C7B">
        <w:t xml:space="preserve"> </w:t>
      </w:r>
      <w:r w:rsidR="009957B9" w:rsidRPr="00456C7B">
        <w:fldChar w:fldCharType="begin"/>
      </w:r>
      <w:r w:rsidR="00A2659F">
        <w:instrText xml:space="preserve"> ADDIN EN.CITE &lt;EndNote&gt;&lt;Cite&gt;&lt;Author&gt;Messina&lt;/Author&gt;&lt;Year&gt;2015&lt;/Year&gt;&lt;RecNum&gt;422&lt;/RecNum&gt;&lt;DisplayText&gt;(44)&lt;/DisplayText&gt;&lt;record&gt;&lt;rec-number&gt;422&lt;/rec-number&gt;&lt;foreign-keys&gt;&lt;key app="EN" db-id="dfp5tt9d12x9vhewffovwt2jvd9t5vpwzvxr" timestamp="1648597105"&gt;422&lt;/key&gt;&lt;/foreign-keys&gt;&lt;ref-type name="Journal Article"&gt;17&lt;/ref-type&gt;&lt;contributors&gt;&lt;authors&gt;&lt;author&gt;Messina, Jane P&lt;/author&gt;&lt;author&gt;Humphreys, Isla&lt;/author&gt;&lt;author&gt;Flaxman, Abraham&lt;/author&gt;&lt;author&gt;Brown, Anthony&lt;/author&gt;&lt;author&gt;Cooke, Graham S&lt;/author&gt;&lt;author&gt;Pybus, Oliver G&lt;/author&gt;&lt;author&gt;Barnes, Eleanor&lt;/author&gt;&lt;/authors&gt;&lt;/contributors&gt;&lt;titles&gt;&lt;title&gt;Global distribution and prevalence of hepatitis C virus genotypes&lt;/title&gt;&lt;secondary-title&gt;Hepatology&lt;/secondary-title&gt;&lt;/titles&gt;&lt;periodical&gt;&lt;full-title&gt;Hepatology&lt;/full-title&gt;&lt;/periodical&gt;&lt;pages&gt;77-87&lt;/pages&gt;&lt;volume&gt;61&lt;/volume&gt;&lt;number&gt;1&lt;/number&gt;&lt;dates&gt;&lt;year&gt;2015&lt;/year&gt;&lt;/dates&gt;&lt;isbn&gt;0270-9139&lt;/isbn&gt;&lt;urls&gt;&lt;/urls&gt;&lt;/record&gt;&lt;/Cite&gt;&lt;/EndNote&gt;</w:instrText>
      </w:r>
      <w:r w:rsidR="009957B9" w:rsidRPr="00456C7B">
        <w:fldChar w:fldCharType="separate"/>
      </w:r>
      <w:r w:rsidR="00A2659F">
        <w:rPr>
          <w:noProof/>
        </w:rPr>
        <w:t>(44)</w:t>
      </w:r>
      <w:r w:rsidR="009957B9" w:rsidRPr="00456C7B">
        <w:fldChar w:fldCharType="end"/>
      </w:r>
      <w:r w:rsidR="00C23CCE" w:rsidRPr="00456C7B">
        <w:t>,</w:t>
      </w:r>
      <w:r w:rsidR="00BA605A" w:rsidRPr="00456C7B">
        <w:t xml:space="preserve"> </w:t>
      </w:r>
      <w:r w:rsidR="00C14F64" w:rsidRPr="00456C7B">
        <w:t>genotype</w:t>
      </w:r>
      <w:r w:rsidR="00024E4D" w:rsidRPr="00456C7B">
        <w:t xml:space="preserve"> 3</w:t>
      </w:r>
      <w:r w:rsidR="00BA605A" w:rsidRPr="00456C7B">
        <w:t xml:space="preserve"> is most common </w:t>
      </w:r>
      <w:r w:rsidR="00024E4D" w:rsidRPr="00456C7B">
        <w:t xml:space="preserve">in Thailand </w:t>
      </w:r>
      <w:r w:rsidR="00BA605A" w:rsidRPr="00456C7B">
        <w:t xml:space="preserve">at 46.1%, followed by </w:t>
      </w:r>
      <w:r w:rsidR="00C14F64" w:rsidRPr="00456C7B">
        <w:t>genotype</w:t>
      </w:r>
      <w:r w:rsidR="00713954" w:rsidRPr="00456C7B">
        <w:t>s</w:t>
      </w:r>
      <w:r w:rsidR="00C14F64" w:rsidRPr="00456C7B">
        <w:t xml:space="preserve"> </w:t>
      </w:r>
      <w:r w:rsidR="00BA605A" w:rsidRPr="00456C7B">
        <w:t>1, 6 and 2 at 32.5%, 20.9%, and 0.5%</w:t>
      </w:r>
      <w:r w:rsidR="00713954" w:rsidRPr="00456C7B">
        <w:t>,</w:t>
      </w:r>
      <w:r w:rsidR="00BA605A" w:rsidRPr="00456C7B">
        <w:t xml:space="preserve"> respectively</w:t>
      </w:r>
      <w:r w:rsidR="00C405DA" w:rsidRPr="00456C7B">
        <w:t xml:space="preserve"> </w:t>
      </w:r>
      <w:r w:rsidR="005267F5" w:rsidRPr="00456C7B">
        <w:fldChar w:fldCharType="begin"/>
      </w:r>
      <w:r w:rsidR="00A2659F">
        <w:instrText xml:space="preserve"> ADDIN EN.CITE &lt;EndNote&gt;&lt;Cite&gt;&lt;Author&gt;Wasitthankasem&lt;/Author&gt;&lt;Year&gt;2015&lt;/Year&gt;&lt;RecNum&gt;421&lt;/RecNum&gt;&lt;DisplayText&gt;(45)&lt;/DisplayText&gt;&lt;record&gt;&lt;rec-number&gt;421&lt;/rec-number&gt;&lt;foreign-keys&gt;&lt;key app="EN" db-id="dfp5tt9d12x9vhewffovwt2jvd9t5vpwzvxr" timestamp="1648596997"&gt;421&lt;/key&gt;&lt;/foreign-keys&gt;&lt;ref-type name="Journal Article"&gt;17&lt;/ref-type&gt;&lt;contributors&gt;&lt;authors&gt;&lt;author&gt;Wasitthankasem, Rujipat&lt;/author&gt;&lt;author&gt;Vongpunsawad, Sompong&lt;/author&gt;&lt;author&gt;Siripon, Nipaporn&lt;/author&gt;&lt;author&gt;Suya, Chutima&lt;/author&gt;&lt;author&gt;Chulothok, Phrutsada&lt;/author&gt;&lt;author&gt;Chaiear, Kasemporn&lt;/author&gt;&lt;author&gt;Rujirojindakul, Pairaya&lt;/author&gt;&lt;author&gt;Kanjana, Sawan&lt;/author&gt;&lt;author&gt;Theamboonlers, Apiradee&lt;/author&gt;&lt;author&gt;Tangkijvanich, Pisit&lt;/author&gt;&lt;/authors&gt;&lt;/contributors&gt;&lt;titles&gt;&lt;title&gt;Genotypic distribution of hepatitis C virus in Thailand and Southeast Asia&lt;/title&gt;&lt;secondary-title&gt;PloS one&lt;/secondary-title&gt;&lt;/titles&gt;&lt;periodical&gt;&lt;full-title&gt;PLOS ONE&lt;/full-title&gt;&lt;/periodical&gt;&lt;pages&gt;e0126764&lt;/pages&gt;&lt;volume&gt;10&lt;/volume&gt;&lt;number&gt;5&lt;/number&gt;&lt;dates&gt;&lt;year&gt;2015&lt;/year&gt;&lt;/dates&gt;&lt;isbn&gt;1932-6203&lt;/isbn&gt;&lt;urls&gt;&lt;/urls&gt;&lt;/record&gt;&lt;/Cite&gt;&lt;/EndNote&gt;</w:instrText>
      </w:r>
      <w:r w:rsidR="005267F5" w:rsidRPr="00456C7B">
        <w:fldChar w:fldCharType="separate"/>
      </w:r>
      <w:r w:rsidR="00A2659F">
        <w:rPr>
          <w:noProof/>
        </w:rPr>
        <w:t>(45)</w:t>
      </w:r>
      <w:r w:rsidR="005267F5" w:rsidRPr="00456C7B">
        <w:fldChar w:fldCharType="end"/>
      </w:r>
      <w:r w:rsidR="00BA605A" w:rsidRPr="00456C7B">
        <w:t>.</w:t>
      </w:r>
      <w:r w:rsidR="005267F5" w:rsidRPr="00456C7B">
        <w:t xml:space="preserve"> </w:t>
      </w:r>
    </w:p>
    <w:p w14:paraId="5A110A7A" w14:textId="1E5A5A5B" w:rsidR="00E00FC4" w:rsidRPr="00456C7B" w:rsidRDefault="00821332" w:rsidP="00EA6F50">
      <w:pPr>
        <w:spacing w:line="360" w:lineRule="auto"/>
        <w:jc w:val="both"/>
      </w:pPr>
      <w:r w:rsidRPr="00456C7B">
        <w:t xml:space="preserve">Thailand began providing treatment </w:t>
      </w:r>
      <w:r w:rsidR="00E00FC4" w:rsidRPr="00456C7B">
        <w:t xml:space="preserve">for HCV </w:t>
      </w:r>
      <w:r w:rsidRPr="00456C7B">
        <w:t xml:space="preserve">with DAAs free of charge in the government health care system in 2018. </w:t>
      </w:r>
      <w:r w:rsidR="00EF2273" w:rsidRPr="00456C7B">
        <w:t xml:space="preserve">Due to cost and resource constraints DAAs </w:t>
      </w:r>
      <w:r w:rsidR="00C23CCE" w:rsidRPr="00456C7B">
        <w:t>were</w:t>
      </w:r>
      <w:r w:rsidR="00EF2273" w:rsidRPr="00456C7B">
        <w:t xml:space="preserve"> not available </w:t>
      </w:r>
      <w:r w:rsidR="00C23CCE" w:rsidRPr="00456C7B">
        <w:t xml:space="preserve">for several years </w:t>
      </w:r>
      <w:r w:rsidR="00EF2273" w:rsidRPr="00456C7B">
        <w:t>to all people living with HCV</w:t>
      </w:r>
      <w:r w:rsidR="00917467" w:rsidRPr="00456C7B">
        <w:t xml:space="preserve"> and some older</w:t>
      </w:r>
      <w:r w:rsidR="00DF799F" w:rsidRPr="00456C7B">
        <w:t xml:space="preserve"> peg-</w:t>
      </w:r>
      <w:r w:rsidR="00917467" w:rsidRPr="00456C7B">
        <w:t xml:space="preserve">interferon and </w:t>
      </w:r>
      <w:r w:rsidR="00EF74D1" w:rsidRPr="00456C7B">
        <w:t>ribavirin</w:t>
      </w:r>
      <w:r w:rsidR="00DF799F" w:rsidRPr="00456C7B">
        <w:t xml:space="preserve"> based</w:t>
      </w:r>
      <w:r w:rsidR="00917467" w:rsidRPr="00456C7B">
        <w:t xml:space="preserve"> therapies </w:t>
      </w:r>
      <w:r w:rsidR="00742C17" w:rsidRPr="00456C7B">
        <w:t>were</w:t>
      </w:r>
      <w:r w:rsidR="00917467" w:rsidRPr="00456C7B">
        <w:t xml:space="preserve"> used</w:t>
      </w:r>
      <w:r w:rsidR="00EF74D1" w:rsidRPr="00456C7B">
        <w:t xml:space="preserve"> </w:t>
      </w:r>
      <w:r w:rsidR="00EF74D1" w:rsidRPr="00456C7B">
        <w:fldChar w:fldCharType="begin"/>
      </w:r>
      <w:r w:rsidR="00A2659F">
        <w:instrText xml:space="preserve"> ADDIN EN.CITE &lt;EndNote&gt;&lt;Cite&gt;&lt;Author&gt;Sirinawasatien&lt;/Author&gt;&lt;Year&gt;2020&lt;/Year&gt;&lt;RecNum&gt;406&lt;/RecNum&gt;&lt;DisplayText&gt;(46)&lt;/DisplayText&gt;&lt;record&gt;&lt;rec-number&gt;406&lt;/rec-number&gt;&lt;foreign-keys&gt;&lt;key app="EN" db-id="dfp5tt9d12x9vhewffovwt2jvd9t5vpwzvxr" timestamp="1644993815"&gt;406&lt;/key&gt;&lt;/foreign-keys&gt;&lt;ref-type name="Journal Article"&gt;17&lt;/ref-type&gt;&lt;contributors&gt;&lt;authors&gt;&lt;author&gt;Sirinawasatien, Apichet&lt;/author&gt;&lt;author&gt;Techasirioangkun, Thanaya&lt;/author&gt;&lt;/authors&gt;&lt;/contributors&gt;&lt;titles&gt;&lt;title&gt;Sofosbuvir-based regimens in the treatment of patients with chronic hepatitis C virus infection: Real-world efficacy in Thailand&lt;/title&gt;&lt;secondary-title&gt;PLoS One&lt;/secondary-title&gt;&lt;/titles&gt;&lt;periodical&gt;&lt;full-title&gt;PLOS ONE&lt;/full-title&gt;&lt;/periodical&gt;&lt;pages&gt;e0229517&lt;/pages&gt;&lt;volume&gt;15&lt;/volume&gt;&lt;number&gt;2&lt;/number&gt;&lt;dates&gt;&lt;year&gt;2020&lt;/year&gt;&lt;/dates&gt;&lt;isbn&gt;1932-6203&lt;/isbn&gt;&lt;urls&gt;&lt;/urls&gt;&lt;/record&gt;&lt;/Cite&gt;&lt;/EndNote&gt;</w:instrText>
      </w:r>
      <w:r w:rsidR="00EF74D1" w:rsidRPr="00456C7B">
        <w:fldChar w:fldCharType="separate"/>
      </w:r>
      <w:r w:rsidR="00A2659F">
        <w:rPr>
          <w:noProof/>
        </w:rPr>
        <w:t>(46)</w:t>
      </w:r>
      <w:r w:rsidR="00EF74D1" w:rsidRPr="00456C7B">
        <w:fldChar w:fldCharType="end"/>
      </w:r>
      <w:r w:rsidR="00917467" w:rsidRPr="00456C7B">
        <w:t xml:space="preserve">. </w:t>
      </w:r>
      <w:r w:rsidR="00410542" w:rsidRPr="00456C7B">
        <w:t xml:space="preserve">Treatment </w:t>
      </w:r>
      <w:r w:rsidR="00EF2273" w:rsidRPr="00456C7B">
        <w:t>regimens</w:t>
      </w:r>
      <w:r w:rsidR="00410542" w:rsidRPr="00456C7B">
        <w:t xml:space="preserve"> </w:t>
      </w:r>
      <w:r w:rsidR="00C23CCE" w:rsidRPr="00456C7B">
        <w:t>were</w:t>
      </w:r>
      <w:r w:rsidR="00410542" w:rsidRPr="00456C7B">
        <w:t xml:space="preserve"> </w:t>
      </w:r>
      <w:r w:rsidR="00322A18" w:rsidRPr="00456C7B">
        <w:t xml:space="preserve">not pan-genotypic and therefore </w:t>
      </w:r>
      <w:r w:rsidR="00F02225" w:rsidRPr="00456C7B">
        <w:t>require</w:t>
      </w:r>
      <w:r w:rsidR="00C23CCE" w:rsidRPr="00456C7B">
        <w:t>d</w:t>
      </w:r>
      <w:r w:rsidR="00F02225" w:rsidRPr="00456C7B">
        <w:t xml:space="preserve"> genotype testing</w:t>
      </w:r>
      <w:r w:rsidR="00971EA7" w:rsidRPr="00456C7B">
        <w:t xml:space="preserve"> which adds to the treatment costs</w:t>
      </w:r>
      <w:r w:rsidR="00410542" w:rsidRPr="00456C7B">
        <w:t xml:space="preserve">. </w:t>
      </w:r>
      <w:r w:rsidR="00C43061" w:rsidRPr="00456C7B">
        <w:t xml:space="preserve">Treatment was limited </w:t>
      </w:r>
      <w:r w:rsidR="00E10621" w:rsidRPr="00456C7B">
        <w:t xml:space="preserve">to a small number of people with chronic HCV </w:t>
      </w:r>
      <w:r w:rsidR="00C43061" w:rsidRPr="00456C7B">
        <w:t>due to stringent eligibility criteria</w:t>
      </w:r>
      <w:r w:rsidR="00B84E91" w:rsidRPr="00456C7B">
        <w:t xml:space="preserve"> </w:t>
      </w:r>
      <w:r w:rsidR="00B84E91" w:rsidRPr="00456C7B">
        <w:fldChar w:fldCharType="begin"/>
      </w:r>
      <w:r w:rsidR="00A2659F">
        <w:instrText xml:space="preserve"> ADDIN EN.CITE &lt;EndNote&gt;&lt;Cite&gt;&lt;Author&gt;Wasitthankasem&lt;/Author&gt;&lt;Year&gt;2020&lt;/Year&gt;&lt;RecNum&gt;430&lt;/RecNum&gt;&lt;DisplayText&gt;(47)&lt;/DisplayText&gt;&lt;record&gt;&lt;rec-number&gt;430&lt;/rec-number&gt;&lt;foreign-keys&gt;&lt;key app="EN" db-id="dfp5tt9d12x9vhewffovwt2jvd9t5vpwzvxr" timestamp="1648686928"&gt;430&lt;/key&gt;&lt;/foreign-keys&gt;&lt;ref-type name="Journal Article"&gt;17&lt;/ref-type&gt;&lt;contributors&gt;&lt;authors&gt;&lt;author&gt;Wasitthankasem, Rujipat&lt;/author&gt;&lt;author&gt;Pimsingh, Napaporn&lt;/author&gt;&lt;author&gt;Treesun, Khuandao&lt;/author&gt;&lt;author&gt;Posuwan, Nawarat&lt;/author&gt;&lt;author&gt;Vichaiwattana, Preeyaporn&lt;/author&gt;&lt;author&gt;Auphimai, Chompoonut&lt;/author&gt;&lt;author&gt;Thongpan, Ilada&lt;/author&gt;&lt;author&gt;Tongsima, Sissades&lt;/author&gt;&lt;author&gt;Vongpunsawad, Sompong&lt;/author&gt;&lt;author&gt;Poovorawan, Yong&lt;/author&gt;&lt;/authors&gt;&lt;/contributors&gt;&lt;titles&gt;&lt;title&gt;Prevalence of hepatitis C virus in an endemic area of Thailand: burden assessment toward HCV elimination&lt;/title&gt;&lt;secondary-title&gt;The American Journal of Tropical Medicine and Hygiene&lt;/secondary-title&gt;&lt;/titles&gt;&lt;periodical&gt;&lt;full-title&gt;The American Journal of Tropical Medicine and Hygiene&lt;/full-title&gt;&lt;/periodical&gt;&lt;pages&gt;175&lt;/pages&gt;&lt;volume&gt;103&lt;/volume&gt;&lt;number&gt;1&lt;/number&gt;&lt;dates&gt;&lt;year&gt;2020&lt;/year&gt;&lt;/dates&gt;&lt;urls&gt;&lt;/urls&gt;&lt;/record&gt;&lt;/Cite&gt;&lt;/EndNote&gt;</w:instrText>
      </w:r>
      <w:r w:rsidR="00B84E91" w:rsidRPr="00456C7B">
        <w:fldChar w:fldCharType="separate"/>
      </w:r>
      <w:r w:rsidR="00A2659F">
        <w:rPr>
          <w:noProof/>
        </w:rPr>
        <w:t>(47)</w:t>
      </w:r>
      <w:r w:rsidR="00B84E91" w:rsidRPr="00456C7B">
        <w:fldChar w:fldCharType="end"/>
      </w:r>
      <w:r w:rsidR="00C43061" w:rsidRPr="00456C7B">
        <w:t xml:space="preserve">. </w:t>
      </w:r>
      <w:r w:rsidR="00EF2273" w:rsidRPr="00456C7B">
        <w:t>These regimens</w:t>
      </w:r>
      <w:r w:rsidR="00937033" w:rsidRPr="00456C7B">
        <w:t xml:space="preserve"> </w:t>
      </w:r>
      <w:r w:rsidR="00410542" w:rsidRPr="00456C7B">
        <w:t xml:space="preserve">are detailed in </w:t>
      </w:r>
      <w:r w:rsidR="00EE3B05" w:rsidRPr="00456C7B">
        <w:t>T</w:t>
      </w:r>
      <w:r w:rsidR="00410542" w:rsidRPr="00456C7B">
        <w:t xml:space="preserve">able </w:t>
      </w:r>
      <w:r w:rsidR="00CD3606" w:rsidRPr="00456C7B">
        <w:t>3</w:t>
      </w:r>
      <w:r w:rsidR="00410542" w:rsidRPr="00456C7B">
        <w:t>.</w:t>
      </w:r>
    </w:p>
    <w:p w14:paraId="1A0DC2ED" w14:textId="49E3EDEA" w:rsidR="00A00ED7" w:rsidRPr="00456C7B" w:rsidRDefault="00A00ED7" w:rsidP="004A59CD">
      <w:pPr>
        <w:rPr>
          <w:b/>
          <w:bCs/>
        </w:rPr>
      </w:pPr>
      <w:r w:rsidRPr="00456C7B">
        <w:rPr>
          <w:b/>
          <w:bCs/>
        </w:rPr>
        <w:lastRenderedPageBreak/>
        <w:t xml:space="preserve">Table </w:t>
      </w:r>
      <w:r w:rsidR="00CD3606" w:rsidRPr="00456C7B">
        <w:rPr>
          <w:b/>
          <w:bCs/>
        </w:rPr>
        <w:t>3</w:t>
      </w:r>
      <w:r w:rsidRPr="00456C7B">
        <w:rPr>
          <w:b/>
          <w:bCs/>
        </w:rPr>
        <w:t xml:space="preserve">: Thai </w:t>
      </w:r>
      <w:r w:rsidR="0013158C" w:rsidRPr="00456C7B">
        <w:rPr>
          <w:b/>
          <w:bCs/>
        </w:rPr>
        <w:t xml:space="preserve">government reimbursement scheme </w:t>
      </w:r>
      <w:r w:rsidR="00286B26" w:rsidRPr="00456C7B">
        <w:rPr>
          <w:b/>
          <w:bCs/>
        </w:rPr>
        <w:t xml:space="preserve">hepatitis C </w:t>
      </w:r>
      <w:r w:rsidRPr="00456C7B">
        <w:rPr>
          <w:b/>
          <w:bCs/>
        </w:rPr>
        <w:t>treatment re</w:t>
      </w:r>
      <w:r w:rsidR="002035B1" w:rsidRPr="00456C7B">
        <w:rPr>
          <w:b/>
          <w:bCs/>
        </w:rPr>
        <w:t>gimens</w:t>
      </w:r>
      <w:r w:rsidR="00EE3B05" w:rsidRPr="00456C7B">
        <w:rPr>
          <w:b/>
          <w:bCs/>
        </w:rPr>
        <w:t xml:space="preserve"> in</w:t>
      </w:r>
      <w:r w:rsidR="002035B1" w:rsidRPr="00456C7B">
        <w:rPr>
          <w:b/>
          <w:bCs/>
        </w:rPr>
        <w:t xml:space="preserve"> </w:t>
      </w:r>
      <w:r w:rsidR="00C23CCE" w:rsidRPr="00456C7B">
        <w:rPr>
          <w:b/>
          <w:bCs/>
        </w:rPr>
        <w:t>2020</w:t>
      </w:r>
    </w:p>
    <w:tbl>
      <w:tblPr>
        <w:tblStyle w:val="TableGrid"/>
        <w:tblW w:w="0" w:type="auto"/>
        <w:tblLook w:val="04A0" w:firstRow="1" w:lastRow="0" w:firstColumn="1" w:lastColumn="0" w:noHBand="0" w:noVBand="1"/>
      </w:tblPr>
      <w:tblGrid>
        <w:gridCol w:w="3005"/>
        <w:gridCol w:w="3005"/>
        <w:gridCol w:w="3006"/>
      </w:tblGrid>
      <w:tr w:rsidR="00410542" w:rsidRPr="00456C7B" w14:paraId="4B0340B8" w14:textId="77777777" w:rsidTr="00937033">
        <w:tc>
          <w:tcPr>
            <w:tcW w:w="3005" w:type="dxa"/>
            <w:shd w:val="clear" w:color="auto" w:fill="D9E2F3" w:themeFill="accent1" w:themeFillTint="33"/>
          </w:tcPr>
          <w:p w14:paraId="6D6917BD" w14:textId="1B203D51" w:rsidR="00410542" w:rsidRPr="00456C7B" w:rsidRDefault="00F62E39" w:rsidP="004A59CD">
            <w:r w:rsidRPr="00456C7B">
              <w:t xml:space="preserve">Hepatitis C </w:t>
            </w:r>
            <w:r w:rsidR="00287985" w:rsidRPr="00456C7B">
              <w:t>g</w:t>
            </w:r>
            <w:r w:rsidR="00410542" w:rsidRPr="00456C7B">
              <w:t>enotype</w:t>
            </w:r>
          </w:p>
        </w:tc>
        <w:tc>
          <w:tcPr>
            <w:tcW w:w="3005" w:type="dxa"/>
            <w:shd w:val="clear" w:color="auto" w:fill="D9E2F3" w:themeFill="accent1" w:themeFillTint="33"/>
          </w:tcPr>
          <w:p w14:paraId="73C08E2A" w14:textId="315CE10E" w:rsidR="00410542" w:rsidRPr="00456C7B" w:rsidRDefault="00410542" w:rsidP="004A59CD">
            <w:r w:rsidRPr="00456C7B">
              <w:t>Treatment regime</w:t>
            </w:r>
          </w:p>
        </w:tc>
        <w:tc>
          <w:tcPr>
            <w:tcW w:w="3006" w:type="dxa"/>
            <w:shd w:val="clear" w:color="auto" w:fill="D9E2F3" w:themeFill="accent1" w:themeFillTint="33"/>
          </w:tcPr>
          <w:p w14:paraId="3D1ADFAA" w14:textId="614687A6" w:rsidR="00410542" w:rsidRPr="00456C7B" w:rsidRDefault="00410542" w:rsidP="004A59CD">
            <w:r w:rsidRPr="00456C7B">
              <w:t xml:space="preserve">Length of treatment </w:t>
            </w:r>
          </w:p>
        </w:tc>
      </w:tr>
      <w:tr w:rsidR="00410542" w:rsidRPr="00456C7B" w14:paraId="1E0FE8DE" w14:textId="77777777" w:rsidTr="00410542">
        <w:tc>
          <w:tcPr>
            <w:tcW w:w="3005" w:type="dxa"/>
          </w:tcPr>
          <w:p w14:paraId="56D6A304" w14:textId="0040C9A3" w:rsidR="00410542" w:rsidRPr="00456C7B" w:rsidRDefault="00824DB6" w:rsidP="004A59CD">
            <w:r w:rsidRPr="00456C7B">
              <w:t xml:space="preserve">3 </w:t>
            </w:r>
          </w:p>
        </w:tc>
        <w:tc>
          <w:tcPr>
            <w:tcW w:w="3005" w:type="dxa"/>
          </w:tcPr>
          <w:p w14:paraId="0338B7EF" w14:textId="08DCA19B" w:rsidR="00410542" w:rsidRPr="00456C7B" w:rsidRDefault="00824DB6" w:rsidP="004A59CD">
            <w:proofErr w:type="spellStart"/>
            <w:r w:rsidRPr="00456C7B">
              <w:t>SOF+Peg-IFN+RBV</w:t>
            </w:r>
            <w:proofErr w:type="spellEnd"/>
            <w:r w:rsidRPr="00456C7B">
              <w:t xml:space="preserve"> combination therapy</w:t>
            </w:r>
          </w:p>
        </w:tc>
        <w:tc>
          <w:tcPr>
            <w:tcW w:w="3006" w:type="dxa"/>
          </w:tcPr>
          <w:p w14:paraId="31F4F962" w14:textId="1942A094" w:rsidR="00410542" w:rsidRPr="00456C7B" w:rsidRDefault="00824DB6" w:rsidP="004A59CD">
            <w:r w:rsidRPr="00456C7B">
              <w:t>12 weeks</w:t>
            </w:r>
          </w:p>
        </w:tc>
      </w:tr>
      <w:tr w:rsidR="00410542" w:rsidRPr="00456C7B" w14:paraId="38F463EE" w14:textId="77777777" w:rsidTr="00410542">
        <w:tc>
          <w:tcPr>
            <w:tcW w:w="3005" w:type="dxa"/>
          </w:tcPr>
          <w:p w14:paraId="636542F8" w14:textId="75570D95" w:rsidR="00410542" w:rsidRPr="00456C7B" w:rsidRDefault="00824DB6" w:rsidP="004A59CD">
            <w:r w:rsidRPr="00456C7B">
              <w:t xml:space="preserve">1, 2, 4, and 6 without liver cirrhosis </w:t>
            </w:r>
          </w:p>
        </w:tc>
        <w:tc>
          <w:tcPr>
            <w:tcW w:w="3005" w:type="dxa"/>
          </w:tcPr>
          <w:p w14:paraId="3EC71862" w14:textId="46176004" w:rsidR="00410542" w:rsidRPr="00456C7B" w:rsidRDefault="00824DB6" w:rsidP="004A59CD">
            <w:r w:rsidRPr="00456C7B">
              <w:t xml:space="preserve">SOF+LDV combination therapy </w:t>
            </w:r>
          </w:p>
        </w:tc>
        <w:tc>
          <w:tcPr>
            <w:tcW w:w="3006" w:type="dxa"/>
          </w:tcPr>
          <w:p w14:paraId="76FF3DD7" w14:textId="3BFF2410" w:rsidR="00410542" w:rsidRPr="00456C7B" w:rsidRDefault="00824DB6" w:rsidP="004A59CD">
            <w:r w:rsidRPr="00456C7B">
              <w:t>12 weeks</w:t>
            </w:r>
          </w:p>
        </w:tc>
      </w:tr>
      <w:tr w:rsidR="00410542" w:rsidRPr="00456C7B" w14:paraId="1AF49B84" w14:textId="77777777" w:rsidTr="00410542">
        <w:tc>
          <w:tcPr>
            <w:tcW w:w="3005" w:type="dxa"/>
          </w:tcPr>
          <w:p w14:paraId="12AA80FF" w14:textId="6DB4F4AD" w:rsidR="00410542" w:rsidRPr="00456C7B" w:rsidRDefault="00937033" w:rsidP="004A59CD">
            <w:r w:rsidRPr="00456C7B">
              <w:t xml:space="preserve">1, 2, 4, and 6 with liver cirrhosis </w:t>
            </w:r>
          </w:p>
        </w:tc>
        <w:tc>
          <w:tcPr>
            <w:tcW w:w="3005" w:type="dxa"/>
          </w:tcPr>
          <w:p w14:paraId="322380D1" w14:textId="2B3E797D" w:rsidR="00410542" w:rsidRPr="00456C7B" w:rsidRDefault="00937033" w:rsidP="004A59CD">
            <w:r w:rsidRPr="00456C7B">
              <w:t>SOF+LDV+RBV combination therapy</w:t>
            </w:r>
          </w:p>
        </w:tc>
        <w:tc>
          <w:tcPr>
            <w:tcW w:w="3006" w:type="dxa"/>
          </w:tcPr>
          <w:p w14:paraId="1711A506" w14:textId="0C5CE43D" w:rsidR="00410542" w:rsidRPr="00456C7B" w:rsidRDefault="00937033" w:rsidP="004A59CD">
            <w:r w:rsidRPr="00456C7B">
              <w:t>12 weeks</w:t>
            </w:r>
          </w:p>
        </w:tc>
      </w:tr>
    </w:tbl>
    <w:p w14:paraId="7713714B" w14:textId="06B863CD" w:rsidR="0013158C" w:rsidRPr="00456C7B" w:rsidRDefault="00CF0002" w:rsidP="00523829">
      <w:pPr>
        <w:spacing w:after="0" w:line="240" w:lineRule="auto"/>
        <w:rPr>
          <w:sz w:val="18"/>
          <w:szCs w:val="18"/>
        </w:rPr>
      </w:pPr>
      <w:r w:rsidRPr="00456C7B">
        <w:rPr>
          <w:sz w:val="18"/>
          <w:szCs w:val="18"/>
        </w:rPr>
        <w:t xml:space="preserve">Adapted from </w:t>
      </w:r>
      <w:proofErr w:type="spellStart"/>
      <w:r w:rsidR="00523829" w:rsidRPr="00456C7B">
        <w:rPr>
          <w:sz w:val="18"/>
          <w:szCs w:val="18"/>
        </w:rPr>
        <w:t>Sirinawasatien</w:t>
      </w:r>
      <w:proofErr w:type="spellEnd"/>
      <w:r w:rsidR="00523829" w:rsidRPr="00456C7B">
        <w:rPr>
          <w:sz w:val="18"/>
          <w:szCs w:val="18"/>
        </w:rPr>
        <w:t xml:space="preserve"> A, </w:t>
      </w:r>
      <w:proofErr w:type="spellStart"/>
      <w:r w:rsidR="00523829" w:rsidRPr="00456C7B">
        <w:rPr>
          <w:sz w:val="18"/>
          <w:szCs w:val="18"/>
        </w:rPr>
        <w:t>Techasirioangkun</w:t>
      </w:r>
      <w:proofErr w:type="spellEnd"/>
      <w:r w:rsidR="00523829" w:rsidRPr="00456C7B">
        <w:rPr>
          <w:sz w:val="18"/>
          <w:szCs w:val="18"/>
        </w:rPr>
        <w:t xml:space="preserve"> T. Sofosbuvir-based regimens in the treatment of patients with chronic hepatitis C virus infection: Real-world efficacy in Thailand. </w:t>
      </w:r>
      <w:proofErr w:type="spellStart"/>
      <w:r w:rsidR="00523829" w:rsidRPr="00456C7B">
        <w:rPr>
          <w:sz w:val="18"/>
          <w:szCs w:val="18"/>
        </w:rPr>
        <w:t>PLoS</w:t>
      </w:r>
      <w:proofErr w:type="spellEnd"/>
      <w:r w:rsidR="00523829" w:rsidRPr="00456C7B">
        <w:rPr>
          <w:sz w:val="18"/>
          <w:szCs w:val="18"/>
        </w:rPr>
        <w:t xml:space="preserve"> One. 2020 Feb 27;15(2</w:t>
      </w:r>
      <w:proofErr w:type="gramStart"/>
      <w:r w:rsidR="00523829" w:rsidRPr="00456C7B">
        <w:rPr>
          <w:sz w:val="18"/>
          <w:szCs w:val="18"/>
        </w:rPr>
        <w:t>):e</w:t>
      </w:r>
      <w:proofErr w:type="gramEnd"/>
      <w:r w:rsidR="00523829" w:rsidRPr="00456C7B">
        <w:rPr>
          <w:sz w:val="18"/>
          <w:szCs w:val="18"/>
        </w:rPr>
        <w:t>0229517</w:t>
      </w:r>
    </w:p>
    <w:p w14:paraId="00AECB16" w14:textId="5EB883BF" w:rsidR="00061BB2" w:rsidRPr="00456C7B" w:rsidRDefault="00061BB2" w:rsidP="00061BB2">
      <w:pPr>
        <w:spacing w:after="0" w:line="240" w:lineRule="auto"/>
        <w:rPr>
          <w:sz w:val="18"/>
          <w:szCs w:val="18"/>
        </w:rPr>
      </w:pPr>
      <w:r w:rsidRPr="00456C7B">
        <w:rPr>
          <w:sz w:val="18"/>
          <w:szCs w:val="18"/>
        </w:rPr>
        <w:t>SOF= Sofosbuvir</w:t>
      </w:r>
      <w:r w:rsidR="00A6633D" w:rsidRPr="00456C7B">
        <w:rPr>
          <w:sz w:val="18"/>
          <w:szCs w:val="18"/>
        </w:rPr>
        <w:t xml:space="preserve">, </w:t>
      </w:r>
      <w:r w:rsidRPr="00456C7B">
        <w:rPr>
          <w:sz w:val="18"/>
          <w:szCs w:val="18"/>
        </w:rPr>
        <w:t>LDV= Ledipasvir</w:t>
      </w:r>
      <w:r w:rsidR="00A6633D" w:rsidRPr="00456C7B">
        <w:rPr>
          <w:sz w:val="18"/>
          <w:szCs w:val="18"/>
        </w:rPr>
        <w:t xml:space="preserve">, </w:t>
      </w:r>
      <w:r w:rsidRPr="00456C7B">
        <w:rPr>
          <w:sz w:val="18"/>
          <w:szCs w:val="18"/>
        </w:rPr>
        <w:t xml:space="preserve">RBV= </w:t>
      </w:r>
      <w:proofErr w:type="gramStart"/>
      <w:r w:rsidR="00A6633D" w:rsidRPr="00456C7B">
        <w:rPr>
          <w:sz w:val="18"/>
          <w:szCs w:val="18"/>
        </w:rPr>
        <w:t>Ribavirin ,</w:t>
      </w:r>
      <w:proofErr w:type="gramEnd"/>
      <w:r w:rsidR="00A6633D" w:rsidRPr="00456C7B">
        <w:rPr>
          <w:sz w:val="18"/>
          <w:szCs w:val="18"/>
        </w:rPr>
        <w:t xml:space="preserve"> </w:t>
      </w:r>
      <w:r w:rsidRPr="00456C7B">
        <w:rPr>
          <w:sz w:val="18"/>
          <w:szCs w:val="18"/>
        </w:rPr>
        <w:t>Peg-IFN=</w:t>
      </w:r>
      <w:r w:rsidR="00A6633D" w:rsidRPr="00456C7B">
        <w:rPr>
          <w:sz w:val="18"/>
          <w:szCs w:val="18"/>
        </w:rPr>
        <w:t xml:space="preserve"> Pegylated interferon</w:t>
      </w:r>
    </w:p>
    <w:p w14:paraId="5FCCAC59" w14:textId="77777777" w:rsidR="00061BB2" w:rsidRPr="00456C7B" w:rsidRDefault="00061BB2" w:rsidP="00061BB2">
      <w:pPr>
        <w:spacing w:after="0" w:line="240" w:lineRule="auto"/>
      </w:pPr>
    </w:p>
    <w:p w14:paraId="23276DEA" w14:textId="2E0685C6" w:rsidR="001A5E9B" w:rsidRPr="00456C7B" w:rsidRDefault="00D1254B" w:rsidP="00EA6F50">
      <w:pPr>
        <w:spacing w:line="360" w:lineRule="auto"/>
      </w:pPr>
      <w:r w:rsidRPr="00456C7B">
        <w:t xml:space="preserve">In 2020, </w:t>
      </w:r>
      <w:r w:rsidR="00F02225" w:rsidRPr="00456C7B">
        <w:t xml:space="preserve">SOF </w:t>
      </w:r>
      <w:r w:rsidR="00854033" w:rsidRPr="00456C7B">
        <w:t xml:space="preserve">and SOF/LDV </w:t>
      </w:r>
      <w:r w:rsidR="005B3F19" w:rsidRPr="00456C7B">
        <w:t>were</w:t>
      </w:r>
      <w:r w:rsidR="00F02225" w:rsidRPr="00456C7B">
        <w:t xml:space="preserve"> sourced from </w:t>
      </w:r>
      <w:r w:rsidR="00713954" w:rsidRPr="00456C7B">
        <w:t xml:space="preserve">the </w:t>
      </w:r>
      <w:r w:rsidR="00917467" w:rsidRPr="00456C7B">
        <w:t xml:space="preserve">Indian generic company, </w:t>
      </w:r>
      <w:r w:rsidR="00F02225" w:rsidRPr="00456C7B">
        <w:t>Mylan</w:t>
      </w:r>
      <w:r w:rsidR="000C2FB7" w:rsidRPr="00456C7B">
        <w:t>. Rib</w:t>
      </w:r>
      <w:r w:rsidR="00AB28C9" w:rsidRPr="00456C7B">
        <w:t>a</w:t>
      </w:r>
      <w:r w:rsidR="000C2FB7" w:rsidRPr="00456C7B">
        <w:t>v</w:t>
      </w:r>
      <w:r w:rsidR="00AB28C9" w:rsidRPr="00456C7B">
        <w:t>i</w:t>
      </w:r>
      <w:r w:rsidR="000C2FB7" w:rsidRPr="00456C7B">
        <w:t xml:space="preserve">rin and peg-interferon </w:t>
      </w:r>
      <w:r w:rsidR="00EE3B05" w:rsidRPr="00456C7B">
        <w:t xml:space="preserve">were sourced </w:t>
      </w:r>
      <w:r w:rsidR="000C2FB7" w:rsidRPr="00456C7B">
        <w:t xml:space="preserve">from </w:t>
      </w:r>
      <w:r w:rsidR="00AB28C9" w:rsidRPr="00456C7B">
        <w:t xml:space="preserve">Merck Sharp &amp; Dohme and </w:t>
      </w:r>
      <w:r w:rsidR="000C2FB7" w:rsidRPr="00456C7B">
        <w:t>Roche respectively</w:t>
      </w:r>
      <w:r w:rsidR="00EF74D1" w:rsidRPr="00456C7B">
        <w:t xml:space="preserve"> </w:t>
      </w:r>
      <w:r w:rsidR="00EF74D1" w:rsidRPr="00456C7B">
        <w:fldChar w:fldCharType="begin"/>
      </w:r>
      <w:r w:rsidR="00A2659F">
        <w:instrText xml:space="preserve"> ADDIN EN.CITE &lt;EndNote&gt;&lt;Cite&gt;&lt;Author&gt;Sirinawasatien&lt;/Author&gt;&lt;Year&gt;2020&lt;/Year&gt;&lt;RecNum&gt;406&lt;/RecNum&gt;&lt;DisplayText&gt;(46)&lt;/DisplayText&gt;&lt;record&gt;&lt;rec-number&gt;406&lt;/rec-number&gt;&lt;foreign-keys&gt;&lt;key app="EN" db-id="dfp5tt9d12x9vhewffovwt2jvd9t5vpwzvxr" timestamp="1644993815"&gt;406&lt;/key&gt;&lt;/foreign-keys&gt;&lt;ref-type name="Journal Article"&gt;17&lt;/ref-type&gt;&lt;contributors&gt;&lt;authors&gt;&lt;author&gt;Sirinawasatien, Apichet&lt;/author&gt;&lt;author&gt;Techasirioangkun, Thanaya&lt;/author&gt;&lt;/authors&gt;&lt;/contributors&gt;&lt;titles&gt;&lt;title&gt;Sofosbuvir-based regimens in the treatment of patients with chronic hepatitis C virus infection: Real-world efficacy in Thailand&lt;/title&gt;&lt;secondary-title&gt;PLoS One&lt;/secondary-title&gt;&lt;/titles&gt;&lt;periodical&gt;&lt;full-title&gt;PLOS ONE&lt;/full-title&gt;&lt;/periodical&gt;&lt;pages&gt;e0229517&lt;/pages&gt;&lt;volume&gt;15&lt;/volume&gt;&lt;number&gt;2&lt;/number&gt;&lt;dates&gt;&lt;year&gt;2020&lt;/year&gt;&lt;/dates&gt;&lt;isbn&gt;1932-6203&lt;/isbn&gt;&lt;urls&gt;&lt;/urls&gt;&lt;/record&gt;&lt;/Cite&gt;&lt;/EndNote&gt;</w:instrText>
      </w:r>
      <w:r w:rsidR="00EF74D1" w:rsidRPr="00456C7B">
        <w:fldChar w:fldCharType="separate"/>
      </w:r>
      <w:r w:rsidR="00A2659F">
        <w:rPr>
          <w:noProof/>
        </w:rPr>
        <w:t>(46)</w:t>
      </w:r>
      <w:r w:rsidR="00EF74D1" w:rsidRPr="00456C7B">
        <w:fldChar w:fldCharType="end"/>
      </w:r>
      <w:r w:rsidR="00AB28C9" w:rsidRPr="00456C7B">
        <w:t xml:space="preserve">. </w:t>
      </w:r>
    </w:p>
    <w:p w14:paraId="43DA6DDF" w14:textId="616D9396" w:rsidR="00300401" w:rsidRPr="00456C7B" w:rsidRDefault="00040697" w:rsidP="00EA6F50">
      <w:pPr>
        <w:pStyle w:val="Heading2"/>
        <w:spacing w:line="360" w:lineRule="auto"/>
      </w:pPr>
      <w:r w:rsidRPr="00456C7B">
        <w:t xml:space="preserve">Patent </w:t>
      </w:r>
      <w:r w:rsidR="009128AF" w:rsidRPr="00456C7B">
        <w:t>status of DAAs in Thailand</w:t>
      </w:r>
    </w:p>
    <w:p w14:paraId="74D9F4DA" w14:textId="13914A36" w:rsidR="003F55D7" w:rsidRPr="00456C7B" w:rsidRDefault="007B0694" w:rsidP="00CD3606">
      <w:pPr>
        <w:spacing w:line="360" w:lineRule="auto"/>
        <w:jc w:val="both"/>
      </w:pPr>
      <w:r w:rsidRPr="00456C7B">
        <w:t xml:space="preserve">Many patent applications have been filed for DAAs </w:t>
      </w:r>
      <w:r w:rsidR="002A682B" w:rsidRPr="00456C7B">
        <w:t>in Thailand</w:t>
      </w:r>
      <w:r w:rsidR="00EF5CAC" w:rsidRPr="00456C7B">
        <w:t xml:space="preserve">. </w:t>
      </w:r>
      <w:r w:rsidR="0043097D" w:rsidRPr="00456C7B">
        <w:t xml:space="preserve">All patent applications are pending and many </w:t>
      </w:r>
      <w:r w:rsidR="00713954" w:rsidRPr="00456C7B">
        <w:t xml:space="preserve">patents for </w:t>
      </w:r>
      <w:r w:rsidR="00EE65A8" w:rsidRPr="00456C7B">
        <w:t>DAA</w:t>
      </w:r>
      <w:r w:rsidR="00713954" w:rsidRPr="00456C7B">
        <w:t>s,</w:t>
      </w:r>
      <w:r w:rsidR="00EE65A8" w:rsidRPr="00456C7B">
        <w:t xml:space="preserve"> </w:t>
      </w:r>
      <w:r w:rsidR="0043097D" w:rsidRPr="00456C7B">
        <w:t xml:space="preserve">including </w:t>
      </w:r>
      <w:r w:rsidR="00EE3B05" w:rsidRPr="00456C7B">
        <w:t>s</w:t>
      </w:r>
      <w:r w:rsidR="0043097D" w:rsidRPr="00456C7B">
        <w:t>ofosbuvir</w:t>
      </w:r>
      <w:r w:rsidR="00713954" w:rsidRPr="00456C7B">
        <w:t>,</w:t>
      </w:r>
      <w:r w:rsidR="00EE65A8" w:rsidRPr="00456C7B">
        <w:t xml:space="preserve"> </w:t>
      </w:r>
      <w:r w:rsidR="0043097D" w:rsidRPr="00456C7B">
        <w:t>have been opposed by patient groups and NGOs on the grounds that they lack novelty and an inventive step</w:t>
      </w:r>
      <w:r w:rsidR="008B1262" w:rsidRPr="00456C7B">
        <w:t xml:space="preserve"> </w:t>
      </w:r>
      <w:r w:rsidR="008B1262" w:rsidRPr="00456C7B">
        <w:fldChar w:fldCharType="begin"/>
      </w:r>
      <w:r w:rsidR="00A2659F">
        <w:instrText xml:space="preserve"> ADDIN EN.CITE &lt;EndNote&gt;&lt;Cite&gt;&lt;Author&gt;Medspal&lt;/Author&gt;&lt;Year&gt;2022&lt;/Year&gt;&lt;RecNum&gt;440&lt;/RecNum&gt;&lt;DisplayText&gt;(48)&lt;/DisplayText&gt;&lt;record&gt;&lt;rec-number&gt;440&lt;/rec-number&gt;&lt;foreign-keys&gt;&lt;key app="EN" db-id="dfp5tt9d12x9vhewffovwt2jvd9t5vpwzvxr" timestamp="1649207494"&gt;440&lt;/key&gt;&lt;/foreign-keys&gt;&lt;ref-type name="Web Page"&gt;12&lt;/ref-type&gt;&lt;contributors&gt;&lt;authors&gt;&lt;author&gt;Medspal&lt;/author&gt;&lt;/authors&gt;&lt;secondary-authors&gt;&lt;author&gt;Medicines Patent Pool,&lt;/author&gt;&lt;/secondary-authors&gt;&lt;/contributors&gt;&lt;titles&gt;&lt;title&gt;Medspal&lt;/title&gt;&lt;/titles&gt;&lt;volume&gt;2022&lt;/volume&gt;&lt;number&gt;6/4/2022&lt;/number&gt;&lt;dates&gt;&lt;year&gt;2022&lt;/year&gt;&lt;/dates&gt;&lt;urls&gt;&lt;related-urls&gt;&lt;url&gt;https://www.medspal.org/?countries%5B%5D=Thailand&amp;amp;disease_area%5B%5D=Hepatitis+C+(HCV)&amp;amp;page=1&lt;/url&gt;&lt;/related-urls&gt;&lt;/urls&gt;&lt;custom1&gt;2022&lt;/custom1&gt;&lt;custom2&gt;6/4/2022&lt;/custom2&gt;&lt;/record&gt;&lt;/Cite&gt;&lt;/EndNote&gt;</w:instrText>
      </w:r>
      <w:r w:rsidR="008B1262" w:rsidRPr="00456C7B">
        <w:fldChar w:fldCharType="separate"/>
      </w:r>
      <w:r w:rsidR="00A2659F">
        <w:rPr>
          <w:noProof/>
        </w:rPr>
        <w:t>(48)</w:t>
      </w:r>
      <w:r w:rsidR="008B1262" w:rsidRPr="00456C7B">
        <w:fldChar w:fldCharType="end"/>
      </w:r>
      <w:r w:rsidR="0043097D" w:rsidRPr="00456C7B">
        <w:t xml:space="preserve">. </w:t>
      </w:r>
      <w:r w:rsidR="00EF5CAC" w:rsidRPr="00456C7B">
        <w:t>The</w:t>
      </w:r>
      <w:r w:rsidR="00713954" w:rsidRPr="00456C7B">
        <w:t>se</w:t>
      </w:r>
      <w:r w:rsidR="00EF5CAC" w:rsidRPr="00456C7B">
        <w:t xml:space="preserve"> are detailed in </w:t>
      </w:r>
      <w:r w:rsidR="00E16F2A" w:rsidRPr="00456C7B">
        <w:t xml:space="preserve">supplementary file </w:t>
      </w:r>
      <w:r w:rsidR="001E24A5" w:rsidRPr="00456C7B">
        <w:t>2</w:t>
      </w:r>
      <w:r w:rsidR="00E16F2A" w:rsidRPr="00456C7B">
        <w:t>.</w:t>
      </w:r>
    </w:p>
    <w:p w14:paraId="38C1EA64" w14:textId="0ACB5AFA" w:rsidR="00BA1E65" w:rsidRPr="00456C7B" w:rsidRDefault="00C10380" w:rsidP="00EA6F50">
      <w:pPr>
        <w:spacing w:line="360" w:lineRule="auto"/>
        <w:jc w:val="both"/>
      </w:pPr>
      <w:r w:rsidRPr="00456C7B">
        <w:t xml:space="preserve">Hepatitis C remains </w:t>
      </w:r>
      <w:r w:rsidR="007E649D" w:rsidRPr="00456C7B">
        <w:t xml:space="preserve">a </w:t>
      </w:r>
      <w:r w:rsidRPr="00456C7B">
        <w:t xml:space="preserve">significant health </w:t>
      </w:r>
      <w:r w:rsidR="00DA3BC4" w:rsidRPr="00456C7B">
        <w:t xml:space="preserve">burden </w:t>
      </w:r>
      <w:r w:rsidRPr="00456C7B">
        <w:t>in Thailand</w:t>
      </w:r>
      <w:r w:rsidR="00E009AF" w:rsidRPr="00456C7B">
        <w:t xml:space="preserve">. To address this issue requires considerable scale up of </w:t>
      </w:r>
      <w:r w:rsidR="00D07FE9" w:rsidRPr="00456C7B">
        <w:t xml:space="preserve">testing and </w:t>
      </w:r>
      <w:r w:rsidR="00E009AF" w:rsidRPr="00456C7B">
        <w:t>treatment</w:t>
      </w:r>
      <w:r w:rsidR="00B22EC8" w:rsidRPr="00456C7B">
        <w:t xml:space="preserve">. Thailand has the </w:t>
      </w:r>
      <w:r w:rsidR="00DF127D" w:rsidRPr="00456C7B">
        <w:t>industrial</w:t>
      </w:r>
      <w:r w:rsidR="008335C5" w:rsidRPr="00456C7B">
        <w:t xml:space="preserve"> capacity to manufacture generic DAAs in</w:t>
      </w:r>
      <w:r w:rsidR="00E632AA">
        <w:t xml:space="preserve"> </w:t>
      </w:r>
      <w:r w:rsidR="008335C5" w:rsidRPr="00456C7B">
        <w:t xml:space="preserve">country making treatment more affordable </w:t>
      </w:r>
      <w:r w:rsidR="00B549F6" w:rsidRPr="00456C7B">
        <w:t xml:space="preserve">and sustainable. </w:t>
      </w:r>
      <w:r w:rsidR="001600C7" w:rsidRPr="00456C7B">
        <w:t xml:space="preserve">The </w:t>
      </w:r>
      <w:r w:rsidR="00B35F8A" w:rsidRPr="00456C7B">
        <w:t>advent</w:t>
      </w:r>
      <w:r w:rsidR="00D05C09" w:rsidRPr="00456C7B">
        <w:t xml:space="preserve"> of DAAs ha</w:t>
      </w:r>
      <w:r w:rsidR="00DA3BC4" w:rsidRPr="00456C7B">
        <w:t>s</w:t>
      </w:r>
      <w:r w:rsidR="00D05C09" w:rsidRPr="00456C7B">
        <w:t xml:space="preserve"> </w:t>
      </w:r>
      <w:r w:rsidR="00271562" w:rsidRPr="00456C7B">
        <w:t>revolutionised</w:t>
      </w:r>
      <w:r w:rsidR="00D05C09" w:rsidRPr="00456C7B">
        <w:t xml:space="preserve"> hepatitis C treatment but </w:t>
      </w:r>
      <w:r w:rsidR="00DA3BC4" w:rsidRPr="00456C7B">
        <w:t xml:space="preserve">they </w:t>
      </w:r>
      <w:r w:rsidR="00D05C09" w:rsidRPr="00456C7B">
        <w:t xml:space="preserve">are </w:t>
      </w:r>
      <w:r w:rsidR="00271562" w:rsidRPr="00456C7B">
        <w:t>mostly patented and</w:t>
      </w:r>
      <w:r w:rsidR="00D05C09" w:rsidRPr="00456C7B">
        <w:t xml:space="preserve"> </w:t>
      </w:r>
      <w:r w:rsidR="00271562" w:rsidRPr="00456C7B">
        <w:t xml:space="preserve">expensive. </w:t>
      </w:r>
      <w:r w:rsidR="00D40FEB" w:rsidRPr="00456C7B">
        <w:t>The Thai national hepatitis C treatment program therefore</w:t>
      </w:r>
      <w:r w:rsidR="00271562" w:rsidRPr="00456C7B">
        <w:t xml:space="preserve"> provides </w:t>
      </w:r>
      <w:r w:rsidR="00B35F8A" w:rsidRPr="00456C7B">
        <w:t xml:space="preserve">a </w:t>
      </w:r>
      <w:r w:rsidR="00A751DE">
        <w:t>case study</w:t>
      </w:r>
      <w:r w:rsidR="00B35F8A" w:rsidRPr="00456C7B">
        <w:t xml:space="preserve"> to explore the impact of </w:t>
      </w:r>
      <w:r w:rsidR="000A4C90" w:rsidRPr="00456C7B">
        <w:t>TRIPS-plus</w:t>
      </w:r>
      <w:r w:rsidR="00BA1E65" w:rsidRPr="00456C7B">
        <w:t xml:space="preserve"> </w:t>
      </w:r>
      <w:r w:rsidR="00B35F8A" w:rsidRPr="00456C7B">
        <w:t>trade agreement</w:t>
      </w:r>
      <w:r w:rsidR="009F6BD2" w:rsidRPr="00456C7B">
        <w:t>s</w:t>
      </w:r>
      <w:r w:rsidR="00B35F8A" w:rsidRPr="00456C7B">
        <w:t xml:space="preserve"> on </w:t>
      </w:r>
      <w:r w:rsidR="00BA1E65" w:rsidRPr="00456C7B">
        <w:t xml:space="preserve">access to </w:t>
      </w:r>
      <w:r w:rsidR="00B35F8A" w:rsidRPr="00456C7B">
        <w:t xml:space="preserve">affordable </w:t>
      </w:r>
      <w:r w:rsidR="00BA1E65" w:rsidRPr="00456C7B">
        <w:t>medicines</w:t>
      </w:r>
      <w:r w:rsidR="00B35F8A" w:rsidRPr="00456C7B">
        <w:t>.</w:t>
      </w:r>
    </w:p>
    <w:p w14:paraId="2755713A" w14:textId="563134C2" w:rsidR="005D6176" w:rsidRPr="00456C7B" w:rsidRDefault="005D6176" w:rsidP="00EA6F50">
      <w:pPr>
        <w:pStyle w:val="Heading1"/>
        <w:spacing w:line="360" w:lineRule="auto"/>
      </w:pPr>
      <w:r w:rsidRPr="00456C7B">
        <w:t>Aims</w:t>
      </w:r>
    </w:p>
    <w:p w14:paraId="441F1889" w14:textId="001186F4" w:rsidR="00040697" w:rsidRPr="00456C7B" w:rsidRDefault="00040697" w:rsidP="00A310BE">
      <w:pPr>
        <w:spacing w:line="360" w:lineRule="auto"/>
        <w:jc w:val="both"/>
      </w:pPr>
      <w:r w:rsidRPr="00456C7B">
        <w:t xml:space="preserve">This study aims to determine the </w:t>
      </w:r>
      <w:r w:rsidR="008A7592" w:rsidRPr="00456C7B">
        <w:t xml:space="preserve">potential </w:t>
      </w:r>
      <w:r w:rsidRPr="00456C7B">
        <w:t>impact on Thailand’s hepatitis C treatment program if Thailand decides to join the CPTPP and all suspended IP clauses are reinstated.</w:t>
      </w:r>
      <w:r w:rsidR="008A70A3" w:rsidRPr="00456C7B">
        <w:t xml:space="preserve"> Impact is measured as the cost of the treatment program and the number of people able to access treatment.</w:t>
      </w:r>
    </w:p>
    <w:p w14:paraId="7007B9D2" w14:textId="77777777" w:rsidR="00B6722D" w:rsidRPr="00456C7B" w:rsidRDefault="00B6722D" w:rsidP="00EA6F50">
      <w:pPr>
        <w:pStyle w:val="Heading1"/>
        <w:spacing w:line="360" w:lineRule="auto"/>
      </w:pPr>
      <w:r w:rsidRPr="00456C7B">
        <w:t xml:space="preserve">Methods </w:t>
      </w:r>
    </w:p>
    <w:p w14:paraId="5C31F5FD" w14:textId="40DC36EE" w:rsidR="001624A6" w:rsidRPr="00456C7B" w:rsidRDefault="001624A6" w:rsidP="001624A6">
      <w:pPr>
        <w:pStyle w:val="Heading2"/>
      </w:pPr>
      <w:r w:rsidRPr="00456C7B">
        <w:t>Scenario development</w:t>
      </w:r>
    </w:p>
    <w:p w14:paraId="5B341D94" w14:textId="77777777" w:rsidR="001624A6" w:rsidRPr="00456C7B" w:rsidRDefault="001624A6" w:rsidP="00965203"/>
    <w:p w14:paraId="2FDD0AC3" w14:textId="77777777" w:rsidR="009541C7" w:rsidRPr="00456C7B" w:rsidRDefault="00937B7B" w:rsidP="00EA6F50">
      <w:pPr>
        <w:spacing w:line="360" w:lineRule="auto"/>
      </w:pPr>
      <w:r w:rsidRPr="00456C7B">
        <w:t>Four scenarios were designed to explore the potential impact</w:t>
      </w:r>
      <w:r w:rsidR="002F17B6" w:rsidRPr="00456C7B">
        <w:t>s</w:t>
      </w:r>
      <w:r w:rsidRPr="00456C7B">
        <w:t xml:space="preserve"> of </w:t>
      </w:r>
      <w:r w:rsidR="00F35F58" w:rsidRPr="00456C7B">
        <w:t>joining the</w:t>
      </w:r>
      <w:r w:rsidRPr="00456C7B">
        <w:t xml:space="preserve"> CPTPP on Thailand’s hepatitis C treatment program</w:t>
      </w:r>
      <w:r w:rsidR="009541C7" w:rsidRPr="00456C7B">
        <w:t>:</w:t>
      </w:r>
    </w:p>
    <w:p w14:paraId="7119DAE4" w14:textId="5B3FEBC3" w:rsidR="009541C7" w:rsidRPr="00456C7B" w:rsidRDefault="009541C7" w:rsidP="009541C7">
      <w:pPr>
        <w:pStyle w:val="ListParagraph"/>
        <w:numPr>
          <w:ilvl w:val="0"/>
          <w:numId w:val="9"/>
        </w:numPr>
        <w:spacing w:line="360" w:lineRule="auto"/>
      </w:pPr>
      <w:r w:rsidRPr="00456C7B">
        <w:lastRenderedPageBreak/>
        <w:t xml:space="preserve">Scenario 1 (baseline): </w:t>
      </w:r>
      <w:r w:rsidR="00082EEA" w:rsidRPr="00456C7B">
        <w:t>This scenario involves Thailand’s current</w:t>
      </w:r>
      <w:r w:rsidR="001876FC" w:rsidRPr="00456C7B">
        <w:t xml:space="preserve"> patent law</w:t>
      </w:r>
      <w:r w:rsidR="00082EEA" w:rsidRPr="00456C7B">
        <w:t xml:space="preserve">, </w:t>
      </w:r>
      <w:r w:rsidR="00AB7AD3" w:rsidRPr="00456C7B">
        <w:t xml:space="preserve">the </w:t>
      </w:r>
      <w:r w:rsidR="001876FC" w:rsidRPr="00456C7B">
        <w:t xml:space="preserve">2020 </w:t>
      </w:r>
      <w:r w:rsidR="000D5157" w:rsidRPr="00456C7B">
        <w:t>hepatitis</w:t>
      </w:r>
      <w:r w:rsidR="00AB7AD3" w:rsidRPr="00456C7B">
        <w:t xml:space="preserve"> </w:t>
      </w:r>
      <w:r w:rsidR="005348D2" w:rsidRPr="00456C7B">
        <w:t xml:space="preserve">C </w:t>
      </w:r>
      <w:r w:rsidR="001876FC" w:rsidRPr="00456C7B">
        <w:t>treatment</w:t>
      </w:r>
      <w:r w:rsidR="00AB7AD3" w:rsidRPr="00456C7B">
        <w:t xml:space="preserve"> </w:t>
      </w:r>
      <w:proofErr w:type="gramStart"/>
      <w:r w:rsidR="00AB7AD3" w:rsidRPr="00456C7B">
        <w:t>regime</w:t>
      </w:r>
      <w:proofErr w:type="gramEnd"/>
      <w:r w:rsidR="00AB7AD3" w:rsidRPr="00456C7B">
        <w:t xml:space="preserve"> and no</w:t>
      </w:r>
      <w:r w:rsidR="00050DD4" w:rsidRPr="00456C7B">
        <w:t xml:space="preserve"> issuance of compulsory licenses for hepatitis C </w:t>
      </w:r>
      <w:r w:rsidR="006A6BFE" w:rsidRPr="00456C7B">
        <w:t>medicine</w:t>
      </w:r>
      <w:r w:rsidR="00050DD4" w:rsidRPr="00456C7B">
        <w:t>.</w:t>
      </w:r>
    </w:p>
    <w:p w14:paraId="3E8D0EA1" w14:textId="240E4E5F" w:rsidR="005348D2" w:rsidRPr="00456C7B" w:rsidRDefault="00050DD4" w:rsidP="00965203">
      <w:pPr>
        <w:pStyle w:val="ListParagraph"/>
        <w:keepNext/>
        <w:numPr>
          <w:ilvl w:val="0"/>
          <w:numId w:val="9"/>
        </w:numPr>
        <w:spacing w:line="360" w:lineRule="auto"/>
      </w:pPr>
      <w:r w:rsidRPr="00456C7B">
        <w:t>Scenario 2</w:t>
      </w:r>
      <w:r w:rsidR="008C540B" w:rsidRPr="00456C7B">
        <w:t xml:space="preserve">: In this scenario, Thailand joins the CPTPP, suspended clauses are reinstated, and </w:t>
      </w:r>
      <w:r w:rsidR="00716F35" w:rsidRPr="00456C7B">
        <w:t xml:space="preserve">the </w:t>
      </w:r>
      <w:r w:rsidR="005348D2" w:rsidRPr="00456C7B">
        <w:t>2020 hepatitis C treatment regime is used. No compulsory license</w:t>
      </w:r>
      <w:r w:rsidR="005D0697" w:rsidRPr="00456C7B">
        <w:t>s</w:t>
      </w:r>
      <w:r w:rsidR="005348D2" w:rsidRPr="00456C7B">
        <w:t xml:space="preserve"> are issued for hepatitis C </w:t>
      </w:r>
      <w:r w:rsidR="006A6BFE" w:rsidRPr="00456C7B">
        <w:t>medicines</w:t>
      </w:r>
      <w:r w:rsidR="00924F74" w:rsidRPr="00456C7B">
        <w:t>.</w:t>
      </w:r>
    </w:p>
    <w:p w14:paraId="4C4795BF" w14:textId="112FC238" w:rsidR="005348D2" w:rsidRPr="00456C7B" w:rsidRDefault="005348D2" w:rsidP="00965203">
      <w:pPr>
        <w:pStyle w:val="ListParagraph"/>
        <w:keepNext/>
        <w:numPr>
          <w:ilvl w:val="0"/>
          <w:numId w:val="9"/>
        </w:numPr>
        <w:spacing w:line="360" w:lineRule="auto"/>
      </w:pPr>
      <w:r w:rsidRPr="00456C7B">
        <w:t xml:space="preserve">Scenario 3: This scenario </w:t>
      </w:r>
      <w:r w:rsidR="00924F74" w:rsidRPr="00456C7B">
        <w:t xml:space="preserve">involves </w:t>
      </w:r>
      <w:r w:rsidRPr="00456C7B">
        <w:t>full use of TRIPS flexibilities</w:t>
      </w:r>
      <w:r w:rsidR="00924F74" w:rsidRPr="00456C7B">
        <w:t>, i.e.</w:t>
      </w:r>
      <w:r w:rsidR="005D0697" w:rsidRPr="00456C7B">
        <w:t>,</w:t>
      </w:r>
      <w:r w:rsidR="003B6057" w:rsidRPr="00456C7B">
        <w:t xml:space="preserve"> </w:t>
      </w:r>
      <w:r w:rsidR="00924F74" w:rsidRPr="00456C7B">
        <w:t xml:space="preserve">issuance of compulsory licenses for all </w:t>
      </w:r>
      <w:r w:rsidR="006A6BFE" w:rsidRPr="00456C7B">
        <w:t>medicines</w:t>
      </w:r>
      <w:r w:rsidR="00924F74" w:rsidRPr="00456C7B">
        <w:t xml:space="preserve"> where patents would otherwise present barriers to access</w:t>
      </w:r>
      <w:r w:rsidRPr="00456C7B">
        <w:t xml:space="preserve"> (irrespective of whether Thailand joins CPTPP or not</w:t>
      </w:r>
      <w:r w:rsidR="00924F74" w:rsidRPr="00456C7B">
        <w:t>).</w:t>
      </w:r>
    </w:p>
    <w:p w14:paraId="30FFDF27" w14:textId="6A70BADF" w:rsidR="00050DD4" w:rsidRPr="00456C7B" w:rsidRDefault="00F36A2E" w:rsidP="00A310BE">
      <w:pPr>
        <w:pStyle w:val="ListParagraph"/>
        <w:numPr>
          <w:ilvl w:val="0"/>
          <w:numId w:val="9"/>
        </w:numPr>
        <w:spacing w:line="360" w:lineRule="auto"/>
        <w:jc w:val="both"/>
      </w:pPr>
      <w:r w:rsidRPr="00456C7B">
        <w:t>Scenario 4: This involves Thailand’s current patent law</w:t>
      </w:r>
      <w:r w:rsidR="00F35EA3" w:rsidRPr="00456C7B">
        <w:t>, the l</w:t>
      </w:r>
      <w:r w:rsidRPr="00456C7B">
        <w:t>owest price generic WHO recommended pan-genotypic regime</w:t>
      </w:r>
      <w:r w:rsidR="00F35EA3" w:rsidRPr="00456C7B">
        <w:t xml:space="preserve">, and no issuance of compulsory licenses for hepatitis C </w:t>
      </w:r>
      <w:r w:rsidR="006A6BFE" w:rsidRPr="00456C7B">
        <w:t>medicines</w:t>
      </w:r>
      <w:r w:rsidR="00F35EA3" w:rsidRPr="00456C7B">
        <w:t>.</w:t>
      </w:r>
    </w:p>
    <w:p w14:paraId="74675FFA" w14:textId="5073448E" w:rsidR="00A66A74" w:rsidRPr="00456C7B" w:rsidRDefault="00F96314" w:rsidP="00A310BE">
      <w:pPr>
        <w:spacing w:line="360" w:lineRule="auto"/>
        <w:jc w:val="both"/>
      </w:pPr>
      <w:r w:rsidRPr="00456C7B">
        <w:t>T</w:t>
      </w:r>
      <w:r w:rsidR="00A66A74" w:rsidRPr="00456C7B">
        <w:t>he</w:t>
      </w:r>
      <w:r w:rsidR="00106525" w:rsidRPr="00456C7B">
        <w:t>se</w:t>
      </w:r>
      <w:r w:rsidR="00A66A74" w:rsidRPr="00456C7B">
        <w:t xml:space="preserve"> scenarios were </w:t>
      </w:r>
      <w:r w:rsidR="004173F4" w:rsidRPr="00456C7B">
        <w:t xml:space="preserve">chosen to </w:t>
      </w:r>
      <w:r w:rsidR="003459F1" w:rsidRPr="00456C7B">
        <w:t xml:space="preserve">encompass the range of policy options available to Thailand </w:t>
      </w:r>
      <w:r w:rsidR="000E4559" w:rsidRPr="00456C7B">
        <w:t xml:space="preserve">and the impact of each of these options on the cost of the </w:t>
      </w:r>
      <w:r w:rsidR="00CC460C" w:rsidRPr="00456C7B">
        <w:t>hepatitis</w:t>
      </w:r>
      <w:r w:rsidR="000E4559" w:rsidRPr="00456C7B">
        <w:t xml:space="preserve"> C treatment program</w:t>
      </w:r>
      <w:r w:rsidR="00CC460C" w:rsidRPr="00456C7B">
        <w:t xml:space="preserve"> as a comparator to </w:t>
      </w:r>
      <w:r w:rsidR="00F35F58" w:rsidRPr="00456C7B">
        <w:t>the</w:t>
      </w:r>
      <w:r w:rsidR="000E4559" w:rsidRPr="00456C7B">
        <w:t xml:space="preserve"> </w:t>
      </w:r>
      <w:r w:rsidR="005760B0" w:rsidRPr="00456C7B">
        <w:t xml:space="preserve">CPTPP scenario. </w:t>
      </w:r>
      <w:r w:rsidR="008A70A3" w:rsidRPr="00456C7B">
        <w:t xml:space="preserve"> </w:t>
      </w:r>
      <w:r w:rsidR="00DC4306" w:rsidRPr="00456C7B">
        <w:t>R</w:t>
      </w:r>
      <w:r w:rsidR="008A70A3" w:rsidRPr="00456C7B">
        <w:t xml:space="preserve">elevant international and Thai </w:t>
      </w:r>
      <w:r w:rsidR="00DC4306" w:rsidRPr="00456C7B">
        <w:t xml:space="preserve">IP and access to medicines </w:t>
      </w:r>
      <w:r w:rsidR="008A70A3" w:rsidRPr="00456C7B">
        <w:t xml:space="preserve">experts </w:t>
      </w:r>
      <w:r w:rsidR="00DC4306" w:rsidRPr="00456C7B">
        <w:t xml:space="preserve">were consulted </w:t>
      </w:r>
      <w:r w:rsidR="008A70A3" w:rsidRPr="00456C7B">
        <w:t xml:space="preserve">to ensure that </w:t>
      </w:r>
      <w:r w:rsidR="00DC4306" w:rsidRPr="00456C7B">
        <w:t xml:space="preserve">the study focused on the most pertinent trade agreement for Thailand was included, that </w:t>
      </w:r>
      <w:r w:rsidR="008A70A3" w:rsidRPr="00456C7B">
        <w:t>there was an expert understanding of current patent law</w:t>
      </w:r>
      <w:r w:rsidR="00DC4306" w:rsidRPr="00456C7B">
        <w:t xml:space="preserve"> </w:t>
      </w:r>
      <w:r w:rsidR="008A70A3" w:rsidRPr="00456C7B">
        <w:t>and that the relevant range of options were being explored.</w:t>
      </w:r>
    </w:p>
    <w:p w14:paraId="3B047ACE" w14:textId="7805FD3B" w:rsidR="00E551DE" w:rsidRPr="00456C7B" w:rsidRDefault="00972534" w:rsidP="00E551DE">
      <w:pPr>
        <w:spacing w:after="0" w:line="360" w:lineRule="auto"/>
        <w:jc w:val="both"/>
        <w:rPr>
          <w:b/>
          <w:bCs/>
        </w:rPr>
      </w:pPr>
      <w:r w:rsidRPr="00456C7B">
        <w:t xml:space="preserve">To </w:t>
      </w:r>
      <w:r w:rsidR="00572750" w:rsidRPr="00456C7B">
        <w:t>fina</w:t>
      </w:r>
      <w:r w:rsidR="00B46E2F" w:rsidRPr="00456C7B">
        <w:t>lise</w:t>
      </w:r>
      <w:r w:rsidRPr="00456C7B">
        <w:t xml:space="preserve"> </w:t>
      </w:r>
      <w:r w:rsidR="001624A6" w:rsidRPr="00456C7B">
        <w:t>Scenario 2</w:t>
      </w:r>
      <w:r w:rsidR="00DD70B2" w:rsidRPr="00456C7B">
        <w:t xml:space="preserve"> and </w:t>
      </w:r>
      <w:r w:rsidR="00607B09" w:rsidRPr="00456C7B">
        <w:t>its</w:t>
      </w:r>
      <w:r w:rsidR="00DD70B2" w:rsidRPr="00456C7B">
        <w:t xml:space="preserve"> assumptions</w:t>
      </w:r>
      <w:r w:rsidR="00607B09" w:rsidRPr="00456C7B">
        <w:t>,</w:t>
      </w:r>
      <w:r w:rsidR="00DD70B2" w:rsidRPr="00456C7B">
        <w:t xml:space="preserve"> it was necessary to</w:t>
      </w:r>
      <w:r w:rsidR="00B306B0" w:rsidRPr="00456C7B">
        <w:t xml:space="preserve"> determine </w:t>
      </w:r>
      <w:r w:rsidR="005571E0" w:rsidRPr="00456C7B">
        <w:t>if the CPTPP</w:t>
      </w:r>
      <w:r w:rsidR="00F307AD" w:rsidRPr="00456C7B">
        <w:t xml:space="preserve"> </w:t>
      </w:r>
      <w:r w:rsidR="009A77FC" w:rsidRPr="00456C7B">
        <w:t xml:space="preserve">and its </w:t>
      </w:r>
      <w:r w:rsidR="00F307AD" w:rsidRPr="00456C7B">
        <w:t>suspended clauses would require legislative change in Thailand</w:t>
      </w:r>
      <w:r w:rsidR="00B46E2F" w:rsidRPr="00456C7B">
        <w:t>,</w:t>
      </w:r>
      <w:r w:rsidR="00F307AD" w:rsidRPr="00456C7B">
        <w:t xml:space="preserve"> should they be reinstated</w:t>
      </w:r>
      <w:r w:rsidR="004C430C" w:rsidRPr="00456C7B">
        <w:t>.</w:t>
      </w:r>
      <w:r w:rsidR="005F6418" w:rsidRPr="00456C7B">
        <w:t xml:space="preserve"> </w:t>
      </w:r>
      <w:r w:rsidR="0016079C" w:rsidRPr="00456C7B">
        <w:t xml:space="preserve">Relevant </w:t>
      </w:r>
      <w:r w:rsidR="005F6418" w:rsidRPr="00456C7B">
        <w:t xml:space="preserve">Thai legal text was </w:t>
      </w:r>
      <w:r w:rsidR="0016079C" w:rsidRPr="00456C7B">
        <w:t xml:space="preserve">examined for </w:t>
      </w:r>
      <w:r w:rsidR="00731C21" w:rsidRPr="00456C7B">
        <w:t>compliance</w:t>
      </w:r>
      <w:r w:rsidR="0016079C" w:rsidRPr="00456C7B">
        <w:t xml:space="preserve"> with </w:t>
      </w:r>
      <w:r w:rsidR="00C0152D" w:rsidRPr="00456C7B">
        <w:t>patent linkage and CPTPP</w:t>
      </w:r>
      <w:r w:rsidR="0016079C" w:rsidRPr="00456C7B">
        <w:t xml:space="preserve"> suspended IP c</w:t>
      </w:r>
      <w:r w:rsidR="00C0152D" w:rsidRPr="00456C7B">
        <w:t>lauses</w:t>
      </w:r>
      <w:r w:rsidR="00C0152D" w:rsidRPr="00456C7B">
        <w:rPr>
          <w:b/>
          <w:bCs/>
        </w:rPr>
        <w:t xml:space="preserve">. </w:t>
      </w:r>
      <w:r w:rsidR="00E551DE" w:rsidRPr="00456C7B">
        <w:rPr>
          <w:rFonts w:cstheme="minorHAnsi"/>
        </w:rPr>
        <w:t xml:space="preserve">See Table </w:t>
      </w:r>
      <w:r w:rsidR="00CD3606" w:rsidRPr="00456C7B">
        <w:rPr>
          <w:rFonts w:cstheme="minorHAnsi"/>
        </w:rPr>
        <w:t>4</w:t>
      </w:r>
      <w:r w:rsidR="00E551DE" w:rsidRPr="00456C7B">
        <w:rPr>
          <w:rFonts w:cstheme="minorHAnsi"/>
        </w:rPr>
        <w:t xml:space="preserve"> for possible legislative changes</w:t>
      </w:r>
      <w:r w:rsidR="0032323C" w:rsidRPr="00456C7B">
        <w:rPr>
          <w:rFonts w:cstheme="minorHAnsi"/>
        </w:rPr>
        <w:t xml:space="preserve"> and </w:t>
      </w:r>
      <w:r w:rsidR="00533C79" w:rsidRPr="00456C7B">
        <w:rPr>
          <w:rFonts w:cstheme="minorHAnsi"/>
        </w:rPr>
        <w:t>T</w:t>
      </w:r>
      <w:r w:rsidR="0032323C" w:rsidRPr="00456C7B">
        <w:rPr>
          <w:rFonts w:cstheme="minorHAnsi"/>
        </w:rPr>
        <w:t>able 1 for an explanation of the clauses.</w:t>
      </w:r>
    </w:p>
    <w:p w14:paraId="35E804D5" w14:textId="77777777" w:rsidR="00E551DE" w:rsidRPr="00456C7B" w:rsidRDefault="00E551DE" w:rsidP="00E551DE">
      <w:pPr>
        <w:spacing w:after="0" w:line="360" w:lineRule="auto"/>
        <w:jc w:val="both"/>
        <w:rPr>
          <w:rFonts w:cstheme="minorHAnsi"/>
        </w:rPr>
      </w:pPr>
    </w:p>
    <w:p w14:paraId="210E2A9C" w14:textId="5AAC0FAA" w:rsidR="00E551DE" w:rsidRPr="00456C7B" w:rsidRDefault="00E551DE" w:rsidP="00E551DE">
      <w:pPr>
        <w:spacing w:after="0" w:line="240" w:lineRule="auto"/>
        <w:jc w:val="both"/>
        <w:rPr>
          <w:rFonts w:cstheme="minorHAnsi"/>
          <w:b/>
          <w:bCs/>
        </w:rPr>
      </w:pPr>
      <w:r w:rsidRPr="00456C7B">
        <w:rPr>
          <w:rFonts w:cstheme="minorHAnsi"/>
          <w:b/>
          <w:bCs/>
        </w:rPr>
        <w:t xml:space="preserve">Table </w:t>
      </w:r>
      <w:r w:rsidR="00CD3606" w:rsidRPr="00456C7B">
        <w:rPr>
          <w:rFonts w:cstheme="minorHAnsi"/>
          <w:b/>
          <w:bCs/>
        </w:rPr>
        <w:t>4</w:t>
      </w:r>
      <w:r w:rsidRPr="00456C7B">
        <w:rPr>
          <w:rFonts w:cstheme="minorHAnsi"/>
          <w:b/>
          <w:bCs/>
        </w:rPr>
        <w:t>: CPTPP suspended clauses and possible legislative change required in Thailand</w:t>
      </w:r>
    </w:p>
    <w:tbl>
      <w:tblPr>
        <w:tblStyle w:val="TableGrid"/>
        <w:tblW w:w="0" w:type="auto"/>
        <w:tblLook w:val="04A0" w:firstRow="1" w:lastRow="0" w:firstColumn="1" w:lastColumn="0" w:noHBand="0" w:noVBand="1"/>
      </w:tblPr>
      <w:tblGrid>
        <w:gridCol w:w="3823"/>
        <w:gridCol w:w="5193"/>
      </w:tblGrid>
      <w:tr w:rsidR="00E551DE" w:rsidRPr="00456C7B" w14:paraId="5E2F0227" w14:textId="77777777" w:rsidTr="00E51F73">
        <w:tc>
          <w:tcPr>
            <w:tcW w:w="3823" w:type="dxa"/>
            <w:shd w:val="clear" w:color="auto" w:fill="B4C6E7" w:themeFill="accent1" w:themeFillTint="66"/>
          </w:tcPr>
          <w:p w14:paraId="3785643C" w14:textId="0442620D" w:rsidR="00E551DE" w:rsidRPr="00456C7B" w:rsidRDefault="00E551DE" w:rsidP="00E51F73">
            <w:pPr>
              <w:jc w:val="both"/>
              <w:rPr>
                <w:rFonts w:cstheme="minorHAnsi"/>
                <w:b/>
                <w:bCs/>
              </w:rPr>
            </w:pPr>
            <w:r w:rsidRPr="00456C7B">
              <w:rPr>
                <w:rFonts w:cstheme="minorHAnsi"/>
                <w:b/>
                <w:bCs/>
              </w:rPr>
              <w:t>CPTPP suspended clauses</w:t>
            </w:r>
            <w:r w:rsidR="00607B09" w:rsidRPr="00456C7B">
              <w:rPr>
                <w:rFonts w:cstheme="minorHAnsi"/>
                <w:b/>
                <w:bCs/>
              </w:rPr>
              <w:t xml:space="preserve"> and existing patent linkage clause</w:t>
            </w:r>
          </w:p>
        </w:tc>
        <w:tc>
          <w:tcPr>
            <w:tcW w:w="5193" w:type="dxa"/>
            <w:shd w:val="clear" w:color="auto" w:fill="B4C6E7" w:themeFill="accent1" w:themeFillTint="66"/>
          </w:tcPr>
          <w:p w14:paraId="1363292B" w14:textId="77777777" w:rsidR="00E551DE" w:rsidRPr="00456C7B" w:rsidRDefault="00E551DE" w:rsidP="00E51F73">
            <w:pPr>
              <w:jc w:val="both"/>
              <w:rPr>
                <w:rFonts w:cstheme="minorHAnsi"/>
                <w:b/>
                <w:bCs/>
              </w:rPr>
            </w:pPr>
            <w:r w:rsidRPr="00456C7B">
              <w:rPr>
                <w:rFonts w:cstheme="minorHAnsi"/>
                <w:b/>
                <w:bCs/>
              </w:rPr>
              <w:t xml:space="preserve">Corresponding clauses that would require legislative change </w:t>
            </w:r>
          </w:p>
        </w:tc>
      </w:tr>
      <w:tr w:rsidR="00E551DE" w:rsidRPr="00456C7B" w14:paraId="55F8F611" w14:textId="77777777" w:rsidTr="00E51F73">
        <w:tc>
          <w:tcPr>
            <w:tcW w:w="3823" w:type="dxa"/>
          </w:tcPr>
          <w:p w14:paraId="4C728076" w14:textId="77777777" w:rsidR="00E551DE" w:rsidRPr="00456C7B" w:rsidRDefault="00E551DE" w:rsidP="00E51F73">
            <w:pPr>
              <w:rPr>
                <w:rFonts w:cstheme="minorHAnsi"/>
              </w:rPr>
            </w:pPr>
            <w:r w:rsidRPr="00456C7B">
              <w:rPr>
                <w:rFonts w:cstheme="minorHAnsi"/>
              </w:rPr>
              <w:t>Article 18.37: Patentable Subject Matter</w:t>
            </w:r>
          </w:p>
          <w:p w14:paraId="5FB71717" w14:textId="77777777" w:rsidR="00E551DE" w:rsidRPr="00456C7B" w:rsidRDefault="00E551DE" w:rsidP="00E51F73">
            <w:pPr>
              <w:rPr>
                <w:rFonts w:cstheme="minorHAnsi"/>
              </w:rPr>
            </w:pPr>
            <w:r w:rsidRPr="00456C7B">
              <w:rPr>
                <w:rFonts w:cstheme="minorHAnsi"/>
              </w:rPr>
              <w:t>Suspend Paragraph 2 and Paragraph 4, second sentence</w:t>
            </w:r>
          </w:p>
        </w:tc>
        <w:tc>
          <w:tcPr>
            <w:tcW w:w="5193" w:type="dxa"/>
          </w:tcPr>
          <w:p w14:paraId="0DFDC099" w14:textId="77777777" w:rsidR="00E551DE" w:rsidRPr="00456C7B" w:rsidRDefault="00E551DE" w:rsidP="00E51F73">
            <w:pPr>
              <w:jc w:val="both"/>
              <w:rPr>
                <w:rFonts w:cstheme="minorHAnsi"/>
              </w:rPr>
            </w:pPr>
            <w:r w:rsidRPr="00456C7B">
              <w:rPr>
                <w:rFonts w:cstheme="minorHAnsi"/>
              </w:rPr>
              <w:t>Thai Patent Act Section 9. The following inventions are not protected under this Act:</w:t>
            </w:r>
          </w:p>
          <w:p w14:paraId="5AD26EFE" w14:textId="77777777" w:rsidR="00E551DE" w:rsidRPr="00456C7B" w:rsidRDefault="00E551DE" w:rsidP="00E51F73">
            <w:pPr>
              <w:jc w:val="both"/>
              <w:rPr>
                <w:rFonts w:cstheme="minorHAnsi"/>
                <w:b/>
                <w:bCs/>
              </w:rPr>
            </w:pPr>
            <w:r w:rsidRPr="00456C7B">
              <w:rPr>
                <w:rFonts w:cstheme="minorHAnsi"/>
                <w:b/>
                <w:bCs/>
              </w:rPr>
              <w:t>(4) methods of diagnosis, treatment or cure of human and animal diseases;</w:t>
            </w:r>
          </w:p>
        </w:tc>
      </w:tr>
      <w:tr w:rsidR="00E551DE" w:rsidRPr="00456C7B" w14:paraId="52E5707D" w14:textId="77777777" w:rsidTr="00E51F73">
        <w:tc>
          <w:tcPr>
            <w:tcW w:w="3823" w:type="dxa"/>
          </w:tcPr>
          <w:p w14:paraId="4B04C450" w14:textId="77777777" w:rsidR="00E551DE" w:rsidRPr="00456C7B" w:rsidRDefault="00E551DE" w:rsidP="00E51F73">
            <w:pPr>
              <w:rPr>
                <w:rFonts w:cstheme="minorHAnsi"/>
              </w:rPr>
            </w:pPr>
            <w:r w:rsidRPr="00456C7B">
              <w:rPr>
                <w:rFonts w:cstheme="minorHAnsi"/>
              </w:rPr>
              <w:t>Article 18.46: Patent Term Adjustment for Unreasonable Granting Authority Delays</w:t>
            </w:r>
          </w:p>
          <w:p w14:paraId="10EC1E9C" w14:textId="77777777" w:rsidR="00E551DE" w:rsidRPr="00456C7B" w:rsidRDefault="00E551DE" w:rsidP="00E51F73">
            <w:pPr>
              <w:rPr>
                <w:rFonts w:cstheme="minorHAnsi"/>
              </w:rPr>
            </w:pPr>
            <w:r w:rsidRPr="00456C7B">
              <w:rPr>
                <w:rFonts w:cstheme="minorHAnsi"/>
              </w:rPr>
              <w:t>Article 18:48: Patent Term Adjustment for Unreasonable Curtailment</w:t>
            </w:r>
          </w:p>
        </w:tc>
        <w:tc>
          <w:tcPr>
            <w:tcW w:w="5193" w:type="dxa"/>
          </w:tcPr>
          <w:p w14:paraId="4D5F0F94" w14:textId="77777777" w:rsidR="00E551DE" w:rsidRPr="00456C7B" w:rsidRDefault="00E551DE" w:rsidP="00E51F73">
            <w:pPr>
              <w:jc w:val="both"/>
              <w:rPr>
                <w:rFonts w:cstheme="minorHAnsi"/>
              </w:rPr>
            </w:pPr>
            <w:r w:rsidRPr="00456C7B">
              <w:rPr>
                <w:rFonts w:cstheme="minorHAnsi"/>
              </w:rPr>
              <w:t xml:space="preserve">Thai Patent Act Part III Rights Conferred by the Patent 35(14). An invention patent shall </w:t>
            </w:r>
            <w:r w:rsidRPr="00456C7B">
              <w:rPr>
                <w:rFonts w:cstheme="minorHAnsi"/>
                <w:b/>
                <w:bCs/>
              </w:rPr>
              <w:t>have a term of twenty years from the date of filing of the application in the country</w:t>
            </w:r>
            <w:r w:rsidRPr="00456C7B">
              <w:rPr>
                <w:rFonts w:cstheme="minorHAnsi"/>
              </w:rPr>
              <w:t xml:space="preserve">. </w:t>
            </w:r>
          </w:p>
        </w:tc>
      </w:tr>
      <w:tr w:rsidR="00E551DE" w:rsidRPr="00456C7B" w14:paraId="4C10316D" w14:textId="77777777" w:rsidTr="00E51F73">
        <w:tc>
          <w:tcPr>
            <w:tcW w:w="3823" w:type="dxa"/>
          </w:tcPr>
          <w:p w14:paraId="47194F70" w14:textId="77777777" w:rsidR="00E551DE" w:rsidRPr="00456C7B" w:rsidRDefault="00E551DE" w:rsidP="00E51F73">
            <w:pPr>
              <w:rPr>
                <w:rFonts w:cstheme="minorHAnsi"/>
              </w:rPr>
            </w:pPr>
            <w:r w:rsidRPr="00456C7B">
              <w:rPr>
                <w:rFonts w:cstheme="minorHAnsi"/>
              </w:rPr>
              <w:t>Article 18.50: Protection of Undisclosed Test or Other Data</w:t>
            </w:r>
          </w:p>
        </w:tc>
        <w:tc>
          <w:tcPr>
            <w:tcW w:w="5193" w:type="dxa"/>
          </w:tcPr>
          <w:p w14:paraId="50F46D41" w14:textId="0DB314E4" w:rsidR="00E551DE" w:rsidRPr="00456C7B" w:rsidRDefault="00573043" w:rsidP="00573043">
            <w:pPr>
              <w:jc w:val="both"/>
              <w:rPr>
                <w:rFonts w:cstheme="minorHAnsi"/>
              </w:rPr>
            </w:pPr>
            <w:r w:rsidRPr="00456C7B">
              <w:rPr>
                <w:rFonts w:cstheme="minorHAnsi"/>
              </w:rPr>
              <w:t>Trade Secret Act B.E.2</w:t>
            </w:r>
            <w:r w:rsidR="007C0E28" w:rsidRPr="00456C7B">
              <w:rPr>
                <w:rFonts w:cstheme="minorHAnsi"/>
              </w:rPr>
              <w:t xml:space="preserve">558 </w:t>
            </w:r>
          </w:p>
        </w:tc>
      </w:tr>
      <w:tr w:rsidR="00E551DE" w:rsidRPr="00456C7B" w14:paraId="02D4E081" w14:textId="77777777" w:rsidTr="00E51F73">
        <w:tc>
          <w:tcPr>
            <w:tcW w:w="3823" w:type="dxa"/>
          </w:tcPr>
          <w:p w14:paraId="24450222" w14:textId="77777777" w:rsidR="00E551DE" w:rsidRPr="00456C7B" w:rsidRDefault="00E551DE" w:rsidP="00E51F73">
            <w:pPr>
              <w:jc w:val="both"/>
              <w:rPr>
                <w:rFonts w:cstheme="minorHAnsi"/>
              </w:rPr>
            </w:pPr>
            <w:r w:rsidRPr="00456C7B">
              <w:rPr>
                <w:rFonts w:cstheme="minorHAnsi"/>
              </w:rPr>
              <w:t>Article 18.51: Biologics</w:t>
            </w:r>
          </w:p>
        </w:tc>
        <w:tc>
          <w:tcPr>
            <w:tcW w:w="5193" w:type="dxa"/>
          </w:tcPr>
          <w:p w14:paraId="066F9C89" w14:textId="42CB561B" w:rsidR="00E551DE" w:rsidRPr="00456C7B" w:rsidRDefault="00573043" w:rsidP="00E51F73">
            <w:pPr>
              <w:jc w:val="both"/>
              <w:rPr>
                <w:rFonts w:cstheme="minorHAnsi"/>
              </w:rPr>
            </w:pPr>
            <w:r w:rsidRPr="00456C7B">
              <w:rPr>
                <w:rFonts w:cstheme="minorHAnsi"/>
                <w:b/>
                <w:bCs/>
              </w:rPr>
              <w:t>Trade Secret Act</w:t>
            </w:r>
            <w:r w:rsidR="00E76501" w:rsidRPr="00456C7B">
              <w:rPr>
                <w:rFonts w:cstheme="minorHAnsi"/>
                <w:b/>
                <w:bCs/>
              </w:rPr>
              <w:t xml:space="preserve"> B.E 2</w:t>
            </w:r>
            <w:r w:rsidR="00125362" w:rsidRPr="00456C7B">
              <w:rPr>
                <w:rFonts w:cstheme="minorHAnsi"/>
                <w:b/>
                <w:bCs/>
              </w:rPr>
              <w:t xml:space="preserve">558 </w:t>
            </w:r>
          </w:p>
        </w:tc>
      </w:tr>
      <w:tr w:rsidR="00E551DE" w:rsidRPr="00456C7B" w14:paraId="1D17DC96" w14:textId="77777777" w:rsidTr="00E51F73">
        <w:tc>
          <w:tcPr>
            <w:tcW w:w="3823" w:type="dxa"/>
          </w:tcPr>
          <w:p w14:paraId="3BB57933" w14:textId="77777777" w:rsidR="00E551DE" w:rsidRPr="00456C7B" w:rsidRDefault="00E551DE" w:rsidP="00E51F73">
            <w:pPr>
              <w:jc w:val="both"/>
              <w:rPr>
                <w:rFonts w:cstheme="minorHAnsi"/>
              </w:rPr>
            </w:pPr>
            <w:r w:rsidRPr="00456C7B">
              <w:t>A</w:t>
            </w:r>
            <w:r w:rsidRPr="00456C7B">
              <w:rPr>
                <w:rFonts w:cstheme="minorHAnsi"/>
              </w:rPr>
              <w:t>rticle 18.53: Patent Linkage</w:t>
            </w:r>
          </w:p>
        </w:tc>
        <w:tc>
          <w:tcPr>
            <w:tcW w:w="5193" w:type="dxa"/>
          </w:tcPr>
          <w:p w14:paraId="3BF7662F" w14:textId="70D78C68" w:rsidR="00E551DE" w:rsidRPr="00456C7B" w:rsidRDefault="00240FFB" w:rsidP="00E51F73">
            <w:pPr>
              <w:jc w:val="both"/>
              <w:rPr>
                <w:rFonts w:cstheme="minorHAnsi"/>
              </w:rPr>
            </w:pPr>
            <w:bookmarkStart w:id="3" w:name="OLE_LINK6"/>
            <w:r w:rsidRPr="00456C7B">
              <w:rPr>
                <w:rFonts w:cstheme="minorHAnsi"/>
              </w:rPr>
              <w:t xml:space="preserve">Drug Act (No. 6) B.E. 2562 </w:t>
            </w:r>
            <w:r w:rsidR="00BD682D" w:rsidRPr="00456C7B">
              <w:rPr>
                <w:rFonts w:cstheme="minorHAnsi"/>
              </w:rPr>
              <w:t xml:space="preserve">and its </w:t>
            </w:r>
            <w:r w:rsidR="000B4709" w:rsidRPr="00456C7B">
              <w:rPr>
                <w:rFonts w:cstheme="minorHAnsi"/>
              </w:rPr>
              <w:t>R</w:t>
            </w:r>
            <w:r w:rsidR="00573043" w:rsidRPr="00456C7B">
              <w:rPr>
                <w:rFonts w:cstheme="minorHAnsi"/>
              </w:rPr>
              <w:t>egulation on marketing approval process</w:t>
            </w:r>
            <w:bookmarkEnd w:id="3"/>
            <w:r w:rsidR="00573043" w:rsidRPr="00456C7B">
              <w:rPr>
                <w:rFonts w:cstheme="minorHAnsi"/>
              </w:rPr>
              <w:t xml:space="preserve"> </w:t>
            </w:r>
          </w:p>
        </w:tc>
      </w:tr>
    </w:tbl>
    <w:p w14:paraId="37763338" w14:textId="77777777" w:rsidR="00E551DE" w:rsidRPr="00456C7B" w:rsidRDefault="00E551DE" w:rsidP="00E551DE">
      <w:pPr>
        <w:spacing w:after="0" w:line="240" w:lineRule="auto"/>
        <w:jc w:val="both"/>
        <w:rPr>
          <w:rFonts w:cstheme="minorHAnsi"/>
        </w:rPr>
      </w:pPr>
      <w:r w:rsidRPr="00456C7B">
        <w:rPr>
          <w:rFonts w:cstheme="minorHAnsi"/>
          <w:sz w:val="18"/>
          <w:szCs w:val="18"/>
        </w:rPr>
        <w:lastRenderedPageBreak/>
        <w:t xml:space="preserve">Adapted from Comprehensive and Progressive Agreement for Trans-Pacific Partnership text and Thai legal text. See </w:t>
      </w:r>
      <w:hyperlink r:id="rId10" w:history="1">
        <w:r w:rsidRPr="00456C7B">
          <w:rPr>
            <w:rStyle w:val="Hyperlink"/>
            <w:rFonts w:cstheme="minorHAnsi"/>
            <w:sz w:val="18"/>
            <w:szCs w:val="18"/>
          </w:rPr>
          <w:t>https://www.dfat.gov.au/sites/default/files/tpp-11-treaty-text.pdf</w:t>
        </w:r>
      </w:hyperlink>
      <w:r w:rsidRPr="00456C7B">
        <w:rPr>
          <w:rFonts w:cstheme="minorHAnsi"/>
          <w:sz w:val="18"/>
          <w:szCs w:val="18"/>
        </w:rPr>
        <w:t xml:space="preserve">   </w:t>
      </w:r>
    </w:p>
    <w:p w14:paraId="6139E902" w14:textId="4C97C52F" w:rsidR="005D6BF6" w:rsidRPr="00456C7B" w:rsidRDefault="005D6BF6" w:rsidP="00EA6F50">
      <w:pPr>
        <w:spacing w:line="360" w:lineRule="auto"/>
        <w:rPr>
          <w:b/>
          <w:bCs/>
        </w:rPr>
      </w:pPr>
    </w:p>
    <w:p w14:paraId="2D953D02" w14:textId="1486AE41" w:rsidR="00721C37" w:rsidRPr="00456C7B" w:rsidRDefault="00937B7B" w:rsidP="00EA6F50">
      <w:pPr>
        <w:spacing w:line="360" w:lineRule="auto"/>
      </w:pPr>
      <w:r w:rsidRPr="00456C7B">
        <w:t xml:space="preserve">The </w:t>
      </w:r>
      <w:r w:rsidR="00023DD9" w:rsidRPr="00456C7B">
        <w:t>cost of the DAA</w:t>
      </w:r>
      <w:r w:rsidR="002F17B6" w:rsidRPr="00456C7B">
        <w:t>s</w:t>
      </w:r>
      <w:r w:rsidR="0063443A" w:rsidRPr="00456C7B">
        <w:rPr>
          <w:rStyle w:val="FootnoteReference"/>
        </w:rPr>
        <w:footnoteReference w:id="1"/>
      </w:r>
      <w:r w:rsidR="00023DD9" w:rsidRPr="00456C7B">
        <w:t xml:space="preserve"> in </w:t>
      </w:r>
      <w:r w:rsidR="00746178" w:rsidRPr="00456C7B">
        <w:t>Thai</w:t>
      </w:r>
      <w:r w:rsidR="00023DD9" w:rsidRPr="00456C7B">
        <w:t xml:space="preserve"> hepatitis C program </w:t>
      </w:r>
      <w:r w:rsidR="00307C26" w:rsidRPr="00456C7B">
        <w:t>were then</w:t>
      </w:r>
      <w:r w:rsidR="00023DD9" w:rsidRPr="00456C7B">
        <w:t xml:space="preserve"> </w:t>
      </w:r>
      <w:r w:rsidR="00307C26" w:rsidRPr="00456C7B">
        <w:t>calculated</w:t>
      </w:r>
      <w:r w:rsidR="00023DD9" w:rsidRPr="00456C7B">
        <w:t xml:space="preserve"> for each of the four</w:t>
      </w:r>
      <w:r w:rsidR="00A40DA7" w:rsidRPr="00456C7B">
        <w:t xml:space="preserve"> </w:t>
      </w:r>
      <w:r w:rsidR="00023DD9" w:rsidRPr="00456C7B">
        <w:t xml:space="preserve">scenarios. See </w:t>
      </w:r>
      <w:r w:rsidR="00A964C7" w:rsidRPr="00456C7B">
        <w:t>T</w:t>
      </w:r>
      <w:r w:rsidR="00023DD9" w:rsidRPr="00456C7B">
        <w:t xml:space="preserve">able </w:t>
      </w:r>
      <w:r w:rsidR="00F16DBF" w:rsidRPr="00456C7B">
        <w:t>5</w:t>
      </w:r>
      <w:r w:rsidR="00023DD9" w:rsidRPr="00456C7B">
        <w:t xml:space="preserve"> for the scenarios and their</w:t>
      </w:r>
      <w:r w:rsidR="00A964C7" w:rsidRPr="00456C7B">
        <w:t xml:space="preserve"> related</w:t>
      </w:r>
      <w:r w:rsidR="00023DD9" w:rsidRPr="00456C7B">
        <w:t xml:space="preserve"> assumptions.</w:t>
      </w:r>
    </w:p>
    <w:p w14:paraId="221CD08E" w14:textId="10CA25FF" w:rsidR="00307C26" w:rsidRPr="00456C7B" w:rsidRDefault="00307C26" w:rsidP="0056520B">
      <w:pPr>
        <w:keepNext/>
        <w:rPr>
          <w:b/>
          <w:bCs/>
        </w:rPr>
        <w:sectPr w:rsidR="00307C26" w:rsidRPr="00456C7B">
          <w:footerReference w:type="default" r:id="rId11"/>
          <w:pgSz w:w="11906" w:h="16838"/>
          <w:pgMar w:top="1440" w:right="1440" w:bottom="1440" w:left="1440" w:header="708" w:footer="708" w:gutter="0"/>
          <w:cols w:space="708"/>
          <w:docGrid w:linePitch="360"/>
        </w:sectPr>
      </w:pPr>
    </w:p>
    <w:p w14:paraId="0821D9A5" w14:textId="120FA745" w:rsidR="00773676" w:rsidRPr="00456C7B" w:rsidRDefault="007055BD" w:rsidP="0056520B">
      <w:pPr>
        <w:keepNext/>
        <w:rPr>
          <w:b/>
          <w:bCs/>
        </w:rPr>
      </w:pPr>
      <w:r w:rsidRPr="00456C7B">
        <w:rPr>
          <w:b/>
          <w:bCs/>
        </w:rPr>
        <w:lastRenderedPageBreak/>
        <w:t xml:space="preserve">Table </w:t>
      </w:r>
      <w:r w:rsidR="00F16DBF" w:rsidRPr="00456C7B">
        <w:rPr>
          <w:b/>
          <w:bCs/>
        </w:rPr>
        <w:t>5</w:t>
      </w:r>
      <w:r w:rsidRPr="00456C7B">
        <w:rPr>
          <w:b/>
          <w:bCs/>
        </w:rPr>
        <w:t xml:space="preserve">: Scenarios for costing DAA in hepatitis C treatment program </w:t>
      </w:r>
    </w:p>
    <w:tbl>
      <w:tblPr>
        <w:tblStyle w:val="TableGrid"/>
        <w:tblW w:w="13603" w:type="dxa"/>
        <w:tblLook w:val="04A0" w:firstRow="1" w:lastRow="0" w:firstColumn="1" w:lastColumn="0" w:noHBand="0" w:noVBand="1"/>
      </w:tblPr>
      <w:tblGrid>
        <w:gridCol w:w="1395"/>
        <w:gridCol w:w="2409"/>
        <w:gridCol w:w="2604"/>
        <w:gridCol w:w="2659"/>
        <w:gridCol w:w="4536"/>
      </w:tblGrid>
      <w:tr w:rsidR="00773676" w:rsidRPr="00456C7B" w14:paraId="59CC497E" w14:textId="77777777" w:rsidTr="006E7835">
        <w:tc>
          <w:tcPr>
            <w:tcW w:w="1395" w:type="dxa"/>
            <w:shd w:val="clear" w:color="auto" w:fill="D9E2F3" w:themeFill="accent1" w:themeFillTint="33"/>
          </w:tcPr>
          <w:p w14:paraId="15A7450B" w14:textId="77777777" w:rsidR="00773676" w:rsidRPr="00456C7B" w:rsidRDefault="00773676" w:rsidP="0056520B">
            <w:pPr>
              <w:keepNext/>
            </w:pPr>
          </w:p>
        </w:tc>
        <w:tc>
          <w:tcPr>
            <w:tcW w:w="2409" w:type="dxa"/>
            <w:shd w:val="clear" w:color="auto" w:fill="D9E2F3" w:themeFill="accent1" w:themeFillTint="33"/>
          </w:tcPr>
          <w:p w14:paraId="4D107004" w14:textId="576EFBE6" w:rsidR="00773676" w:rsidRPr="00456C7B" w:rsidRDefault="00773676" w:rsidP="0056520B">
            <w:pPr>
              <w:keepNext/>
              <w:rPr>
                <w:b/>
                <w:bCs/>
              </w:rPr>
            </w:pPr>
            <w:r w:rsidRPr="00456C7B">
              <w:rPr>
                <w:b/>
                <w:bCs/>
              </w:rPr>
              <w:t>Scenario 1 - Baseline</w:t>
            </w:r>
            <w:r w:rsidRPr="00456C7B">
              <w:t xml:space="preserve"> – </w:t>
            </w:r>
            <w:r w:rsidR="000837EA" w:rsidRPr="00456C7B">
              <w:rPr>
                <w:b/>
                <w:bCs/>
              </w:rPr>
              <w:t>2020</w:t>
            </w:r>
            <w:r w:rsidRPr="00456C7B">
              <w:rPr>
                <w:b/>
                <w:bCs/>
              </w:rPr>
              <w:t xml:space="preserve"> treatment regime</w:t>
            </w:r>
          </w:p>
        </w:tc>
        <w:tc>
          <w:tcPr>
            <w:tcW w:w="2604" w:type="dxa"/>
            <w:shd w:val="clear" w:color="auto" w:fill="D9E2F3" w:themeFill="accent1" w:themeFillTint="33"/>
          </w:tcPr>
          <w:p w14:paraId="0AA62C10" w14:textId="77777777" w:rsidR="00773676" w:rsidRPr="00456C7B" w:rsidRDefault="00773676" w:rsidP="0056520B">
            <w:pPr>
              <w:keepNext/>
              <w:rPr>
                <w:b/>
                <w:bCs/>
              </w:rPr>
            </w:pPr>
            <w:r w:rsidRPr="00456C7B">
              <w:rPr>
                <w:b/>
                <w:bCs/>
              </w:rPr>
              <w:t>Scenario 2- Thailand joins CPTPP (suspended clauses are reinstated)</w:t>
            </w:r>
          </w:p>
          <w:p w14:paraId="23F516CA" w14:textId="77777777" w:rsidR="00773676" w:rsidRPr="00456C7B" w:rsidRDefault="00773676" w:rsidP="0056520B">
            <w:pPr>
              <w:keepNext/>
            </w:pPr>
          </w:p>
        </w:tc>
        <w:tc>
          <w:tcPr>
            <w:tcW w:w="2659" w:type="dxa"/>
            <w:shd w:val="clear" w:color="auto" w:fill="D9E2F3" w:themeFill="accent1" w:themeFillTint="33"/>
          </w:tcPr>
          <w:p w14:paraId="0C7806F9" w14:textId="455C3B60" w:rsidR="00773676" w:rsidRPr="00456C7B" w:rsidRDefault="00773676" w:rsidP="0056520B">
            <w:pPr>
              <w:keepNext/>
              <w:rPr>
                <w:b/>
                <w:bCs/>
              </w:rPr>
            </w:pPr>
            <w:r w:rsidRPr="00456C7B">
              <w:rPr>
                <w:b/>
                <w:bCs/>
              </w:rPr>
              <w:t xml:space="preserve">Scenario 3- full </w:t>
            </w:r>
            <w:r w:rsidR="00CD2654" w:rsidRPr="00456C7B">
              <w:rPr>
                <w:b/>
                <w:bCs/>
              </w:rPr>
              <w:t xml:space="preserve">use of </w:t>
            </w:r>
            <w:r w:rsidRPr="00456C7B">
              <w:rPr>
                <w:b/>
                <w:bCs/>
              </w:rPr>
              <w:t xml:space="preserve">TRIPS </w:t>
            </w:r>
            <w:proofErr w:type="gramStart"/>
            <w:r w:rsidRPr="00456C7B">
              <w:rPr>
                <w:b/>
                <w:bCs/>
              </w:rPr>
              <w:t xml:space="preserve">flexibilities </w:t>
            </w:r>
            <w:r w:rsidR="006653D8" w:rsidRPr="00456C7B">
              <w:rPr>
                <w:b/>
                <w:bCs/>
              </w:rPr>
              <w:t xml:space="preserve"> (</w:t>
            </w:r>
            <w:proofErr w:type="gramEnd"/>
            <w:r w:rsidR="006653D8" w:rsidRPr="00456C7B">
              <w:rPr>
                <w:b/>
                <w:bCs/>
              </w:rPr>
              <w:t>irrespective of whether Thailand joins CPTPP</w:t>
            </w:r>
            <w:r w:rsidR="009240AF" w:rsidRPr="00456C7B">
              <w:rPr>
                <w:b/>
                <w:bCs/>
              </w:rPr>
              <w:t xml:space="preserve"> or not</w:t>
            </w:r>
            <w:r w:rsidR="006653D8" w:rsidRPr="00456C7B">
              <w:rPr>
                <w:b/>
                <w:bCs/>
              </w:rPr>
              <w:t>)</w:t>
            </w:r>
          </w:p>
          <w:p w14:paraId="73B02BC9" w14:textId="77777777" w:rsidR="00773676" w:rsidRPr="00456C7B" w:rsidRDefault="00773676" w:rsidP="0056520B">
            <w:pPr>
              <w:pStyle w:val="ListParagraph"/>
              <w:keepNext/>
              <w:ind w:left="1440"/>
            </w:pPr>
          </w:p>
        </w:tc>
        <w:tc>
          <w:tcPr>
            <w:tcW w:w="4536" w:type="dxa"/>
            <w:shd w:val="clear" w:color="auto" w:fill="D9E2F3" w:themeFill="accent1" w:themeFillTint="33"/>
          </w:tcPr>
          <w:p w14:paraId="488CBA1A" w14:textId="77777777" w:rsidR="00773676" w:rsidRPr="00456C7B" w:rsidRDefault="00773676" w:rsidP="0056520B">
            <w:pPr>
              <w:keepNext/>
              <w:rPr>
                <w:b/>
                <w:bCs/>
              </w:rPr>
            </w:pPr>
            <w:r w:rsidRPr="00456C7B">
              <w:rPr>
                <w:b/>
                <w:bCs/>
              </w:rPr>
              <w:t>Scenario 4- Lowest price generic WHO recommended pan-genotypic regime</w:t>
            </w:r>
          </w:p>
        </w:tc>
      </w:tr>
      <w:tr w:rsidR="00773676" w:rsidRPr="00456C7B" w14:paraId="0CE7F722" w14:textId="77777777" w:rsidTr="006E7835">
        <w:tc>
          <w:tcPr>
            <w:tcW w:w="1395" w:type="dxa"/>
          </w:tcPr>
          <w:p w14:paraId="0D2C3CA5" w14:textId="77777777" w:rsidR="00773676" w:rsidRPr="00456C7B" w:rsidRDefault="00773676" w:rsidP="006E7835">
            <w:pPr>
              <w:rPr>
                <w:b/>
                <w:bCs/>
              </w:rPr>
            </w:pPr>
            <w:r w:rsidRPr="00456C7B">
              <w:rPr>
                <w:b/>
                <w:bCs/>
              </w:rPr>
              <w:t>Regime</w:t>
            </w:r>
          </w:p>
        </w:tc>
        <w:tc>
          <w:tcPr>
            <w:tcW w:w="2409" w:type="dxa"/>
          </w:tcPr>
          <w:p w14:paraId="751F3F8F" w14:textId="77777777" w:rsidR="00773676" w:rsidRPr="00456C7B" w:rsidRDefault="00773676" w:rsidP="00773676">
            <w:pPr>
              <w:pStyle w:val="ListParagraph"/>
              <w:numPr>
                <w:ilvl w:val="0"/>
                <w:numId w:val="7"/>
              </w:numPr>
              <w:ind w:left="183" w:hanging="142"/>
            </w:pPr>
            <w:r w:rsidRPr="00456C7B">
              <w:t>SOF/LDV for genotype 1,2,4,6</w:t>
            </w:r>
          </w:p>
          <w:p w14:paraId="4AD644F0" w14:textId="77777777" w:rsidR="00773676" w:rsidRPr="00456C7B" w:rsidRDefault="00773676" w:rsidP="00773676">
            <w:pPr>
              <w:pStyle w:val="ListParagraph"/>
              <w:numPr>
                <w:ilvl w:val="0"/>
                <w:numId w:val="7"/>
              </w:numPr>
              <w:ind w:left="183" w:hanging="142"/>
            </w:pPr>
            <w:r w:rsidRPr="00456C7B">
              <w:t>SOF for genotype 3</w:t>
            </w:r>
          </w:p>
          <w:p w14:paraId="191F8BEC" w14:textId="2404F583" w:rsidR="00773676" w:rsidRPr="00456C7B" w:rsidRDefault="008D53BD" w:rsidP="00773676">
            <w:pPr>
              <w:pStyle w:val="ListParagraph"/>
              <w:numPr>
                <w:ilvl w:val="0"/>
                <w:numId w:val="7"/>
              </w:numPr>
              <w:ind w:left="183" w:hanging="142"/>
            </w:pPr>
            <w:r w:rsidRPr="00456C7B">
              <w:t>G</w:t>
            </w:r>
            <w:r w:rsidR="00773676" w:rsidRPr="00456C7B">
              <w:t>enotyp</w:t>
            </w:r>
            <w:r w:rsidRPr="00456C7B">
              <w:t>e test</w:t>
            </w:r>
          </w:p>
        </w:tc>
        <w:tc>
          <w:tcPr>
            <w:tcW w:w="2604" w:type="dxa"/>
          </w:tcPr>
          <w:p w14:paraId="6A47A351" w14:textId="77777777" w:rsidR="00773676" w:rsidRPr="00456C7B" w:rsidRDefault="00773676" w:rsidP="00773676">
            <w:pPr>
              <w:numPr>
                <w:ilvl w:val="0"/>
                <w:numId w:val="7"/>
              </w:numPr>
              <w:ind w:left="174" w:hanging="142"/>
            </w:pPr>
            <w:r w:rsidRPr="00456C7B">
              <w:t>SOF/LDV for genotype 1,2,4,6</w:t>
            </w:r>
          </w:p>
          <w:p w14:paraId="5951384F" w14:textId="77777777" w:rsidR="00773676" w:rsidRPr="00456C7B" w:rsidRDefault="00773676" w:rsidP="00773676">
            <w:pPr>
              <w:numPr>
                <w:ilvl w:val="0"/>
                <w:numId w:val="7"/>
              </w:numPr>
              <w:ind w:left="174" w:hanging="142"/>
            </w:pPr>
            <w:r w:rsidRPr="00456C7B">
              <w:t>SOF for genotype 3</w:t>
            </w:r>
          </w:p>
          <w:p w14:paraId="1BEA1F65" w14:textId="6D4B6CFE" w:rsidR="00773676" w:rsidRPr="00456C7B" w:rsidRDefault="008D53BD" w:rsidP="00773676">
            <w:pPr>
              <w:numPr>
                <w:ilvl w:val="0"/>
                <w:numId w:val="7"/>
              </w:numPr>
              <w:ind w:left="174" w:hanging="142"/>
            </w:pPr>
            <w:r w:rsidRPr="00456C7B">
              <w:t>G</w:t>
            </w:r>
            <w:r w:rsidR="00773676" w:rsidRPr="00456C7B">
              <w:t>enotyp</w:t>
            </w:r>
            <w:r w:rsidRPr="00456C7B">
              <w:t>e test</w:t>
            </w:r>
            <w:r w:rsidR="00773676" w:rsidRPr="00456C7B">
              <w:t xml:space="preserve"> </w:t>
            </w:r>
          </w:p>
        </w:tc>
        <w:tc>
          <w:tcPr>
            <w:tcW w:w="2659" w:type="dxa"/>
          </w:tcPr>
          <w:p w14:paraId="7FC3205B" w14:textId="77777777" w:rsidR="00773676" w:rsidRPr="00456C7B" w:rsidRDefault="00773676" w:rsidP="00773676">
            <w:pPr>
              <w:numPr>
                <w:ilvl w:val="0"/>
                <w:numId w:val="7"/>
              </w:numPr>
              <w:ind w:left="174" w:hanging="142"/>
            </w:pPr>
            <w:r w:rsidRPr="00456C7B">
              <w:t>SOF/LDV for genotype 1,2,4,6</w:t>
            </w:r>
          </w:p>
          <w:p w14:paraId="7BBD4BE0" w14:textId="77777777" w:rsidR="00773676" w:rsidRPr="00456C7B" w:rsidRDefault="00773676" w:rsidP="00773676">
            <w:pPr>
              <w:numPr>
                <w:ilvl w:val="0"/>
                <w:numId w:val="7"/>
              </w:numPr>
              <w:ind w:left="174" w:hanging="142"/>
            </w:pPr>
            <w:r w:rsidRPr="00456C7B">
              <w:t>SOF for genotype 3</w:t>
            </w:r>
          </w:p>
          <w:p w14:paraId="2814C44A" w14:textId="01A13447" w:rsidR="00773676" w:rsidRPr="00456C7B" w:rsidRDefault="008D53BD" w:rsidP="00773676">
            <w:pPr>
              <w:numPr>
                <w:ilvl w:val="0"/>
                <w:numId w:val="7"/>
              </w:numPr>
              <w:ind w:left="174" w:hanging="142"/>
            </w:pPr>
            <w:r w:rsidRPr="00456C7B">
              <w:t>G</w:t>
            </w:r>
            <w:r w:rsidR="00773676" w:rsidRPr="00456C7B">
              <w:t>enotyp</w:t>
            </w:r>
            <w:r w:rsidRPr="00456C7B">
              <w:t>e test</w:t>
            </w:r>
          </w:p>
        </w:tc>
        <w:tc>
          <w:tcPr>
            <w:tcW w:w="4536" w:type="dxa"/>
          </w:tcPr>
          <w:p w14:paraId="3FBB24B9" w14:textId="359B62BE" w:rsidR="00773676" w:rsidRPr="00456C7B" w:rsidRDefault="00773676" w:rsidP="00773676">
            <w:pPr>
              <w:numPr>
                <w:ilvl w:val="0"/>
                <w:numId w:val="7"/>
              </w:numPr>
              <w:ind w:left="174" w:hanging="142"/>
            </w:pPr>
            <w:r w:rsidRPr="00456C7B">
              <w:t xml:space="preserve">SOF/VEL </w:t>
            </w:r>
          </w:p>
          <w:p w14:paraId="097C9EE2" w14:textId="01C06ED7" w:rsidR="00773676" w:rsidRPr="00456C7B" w:rsidRDefault="00773676" w:rsidP="00773676">
            <w:pPr>
              <w:numPr>
                <w:ilvl w:val="0"/>
                <w:numId w:val="7"/>
              </w:numPr>
              <w:ind w:left="174" w:hanging="142"/>
            </w:pPr>
            <w:r w:rsidRPr="00456C7B">
              <w:t xml:space="preserve">No </w:t>
            </w:r>
            <w:r w:rsidR="008D53BD" w:rsidRPr="00456C7B">
              <w:t xml:space="preserve">genotype test </w:t>
            </w:r>
            <w:r w:rsidRPr="00456C7B">
              <w:t>required</w:t>
            </w:r>
          </w:p>
        </w:tc>
      </w:tr>
      <w:tr w:rsidR="00773676" w:rsidRPr="00456C7B" w14:paraId="7D153814" w14:textId="77777777" w:rsidTr="00A3357D">
        <w:trPr>
          <w:trHeight w:val="2441"/>
        </w:trPr>
        <w:tc>
          <w:tcPr>
            <w:tcW w:w="1395" w:type="dxa"/>
          </w:tcPr>
          <w:p w14:paraId="3A007B37" w14:textId="77777777" w:rsidR="00773676" w:rsidRPr="00456C7B" w:rsidRDefault="00773676" w:rsidP="006E7835">
            <w:pPr>
              <w:rPr>
                <w:b/>
                <w:bCs/>
              </w:rPr>
            </w:pPr>
            <w:r w:rsidRPr="00456C7B">
              <w:rPr>
                <w:b/>
                <w:bCs/>
              </w:rPr>
              <w:t xml:space="preserve">Assumptions </w:t>
            </w:r>
          </w:p>
        </w:tc>
        <w:tc>
          <w:tcPr>
            <w:tcW w:w="2409" w:type="dxa"/>
          </w:tcPr>
          <w:p w14:paraId="3F83B8BC" w14:textId="4A1B6B42" w:rsidR="00773676" w:rsidRPr="00456C7B" w:rsidRDefault="00B24111" w:rsidP="00431CFE">
            <w:pPr>
              <w:pStyle w:val="ListParagraph"/>
              <w:numPr>
                <w:ilvl w:val="0"/>
                <w:numId w:val="2"/>
              </w:numPr>
              <w:ind w:left="91" w:hanging="141"/>
            </w:pPr>
            <w:r w:rsidRPr="00456C7B">
              <w:t>G</w:t>
            </w:r>
            <w:r w:rsidR="00773676" w:rsidRPr="00456C7B">
              <w:t xml:space="preserve">eneric DAA regimes used in Thailand </w:t>
            </w:r>
            <w:r w:rsidRPr="00456C7B">
              <w:t xml:space="preserve">in </w:t>
            </w:r>
            <w:proofErr w:type="gramStart"/>
            <w:r w:rsidRPr="00456C7B">
              <w:t>2020</w:t>
            </w:r>
            <w:r w:rsidR="001366D1" w:rsidRPr="00456C7B">
              <w:t>;</w:t>
            </w:r>
            <w:proofErr w:type="gramEnd"/>
          </w:p>
          <w:p w14:paraId="1842DB8B" w14:textId="34E59CFB" w:rsidR="00431CFE" w:rsidRPr="00456C7B" w:rsidRDefault="00773676" w:rsidP="00431CFE">
            <w:pPr>
              <w:pStyle w:val="ListParagraph"/>
              <w:numPr>
                <w:ilvl w:val="0"/>
                <w:numId w:val="2"/>
              </w:numPr>
              <w:ind w:left="91" w:hanging="141"/>
            </w:pPr>
            <w:r w:rsidRPr="00456C7B">
              <w:t>Uses Mylan generic price for Thailand</w:t>
            </w:r>
            <w:r w:rsidR="00B37C8C" w:rsidRPr="00456C7B">
              <w:t xml:space="preserve"> in </w:t>
            </w:r>
            <w:proofErr w:type="gramStart"/>
            <w:r w:rsidR="00B37C8C" w:rsidRPr="00456C7B">
              <w:t>2020</w:t>
            </w:r>
            <w:r w:rsidR="001366D1" w:rsidRPr="00456C7B">
              <w:t>;</w:t>
            </w:r>
            <w:proofErr w:type="gramEnd"/>
          </w:p>
          <w:p w14:paraId="063F9BFA" w14:textId="7F62730E" w:rsidR="00431CFE" w:rsidRPr="00456C7B" w:rsidRDefault="00431CFE" w:rsidP="00431CFE">
            <w:pPr>
              <w:pStyle w:val="ListParagraph"/>
              <w:numPr>
                <w:ilvl w:val="0"/>
                <w:numId w:val="2"/>
              </w:numPr>
              <w:ind w:left="91" w:hanging="141"/>
            </w:pPr>
            <w:r w:rsidRPr="00456C7B">
              <w:t xml:space="preserve">Treatment for </w:t>
            </w:r>
            <w:r w:rsidR="00D579ED" w:rsidRPr="00456C7B">
              <w:t>genotypes 1,2,4,6 us</w:t>
            </w:r>
            <w:r w:rsidRPr="00456C7B">
              <w:t>e</w:t>
            </w:r>
            <w:r w:rsidR="00D579ED" w:rsidRPr="00456C7B">
              <w:t xml:space="preserve"> the DAA regime of SOF/</w:t>
            </w:r>
            <w:proofErr w:type="gramStart"/>
            <w:r w:rsidR="00D579ED" w:rsidRPr="00456C7B">
              <w:t>LDV</w:t>
            </w:r>
            <w:r w:rsidR="001366D1" w:rsidRPr="00456C7B">
              <w:t>;</w:t>
            </w:r>
            <w:proofErr w:type="gramEnd"/>
            <w:r w:rsidR="00D579ED" w:rsidRPr="00456C7B">
              <w:t xml:space="preserve"> </w:t>
            </w:r>
          </w:p>
          <w:p w14:paraId="5B9E3605" w14:textId="2ED85803" w:rsidR="00773676" w:rsidRPr="00456C7B" w:rsidRDefault="00D579ED" w:rsidP="00431CFE">
            <w:pPr>
              <w:pStyle w:val="ListParagraph"/>
              <w:numPr>
                <w:ilvl w:val="0"/>
                <w:numId w:val="2"/>
              </w:numPr>
              <w:ind w:left="91" w:hanging="141"/>
            </w:pPr>
            <w:r w:rsidRPr="00456C7B">
              <w:t xml:space="preserve">Treatment of people with HCV-3 is with SOF and Pegylated interferon and Ribavirin combination therapy. Only the SOF </w:t>
            </w:r>
            <w:r w:rsidRPr="00456C7B">
              <w:lastRenderedPageBreak/>
              <w:t xml:space="preserve">(DAA) component of this is </w:t>
            </w:r>
            <w:proofErr w:type="gramStart"/>
            <w:r w:rsidRPr="00456C7B">
              <w:t>costed</w:t>
            </w:r>
            <w:r w:rsidR="001366D1" w:rsidRPr="00456C7B">
              <w:t>;</w:t>
            </w:r>
            <w:proofErr w:type="gramEnd"/>
          </w:p>
          <w:p w14:paraId="521F4795" w14:textId="0D7BFA2B" w:rsidR="00C559ED" w:rsidRPr="00456C7B" w:rsidRDefault="00C559ED" w:rsidP="00A310BE">
            <w:pPr>
              <w:pStyle w:val="ListParagraph"/>
              <w:ind w:left="91"/>
            </w:pPr>
          </w:p>
        </w:tc>
        <w:tc>
          <w:tcPr>
            <w:tcW w:w="2604" w:type="dxa"/>
          </w:tcPr>
          <w:p w14:paraId="1509F4C6" w14:textId="71210ACE" w:rsidR="00773676" w:rsidRPr="00456C7B" w:rsidRDefault="00773676" w:rsidP="00773676">
            <w:pPr>
              <w:pStyle w:val="ListParagraph"/>
              <w:numPr>
                <w:ilvl w:val="0"/>
                <w:numId w:val="2"/>
              </w:numPr>
              <w:ind w:left="181" w:hanging="142"/>
            </w:pPr>
            <w:r w:rsidRPr="00456C7B">
              <w:lastRenderedPageBreak/>
              <w:t xml:space="preserve">Assumes patents are granted for all filed </w:t>
            </w:r>
            <w:r w:rsidR="00171AB2" w:rsidRPr="00456C7B">
              <w:t xml:space="preserve">secondary </w:t>
            </w:r>
            <w:r w:rsidRPr="00456C7B">
              <w:t>patent applications as CPTPP allows for secondary patenting</w:t>
            </w:r>
            <w:r w:rsidR="001366D1" w:rsidRPr="00456C7B">
              <w:t>.</w:t>
            </w:r>
            <w:r w:rsidR="00730EC0" w:rsidRPr="00456C7B">
              <w:t xml:space="preserve"> (</w:t>
            </w:r>
            <w:r w:rsidR="00730EC0" w:rsidRPr="00456C7B">
              <w:rPr>
                <w:rFonts w:cstheme="minorHAnsi"/>
              </w:rPr>
              <w:t>Patents to be made available for at least one of: new uses</w:t>
            </w:r>
            <w:r w:rsidR="00F86367" w:rsidRPr="00456C7B">
              <w:rPr>
                <w:rStyle w:val="FootnoteReference"/>
                <w:rFonts w:cstheme="minorHAnsi"/>
              </w:rPr>
              <w:footnoteReference w:id="2"/>
            </w:r>
            <w:r w:rsidR="00730EC0" w:rsidRPr="00456C7B">
              <w:rPr>
                <w:rFonts w:cstheme="minorHAnsi"/>
              </w:rPr>
              <w:t xml:space="preserve"> of a known product, new methods of using a known product or new processes of using a known product</w:t>
            </w:r>
            <w:proofErr w:type="gramStart"/>
            <w:r w:rsidR="00730EC0" w:rsidRPr="00456C7B">
              <w:rPr>
                <w:rFonts w:cstheme="minorHAnsi"/>
              </w:rPr>
              <w:t>)</w:t>
            </w:r>
            <w:r w:rsidR="00A216E8" w:rsidRPr="00456C7B">
              <w:t>;</w:t>
            </w:r>
            <w:proofErr w:type="gramEnd"/>
          </w:p>
          <w:p w14:paraId="4322ECA8" w14:textId="032F235C" w:rsidR="00431CFE" w:rsidRPr="00456C7B" w:rsidRDefault="00773676" w:rsidP="00431CFE">
            <w:pPr>
              <w:pStyle w:val="ListParagraph"/>
              <w:numPr>
                <w:ilvl w:val="0"/>
                <w:numId w:val="2"/>
              </w:numPr>
              <w:ind w:left="181" w:hanging="142"/>
            </w:pPr>
            <w:r w:rsidRPr="00456C7B">
              <w:t xml:space="preserve">Patent terms may be extended due to CPTPP patent term </w:t>
            </w:r>
            <w:proofErr w:type="gramStart"/>
            <w:r w:rsidRPr="00456C7B">
              <w:t>extensions</w:t>
            </w:r>
            <w:r w:rsidR="00A216E8" w:rsidRPr="00456C7B">
              <w:t>;</w:t>
            </w:r>
            <w:proofErr w:type="gramEnd"/>
          </w:p>
          <w:p w14:paraId="426C2D9B" w14:textId="15B9C755" w:rsidR="00586795" w:rsidRPr="00456C7B" w:rsidRDefault="00263E4A" w:rsidP="00431CFE">
            <w:pPr>
              <w:pStyle w:val="ListParagraph"/>
              <w:numPr>
                <w:ilvl w:val="0"/>
                <w:numId w:val="2"/>
              </w:numPr>
              <w:ind w:left="181" w:hanging="142"/>
            </w:pPr>
            <w:r w:rsidRPr="00456C7B">
              <w:lastRenderedPageBreak/>
              <w:t>Data exclusivity and p</w:t>
            </w:r>
            <w:r w:rsidR="00586795" w:rsidRPr="00456C7B">
              <w:t xml:space="preserve">atent linkage may </w:t>
            </w:r>
            <w:r w:rsidR="000D5D13" w:rsidRPr="00456C7B">
              <w:t xml:space="preserve">further </w:t>
            </w:r>
            <w:r w:rsidR="00297B01" w:rsidRPr="00456C7B">
              <w:t xml:space="preserve">delay </w:t>
            </w:r>
            <w:r w:rsidR="000C3ACD" w:rsidRPr="00456C7B">
              <w:t xml:space="preserve">marketing approval </w:t>
            </w:r>
            <w:r w:rsidRPr="00456C7B">
              <w:t>and/</w:t>
            </w:r>
            <w:r w:rsidR="000C3ACD" w:rsidRPr="00456C7B">
              <w:t xml:space="preserve">or market entry for </w:t>
            </w:r>
            <w:proofErr w:type="gramStart"/>
            <w:r w:rsidR="000C3ACD" w:rsidRPr="00456C7B">
              <w:t>generics</w:t>
            </w:r>
            <w:r w:rsidR="001366D1" w:rsidRPr="00456C7B">
              <w:t>;</w:t>
            </w:r>
            <w:proofErr w:type="gramEnd"/>
            <w:r w:rsidR="00297B01" w:rsidRPr="00456C7B">
              <w:t xml:space="preserve"> </w:t>
            </w:r>
          </w:p>
          <w:p w14:paraId="54ECB7CD" w14:textId="6D8FC52D" w:rsidR="00431CFE" w:rsidRPr="00456C7B" w:rsidRDefault="00431CFE" w:rsidP="00431CFE">
            <w:pPr>
              <w:pStyle w:val="ListParagraph"/>
              <w:numPr>
                <w:ilvl w:val="0"/>
                <w:numId w:val="2"/>
              </w:numPr>
              <w:ind w:left="181" w:hanging="142"/>
            </w:pPr>
            <w:r w:rsidRPr="00456C7B">
              <w:t>Treatment for genotypes 1,2,4,6 use the DAA regime of SOF/</w:t>
            </w:r>
            <w:proofErr w:type="gramStart"/>
            <w:r w:rsidRPr="00456C7B">
              <w:t>LDV</w:t>
            </w:r>
            <w:r w:rsidR="001366D1" w:rsidRPr="00456C7B">
              <w:t>;</w:t>
            </w:r>
            <w:proofErr w:type="gramEnd"/>
            <w:r w:rsidRPr="00456C7B">
              <w:t xml:space="preserve"> </w:t>
            </w:r>
          </w:p>
          <w:p w14:paraId="3118F5B7" w14:textId="76B1CC03" w:rsidR="00C559ED" w:rsidRPr="00456C7B" w:rsidRDefault="00431CFE" w:rsidP="00A310BE">
            <w:pPr>
              <w:pStyle w:val="ListParagraph"/>
              <w:numPr>
                <w:ilvl w:val="0"/>
                <w:numId w:val="2"/>
              </w:numPr>
              <w:ind w:left="181" w:hanging="142"/>
            </w:pPr>
            <w:r w:rsidRPr="00456C7B">
              <w:t>Treatment of people with HCV-3 is with SOF and Pegylated interferon and Ribavirin combination therapy. Only the SOF (DAA) component of this is costed</w:t>
            </w:r>
            <w:r w:rsidR="001366D1" w:rsidRPr="00456C7B">
              <w:t>;</w:t>
            </w:r>
          </w:p>
        </w:tc>
        <w:tc>
          <w:tcPr>
            <w:tcW w:w="2659" w:type="dxa"/>
          </w:tcPr>
          <w:p w14:paraId="002ECC04" w14:textId="5E55EF18" w:rsidR="00431CFE" w:rsidRPr="00456C7B" w:rsidRDefault="00773676" w:rsidP="00431CFE">
            <w:pPr>
              <w:pStyle w:val="ListParagraph"/>
              <w:numPr>
                <w:ilvl w:val="0"/>
                <w:numId w:val="2"/>
              </w:numPr>
              <w:ind w:left="170" w:hanging="142"/>
            </w:pPr>
            <w:r w:rsidRPr="00456C7B">
              <w:lastRenderedPageBreak/>
              <w:t xml:space="preserve">Compulsory licences are granted for all patented </w:t>
            </w:r>
            <w:r w:rsidR="006A6BFE" w:rsidRPr="00456C7B">
              <w:t>medicines</w:t>
            </w:r>
            <w:r w:rsidRPr="00456C7B">
              <w:t xml:space="preserve"> and Thailand can therefore access the </w:t>
            </w:r>
            <w:r w:rsidR="00A216E8" w:rsidRPr="00456C7B">
              <w:t xml:space="preserve">least expensive </w:t>
            </w:r>
            <w:r w:rsidRPr="00456C7B">
              <w:t xml:space="preserve">SOF/LDV and SOF on </w:t>
            </w:r>
            <w:r w:rsidR="002F17B6" w:rsidRPr="00456C7B">
              <w:t xml:space="preserve">the </w:t>
            </w:r>
            <w:r w:rsidRPr="00456C7B">
              <w:t xml:space="preserve">global </w:t>
            </w:r>
            <w:proofErr w:type="gramStart"/>
            <w:r w:rsidRPr="00456C7B">
              <w:t>market</w:t>
            </w:r>
            <w:r w:rsidR="00A216E8" w:rsidRPr="00456C7B">
              <w:t>;</w:t>
            </w:r>
            <w:proofErr w:type="gramEnd"/>
          </w:p>
          <w:p w14:paraId="52CFE5C2" w14:textId="6F707136" w:rsidR="00431CFE" w:rsidRPr="00456C7B" w:rsidRDefault="00431CFE" w:rsidP="00431CFE">
            <w:pPr>
              <w:pStyle w:val="ListParagraph"/>
              <w:numPr>
                <w:ilvl w:val="0"/>
                <w:numId w:val="2"/>
              </w:numPr>
              <w:ind w:left="170" w:hanging="142"/>
            </w:pPr>
            <w:r w:rsidRPr="00456C7B">
              <w:t>Treatment for genotypes 1,2,4,6 use the DAA regime of SOF/</w:t>
            </w:r>
            <w:proofErr w:type="gramStart"/>
            <w:r w:rsidRPr="00456C7B">
              <w:t>LDV</w:t>
            </w:r>
            <w:r w:rsidR="001366D1" w:rsidRPr="00456C7B">
              <w:t>;</w:t>
            </w:r>
            <w:proofErr w:type="gramEnd"/>
          </w:p>
          <w:p w14:paraId="5EC38ECF" w14:textId="6838F346" w:rsidR="00773676" w:rsidRPr="00456C7B" w:rsidRDefault="00431CFE" w:rsidP="00431CFE">
            <w:pPr>
              <w:pStyle w:val="ListParagraph"/>
              <w:numPr>
                <w:ilvl w:val="0"/>
                <w:numId w:val="2"/>
              </w:numPr>
              <w:ind w:left="170" w:hanging="142"/>
            </w:pPr>
            <w:r w:rsidRPr="00456C7B">
              <w:t xml:space="preserve">Treatment of people with HCV-3 is with SOF and Pegylated interferon and Ribavirin combination therapy. Only the SOF (DAA) </w:t>
            </w:r>
            <w:r w:rsidRPr="00456C7B">
              <w:lastRenderedPageBreak/>
              <w:t xml:space="preserve">component of this is </w:t>
            </w:r>
            <w:proofErr w:type="gramStart"/>
            <w:r w:rsidRPr="00456C7B">
              <w:t>costed</w:t>
            </w:r>
            <w:r w:rsidR="001366D1" w:rsidRPr="00456C7B">
              <w:t>;</w:t>
            </w:r>
            <w:proofErr w:type="gramEnd"/>
          </w:p>
          <w:p w14:paraId="049EEFD7" w14:textId="0DBC9CE7" w:rsidR="00C559ED" w:rsidRPr="00456C7B" w:rsidRDefault="00C559ED" w:rsidP="00F86367">
            <w:pPr>
              <w:pStyle w:val="ListParagraph"/>
              <w:ind w:left="170"/>
            </w:pPr>
          </w:p>
        </w:tc>
        <w:tc>
          <w:tcPr>
            <w:tcW w:w="4536" w:type="dxa"/>
          </w:tcPr>
          <w:p w14:paraId="6063CFD0" w14:textId="3C897B50" w:rsidR="00773676" w:rsidRPr="00456C7B" w:rsidRDefault="00773676" w:rsidP="00773676">
            <w:pPr>
              <w:pStyle w:val="ListParagraph"/>
              <w:numPr>
                <w:ilvl w:val="0"/>
                <w:numId w:val="2"/>
              </w:numPr>
              <w:ind w:left="173" w:hanging="142"/>
            </w:pPr>
            <w:bookmarkStart w:id="4" w:name="_Hlk105414470"/>
            <w:r w:rsidRPr="00456C7B">
              <w:lastRenderedPageBreak/>
              <w:t xml:space="preserve">Thailand is able to access the </w:t>
            </w:r>
            <w:r w:rsidR="002F17B6" w:rsidRPr="00456C7B">
              <w:t>least expensive</w:t>
            </w:r>
            <w:r w:rsidRPr="00456C7B">
              <w:t xml:space="preserve"> generic SOF/VEL on the market as no current patents </w:t>
            </w:r>
            <w:r w:rsidR="00A216E8" w:rsidRPr="00456C7B">
              <w:t xml:space="preserve">have been granted </w:t>
            </w:r>
            <w:r w:rsidRPr="00456C7B">
              <w:t>and</w:t>
            </w:r>
            <w:r w:rsidR="002F17B6" w:rsidRPr="00456C7B">
              <w:t xml:space="preserve"> it is</w:t>
            </w:r>
            <w:r w:rsidRPr="00456C7B">
              <w:t xml:space="preserve"> not locked into a voluntary licence </w:t>
            </w:r>
            <w:proofErr w:type="gramStart"/>
            <w:r w:rsidRPr="00456C7B">
              <w:t>agreement</w:t>
            </w:r>
            <w:r w:rsidR="00A216E8" w:rsidRPr="00456C7B">
              <w:t>;</w:t>
            </w:r>
            <w:proofErr w:type="gramEnd"/>
            <w:r w:rsidRPr="00456C7B">
              <w:t xml:space="preserve"> </w:t>
            </w:r>
          </w:p>
          <w:p w14:paraId="5119CFA6" w14:textId="67FB41EF" w:rsidR="00431CFE" w:rsidRPr="00456C7B" w:rsidRDefault="00773676" w:rsidP="00431CFE">
            <w:pPr>
              <w:pStyle w:val="ListParagraph"/>
              <w:numPr>
                <w:ilvl w:val="0"/>
                <w:numId w:val="2"/>
              </w:numPr>
              <w:ind w:left="173" w:hanging="142"/>
            </w:pPr>
            <w:r w:rsidRPr="00456C7B">
              <w:t xml:space="preserve">This scenario is not permissible if Thailand signs onto CPTPP as </w:t>
            </w:r>
            <w:r w:rsidR="002F17B6" w:rsidRPr="00456C7B">
              <w:t xml:space="preserve">it </w:t>
            </w:r>
            <w:r w:rsidRPr="00456C7B">
              <w:t>will need to grant secondary patents</w:t>
            </w:r>
            <w:r w:rsidR="00B073E6" w:rsidRPr="00456C7B">
              <w:t xml:space="preserve"> (unless compulsory licensing is invoked</w:t>
            </w:r>
            <w:proofErr w:type="gramStart"/>
            <w:r w:rsidR="00B073E6" w:rsidRPr="00456C7B">
              <w:t>)</w:t>
            </w:r>
            <w:r w:rsidR="00A216E8" w:rsidRPr="00456C7B">
              <w:t>;</w:t>
            </w:r>
            <w:proofErr w:type="gramEnd"/>
          </w:p>
          <w:p w14:paraId="32B59B8D" w14:textId="79906783" w:rsidR="00431CFE" w:rsidRPr="00456C7B" w:rsidRDefault="00773676" w:rsidP="00431CFE">
            <w:pPr>
              <w:pStyle w:val="ListParagraph"/>
              <w:numPr>
                <w:ilvl w:val="0"/>
                <w:numId w:val="2"/>
              </w:numPr>
              <w:ind w:left="173" w:hanging="142"/>
            </w:pPr>
            <w:r w:rsidRPr="00456C7B">
              <w:t>No genotype testing required as it</w:t>
            </w:r>
            <w:r w:rsidR="00DE3B41" w:rsidRPr="00456C7B">
              <w:t xml:space="preserve"> i</w:t>
            </w:r>
            <w:r w:rsidRPr="00456C7B">
              <w:t xml:space="preserve">s a pan genotypic </w:t>
            </w:r>
            <w:proofErr w:type="gramStart"/>
            <w:r w:rsidRPr="00456C7B">
              <w:t>regime</w:t>
            </w:r>
            <w:bookmarkEnd w:id="4"/>
            <w:r w:rsidR="001366D1" w:rsidRPr="00456C7B">
              <w:t>;</w:t>
            </w:r>
            <w:proofErr w:type="gramEnd"/>
            <w:r w:rsidR="00431CFE" w:rsidRPr="00456C7B">
              <w:t xml:space="preserve"> </w:t>
            </w:r>
          </w:p>
          <w:p w14:paraId="2C636B39" w14:textId="16842AA6" w:rsidR="00773676" w:rsidRPr="00456C7B" w:rsidRDefault="00431CFE" w:rsidP="00431CFE">
            <w:pPr>
              <w:pStyle w:val="ListParagraph"/>
              <w:numPr>
                <w:ilvl w:val="0"/>
                <w:numId w:val="2"/>
              </w:numPr>
              <w:ind w:left="173" w:hanging="142"/>
            </w:pPr>
            <w:r w:rsidRPr="00456C7B">
              <w:t xml:space="preserve">Measuring the DAA in this scenario </w:t>
            </w:r>
            <w:r w:rsidR="00007C89" w:rsidRPr="00456C7B">
              <w:t>calculates</w:t>
            </w:r>
            <w:r w:rsidRPr="00456C7B">
              <w:t xml:space="preserve"> the full cost of treatment unlike </w:t>
            </w:r>
            <w:r w:rsidR="007272E2" w:rsidRPr="00456C7B">
              <w:t xml:space="preserve">scenario </w:t>
            </w:r>
            <w:r w:rsidRPr="00456C7B">
              <w:t>1-3.</w:t>
            </w:r>
          </w:p>
        </w:tc>
      </w:tr>
    </w:tbl>
    <w:p w14:paraId="4679952D" w14:textId="6C0BAE0B" w:rsidR="009C3A57" w:rsidRPr="00456C7B" w:rsidRDefault="00883761" w:rsidP="00773676">
      <w:pPr>
        <w:rPr>
          <w:rFonts w:cstheme="minorHAnsi"/>
          <w:sz w:val="18"/>
          <w:szCs w:val="18"/>
        </w:rPr>
        <w:sectPr w:rsidR="009C3A57" w:rsidRPr="00456C7B" w:rsidSect="009C3A57">
          <w:pgSz w:w="16838" w:h="11906" w:orient="landscape"/>
          <w:pgMar w:top="1440" w:right="1440" w:bottom="1440" w:left="1440" w:header="709" w:footer="709" w:gutter="0"/>
          <w:cols w:space="708"/>
          <w:docGrid w:linePitch="360"/>
        </w:sectPr>
      </w:pPr>
      <w:r w:rsidRPr="00456C7B">
        <w:rPr>
          <w:rFonts w:cstheme="minorHAnsi"/>
          <w:sz w:val="18"/>
          <w:szCs w:val="18"/>
        </w:rPr>
        <w:t xml:space="preserve">VEL= </w:t>
      </w:r>
      <w:proofErr w:type="spellStart"/>
      <w:r w:rsidRPr="00456C7B">
        <w:rPr>
          <w:rFonts w:eastAsia="Times New Roman" w:cstheme="minorHAnsi"/>
          <w:color w:val="333333"/>
          <w:sz w:val="18"/>
          <w:szCs w:val="18"/>
          <w:lang w:eastAsia="en-AU"/>
        </w:rPr>
        <w:t>Velpatasvi</w:t>
      </w:r>
      <w:r w:rsidR="008D2206" w:rsidRPr="00456C7B">
        <w:rPr>
          <w:rFonts w:eastAsia="Times New Roman" w:cstheme="minorHAnsi"/>
          <w:color w:val="333333"/>
          <w:sz w:val="18"/>
          <w:szCs w:val="18"/>
          <w:lang w:eastAsia="en-AU"/>
        </w:rPr>
        <w:t>r</w:t>
      </w:r>
      <w:proofErr w:type="spellEnd"/>
    </w:p>
    <w:p w14:paraId="32155752" w14:textId="77777777" w:rsidR="00773676" w:rsidRPr="00456C7B" w:rsidRDefault="00773676" w:rsidP="00773676"/>
    <w:p w14:paraId="7AFCA121" w14:textId="33AE25E0" w:rsidR="00773676" w:rsidRPr="00456C7B" w:rsidRDefault="00773676" w:rsidP="00431CFE">
      <w:pPr>
        <w:spacing w:line="360" w:lineRule="auto"/>
      </w:pPr>
      <w:r w:rsidRPr="00456C7B">
        <w:t>None of the scenarios above include hepatitis C treatment for people with liver cirrhosis.</w:t>
      </w:r>
      <w:r w:rsidR="000837EA" w:rsidRPr="00456C7B">
        <w:t xml:space="preserve"> </w:t>
      </w:r>
      <w:proofErr w:type="gramStart"/>
      <w:r w:rsidR="000837EA" w:rsidRPr="00456C7B">
        <w:t>Scenario</w:t>
      </w:r>
      <w:proofErr w:type="gramEnd"/>
      <w:r w:rsidR="000837EA" w:rsidRPr="00456C7B">
        <w:t xml:space="preserve"> </w:t>
      </w:r>
      <w:r w:rsidR="006B5C71" w:rsidRPr="00456C7B">
        <w:t xml:space="preserve">1, 3 and 4 are policy options available to Thailand without </w:t>
      </w:r>
      <w:r w:rsidR="00803193" w:rsidRPr="00456C7B">
        <w:t>the need</w:t>
      </w:r>
      <w:r w:rsidR="009752F3" w:rsidRPr="00456C7B">
        <w:t xml:space="preserve"> </w:t>
      </w:r>
      <w:r w:rsidR="00803193" w:rsidRPr="00456C7B">
        <w:t>of legislative</w:t>
      </w:r>
      <w:r w:rsidR="009752F3" w:rsidRPr="00456C7B">
        <w:t xml:space="preserve"> change. Scenario 2 would require </w:t>
      </w:r>
      <w:r w:rsidR="00211F25" w:rsidRPr="00456C7B">
        <w:t xml:space="preserve">legislative change as outlined in table </w:t>
      </w:r>
      <w:r w:rsidR="00F16DBF" w:rsidRPr="00456C7B">
        <w:t>4</w:t>
      </w:r>
      <w:r w:rsidR="00211F25" w:rsidRPr="00456C7B">
        <w:t xml:space="preserve">. </w:t>
      </w:r>
      <w:r w:rsidR="009752F3" w:rsidRPr="00456C7B">
        <w:t xml:space="preserve"> </w:t>
      </w:r>
    </w:p>
    <w:p w14:paraId="14FF8B61" w14:textId="73AF1F3C" w:rsidR="005E7B1C" w:rsidRPr="00456C7B" w:rsidRDefault="00D34C59" w:rsidP="00EA6F50">
      <w:pPr>
        <w:pStyle w:val="Heading2"/>
        <w:spacing w:line="360" w:lineRule="auto"/>
      </w:pPr>
      <w:r w:rsidRPr="00456C7B">
        <w:t>Data</w:t>
      </w:r>
      <w:r w:rsidR="00CF2A9E" w:rsidRPr="00456C7B">
        <w:t xml:space="preserve"> collection</w:t>
      </w:r>
    </w:p>
    <w:p w14:paraId="5CB65071" w14:textId="2A06EE03" w:rsidR="005E7B1C" w:rsidRPr="00456C7B" w:rsidRDefault="00D34C59" w:rsidP="00EA6F50">
      <w:pPr>
        <w:spacing w:line="360" w:lineRule="auto"/>
        <w:jc w:val="both"/>
      </w:pPr>
      <w:r w:rsidRPr="00456C7B">
        <w:t xml:space="preserve">The number of people treated </w:t>
      </w:r>
      <w:r w:rsidR="004E6AE3" w:rsidRPr="00456C7B">
        <w:t>with DAA</w:t>
      </w:r>
      <w:r w:rsidR="001A4ED1" w:rsidRPr="00456C7B">
        <w:t>s</w:t>
      </w:r>
      <w:r w:rsidR="004E6AE3" w:rsidRPr="00456C7B">
        <w:t xml:space="preserve"> </w:t>
      </w:r>
      <w:r w:rsidRPr="00456C7B">
        <w:t xml:space="preserve">for hepatitis C in </w:t>
      </w:r>
      <w:r w:rsidR="00397161" w:rsidRPr="00456C7B">
        <w:t xml:space="preserve">Thailand in 2020 was sourced from </w:t>
      </w:r>
      <w:bookmarkStart w:id="5" w:name="OLE_LINK2"/>
      <w:r w:rsidR="006F39CC" w:rsidRPr="00456C7B">
        <w:t xml:space="preserve">Thai National Health </w:t>
      </w:r>
      <w:r w:rsidR="00275294" w:rsidRPr="00456C7B">
        <w:t xml:space="preserve">Security </w:t>
      </w:r>
      <w:r w:rsidR="006F39CC" w:rsidRPr="00456C7B">
        <w:t>Office (</w:t>
      </w:r>
      <w:r w:rsidR="00397161" w:rsidRPr="00456C7B">
        <w:t>NHSO</w:t>
      </w:r>
      <w:bookmarkEnd w:id="5"/>
      <w:r w:rsidR="006F39CC" w:rsidRPr="00456C7B">
        <w:t>)</w:t>
      </w:r>
      <w:r w:rsidR="00397161" w:rsidRPr="00456C7B">
        <w:t xml:space="preserve"> and was a constant for all four scenarios. The price data for </w:t>
      </w:r>
      <w:r w:rsidR="004C7379" w:rsidRPr="00456C7B">
        <w:t>S</w:t>
      </w:r>
      <w:r w:rsidR="00397161" w:rsidRPr="00456C7B">
        <w:t xml:space="preserve">cenario </w:t>
      </w:r>
      <w:r w:rsidR="00C452E1" w:rsidRPr="00456C7B">
        <w:t xml:space="preserve">1 was sourced from </w:t>
      </w:r>
      <w:r w:rsidR="00F10EC7" w:rsidRPr="00456C7B">
        <w:t>NHSO</w:t>
      </w:r>
      <w:r w:rsidR="00AD343B" w:rsidRPr="00456C7B">
        <w:t xml:space="preserve">. Price data for </w:t>
      </w:r>
      <w:r w:rsidR="004C7379" w:rsidRPr="00456C7B">
        <w:t>S</w:t>
      </w:r>
      <w:r w:rsidR="00AD343B" w:rsidRPr="00456C7B">
        <w:t>cenario 2</w:t>
      </w:r>
      <w:r w:rsidR="003E401D" w:rsidRPr="00456C7B">
        <w:t xml:space="preserve"> </w:t>
      </w:r>
      <w:r w:rsidR="000B6286" w:rsidRPr="00456C7B">
        <w:t>and</w:t>
      </w:r>
      <w:r w:rsidR="003E401D" w:rsidRPr="00456C7B">
        <w:t xml:space="preserve"> </w:t>
      </w:r>
      <w:r w:rsidR="000B6286" w:rsidRPr="00456C7B">
        <w:t>g</w:t>
      </w:r>
      <w:r w:rsidR="00CC4F13" w:rsidRPr="00456C7B">
        <w:t>enotype testing prices were obtained from</w:t>
      </w:r>
      <w:r w:rsidR="000B6286" w:rsidRPr="00456C7B">
        <w:t xml:space="preserve"> </w:t>
      </w:r>
      <w:r w:rsidR="00587923" w:rsidRPr="00456C7B">
        <w:t>t</w:t>
      </w:r>
      <w:r w:rsidR="00D579ED" w:rsidRPr="00456C7B">
        <w:t>he Health Intervention and Technology Assessment Program (</w:t>
      </w:r>
      <w:r w:rsidR="000B6286" w:rsidRPr="00456C7B">
        <w:t>HITAP</w:t>
      </w:r>
      <w:r w:rsidR="00D579ED" w:rsidRPr="00456C7B">
        <w:t>)</w:t>
      </w:r>
      <w:r w:rsidR="000B6286" w:rsidRPr="00456C7B">
        <w:t xml:space="preserve"> study</w:t>
      </w:r>
      <w:r w:rsidR="00335726" w:rsidRPr="00456C7B">
        <w:t xml:space="preserve"> by</w:t>
      </w:r>
      <w:r w:rsidR="000B6286" w:rsidRPr="00456C7B">
        <w:t xml:space="preserve"> </w:t>
      </w:r>
      <w:proofErr w:type="spellStart"/>
      <w:r w:rsidR="00CC4F13" w:rsidRPr="00456C7B">
        <w:t>Rattanavipapong</w:t>
      </w:r>
      <w:proofErr w:type="spellEnd"/>
      <w:r w:rsidR="00CC4F13" w:rsidRPr="00456C7B">
        <w:t xml:space="preserve"> et al</w:t>
      </w:r>
      <w:r w:rsidR="00335726" w:rsidRPr="00456C7B">
        <w:t>:</w:t>
      </w:r>
      <w:r w:rsidR="00CC4F13" w:rsidRPr="00456C7B">
        <w:t xml:space="preserve"> “Revisiting policy on chronic HCV treatment under the Thai Universal Health Coverage: An economic evaluation and budget impact analysis”</w:t>
      </w:r>
      <w:r w:rsidR="00F30376" w:rsidRPr="00456C7B">
        <w:rPr>
          <w:rStyle w:val="FootnoteReference"/>
        </w:rPr>
        <w:footnoteReference w:id="3"/>
      </w:r>
      <w:r w:rsidR="00335427" w:rsidRPr="00456C7B">
        <w:t xml:space="preserve"> </w:t>
      </w:r>
      <w:r w:rsidR="004E3FEE" w:rsidRPr="00456C7B">
        <w:t>`</w:t>
      </w:r>
      <w:r w:rsidR="00CC4F13" w:rsidRPr="00456C7B">
        <w:fldChar w:fldCharType="begin"/>
      </w:r>
      <w:r w:rsidR="00A2659F">
        <w:instrText xml:space="preserve"> ADDIN EN.CITE &lt;EndNote&gt;&lt;Cite&gt;&lt;Author&gt;Rattanavipapong&lt;/Author&gt;&lt;Year&gt;2018&lt;/Year&gt;&lt;RecNum&gt;418&lt;/RecNum&gt;&lt;DisplayText&gt;(49)&lt;/DisplayText&gt;&lt;record&gt;&lt;rec-number&gt;418&lt;/rec-number&gt;&lt;foreign-keys&gt;&lt;key app="EN" db-id="dfp5tt9d12x9vhewffovwt2jvd9t5vpwzvxr" timestamp="1648163608"&gt;418&lt;/key&gt;&lt;/foreign-keys&gt;&lt;ref-type name="Journal Article"&gt;17&lt;/ref-type&gt;&lt;contributors&gt;&lt;authors&gt;&lt;author&gt;Rattanavipapong, Waranya&lt;/author&gt;&lt;author&gt;Anothaisintawee, Thunyarat&lt;/author&gt;&lt;author&gt;Teerawattananon, Yot&lt;/author&gt;&lt;/authors&gt;&lt;/contributors&gt;&lt;titles&gt;&lt;title&gt;Revisiting policy on chronic HCV treatment under the Thai Universal Health Coverage: An economic evaluation and budget impact analysis&lt;/title&gt;&lt;secondary-title&gt;PloS one&lt;/secondary-title&gt;&lt;/titles&gt;&lt;periodical&gt;&lt;full-title&gt;PLOS ONE&lt;/full-title&gt;&lt;/periodical&gt;&lt;pages&gt;e0193112&lt;/pages&gt;&lt;volume&gt;13&lt;/volume&gt;&lt;number&gt;2&lt;/number&gt;&lt;dates&gt;&lt;year&gt;2018&lt;/year&gt;&lt;/dates&gt;&lt;isbn&gt;1932-6203&lt;/isbn&gt;&lt;urls&gt;&lt;/urls&gt;&lt;/record&gt;&lt;/Cite&gt;&lt;/EndNote&gt;</w:instrText>
      </w:r>
      <w:r w:rsidR="00CC4F13" w:rsidRPr="00456C7B">
        <w:fldChar w:fldCharType="separate"/>
      </w:r>
      <w:r w:rsidR="00A2659F">
        <w:rPr>
          <w:noProof/>
        </w:rPr>
        <w:t>(49)</w:t>
      </w:r>
      <w:r w:rsidR="00CC4F13" w:rsidRPr="00456C7B">
        <w:fldChar w:fldCharType="end"/>
      </w:r>
      <w:r w:rsidR="000B6286" w:rsidRPr="00456C7B">
        <w:t xml:space="preserve">. </w:t>
      </w:r>
      <w:r w:rsidR="003E401D" w:rsidRPr="00456C7B">
        <w:t>Price data for Sc</w:t>
      </w:r>
      <w:r w:rsidR="00335726" w:rsidRPr="00456C7B">
        <w:t>e</w:t>
      </w:r>
      <w:r w:rsidR="003E401D" w:rsidRPr="00456C7B">
        <w:t>nario</w:t>
      </w:r>
      <w:r w:rsidR="00AD343B" w:rsidRPr="00456C7B">
        <w:t xml:space="preserve"> 3 and 4 were sourced from </w:t>
      </w:r>
      <w:r w:rsidR="00E87E9A" w:rsidRPr="00456C7B">
        <w:t>the WHO publication “Accelerating access to hepatitis C diagnostics and treatment</w:t>
      </w:r>
      <w:r w:rsidR="00D47A13" w:rsidRPr="00456C7B">
        <w:t>:</w:t>
      </w:r>
      <w:r w:rsidR="00E87E9A" w:rsidRPr="00456C7B">
        <w:t xml:space="preserve"> Overcoming barriers in low and middle-income countries</w:t>
      </w:r>
      <w:r w:rsidR="006A4118" w:rsidRPr="00456C7B">
        <w:t xml:space="preserve"> – </w:t>
      </w:r>
      <w:r w:rsidR="00E87E9A" w:rsidRPr="00456C7B">
        <w:t>Global progress report 2020”</w:t>
      </w:r>
      <w:r w:rsidR="004D782F" w:rsidRPr="00456C7B">
        <w:fldChar w:fldCharType="begin"/>
      </w:r>
      <w:r w:rsidR="00A2659F">
        <w:instrText xml:space="preserve"> ADDIN EN.CITE &lt;EndNote&gt;&lt;Cite&gt;&lt;Author&gt;World Health Organization&lt;/Author&gt;&lt;Year&gt;2021&lt;/Year&gt;&lt;RecNum&gt;416&lt;/RecNum&gt;&lt;DisplayText&gt;(50)&lt;/DisplayText&gt;&lt;record&gt;&lt;rec-number&gt;416&lt;/rec-number&gt;&lt;foreign-keys&gt;&lt;key app="EN" db-id="dfp5tt9d12x9vhewffovwt2jvd9t5vpwzvxr" timestamp="1648015583"&gt;416&lt;/key&gt;&lt;/foreign-keys&gt;&lt;ref-type name="Book Section"&gt;5&lt;/ref-type&gt;&lt;contributors&gt;&lt;authors&gt;&lt;author&gt;World Health Organization,&lt;/author&gt;&lt;/authors&gt;&lt;/contributors&gt;&lt;titles&gt;&lt;title&gt;Accelerating access to hepatitis C diagnostics and treatment: overcoming barriers in low-and middle-income countries: global progress report 2020&lt;/title&gt;&lt;secondary-title&gt;Accelerating access to hepatitis C diagnostics and treatment: overcoming barriers in low-and middle-income countries: global progress report 2020&lt;/secondary-title&gt;&lt;/titles&gt;&lt;dates&gt;&lt;year&gt;2021&lt;/year&gt;&lt;/dates&gt;&lt;urls&gt;&lt;/urls&gt;&lt;/record&gt;&lt;/Cite&gt;&lt;/EndNote&gt;</w:instrText>
      </w:r>
      <w:r w:rsidR="004D782F" w:rsidRPr="00456C7B">
        <w:fldChar w:fldCharType="separate"/>
      </w:r>
      <w:r w:rsidR="00A2659F">
        <w:rPr>
          <w:noProof/>
        </w:rPr>
        <w:t>(50)</w:t>
      </w:r>
      <w:r w:rsidR="004D782F" w:rsidRPr="00456C7B">
        <w:fldChar w:fldCharType="end"/>
      </w:r>
      <w:r w:rsidR="00E87E9A" w:rsidRPr="00456C7B">
        <w:t>.</w:t>
      </w:r>
      <w:r w:rsidR="00CE4F59" w:rsidRPr="00456C7B">
        <w:t xml:space="preserve"> </w:t>
      </w:r>
    </w:p>
    <w:p w14:paraId="2F5F7A4D" w14:textId="74ADF47A" w:rsidR="004C04F2" w:rsidRPr="00456C7B" w:rsidRDefault="004C04F2" w:rsidP="004C04F2">
      <w:pPr>
        <w:pStyle w:val="Heading2"/>
      </w:pPr>
      <w:r w:rsidRPr="00456C7B">
        <w:t>Data analysis</w:t>
      </w:r>
    </w:p>
    <w:p w14:paraId="7C86B32D" w14:textId="77777777" w:rsidR="00700028" w:rsidRPr="00456C7B" w:rsidRDefault="00700028" w:rsidP="00F97F0F"/>
    <w:p w14:paraId="5088ED32" w14:textId="705D14A9" w:rsidR="004C04F2" w:rsidRPr="00456C7B" w:rsidRDefault="00A10CBC" w:rsidP="0018300B">
      <w:pPr>
        <w:spacing w:line="360" w:lineRule="auto"/>
        <w:rPr>
          <w:lang w:val="en-US"/>
        </w:rPr>
      </w:pPr>
      <w:r w:rsidRPr="00456C7B">
        <w:t xml:space="preserve">For each scenario, the total cost of </w:t>
      </w:r>
      <w:r w:rsidR="00A41DD1" w:rsidRPr="00456C7B">
        <w:t>DAA in hepatitis C treatment was calcula</w:t>
      </w:r>
      <w:r w:rsidR="00613EE1" w:rsidRPr="00456C7B">
        <w:t>ted by</w:t>
      </w:r>
      <w:r w:rsidR="00F97F0F" w:rsidRPr="00456C7B">
        <w:t xml:space="preserve"> </w:t>
      </w:r>
      <w:r w:rsidR="00613EE1" w:rsidRPr="00456C7B">
        <w:t xml:space="preserve">multiplying the cost of </w:t>
      </w:r>
      <w:r w:rsidR="00E35583" w:rsidRPr="00456C7B">
        <w:t xml:space="preserve">the </w:t>
      </w:r>
      <w:r w:rsidR="00993EE6" w:rsidRPr="00456C7B">
        <w:t xml:space="preserve">relevant </w:t>
      </w:r>
      <w:r w:rsidR="00E35583" w:rsidRPr="00456C7B">
        <w:t>DAA regim</w:t>
      </w:r>
      <w:r w:rsidR="0046713A" w:rsidRPr="00456C7B">
        <w:t>e</w:t>
      </w:r>
      <w:r w:rsidR="008D53BD" w:rsidRPr="00456C7B">
        <w:t xml:space="preserve"> (including the genotype </w:t>
      </w:r>
      <w:r w:rsidR="0046713A" w:rsidRPr="00456C7B">
        <w:t>test</w:t>
      </w:r>
      <w:r w:rsidR="008D53BD" w:rsidRPr="00456C7B">
        <w:t xml:space="preserve"> where relevant)</w:t>
      </w:r>
      <w:r w:rsidR="0046713A" w:rsidRPr="00456C7B">
        <w:t xml:space="preserve"> per person</w:t>
      </w:r>
      <w:r w:rsidR="0078145E" w:rsidRPr="00456C7B">
        <w:t xml:space="preserve"> by the number of people </w:t>
      </w:r>
      <w:r w:rsidR="00F97F0F" w:rsidRPr="00456C7B">
        <w:t xml:space="preserve">being treated </w:t>
      </w:r>
      <w:r w:rsidR="00306C4B" w:rsidRPr="00456C7B">
        <w:t>using that regime</w:t>
      </w:r>
      <w:r w:rsidR="00C36551" w:rsidRPr="00456C7B">
        <w:t xml:space="preserve"> for the year 2020</w:t>
      </w:r>
      <w:r w:rsidR="0034035D" w:rsidRPr="00456C7B">
        <w:t>.</w:t>
      </w:r>
    </w:p>
    <w:p w14:paraId="0080EB79" w14:textId="3FAA19C5" w:rsidR="00D61A0E" w:rsidRPr="00456C7B" w:rsidRDefault="00D61A0E" w:rsidP="00EA6F50">
      <w:pPr>
        <w:pStyle w:val="Heading1"/>
        <w:spacing w:line="360" w:lineRule="auto"/>
      </w:pPr>
      <w:r w:rsidRPr="00456C7B">
        <w:t>Results</w:t>
      </w:r>
    </w:p>
    <w:p w14:paraId="687298DB" w14:textId="147F0B46" w:rsidR="001A6E93" w:rsidRPr="00456C7B" w:rsidRDefault="00420114" w:rsidP="00987DD9">
      <w:pPr>
        <w:spacing w:line="360" w:lineRule="auto"/>
        <w:sectPr w:rsidR="001A6E93" w:rsidRPr="00456C7B">
          <w:pgSz w:w="11906" w:h="16838"/>
          <w:pgMar w:top="1440" w:right="1440" w:bottom="1440" w:left="1440" w:header="708" w:footer="708" w:gutter="0"/>
          <w:cols w:space="708"/>
          <w:docGrid w:linePitch="360"/>
        </w:sectPr>
      </w:pPr>
      <w:r w:rsidRPr="00456C7B">
        <w:t>The full cost of e</w:t>
      </w:r>
      <w:r w:rsidR="00F55A2F" w:rsidRPr="00456C7B">
        <w:t xml:space="preserve">ach scenario is detailed in </w:t>
      </w:r>
      <w:r w:rsidR="00D47A13" w:rsidRPr="00456C7B">
        <w:t>T</w:t>
      </w:r>
      <w:r w:rsidR="00F55A2F" w:rsidRPr="00456C7B">
        <w:t xml:space="preserve">able </w:t>
      </w:r>
      <w:r w:rsidR="00F16DBF" w:rsidRPr="00456C7B">
        <w:t>6</w:t>
      </w:r>
    </w:p>
    <w:p w14:paraId="78A6AD98" w14:textId="77777777" w:rsidR="00D61A0E" w:rsidRPr="00456C7B" w:rsidRDefault="00D61A0E" w:rsidP="007F5310">
      <w:pPr>
        <w:rPr>
          <w:sz w:val="20"/>
          <w:szCs w:val="20"/>
        </w:rPr>
      </w:pPr>
    </w:p>
    <w:p w14:paraId="724545DD" w14:textId="03FD87B9" w:rsidR="001A6E93" w:rsidRPr="00456C7B" w:rsidRDefault="00987DD9" w:rsidP="00987DD9">
      <w:pPr>
        <w:keepNext/>
        <w:rPr>
          <w:b/>
          <w:bCs/>
        </w:rPr>
      </w:pPr>
      <w:r w:rsidRPr="00456C7B">
        <w:rPr>
          <w:b/>
          <w:bCs/>
        </w:rPr>
        <w:t>Table 6: Cost of DAA in hepatitis C treatment in scenarios in US$</w:t>
      </w:r>
    </w:p>
    <w:tbl>
      <w:tblPr>
        <w:tblW w:w="12880" w:type="dxa"/>
        <w:tblLook w:val="04A0" w:firstRow="1" w:lastRow="0" w:firstColumn="1" w:lastColumn="0" w:noHBand="0" w:noVBand="1"/>
      </w:tblPr>
      <w:tblGrid>
        <w:gridCol w:w="5800"/>
        <w:gridCol w:w="2580"/>
        <w:gridCol w:w="2480"/>
        <w:gridCol w:w="2020"/>
      </w:tblGrid>
      <w:tr w:rsidR="00987DD9" w:rsidRPr="00456C7B" w14:paraId="219408B3" w14:textId="77777777" w:rsidTr="00987DD9">
        <w:trPr>
          <w:trHeight w:val="1040"/>
        </w:trPr>
        <w:tc>
          <w:tcPr>
            <w:tcW w:w="58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50A74E48"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w:t>
            </w:r>
          </w:p>
        </w:tc>
        <w:tc>
          <w:tcPr>
            <w:tcW w:w="2580" w:type="dxa"/>
            <w:tcBorders>
              <w:top w:val="single" w:sz="4" w:space="0" w:color="auto"/>
              <w:left w:val="nil"/>
              <w:bottom w:val="single" w:sz="4" w:space="0" w:color="auto"/>
              <w:right w:val="single" w:sz="4" w:space="0" w:color="auto"/>
            </w:tcBorders>
            <w:shd w:val="clear" w:color="000000" w:fill="FCE4D6"/>
            <w:vAlign w:val="center"/>
            <w:hideMark/>
          </w:tcPr>
          <w:p w14:paraId="3D7312CC" w14:textId="77777777" w:rsidR="00987DD9" w:rsidRPr="00456C7B" w:rsidRDefault="00987DD9" w:rsidP="00987DD9">
            <w:pPr>
              <w:spacing w:after="0" w:line="240" w:lineRule="auto"/>
              <w:rPr>
                <w:rFonts w:ascii="Calibri" w:eastAsia="Times New Roman" w:hAnsi="Calibri" w:cs="Calibri"/>
                <w:b/>
                <w:bCs/>
                <w:color w:val="000000"/>
                <w:sz w:val="20"/>
                <w:szCs w:val="20"/>
                <w:lang w:eastAsia="en-AU"/>
              </w:rPr>
            </w:pPr>
            <w:r w:rsidRPr="00456C7B">
              <w:rPr>
                <w:rFonts w:ascii="Calibri" w:eastAsia="Times New Roman" w:hAnsi="Calibri" w:cs="Calibri"/>
                <w:b/>
                <w:bCs/>
                <w:color w:val="000000"/>
                <w:sz w:val="20"/>
                <w:szCs w:val="20"/>
                <w:lang w:eastAsia="en-AU"/>
              </w:rPr>
              <w:t xml:space="preserve"> Cost of DAA regime/test per person (US$) </w:t>
            </w:r>
          </w:p>
        </w:tc>
        <w:tc>
          <w:tcPr>
            <w:tcW w:w="2480" w:type="dxa"/>
            <w:tcBorders>
              <w:top w:val="single" w:sz="4" w:space="0" w:color="auto"/>
              <w:left w:val="nil"/>
              <w:bottom w:val="single" w:sz="4" w:space="0" w:color="auto"/>
              <w:right w:val="single" w:sz="4" w:space="0" w:color="auto"/>
            </w:tcBorders>
            <w:shd w:val="clear" w:color="000000" w:fill="FCE4D6"/>
            <w:noWrap/>
            <w:vAlign w:val="center"/>
            <w:hideMark/>
          </w:tcPr>
          <w:p w14:paraId="02A4F281" w14:textId="77777777" w:rsidR="00987DD9" w:rsidRPr="00456C7B" w:rsidRDefault="00987DD9" w:rsidP="00987DD9">
            <w:pPr>
              <w:spacing w:after="0" w:line="240" w:lineRule="auto"/>
              <w:rPr>
                <w:rFonts w:ascii="Calibri" w:eastAsia="Times New Roman" w:hAnsi="Calibri" w:cs="Calibri"/>
                <w:b/>
                <w:bCs/>
                <w:color w:val="000000"/>
                <w:sz w:val="20"/>
                <w:szCs w:val="20"/>
                <w:lang w:eastAsia="en-AU"/>
              </w:rPr>
            </w:pPr>
            <w:r w:rsidRPr="00456C7B">
              <w:rPr>
                <w:rFonts w:ascii="Calibri" w:eastAsia="Times New Roman" w:hAnsi="Calibri" w:cs="Calibri"/>
                <w:b/>
                <w:bCs/>
                <w:color w:val="000000"/>
                <w:sz w:val="20"/>
                <w:szCs w:val="20"/>
                <w:lang w:eastAsia="en-AU"/>
              </w:rPr>
              <w:t xml:space="preserve"> Number of people treated  </w:t>
            </w:r>
          </w:p>
        </w:tc>
        <w:tc>
          <w:tcPr>
            <w:tcW w:w="2020" w:type="dxa"/>
            <w:tcBorders>
              <w:top w:val="single" w:sz="4" w:space="0" w:color="auto"/>
              <w:left w:val="nil"/>
              <w:bottom w:val="single" w:sz="4" w:space="0" w:color="auto"/>
              <w:right w:val="single" w:sz="4" w:space="0" w:color="auto"/>
            </w:tcBorders>
            <w:shd w:val="clear" w:color="000000" w:fill="FCE4D6"/>
            <w:vAlign w:val="center"/>
            <w:hideMark/>
          </w:tcPr>
          <w:p w14:paraId="0CF802E7" w14:textId="77777777" w:rsidR="00987DD9" w:rsidRPr="00456C7B" w:rsidRDefault="00987DD9" w:rsidP="00987DD9">
            <w:pPr>
              <w:spacing w:after="0" w:line="240" w:lineRule="auto"/>
              <w:rPr>
                <w:rFonts w:ascii="Calibri" w:eastAsia="Times New Roman" w:hAnsi="Calibri" w:cs="Calibri"/>
                <w:b/>
                <w:bCs/>
                <w:color w:val="000000"/>
                <w:sz w:val="20"/>
                <w:szCs w:val="20"/>
                <w:lang w:eastAsia="en-AU"/>
              </w:rPr>
            </w:pPr>
            <w:r w:rsidRPr="00456C7B">
              <w:rPr>
                <w:rFonts w:ascii="Calibri" w:eastAsia="Times New Roman" w:hAnsi="Calibri" w:cs="Calibri"/>
                <w:b/>
                <w:bCs/>
                <w:color w:val="000000"/>
                <w:sz w:val="20"/>
                <w:szCs w:val="20"/>
                <w:lang w:eastAsia="en-AU"/>
              </w:rPr>
              <w:t> Total cost of DAA regime/genotyping by number of people treated</w:t>
            </w:r>
          </w:p>
        </w:tc>
      </w:tr>
      <w:tr w:rsidR="00987DD9" w:rsidRPr="00456C7B" w14:paraId="7A61486E" w14:textId="77777777" w:rsidTr="00987DD9">
        <w:trPr>
          <w:trHeight w:val="290"/>
        </w:trPr>
        <w:tc>
          <w:tcPr>
            <w:tcW w:w="12880" w:type="dxa"/>
            <w:gridSpan w:val="4"/>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471E8F03" w14:textId="77777777" w:rsidR="00987DD9" w:rsidRPr="00456C7B" w:rsidRDefault="00987DD9" w:rsidP="00987DD9">
            <w:pPr>
              <w:spacing w:after="0" w:line="240" w:lineRule="auto"/>
              <w:rPr>
                <w:rFonts w:ascii="Calibri" w:eastAsia="Times New Roman" w:hAnsi="Calibri" w:cs="Calibri"/>
                <w:b/>
                <w:bCs/>
                <w:color w:val="000000"/>
                <w:sz w:val="20"/>
                <w:szCs w:val="20"/>
                <w:lang w:eastAsia="en-AU"/>
              </w:rPr>
            </w:pPr>
            <w:r w:rsidRPr="00456C7B">
              <w:rPr>
                <w:rFonts w:ascii="Calibri" w:eastAsia="Times New Roman" w:hAnsi="Calibri" w:cs="Calibri"/>
                <w:b/>
                <w:bCs/>
                <w:color w:val="000000"/>
                <w:sz w:val="20"/>
                <w:szCs w:val="20"/>
                <w:lang w:eastAsia="en-AU"/>
              </w:rPr>
              <w:t>Scenario 1</w:t>
            </w:r>
          </w:p>
        </w:tc>
      </w:tr>
      <w:tr w:rsidR="00987DD9" w:rsidRPr="00456C7B" w14:paraId="1B154E79"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FCE4D6"/>
            <w:noWrap/>
            <w:vAlign w:val="center"/>
            <w:hideMark/>
          </w:tcPr>
          <w:p w14:paraId="0124A07F"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SOF/LDV for genotype 1,2,4,6</w:t>
            </w:r>
          </w:p>
        </w:tc>
        <w:tc>
          <w:tcPr>
            <w:tcW w:w="2580" w:type="dxa"/>
            <w:tcBorders>
              <w:top w:val="nil"/>
              <w:left w:val="nil"/>
              <w:bottom w:val="single" w:sz="4" w:space="0" w:color="auto"/>
              <w:right w:val="single" w:sz="4" w:space="0" w:color="auto"/>
            </w:tcBorders>
            <w:shd w:val="clear" w:color="000000" w:fill="FCE4D6"/>
            <w:noWrap/>
            <w:vAlign w:val="bottom"/>
            <w:hideMark/>
          </w:tcPr>
          <w:p w14:paraId="752DD76A"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349</w:t>
            </w:r>
          </w:p>
        </w:tc>
        <w:tc>
          <w:tcPr>
            <w:tcW w:w="2480" w:type="dxa"/>
            <w:tcBorders>
              <w:top w:val="nil"/>
              <w:left w:val="nil"/>
              <w:bottom w:val="single" w:sz="4" w:space="0" w:color="auto"/>
              <w:right w:val="single" w:sz="4" w:space="0" w:color="auto"/>
            </w:tcBorders>
            <w:shd w:val="clear" w:color="000000" w:fill="FCE4D6"/>
            <w:noWrap/>
            <w:vAlign w:val="bottom"/>
            <w:hideMark/>
          </w:tcPr>
          <w:p w14:paraId="7AADEEF2"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1993</w:t>
            </w:r>
          </w:p>
        </w:tc>
        <w:tc>
          <w:tcPr>
            <w:tcW w:w="2020" w:type="dxa"/>
            <w:tcBorders>
              <w:top w:val="nil"/>
              <w:left w:val="nil"/>
              <w:bottom w:val="single" w:sz="4" w:space="0" w:color="auto"/>
              <w:right w:val="single" w:sz="4" w:space="0" w:color="auto"/>
            </w:tcBorders>
            <w:shd w:val="clear" w:color="000000" w:fill="FCE4D6"/>
            <w:noWrap/>
            <w:vAlign w:val="bottom"/>
            <w:hideMark/>
          </w:tcPr>
          <w:p w14:paraId="7DB4C5CD"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695,557 </w:t>
            </w:r>
          </w:p>
        </w:tc>
      </w:tr>
      <w:tr w:rsidR="00987DD9" w:rsidRPr="00456C7B" w14:paraId="32F3C78C"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FCE4D6"/>
            <w:noWrap/>
            <w:vAlign w:val="center"/>
            <w:hideMark/>
          </w:tcPr>
          <w:p w14:paraId="1B703B52"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SOF for genotype 3</w:t>
            </w:r>
          </w:p>
        </w:tc>
        <w:tc>
          <w:tcPr>
            <w:tcW w:w="2580" w:type="dxa"/>
            <w:tcBorders>
              <w:top w:val="nil"/>
              <w:left w:val="nil"/>
              <w:bottom w:val="single" w:sz="4" w:space="0" w:color="auto"/>
              <w:right w:val="single" w:sz="4" w:space="0" w:color="auto"/>
            </w:tcBorders>
            <w:shd w:val="clear" w:color="000000" w:fill="FCE4D6"/>
            <w:noWrap/>
            <w:vAlign w:val="bottom"/>
            <w:hideMark/>
          </w:tcPr>
          <w:p w14:paraId="3BA07794"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293</w:t>
            </w:r>
          </w:p>
        </w:tc>
        <w:tc>
          <w:tcPr>
            <w:tcW w:w="2480" w:type="dxa"/>
            <w:tcBorders>
              <w:top w:val="nil"/>
              <w:left w:val="nil"/>
              <w:bottom w:val="single" w:sz="4" w:space="0" w:color="auto"/>
              <w:right w:val="single" w:sz="4" w:space="0" w:color="auto"/>
            </w:tcBorders>
            <w:shd w:val="clear" w:color="000000" w:fill="FCE4D6"/>
            <w:noWrap/>
            <w:vAlign w:val="bottom"/>
            <w:hideMark/>
          </w:tcPr>
          <w:p w14:paraId="16184ADA"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1372</w:t>
            </w:r>
          </w:p>
        </w:tc>
        <w:tc>
          <w:tcPr>
            <w:tcW w:w="2020" w:type="dxa"/>
            <w:tcBorders>
              <w:top w:val="nil"/>
              <w:left w:val="nil"/>
              <w:bottom w:val="single" w:sz="4" w:space="0" w:color="auto"/>
              <w:right w:val="single" w:sz="4" w:space="0" w:color="auto"/>
            </w:tcBorders>
            <w:shd w:val="clear" w:color="000000" w:fill="FCE4D6"/>
            <w:noWrap/>
            <w:vAlign w:val="bottom"/>
            <w:hideMark/>
          </w:tcPr>
          <w:p w14:paraId="3CFC37C1"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401,996 </w:t>
            </w:r>
          </w:p>
        </w:tc>
      </w:tr>
      <w:tr w:rsidR="00987DD9" w:rsidRPr="00456C7B" w14:paraId="07B7C6AA"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FCE4D6"/>
            <w:noWrap/>
            <w:vAlign w:val="center"/>
            <w:hideMark/>
          </w:tcPr>
          <w:p w14:paraId="4D3B16EE"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Genotyping</w:t>
            </w:r>
          </w:p>
        </w:tc>
        <w:tc>
          <w:tcPr>
            <w:tcW w:w="2580" w:type="dxa"/>
            <w:tcBorders>
              <w:top w:val="nil"/>
              <w:left w:val="nil"/>
              <w:bottom w:val="single" w:sz="4" w:space="0" w:color="auto"/>
              <w:right w:val="single" w:sz="4" w:space="0" w:color="auto"/>
            </w:tcBorders>
            <w:shd w:val="clear" w:color="000000" w:fill="FCE4D6"/>
            <w:noWrap/>
            <w:vAlign w:val="bottom"/>
            <w:hideMark/>
          </w:tcPr>
          <w:p w14:paraId="6EEB96D4"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161.4</w:t>
            </w:r>
          </w:p>
        </w:tc>
        <w:tc>
          <w:tcPr>
            <w:tcW w:w="2480" w:type="dxa"/>
            <w:tcBorders>
              <w:top w:val="nil"/>
              <w:left w:val="nil"/>
              <w:bottom w:val="single" w:sz="4" w:space="0" w:color="auto"/>
              <w:right w:val="single" w:sz="4" w:space="0" w:color="auto"/>
            </w:tcBorders>
            <w:shd w:val="clear" w:color="000000" w:fill="FCE4D6"/>
            <w:noWrap/>
            <w:vAlign w:val="bottom"/>
            <w:hideMark/>
          </w:tcPr>
          <w:p w14:paraId="5F063235"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3365</w:t>
            </w:r>
          </w:p>
        </w:tc>
        <w:tc>
          <w:tcPr>
            <w:tcW w:w="2020" w:type="dxa"/>
            <w:tcBorders>
              <w:top w:val="nil"/>
              <w:left w:val="nil"/>
              <w:bottom w:val="single" w:sz="4" w:space="0" w:color="auto"/>
              <w:right w:val="single" w:sz="4" w:space="0" w:color="auto"/>
            </w:tcBorders>
            <w:shd w:val="clear" w:color="000000" w:fill="FCE4D6"/>
            <w:noWrap/>
            <w:vAlign w:val="bottom"/>
            <w:hideMark/>
          </w:tcPr>
          <w:p w14:paraId="0BC10A60"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543,111 </w:t>
            </w:r>
          </w:p>
        </w:tc>
      </w:tr>
      <w:tr w:rsidR="00987DD9" w:rsidRPr="00456C7B" w14:paraId="24E7FC17"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FCE4D6"/>
            <w:noWrap/>
            <w:vAlign w:val="center"/>
            <w:hideMark/>
          </w:tcPr>
          <w:p w14:paraId="304D2DAB"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Pharmaceutical company producing medication</w:t>
            </w:r>
          </w:p>
        </w:tc>
        <w:tc>
          <w:tcPr>
            <w:tcW w:w="7080" w:type="dxa"/>
            <w:gridSpan w:val="3"/>
            <w:tcBorders>
              <w:top w:val="single" w:sz="4" w:space="0" w:color="auto"/>
              <w:left w:val="nil"/>
              <w:bottom w:val="single" w:sz="4" w:space="0" w:color="auto"/>
              <w:right w:val="single" w:sz="4" w:space="0" w:color="auto"/>
            </w:tcBorders>
            <w:shd w:val="clear" w:color="000000" w:fill="FCE4D6"/>
            <w:noWrap/>
            <w:vAlign w:val="bottom"/>
            <w:hideMark/>
          </w:tcPr>
          <w:p w14:paraId="1BDDBEA8" w14:textId="77777777" w:rsidR="00987DD9" w:rsidRPr="00456C7B" w:rsidRDefault="00987DD9" w:rsidP="00987DD9">
            <w:pPr>
              <w:spacing w:after="0" w:line="240" w:lineRule="auto"/>
              <w:jc w:val="center"/>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Mylan</w:t>
            </w:r>
          </w:p>
        </w:tc>
      </w:tr>
      <w:tr w:rsidR="00987DD9" w:rsidRPr="00456C7B" w14:paraId="05CA869D"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FCE4D6"/>
            <w:noWrap/>
            <w:vAlign w:val="center"/>
            <w:hideMark/>
          </w:tcPr>
          <w:p w14:paraId="72BEB5A6"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Total cost of DAA in hepatitis C treatment</w:t>
            </w:r>
          </w:p>
        </w:tc>
        <w:tc>
          <w:tcPr>
            <w:tcW w:w="7080" w:type="dxa"/>
            <w:gridSpan w:val="3"/>
            <w:tcBorders>
              <w:top w:val="single" w:sz="4" w:space="0" w:color="auto"/>
              <w:left w:val="nil"/>
              <w:bottom w:val="single" w:sz="4" w:space="0" w:color="auto"/>
              <w:right w:val="single" w:sz="4" w:space="0" w:color="auto"/>
            </w:tcBorders>
            <w:shd w:val="clear" w:color="000000" w:fill="FCE4D6"/>
            <w:noWrap/>
            <w:vAlign w:val="bottom"/>
            <w:hideMark/>
          </w:tcPr>
          <w:p w14:paraId="194BA375" w14:textId="77777777" w:rsidR="00987DD9" w:rsidRPr="00456C7B" w:rsidRDefault="00987DD9" w:rsidP="00987DD9">
            <w:pPr>
              <w:spacing w:after="0" w:line="240" w:lineRule="auto"/>
              <w:jc w:val="right"/>
              <w:rPr>
                <w:rFonts w:ascii="Calibri" w:eastAsia="Times New Roman" w:hAnsi="Calibri" w:cs="Calibri"/>
                <w:b/>
                <w:bCs/>
                <w:color w:val="000000"/>
                <w:sz w:val="20"/>
                <w:szCs w:val="20"/>
                <w:lang w:eastAsia="en-AU"/>
              </w:rPr>
            </w:pPr>
            <w:r w:rsidRPr="00456C7B">
              <w:rPr>
                <w:rFonts w:ascii="Calibri" w:eastAsia="Times New Roman" w:hAnsi="Calibri" w:cs="Calibri"/>
                <w:b/>
                <w:bCs/>
                <w:color w:val="000000"/>
                <w:sz w:val="20"/>
                <w:szCs w:val="20"/>
                <w:lang w:eastAsia="en-AU"/>
              </w:rPr>
              <w:t xml:space="preserve">                                                                                                                           1,640,664 </w:t>
            </w:r>
          </w:p>
        </w:tc>
      </w:tr>
      <w:tr w:rsidR="00987DD9" w:rsidRPr="00456C7B" w14:paraId="6501824D" w14:textId="77777777" w:rsidTr="00987DD9">
        <w:trPr>
          <w:trHeight w:val="290"/>
        </w:trPr>
        <w:tc>
          <w:tcPr>
            <w:tcW w:w="12880" w:type="dxa"/>
            <w:gridSpan w:val="4"/>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59AF6F9" w14:textId="77777777" w:rsidR="00987DD9" w:rsidRPr="00456C7B" w:rsidRDefault="00987DD9" w:rsidP="00987DD9">
            <w:pPr>
              <w:spacing w:after="0" w:line="240" w:lineRule="auto"/>
              <w:rPr>
                <w:rFonts w:ascii="Calibri" w:eastAsia="Times New Roman" w:hAnsi="Calibri" w:cs="Calibri"/>
                <w:b/>
                <w:bCs/>
                <w:color w:val="000000"/>
                <w:sz w:val="20"/>
                <w:szCs w:val="20"/>
                <w:lang w:eastAsia="en-AU"/>
              </w:rPr>
            </w:pPr>
            <w:r w:rsidRPr="00456C7B">
              <w:rPr>
                <w:rFonts w:ascii="Calibri" w:eastAsia="Times New Roman" w:hAnsi="Calibri" w:cs="Calibri"/>
                <w:b/>
                <w:bCs/>
                <w:color w:val="000000"/>
                <w:sz w:val="20"/>
                <w:szCs w:val="20"/>
                <w:lang w:eastAsia="en-AU"/>
              </w:rPr>
              <w:t>Scenario 2</w:t>
            </w:r>
          </w:p>
        </w:tc>
      </w:tr>
      <w:tr w:rsidR="00987DD9" w:rsidRPr="00456C7B" w14:paraId="4F920AD9"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E2EFDA"/>
            <w:noWrap/>
            <w:vAlign w:val="center"/>
            <w:hideMark/>
          </w:tcPr>
          <w:p w14:paraId="05F0A7A2"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SOF/LDV for genotype 1,2,4,6</w:t>
            </w:r>
          </w:p>
        </w:tc>
        <w:tc>
          <w:tcPr>
            <w:tcW w:w="2580" w:type="dxa"/>
            <w:tcBorders>
              <w:top w:val="nil"/>
              <w:left w:val="nil"/>
              <w:bottom w:val="single" w:sz="4" w:space="0" w:color="auto"/>
              <w:right w:val="single" w:sz="4" w:space="0" w:color="auto"/>
            </w:tcBorders>
            <w:shd w:val="clear" w:color="000000" w:fill="E2EFDA"/>
            <w:noWrap/>
            <w:vAlign w:val="bottom"/>
            <w:hideMark/>
          </w:tcPr>
          <w:p w14:paraId="7C5B954A"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5323</w:t>
            </w:r>
          </w:p>
        </w:tc>
        <w:tc>
          <w:tcPr>
            <w:tcW w:w="2480" w:type="dxa"/>
            <w:tcBorders>
              <w:top w:val="nil"/>
              <w:left w:val="nil"/>
              <w:bottom w:val="single" w:sz="4" w:space="0" w:color="auto"/>
              <w:right w:val="single" w:sz="4" w:space="0" w:color="auto"/>
            </w:tcBorders>
            <w:shd w:val="clear" w:color="000000" w:fill="E2EFDA"/>
            <w:noWrap/>
            <w:vAlign w:val="bottom"/>
            <w:hideMark/>
          </w:tcPr>
          <w:p w14:paraId="607B34DD"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1993</w:t>
            </w:r>
          </w:p>
        </w:tc>
        <w:tc>
          <w:tcPr>
            <w:tcW w:w="2020" w:type="dxa"/>
            <w:tcBorders>
              <w:top w:val="nil"/>
              <w:left w:val="nil"/>
              <w:bottom w:val="single" w:sz="4" w:space="0" w:color="auto"/>
              <w:right w:val="single" w:sz="4" w:space="0" w:color="auto"/>
            </w:tcBorders>
            <w:shd w:val="clear" w:color="000000" w:fill="E2EFDA"/>
            <w:noWrap/>
            <w:vAlign w:val="bottom"/>
            <w:hideMark/>
          </w:tcPr>
          <w:p w14:paraId="71A7DB39"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10,608,739 </w:t>
            </w:r>
          </w:p>
        </w:tc>
      </w:tr>
      <w:tr w:rsidR="00987DD9" w:rsidRPr="00456C7B" w14:paraId="4CFD1420"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E2EFDA"/>
            <w:noWrap/>
            <w:vAlign w:val="center"/>
            <w:hideMark/>
          </w:tcPr>
          <w:p w14:paraId="30B70B76"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SOF for genotype 3</w:t>
            </w:r>
          </w:p>
        </w:tc>
        <w:tc>
          <w:tcPr>
            <w:tcW w:w="2580" w:type="dxa"/>
            <w:tcBorders>
              <w:top w:val="nil"/>
              <w:left w:val="nil"/>
              <w:bottom w:val="single" w:sz="4" w:space="0" w:color="auto"/>
              <w:right w:val="single" w:sz="4" w:space="0" w:color="auto"/>
            </w:tcBorders>
            <w:shd w:val="clear" w:color="000000" w:fill="E2EFDA"/>
            <w:noWrap/>
            <w:vAlign w:val="bottom"/>
            <w:hideMark/>
          </w:tcPr>
          <w:p w14:paraId="793F8588"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4028</w:t>
            </w:r>
          </w:p>
        </w:tc>
        <w:tc>
          <w:tcPr>
            <w:tcW w:w="2480" w:type="dxa"/>
            <w:tcBorders>
              <w:top w:val="nil"/>
              <w:left w:val="nil"/>
              <w:bottom w:val="single" w:sz="4" w:space="0" w:color="auto"/>
              <w:right w:val="single" w:sz="4" w:space="0" w:color="auto"/>
            </w:tcBorders>
            <w:shd w:val="clear" w:color="000000" w:fill="E2EFDA"/>
            <w:noWrap/>
            <w:vAlign w:val="bottom"/>
            <w:hideMark/>
          </w:tcPr>
          <w:p w14:paraId="14F2A02E"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1372</w:t>
            </w:r>
          </w:p>
        </w:tc>
        <w:tc>
          <w:tcPr>
            <w:tcW w:w="2020" w:type="dxa"/>
            <w:tcBorders>
              <w:top w:val="nil"/>
              <w:left w:val="nil"/>
              <w:bottom w:val="single" w:sz="4" w:space="0" w:color="auto"/>
              <w:right w:val="single" w:sz="4" w:space="0" w:color="auto"/>
            </w:tcBorders>
            <w:shd w:val="clear" w:color="000000" w:fill="E2EFDA"/>
            <w:noWrap/>
            <w:vAlign w:val="bottom"/>
            <w:hideMark/>
          </w:tcPr>
          <w:p w14:paraId="3AF7BC3C"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5,526,416 </w:t>
            </w:r>
          </w:p>
        </w:tc>
      </w:tr>
      <w:tr w:rsidR="00987DD9" w:rsidRPr="00456C7B" w14:paraId="1AFB8D47"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E2EFDA"/>
            <w:noWrap/>
            <w:vAlign w:val="center"/>
            <w:hideMark/>
          </w:tcPr>
          <w:p w14:paraId="23F9F0A9"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Genotyping</w:t>
            </w:r>
          </w:p>
        </w:tc>
        <w:tc>
          <w:tcPr>
            <w:tcW w:w="2580" w:type="dxa"/>
            <w:tcBorders>
              <w:top w:val="nil"/>
              <w:left w:val="nil"/>
              <w:bottom w:val="single" w:sz="4" w:space="0" w:color="auto"/>
              <w:right w:val="single" w:sz="4" w:space="0" w:color="auto"/>
            </w:tcBorders>
            <w:shd w:val="clear" w:color="000000" w:fill="E2EFDA"/>
            <w:noWrap/>
            <w:vAlign w:val="bottom"/>
            <w:hideMark/>
          </w:tcPr>
          <w:p w14:paraId="46923F7D"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161.4</w:t>
            </w:r>
          </w:p>
        </w:tc>
        <w:tc>
          <w:tcPr>
            <w:tcW w:w="2480" w:type="dxa"/>
            <w:tcBorders>
              <w:top w:val="nil"/>
              <w:left w:val="nil"/>
              <w:bottom w:val="single" w:sz="4" w:space="0" w:color="auto"/>
              <w:right w:val="single" w:sz="4" w:space="0" w:color="auto"/>
            </w:tcBorders>
            <w:shd w:val="clear" w:color="000000" w:fill="E2EFDA"/>
            <w:noWrap/>
            <w:vAlign w:val="bottom"/>
            <w:hideMark/>
          </w:tcPr>
          <w:p w14:paraId="739A6BCF"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3365</w:t>
            </w:r>
          </w:p>
        </w:tc>
        <w:tc>
          <w:tcPr>
            <w:tcW w:w="2020" w:type="dxa"/>
            <w:tcBorders>
              <w:top w:val="nil"/>
              <w:left w:val="nil"/>
              <w:bottom w:val="single" w:sz="4" w:space="0" w:color="auto"/>
              <w:right w:val="single" w:sz="4" w:space="0" w:color="auto"/>
            </w:tcBorders>
            <w:shd w:val="clear" w:color="000000" w:fill="E2EFDA"/>
            <w:noWrap/>
            <w:vAlign w:val="bottom"/>
            <w:hideMark/>
          </w:tcPr>
          <w:p w14:paraId="0626D665"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543,111 </w:t>
            </w:r>
          </w:p>
        </w:tc>
      </w:tr>
      <w:tr w:rsidR="00987DD9" w:rsidRPr="00456C7B" w14:paraId="5CDCE5C9"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E2EFDA"/>
            <w:noWrap/>
            <w:vAlign w:val="center"/>
            <w:hideMark/>
          </w:tcPr>
          <w:p w14:paraId="3F679331"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Pharmaceutical company producing medication</w:t>
            </w:r>
          </w:p>
        </w:tc>
        <w:tc>
          <w:tcPr>
            <w:tcW w:w="7080" w:type="dxa"/>
            <w:gridSpan w:val="3"/>
            <w:tcBorders>
              <w:top w:val="single" w:sz="4" w:space="0" w:color="auto"/>
              <w:left w:val="nil"/>
              <w:bottom w:val="single" w:sz="4" w:space="0" w:color="auto"/>
              <w:right w:val="single" w:sz="4" w:space="0" w:color="auto"/>
            </w:tcBorders>
            <w:shd w:val="clear" w:color="000000" w:fill="E2EFDA"/>
            <w:noWrap/>
            <w:vAlign w:val="bottom"/>
            <w:hideMark/>
          </w:tcPr>
          <w:p w14:paraId="038693B3" w14:textId="77777777" w:rsidR="00987DD9" w:rsidRPr="00456C7B" w:rsidRDefault="00987DD9" w:rsidP="00987DD9">
            <w:pPr>
              <w:spacing w:after="0" w:line="240" w:lineRule="auto"/>
              <w:jc w:val="center"/>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Gilead</w:t>
            </w:r>
          </w:p>
        </w:tc>
      </w:tr>
      <w:tr w:rsidR="00987DD9" w:rsidRPr="00456C7B" w14:paraId="21D7A612" w14:textId="77777777" w:rsidTr="006C04B6">
        <w:trPr>
          <w:trHeight w:val="290"/>
        </w:trPr>
        <w:tc>
          <w:tcPr>
            <w:tcW w:w="5800" w:type="dxa"/>
            <w:tcBorders>
              <w:top w:val="nil"/>
              <w:left w:val="single" w:sz="4" w:space="0" w:color="auto"/>
              <w:bottom w:val="single" w:sz="4" w:space="0" w:color="auto"/>
              <w:right w:val="single" w:sz="4" w:space="0" w:color="auto"/>
            </w:tcBorders>
            <w:shd w:val="clear" w:color="000000" w:fill="E2EFDA"/>
            <w:noWrap/>
            <w:vAlign w:val="center"/>
            <w:hideMark/>
          </w:tcPr>
          <w:p w14:paraId="21682CDC"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Total cost of DAA in hepatitis C treatment</w:t>
            </w:r>
          </w:p>
        </w:tc>
        <w:tc>
          <w:tcPr>
            <w:tcW w:w="7080" w:type="dxa"/>
            <w:gridSpan w:val="3"/>
            <w:tcBorders>
              <w:top w:val="nil"/>
              <w:left w:val="nil"/>
              <w:bottom w:val="single" w:sz="4" w:space="0" w:color="auto"/>
              <w:right w:val="single" w:sz="4" w:space="0" w:color="auto"/>
            </w:tcBorders>
            <w:shd w:val="clear" w:color="000000" w:fill="E2EFDA"/>
            <w:noWrap/>
            <w:vAlign w:val="bottom"/>
            <w:hideMark/>
          </w:tcPr>
          <w:p w14:paraId="322A7502" w14:textId="597EBC95"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w:t>
            </w:r>
            <w:r w:rsidRPr="00456C7B">
              <w:rPr>
                <w:rFonts w:ascii="Calibri" w:eastAsia="Times New Roman" w:hAnsi="Calibri" w:cs="Calibri"/>
                <w:b/>
                <w:bCs/>
                <w:color w:val="000000"/>
                <w:sz w:val="20"/>
                <w:szCs w:val="20"/>
                <w:lang w:eastAsia="en-AU"/>
              </w:rPr>
              <w:t xml:space="preserve">  16,678,266 </w:t>
            </w:r>
          </w:p>
        </w:tc>
      </w:tr>
      <w:tr w:rsidR="00987DD9" w:rsidRPr="00456C7B" w14:paraId="5B8BE4E8" w14:textId="77777777" w:rsidTr="00987DD9">
        <w:trPr>
          <w:trHeight w:val="290"/>
        </w:trPr>
        <w:tc>
          <w:tcPr>
            <w:tcW w:w="12880" w:type="dxa"/>
            <w:gridSpan w:val="4"/>
            <w:tcBorders>
              <w:top w:val="single" w:sz="4" w:space="0" w:color="auto"/>
              <w:left w:val="single" w:sz="4" w:space="0" w:color="auto"/>
              <w:bottom w:val="single" w:sz="4" w:space="0" w:color="auto"/>
              <w:right w:val="single" w:sz="4" w:space="0" w:color="000000"/>
            </w:tcBorders>
            <w:shd w:val="clear" w:color="000000" w:fill="D9E1F2"/>
            <w:noWrap/>
            <w:vAlign w:val="bottom"/>
            <w:hideMark/>
          </w:tcPr>
          <w:p w14:paraId="690AB9EF" w14:textId="77777777" w:rsidR="00987DD9" w:rsidRPr="00456C7B" w:rsidRDefault="00987DD9" w:rsidP="00987DD9">
            <w:pPr>
              <w:spacing w:after="0" w:line="240" w:lineRule="auto"/>
              <w:rPr>
                <w:rFonts w:ascii="Calibri" w:eastAsia="Times New Roman" w:hAnsi="Calibri" w:cs="Calibri"/>
                <w:b/>
                <w:bCs/>
                <w:color w:val="000000"/>
                <w:sz w:val="20"/>
                <w:szCs w:val="20"/>
                <w:lang w:eastAsia="en-AU"/>
              </w:rPr>
            </w:pPr>
            <w:r w:rsidRPr="00456C7B">
              <w:rPr>
                <w:rFonts w:ascii="Calibri" w:eastAsia="Times New Roman" w:hAnsi="Calibri" w:cs="Calibri"/>
                <w:b/>
                <w:bCs/>
                <w:color w:val="000000"/>
                <w:sz w:val="20"/>
                <w:szCs w:val="20"/>
                <w:lang w:eastAsia="en-AU"/>
              </w:rPr>
              <w:t>Scenario 3</w:t>
            </w:r>
          </w:p>
        </w:tc>
      </w:tr>
      <w:tr w:rsidR="00987DD9" w:rsidRPr="00456C7B" w14:paraId="519D28D6"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D9E1F2"/>
            <w:noWrap/>
            <w:vAlign w:val="center"/>
            <w:hideMark/>
          </w:tcPr>
          <w:p w14:paraId="20D98561"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SOF/LDV for genotype 1,2,4,6</w:t>
            </w:r>
          </w:p>
        </w:tc>
        <w:tc>
          <w:tcPr>
            <w:tcW w:w="2580" w:type="dxa"/>
            <w:tcBorders>
              <w:top w:val="nil"/>
              <w:left w:val="nil"/>
              <w:bottom w:val="single" w:sz="4" w:space="0" w:color="auto"/>
              <w:right w:val="single" w:sz="4" w:space="0" w:color="auto"/>
            </w:tcBorders>
            <w:shd w:val="clear" w:color="000000" w:fill="D9E1F2"/>
            <w:noWrap/>
            <w:vAlign w:val="bottom"/>
            <w:hideMark/>
          </w:tcPr>
          <w:p w14:paraId="53DE9FB2"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120</w:t>
            </w:r>
          </w:p>
        </w:tc>
        <w:tc>
          <w:tcPr>
            <w:tcW w:w="2480" w:type="dxa"/>
            <w:tcBorders>
              <w:top w:val="nil"/>
              <w:left w:val="nil"/>
              <w:bottom w:val="single" w:sz="4" w:space="0" w:color="auto"/>
              <w:right w:val="single" w:sz="4" w:space="0" w:color="auto"/>
            </w:tcBorders>
            <w:shd w:val="clear" w:color="000000" w:fill="D9E1F2"/>
            <w:noWrap/>
            <w:vAlign w:val="bottom"/>
            <w:hideMark/>
          </w:tcPr>
          <w:p w14:paraId="1EA1581E"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1993</w:t>
            </w:r>
          </w:p>
        </w:tc>
        <w:tc>
          <w:tcPr>
            <w:tcW w:w="2020" w:type="dxa"/>
            <w:tcBorders>
              <w:top w:val="nil"/>
              <w:left w:val="nil"/>
              <w:bottom w:val="single" w:sz="4" w:space="0" w:color="auto"/>
              <w:right w:val="single" w:sz="4" w:space="0" w:color="auto"/>
            </w:tcBorders>
            <w:shd w:val="clear" w:color="000000" w:fill="D9E1F2"/>
            <w:noWrap/>
            <w:vAlign w:val="bottom"/>
            <w:hideMark/>
          </w:tcPr>
          <w:p w14:paraId="2EBE3251"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239,160 </w:t>
            </w:r>
          </w:p>
        </w:tc>
      </w:tr>
      <w:tr w:rsidR="00987DD9" w:rsidRPr="00456C7B" w14:paraId="394ABBFE"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D9E1F2"/>
            <w:noWrap/>
            <w:vAlign w:val="center"/>
            <w:hideMark/>
          </w:tcPr>
          <w:p w14:paraId="15348AA9"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SOF for genotype 3</w:t>
            </w:r>
          </w:p>
        </w:tc>
        <w:tc>
          <w:tcPr>
            <w:tcW w:w="2580" w:type="dxa"/>
            <w:tcBorders>
              <w:top w:val="nil"/>
              <w:left w:val="nil"/>
              <w:bottom w:val="single" w:sz="4" w:space="0" w:color="auto"/>
              <w:right w:val="single" w:sz="4" w:space="0" w:color="auto"/>
            </w:tcBorders>
            <w:shd w:val="clear" w:color="000000" w:fill="D9E1F2"/>
            <w:noWrap/>
            <w:vAlign w:val="bottom"/>
            <w:hideMark/>
          </w:tcPr>
          <w:p w14:paraId="1BB844F9"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60</w:t>
            </w:r>
          </w:p>
        </w:tc>
        <w:tc>
          <w:tcPr>
            <w:tcW w:w="2480" w:type="dxa"/>
            <w:tcBorders>
              <w:top w:val="nil"/>
              <w:left w:val="nil"/>
              <w:bottom w:val="single" w:sz="4" w:space="0" w:color="auto"/>
              <w:right w:val="single" w:sz="4" w:space="0" w:color="auto"/>
            </w:tcBorders>
            <w:shd w:val="clear" w:color="000000" w:fill="D9E1F2"/>
            <w:noWrap/>
            <w:vAlign w:val="bottom"/>
            <w:hideMark/>
          </w:tcPr>
          <w:p w14:paraId="073AB431"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1372</w:t>
            </w:r>
          </w:p>
        </w:tc>
        <w:tc>
          <w:tcPr>
            <w:tcW w:w="2020" w:type="dxa"/>
            <w:tcBorders>
              <w:top w:val="nil"/>
              <w:left w:val="nil"/>
              <w:bottom w:val="single" w:sz="4" w:space="0" w:color="auto"/>
              <w:right w:val="single" w:sz="4" w:space="0" w:color="auto"/>
            </w:tcBorders>
            <w:shd w:val="clear" w:color="000000" w:fill="D9E1F2"/>
            <w:noWrap/>
            <w:vAlign w:val="bottom"/>
            <w:hideMark/>
          </w:tcPr>
          <w:p w14:paraId="721F63F6"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82,320 </w:t>
            </w:r>
          </w:p>
        </w:tc>
      </w:tr>
      <w:tr w:rsidR="00987DD9" w:rsidRPr="00456C7B" w14:paraId="30078E86"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D9E1F2"/>
            <w:noWrap/>
            <w:vAlign w:val="center"/>
            <w:hideMark/>
          </w:tcPr>
          <w:p w14:paraId="031AE135"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Genotyping</w:t>
            </w:r>
          </w:p>
        </w:tc>
        <w:tc>
          <w:tcPr>
            <w:tcW w:w="2580" w:type="dxa"/>
            <w:tcBorders>
              <w:top w:val="nil"/>
              <w:left w:val="nil"/>
              <w:bottom w:val="single" w:sz="4" w:space="0" w:color="auto"/>
              <w:right w:val="single" w:sz="4" w:space="0" w:color="auto"/>
            </w:tcBorders>
            <w:shd w:val="clear" w:color="000000" w:fill="D9E1F2"/>
            <w:noWrap/>
            <w:vAlign w:val="bottom"/>
            <w:hideMark/>
          </w:tcPr>
          <w:p w14:paraId="393E713E"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161.4</w:t>
            </w:r>
          </w:p>
        </w:tc>
        <w:tc>
          <w:tcPr>
            <w:tcW w:w="2480" w:type="dxa"/>
            <w:tcBorders>
              <w:top w:val="nil"/>
              <w:left w:val="nil"/>
              <w:bottom w:val="single" w:sz="4" w:space="0" w:color="auto"/>
              <w:right w:val="single" w:sz="4" w:space="0" w:color="auto"/>
            </w:tcBorders>
            <w:shd w:val="clear" w:color="000000" w:fill="D9E1F2"/>
            <w:noWrap/>
            <w:vAlign w:val="bottom"/>
            <w:hideMark/>
          </w:tcPr>
          <w:p w14:paraId="2B8B19D7"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3365</w:t>
            </w:r>
          </w:p>
        </w:tc>
        <w:tc>
          <w:tcPr>
            <w:tcW w:w="2020" w:type="dxa"/>
            <w:tcBorders>
              <w:top w:val="nil"/>
              <w:left w:val="nil"/>
              <w:bottom w:val="single" w:sz="4" w:space="0" w:color="auto"/>
              <w:right w:val="single" w:sz="4" w:space="0" w:color="auto"/>
            </w:tcBorders>
            <w:shd w:val="clear" w:color="000000" w:fill="D9E1F2"/>
            <w:noWrap/>
            <w:vAlign w:val="bottom"/>
            <w:hideMark/>
          </w:tcPr>
          <w:p w14:paraId="126B0E12"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543,111 </w:t>
            </w:r>
          </w:p>
        </w:tc>
      </w:tr>
      <w:tr w:rsidR="00987DD9" w:rsidRPr="00456C7B" w14:paraId="352329C3" w14:textId="77777777" w:rsidTr="00987DD9">
        <w:trPr>
          <w:trHeight w:val="310"/>
        </w:trPr>
        <w:tc>
          <w:tcPr>
            <w:tcW w:w="5800" w:type="dxa"/>
            <w:tcBorders>
              <w:top w:val="nil"/>
              <w:left w:val="single" w:sz="4" w:space="0" w:color="auto"/>
              <w:bottom w:val="single" w:sz="4" w:space="0" w:color="auto"/>
              <w:right w:val="single" w:sz="4" w:space="0" w:color="auto"/>
            </w:tcBorders>
            <w:shd w:val="clear" w:color="000000" w:fill="D9E1F2"/>
            <w:noWrap/>
            <w:vAlign w:val="center"/>
            <w:hideMark/>
          </w:tcPr>
          <w:p w14:paraId="2CF3772F"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Pharmaceutical company producing medication</w:t>
            </w:r>
          </w:p>
        </w:tc>
        <w:tc>
          <w:tcPr>
            <w:tcW w:w="7080" w:type="dxa"/>
            <w:gridSpan w:val="3"/>
            <w:tcBorders>
              <w:top w:val="single" w:sz="4" w:space="0" w:color="auto"/>
              <w:left w:val="nil"/>
              <w:bottom w:val="single" w:sz="4" w:space="0" w:color="auto"/>
              <w:right w:val="single" w:sz="4" w:space="0" w:color="auto"/>
            </w:tcBorders>
            <w:shd w:val="clear" w:color="000000" w:fill="D9E1F2"/>
            <w:vAlign w:val="center"/>
            <w:hideMark/>
          </w:tcPr>
          <w:p w14:paraId="13300B03" w14:textId="77777777" w:rsidR="00987DD9" w:rsidRPr="00456C7B" w:rsidRDefault="00987DD9" w:rsidP="00987DD9">
            <w:pPr>
              <w:spacing w:after="0" w:line="240" w:lineRule="auto"/>
              <w:jc w:val="center"/>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Mylan, Hetero and Strides </w:t>
            </w:r>
            <w:proofErr w:type="spellStart"/>
            <w:r w:rsidRPr="00456C7B">
              <w:rPr>
                <w:rFonts w:ascii="Calibri" w:eastAsia="Times New Roman" w:hAnsi="Calibri" w:cs="Calibri"/>
                <w:color w:val="000000"/>
                <w:sz w:val="20"/>
                <w:szCs w:val="20"/>
                <w:lang w:eastAsia="en-AU"/>
              </w:rPr>
              <w:t>Shasun</w:t>
            </w:r>
            <w:proofErr w:type="spellEnd"/>
            <w:r w:rsidRPr="00456C7B">
              <w:rPr>
                <w:rFonts w:ascii="Calibri" w:eastAsia="Times New Roman" w:hAnsi="Calibri" w:cs="Calibri"/>
                <w:color w:val="000000"/>
                <w:sz w:val="20"/>
                <w:szCs w:val="20"/>
                <w:lang w:eastAsia="en-AU"/>
              </w:rPr>
              <w:t xml:space="preserve"> </w:t>
            </w:r>
          </w:p>
        </w:tc>
      </w:tr>
      <w:tr w:rsidR="00987DD9" w:rsidRPr="00456C7B" w14:paraId="0E68DB02" w14:textId="77777777" w:rsidTr="00227EBB">
        <w:trPr>
          <w:trHeight w:val="290"/>
        </w:trPr>
        <w:tc>
          <w:tcPr>
            <w:tcW w:w="5800" w:type="dxa"/>
            <w:tcBorders>
              <w:top w:val="nil"/>
              <w:left w:val="single" w:sz="4" w:space="0" w:color="auto"/>
              <w:bottom w:val="single" w:sz="4" w:space="0" w:color="auto"/>
              <w:right w:val="single" w:sz="4" w:space="0" w:color="auto"/>
            </w:tcBorders>
            <w:shd w:val="clear" w:color="000000" w:fill="D9E1F2"/>
            <w:noWrap/>
            <w:vAlign w:val="center"/>
            <w:hideMark/>
          </w:tcPr>
          <w:p w14:paraId="2105F61C"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Total cost of DAA in hepatitis C treatment</w:t>
            </w:r>
          </w:p>
        </w:tc>
        <w:tc>
          <w:tcPr>
            <w:tcW w:w="7080" w:type="dxa"/>
            <w:gridSpan w:val="3"/>
            <w:tcBorders>
              <w:top w:val="nil"/>
              <w:left w:val="nil"/>
              <w:bottom w:val="single" w:sz="4" w:space="0" w:color="auto"/>
              <w:right w:val="single" w:sz="4" w:space="0" w:color="auto"/>
            </w:tcBorders>
            <w:shd w:val="clear" w:color="000000" w:fill="D9E1F2"/>
            <w:noWrap/>
            <w:vAlign w:val="bottom"/>
            <w:hideMark/>
          </w:tcPr>
          <w:p w14:paraId="2BF26DBE" w14:textId="282D9A05" w:rsidR="00987DD9" w:rsidRPr="00456C7B" w:rsidRDefault="00987DD9" w:rsidP="00987DD9">
            <w:pPr>
              <w:spacing w:after="0" w:line="240" w:lineRule="auto"/>
              <w:jc w:val="right"/>
              <w:rPr>
                <w:rFonts w:ascii="Calibri" w:eastAsia="Times New Roman" w:hAnsi="Calibri" w:cs="Calibri"/>
                <w:b/>
                <w:bCs/>
                <w:color w:val="000000"/>
                <w:sz w:val="20"/>
                <w:szCs w:val="20"/>
                <w:lang w:eastAsia="en-AU"/>
              </w:rPr>
            </w:pPr>
            <w:r w:rsidRPr="00456C7B">
              <w:rPr>
                <w:rFonts w:ascii="Calibri" w:eastAsia="Times New Roman" w:hAnsi="Calibri" w:cs="Calibri"/>
                <w:b/>
                <w:bCs/>
                <w:color w:val="000000"/>
                <w:sz w:val="20"/>
                <w:szCs w:val="20"/>
                <w:lang w:eastAsia="en-AU"/>
              </w:rPr>
              <w:t xml:space="preserve">                         864,591 </w:t>
            </w:r>
          </w:p>
        </w:tc>
      </w:tr>
      <w:tr w:rsidR="00987DD9" w:rsidRPr="00456C7B" w14:paraId="7B57D4FE" w14:textId="77777777" w:rsidTr="00987DD9">
        <w:trPr>
          <w:trHeight w:val="290"/>
        </w:trPr>
        <w:tc>
          <w:tcPr>
            <w:tcW w:w="12880" w:type="dxa"/>
            <w:gridSpan w:val="4"/>
            <w:tcBorders>
              <w:top w:val="single" w:sz="4" w:space="0" w:color="auto"/>
              <w:left w:val="single" w:sz="4" w:space="0" w:color="auto"/>
              <w:bottom w:val="single" w:sz="4" w:space="0" w:color="auto"/>
              <w:right w:val="single" w:sz="4" w:space="0" w:color="000000"/>
            </w:tcBorders>
            <w:shd w:val="clear" w:color="000000" w:fill="FFF2CC"/>
            <w:noWrap/>
            <w:vAlign w:val="bottom"/>
            <w:hideMark/>
          </w:tcPr>
          <w:p w14:paraId="67A68C0E" w14:textId="77777777" w:rsidR="00987DD9" w:rsidRPr="00456C7B" w:rsidRDefault="00987DD9" w:rsidP="00987DD9">
            <w:pPr>
              <w:spacing w:after="0" w:line="240" w:lineRule="auto"/>
              <w:rPr>
                <w:rFonts w:ascii="Calibri" w:eastAsia="Times New Roman" w:hAnsi="Calibri" w:cs="Calibri"/>
                <w:b/>
                <w:bCs/>
                <w:color w:val="000000"/>
                <w:sz w:val="20"/>
                <w:szCs w:val="20"/>
                <w:lang w:eastAsia="en-AU"/>
              </w:rPr>
            </w:pPr>
            <w:r w:rsidRPr="00456C7B">
              <w:rPr>
                <w:rFonts w:ascii="Calibri" w:eastAsia="Times New Roman" w:hAnsi="Calibri" w:cs="Calibri"/>
                <w:b/>
                <w:bCs/>
                <w:color w:val="000000"/>
                <w:sz w:val="20"/>
                <w:szCs w:val="20"/>
                <w:lang w:eastAsia="en-AU"/>
              </w:rPr>
              <w:t>Scenario 4</w:t>
            </w:r>
          </w:p>
        </w:tc>
      </w:tr>
      <w:tr w:rsidR="00987DD9" w:rsidRPr="00456C7B" w14:paraId="35A077EE"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FFF2CC"/>
            <w:noWrap/>
            <w:vAlign w:val="center"/>
            <w:hideMark/>
          </w:tcPr>
          <w:p w14:paraId="7393014B"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SOF/VEL for all genotypes </w:t>
            </w:r>
          </w:p>
        </w:tc>
        <w:tc>
          <w:tcPr>
            <w:tcW w:w="2580" w:type="dxa"/>
            <w:tcBorders>
              <w:top w:val="nil"/>
              <w:left w:val="nil"/>
              <w:bottom w:val="single" w:sz="4" w:space="0" w:color="auto"/>
              <w:right w:val="single" w:sz="4" w:space="0" w:color="auto"/>
            </w:tcBorders>
            <w:shd w:val="clear" w:color="000000" w:fill="FFF2CC"/>
            <w:noWrap/>
            <w:vAlign w:val="bottom"/>
            <w:hideMark/>
          </w:tcPr>
          <w:p w14:paraId="69A57F2C"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150</w:t>
            </w:r>
          </w:p>
        </w:tc>
        <w:tc>
          <w:tcPr>
            <w:tcW w:w="2480" w:type="dxa"/>
            <w:tcBorders>
              <w:top w:val="nil"/>
              <w:left w:val="nil"/>
              <w:bottom w:val="single" w:sz="4" w:space="0" w:color="auto"/>
              <w:right w:val="single" w:sz="4" w:space="0" w:color="auto"/>
            </w:tcBorders>
            <w:shd w:val="clear" w:color="000000" w:fill="FFF2CC"/>
            <w:noWrap/>
            <w:vAlign w:val="bottom"/>
            <w:hideMark/>
          </w:tcPr>
          <w:p w14:paraId="0D0CAE9A" w14:textId="77777777"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3365</w:t>
            </w:r>
          </w:p>
        </w:tc>
        <w:tc>
          <w:tcPr>
            <w:tcW w:w="2020" w:type="dxa"/>
            <w:tcBorders>
              <w:top w:val="nil"/>
              <w:left w:val="nil"/>
              <w:bottom w:val="single" w:sz="4" w:space="0" w:color="auto"/>
              <w:right w:val="single" w:sz="4" w:space="0" w:color="auto"/>
            </w:tcBorders>
            <w:shd w:val="clear" w:color="000000" w:fill="FFF2CC"/>
            <w:noWrap/>
            <w:vAlign w:val="bottom"/>
            <w:hideMark/>
          </w:tcPr>
          <w:p w14:paraId="3A9307D6"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xml:space="preserve">                         504,750 </w:t>
            </w:r>
          </w:p>
        </w:tc>
      </w:tr>
      <w:tr w:rsidR="00987DD9" w:rsidRPr="00456C7B" w14:paraId="33209829" w14:textId="77777777" w:rsidTr="00987DD9">
        <w:trPr>
          <w:trHeight w:val="290"/>
        </w:trPr>
        <w:tc>
          <w:tcPr>
            <w:tcW w:w="5800" w:type="dxa"/>
            <w:tcBorders>
              <w:top w:val="nil"/>
              <w:left w:val="single" w:sz="4" w:space="0" w:color="auto"/>
              <w:bottom w:val="single" w:sz="4" w:space="0" w:color="auto"/>
              <w:right w:val="single" w:sz="4" w:space="0" w:color="auto"/>
            </w:tcBorders>
            <w:shd w:val="clear" w:color="000000" w:fill="FFF2CC"/>
            <w:noWrap/>
            <w:vAlign w:val="center"/>
            <w:hideMark/>
          </w:tcPr>
          <w:p w14:paraId="6825C179"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Pharmaceutical company producing medication</w:t>
            </w:r>
          </w:p>
        </w:tc>
        <w:tc>
          <w:tcPr>
            <w:tcW w:w="7080" w:type="dxa"/>
            <w:gridSpan w:val="3"/>
            <w:tcBorders>
              <w:top w:val="single" w:sz="4" w:space="0" w:color="auto"/>
              <w:left w:val="nil"/>
              <w:bottom w:val="single" w:sz="4" w:space="0" w:color="auto"/>
              <w:right w:val="single" w:sz="4" w:space="0" w:color="000000"/>
            </w:tcBorders>
            <w:shd w:val="clear" w:color="000000" w:fill="FFF2CC"/>
            <w:noWrap/>
            <w:vAlign w:val="bottom"/>
            <w:hideMark/>
          </w:tcPr>
          <w:p w14:paraId="0B7C1AE6" w14:textId="77777777" w:rsidR="00987DD9" w:rsidRPr="00456C7B" w:rsidRDefault="00987DD9" w:rsidP="00987DD9">
            <w:pPr>
              <w:spacing w:after="0" w:line="240" w:lineRule="auto"/>
              <w:jc w:val="center"/>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Mylan</w:t>
            </w:r>
          </w:p>
        </w:tc>
      </w:tr>
      <w:tr w:rsidR="00987DD9" w:rsidRPr="00456C7B" w14:paraId="0758387F" w14:textId="77777777" w:rsidTr="00987DD9">
        <w:trPr>
          <w:trHeight w:val="78"/>
        </w:trPr>
        <w:tc>
          <w:tcPr>
            <w:tcW w:w="5800" w:type="dxa"/>
            <w:tcBorders>
              <w:top w:val="nil"/>
              <w:left w:val="single" w:sz="4" w:space="0" w:color="auto"/>
              <w:bottom w:val="single" w:sz="4" w:space="0" w:color="auto"/>
              <w:right w:val="single" w:sz="4" w:space="0" w:color="auto"/>
            </w:tcBorders>
            <w:shd w:val="clear" w:color="000000" w:fill="FFF2CC"/>
            <w:vAlign w:val="center"/>
            <w:hideMark/>
          </w:tcPr>
          <w:p w14:paraId="047A35FD" w14:textId="77777777" w:rsidR="00987DD9" w:rsidRPr="00456C7B" w:rsidRDefault="00987DD9" w:rsidP="00987DD9">
            <w:pPr>
              <w:spacing w:after="0" w:line="240" w:lineRule="auto"/>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Total cost of DAA in hepatitis C treatment</w:t>
            </w:r>
          </w:p>
        </w:tc>
        <w:tc>
          <w:tcPr>
            <w:tcW w:w="7080" w:type="dxa"/>
            <w:gridSpan w:val="3"/>
            <w:tcBorders>
              <w:top w:val="nil"/>
              <w:left w:val="nil"/>
              <w:bottom w:val="single" w:sz="4" w:space="0" w:color="auto"/>
              <w:right w:val="single" w:sz="4" w:space="0" w:color="auto"/>
            </w:tcBorders>
            <w:shd w:val="clear" w:color="000000" w:fill="FFF2CC"/>
            <w:vAlign w:val="bottom"/>
            <w:hideMark/>
          </w:tcPr>
          <w:p w14:paraId="334C0B3F" w14:textId="7877F5AE" w:rsidR="00987DD9" w:rsidRPr="00456C7B" w:rsidRDefault="00987DD9" w:rsidP="00987DD9">
            <w:pPr>
              <w:spacing w:after="0" w:line="240" w:lineRule="auto"/>
              <w:jc w:val="right"/>
              <w:rPr>
                <w:rFonts w:ascii="Calibri" w:eastAsia="Times New Roman" w:hAnsi="Calibri" w:cs="Calibri"/>
                <w:color w:val="000000"/>
                <w:sz w:val="20"/>
                <w:szCs w:val="20"/>
                <w:lang w:eastAsia="en-AU"/>
              </w:rPr>
            </w:pPr>
            <w:r w:rsidRPr="00456C7B">
              <w:rPr>
                <w:rFonts w:ascii="Calibri" w:eastAsia="Times New Roman" w:hAnsi="Calibri" w:cs="Calibri"/>
                <w:color w:val="000000"/>
                <w:sz w:val="20"/>
                <w:szCs w:val="20"/>
                <w:lang w:eastAsia="en-AU"/>
              </w:rPr>
              <w:t> </w:t>
            </w:r>
            <w:r w:rsidRPr="00456C7B">
              <w:rPr>
                <w:rFonts w:ascii="Calibri" w:eastAsia="Times New Roman" w:hAnsi="Calibri" w:cs="Calibri"/>
                <w:b/>
                <w:bCs/>
                <w:color w:val="000000"/>
                <w:sz w:val="20"/>
                <w:szCs w:val="20"/>
                <w:lang w:eastAsia="en-AU"/>
              </w:rPr>
              <w:t xml:space="preserve">                         504,750 </w:t>
            </w:r>
          </w:p>
        </w:tc>
      </w:tr>
    </w:tbl>
    <w:p w14:paraId="0F5EFF80" w14:textId="58A94EEA" w:rsidR="00987DD9" w:rsidRPr="00456C7B" w:rsidRDefault="00987DD9" w:rsidP="00EA6F50">
      <w:pPr>
        <w:spacing w:line="360" w:lineRule="auto"/>
        <w:jc w:val="both"/>
        <w:sectPr w:rsidR="00987DD9" w:rsidRPr="00456C7B" w:rsidSect="001A6E93">
          <w:pgSz w:w="16838" w:h="11906" w:orient="landscape"/>
          <w:pgMar w:top="1440" w:right="1440" w:bottom="1440" w:left="1440" w:header="709" w:footer="709" w:gutter="0"/>
          <w:cols w:space="708"/>
          <w:docGrid w:linePitch="360"/>
        </w:sectPr>
      </w:pPr>
    </w:p>
    <w:p w14:paraId="5352806A" w14:textId="07E7B82E" w:rsidR="001C7104" w:rsidRPr="00456C7B" w:rsidRDefault="00ED3A63" w:rsidP="00EA6F50">
      <w:pPr>
        <w:spacing w:line="360" w:lineRule="auto"/>
        <w:jc w:val="both"/>
      </w:pPr>
      <w:r w:rsidRPr="00456C7B">
        <w:lastRenderedPageBreak/>
        <w:t xml:space="preserve">Scenario </w:t>
      </w:r>
      <w:r w:rsidR="00C373F8" w:rsidRPr="00456C7B">
        <w:t>4</w:t>
      </w:r>
      <w:r w:rsidRPr="00456C7B">
        <w:t xml:space="preserve"> </w:t>
      </w:r>
      <w:r w:rsidR="00451510" w:rsidRPr="00456C7B">
        <w:t>(t</w:t>
      </w:r>
      <w:r w:rsidR="00C30416" w:rsidRPr="00456C7B">
        <w:t>he l</w:t>
      </w:r>
      <w:r w:rsidR="00C373F8" w:rsidRPr="00456C7B">
        <w:t>owest price generic WHO recommended pan-genotypic regime</w:t>
      </w:r>
      <w:r w:rsidR="00451510" w:rsidRPr="00456C7B">
        <w:t>)</w:t>
      </w:r>
      <w:r w:rsidR="00DF19AC" w:rsidRPr="00456C7B">
        <w:t xml:space="preserve"> is the </w:t>
      </w:r>
      <w:r w:rsidR="004C7379" w:rsidRPr="00456C7B">
        <w:t>lowest cost</w:t>
      </w:r>
      <w:r w:rsidR="00C30416" w:rsidRPr="00456C7B">
        <w:t xml:space="preserve"> </w:t>
      </w:r>
      <w:r w:rsidR="00DF19AC" w:rsidRPr="00456C7B">
        <w:t xml:space="preserve">scenario at </w:t>
      </w:r>
      <w:r w:rsidR="00DF5485" w:rsidRPr="00456C7B">
        <w:t>US</w:t>
      </w:r>
      <w:r w:rsidR="00DF19AC" w:rsidRPr="00456C7B">
        <w:t>$</w:t>
      </w:r>
      <w:r w:rsidR="0070736E" w:rsidRPr="00456C7B">
        <w:t>504,750</w:t>
      </w:r>
      <w:r w:rsidR="00DF19AC" w:rsidRPr="00456C7B">
        <w:t xml:space="preserve">. This is </w:t>
      </w:r>
      <w:r w:rsidR="009C2CDC" w:rsidRPr="00456C7B">
        <w:t xml:space="preserve">approximately </w:t>
      </w:r>
      <w:r w:rsidR="0070736E" w:rsidRPr="00456C7B">
        <w:t>three</w:t>
      </w:r>
      <w:r w:rsidR="009C2CDC" w:rsidRPr="00456C7B">
        <w:t xml:space="preserve"> times </w:t>
      </w:r>
      <w:r w:rsidR="00C30416" w:rsidRPr="00456C7B">
        <w:t xml:space="preserve">less expensive </w:t>
      </w:r>
      <w:r w:rsidR="009C2CDC" w:rsidRPr="00456C7B">
        <w:t xml:space="preserve">than the </w:t>
      </w:r>
      <w:r w:rsidR="00346FAE" w:rsidRPr="00456C7B">
        <w:t xml:space="preserve">baseline </w:t>
      </w:r>
      <w:r w:rsidR="009C2CDC" w:rsidRPr="00456C7B">
        <w:t xml:space="preserve">cost of </w:t>
      </w:r>
      <w:r w:rsidR="00E77A57" w:rsidRPr="00456C7B">
        <w:t xml:space="preserve">DAA </w:t>
      </w:r>
      <w:r w:rsidR="009C2CDC" w:rsidRPr="00456C7B">
        <w:t xml:space="preserve">treatment in Thailand outlined in </w:t>
      </w:r>
      <w:r w:rsidR="004C7379" w:rsidRPr="00456C7B">
        <w:t>S</w:t>
      </w:r>
      <w:r w:rsidR="009C2CDC" w:rsidRPr="00456C7B">
        <w:t xml:space="preserve">cenario 1. </w:t>
      </w:r>
      <w:r w:rsidR="00EA0304" w:rsidRPr="00456C7B">
        <w:t>Scenario 2</w:t>
      </w:r>
      <w:r w:rsidR="00DF5485" w:rsidRPr="00456C7B">
        <w:t xml:space="preserve"> </w:t>
      </w:r>
      <w:r w:rsidR="005B6F6D" w:rsidRPr="00456C7B">
        <w:t>(</w:t>
      </w:r>
      <w:r w:rsidR="00EA0304" w:rsidRPr="00456C7B">
        <w:t xml:space="preserve">Thailand joins CPTPP </w:t>
      </w:r>
      <w:r w:rsidR="005B6F6D" w:rsidRPr="00456C7B">
        <w:t xml:space="preserve">and </w:t>
      </w:r>
      <w:r w:rsidR="00EA0304" w:rsidRPr="00456C7B">
        <w:t>suspended clauses are reinstated)</w:t>
      </w:r>
      <w:r w:rsidR="005C2913" w:rsidRPr="00456C7B">
        <w:t xml:space="preserve"> is the most expensive scenario </w:t>
      </w:r>
      <w:r w:rsidR="00B34B93" w:rsidRPr="00456C7B">
        <w:t>and</w:t>
      </w:r>
      <w:r w:rsidR="00B65C9D" w:rsidRPr="00456C7B">
        <w:t xml:space="preserve"> </w:t>
      </w:r>
      <w:r w:rsidR="00897554" w:rsidRPr="00456C7B">
        <w:t xml:space="preserve">more than </w:t>
      </w:r>
      <w:r w:rsidR="001900B5" w:rsidRPr="00456C7B">
        <w:t>ten</w:t>
      </w:r>
      <w:r w:rsidR="00E77A57" w:rsidRPr="00456C7B">
        <w:t xml:space="preserve"> times the cost of the </w:t>
      </w:r>
      <w:r w:rsidR="00AB2E22" w:rsidRPr="00456C7B">
        <w:t>baseline</w:t>
      </w:r>
      <w:r w:rsidR="00E77A57" w:rsidRPr="00456C7B">
        <w:t xml:space="preserve"> DAA treatment program. </w:t>
      </w:r>
      <w:r w:rsidR="00A34CAF" w:rsidRPr="00456C7B">
        <w:t xml:space="preserve">Despite </w:t>
      </w:r>
      <w:r w:rsidR="004C7379" w:rsidRPr="00456C7B">
        <w:t>S</w:t>
      </w:r>
      <w:r w:rsidR="00A34CAF" w:rsidRPr="00456C7B">
        <w:t xml:space="preserve">cenario 3 making use of TRIPS flexibilities, it is not the cheapest option as it uses a non-genotypic regime and therefore </w:t>
      </w:r>
      <w:proofErr w:type="gramStart"/>
      <w:r w:rsidR="00A34CAF" w:rsidRPr="00456C7B">
        <w:t>has to</w:t>
      </w:r>
      <w:proofErr w:type="gramEnd"/>
      <w:r w:rsidR="00A34CAF" w:rsidRPr="00456C7B">
        <w:t xml:space="preserve"> include the cost of genotype testing. Scenario 3 is however</w:t>
      </w:r>
      <w:r w:rsidR="003D1144" w:rsidRPr="00456C7B">
        <w:t>,</w:t>
      </w:r>
      <w:r w:rsidR="00A34CAF" w:rsidRPr="00456C7B">
        <w:t xml:space="preserve"> less expensive than </w:t>
      </w:r>
      <w:r w:rsidR="004C7379" w:rsidRPr="00456C7B">
        <w:t xml:space="preserve">the </w:t>
      </w:r>
      <w:r w:rsidR="00A34CAF" w:rsidRPr="00456C7B">
        <w:t xml:space="preserve">baseline </w:t>
      </w:r>
      <w:r w:rsidR="003D1144" w:rsidRPr="00456C7B">
        <w:t>in S</w:t>
      </w:r>
      <w:r w:rsidR="00A34CAF" w:rsidRPr="00456C7B">
        <w:t>cenario</w:t>
      </w:r>
      <w:r w:rsidR="003D1144" w:rsidRPr="00456C7B">
        <w:t xml:space="preserve"> 1</w:t>
      </w:r>
      <w:r w:rsidR="00A34CAF" w:rsidRPr="00456C7B">
        <w:t xml:space="preserve">. </w:t>
      </w:r>
      <w:r w:rsidR="000C73BB" w:rsidRPr="00456C7B">
        <w:t xml:space="preserve">Scenario 4 is </w:t>
      </w:r>
      <w:r w:rsidR="003D1144" w:rsidRPr="00456C7B">
        <w:t xml:space="preserve">the cheapest option and </w:t>
      </w:r>
      <w:r w:rsidR="00CC4F13" w:rsidRPr="00456C7B">
        <w:t xml:space="preserve">an </w:t>
      </w:r>
      <w:r w:rsidR="001900B5" w:rsidRPr="00456C7B">
        <w:t xml:space="preserve">even </w:t>
      </w:r>
      <w:r w:rsidR="00C30416" w:rsidRPr="00456C7B">
        <w:t xml:space="preserve">less expensive </w:t>
      </w:r>
      <w:r w:rsidR="000C73BB" w:rsidRPr="00456C7B">
        <w:t xml:space="preserve">option for Thailand </w:t>
      </w:r>
      <w:r w:rsidR="00F46C0F" w:rsidRPr="00456C7B">
        <w:t xml:space="preserve">than </w:t>
      </w:r>
      <w:r w:rsidR="004C7379" w:rsidRPr="00456C7B">
        <w:t>it appears</w:t>
      </w:r>
      <w:r w:rsidR="00F46C0F" w:rsidRPr="00456C7B">
        <w:t xml:space="preserve"> </w:t>
      </w:r>
      <w:r w:rsidR="000C73BB" w:rsidRPr="00456C7B">
        <w:t xml:space="preserve">given it measures the full cost of hepatitis C treatment and not only the partial cost. This </w:t>
      </w:r>
      <w:r w:rsidR="00DF5485" w:rsidRPr="00456C7B">
        <w:t xml:space="preserve">difference </w:t>
      </w:r>
      <w:r w:rsidR="000C73BB" w:rsidRPr="00456C7B">
        <w:t>is because scenario</w:t>
      </w:r>
      <w:r w:rsidR="00C30416" w:rsidRPr="00456C7B">
        <w:t>s</w:t>
      </w:r>
      <w:r w:rsidR="000C73BB" w:rsidRPr="00456C7B">
        <w:t xml:space="preserve"> 1-3 only cost the DAA component and not the pegylated </w:t>
      </w:r>
      <w:r w:rsidR="00E95668" w:rsidRPr="00456C7B">
        <w:t>interferon/ribavirin component in use.</w:t>
      </w:r>
      <w:r w:rsidR="00CC4F13" w:rsidRPr="00456C7B">
        <w:t xml:space="preserve"> </w:t>
      </w:r>
      <w:r w:rsidR="00C30416" w:rsidRPr="00456C7B">
        <w:t>T</w:t>
      </w:r>
      <w:r w:rsidR="00E147B7" w:rsidRPr="00456C7B">
        <w:t xml:space="preserve">he budget of </w:t>
      </w:r>
      <w:r w:rsidR="00DF5485" w:rsidRPr="00456C7B">
        <w:t>US$</w:t>
      </w:r>
      <w:r w:rsidR="00C0167A" w:rsidRPr="00456C7B">
        <w:t>1,640,644</w:t>
      </w:r>
      <w:r w:rsidR="00E147B7" w:rsidRPr="00456C7B">
        <w:t xml:space="preserve"> outlined in scenario 1</w:t>
      </w:r>
      <w:r w:rsidR="00131D88" w:rsidRPr="00456C7B">
        <w:t>,</w:t>
      </w:r>
      <w:r w:rsidR="00E147B7" w:rsidRPr="00456C7B">
        <w:t xml:space="preserve"> and the price</w:t>
      </w:r>
      <w:r w:rsidR="0031792D" w:rsidRPr="00456C7B">
        <w:t xml:space="preserve"> and regime outlined in scenario 4</w:t>
      </w:r>
      <w:r w:rsidR="00131D88" w:rsidRPr="00456C7B">
        <w:t>,</w:t>
      </w:r>
      <w:r w:rsidR="0031792D" w:rsidRPr="00456C7B">
        <w:t xml:space="preserve"> would </w:t>
      </w:r>
      <w:r w:rsidR="00E7325B" w:rsidRPr="00456C7B">
        <w:t xml:space="preserve">fund an additional </w:t>
      </w:r>
      <w:r w:rsidR="008729B0" w:rsidRPr="00456C7B">
        <w:t>7,571</w:t>
      </w:r>
      <w:r w:rsidR="00E7325B" w:rsidRPr="00456C7B">
        <w:t xml:space="preserve"> people to access hepatitis C treatment or </w:t>
      </w:r>
      <w:r w:rsidR="00122AE6" w:rsidRPr="00456C7B">
        <w:t>3.2</w:t>
      </w:r>
      <w:r w:rsidR="00041EE7" w:rsidRPr="00456C7B">
        <w:t xml:space="preserve"> times the number of people </w:t>
      </w:r>
      <w:r w:rsidR="009A09C3" w:rsidRPr="00456C7B">
        <w:t xml:space="preserve">being </w:t>
      </w:r>
      <w:r w:rsidR="00041EE7" w:rsidRPr="00456C7B">
        <w:t>treated</w:t>
      </w:r>
      <w:r w:rsidR="007A2554" w:rsidRPr="00456C7B">
        <w:t xml:space="preserve"> with DAA</w:t>
      </w:r>
      <w:r w:rsidR="00FA2457" w:rsidRPr="00456C7B">
        <w:t>s</w:t>
      </w:r>
      <w:r w:rsidR="007A2554" w:rsidRPr="00456C7B">
        <w:t xml:space="preserve"> in 2020</w:t>
      </w:r>
      <w:r w:rsidR="00041EE7" w:rsidRPr="00456C7B">
        <w:t>.</w:t>
      </w:r>
    </w:p>
    <w:p w14:paraId="02F2E294" w14:textId="07403519" w:rsidR="00D56182" w:rsidRPr="00456C7B" w:rsidRDefault="00D56182" w:rsidP="00EA6F50">
      <w:pPr>
        <w:pStyle w:val="Heading1"/>
        <w:spacing w:line="360" w:lineRule="auto"/>
      </w:pPr>
      <w:r w:rsidRPr="00456C7B">
        <w:t>Discussion</w:t>
      </w:r>
    </w:p>
    <w:p w14:paraId="2D94FE27" w14:textId="1F2B5727" w:rsidR="00517284" w:rsidRPr="00456C7B" w:rsidRDefault="0098605C" w:rsidP="000042C5">
      <w:pPr>
        <w:spacing w:line="360" w:lineRule="auto"/>
        <w:jc w:val="both"/>
      </w:pPr>
      <w:r w:rsidRPr="00456C7B">
        <w:t xml:space="preserve">The cost of </w:t>
      </w:r>
      <w:r w:rsidR="00994B55" w:rsidRPr="00456C7B">
        <w:t xml:space="preserve">scenario </w:t>
      </w:r>
      <w:r w:rsidRPr="00456C7B">
        <w:t>2 clearly demonstrate</w:t>
      </w:r>
      <w:r w:rsidR="0000673C" w:rsidRPr="00456C7B">
        <w:t>s</w:t>
      </w:r>
      <w:r w:rsidR="004A7C4E" w:rsidRPr="00456C7B">
        <w:t xml:space="preserve"> </w:t>
      </w:r>
      <w:r w:rsidRPr="00456C7B">
        <w:t>the</w:t>
      </w:r>
      <w:r w:rsidR="005027B5" w:rsidRPr="00456C7B">
        <w:t xml:space="preserve"> potential</w:t>
      </w:r>
      <w:r w:rsidRPr="00456C7B">
        <w:t xml:space="preserve"> implications for </w:t>
      </w:r>
      <w:r w:rsidR="004A7C4E" w:rsidRPr="00456C7B">
        <w:t>the cost of DAAs if Thailand decides to</w:t>
      </w:r>
      <w:r w:rsidRPr="00456C7B">
        <w:t xml:space="preserve"> join the CPTPP and the suspended clauses are reinstated. The CPTPP</w:t>
      </w:r>
      <w:r w:rsidR="00256465" w:rsidRPr="00456C7B">
        <w:t>’s</w:t>
      </w:r>
      <w:r w:rsidRPr="00456C7B">
        <w:t xml:space="preserve"> suspended clauses allow for secondary patenting</w:t>
      </w:r>
      <w:r w:rsidR="00910161" w:rsidRPr="00456C7B">
        <w:t xml:space="preserve"> and patent term extensions</w:t>
      </w:r>
      <w:r w:rsidRPr="00456C7B">
        <w:t>. Th</w:t>
      </w:r>
      <w:r w:rsidR="009A09C3" w:rsidRPr="00456C7B">
        <w:t>ese</w:t>
      </w:r>
      <w:r w:rsidRPr="00456C7B">
        <w:t xml:space="preserve"> </w:t>
      </w:r>
      <w:r w:rsidR="00B50FF1" w:rsidRPr="00456C7B">
        <w:t xml:space="preserve">clauses </w:t>
      </w:r>
      <w:r w:rsidRPr="00456C7B">
        <w:t xml:space="preserve">would facilitate the granting of </w:t>
      </w:r>
      <w:r w:rsidR="006642FF" w:rsidRPr="00456C7B">
        <w:t xml:space="preserve">secondary </w:t>
      </w:r>
      <w:r w:rsidRPr="00456C7B">
        <w:t xml:space="preserve">DAA patents currently pending and opposed by patient groups. </w:t>
      </w:r>
      <w:r w:rsidR="006642FF" w:rsidRPr="00456C7B">
        <w:t xml:space="preserve">See supplementary file </w:t>
      </w:r>
      <w:r w:rsidR="0071559B" w:rsidRPr="00456C7B">
        <w:t xml:space="preserve">2 for a list of </w:t>
      </w:r>
      <w:r w:rsidR="000042C5" w:rsidRPr="00456C7B">
        <w:t xml:space="preserve">primary and </w:t>
      </w:r>
      <w:r w:rsidR="00CF630B" w:rsidRPr="00456C7B">
        <w:t xml:space="preserve">secondary patent applications for </w:t>
      </w:r>
      <w:r w:rsidR="00B04426" w:rsidRPr="00456C7B">
        <w:t>SOF, LDV</w:t>
      </w:r>
      <w:r w:rsidR="00630DA8" w:rsidRPr="00456C7B">
        <w:t xml:space="preserve"> and VEL in Thailand. </w:t>
      </w:r>
      <w:r w:rsidR="000042C5" w:rsidRPr="00456C7B">
        <w:t>The list of secondary patent applications include</w:t>
      </w:r>
      <w:r w:rsidR="00C406DD" w:rsidRPr="00456C7B">
        <w:t>s</w:t>
      </w:r>
      <w:r w:rsidR="00BD2B24" w:rsidRPr="00456C7B">
        <w:t>,</w:t>
      </w:r>
      <w:r w:rsidR="000042C5" w:rsidRPr="00456C7B">
        <w:t xml:space="preserve"> but </w:t>
      </w:r>
      <w:r w:rsidR="00C406DD" w:rsidRPr="00456C7B">
        <w:t>is</w:t>
      </w:r>
      <w:r w:rsidR="000042C5" w:rsidRPr="00456C7B">
        <w:t xml:space="preserve"> not limited to</w:t>
      </w:r>
      <w:r w:rsidR="00BD2B24" w:rsidRPr="00456C7B">
        <w:t>,</w:t>
      </w:r>
      <w:r w:rsidR="00B96B44" w:rsidRPr="00456C7B">
        <w:t xml:space="preserve"> </w:t>
      </w:r>
      <w:r w:rsidR="00BD2B24" w:rsidRPr="00456C7B">
        <w:t>s</w:t>
      </w:r>
      <w:r w:rsidR="000042C5" w:rsidRPr="00456C7B">
        <w:t xml:space="preserve">ofosbuvir crystalline forms &amp; preparation processes and </w:t>
      </w:r>
      <w:r w:rsidR="00BD2B24" w:rsidRPr="00456C7B">
        <w:t>s</w:t>
      </w:r>
      <w:r w:rsidR="000042C5" w:rsidRPr="00456C7B">
        <w:t xml:space="preserve">ofosbuvir processes &amp; intermediates. </w:t>
      </w:r>
      <w:r w:rsidR="00DE7345" w:rsidRPr="00456C7B">
        <w:t>There</w:t>
      </w:r>
      <w:r w:rsidRPr="00456C7B">
        <w:t xml:space="preserve"> would </w:t>
      </w:r>
      <w:r w:rsidR="00DE7345" w:rsidRPr="00456C7B">
        <w:t>be</w:t>
      </w:r>
      <w:r w:rsidRPr="00456C7B">
        <w:t xml:space="preserve"> </w:t>
      </w:r>
      <w:r w:rsidR="00FB61A7" w:rsidRPr="00456C7B">
        <w:t>little</w:t>
      </w:r>
      <w:r w:rsidRPr="00456C7B">
        <w:t xml:space="preserve"> to no grounds for </w:t>
      </w:r>
      <w:r w:rsidR="004578FC" w:rsidRPr="00456C7B">
        <w:t xml:space="preserve">patent </w:t>
      </w:r>
      <w:r w:rsidRPr="00456C7B">
        <w:t>opposition if secondary patenting was possible.</w:t>
      </w:r>
      <w:r w:rsidR="00BD2E67" w:rsidRPr="00456C7B">
        <w:t xml:space="preserve"> </w:t>
      </w:r>
      <w:r w:rsidR="00517284" w:rsidRPr="00456C7B">
        <w:t>Thail</w:t>
      </w:r>
      <w:r w:rsidR="00735EAA" w:rsidRPr="00456C7B">
        <w:t xml:space="preserve">and’s Patent Act allows for pre-grant opposition which </w:t>
      </w:r>
      <w:r w:rsidR="00517284" w:rsidRPr="00456C7B">
        <w:t>offer</w:t>
      </w:r>
      <w:r w:rsidR="000508D1" w:rsidRPr="00456C7B">
        <w:t>s</w:t>
      </w:r>
      <w:r w:rsidR="00517284" w:rsidRPr="00456C7B">
        <w:t xml:space="preserve"> third parties an opportunity to oppose the grant of a patent within </w:t>
      </w:r>
      <w:r w:rsidR="00D17656" w:rsidRPr="00456C7B">
        <w:t>90 days of the patent application</w:t>
      </w:r>
      <w:r w:rsidR="007836F1" w:rsidRPr="00456C7B">
        <w:t xml:space="preserve"> </w:t>
      </w:r>
      <w:r w:rsidR="007836F1" w:rsidRPr="00456C7B">
        <w:fldChar w:fldCharType="begin"/>
      </w:r>
      <w:r w:rsidR="00A2659F">
        <w:instrText xml:space="preserve"> ADDIN EN.CITE &lt;EndNote&gt;&lt;Cite ExcludeAuth="1" ExcludeYear="1"&gt;&lt;RecNum&gt;241&lt;/RecNum&gt;&lt;DisplayText&gt;(13)&lt;/DisplayText&gt;&lt;record&gt;&lt;rec-number&gt;241&lt;/rec-number&gt;&lt;foreign-keys&gt;&lt;key app="EN" db-id="dfp5tt9d12x9vhewffovwt2jvd9t5vpwzvxr" timestamp="1615336702"&gt;241&lt;/key&gt;&lt;/foreign-keys&gt;&lt;ref-type name="Legal Rule or Regulation"&gt;50&lt;/ref-type&gt;&lt;contributors&gt;&lt;secondary-authors&gt;&lt;author&gt;Government of Thailand&lt;/author&gt;&lt;/secondary-authors&gt;&lt;/contributors&gt;&lt;titles&gt;&lt;title&gt;THAILAND Patent Act B.E. 2522 (1979) As Amended by the Patent Act (No. 2) B.E 2535 (1992) and the Patent Act (No. 3) B.E. 2542 (1999)&lt;/title&gt;&lt;/titles&gt;&lt;dates&gt;&lt;/dates&gt;&lt;urls&gt;&lt;related-urls&gt;&lt;url&gt;https://www.wipo.int/edocs/lexdocs/laws/en/th/th007en.html&lt;/url&gt;&lt;/related-urls&gt;&lt;/urls&gt;&lt;/record&gt;&lt;/Cite&gt;&lt;/EndNote&gt;</w:instrText>
      </w:r>
      <w:r w:rsidR="007836F1" w:rsidRPr="00456C7B">
        <w:fldChar w:fldCharType="separate"/>
      </w:r>
      <w:r w:rsidR="00A2659F">
        <w:rPr>
          <w:noProof/>
        </w:rPr>
        <w:t>(13)</w:t>
      </w:r>
      <w:r w:rsidR="007836F1" w:rsidRPr="00456C7B">
        <w:fldChar w:fldCharType="end"/>
      </w:r>
      <w:r w:rsidR="00D17656" w:rsidRPr="00456C7B">
        <w:t xml:space="preserve">. </w:t>
      </w:r>
      <w:r w:rsidR="00FA0907" w:rsidRPr="00456C7B">
        <w:t xml:space="preserve">They must demonstrate that the application does not meet patentability requirements. </w:t>
      </w:r>
      <w:r w:rsidR="00C74E8E" w:rsidRPr="00456C7B">
        <w:t>Grounds</w:t>
      </w:r>
      <w:r w:rsidR="00211C3B" w:rsidRPr="00456C7B">
        <w:t xml:space="preserve"> for opposition would be narrowed if </w:t>
      </w:r>
      <w:r w:rsidR="00C74E8E" w:rsidRPr="00456C7B">
        <w:t xml:space="preserve">patentability standards </w:t>
      </w:r>
      <w:r w:rsidR="00842EE6" w:rsidRPr="00456C7B">
        <w:t xml:space="preserve">were </w:t>
      </w:r>
      <w:r w:rsidR="00C74E8E" w:rsidRPr="00456C7B">
        <w:t>lowe</w:t>
      </w:r>
      <w:r w:rsidR="00842EE6" w:rsidRPr="00456C7B">
        <w:t>re</w:t>
      </w:r>
      <w:r w:rsidR="00C74E8E" w:rsidRPr="00456C7B">
        <w:t xml:space="preserve">d to allow </w:t>
      </w:r>
      <w:r w:rsidR="0051353B" w:rsidRPr="00456C7B">
        <w:t>patents for</w:t>
      </w:r>
      <w:r w:rsidR="00C74E8E" w:rsidRPr="00456C7B">
        <w:t xml:space="preserve"> </w:t>
      </w:r>
      <w:r w:rsidR="0051353B" w:rsidRPr="00456C7B">
        <w:t xml:space="preserve">new uses of a known product, new methods of using a known product or new processes of using a known product. </w:t>
      </w:r>
    </w:p>
    <w:p w14:paraId="4B24BB3A" w14:textId="10F515A4" w:rsidR="003B47C1" w:rsidRPr="00456C7B" w:rsidRDefault="009F4B01" w:rsidP="00EA6F50">
      <w:pPr>
        <w:spacing w:line="360" w:lineRule="auto"/>
        <w:jc w:val="both"/>
      </w:pPr>
      <w:r w:rsidRPr="00456C7B">
        <w:t xml:space="preserve">Voluntary licences can substantially improve access to HCV treatment in </w:t>
      </w:r>
      <w:r w:rsidR="00BC79D4" w:rsidRPr="00456C7B">
        <w:t>countries</w:t>
      </w:r>
      <w:r w:rsidRPr="00456C7B">
        <w:t xml:space="preserve"> included in such </w:t>
      </w:r>
      <w:r w:rsidR="00BC79D4" w:rsidRPr="00456C7B">
        <w:t>agreements</w:t>
      </w:r>
      <w:r w:rsidRPr="00456C7B">
        <w:t xml:space="preserve">, by improving the affordability and supply of </w:t>
      </w:r>
      <w:r w:rsidR="0027063F" w:rsidRPr="00456C7B">
        <w:t>generic products</w:t>
      </w:r>
      <w:r w:rsidRPr="00456C7B">
        <w:t xml:space="preserve"> </w:t>
      </w:r>
      <w:r w:rsidR="0027063F" w:rsidRPr="00456C7B">
        <w:t>and</w:t>
      </w:r>
      <w:r w:rsidR="00ED0592" w:rsidRPr="00456C7B">
        <w:t xml:space="preserve"> have been lauded as a practical </w:t>
      </w:r>
      <w:r w:rsidR="00765276" w:rsidRPr="00456C7B">
        <w:t xml:space="preserve">way to overcome the barriers that patents pose such as high </w:t>
      </w:r>
      <w:r w:rsidR="003770C3" w:rsidRPr="00456C7B">
        <w:t>prices</w:t>
      </w:r>
      <w:r w:rsidR="009F5F1F" w:rsidRPr="00456C7B">
        <w:t xml:space="preserve"> </w:t>
      </w:r>
      <w:r w:rsidR="009F5F1F" w:rsidRPr="00456C7B">
        <w:fldChar w:fldCharType="begin"/>
      </w:r>
      <w:r w:rsidR="00A2659F">
        <w:instrText xml:space="preserve"> ADDIN EN.CITE &lt;EndNote&gt;&lt;Cite&gt;&lt;Author&gt;Simmons&lt;/Author&gt;&lt;Year&gt;2019&lt;/Year&gt;&lt;RecNum&gt;429&lt;/RecNum&gt;&lt;DisplayText&gt;(51)&lt;/DisplayText&gt;&lt;record&gt;&lt;rec-number&gt;429&lt;/rec-number&gt;&lt;foreign-keys&gt;&lt;key app="EN" db-id="dfp5tt9d12x9vhewffovwt2jvd9t5vpwzvxr" timestamp="1648685719"&gt;429&lt;/key&gt;&lt;/foreign-keys&gt;&lt;ref-type name="Journal Article"&gt;17&lt;/ref-type&gt;&lt;contributors&gt;&lt;authors&gt;&lt;author&gt;Simmons, Bryony&lt;/author&gt;&lt;author&gt;Cooke, Graham S&lt;/author&gt;&lt;author&gt;Miraldo, Marisa&lt;/author&gt;&lt;/authors&gt;&lt;/contributors&gt;&lt;titles&gt;&lt;title&gt;Effect of voluntary licences for hepatitis C medicines on access to treatment: a difference-in-differences analysis&lt;/title&gt;&lt;secondary-title&gt;The Lancet Global Health&lt;/secondary-title&gt;&lt;/titles&gt;&lt;periodical&gt;&lt;full-title&gt;The Lancet Global Health&lt;/full-title&gt;&lt;/periodical&gt;&lt;pages&gt;e1189-e1196&lt;/pages&gt;&lt;volume&gt;7&lt;/volume&gt;&lt;number&gt;9&lt;/number&gt;&lt;dates&gt;&lt;year&gt;2019&lt;/year&gt;&lt;/dates&gt;&lt;isbn&gt;2214-109X&lt;/isbn&gt;&lt;urls&gt;&lt;/urls&gt;&lt;/record&gt;&lt;/Cite&gt;&lt;/EndNote&gt;</w:instrText>
      </w:r>
      <w:r w:rsidR="009F5F1F" w:rsidRPr="00456C7B">
        <w:fldChar w:fldCharType="separate"/>
      </w:r>
      <w:r w:rsidR="00A2659F">
        <w:rPr>
          <w:noProof/>
        </w:rPr>
        <w:t>(51)</w:t>
      </w:r>
      <w:r w:rsidR="009F5F1F" w:rsidRPr="00456C7B">
        <w:fldChar w:fldCharType="end"/>
      </w:r>
      <w:r w:rsidR="0027063F" w:rsidRPr="00456C7B">
        <w:t>.</w:t>
      </w:r>
      <w:r w:rsidR="001F3D11" w:rsidRPr="00456C7B">
        <w:t xml:space="preserve"> </w:t>
      </w:r>
      <w:r w:rsidR="0027063F" w:rsidRPr="00456C7B">
        <w:t>They have however</w:t>
      </w:r>
      <w:r w:rsidR="001F3D11" w:rsidRPr="00456C7B">
        <w:t xml:space="preserve"> been </w:t>
      </w:r>
      <w:r w:rsidR="00D80748" w:rsidRPr="00456C7B">
        <w:t xml:space="preserve">criticised for </w:t>
      </w:r>
      <w:r w:rsidR="00960A15" w:rsidRPr="00456C7B">
        <w:t>their lack of transparency</w:t>
      </w:r>
      <w:r w:rsidR="001E03AE" w:rsidRPr="00456C7B">
        <w:t xml:space="preserve"> and restrictive conditions that </w:t>
      </w:r>
      <w:r w:rsidR="00960A15" w:rsidRPr="00456C7B">
        <w:t xml:space="preserve">can </w:t>
      </w:r>
      <w:r w:rsidR="001E03AE" w:rsidRPr="00456C7B">
        <w:t>undermine access to medicines</w:t>
      </w:r>
      <w:r w:rsidR="00960A15" w:rsidRPr="00456C7B">
        <w:t xml:space="preserve"> </w:t>
      </w:r>
      <w:r w:rsidR="004E1B70" w:rsidRPr="00456C7B">
        <w:fldChar w:fldCharType="begin"/>
      </w:r>
      <w:r w:rsidR="00A2659F">
        <w:instrText xml:space="preserve"> ADDIN EN.CITE &lt;EndNote&gt;&lt;Cite&gt;&lt;Author&gt;MSF Access Campaign&lt;/Author&gt;&lt;Year&gt;October 2020&lt;/Year&gt;&lt;RecNum&gt;417&lt;/RecNum&gt;&lt;DisplayText&gt;(41)&lt;/DisplayText&gt;&lt;record&gt;&lt;rec-number&gt;417&lt;/rec-number&gt;&lt;foreign-keys&gt;&lt;key app="EN" db-id="dfp5tt9d12x9vhewffovwt2jvd9t5vpwzvxr" timestamp="1648084409"&gt;417&lt;/key&gt;&lt;/foreign-keys&gt;&lt;ref-type name="Report"&gt;27&lt;/ref-type&gt;&lt;contributors&gt;&lt;authors&gt;&lt;author&gt;MSF Access Campaign,&lt;/author&gt;&lt;/authors&gt;&lt;/contributors&gt;&lt;titles&gt;&lt;title&gt;Voluntary licenses and access to medicines. &lt;/title&gt;&lt;/titles&gt;&lt;dates&gt;&lt;year&gt;October 2020&lt;/year&gt;&lt;/dates&gt;&lt;urls&gt;&lt;related-urls&gt;&lt;url&gt;https://msfaccess.org/sites/default/files/2020-10/IP_VoluntaryLicenses_full-brief_Oct2020_ENG.pdf&lt;/url&gt;&lt;/related-urls&gt;&lt;/urls&gt;&lt;access-date&gt;24th March 2022&lt;/access-date&gt;&lt;/record&gt;&lt;/Cite&gt;&lt;/EndNote&gt;</w:instrText>
      </w:r>
      <w:r w:rsidR="004E1B70" w:rsidRPr="00456C7B">
        <w:fldChar w:fldCharType="separate"/>
      </w:r>
      <w:r w:rsidR="00A2659F">
        <w:rPr>
          <w:noProof/>
        </w:rPr>
        <w:t>(41)</w:t>
      </w:r>
      <w:r w:rsidR="004E1B70" w:rsidRPr="00456C7B">
        <w:fldChar w:fldCharType="end"/>
      </w:r>
      <w:r w:rsidR="001E03AE" w:rsidRPr="00456C7B">
        <w:t xml:space="preserve">. </w:t>
      </w:r>
      <w:r w:rsidR="00530E76" w:rsidRPr="00456C7B">
        <w:t>When a patent is granted</w:t>
      </w:r>
      <w:r w:rsidR="00614617" w:rsidRPr="00456C7B">
        <w:t xml:space="preserve"> in </w:t>
      </w:r>
      <w:r w:rsidR="00686C60" w:rsidRPr="00456C7B">
        <w:t xml:space="preserve">a </w:t>
      </w:r>
      <w:r w:rsidR="00614617" w:rsidRPr="00456C7B">
        <w:t>country,</w:t>
      </w:r>
      <w:r w:rsidR="00530E76" w:rsidRPr="00456C7B">
        <w:t xml:space="preserve"> the ability of a country such as </w:t>
      </w:r>
      <w:r w:rsidR="00BE79ED" w:rsidRPr="00456C7B">
        <w:t>Thailand</w:t>
      </w:r>
      <w:r w:rsidR="00530E76" w:rsidRPr="00456C7B">
        <w:t xml:space="preserve"> to access an affordable generic </w:t>
      </w:r>
      <w:r w:rsidR="00BE79ED" w:rsidRPr="00456C7B">
        <w:t xml:space="preserve">can be </w:t>
      </w:r>
      <w:r w:rsidR="00C53217" w:rsidRPr="00456C7B">
        <w:t xml:space="preserve">contingent on the </w:t>
      </w:r>
      <w:r w:rsidR="003C0EE4" w:rsidRPr="00456C7B">
        <w:t xml:space="preserve">terms and conditions of </w:t>
      </w:r>
      <w:r w:rsidR="00C53217" w:rsidRPr="00456C7B">
        <w:t>the</w:t>
      </w:r>
      <w:r w:rsidR="003C0EE4" w:rsidRPr="00456C7B">
        <w:t xml:space="preserve"> voluntary licence</w:t>
      </w:r>
      <w:r w:rsidR="00BE79ED" w:rsidRPr="00456C7B">
        <w:t xml:space="preserve"> </w:t>
      </w:r>
      <w:r w:rsidR="00BE79ED" w:rsidRPr="00456C7B">
        <w:lastRenderedPageBreak/>
        <w:t>in play</w:t>
      </w:r>
      <w:r w:rsidR="00B15FA2" w:rsidRPr="00456C7B">
        <w:t xml:space="preserve"> </w:t>
      </w:r>
      <w:r w:rsidR="00B15FA2" w:rsidRPr="00456C7B">
        <w:fldChar w:fldCharType="begin"/>
      </w:r>
      <w:r w:rsidR="00A2659F">
        <w:instrText xml:space="preserve"> ADDIN EN.CITE &lt;EndNote&gt;&lt;Cite&gt;&lt;Author&gt;World Health Organization&lt;/Author&gt;&lt;Year&gt;2021&lt;/Year&gt;&lt;RecNum&gt;416&lt;/RecNum&gt;&lt;DisplayText&gt;(50)&lt;/DisplayText&gt;&lt;record&gt;&lt;rec-number&gt;416&lt;/rec-number&gt;&lt;foreign-keys&gt;&lt;key app="EN" db-id="dfp5tt9d12x9vhewffovwt2jvd9t5vpwzvxr" timestamp="1648015583"&gt;416&lt;/key&gt;&lt;/foreign-keys&gt;&lt;ref-type name="Book Section"&gt;5&lt;/ref-type&gt;&lt;contributors&gt;&lt;authors&gt;&lt;author&gt;World Health Organization,&lt;/author&gt;&lt;/authors&gt;&lt;/contributors&gt;&lt;titles&gt;&lt;title&gt;Accelerating access to hepatitis C diagnostics and treatment: overcoming barriers in low-and middle-income countries: global progress report 2020&lt;/title&gt;&lt;secondary-title&gt;Accelerating access to hepatitis C diagnostics and treatment: overcoming barriers in low-and middle-income countries: global progress report 2020&lt;/secondary-title&gt;&lt;/titles&gt;&lt;dates&gt;&lt;year&gt;2021&lt;/year&gt;&lt;/dates&gt;&lt;urls&gt;&lt;/urls&gt;&lt;/record&gt;&lt;/Cite&gt;&lt;/EndNote&gt;</w:instrText>
      </w:r>
      <w:r w:rsidR="00B15FA2" w:rsidRPr="00456C7B">
        <w:fldChar w:fldCharType="separate"/>
      </w:r>
      <w:r w:rsidR="00A2659F">
        <w:rPr>
          <w:noProof/>
        </w:rPr>
        <w:t>(50)</w:t>
      </w:r>
      <w:r w:rsidR="00B15FA2" w:rsidRPr="00456C7B">
        <w:fldChar w:fldCharType="end"/>
      </w:r>
      <w:r w:rsidR="00BE79ED" w:rsidRPr="00456C7B">
        <w:t xml:space="preserve">. All </w:t>
      </w:r>
      <w:r w:rsidR="00DC3D96" w:rsidRPr="00456C7B">
        <w:t>three</w:t>
      </w:r>
      <w:r w:rsidR="00BE79ED" w:rsidRPr="00456C7B">
        <w:t xml:space="preserve"> DAA </w:t>
      </w:r>
      <w:r w:rsidR="00452ED3" w:rsidRPr="00456C7B">
        <w:t xml:space="preserve">MPP licences exclude Thailand and many other </w:t>
      </w:r>
      <w:r w:rsidR="00132B83" w:rsidRPr="00456C7B">
        <w:t>middle-income</w:t>
      </w:r>
      <w:r w:rsidR="00452ED3" w:rsidRPr="00456C7B">
        <w:t xml:space="preserve"> countries wh</w:t>
      </w:r>
      <w:r w:rsidR="00E43517" w:rsidRPr="00456C7B">
        <w:t xml:space="preserve">ich account for </w:t>
      </w:r>
      <w:proofErr w:type="gramStart"/>
      <w:r w:rsidR="00E43517" w:rsidRPr="00456C7B">
        <w:t>the majority of</w:t>
      </w:r>
      <w:proofErr w:type="gramEnd"/>
      <w:r w:rsidR="00E43517" w:rsidRPr="00456C7B">
        <w:t xml:space="preserve"> the global burden of hepatitis C infection. </w:t>
      </w:r>
      <w:r w:rsidR="00B5752E" w:rsidRPr="00456C7B">
        <w:t>The BMS and the AbbVie MPP Agreement</w:t>
      </w:r>
      <w:r w:rsidR="003A7E8A" w:rsidRPr="00456C7B">
        <w:t>s</w:t>
      </w:r>
      <w:r w:rsidR="00B5752E" w:rsidRPr="00456C7B">
        <w:t xml:space="preserve"> allow countries not included in the licence to be supplied by MPP licensees </w:t>
      </w:r>
      <w:r w:rsidR="00E3508D" w:rsidRPr="00456C7B">
        <w:t xml:space="preserve">provided </w:t>
      </w:r>
      <w:r w:rsidR="00B5752E" w:rsidRPr="00456C7B">
        <w:t xml:space="preserve">no patent is being infringed. </w:t>
      </w:r>
      <w:r w:rsidR="00EF23E0" w:rsidRPr="00456C7B">
        <w:t xml:space="preserve">However, as there </w:t>
      </w:r>
      <w:r w:rsidR="00FB75A2" w:rsidRPr="00456C7B">
        <w:t>are no</w:t>
      </w:r>
      <w:r w:rsidR="00EF23E0" w:rsidRPr="00456C7B">
        <w:t xml:space="preserve"> Thai DAA</w:t>
      </w:r>
      <w:r w:rsidR="00FB75A2" w:rsidRPr="00456C7B">
        <w:t xml:space="preserve"> patents</w:t>
      </w:r>
      <w:r w:rsidR="00E3508D" w:rsidRPr="00456C7B">
        <w:t>,</w:t>
      </w:r>
      <w:r w:rsidR="000738BA" w:rsidRPr="00456C7B">
        <w:t xml:space="preserve"> </w:t>
      </w:r>
      <w:r w:rsidR="00F82151" w:rsidRPr="00456C7B">
        <w:t>Thailand</w:t>
      </w:r>
      <w:r w:rsidR="00EF23E0" w:rsidRPr="00456C7B">
        <w:t xml:space="preserve"> is </w:t>
      </w:r>
      <w:r w:rsidR="002E2E59" w:rsidRPr="00456C7B">
        <w:t>un</w:t>
      </w:r>
      <w:r w:rsidR="00CF3DCF" w:rsidRPr="00456C7B">
        <w:t>e</w:t>
      </w:r>
      <w:r w:rsidR="002E2E59" w:rsidRPr="00456C7B">
        <w:t xml:space="preserve">ncumbered </w:t>
      </w:r>
      <w:r w:rsidR="00E3508D" w:rsidRPr="00456C7B">
        <w:t>in</w:t>
      </w:r>
      <w:r w:rsidR="002E2E59" w:rsidRPr="00456C7B">
        <w:t xml:space="preserve"> seek</w:t>
      </w:r>
      <w:r w:rsidR="00E3508D" w:rsidRPr="00456C7B">
        <w:t>ing</w:t>
      </w:r>
      <w:r w:rsidR="002E2E59" w:rsidRPr="00456C7B">
        <w:t xml:space="preserve"> the best generic price on the global market</w:t>
      </w:r>
      <w:r w:rsidR="00BF0A8F" w:rsidRPr="00456C7B">
        <w:t xml:space="preserve"> which may or may not include </w:t>
      </w:r>
      <w:r w:rsidR="00E3508D" w:rsidRPr="00456C7B">
        <w:t xml:space="preserve">those from </w:t>
      </w:r>
      <w:r w:rsidR="00BF0A8F" w:rsidRPr="00456C7B">
        <w:t xml:space="preserve">the MPP licensees. </w:t>
      </w:r>
      <w:r w:rsidR="00C14B64" w:rsidRPr="00456C7B">
        <w:t xml:space="preserve">Scenario 1 demonstrates that </w:t>
      </w:r>
      <w:r w:rsidR="00E245C9" w:rsidRPr="00456C7B">
        <w:t>voluntary</w:t>
      </w:r>
      <w:r w:rsidR="00C14B64" w:rsidRPr="00456C7B">
        <w:t xml:space="preserve"> </w:t>
      </w:r>
      <w:r w:rsidR="00E245C9" w:rsidRPr="00456C7B">
        <w:t>licensees</w:t>
      </w:r>
      <w:r w:rsidR="00C14B64" w:rsidRPr="00456C7B">
        <w:t xml:space="preserve"> do not necessarily provide the </w:t>
      </w:r>
      <w:r w:rsidR="00E3508D" w:rsidRPr="00456C7B">
        <w:t xml:space="preserve">least expensive </w:t>
      </w:r>
      <w:r w:rsidR="00C14B64" w:rsidRPr="00456C7B">
        <w:t>generic option</w:t>
      </w:r>
      <w:r w:rsidR="00E245C9" w:rsidRPr="00456C7B">
        <w:t xml:space="preserve">. </w:t>
      </w:r>
    </w:p>
    <w:p w14:paraId="33ECE857" w14:textId="59EF0F25" w:rsidR="00992EA2" w:rsidRPr="00456C7B" w:rsidRDefault="0066144B" w:rsidP="00EA6F50">
      <w:pPr>
        <w:spacing w:line="360" w:lineRule="auto"/>
        <w:jc w:val="both"/>
      </w:pPr>
      <w:r w:rsidRPr="00456C7B">
        <w:t>Additionally,</w:t>
      </w:r>
      <w:r w:rsidR="00132B83" w:rsidRPr="00456C7B">
        <w:t xml:space="preserve"> it was only after Malaysia </w:t>
      </w:r>
      <w:r w:rsidR="00FF7697" w:rsidRPr="00456C7B">
        <w:t xml:space="preserve">made use of TRIPS flexibilities and </w:t>
      </w:r>
      <w:r w:rsidR="00132B83" w:rsidRPr="00456C7B">
        <w:t xml:space="preserve">issued a compulsory licence for SOF that Gilead extended </w:t>
      </w:r>
      <w:r w:rsidR="00DC3D96" w:rsidRPr="00456C7B">
        <w:t>its</w:t>
      </w:r>
      <w:r w:rsidR="00132B83" w:rsidRPr="00456C7B">
        <w:t xml:space="preserve"> </w:t>
      </w:r>
      <w:r w:rsidR="00FF7697" w:rsidRPr="00456C7B">
        <w:t>bilateral licence to include Thailand and several other high burden middle</w:t>
      </w:r>
      <w:r w:rsidR="00E14EF0">
        <w:t>-</w:t>
      </w:r>
      <w:r w:rsidR="00FF7697" w:rsidRPr="00456C7B">
        <w:t xml:space="preserve">income countries. </w:t>
      </w:r>
      <w:r w:rsidR="00C700AE" w:rsidRPr="00456C7B">
        <w:t xml:space="preserve">The </w:t>
      </w:r>
      <w:r w:rsidR="00AE0A21">
        <w:t>compulsory</w:t>
      </w:r>
      <w:r w:rsidR="00C700AE" w:rsidRPr="00456C7B">
        <w:t xml:space="preserve"> licence allowed Malaysia to import </w:t>
      </w:r>
      <w:r w:rsidR="00513047" w:rsidRPr="00456C7B">
        <w:t xml:space="preserve">a generic at a </w:t>
      </w:r>
      <w:r w:rsidR="00EC2C61" w:rsidRPr="00456C7B">
        <w:t xml:space="preserve">cheaper </w:t>
      </w:r>
      <w:r w:rsidR="00513047" w:rsidRPr="00456C7B">
        <w:t xml:space="preserve">price than </w:t>
      </w:r>
      <w:r w:rsidR="0028051F" w:rsidRPr="00456C7B">
        <w:t xml:space="preserve">the </w:t>
      </w:r>
      <w:r w:rsidR="00EC2C61" w:rsidRPr="00456C7B">
        <w:t>generic companies included in the voluntary licence</w:t>
      </w:r>
      <w:r w:rsidR="00513047" w:rsidRPr="00456C7B">
        <w:t xml:space="preserve"> </w:t>
      </w:r>
      <w:r w:rsidR="00513047" w:rsidRPr="00456C7B">
        <w:fldChar w:fldCharType="begin"/>
      </w:r>
      <w:r w:rsidR="00A2659F">
        <w:instrText xml:space="preserve"> ADDIN EN.CITE &lt;EndNote&gt;&lt;Cite&gt;&lt;Author&gt;Code Blue&lt;/Author&gt;&lt;Year&gt;17 July 2020&lt;/Year&gt;&lt;RecNum&gt;484&lt;/RecNum&gt;&lt;DisplayText&gt;(52)&lt;/DisplayText&gt;&lt;record&gt;&lt;rec-number&gt;484&lt;/rec-number&gt;&lt;foreign-keys&gt;&lt;key app="EN" db-id="dfp5tt9d12x9vhewffovwt2jvd9t5vpwzvxr" timestamp="1660271810"&gt;484&lt;/key&gt;&lt;/foreign-keys&gt;&lt;ref-type name="Web Page"&gt;12&lt;/ref-type&gt;&lt;contributors&gt;&lt;authors&gt;&lt;author&gt;Code Blue,&lt;/author&gt;&lt;/authors&gt;&lt;/contributors&gt;&lt;titles&gt;&lt;title&gt;Minister Claims Imported Sofosbuvir Supply Enough For Malaysian Hepatitis C Patients&lt;/title&gt;&lt;/titles&gt;&lt;volume&gt;2022&lt;/volume&gt;&lt;number&gt;12th August 2022&lt;/number&gt;&lt;dates&gt;&lt;year&gt;17 July 2020&lt;/year&gt;&lt;/dates&gt;&lt;urls&gt;&lt;related-urls&gt;&lt;url&gt;https://codeblue.galencentre.org/2020/07/17/minister-claims-imported-sofosbuvir-supply-enough-for-malaysian-hepatitis-c-patients/&lt;/url&gt;&lt;/related-urls&gt;&lt;/urls&gt;&lt;custom1&gt;2022&lt;/custom1&gt;&lt;custom2&gt;12th August 2022&lt;/custom2&gt;&lt;/record&gt;&lt;/Cite&gt;&lt;/EndNote&gt;</w:instrText>
      </w:r>
      <w:r w:rsidR="00513047" w:rsidRPr="00456C7B">
        <w:fldChar w:fldCharType="separate"/>
      </w:r>
      <w:r w:rsidR="00A2659F">
        <w:rPr>
          <w:noProof/>
        </w:rPr>
        <w:t>(52)</w:t>
      </w:r>
      <w:r w:rsidR="00513047" w:rsidRPr="00456C7B">
        <w:fldChar w:fldCharType="end"/>
      </w:r>
      <w:r w:rsidR="00EC2C61" w:rsidRPr="00456C7B">
        <w:t>.</w:t>
      </w:r>
      <w:r w:rsidR="00C700AE" w:rsidRPr="00456C7B">
        <w:t xml:space="preserve"> </w:t>
      </w:r>
      <w:r w:rsidR="002F57EF" w:rsidRPr="00456C7B">
        <w:t>Although Gilead’s bilateral licence appears broad and far</w:t>
      </w:r>
      <w:r w:rsidR="00246C02">
        <w:t>-</w:t>
      </w:r>
      <w:r w:rsidR="002F57EF" w:rsidRPr="00456C7B">
        <w:t xml:space="preserve">reaching it only allows for </w:t>
      </w:r>
      <w:r w:rsidR="00EA7C8B" w:rsidRPr="00456C7B">
        <w:t>eleven</w:t>
      </w:r>
      <w:r w:rsidR="002F57EF" w:rsidRPr="00456C7B">
        <w:t xml:space="preserve"> Indian</w:t>
      </w:r>
      <w:r w:rsidR="00332E50" w:rsidRPr="00456C7B">
        <w:t xml:space="preserve">, one Pakistani and two Egyptian generic companies </w:t>
      </w:r>
      <w:r w:rsidR="002F57EF" w:rsidRPr="00456C7B">
        <w:t xml:space="preserve">to </w:t>
      </w:r>
      <w:r w:rsidR="006B6FC7" w:rsidRPr="00456C7B">
        <w:t>produce and sell SOF</w:t>
      </w:r>
      <w:r w:rsidR="00D70376" w:rsidRPr="00456C7B">
        <w:t xml:space="preserve"> </w:t>
      </w:r>
      <w:r w:rsidR="00D70376" w:rsidRPr="00456C7B">
        <w:fldChar w:fldCharType="begin"/>
      </w:r>
      <w:r w:rsidR="00A2659F">
        <w:instrText xml:space="preserve"> ADDIN EN.CITE &lt;EndNote&gt;&lt;Cite&gt;&lt;Author&gt;Gilead&lt;/Author&gt;&lt;Year&gt;2017&lt;/Year&gt;&lt;RecNum&gt;441&lt;/RecNum&gt;&lt;DisplayText&gt;(53)&lt;/DisplayText&gt;&lt;record&gt;&lt;rec-number&gt;441&lt;/rec-number&gt;&lt;foreign-keys&gt;&lt;key app="EN" db-id="dfp5tt9d12x9vhewffovwt2jvd9t5vpwzvxr" timestamp="1649208573"&gt;441&lt;/key&gt;&lt;/foreign-keys&gt;&lt;ref-type name="Report"&gt;27&lt;/ref-type&gt;&lt;contributors&gt;&lt;authors&gt;&lt;author&gt;Gilead&lt;/author&gt;&lt;/authors&gt;&lt;/contributors&gt;&lt;titles&gt;&lt;title&gt;Amended and Restated License Agreement&lt;/title&gt;&lt;/titles&gt;&lt;dates&gt;&lt;year&gt;2017&lt;/year&gt;&lt;/dates&gt;&lt;urls&gt;&lt;related-urls&gt;&lt;url&gt;https://www.gilead.com/-/media/files/pdfs/other/form%20ar%20hcv%20license%20agmt%20gild%2011202017.pdf?la=en&lt;/url&gt;&lt;/related-urls&gt;&lt;/urls&gt;&lt;/record&gt;&lt;/Cite&gt;&lt;/EndNote&gt;</w:instrText>
      </w:r>
      <w:r w:rsidR="00D70376" w:rsidRPr="00456C7B">
        <w:fldChar w:fldCharType="separate"/>
      </w:r>
      <w:r w:rsidR="00A2659F">
        <w:rPr>
          <w:noProof/>
        </w:rPr>
        <w:t>(53)</w:t>
      </w:r>
      <w:r w:rsidR="00D70376" w:rsidRPr="00456C7B">
        <w:fldChar w:fldCharType="end"/>
      </w:r>
      <w:r w:rsidR="006B6FC7" w:rsidRPr="00456C7B">
        <w:t xml:space="preserve">. Thailand has </w:t>
      </w:r>
      <w:r w:rsidR="003D68E2" w:rsidRPr="00456C7B">
        <w:t xml:space="preserve">an </w:t>
      </w:r>
      <w:r w:rsidR="006B6FC7" w:rsidRPr="00456C7B">
        <w:t>e</w:t>
      </w:r>
      <w:r w:rsidR="0089670E" w:rsidRPr="00456C7B">
        <w:t xml:space="preserve">stablished pharmaceutical manufacturing </w:t>
      </w:r>
      <w:r w:rsidR="003D68E2" w:rsidRPr="00456C7B">
        <w:t>industry with the capacity to manufacture a range of pharmaceutical</w:t>
      </w:r>
      <w:r w:rsidR="00D80C1D" w:rsidRPr="00456C7B">
        <w:t>s</w:t>
      </w:r>
      <w:r w:rsidR="003D68E2" w:rsidRPr="00456C7B">
        <w:t xml:space="preserve"> including DAA</w:t>
      </w:r>
      <w:r w:rsidR="00E3508D" w:rsidRPr="00456C7B">
        <w:t>s</w:t>
      </w:r>
      <w:r w:rsidR="0089670E" w:rsidRPr="00456C7B">
        <w:t xml:space="preserve">. The Government Pharmaceutical Organization (GPO) </w:t>
      </w:r>
      <w:r w:rsidR="00D116A1" w:rsidRPr="00456C7B">
        <w:t>is a wholly government</w:t>
      </w:r>
      <w:r w:rsidR="00246C02">
        <w:t>-</w:t>
      </w:r>
      <w:r w:rsidR="00D116A1" w:rsidRPr="00456C7B">
        <w:t xml:space="preserve">owned enterprise that has long </w:t>
      </w:r>
      <w:r w:rsidR="00817B2C" w:rsidRPr="00456C7B">
        <w:t>supplied</w:t>
      </w:r>
      <w:r w:rsidR="00D116A1" w:rsidRPr="00456C7B">
        <w:t xml:space="preserve"> the majority of ARV</w:t>
      </w:r>
      <w:r w:rsidR="00E3508D" w:rsidRPr="00456C7B">
        <w:t>s</w:t>
      </w:r>
      <w:r w:rsidR="00D116A1" w:rsidRPr="00456C7B">
        <w:t xml:space="preserve"> </w:t>
      </w:r>
      <w:r w:rsidR="00C34049" w:rsidRPr="00456C7B">
        <w:t>for the national HIV treatment program</w:t>
      </w:r>
      <w:r w:rsidR="006C07A4" w:rsidRPr="00456C7B">
        <w:t xml:space="preserve"> </w:t>
      </w:r>
      <w:r w:rsidR="006C07A4" w:rsidRPr="00456C7B">
        <w:fldChar w:fldCharType="begin"/>
      </w:r>
      <w:r w:rsidR="00A2659F">
        <w:instrText xml:space="preserve"> ADDIN EN.CITE &lt;EndNote&gt;&lt;Cite&gt;&lt;Author&gt;Siraprapasiri&lt;/Author&gt;&lt;Year&gt;2016&lt;/Year&gt;&lt;RecNum&gt;442&lt;/RecNum&gt;&lt;DisplayText&gt;(54)&lt;/DisplayText&gt;&lt;record&gt;&lt;rec-number&gt;442&lt;/rec-number&gt;&lt;foreign-keys&gt;&lt;key app="EN" db-id="dfp5tt9d12x9vhewffovwt2jvd9t5vpwzvxr" timestamp="1649208840"&gt;442&lt;/key&gt;&lt;/foreign-keys&gt;&lt;ref-type name="Journal Article"&gt;17&lt;/ref-type&gt;&lt;contributors&gt;&lt;authors&gt;&lt;author&gt;Siraprapasiri, Taweesap&lt;/author&gt;&lt;author&gt;Ongwangdee, Sumet&lt;/author&gt;&lt;author&gt;Benjarattanaporn, Patchara&lt;/author&gt;&lt;author&gt;Peerapatanapokin, Wiwat&lt;/author&gt;&lt;author&gt;Sharma, Mukta&lt;/author&gt;&lt;/authors&gt;&lt;/contributors&gt;&lt;titles&gt;&lt;title&gt;The impact of Thailand&amp;apos;s public health response to the HIV epidemic 1984–2015: understanding the ingredients of success&lt;/title&gt;&lt;secondary-title&gt;Journal of virus eradication&lt;/secondary-title&gt;&lt;/titles&gt;&lt;periodical&gt;&lt;full-title&gt;Journal of virus eradication&lt;/full-title&gt;&lt;/periodical&gt;&lt;pages&gt;7-14&lt;/pages&gt;&lt;volume&gt;2&lt;/volume&gt;&lt;dates&gt;&lt;year&gt;2016&lt;/year&gt;&lt;/dates&gt;&lt;isbn&gt;2055-6640&lt;/isbn&gt;&lt;urls&gt;&lt;/urls&gt;&lt;/record&gt;&lt;/Cite&gt;&lt;/EndNote&gt;</w:instrText>
      </w:r>
      <w:r w:rsidR="006C07A4" w:rsidRPr="00456C7B">
        <w:fldChar w:fldCharType="separate"/>
      </w:r>
      <w:r w:rsidR="00A2659F">
        <w:rPr>
          <w:noProof/>
        </w:rPr>
        <w:t>(54)</w:t>
      </w:r>
      <w:r w:rsidR="006C07A4" w:rsidRPr="00456C7B">
        <w:fldChar w:fldCharType="end"/>
      </w:r>
      <w:r w:rsidR="00C34049" w:rsidRPr="00456C7B">
        <w:t xml:space="preserve">. </w:t>
      </w:r>
      <w:r w:rsidR="000C0A99" w:rsidRPr="00456C7B">
        <w:t>Limiting the bilateral licence to include</w:t>
      </w:r>
      <w:r w:rsidR="00E3508D" w:rsidRPr="00456C7B">
        <w:t xml:space="preserve"> only </w:t>
      </w:r>
      <w:r w:rsidR="00E20FCD" w:rsidRPr="00456C7B">
        <w:t xml:space="preserve">Indian generic companies </w:t>
      </w:r>
      <w:r w:rsidR="006259BA" w:rsidRPr="00456C7B">
        <w:t>prohibits</w:t>
      </w:r>
      <w:r w:rsidR="00E20FCD" w:rsidRPr="00456C7B">
        <w:t xml:space="preserve"> Thailand from </w:t>
      </w:r>
      <w:r w:rsidR="00721CFB" w:rsidRPr="00456C7B">
        <w:t xml:space="preserve">using </w:t>
      </w:r>
      <w:r w:rsidR="006259BA" w:rsidRPr="00456C7B">
        <w:t xml:space="preserve">its own production capacity which is likely to be </w:t>
      </w:r>
      <w:r w:rsidR="00CC2E6F" w:rsidRPr="00456C7B">
        <w:t xml:space="preserve">less expensive </w:t>
      </w:r>
      <w:r w:rsidR="006259BA" w:rsidRPr="00456C7B">
        <w:t>and less</w:t>
      </w:r>
      <w:r w:rsidR="007B515B" w:rsidRPr="00456C7B">
        <w:t xml:space="preserve"> reliant on global supply chains</w:t>
      </w:r>
      <w:r w:rsidR="006259BA" w:rsidRPr="00456C7B">
        <w:t>.</w:t>
      </w:r>
      <w:r w:rsidR="001E2DAB" w:rsidRPr="00456C7B">
        <w:t xml:space="preserve"> </w:t>
      </w:r>
      <w:r w:rsidR="008F6184" w:rsidRPr="00456C7B">
        <w:t xml:space="preserve">It is anticipated that </w:t>
      </w:r>
      <w:r w:rsidR="007C1AB1" w:rsidRPr="00456C7B">
        <w:t xml:space="preserve">the </w:t>
      </w:r>
      <w:r w:rsidR="008F6184" w:rsidRPr="00456C7B">
        <w:t xml:space="preserve">GPO will obtain marketing approval for </w:t>
      </w:r>
      <w:r w:rsidR="00E3508D" w:rsidRPr="00456C7B">
        <w:t xml:space="preserve">its </w:t>
      </w:r>
      <w:r w:rsidR="008F6184" w:rsidRPr="00456C7B">
        <w:t>generic SOF/VEL in late 2022</w:t>
      </w:r>
      <w:r w:rsidR="0055324F" w:rsidRPr="00456C7B">
        <w:t xml:space="preserve"> and at that point, </w:t>
      </w:r>
      <w:r w:rsidR="00490D2A" w:rsidRPr="00456C7B">
        <w:t xml:space="preserve">local production and increased generic competition will </w:t>
      </w:r>
      <w:r w:rsidR="00934EF6" w:rsidRPr="00456C7B">
        <w:t>bring</w:t>
      </w:r>
      <w:r w:rsidR="00490D2A" w:rsidRPr="00456C7B">
        <w:t xml:space="preserve"> down the price of SOF/VEL</w:t>
      </w:r>
      <w:r w:rsidR="00334F63" w:rsidRPr="00456C7B">
        <w:t xml:space="preserve"> </w:t>
      </w:r>
      <w:r w:rsidR="00334F63" w:rsidRPr="00456C7B">
        <w:fldChar w:fldCharType="begin"/>
      </w:r>
      <w:r w:rsidR="00A2659F">
        <w:instrText xml:space="preserve"> ADDIN EN.CITE &lt;EndNote&gt;&lt;Cite&gt;&lt;Author&gt;Make Medicines Affordable&lt;/Author&gt;&lt;Year&gt;28 Feb 2022&lt;/Year&gt;&lt;RecNum&gt;428&lt;/RecNum&gt;&lt;DisplayText&gt;(55)&lt;/DisplayText&gt;&lt;record&gt;&lt;rec-number&gt;428&lt;/rec-number&gt;&lt;foreign-keys&gt;&lt;key app="EN" db-id="dfp5tt9d12x9vhewffovwt2jvd9t5vpwzvxr" timestamp="1648622487"&gt;428&lt;/key&gt;&lt;/foreign-keys&gt;&lt;ref-type name="Web Page"&gt;12&lt;/ref-type&gt;&lt;contributors&gt;&lt;authors&gt;&lt;author&gt;Make Medicines Affordable,&lt;/author&gt;&lt;/authors&gt;&lt;/contributors&gt;&lt;titles&gt;&lt;title&gt;TNP+ demands that Thailand’s Minister of Health “unlock” Hepatitis C treatment&lt;/title&gt;&lt;/titles&gt;&lt;volume&gt;2022&lt;/volume&gt;&lt;number&gt;30/3/2022&lt;/number&gt;&lt;dates&gt;&lt;year&gt;28 Feb 2022&lt;/year&gt;&lt;pub-dates&gt;&lt;date&gt;2022&lt;/date&gt;&lt;/pub-dates&gt;&lt;/dates&gt;&lt;urls&gt;&lt;related-urls&gt;&lt;url&gt;https://makemedicinesaffordable.org/tnp-demands-that-thailands-minister-of-health-unlock-hepatitis-c-treatment/&lt;/url&gt;&lt;/related-urls&gt;&lt;/urls&gt;&lt;custom1&gt;2022&lt;/custom1&gt;&lt;custom2&gt;30/3/2022&lt;/custom2&gt;&lt;/record&gt;&lt;/Cite&gt;&lt;/EndNote&gt;</w:instrText>
      </w:r>
      <w:r w:rsidR="00334F63" w:rsidRPr="00456C7B">
        <w:fldChar w:fldCharType="separate"/>
      </w:r>
      <w:r w:rsidR="00A2659F">
        <w:rPr>
          <w:noProof/>
        </w:rPr>
        <w:t>(55)</w:t>
      </w:r>
      <w:r w:rsidR="00334F63" w:rsidRPr="00456C7B">
        <w:fldChar w:fldCharType="end"/>
      </w:r>
      <w:r w:rsidR="00490D2A" w:rsidRPr="00456C7B">
        <w:t xml:space="preserve">. </w:t>
      </w:r>
      <w:r w:rsidR="00761F84" w:rsidRPr="00456C7B">
        <w:t>The bilateral licence has</w:t>
      </w:r>
      <w:r w:rsidR="00FF558B" w:rsidRPr="00456C7B">
        <w:t xml:space="preserve"> create</w:t>
      </w:r>
      <w:r w:rsidR="00761F84" w:rsidRPr="00456C7B">
        <w:t>d</w:t>
      </w:r>
      <w:r w:rsidR="00FF558B" w:rsidRPr="00456C7B">
        <w:t xml:space="preserve"> a pseudo</w:t>
      </w:r>
      <w:r w:rsidR="0055324F" w:rsidRPr="00456C7B">
        <w:t>-</w:t>
      </w:r>
      <w:r w:rsidR="00FF558B" w:rsidRPr="00456C7B">
        <w:t xml:space="preserve">monopoly for Indian companies included in the licence and </w:t>
      </w:r>
      <w:r w:rsidR="001039D5" w:rsidRPr="00456C7B">
        <w:t xml:space="preserve">empowered them </w:t>
      </w:r>
      <w:r w:rsidR="001D63C6" w:rsidRPr="00456C7B">
        <w:t>to charge</w:t>
      </w:r>
      <w:r w:rsidR="007A0EFE" w:rsidRPr="00456C7B">
        <w:t xml:space="preserve"> </w:t>
      </w:r>
      <w:r w:rsidR="001039D5" w:rsidRPr="00456C7B">
        <w:t>non-competitive</w:t>
      </w:r>
      <w:r w:rsidR="007A0EFE" w:rsidRPr="00456C7B">
        <w:t xml:space="preserve"> prices especially if only one of the companies decide</w:t>
      </w:r>
      <w:r w:rsidR="00761F84" w:rsidRPr="00456C7B">
        <w:t>s</w:t>
      </w:r>
      <w:r w:rsidR="007A0EFE" w:rsidRPr="00456C7B">
        <w:t xml:space="preserve"> to register in </w:t>
      </w:r>
      <w:r w:rsidR="00E3508D" w:rsidRPr="00456C7B">
        <w:t xml:space="preserve">a </w:t>
      </w:r>
      <w:r w:rsidR="007A0EFE" w:rsidRPr="00456C7B">
        <w:t>country</w:t>
      </w:r>
      <w:r w:rsidR="00246C02">
        <w:t>,</w:t>
      </w:r>
      <w:r w:rsidR="007A0EFE" w:rsidRPr="00456C7B">
        <w:t xml:space="preserve"> as is the case with Thailand. Despite the bilateral agreement in place </w:t>
      </w:r>
      <w:r w:rsidR="005C4BD4" w:rsidRPr="00456C7B">
        <w:t xml:space="preserve">and no patents </w:t>
      </w:r>
      <w:r w:rsidR="00E915DD" w:rsidRPr="00456C7B">
        <w:t xml:space="preserve">on DAAs, </w:t>
      </w:r>
      <w:r w:rsidR="007A0EFE" w:rsidRPr="00456C7B">
        <w:t xml:space="preserve">Thailand still </w:t>
      </w:r>
      <w:r w:rsidR="007A7B4C" w:rsidRPr="00456C7B">
        <w:t>paid</w:t>
      </w:r>
      <w:r w:rsidR="007A0EFE" w:rsidRPr="00456C7B">
        <w:t xml:space="preserve"> significantly </w:t>
      </w:r>
      <w:r w:rsidR="00FB09C5" w:rsidRPr="00456C7B">
        <w:t xml:space="preserve">more for generic SOF than the lowest price generic </w:t>
      </w:r>
      <w:r w:rsidR="00655149" w:rsidRPr="00456C7B">
        <w:t>available</w:t>
      </w:r>
      <w:r w:rsidR="009D33A8" w:rsidRPr="00456C7B">
        <w:t xml:space="preserve"> as demonstrated by scenario 1 versus scenario 3</w:t>
      </w:r>
      <w:r w:rsidR="00FB09C5" w:rsidRPr="00456C7B">
        <w:t>.</w:t>
      </w:r>
      <w:r w:rsidR="006F6AD6" w:rsidRPr="00456C7B">
        <w:t xml:space="preserve"> </w:t>
      </w:r>
    </w:p>
    <w:p w14:paraId="29AD4AB3" w14:textId="2E10F3A6" w:rsidR="0081086B" w:rsidRPr="00456C7B" w:rsidRDefault="006F6AD6" w:rsidP="00EA6F50">
      <w:pPr>
        <w:spacing w:line="360" w:lineRule="auto"/>
        <w:jc w:val="both"/>
      </w:pPr>
      <w:r w:rsidRPr="00456C7B">
        <w:t>Currently</w:t>
      </w:r>
      <w:r w:rsidR="00645219" w:rsidRPr="00456C7B">
        <w:t>,</w:t>
      </w:r>
      <w:r w:rsidRPr="00456C7B">
        <w:t xml:space="preserve"> </w:t>
      </w:r>
      <w:r w:rsidR="00716797" w:rsidRPr="00456C7B">
        <w:t xml:space="preserve">as there </w:t>
      </w:r>
      <w:r w:rsidR="00832C39" w:rsidRPr="00456C7B">
        <w:t>are</w:t>
      </w:r>
      <w:r w:rsidR="00716797" w:rsidRPr="00456C7B">
        <w:t xml:space="preserve"> no patent</w:t>
      </w:r>
      <w:r w:rsidR="00832C39" w:rsidRPr="00456C7B">
        <w:t xml:space="preserve">s granted for DAAs </w:t>
      </w:r>
      <w:r w:rsidR="008E0880" w:rsidRPr="00456C7B">
        <w:t>in Thailand,</w:t>
      </w:r>
      <w:r w:rsidR="00716797" w:rsidRPr="00456C7B">
        <w:t xml:space="preserve"> it is not locked into paying high price</w:t>
      </w:r>
      <w:r w:rsidR="008E0880" w:rsidRPr="00456C7B">
        <w:t>s</w:t>
      </w:r>
      <w:r w:rsidR="00716797" w:rsidRPr="00456C7B">
        <w:t xml:space="preserve"> for patented </w:t>
      </w:r>
      <w:r w:rsidR="00600307" w:rsidRPr="00456C7B">
        <w:t>DAA</w:t>
      </w:r>
      <w:r w:rsidR="00655149" w:rsidRPr="00456C7B">
        <w:t>s</w:t>
      </w:r>
      <w:r w:rsidR="00600307" w:rsidRPr="00456C7B">
        <w:t xml:space="preserve"> </w:t>
      </w:r>
      <w:r w:rsidR="008E0880" w:rsidRPr="00456C7B">
        <w:t xml:space="preserve">nor </w:t>
      </w:r>
      <w:r w:rsidR="00655149" w:rsidRPr="00456C7B">
        <w:t>is it</w:t>
      </w:r>
      <w:r w:rsidR="008E0880" w:rsidRPr="00456C7B">
        <w:t xml:space="preserve"> confined to the terms of Gilead’s bilateral licence</w:t>
      </w:r>
      <w:r w:rsidR="003C4F66" w:rsidRPr="00456C7B">
        <w:t xml:space="preserve">. It is </w:t>
      </w:r>
      <w:r w:rsidR="00210351" w:rsidRPr="00456C7B">
        <w:t xml:space="preserve">perplexing </w:t>
      </w:r>
      <w:r w:rsidR="003C4F66" w:rsidRPr="00456C7B">
        <w:t xml:space="preserve">why </w:t>
      </w:r>
      <w:r w:rsidR="00035C48" w:rsidRPr="00456C7B">
        <w:t xml:space="preserve">Thailand </w:t>
      </w:r>
      <w:r w:rsidR="00210351" w:rsidRPr="00456C7B">
        <w:t>was paying</w:t>
      </w:r>
      <w:r w:rsidR="003C4F66" w:rsidRPr="00456C7B">
        <w:t xml:space="preserve"> high generic prices when </w:t>
      </w:r>
      <w:r w:rsidR="00655149" w:rsidRPr="00456C7B">
        <w:t xml:space="preserve">it </w:t>
      </w:r>
      <w:r w:rsidR="003C4F66" w:rsidRPr="00456C7B">
        <w:t xml:space="preserve">could </w:t>
      </w:r>
      <w:r w:rsidR="00210351" w:rsidRPr="00456C7B">
        <w:t>have been</w:t>
      </w:r>
      <w:r w:rsidR="003C4F66" w:rsidRPr="00456C7B">
        <w:t xml:space="preserve"> sourcing much cheaper pan</w:t>
      </w:r>
      <w:r w:rsidR="0055324F" w:rsidRPr="00456C7B">
        <w:t>-</w:t>
      </w:r>
      <w:r w:rsidR="003C4F66" w:rsidRPr="00456C7B">
        <w:t xml:space="preserve"> genotypic regimes that </w:t>
      </w:r>
      <w:r w:rsidR="009B24D2" w:rsidRPr="00456C7B">
        <w:t xml:space="preserve">do not require genotype testing, saving both time and money. </w:t>
      </w:r>
      <w:r w:rsidR="00655149" w:rsidRPr="00456C7B">
        <w:t xml:space="preserve">It </w:t>
      </w:r>
      <w:r w:rsidR="00210351" w:rsidRPr="00456C7B">
        <w:t>w</w:t>
      </w:r>
      <w:r w:rsidR="00655149" w:rsidRPr="00456C7B">
        <w:t>as</w:t>
      </w:r>
      <w:r w:rsidR="00210351" w:rsidRPr="00456C7B">
        <w:t xml:space="preserve"> </w:t>
      </w:r>
      <w:r w:rsidR="00EA4042" w:rsidRPr="00456C7B">
        <w:t xml:space="preserve">also </w:t>
      </w:r>
      <w:r w:rsidR="00210351" w:rsidRPr="00456C7B">
        <w:t>using</w:t>
      </w:r>
      <w:r w:rsidR="00B410C9" w:rsidRPr="00456C7B">
        <w:t xml:space="preserve"> a superseded </w:t>
      </w:r>
      <w:r w:rsidR="00F332C7" w:rsidRPr="00456C7B">
        <w:t xml:space="preserve">regime (pegylated interferon and </w:t>
      </w:r>
      <w:r w:rsidR="004C0FFA" w:rsidRPr="00456C7B">
        <w:t>ribavirin</w:t>
      </w:r>
      <w:r w:rsidR="00F332C7" w:rsidRPr="00456C7B">
        <w:t xml:space="preserve">) that is no longer </w:t>
      </w:r>
      <w:r w:rsidR="004C0FFA" w:rsidRPr="00456C7B">
        <w:t>recommended</w:t>
      </w:r>
      <w:r w:rsidR="00F332C7" w:rsidRPr="00456C7B">
        <w:t xml:space="preserve"> by WHO</w:t>
      </w:r>
      <w:r w:rsidR="004C0FFA" w:rsidRPr="00456C7B">
        <w:t>, has a</w:t>
      </w:r>
      <w:r w:rsidR="007920EE" w:rsidRPr="00456C7B">
        <w:t xml:space="preserve"> longer treatment duration</w:t>
      </w:r>
      <w:r w:rsidR="004C0FFA" w:rsidRPr="00456C7B">
        <w:t>, is less efficacious</w:t>
      </w:r>
      <w:r w:rsidR="007920EE" w:rsidRPr="00456C7B">
        <w:t xml:space="preserve"> and is </w:t>
      </w:r>
      <w:r w:rsidR="004C0FFA" w:rsidRPr="00456C7B">
        <w:t>associated</w:t>
      </w:r>
      <w:r w:rsidR="007920EE" w:rsidRPr="00456C7B">
        <w:t xml:space="preserve"> with significant side effects.</w:t>
      </w:r>
      <w:r w:rsidR="004C0FFA" w:rsidRPr="00456C7B">
        <w:t xml:space="preserve"> </w:t>
      </w:r>
    </w:p>
    <w:p w14:paraId="0CD8382A" w14:textId="1441B022" w:rsidR="00EF4A53" w:rsidRPr="00456C7B" w:rsidRDefault="005044BC" w:rsidP="00EA6F50">
      <w:pPr>
        <w:spacing w:line="360" w:lineRule="auto"/>
        <w:jc w:val="both"/>
      </w:pPr>
      <w:r w:rsidRPr="00456C7B">
        <w:t xml:space="preserve">Scenario 4 </w:t>
      </w:r>
      <w:r w:rsidR="008F0A6B" w:rsidRPr="00456C7B">
        <w:t>includes a generic pan</w:t>
      </w:r>
      <w:r w:rsidR="0055324F" w:rsidRPr="00456C7B">
        <w:t>-</w:t>
      </w:r>
      <w:r w:rsidR="008F0A6B" w:rsidRPr="00456C7B">
        <w:t xml:space="preserve">genotypic regime </w:t>
      </w:r>
      <w:r w:rsidR="001413A8" w:rsidRPr="00456C7B">
        <w:t xml:space="preserve">that is recommended by WHO and does not require genotype testing. It is </w:t>
      </w:r>
      <w:r w:rsidR="000B714F" w:rsidRPr="00456C7B">
        <w:t xml:space="preserve">the </w:t>
      </w:r>
      <w:r w:rsidR="0055324F" w:rsidRPr="00456C7B">
        <w:t>least expensive</w:t>
      </w:r>
      <w:r w:rsidR="000B714F" w:rsidRPr="00456C7B">
        <w:t xml:space="preserve">, most effective treatment option </w:t>
      </w:r>
      <w:r w:rsidR="00645C78" w:rsidRPr="00456C7B">
        <w:t xml:space="preserve">with the fewest </w:t>
      </w:r>
      <w:r w:rsidR="00645C78" w:rsidRPr="00456C7B">
        <w:lastRenderedPageBreak/>
        <w:t xml:space="preserve">side effects available to Thailand. </w:t>
      </w:r>
      <w:r w:rsidR="00D66E08" w:rsidRPr="00456C7B">
        <w:t xml:space="preserve">Thailand has provided this option since </w:t>
      </w:r>
      <w:r w:rsidR="00C71A25" w:rsidRPr="00456C7B">
        <w:t xml:space="preserve">January </w:t>
      </w:r>
      <w:r w:rsidR="00D66E08" w:rsidRPr="00456C7B">
        <w:t>2021</w:t>
      </w:r>
      <w:r w:rsidR="00CC2A5C" w:rsidRPr="00456C7B">
        <w:t xml:space="preserve"> using </w:t>
      </w:r>
      <w:r w:rsidR="00C71A25" w:rsidRPr="00456C7B">
        <w:t xml:space="preserve">sofosbuvir and </w:t>
      </w:r>
      <w:proofErr w:type="spellStart"/>
      <w:r w:rsidR="00C71A25" w:rsidRPr="00456C7B">
        <w:t>velpatasvir</w:t>
      </w:r>
      <w:proofErr w:type="spellEnd"/>
      <w:r w:rsidR="00C71A25" w:rsidRPr="00456C7B">
        <w:t xml:space="preserve"> (SOF/VEL) </w:t>
      </w:r>
      <w:r w:rsidR="00CC2A5C" w:rsidRPr="00456C7B">
        <w:t>generics</w:t>
      </w:r>
      <w:r w:rsidR="0029488D" w:rsidRPr="00456C7B">
        <w:t xml:space="preserve"> </w:t>
      </w:r>
      <w:r w:rsidR="00EA6F50" w:rsidRPr="00456C7B">
        <w:t>from Mylan</w:t>
      </w:r>
      <w:r w:rsidR="0055324F" w:rsidRPr="00456C7B">
        <w:t>,</w:t>
      </w:r>
      <w:r w:rsidR="00EA6F50" w:rsidRPr="00456C7B">
        <w:t xml:space="preserve"> </w:t>
      </w:r>
      <w:r w:rsidR="0029488D" w:rsidRPr="00456C7B">
        <w:t xml:space="preserve">although access is </w:t>
      </w:r>
      <w:r w:rsidR="00DD1947" w:rsidRPr="00456C7B">
        <w:t xml:space="preserve">reported to be complicated by </w:t>
      </w:r>
      <w:r w:rsidR="0029488D" w:rsidRPr="00456C7B">
        <w:t xml:space="preserve">eligibility criteria, requirements for pre-treatment diagnostic tests, and </w:t>
      </w:r>
      <w:r w:rsidR="005466DC" w:rsidRPr="00456C7B">
        <w:t xml:space="preserve">the need for specialist administration of </w:t>
      </w:r>
      <w:r w:rsidR="0029488D" w:rsidRPr="00456C7B">
        <w:t xml:space="preserve">HCV treatment </w:t>
      </w:r>
      <w:r w:rsidR="0026063D" w:rsidRPr="00456C7B">
        <w:fldChar w:fldCharType="begin"/>
      </w:r>
      <w:r w:rsidR="00A2659F">
        <w:instrText xml:space="preserve"> ADDIN EN.CITE &lt;EndNote&gt;&lt;Cite&gt;&lt;Author&gt;Make Medicines Affordable&lt;/Author&gt;&lt;Year&gt;28 Feb 2022&lt;/Year&gt;&lt;RecNum&gt;428&lt;/RecNum&gt;&lt;DisplayText&gt;(55)&lt;/DisplayText&gt;&lt;record&gt;&lt;rec-number&gt;428&lt;/rec-number&gt;&lt;foreign-keys&gt;&lt;key app="EN" db-id="dfp5tt9d12x9vhewffovwt2jvd9t5vpwzvxr" timestamp="1648622487"&gt;428&lt;/key&gt;&lt;/foreign-keys&gt;&lt;ref-type name="Web Page"&gt;12&lt;/ref-type&gt;&lt;contributors&gt;&lt;authors&gt;&lt;author&gt;Make Medicines Affordable,&lt;/author&gt;&lt;/authors&gt;&lt;/contributors&gt;&lt;titles&gt;&lt;title&gt;TNP+ demands that Thailand’s Minister of Health “unlock” Hepatitis C treatment&lt;/title&gt;&lt;/titles&gt;&lt;volume&gt;2022&lt;/volume&gt;&lt;number&gt;30/3/2022&lt;/number&gt;&lt;dates&gt;&lt;year&gt;28 Feb 2022&lt;/year&gt;&lt;pub-dates&gt;&lt;date&gt;2022&lt;/date&gt;&lt;/pub-dates&gt;&lt;/dates&gt;&lt;urls&gt;&lt;related-urls&gt;&lt;url&gt;https://makemedicinesaffordable.org/tnp-demands-that-thailands-minister-of-health-unlock-hepatitis-c-treatment/&lt;/url&gt;&lt;/related-urls&gt;&lt;/urls&gt;&lt;custom1&gt;2022&lt;/custom1&gt;&lt;custom2&gt;30/3/2022&lt;/custom2&gt;&lt;/record&gt;&lt;/Cite&gt;&lt;/EndNote&gt;</w:instrText>
      </w:r>
      <w:r w:rsidR="0026063D" w:rsidRPr="00456C7B">
        <w:fldChar w:fldCharType="separate"/>
      </w:r>
      <w:r w:rsidR="00A2659F">
        <w:rPr>
          <w:noProof/>
        </w:rPr>
        <w:t>(55)</w:t>
      </w:r>
      <w:r w:rsidR="0026063D" w:rsidRPr="00456C7B">
        <w:fldChar w:fldCharType="end"/>
      </w:r>
      <w:r w:rsidR="00C71A25" w:rsidRPr="00456C7B">
        <w:t xml:space="preserve">. </w:t>
      </w:r>
      <w:r w:rsidR="009F013E" w:rsidRPr="00456C7B">
        <w:t xml:space="preserve">It is encouraging that Thailand has now adopted a </w:t>
      </w:r>
      <w:r w:rsidR="00C735BA" w:rsidRPr="00456C7B">
        <w:t>pan</w:t>
      </w:r>
      <w:r w:rsidR="0055324F" w:rsidRPr="00456C7B">
        <w:t>-</w:t>
      </w:r>
      <w:r w:rsidR="00C735BA" w:rsidRPr="00456C7B">
        <w:t>genotypic treatment regime</w:t>
      </w:r>
      <w:r w:rsidR="00655149" w:rsidRPr="00456C7B">
        <w:t>,</w:t>
      </w:r>
      <w:r w:rsidR="00C735BA" w:rsidRPr="00456C7B">
        <w:t xml:space="preserve"> however t</w:t>
      </w:r>
      <w:r w:rsidR="00CC2A5C" w:rsidRPr="00456C7B">
        <w:t>he ability to continue to access this product at this price could be impacted</w:t>
      </w:r>
      <w:r w:rsidR="003D3762" w:rsidRPr="00456C7B">
        <w:t xml:space="preserve"> if a patent is granted. </w:t>
      </w:r>
    </w:p>
    <w:p w14:paraId="16B26EF3" w14:textId="2E2FC17A" w:rsidR="00992EA2" w:rsidRPr="00456C7B" w:rsidRDefault="00DD5B57" w:rsidP="00EA6F50">
      <w:pPr>
        <w:spacing w:line="360" w:lineRule="auto"/>
        <w:jc w:val="both"/>
      </w:pPr>
      <w:r w:rsidRPr="00456C7B">
        <w:t>If Thailand joined the CPTPP</w:t>
      </w:r>
      <w:r w:rsidR="00B15B68" w:rsidRPr="00456C7B">
        <w:t>,</w:t>
      </w:r>
      <w:r w:rsidRPr="00456C7B">
        <w:t xml:space="preserve"> </w:t>
      </w:r>
      <w:r w:rsidR="0055324F" w:rsidRPr="00456C7B">
        <w:t xml:space="preserve">the </w:t>
      </w:r>
      <w:r w:rsidR="00B15B68" w:rsidRPr="00456C7B">
        <w:t>A</w:t>
      </w:r>
      <w:r w:rsidR="0055324F" w:rsidRPr="00456C7B">
        <w:t>greement</w:t>
      </w:r>
      <w:r w:rsidRPr="00456C7B">
        <w:t xml:space="preserve"> could potentially lock </w:t>
      </w:r>
      <w:r w:rsidR="00655149" w:rsidRPr="00456C7B">
        <w:t xml:space="preserve">it </w:t>
      </w:r>
      <w:r w:rsidRPr="00456C7B">
        <w:t>into paying high prices for patented DAA</w:t>
      </w:r>
      <w:r w:rsidR="00C0193B" w:rsidRPr="00456C7B">
        <w:t xml:space="preserve">s and or limit Thailand to </w:t>
      </w:r>
      <w:r w:rsidR="00A8056C" w:rsidRPr="00456C7B">
        <w:t xml:space="preserve">buying from </w:t>
      </w:r>
      <w:r w:rsidR="001E44D3" w:rsidRPr="00456C7B">
        <w:t xml:space="preserve">Indian generic companies included in </w:t>
      </w:r>
      <w:r w:rsidR="00C0193B" w:rsidRPr="00456C7B">
        <w:t>bilateral pharmaceutical voluntary licences</w:t>
      </w:r>
      <w:r w:rsidR="001E44D3" w:rsidRPr="00456C7B">
        <w:t xml:space="preserve">. This </w:t>
      </w:r>
      <w:r w:rsidR="0055324F" w:rsidRPr="00456C7B">
        <w:t xml:space="preserve">arrangement </w:t>
      </w:r>
      <w:r w:rsidR="001E44D3" w:rsidRPr="00456C7B">
        <w:t>w</w:t>
      </w:r>
      <w:r w:rsidR="00C51515" w:rsidRPr="00456C7B">
        <w:t>ould</w:t>
      </w:r>
      <w:r w:rsidR="001E44D3" w:rsidRPr="00456C7B">
        <w:t xml:space="preserve"> </w:t>
      </w:r>
      <w:r w:rsidR="00561483" w:rsidRPr="00456C7B">
        <w:t xml:space="preserve">compromise </w:t>
      </w:r>
      <w:r w:rsidR="00655149" w:rsidRPr="00456C7B">
        <w:t xml:space="preserve">its </w:t>
      </w:r>
      <w:r w:rsidR="00561483" w:rsidRPr="00456C7B">
        <w:t xml:space="preserve">purchasing power and </w:t>
      </w:r>
      <w:r w:rsidR="00C0193B" w:rsidRPr="00456C7B">
        <w:t xml:space="preserve">restrict Thailand from </w:t>
      </w:r>
      <w:r w:rsidR="00561483" w:rsidRPr="00456C7B">
        <w:t xml:space="preserve">producing </w:t>
      </w:r>
      <w:r w:rsidR="00655149" w:rsidRPr="00456C7B">
        <w:t xml:space="preserve">its </w:t>
      </w:r>
      <w:r w:rsidR="00561483" w:rsidRPr="00456C7B">
        <w:t>own DAAs</w:t>
      </w:r>
      <w:r w:rsidR="006E12D4" w:rsidRPr="00456C7B">
        <w:t>,</w:t>
      </w:r>
      <w:r w:rsidR="00561483" w:rsidRPr="00456C7B">
        <w:t xml:space="preserve"> which </w:t>
      </w:r>
      <w:r w:rsidR="001E44D3" w:rsidRPr="00456C7B">
        <w:t>it</w:t>
      </w:r>
      <w:r w:rsidR="00561483" w:rsidRPr="00456C7B">
        <w:t xml:space="preserve"> has the </w:t>
      </w:r>
      <w:r w:rsidR="002A0085" w:rsidRPr="00456C7B">
        <w:t xml:space="preserve">industrial capacity to do. </w:t>
      </w:r>
      <w:r w:rsidR="00CD1D9E" w:rsidRPr="00456C7B">
        <w:t xml:space="preserve">Joining the CPTPP does not </w:t>
      </w:r>
      <w:r w:rsidR="00923067" w:rsidRPr="00456C7B">
        <w:t xml:space="preserve">restrict </w:t>
      </w:r>
      <w:r w:rsidR="00855D59" w:rsidRPr="00456C7B">
        <w:t>Thailand</w:t>
      </w:r>
      <w:r w:rsidR="00923067" w:rsidRPr="00456C7B">
        <w:t xml:space="preserve">’s ability to issue a compulsory licence to access cheaper generics </w:t>
      </w:r>
      <w:r w:rsidR="00F263B3" w:rsidRPr="00456C7B">
        <w:t>and so this remains a viable option</w:t>
      </w:r>
      <w:r w:rsidR="00246C02">
        <w:t>,</w:t>
      </w:r>
      <w:r w:rsidR="00F263B3" w:rsidRPr="00456C7B">
        <w:t xml:space="preserve"> however </w:t>
      </w:r>
      <w:r w:rsidR="00293E53" w:rsidRPr="00456C7B">
        <w:t>it is possible that Thailand could face ISDS disputes over compulsory licenses</w:t>
      </w:r>
      <w:r w:rsidR="006B4E4D" w:rsidRPr="00456C7B">
        <w:t>.</w:t>
      </w:r>
      <w:r w:rsidR="00342901" w:rsidRPr="00456C7B">
        <w:t xml:space="preserve"> </w:t>
      </w:r>
      <w:r w:rsidR="00124454">
        <w:t>C</w:t>
      </w:r>
      <w:r w:rsidR="00F179FB" w:rsidRPr="00456C7B">
        <w:t xml:space="preserve">ompulsory </w:t>
      </w:r>
      <w:r w:rsidR="00B5257A" w:rsidRPr="00456C7B">
        <w:t>licensing</w:t>
      </w:r>
      <w:r w:rsidR="00E72F86" w:rsidRPr="00456C7B">
        <w:t xml:space="preserve"> </w:t>
      </w:r>
      <w:r w:rsidR="009F74F2" w:rsidRPr="00456C7B">
        <w:t>is often an on</w:t>
      </w:r>
      <w:r w:rsidR="00BE03F0" w:rsidRPr="00456C7B">
        <w:t xml:space="preserve">erous and </w:t>
      </w:r>
      <w:r w:rsidR="00C30A08" w:rsidRPr="00456C7B">
        <w:t>tedious</w:t>
      </w:r>
      <w:r w:rsidR="0058330A" w:rsidRPr="00456C7B">
        <w:t xml:space="preserve"> process and </w:t>
      </w:r>
      <w:r w:rsidR="00E72F86" w:rsidRPr="00456C7B">
        <w:t xml:space="preserve">comes with its own challenges. </w:t>
      </w:r>
      <w:r w:rsidR="00F263B3" w:rsidRPr="00456C7B">
        <w:t xml:space="preserve">Thailand faced enormous backlash </w:t>
      </w:r>
      <w:r w:rsidR="00AE2413" w:rsidRPr="00456C7B">
        <w:t xml:space="preserve">from the USA and pharmaceutical company Abbott </w:t>
      </w:r>
      <w:r w:rsidR="00BE03F0" w:rsidRPr="00456C7B">
        <w:t xml:space="preserve">Laboratories </w:t>
      </w:r>
      <w:r w:rsidR="00E72F86" w:rsidRPr="00456C7B">
        <w:t xml:space="preserve">when it </w:t>
      </w:r>
      <w:r w:rsidR="00C30A08" w:rsidRPr="00456C7B">
        <w:t>issued seven</w:t>
      </w:r>
      <w:r w:rsidR="00BE03F0" w:rsidRPr="00456C7B">
        <w:t xml:space="preserve"> </w:t>
      </w:r>
      <w:r w:rsidR="00E72F86" w:rsidRPr="00456C7B">
        <w:t xml:space="preserve">compulsory licences in the past. </w:t>
      </w:r>
      <w:r w:rsidR="00626E26" w:rsidRPr="00456C7B">
        <w:t xml:space="preserve">Following the </w:t>
      </w:r>
      <w:r w:rsidR="00C30A08" w:rsidRPr="00456C7B">
        <w:t xml:space="preserve">licences, the USA placed Thailand on the </w:t>
      </w:r>
      <w:r w:rsidR="00D95DD2" w:rsidRPr="00456C7B">
        <w:t xml:space="preserve">United States Trade Representative (USTR) Priority Watch List under Special 301 of the Omnibus Trade and Competitiveness Act of 1988. It also threatened to </w:t>
      </w:r>
      <w:r w:rsidR="00190556" w:rsidRPr="00456C7B">
        <w:t>rescind</w:t>
      </w:r>
      <w:r w:rsidR="00D95DD2" w:rsidRPr="00456C7B">
        <w:t xml:space="preserve"> the trade privileges </w:t>
      </w:r>
      <w:r w:rsidR="00190556" w:rsidRPr="00456C7B">
        <w:t>granted</w:t>
      </w:r>
      <w:r w:rsidR="00D95DD2" w:rsidRPr="00456C7B">
        <w:t xml:space="preserve"> to Thailand under the Generalised System of Preferences</w:t>
      </w:r>
      <w:r w:rsidR="00C551F9" w:rsidRPr="00456C7B">
        <w:t xml:space="preserve"> </w:t>
      </w:r>
      <w:r w:rsidR="00C551F9" w:rsidRPr="00456C7B">
        <w:fldChar w:fldCharType="begin"/>
      </w:r>
      <w:r w:rsidR="00A2659F">
        <w:instrText xml:space="preserve"> ADDIN EN.CITE &lt;EndNote&gt;&lt;Cite&gt;&lt;Author&gt;Kuanpoth&lt;/Author&gt;&lt;Year&gt;2015&lt;/Year&gt;&lt;RecNum&gt;370&lt;/RecNum&gt;&lt;DisplayText&gt;(56)&lt;/DisplayText&gt;&lt;record&gt;&lt;rec-number&gt;370&lt;/rec-number&gt;&lt;foreign-keys&gt;&lt;key app="EN" db-id="dfp5tt9d12x9vhewffovwt2jvd9t5vpwzvxr" timestamp="1639356929"&gt;370&lt;/key&gt;&lt;/foreign-keys&gt;&lt;ref-type name="Book Section"&gt;5&lt;/ref-type&gt;&lt;contributors&gt;&lt;authors&gt;&lt;author&gt;Kuanpoth, Jakkrit&lt;/author&gt;&lt;/authors&gt;&lt;/contributors&gt;&lt;titles&gt;&lt;title&gt;Compulsory licences: law and practice in Thailand&lt;/title&gt;&lt;secondary-title&gt;Compulsory Licensing&lt;/secondary-title&gt;&lt;/titles&gt;&lt;pages&gt;61-77&lt;/pages&gt;&lt;dates&gt;&lt;year&gt;2015&lt;/year&gt;&lt;/dates&gt;&lt;publisher&gt;Springer&lt;/publisher&gt;&lt;urls&gt;&lt;/urls&gt;&lt;/record&gt;&lt;/Cite&gt;&lt;/EndNote&gt;</w:instrText>
      </w:r>
      <w:r w:rsidR="00C551F9" w:rsidRPr="00456C7B">
        <w:fldChar w:fldCharType="separate"/>
      </w:r>
      <w:r w:rsidR="00A2659F">
        <w:rPr>
          <w:noProof/>
        </w:rPr>
        <w:t>(56)</w:t>
      </w:r>
      <w:r w:rsidR="00C551F9" w:rsidRPr="00456C7B">
        <w:fldChar w:fldCharType="end"/>
      </w:r>
      <w:r w:rsidR="00D95DD2" w:rsidRPr="00456C7B">
        <w:t xml:space="preserve">. </w:t>
      </w:r>
      <w:r w:rsidR="00C6628F" w:rsidRPr="00456C7B">
        <w:t xml:space="preserve">Abbott refused to register any new </w:t>
      </w:r>
      <w:r w:rsidR="006A6BFE" w:rsidRPr="00456C7B">
        <w:t>medicines</w:t>
      </w:r>
      <w:r w:rsidR="00C6628F" w:rsidRPr="00456C7B">
        <w:t xml:space="preserve"> in Thailand and withdrew any </w:t>
      </w:r>
      <w:r w:rsidR="006A6BFE" w:rsidRPr="00456C7B">
        <w:t>medicines</w:t>
      </w:r>
      <w:r w:rsidR="00C6628F" w:rsidRPr="00456C7B">
        <w:t xml:space="preserve"> it had awaiting registration</w:t>
      </w:r>
      <w:r w:rsidR="000D1EF0" w:rsidRPr="00456C7B">
        <w:t xml:space="preserve"> </w:t>
      </w:r>
      <w:r w:rsidR="000D1EF0" w:rsidRPr="00456C7B">
        <w:fldChar w:fldCharType="begin"/>
      </w:r>
      <w:r w:rsidR="00A2659F">
        <w:instrText xml:space="preserve"> ADDIN EN.CITE &lt;EndNote&gt;&lt;Cite&gt;&lt;Author&gt;Glaser&lt;/Author&gt;&lt;Year&gt;2010&lt;/Year&gt;&lt;RecNum&gt;472&lt;/RecNum&gt;&lt;DisplayText&gt;(57)&lt;/DisplayText&gt;&lt;record&gt;&lt;rec-number&gt;472&lt;/rec-number&gt;&lt;foreign-keys&gt;&lt;key app="EN" db-id="dfp5tt9d12x9vhewffovwt2jvd9t5vpwzvxr" timestamp="1658471012"&gt;472&lt;/key&gt;&lt;/foreign-keys&gt;&lt;ref-type name="Journal Article"&gt;17&lt;/ref-type&gt;&lt;contributors&gt;&lt;authors&gt;&lt;author&gt;Glaser, Mishka&lt;/author&gt;&lt;author&gt;Murphy, Ann Marie&lt;/author&gt;&lt;/authors&gt;&lt;/contributors&gt;&lt;titles&gt;&lt;title&gt;Patients versus patents: Thailand and the politics of access to pharmaceutical products&lt;/title&gt;&lt;secondary-title&gt;Journal of Third World Studies&lt;/secondary-title&gt;&lt;/titles&gt;&lt;periodical&gt;&lt;full-title&gt;Journal of Third World Studies&lt;/full-title&gt;&lt;/periodical&gt;&lt;pages&gt;215-234&lt;/pages&gt;&lt;volume&gt;27&lt;/volume&gt;&lt;number&gt;1&lt;/number&gt;&lt;dates&gt;&lt;year&gt;2010&lt;/year&gt;&lt;/dates&gt;&lt;isbn&gt;8755-3449&lt;/isbn&gt;&lt;urls&gt;&lt;/urls&gt;&lt;/record&gt;&lt;/Cite&gt;&lt;/EndNote&gt;</w:instrText>
      </w:r>
      <w:r w:rsidR="000D1EF0" w:rsidRPr="00456C7B">
        <w:fldChar w:fldCharType="separate"/>
      </w:r>
      <w:r w:rsidR="00A2659F">
        <w:rPr>
          <w:noProof/>
        </w:rPr>
        <w:t>(57)</w:t>
      </w:r>
      <w:r w:rsidR="000D1EF0" w:rsidRPr="00456C7B">
        <w:fldChar w:fldCharType="end"/>
      </w:r>
      <w:r w:rsidR="00C6628F" w:rsidRPr="00456C7B">
        <w:t xml:space="preserve">. </w:t>
      </w:r>
      <w:r w:rsidR="00AE2413" w:rsidRPr="00456C7B">
        <w:t xml:space="preserve">This </w:t>
      </w:r>
      <w:r w:rsidR="00D72CC2" w:rsidRPr="00456C7B">
        <w:t xml:space="preserve">may make </w:t>
      </w:r>
      <w:r w:rsidR="00882200" w:rsidRPr="00456C7B">
        <w:t>Thailand</w:t>
      </w:r>
      <w:r w:rsidR="00D72CC2" w:rsidRPr="00456C7B">
        <w:t xml:space="preserve"> </w:t>
      </w:r>
      <w:r w:rsidR="000B6563" w:rsidRPr="00456C7B">
        <w:t>hesitant</w:t>
      </w:r>
      <w:r w:rsidR="00D72CC2" w:rsidRPr="00456C7B">
        <w:t xml:space="preserve"> to pursue this option.</w:t>
      </w:r>
      <w:r w:rsidR="00DB146D" w:rsidRPr="00456C7B">
        <w:t xml:space="preserve"> </w:t>
      </w:r>
    </w:p>
    <w:p w14:paraId="646A129F" w14:textId="2DA5ADE4" w:rsidR="00992EA2" w:rsidRPr="00456C7B" w:rsidRDefault="00992EA2" w:rsidP="00EA6F50">
      <w:pPr>
        <w:pStyle w:val="Heading1"/>
        <w:spacing w:line="360" w:lineRule="auto"/>
      </w:pPr>
      <w:r w:rsidRPr="00456C7B">
        <w:t>Limitations</w:t>
      </w:r>
    </w:p>
    <w:p w14:paraId="2C090FB0" w14:textId="598C1775" w:rsidR="00992EA2" w:rsidRPr="00456C7B" w:rsidRDefault="00992EA2" w:rsidP="00EA6F50">
      <w:pPr>
        <w:spacing w:line="360" w:lineRule="auto"/>
        <w:jc w:val="both"/>
      </w:pPr>
      <w:r w:rsidRPr="00456C7B">
        <w:t>Scenarios 1-3 d</w:t>
      </w:r>
      <w:r w:rsidR="00A52CAF" w:rsidRPr="00456C7B">
        <w:t>id</w:t>
      </w:r>
      <w:r w:rsidRPr="00456C7B">
        <w:t xml:space="preserve"> not </w:t>
      </w:r>
      <w:r w:rsidR="005A0319" w:rsidRPr="00456C7B">
        <w:t xml:space="preserve">calculate the full cost of treatment, only the </w:t>
      </w:r>
      <w:r w:rsidR="00BD2B24" w:rsidRPr="00456C7B">
        <w:t xml:space="preserve">cost of the </w:t>
      </w:r>
      <w:r w:rsidR="005A0319" w:rsidRPr="00456C7B">
        <w:t>DAA component</w:t>
      </w:r>
      <w:r w:rsidR="00BD2B24" w:rsidRPr="00456C7B">
        <w:t xml:space="preserve"> for the reason mentioned in</w:t>
      </w:r>
      <w:r w:rsidR="00342B87" w:rsidRPr="00456C7B">
        <w:t xml:space="preserve"> </w:t>
      </w:r>
      <w:r w:rsidR="00BD2B24" w:rsidRPr="00456C7B">
        <w:t xml:space="preserve">footnote </w:t>
      </w:r>
      <w:r w:rsidR="00607571" w:rsidRPr="00456C7B">
        <w:t>1</w:t>
      </w:r>
      <w:r w:rsidR="005A0319" w:rsidRPr="00456C7B">
        <w:t xml:space="preserve">. </w:t>
      </w:r>
      <w:r w:rsidR="001B1FE0" w:rsidRPr="00456C7B">
        <w:t xml:space="preserve">The </w:t>
      </w:r>
      <w:r w:rsidR="002C0289" w:rsidRPr="00456C7B">
        <w:t xml:space="preserve">2020 </w:t>
      </w:r>
      <w:r w:rsidR="001E79D2" w:rsidRPr="00456C7B">
        <w:t xml:space="preserve">Thai </w:t>
      </w:r>
      <w:r w:rsidR="001B1FE0" w:rsidRPr="00456C7B">
        <w:t>t</w:t>
      </w:r>
      <w:r w:rsidR="006C3F34" w:rsidRPr="00456C7B">
        <w:t xml:space="preserve">reatment </w:t>
      </w:r>
      <w:r w:rsidR="001B1FE0" w:rsidRPr="00456C7B">
        <w:t xml:space="preserve">regime </w:t>
      </w:r>
      <w:r w:rsidR="006C3F34" w:rsidRPr="00456C7B">
        <w:t>for g</w:t>
      </w:r>
      <w:r w:rsidR="007F4182" w:rsidRPr="00456C7B">
        <w:t xml:space="preserve">enotype 3, the most common HCV </w:t>
      </w:r>
      <w:r w:rsidR="00A52CAF" w:rsidRPr="00456C7B">
        <w:t>genotype</w:t>
      </w:r>
      <w:r w:rsidR="007F4182" w:rsidRPr="00456C7B">
        <w:t xml:space="preserve"> in Thailand</w:t>
      </w:r>
      <w:r w:rsidR="00BE513E" w:rsidRPr="00456C7B">
        <w:t>,</w:t>
      </w:r>
      <w:r w:rsidR="007F4182" w:rsidRPr="00456C7B">
        <w:t xml:space="preserve"> require</w:t>
      </w:r>
      <w:r w:rsidR="002C0289" w:rsidRPr="00456C7B">
        <w:t>d</w:t>
      </w:r>
      <w:r w:rsidR="007F4182" w:rsidRPr="00456C7B">
        <w:t xml:space="preserve"> treatment with </w:t>
      </w:r>
      <w:r w:rsidR="001B1FE0" w:rsidRPr="00456C7B">
        <w:t>pegylated</w:t>
      </w:r>
      <w:r w:rsidR="00786634" w:rsidRPr="00456C7B">
        <w:t xml:space="preserve"> interferon and </w:t>
      </w:r>
      <w:r w:rsidR="001B1FE0" w:rsidRPr="00456C7B">
        <w:t>ribavirin</w:t>
      </w:r>
      <w:r w:rsidR="00643711" w:rsidRPr="00456C7B">
        <w:t xml:space="preserve"> </w:t>
      </w:r>
      <w:proofErr w:type="gramStart"/>
      <w:r w:rsidR="00643711" w:rsidRPr="00456C7B">
        <w:t>on the basis of</w:t>
      </w:r>
      <w:proofErr w:type="gramEnd"/>
      <w:r w:rsidR="00643711" w:rsidRPr="00456C7B">
        <w:t xml:space="preserve"> cost</w:t>
      </w:r>
      <w:r w:rsidR="001B1FE0" w:rsidRPr="00456C7B">
        <w:t xml:space="preserve">. </w:t>
      </w:r>
      <w:r w:rsidR="00643711" w:rsidRPr="00456C7B">
        <w:t>However, t</w:t>
      </w:r>
      <w:r w:rsidR="001B1FE0" w:rsidRPr="00456C7B">
        <w:t xml:space="preserve">his </w:t>
      </w:r>
      <w:r w:rsidR="009801F6" w:rsidRPr="00456C7B">
        <w:t xml:space="preserve">treatment </w:t>
      </w:r>
      <w:r w:rsidR="006A1A01" w:rsidRPr="00456C7B">
        <w:t xml:space="preserve">is no longer recommended by the WHO and </w:t>
      </w:r>
      <w:r w:rsidR="009801F6" w:rsidRPr="00456C7B">
        <w:t xml:space="preserve">has been </w:t>
      </w:r>
      <w:r w:rsidR="00BE513E" w:rsidRPr="00456C7B">
        <w:t>superseded</w:t>
      </w:r>
      <w:r w:rsidR="009801F6" w:rsidRPr="00456C7B">
        <w:t xml:space="preserve"> by </w:t>
      </w:r>
      <w:proofErr w:type="gramStart"/>
      <w:r w:rsidR="00BE513E" w:rsidRPr="00456C7B">
        <w:t>pan</w:t>
      </w:r>
      <w:r w:rsidR="00367E40" w:rsidRPr="00456C7B">
        <w:t>-</w:t>
      </w:r>
      <w:r w:rsidR="00BE513E" w:rsidRPr="00456C7B">
        <w:t>genotypic</w:t>
      </w:r>
      <w:proofErr w:type="gramEnd"/>
      <w:r w:rsidR="00BE513E" w:rsidRPr="00456C7B">
        <w:t xml:space="preserve"> </w:t>
      </w:r>
      <w:r w:rsidR="009A2B8E" w:rsidRPr="00456C7B">
        <w:t>DAA</w:t>
      </w:r>
      <w:r w:rsidR="00BB3236" w:rsidRPr="00456C7B">
        <w:t>.</w:t>
      </w:r>
      <w:r w:rsidR="00E914AB" w:rsidRPr="00456C7B">
        <w:t xml:space="preserve"> </w:t>
      </w:r>
      <w:r w:rsidR="002102EB" w:rsidRPr="00456C7B">
        <w:t>Therefore,</w:t>
      </w:r>
      <w:r w:rsidR="00E914AB" w:rsidRPr="00456C7B">
        <w:t xml:space="preserve"> treatment costs of scenario</w:t>
      </w:r>
      <w:r w:rsidR="00655149" w:rsidRPr="00456C7B">
        <w:t>s</w:t>
      </w:r>
      <w:r w:rsidR="00E914AB" w:rsidRPr="00456C7B">
        <w:t xml:space="preserve"> 1-3 are underestimates whereas scenario </w:t>
      </w:r>
      <w:r w:rsidR="002102EB" w:rsidRPr="00456C7B">
        <w:t xml:space="preserve">4 </w:t>
      </w:r>
      <w:r w:rsidR="00E914AB" w:rsidRPr="00456C7B">
        <w:t xml:space="preserve">calculates the complete cost of hepatitis C </w:t>
      </w:r>
      <w:r w:rsidR="008A2221" w:rsidRPr="00456C7B">
        <w:t xml:space="preserve">(all genotypes) </w:t>
      </w:r>
      <w:r w:rsidR="00E914AB" w:rsidRPr="00456C7B">
        <w:t>treatment</w:t>
      </w:r>
      <w:r w:rsidR="008A2221" w:rsidRPr="00456C7B">
        <w:t xml:space="preserve">. </w:t>
      </w:r>
    </w:p>
    <w:p w14:paraId="230D4A37" w14:textId="63413B81" w:rsidR="00A333DC" w:rsidRPr="00456C7B" w:rsidRDefault="001C6D72" w:rsidP="00EA6F50">
      <w:pPr>
        <w:spacing w:line="360" w:lineRule="auto"/>
        <w:jc w:val="both"/>
      </w:pPr>
      <w:r w:rsidRPr="00456C7B">
        <w:t>In contrast to retrospective studies, p</w:t>
      </w:r>
      <w:r w:rsidR="005D39D4" w:rsidRPr="00456C7B">
        <w:t xml:space="preserve">rospective studies of </w:t>
      </w:r>
      <w:r w:rsidR="00873C28" w:rsidRPr="00456C7B">
        <w:t xml:space="preserve">the impact of </w:t>
      </w:r>
      <w:r w:rsidR="002F1CB9" w:rsidRPr="00456C7B">
        <w:t>trade agreement</w:t>
      </w:r>
      <w:r w:rsidR="00873C28" w:rsidRPr="00456C7B">
        <w:t>s</w:t>
      </w:r>
      <w:r w:rsidR="002F1CB9" w:rsidRPr="00456C7B">
        <w:t xml:space="preserve"> </w:t>
      </w:r>
      <w:r w:rsidR="00C4036E" w:rsidRPr="00456C7B">
        <w:t xml:space="preserve">tend </w:t>
      </w:r>
      <w:r w:rsidRPr="00456C7B">
        <w:t xml:space="preserve">to </w:t>
      </w:r>
      <w:r w:rsidR="00C67C77" w:rsidRPr="00456C7B">
        <w:t xml:space="preserve">find </w:t>
      </w:r>
      <w:r w:rsidR="00A5305E" w:rsidRPr="00456C7B">
        <w:t>larger negative effects of stronger IP provisions on prices and costs of medicines</w:t>
      </w:r>
      <w:r w:rsidR="00B56ECD" w:rsidRPr="00456C7B">
        <w:t xml:space="preserve"> </w:t>
      </w:r>
      <w:r w:rsidR="0029703D" w:rsidRPr="00456C7B">
        <w:fldChar w:fldCharType="begin">
          <w:fldData xml:space="preserve">PEVuZE5vdGU+PENpdGU+PEF1dGhvcj5Jc2xhbTwvQXV0aG9yPjxZZWFyPjIwMTk8L1llYXI+PFJl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</w:fldData>
        </w:fldChar>
      </w:r>
      <w:r w:rsidR="00A2659F">
        <w:instrText xml:space="preserve"> ADDIN EN.CITE </w:instrText>
      </w:r>
      <w:r w:rsidR="00A2659F">
        <w:fldChar w:fldCharType="begin">
          <w:fldData xml:space="preserve">PEVuZE5vdGU+PENpdGU+PEF1dGhvcj5Jc2xhbTwvQXV0aG9yPjxZZWFyPjIwMTk8L1llYXI+PFJl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</w:fldData>
        </w:fldChar>
      </w:r>
      <w:r w:rsidR="00A2659F">
        <w:instrText xml:space="preserve"> ADDIN EN.CITE.DATA </w:instrText>
      </w:r>
      <w:r w:rsidR="00A2659F">
        <w:fldChar w:fldCharType="end"/>
      </w:r>
      <w:r w:rsidR="0029703D" w:rsidRPr="00456C7B">
        <w:fldChar w:fldCharType="separate"/>
      </w:r>
      <w:r w:rsidR="00A2659F">
        <w:rPr>
          <w:noProof/>
        </w:rPr>
        <w:t>(58)</w:t>
      </w:r>
      <w:r w:rsidR="0029703D" w:rsidRPr="00456C7B">
        <w:fldChar w:fldCharType="end"/>
      </w:r>
      <w:r w:rsidR="00A5305E" w:rsidRPr="00456C7B">
        <w:t xml:space="preserve">. </w:t>
      </w:r>
      <w:r w:rsidR="006E5BDB" w:rsidRPr="00456C7B">
        <w:t>As this is a prospective analysis</w:t>
      </w:r>
      <w:r w:rsidR="00B56ECD" w:rsidRPr="00456C7B">
        <w:t>,</w:t>
      </w:r>
      <w:r w:rsidR="006E5BDB" w:rsidRPr="00456C7B">
        <w:t xml:space="preserve"> it is possible that </w:t>
      </w:r>
      <w:r w:rsidR="000D48F6" w:rsidRPr="00456C7B">
        <w:t xml:space="preserve">assumptions made in this study overestimate the </w:t>
      </w:r>
      <w:r w:rsidR="008F037E" w:rsidRPr="00456C7B">
        <w:t xml:space="preserve">likely </w:t>
      </w:r>
      <w:r w:rsidR="000D48F6" w:rsidRPr="00456C7B">
        <w:t xml:space="preserve">impact of the CPTPP. </w:t>
      </w:r>
    </w:p>
    <w:p w14:paraId="68941942" w14:textId="7C24585F" w:rsidR="00E832CA" w:rsidRPr="00456C7B" w:rsidRDefault="00B97CD3" w:rsidP="00EA6F50">
      <w:pPr>
        <w:spacing w:line="360" w:lineRule="auto"/>
        <w:jc w:val="both"/>
      </w:pPr>
      <w:r w:rsidRPr="00456C7B">
        <w:lastRenderedPageBreak/>
        <w:t>In addition, this</w:t>
      </w:r>
      <w:r w:rsidR="00A94CE9" w:rsidRPr="00456C7B">
        <w:t xml:space="preserve"> </w:t>
      </w:r>
      <w:r w:rsidR="00FD73A0" w:rsidRPr="00456C7B">
        <w:t>cross-sectional</w:t>
      </w:r>
      <w:r w:rsidR="00A94CE9" w:rsidRPr="00456C7B">
        <w:t xml:space="preserve"> study measured only the </w:t>
      </w:r>
      <w:r w:rsidR="0001302A" w:rsidRPr="00456C7B">
        <w:t xml:space="preserve">most </w:t>
      </w:r>
      <w:r w:rsidR="00A94CE9" w:rsidRPr="00456C7B">
        <w:t>immediate impact</w:t>
      </w:r>
      <w:r w:rsidR="0001302A" w:rsidRPr="00456C7B">
        <w:t>s</w:t>
      </w:r>
      <w:r w:rsidR="00A94CE9" w:rsidRPr="00456C7B">
        <w:t xml:space="preserve"> of the CPTPP </w:t>
      </w:r>
      <w:r w:rsidR="0001302A" w:rsidRPr="00456C7B">
        <w:t>if Thailand joined and the suspended clauses were reinstated.</w:t>
      </w:r>
      <w:r w:rsidR="00E832CA" w:rsidRPr="00456C7B">
        <w:t xml:space="preserve"> </w:t>
      </w:r>
      <w:r w:rsidR="00D15048" w:rsidRPr="00456C7B">
        <w:t xml:space="preserve">Some of the suspended </w:t>
      </w:r>
      <w:r w:rsidR="00FD73A0" w:rsidRPr="00456C7B">
        <w:t xml:space="preserve">CPTPP </w:t>
      </w:r>
      <w:r w:rsidR="00E832CA" w:rsidRPr="00456C7B">
        <w:t>TRIPS-plus provision</w:t>
      </w:r>
      <w:r w:rsidR="0038117B" w:rsidRPr="00456C7B">
        <w:t xml:space="preserve">s </w:t>
      </w:r>
      <w:r w:rsidR="00DA3B69" w:rsidRPr="00456C7B">
        <w:t xml:space="preserve">and the patent linkage provision </w:t>
      </w:r>
      <w:r w:rsidR="00A1478D" w:rsidRPr="00456C7B">
        <w:t xml:space="preserve">will </w:t>
      </w:r>
      <w:r w:rsidR="0038117B" w:rsidRPr="00456C7B">
        <w:t>have</w:t>
      </w:r>
      <w:r w:rsidR="00337249" w:rsidRPr="00456C7B">
        <w:t xml:space="preserve"> more</w:t>
      </w:r>
      <w:r w:rsidR="00E832CA" w:rsidRPr="00456C7B">
        <w:t xml:space="preserve"> </w:t>
      </w:r>
      <w:r w:rsidR="00337249" w:rsidRPr="00456C7B">
        <w:t xml:space="preserve">cumulative </w:t>
      </w:r>
      <w:r w:rsidR="00DA3B69" w:rsidRPr="00456C7B">
        <w:t xml:space="preserve">effects </w:t>
      </w:r>
      <w:r w:rsidR="00D96219" w:rsidRPr="00456C7B">
        <w:t xml:space="preserve">over time </w:t>
      </w:r>
      <w:r w:rsidR="00337249" w:rsidRPr="00456C7B">
        <w:t xml:space="preserve">and their impact </w:t>
      </w:r>
      <w:r w:rsidR="00DA3B69" w:rsidRPr="00456C7B">
        <w:t xml:space="preserve">on the price of medicines </w:t>
      </w:r>
      <w:r w:rsidR="00337249" w:rsidRPr="00456C7B">
        <w:t>will not</w:t>
      </w:r>
      <w:r w:rsidR="00DA3B69" w:rsidRPr="00456C7B">
        <w:t xml:space="preserve"> be</w:t>
      </w:r>
      <w:r w:rsidR="00337249" w:rsidRPr="00456C7B">
        <w:t xml:space="preserve"> </w:t>
      </w:r>
      <w:r w:rsidR="00DA3B69" w:rsidRPr="00456C7B">
        <w:t>realised for years to come</w:t>
      </w:r>
      <w:r w:rsidR="00F209C3" w:rsidRPr="00456C7B">
        <w:t xml:space="preserve"> </w:t>
      </w:r>
      <w:r w:rsidR="00171AB2" w:rsidRPr="00456C7B">
        <w:fldChar w:fldCharType="begin"/>
      </w:r>
      <w:r w:rsidR="00A2659F">
        <w:instrText xml:space="preserve"> ADDIN EN.CITE &lt;EndNote&gt;&lt;Cite&gt;&lt;Author&gt;Kapczynski&lt;/Author&gt;&lt;Year&gt;2017&lt;/Year&gt;&lt;RecNum&gt;198&lt;/RecNum&gt;&lt;DisplayText&gt;(59)&lt;/DisplayText&gt;&lt;record&gt;&lt;rec-number&gt;198&lt;/rec-number&gt;&lt;foreign-keys&gt;&lt;key app="EN" db-id="dfp5tt9d12x9vhewffovwt2jvd9t5vpwzvxr" timestamp="1612233427"&gt;198&lt;/key&gt;&lt;/foreign-keys&gt;&lt;ref-type name="Journal Article"&gt;17&lt;/ref-type&gt;&lt;contributors&gt;&lt;authors&gt;&lt;author&gt;Kapczynski, Amy&lt;/author&gt;&lt;author&gt;Sampat, Bhaven N&lt;/author&gt;&lt;author&gt;Shadlen, Ken&lt;/author&gt;&lt;/authors&gt;&lt;/contributors&gt;&lt;titles&gt;&lt;title&gt;Trade agreements, patents, and drug prices: continuing the debate&lt;/title&gt;&lt;secondary-title&gt;Yale Law &amp;amp; Economics Research Paper&lt;/secondary-title&gt;&lt;/titles&gt;&lt;periodical&gt;&lt;full-title&gt;Yale Law &amp;amp; Economics Research Paper&lt;/full-title&gt;&lt;/periodical&gt;&lt;number&gt;572&lt;/number&gt;&lt;dates&gt;&lt;year&gt;2017&lt;/year&gt;&lt;/dates&gt;&lt;urls&gt;&lt;/urls&gt;&lt;/record&gt;&lt;/Cite&gt;&lt;/EndNote&gt;</w:instrText>
      </w:r>
      <w:r w:rsidR="00171AB2" w:rsidRPr="00456C7B">
        <w:fldChar w:fldCharType="separate"/>
      </w:r>
      <w:r w:rsidR="00A2659F">
        <w:rPr>
          <w:noProof/>
        </w:rPr>
        <w:t>(59)</w:t>
      </w:r>
      <w:r w:rsidR="00171AB2" w:rsidRPr="00456C7B">
        <w:fldChar w:fldCharType="end"/>
      </w:r>
      <w:r w:rsidR="00DA3B69" w:rsidRPr="00456C7B">
        <w:t xml:space="preserve">. </w:t>
      </w:r>
      <w:r w:rsidR="009A7163" w:rsidRPr="00456C7B">
        <w:t xml:space="preserve">Further research </w:t>
      </w:r>
      <w:r w:rsidR="00FC0ADF" w:rsidRPr="00456C7B">
        <w:t xml:space="preserve">is needed to better understand the impact of </w:t>
      </w:r>
      <w:r w:rsidR="009A7163" w:rsidRPr="00456C7B">
        <w:t xml:space="preserve">patent linkage, patent term extensions and </w:t>
      </w:r>
      <w:r w:rsidR="00FD73A0" w:rsidRPr="00456C7B">
        <w:t xml:space="preserve">data exclusivity. </w:t>
      </w:r>
    </w:p>
    <w:p w14:paraId="16F88969" w14:textId="61B81449" w:rsidR="00B56ECD" w:rsidRPr="00456C7B" w:rsidRDefault="007730FF" w:rsidP="00EA6F50">
      <w:pPr>
        <w:spacing w:line="360" w:lineRule="auto"/>
        <w:jc w:val="both"/>
      </w:pPr>
      <w:r w:rsidRPr="00456C7B">
        <w:t>It is</w:t>
      </w:r>
      <w:r w:rsidR="00B56ECD" w:rsidRPr="00456C7B">
        <w:t xml:space="preserve"> possible that Thailand will decide not to join the CPTPP</w:t>
      </w:r>
      <w:r w:rsidRPr="00456C7B">
        <w:t>. It is also possible that Thailand will join</w:t>
      </w:r>
      <w:r w:rsidR="00AD78F1" w:rsidRPr="00456C7B">
        <w:t>,</w:t>
      </w:r>
      <w:r w:rsidR="00DF582E" w:rsidRPr="00456C7B">
        <w:t xml:space="preserve"> and the USA will decide not to re</w:t>
      </w:r>
      <w:r w:rsidR="00F71612" w:rsidRPr="00456C7B">
        <w:t>-</w:t>
      </w:r>
      <w:r w:rsidR="00DF582E" w:rsidRPr="00456C7B">
        <w:t xml:space="preserve">join and therefore the suspended clauses will not be </w:t>
      </w:r>
      <w:r w:rsidR="0023372B" w:rsidRPr="00456C7B">
        <w:t>re</w:t>
      </w:r>
      <w:r w:rsidR="00DF582E" w:rsidRPr="00456C7B">
        <w:t>instated</w:t>
      </w:r>
      <w:r w:rsidR="002C4C3B" w:rsidRPr="00456C7B">
        <w:t xml:space="preserve"> in their original form</w:t>
      </w:r>
      <w:r w:rsidR="00DF582E" w:rsidRPr="00456C7B">
        <w:t xml:space="preserve">. </w:t>
      </w:r>
      <w:r w:rsidR="00F71612" w:rsidRPr="00456C7B">
        <w:t xml:space="preserve">The scenarios featured in this study therefore are only valid for the specific set of circumstances described.  </w:t>
      </w:r>
    </w:p>
    <w:p w14:paraId="18ECFD0A" w14:textId="2FCD5DC8" w:rsidR="00A333DC" w:rsidRPr="00456C7B" w:rsidRDefault="0023372B" w:rsidP="00EA6F50">
      <w:pPr>
        <w:spacing w:line="360" w:lineRule="auto"/>
        <w:jc w:val="both"/>
      </w:pPr>
      <w:r w:rsidRPr="00456C7B">
        <w:t xml:space="preserve">The </w:t>
      </w:r>
      <w:r w:rsidR="007F0251" w:rsidRPr="00456C7B">
        <w:t>results of</w:t>
      </w:r>
      <w:r w:rsidRPr="00456C7B">
        <w:t xml:space="preserve"> this study are limited to the </w:t>
      </w:r>
      <w:r w:rsidR="00184CD8" w:rsidRPr="00456C7B">
        <w:t xml:space="preserve">impact on DAAs </w:t>
      </w:r>
      <w:r w:rsidR="00184CD8" w:rsidRPr="00124454">
        <w:t xml:space="preserve">only </w:t>
      </w:r>
      <w:r w:rsidR="00124454" w:rsidRPr="00124454">
        <w:t>and</w:t>
      </w:r>
      <w:r w:rsidR="00C63041" w:rsidRPr="00124454">
        <w:t xml:space="preserve"> findings</w:t>
      </w:r>
      <w:r w:rsidR="00C63041" w:rsidRPr="00456C7B">
        <w:t xml:space="preserve"> are not</w:t>
      </w:r>
      <w:r w:rsidR="00A333DC" w:rsidRPr="00456C7B">
        <w:t xml:space="preserve"> </w:t>
      </w:r>
      <w:r w:rsidR="003C1AEA" w:rsidRPr="00456C7B">
        <w:t xml:space="preserve">necessarily </w:t>
      </w:r>
      <w:r w:rsidR="00A333DC" w:rsidRPr="00456C7B">
        <w:t>generalis</w:t>
      </w:r>
      <w:r w:rsidR="0092415E" w:rsidRPr="00456C7B">
        <w:t>able</w:t>
      </w:r>
      <w:r w:rsidR="00A333DC" w:rsidRPr="00456C7B">
        <w:t xml:space="preserve"> </w:t>
      </w:r>
      <w:r w:rsidR="00201F25" w:rsidRPr="00456C7B">
        <w:t xml:space="preserve">to other </w:t>
      </w:r>
      <w:r w:rsidR="006A6BFE" w:rsidRPr="00456C7B">
        <w:t>medicines</w:t>
      </w:r>
      <w:r w:rsidR="007F0251" w:rsidRPr="00456C7B">
        <w:t xml:space="preserve">. </w:t>
      </w:r>
      <w:r w:rsidR="008C2D7A" w:rsidRPr="00456C7B">
        <w:t>Additionally, this study only analyses the impact of the IP provisions and not the full set of trade rules in the CPTPP.</w:t>
      </w:r>
    </w:p>
    <w:p w14:paraId="1A3E7102" w14:textId="028655E5" w:rsidR="00D56182" w:rsidRPr="00456C7B" w:rsidRDefault="00D56182" w:rsidP="00EA6F50">
      <w:pPr>
        <w:pStyle w:val="Heading1"/>
        <w:spacing w:line="360" w:lineRule="auto"/>
      </w:pPr>
      <w:r w:rsidRPr="00456C7B">
        <w:t xml:space="preserve">Conclusion </w:t>
      </w:r>
    </w:p>
    <w:p w14:paraId="57C1C062" w14:textId="282BF717" w:rsidR="00195113" w:rsidRPr="00456C7B" w:rsidRDefault="00305EE3" w:rsidP="00EA6F50">
      <w:pPr>
        <w:spacing w:line="360" w:lineRule="auto"/>
        <w:jc w:val="both"/>
      </w:pPr>
      <w:r w:rsidRPr="00456C7B">
        <w:t>Thailand</w:t>
      </w:r>
      <w:r w:rsidR="005B1FEB" w:rsidRPr="00456C7B">
        <w:t>’s</w:t>
      </w:r>
      <w:r w:rsidRPr="00456C7B">
        <w:t xml:space="preserve"> </w:t>
      </w:r>
      <w:r w:rsidR="00354826" w:rsidRPr="00456C7B">
        <w:t>hepatitis</w:t>
      </w:r>
      <w:r w:rsidRPr="00456C7B">
        <w:t xml:space="preserve"> C treatment </w:t>
      </w:r>
      <w:r w:rsidR="000659F2" w:rsidRPr="00456C7B">
        <w:t>program</w:t>
      </w:r>
      <w:r w:rsidRPr="00456C7B">
        <w:t xml:space="preserve"> in 2020 </w:t>
      </w:r>
      <w:r w:rsidR="00354826" w:rsidRPr="00456C7B">
        <w:t xml:space="preserve">included an outdated </w:t>
      </w:r>
      <w:r w:rsidR="00A83395" w:rsidRPr="00456C7B">
        <w:t>PEG-IF</w:t>
      </w:r>
      <w:r w:rsidR="00F26B64" w:rsidRPr="00456C7B">
        <w:t>N</w:t>
      </w:r>
      <w:r w:rsidR="00A83395" w:rsidRPr="00456C7B">
        <w:t xml:space="preserve"> and </w:t>
      </w:r>
      <w:r w:rsidR="00F26B64" w:rsidRPr="00456C7B">
        <w:t>Ribavirin</w:t>
      </w:r>
      <w:r w:rsidR="00A83395" w:rsidRPr="00456C7B">
        <w:t xml:space="preserve"> regime that had more side effects and a longer treatment duration than newer</w:t>
      </w:r>
      <w:r w:rsidR="005B1FEB" w:rsidRPr="00456C7B">
        <w:t>,</w:t>
      </w:r>
      <w:r w:rsidR="00A83395" w:rsidRPr="00456C7B">
        <w:t xml:space="preserve"> more effective DAA </w:t>
      </w:r>
      <w:r w:rsidR="00354826" w:rsidRPr="00456C7B">
        <w:t>regime</w:t>
      </w:r>
      <w:r w:rsidR="00A83395" w:rsidRPr="00456C7B">
        <w:t xml:space="preserve">s. </w:t>
      </w:r>
      <w:r w:rsidR="00037266" w:rsidRPr="00456C7B">
        <w:t xml:space="preserve">The DAAs included in the treatment regime were not </w:t>
      </w:r>
      <w:r w:rsidR="00F26B64" w:rsidRPr="00456C7B">
        <w:t>pan-genotypic</w:t>
      </w:r>
      <w:r w:rsidR="00037266" w:rsidRPr="00456C7B">
        <w:t xml:space="preserve"> and therefore required genotype testing which added cost and complexity to the treatment program.</w:t>
      </w:r>
      <w:r w:rsidR="00354826" w:rsidRPr="00456C7B">
        <w:t xml:space="preserve"> </w:t>
      </w:r>
      <w:r w:rsidR="00B54F8D" w:rsidRPr="00456C7B">
        <w:t xml:space="preserve">The </w:t>
      </w:r>
      <w:r w:rsidR="001B18A7" w:rsidRPr="00456C7B">
        <w:t xml:space="preserve">most expensive scenario in this study was </w:t>
      </w:r>
      <w:r w:rsidR="00B54F8D" w:rsidRPr="00456C7B">
        <w:t xml:space="preserve">if Thailand joined </w:t>
      </w:r>
      <w:r w:rsidR="00CF4515" w:rsidRPr="00456C7B">
        <w:t xml:space="preserve">the </w:t>
      </w:r>
      <w:r w:rsidR="00B54F8D" w:rsidRPr="00456C7B">
        <w:t xml:space="preserve">CPTPP and the suspended clauses </w:t>
      </w:r>
      <w:r w:rsidR="00681A31" w:rsidRPr="00456C7B">
        <w:t>were</w:t>
      </w:r>
      <w:r w:rsidR="00B54F8D" w:rsidRPr="00456C7B">
        <w:t xml:space="preserve"> reinstated</w:t>
      </w:r>
      <w:r w:rsidR="004D4DE5" w:rsidRPr="00456C7B">
        <w:t xml:space="preserve">, and </w:t>
      </w:r>
      <w:r w:rsidR="00D85075" w:rsidRPr="00456C7B">
        <w:t>compulsory licensing was not invoked</w:t>
      </w:r>
      <w:r w:rsidR="001B18A7" w:rsidRPr="00456C7B">
        <w:t>.</w:t>
      </w:r>
      <w:r w:rsidR="00B54F8D" w:rsidRPr="00456C7B">
        <w:t xml:space="preserve"> </w:t>
      </w:r>
      <w:r w:rsidR="000A72AA" w:rsidRPr="00456C7B">
        <w:t xml:space="preserve">This </w:t>
      </w:r>
      <w:r w:rsidR="00826F04" w:rsidRPr="00456C7B">
        <w:t xml:space="preserve">was </w:t>
      </w:r>
      <w:r w:rsidR="000A72AA" w:rsidRPr="00456C7B">
        <w:t>more than ten times the cost of the 2020 DAA treatment program.</w:t>
      </w:r>
      <w:r w:rsidR="00826F04" w:rsidRPr="00456C7B">
        <w:t xml:space="preserve"> </w:t>
      </w:r>
      <w:r w:rsidR="000E23FF" w:rsidRPr="00456C7B">
        <w:t xml:space="preserve">The cheapest </w:t>
      </w:r>
      <w:r w:rsidR="000A72AA" w:rsidRPr="00456C7B">
        <w:t>scenario</w:t>
      </w:r>
      <w:r w:rsidR="000E23FF" w:rsidRPr="00456C7B">
        <w:t xml:space="preserve"> </w:t>
      </w:r>
      <w:r w:rsidR="00B01AE7" w:rsidRPr="00456C7B">
        <w:t>for Thailand is</w:t>
      </w:r>
      <w:r w:rsidR="000E23FF" w:rsidRPr="00456C7B">
        <w:t xml:space="preserve"> to use a generic pan</w:t>
      </w:r>
      <w:r w:rsidR="00B01AE7" w:rsidRPr="00456C7B">
        <w:t xml:space="preserve">-genotypic regime which is a viable option for Thailand as no DAA </w:t>
      </w:r>
      <w:r w:rsidR="00277F9A" w:rsidRPr="00456C7B">
        <w:t>has</w:t>
      </w:r>
      <w:r w:rsidR="00B01AE7" w:rsidRPr="00456C7B">
        <w:t xml:space="preserve"> be</w:t>
      </w:r>
      <w:r w:rsidR="00277F9A" w:rsidRPr="00456C7B">
        <w:t>en</w:t>
      </w:r>
      <w:r w:rsidR="00B01AE7" w:rsidRPr="00456C7B">
        <w:t xml:space="preserve"> granted a patent</w:t>
      </w:r>
      <w:r w:rsidR="00277F9A" w:rsidRPr="00456C7B">
        <w:t xml:space="preserve"> to date</w:t>
      </w:r>
      <w:r w:rsidR="00B01AE7" w:rsidRPr="00456C7B">
        <w:t xml:space="preserve">. </w:t>
      </w:r>
      <w:r w:rsidR="00283277" w:rsidRPr="00456C7B">
        <w:t xml:space="preserve">Thailand </w:t>
      </w:r>
      <w:r w:rsidR="00CD6D4F" w:rsidRPr="00456C7B">
        <w:t xml:space="preserve">is at a critical </w:t>
      </w:r>
      <w:r w:rsidR="00F3421F" w:rsidRPr="00456C7B">
        <w:t xml:space="preserve">juncture </w:t>
      </w:r>
      <w:proofErr w:type="gramStart"/>
      <w:r w:rsidR="00F3421F" w:rsidRPr="00456C7B">
        <w:t>with regard to</w:t>
      </w:r>
      <w:proofErr w:type="gramEnd"/>
      <w:r w:rsidR="00F3421F" w:rsidRPr="00456C7B">
        <w:t xml:space="preserve"> CPTPP membership</w:t>
      </w:r>
      <w:r w:rsidR="004E3AB1" w:rsidRPr="00456C7B">
        <w:t xml:space="preserve">. It needs to consider the broader implications of joining the CPTPP including the impact on </w:t>
      </w:r>
      <w:r w:rsidR="002F5CD8" w:rsidRPr="00456C7B">
        <w:t xml:space="preserve">the </w:t>
      </w:r>
      <w:r w:rsidR="004E3AB1" w:rsidRPr="00456C7B">
        <w:t xml:space="preserve">price of medicines if </w:t>
      </w:r>
      <w:r w:rsidR="00C45C96" w:rsidRPr="00456C7B">
        <w:t xml:space="preserve">the USA </w:t>
      </w:r>
      <w:proofErr w:type="gramStart"/>
      <w:r w:rsidR="007045E1" w:rsidRPr="00456C7B">
        <w:t>re-joins</w:t>
      </w:r>
      <w:proofErr w:type="gramEnd"/>
      <w:r w:rsidR="00C45C96" w:rsidRPr="00456C7B">
        <w:t xml:space="preserve"> and the suspended</w:t>
      </w:r>
      <w:r w:rsidR="00D43755" w:rsidRPr="00456C7B">
        <w:t xml:space="preserve"> IP</w:t>
      </w:r>
      <w:r w:rsidR="00C45C96" w:rsidRPr="00456C7B">
        <w:t xml:space="preserve"> clauses are </w:t>
      </w:r>
      <w:r w:rsidR="002F5CD8" w:rsidRPr="00456C7B">
        <w:t>reinstated</w:t>
      </w:r>
      <w:r w:rsidR="00C45C96" w:rsidRPr="00456C7B">
        <w:t>.</w:t>
      </w:r>
      <w:r w:rsidR="00666181" w:rsidRPr="00456C7B">
        <w:t xml:space="preserve"> </w:t>
      </w:r>
      <w:r w:rsidR="00C45C96" w:rsidRPr="00456C7B">
        <w:t xml:space="preserve">If it fails to </w:t>
      </w:r>
      <w:r w:rsidR="005541FE" w:rsidRPr="00456C7B">
        <w:t xml:space="preserve">take heed of the </w:t>
      </w:r>
      <w:r w:rsidR="00E53C5A" w:rsidRPr="00456C7B">
        <w:t>risks</w:t>
      </w:r>
      <w:r w:rsidR="005541FE" w:rsidRPr="00456C7B">
        <w:t xml:space="preserve"> that TRIPS-plus agreements</w:t>
      </w:r>
      <w:r w:rsidR="00D43755" w:rsidRPr="00456C7B">
        <w:t xml:space="preserve"> pose,</w:t>
      </w:r>
      <w:r w:rsidR="00C45C96" w:rsidRPr="00456C7B">
        <w:t xml:space="preserve"> it </w:t>
      </w:r>
      <w:r w:rsidR="00BA02AE" w:rsidRPr="00456C7B">
        <w:t>threatens</w:t>
      </w:r>
      <w:r w:rsidR="00C45C96" w:rsidRPr="00456C7B">
        <w:t xml:space="preserve"> </w:t>
      </w:r>
      <w:r w:rsidR="007045E1" w:rsidRPr="00456C7B">
        <w:t>not only the sustainability and expansion of its hepatitis C program but all national treatment programs</w:t>
      </w:r>
      <w:r w:rsidR="00303126" w:rsidRPr="00456C7B">
        <w:t xml:space="preserve"> reliant on </w:t>
      </w:r>
      <w:r w:rsidR="004831FA" w:rsidRPr="00456C7B">
        <w:t>affordable generic medicines</w:t>
      </w:r>
      <w:r w:rsidR="003D11F3">
        <w:t xml:space="preserve">. </w:t>
      </w:r>
      <w:r w:rsidR="002F5CD8" w:rsidRPr="00456C7B">
        <w:t xml:space="preserve">Thailand needs to be </w:t>
      </w:r>
      <w:r w:rsidR="006D5566" w:rsidRPr="00456C7B">
        <w:t>free</w:t>
      </w:r>
      <w:r w:rsidR="002F5CD8" w:rsidRPr="00456C7B">
        <w:t xml:space="preserve"> to </w:t>
      </w:r>
      <w:r w:rsidR="00041403" w:rsidRPr="00456C7B">
        <w:t xml:space="preserve">draw on its own proven pharmaceutical capabilities to </w:t>
      </w:r>
      <w:r w:rsidR="006D5566" w:rsidRPr="00456C7B">
        <w:t xml:space="preserve">manufacture </w:t>
      </w:r>
      <w:r w:rsidR="00D157D2" w:rsidRPr="00456C7B">
        <w:t xml:space="preserve">the medicines needed to sustain its treatment programs. </w:t>
      </w:r>
      <w:r w:rsidR="00C73F27" w:rsidRPr="00456C7B">
        <w:t xml:space="preserve">Signing onto </w:t>
      </w:r>
      <w:r w:rsidR="00C0380E" w:rsidRPr="00456C7B">
        <w:t xml:space="preserve">trade agreements that contain </w:t>
      </w:r>
      <w:r w:rsidR="00C73F27" w:rsidRPr="00456C7B">
        <w:t xml:space="preserve">TRIPS-plus measures </w:t>
      </w:r>
      <w:r w:rsidR="00C0380E" w:rsidRPr="00456C7B">
        <w:t xml:space="preserve">will threaten </w:t>
      </w:r>
      <w:r w:rsidR="00110D72" w:rsidRPr="00456C7B">
        <w:t>its ability to do this</w:t>
      </w:r>
      <w:r w:rsidR="00C0380E" w:rsidRPr="00456C7B">
        <w:t>.</w:t>
      </w:r>
    </w:p>
    <w:p w14:paraId="3B712FF1" w14:textId="77777777" w:rsidR="00195113" w:rsidRPr="00456C7B" w:rsidRDefault="00195113"/>
    <w:p w14:paraId="40DCCB78" w14:textId="58DCF058" w:rsidR="0012241C" w:rsidRPr="00456C7B" w:rsidRDefault="0012241C" w:rsidP="0012241C">
      <w:pPr>
        <w:pStyle w:val="Heading1"/>
      </w:pPr>
      <w:r w:rsidRPr="00456C7B">
        <w:t xml:space="preserve">References </w:t>
      </w:r>
    </w:p>
    <w:p w14:paraId="3A5E8758" w14:textId="6F8AA691" w:rsidR="00A2659F" w:rsidRPr="00A2659F" w:rsidRDefault="00195113" w:rsidP="00A2659F">
      <w:pPr>
        <w:pStyle w:val="EndNoteBibliography"/>
        <w:spacing w:after="0"/>
      </w:pPr>
      <w:r w:rsidRPr="00456C7B">
        <w:fldChar w:fldCharType="begin"/>
      </w:r>
      <w:r w:rsidRPr="00456C7B">
        <w:instrText xml:space="preserve"> ADDIN EN.REFLIST </w:instrText>
      </w:r>
      <w:r w:rsidRPr="00456C7B">
        <w:fldChar w:fldCharType="separate"/>
      </w:r>
      <w:r w:rsidR="00A2659F" w:rsidRPr="00A2659F">
        <w:t>1.</w:t>
      </w:r>
      <w:r w:rsidR="00A2659F" w:rsidRPr="00A2659F">
        <w:tab/>
        <w:t xml:space="preserve">The World Bank. The World Bank In Thailand 2021 [updated September 2020; cited 2021 26th March 2021]. Available from: </w:t>
      </w:r>
      <w:hyperlink r:id="rId12" w:history="1">
        <w:r w:rsidR="00A2659F" w:rsidRPr="00A2659F">
          <w:rPr>
            <w:rStyle w:val="Hyperlink"/>
          </w:rPr>
          <w:t>https://www.worldbank.org/en/country/thailand/overview</w:t>
        </w:r>
      </w:hyperlink>
      <w:r w:rsidR="00A2659F" w:rsidRPr="00A2659F">
        <w:t>.</w:t>
      </w:r>
    </w:p>
    <w:p w14:paraId="6B65EAC2" w14:textId="33787B77" w:rsidR="00A2659F" w:rsidRPr="00A2659F" w:rsidRDefault="00A2659F" w:rsidP="00A2659F">
      <w:pPr>
        <w:pStyle w:val="EndNoteBibliography"/>
        <w:spacing w:after="0"/>
      </w:pPr>
      <w:r w:rsidRPr="00A2659F">
        <w:lastRenderedPageBreak/>
        <w:t>2.</w:t>
      </w:r>
      <w:r w:rsidRPr="00A2659F">
        <w:tab/>
        <w:t xml:space="preserve">World Trade Organization. Frequently asked questions about TRIPS [ trade-related aspects of intellectual property rights ] in the WTO 2021 [cited 2021 23rd February 2021]. Available from: </w:t>
      </w:r>
      <w:hyperlink r:id="rId13" w:history="1">
        <w:r w:rsidRPr="00A2659F">
          <w:rPr>
            <w:rStyle w:val="Hyperlink"/>
          </w:rPr>
          <w:t>https://www.wto.org/english/tratop_e/trips_e/tripfq_e.htm</w:t>
        </w:r>
      </w:hyperlink>
      <w:r w:rsidRPr="00A2659F">
        <w:t>.</w:t>
      </w:r>
    </w:p>
    <w:p w14:paraId="2F49081C" w14:textId="77777777" w:rsidR="00A2659F" w:rsidRPr="00A2659F" w:rsidRDefault="00A2659F" w:rsidP="00A2659F">
      <w:pPr>
        <w:pStyle w:val="EndNoteBibliography"/>
        <w:spacing w:after="0"/>
      </w:pPr>
      <w:r w:rsidRPr="00A2659F">
        <w:t>3.</w:t>
      </w:r>
      <w:r w:rsidRPr="00A2659F">
        <w:tab/>
        <w:t>TRIPS: Agreement on Trade-Related Aspects of Intellectual Property Rights., Annex 1C, 1869 U.N.T.S. 299, 33 I.L.M. 1197 (Apr. 15, 1994).</w:t>
      </w:r>
    </w:p>
    <w:p w14:paraId="7A2C356F" w14:textId="77777777" w:rsidR="00A2659F" w:rsidRPr="00A2659F" w:rsidRDefault="00A2659F" w:rsidP="00A2659F">
      <w:pPr>
        <w:pStyle w:val="EndNoteBibliography"/>
        <w:spacing w:after="0"/>
      </w:pPr>
      <w:r w:rsidRPr="00A2659F">
        <w:t>4.</w:t>
      </w:r>
      <w:r w:rsidRPr="00A2659F">
        <w:tab/>
        <w:t>Agreement on Trade-related Aspects of Intellectual Property Rights. Section 5: patents Article 27 Patentable Subject Matter, Annex 1C (Apr. 15, 1994).</w:t>
      </w:r>
    </w:p>
    <w:p w14:paraId="2DE127DC" w14:textId="77777777" w:rsidR="00A2659F" w:rsidRPr="00A2659F" w:rsidRDefault="00A2659F" w:rsidP="00A2659F">
      <w:pPr>
        <w:pStyle w:val="EndNoteBibliography"/>
        <w:spacing w:after="0"/>
      </w:pPr>
      <w:r w:rsidRPr="00A2659F">
        <w:t>5.</w:t>
      </w:r>
      <w:r w:rsidRPr="00A2659F">
        <w:tab/>
        <w:t>Vawda YA. Compulsory Licenses and Government Use: Challenges and Opportunities.  Access to Medicines and Vaccines: Springer, Cham; 2022. p. 73-104.</w:t>
      </w:r>
    </w:p>
    <w:p w14:paraId="1C669757" w14:textId="2E91A3A2" w:rsidR="00A2659F" w:rsidRPr="00A2659F" w:rsidRDefault="00A2659F" w:rsidP="00A2659F">
      <w:pPr>
        <w:pStyle w:val="EndNoteBibliography"/>
        <w:spacing w:after="0"/>
      </w:pPr>
      <w:r w:rsidRPr="00A2659F">
        <w:t>6.</w:t>
      </w:r>
      <w:r w:rsidRPr="00A2659F">
        <w:tab/>
        <w:t xml:space="preserve">World Trade Organization. TRIPS AND HEALTH: FREQUENTLY ASKED QUESTIONS. Compulsory licensing of pharmaceuticals and TRIPS 2021 [Available from: </w:t>
      </w:r>
      <w:hyperlink r:id="rId14" w:history="1">
        <w:r w:rsidRPr="00A2659F">
          <w:rPr>
            <w:rStyle w:val="Hyperlink"/>
          </w:rPr>
          <w:t>https://www.wto.org/english/tratop_e/trips_e/public_health_faq_e.htm</w:t>
        </w:r>
      </w:hyperlink>
      <w:r w:rsidRPr="00A2659F">
        <w:t>.</w:t>
      </w:r>
    </w:p>
    <w:p w14:paraId="7BB26A71" w14:textId="4BD6600C" w:rsidR="00A2659F" w:rsidRPr="00A2659F" w:rsidRDefault="00A2659F" w:rsidP="00A2659F">
      <w:pPr>
        <w:pStyle w:val="EndNoteBibliography"/>
        <w:spacing w:after="0"/>
      </w:pPr>
      <w:r w:rsidRPr="00A2659F">
        <w:t>7.</w:t>
      </w:r>
      <w:r w:rsidRPr="00A2659F">
        <w:tab/>
        <w:t xml:space="preserve">WTO OMC. FACT SHEET TRIPS and pharmaceutical patents September 2003 [15th Feb 2021]. Available from: </w:t>
      </w:r>
      <w:hyperlink r:id="rId15" w:history="1">
        <w:r w:rsidRPr="00A2659F">
          <w:rPr>
            <w:rStyle w:val="Hyperlink"/>
          </w:rPr>
          <w:t>https://www.wto.org/english/tratop_e/trips_e/tripsfactsheet_pharma_e.pdf</w:t>
        </w:r>
      </w:hyperlink>
      <w:r w:rsidRPr="00A2659F">
        <w:t>.</w:t>
      </w:r>
    </w:p>
    <w:p w14:paraId="657E6EBF" w14:textId="77777777" w:rsidR="00A2659F" w:rsidRPr="00A2659F" w:rsidRDefault="00A2659F" w:rsidP="00A2659F">
      <w:pPr>
        <w:pStyle w:val="EndNoteBibliography"/>
        <w:spacing w:after="0"/>
      </w:pPr>
      <w:r w:rsidRPr="00A2659F">
        <w:t>8.</w:t>
      </w:r>
      <w:r w:rsidRPr="00A2659F">
        <w:tab/>
        <w:t>Department of Disease Control. Ministry of Public Health. Compulsory License for Patented Medicines and Medical Devices: Lopinavir/Ritonavir. 24th January, B.E. 2550 (2007).</w:t>
      </w:r>
    </w:p>
    <w:p w14:paraId="748853F3" w14:textId="77777777" w:rsidR="00A2659F" w:rsidRPr="00A2659F" w:rsidRDefault="00A2659F" w:rsidP="00A2659F">
      <w:pPr>
        <w:pStyle w:val="EndNoteBibliography"/>
        <w:spacing w:after="0"/>
      </w:pPr>
      <w:r w:rsidRPr="00A2659F">
        <w:t>9.</w:t>
      </w:r>
      <w:r w:rsidRPr="00A2659F">
        <w:tab/>
        <w:t>Ministry of Public Health. Compulsory License for Patented Medicines and Medical Devices: Letrozole. 4th January, B.E. 2551 (2008).</w:t>
      </w:r>
    </w:p>
    <w:p w14:paraId="5FE032E1" w14:textId="77777777" w:rsidR="00A2659F" w:rsidRPr="00A2659F" w:rsidRDefault="00A2659F" w:rsidP="00A2659F">
      <w:pPr>
        <w:pStyle w:val="EndNoteBibliography"/>
        <w:spacing w:after="0"/>
      </w:pPr>
      <w:r w:rsidRPr="00A2659F">
        <w:t>10.</w:t>
      </w:r>
      <w:r w:rsidRPr="00A2659F">
        <w:tab/>
        <w:t>Ministry of Public Health. Compulsory License for Patented Medicines and Medical Devices: Docetaxel. 4th January, B.E. 2551 (2008).</w:t>
      </w:r>
    </w:p>
    <w:p w14:paraId="3E920FE2" w14:textId="77777777" w:rsidR="00A2659F" w:rsidRPr="00A2659F" w:rsidRDefault="00A2659F" w:rsidP="00A2659F">
      <w:pPr>
        <w:pStyle w:val="EndNoteBibliography"/>
        <w:spacing w:after="0"/>
      </w:pPr>
      <w:r w:rsidRPr="00A2659F">
        <w:t>11.</w:t>
      </w:r>
      <w:r w:rsidRPr="00A2659F">
        <w:tab/>
        <w:t>Ministry of Public Health. Compulsory License for Patented Medicines and Medical Devices: Erlotinib. 4th January, B.E. 2551.</w:t>
      </w:r>
    </w:p>
    <w:p w14:paraId="0F3CD1E6" w14:textId="77777777" w:rsidR="00A2659F" w:rsidRPr="00A2659F" w:rsidRDefault="00A2659F" w:rsidP="00A2659F">
      <w:pPr>
        <w:pStyle w:val="EndNoteBibliography"/>
        <w:spacing w:after="0"/>
      </w:pPr>
      <w:r w:rsidRPr="00A2659F">
        <w:t>12.</w:t>
      </w:r>
      <w:r w:rsidRPr="00A2659F">
        <w:tab/>
        <w:t>Ministry of Public Health. Compulsory License for Patented Medicines and Medical Devices: Imatinib. 4th January, B.E. 2551 (2008).</w:t>
      </w:r>
    </w:p>
    <w:p w14:paraId="47E84AF6" w14:textId="77777777" w:rsidR="00A2659F" w:rsidRPr="00A2659F" w:rsidRDefault="00A2659F" w:rsidP="00A2659F">
      <w:pPr>
        <w:pStyle w:val="EndNoteBibliography"/>
        <w:spacing w:after="0"/>
      </w:pPr>
      <w:r w:rsidRPr="00A2659F">
        <w:t>13.</w:t>
      </w:r>
      <w:r w:rsidRPr="00A2659F">
        <w:tab/>
        <w:t>THAILAND Patent Act B.E. 2522 (1979) As Amended by the Patent Act (No. 2) B.E 2535 (1992) and the Patent Act (No. 3) B.E. 2542 (1999).</w:t>
      </w:r>
    </w:p>
    <w:p w14:paraId="057AED24" w14:textId="77777777" w:rsidR="00A2659F" w:rsidRPr="00A2659F" w:rsidRDefault="00A2659F" w:rsidP="00A2659F">
      <w:pPr>
        <w:pStyle w:val="EndNoteBibliography"/>
        <w:spacing w:after="0"/>
      </w:pPr>
      <w:r w:rsidRPr="00A2659F">
        <w:t>14.</w:t>
      </w:r>
      <w:r w:rsidRPr="00A2659F">
        <w:tab/>
        <w:t>Puasiri W. Improving patent quality through pre-grant opposition in Thailand. J Int't Com L &amp; Tech. 2013;8:219.</w:t>
      </w:r>
    </w:p>
    <w:p w14:paraId="031BBD75" w14:textId="77777777" w:rsidR="00A2659F" w:rsidRPr="00A2659F" w:rsidRDefault="00A2659F" w:rsidP="00A2659F">
      <w:pPr>
        <w:pStyle w:val="EndNoteBibliography"/>
        <w:spacing w:after="0"/>
      </w:pPr>
      <w:r w:rsidRPr="00A2659F">
        <w:t>15.</w:t>
      </w:r>
      <w:r w:rsidRPr="00A2659F">
        <w:tab/>
        <w:t>Trade Secrets Act B.E 2545 Amended by Trade Secret Act (No. 2) B. E 2558 (2015).</w:t>
      </w:r>
    </w:p>
    <w:p w14:paraId="5EADD4F6" w14:textId="77777777" w:rsidR="00A2659F" w:rsidRPr="00A2659F" w:rsidRDefault="00A2659F" w:rsidP="00A2659F">
      <w:pPr>
        <w:pStyle w:val="EndNoteBibliography"/>
        <w:spacing w:after="0"/>
      </w:pPr>
      <w:r w:rsidRPr="00A2659F">
        <w:t>16.</w:t>
      </w:r>
      <w:r w:rsidRPr="00A2659F">
        <w:tab/>
        <w:t>The 2007 Ministerial Regulation Regarding Trade Secrets (2007).</w:t>
      </w:r>
    </w:p>
    <w:p w14:paraId="38E8686A" w14:textId="77777777" w:rsidR="00A2659F" w:rsidRPr="00A2659F" w:rsidRDefault="00A2659F" w:rsidP="00A2659F">
      <w:pPr>
        <w:pStyle w:val="EndNoteBibliography"/>
        <w:spacing w:after="0"/>
      </w:pPr>
      <w:r w:rsidRPr="00A2659F">
        <w:t>17.</w:t>
      </w:r>
      <w:r w:rsidRPr="00A2659F">
        <w:tab/>
        <w:t>Theparat C. Another 3 months of studies, followed by CPTPP decision. The Bangkok Post 2021 6 FEB 2021.</w:t>
      </w:r>
    </w:p>
    <w:p w14:paraId="040C856B" w14:textId="77777777" w:rsidR="00A2659F" w:rsidRPr="00A2659F" w:rsidRDefault="00A2659F" w:rsidP="00A2659F">
      <w:pPr>
        <w:pStyle w:val="EndNoteBibliography"/>
        <w:spacing w:after="0"/>
      </w:pPr>
      <w:r w:rsidRPr="00A2659F">
        <w:t>18.</w:t>
      </w:r>
      <w:r w:rsidRPr="00A2659F">
        <w:tab/>
        <w:t>Sanglee T. Will Thailand Ever Join the CPTPP? The Diplomat. November 05, 2021.</w:t>
      </w:r>
    </w:p>
    <w:p w14:paraId="60C55200" w14:textId="77777777" w:rsidR="00A2659F" w:rsidRPr="00A2659F" w:rsidRDefault="00A2659F" w:rsidP="00A2659F">
      <w:pPr>
        <w:pStyle w:val="EndNoteBibliography"/>
        <w:spacing w:after="0"/>
      </w:pPr>
      <w:r w:rsidRPr="00A2659F">
        <w:t>19.</w:t>
      </w:r>
      <w:r w:rsidRPr="00A2659F">
        <w:tab/>
        <w:t>Gleeson D, Lexchin J, Lopert R, Kilic B. The trans Pacific partnership agreement, intellectual property and medicines: differential outcomes for developed and developing countries. Global Social Policy. 2018;18(1):7-27.</w:t>
      </w:r>
    </w:p>
    <w:p w14:paraId="16E36DF2" w14:textId="2B22FDE7" w:rsidR="00A2659F" w:rsidRPr="00A2659F" w:rsidRDefault="00A2659F" w:rsidP="00A2659F">
      <w:pPr>
        <w:pStyle w:val="EndNoteBibliography"/>
        <w:spacing w:after="0"/>
      </w:pPr>
      <w:r w:rsidRPr="00A2659F">
        <w:t>20.</w:t>
      </w:r>
      <w:r w:rsidRPr="00A2659F">
        <w:tab/>
        <w:t xml:space="preserve">New W. TPP Texts Show Suspended IP Provisions: Intellectual Property Watch; 16/11/2017 [cited 2021 10th March 2021]. Available from: </w:t>
      </w:r>
      <w:hyperlink r:id="rId16" w:history="1">
        <w:r w:rsidRPr="00A2659F">
          <w:rPr>
            <w:rStyle w:val="Hyperlink"/>
          </w:rPr>
          <w:t>https://www.ip-watch.org/2017/11/16/tpp-texts-show-suspended-ip-provisions/</w:t>
        </w:r>
      </w:hyperlink>
      <w:r w:rsidRPr="00A2659F">
        <w:t>.</w:t>
      </w:r>
    </w:p>
    <w:p w14:paraId="4BE99D99" w14:textId="77777777" w:rsidR="00A2659F" w:rsidRPr="00A2659F" w:rsidRDefault="00A2659F" w:rsidP="00A2659F">
      <w:pPr>
        <w:pStyle w:val="EndNoteBibliography"/>
        <w:spacing w:after="0"/>
      </w:pPr>
      <w:r w:rsidRPr="00A2659F">
        <w:t>21.</w:t>
      </w:r>
      <w:r w:rsidRPr="00A2659F">
        <w:tab/>
        <w:t>Sakulbumrungsilp R, Kessomboon N, Udomaksorn K, Techakhunwut S, Kanchanaphiboon I, Vanichayakon T, et al. Health Impact Assessment of policies related to local pharmaceutical industry development towards technology readiness and access to medicines. 2020.</w:t>
      </w:r>
    </w:p>
    <w:p w14:paraId="3BF6336E" w14:textId="77777777" w:rsidR="00A2659F" w:rsidRPr="00A2659F" w:rsidRDefault="00A2659F" w:rsidP="00A2659F">
      <w:pPr>
        <w:pStyle w:val="EndNoteBibliography"/>
        <w:spacing w:after="0"/>
      </w:pPr>
      <w:r w:rsidRPr="00A2659F">
        <w:t>22.</w:t>
      </w:r>
      <w:r w:rsidRPr="00A2659F">
        <w:tab/>
        <w:t>Moir HV, Palombi L. Patents and Trademarks: empirical evidence on'evergreening'from Australia. Available at SSRN 2365786. 2013.</w:t>
      </w:r>
    </w:p>
    <w:p w14:paraId="53DC5C6D" w14:textId="77777777" w:rsidR="00A2659F" w:rsidRPr="00A2659F" w:rsidRDefault="00A2659F" w:rsidP="00A2659F">
      <w:pPr>
        <w:pStyle w:val="EndNoteBibliography"/>
        <w:spacing w:after="0"/>
      </w:pPr>
      <w:r w:rsidRPr="00A2659F">
        <w:t>23.</w:t>
      </w:r>
      <w:r w:rsidRPr="00A2659F">
        <w:tab/>
        <w:t>Labonté R, Schram A, Ruckert A. The Trans-Pacific Partnership: Is it everything we feared for health? International Journal of Health Policy and Management. 2016;5(8):487.</w:t>
      </w:r>
    </w:p>
    <w:p w14:paraId="75208F2D" w14:textId="77777777" w:rsidR="00A2659F" w:rsidRPr="00A2659F" w:rsidRDefault="00A2659F" w:rsidP="00A2659F">
      <w:pPr>
        <w:pStyle w:val="EndNoteBibliography"/>
        <w:spacing w:after="0"/>
      </w:pPr>
      <w:r w:rsidRPr="00A2659F">
        <w:t>24.</w:t>
      </w:r>
      <w:r w:rsidRPr="00A2659F">
        <w:tab/>
        <w:t>Baker BK. Trans-Pacific partnership provisions in intellectual property, transparency, and investment chapters threaten access to medicines in the US and elsewhere. PLoS Medicine. 2016;13(3):e1001970.</w:t>
      </w:r>
    </w:p>
    <w:p w14:paraId="7B89699A" w14:textId="77777777" w:rsidR="00A2659F" w:rsidRPr="00A2659F" w:rsidRDefault="00A2659F" w:rsidP="00A2659F">
      <w:pPr>
        <w:pStyle w:val="EndNoteBibliography"/>
        <w:spacing w:after="0"/>
      </w:pPr>
      <w:r w:rsidRPr="00A2659F">
        <w:lastRenderedPageBreak/>
        <w:t>25.</w:t>
      </w:r>
      <w:r w:rsidRPr="00A2659F">
        <w:tab/>
        <w:t>Pusceddu P. Assessing access to medicines in preferential trade agreements: from the Trans-Pacific Partnership to the Comprehensive and Progressive Agreement for Trans-Pacific Partnership. IIC-International Review of Intellectual Property and Competition Law. 2018;49(9):1048-79.</w:t>
      </w:r>
    </w:p>
    <w:p w14:paraId="35BF2800" w14:textId="77777777" w:rsidR="00A2659F" w:rsidRPr="00A2659F" w:rsidRDefault="00A2659F" w:rsidP="00A2659F">
      <w:pPr>
        <w:pStyle w:val="EndNoteBibliography"/>
        <w:spacing w:after="0"/>
      </w:pPr>
      <w:r w:rsidRPr="00A2659F">
        <w:t>26.</w:t>
      </w:r>
      <w:r w:rsidRPr="00A2659F">
        <w:tab/>
        <w:t>Hailes O, Jones R, Menkes D, Freeman J, Monasterio E. Climate change, human health and the CPTPP. The New Zealand Medical Journal. 2018;131(1471):7-12.</w:t>
      </w:r>
    </w:p>
    <w:p w14:paraId="3A602564" w14:textId="77777777" w:rsidR="00A2659F" w:rsidRPr="00A2659F" w:rsidRDefault="00A2659F" w:rsidP="00A2659F">
      <w:pPr>
        <w:pStyle w:val="EndNoteBibliography"/>
        <w:spacing w:after="0"/>
      </w:pPr>
      <w:r w:rsidRPr="00A2659F">
        <w:t>27.</w:t>
      </w:r>
      <w:r w:rsidRPr="00A2659F">
        <w:tab/>
        <w:t>Gleeson D, Lexchin J, Labonte R, Townsend B, Gagnon MA, Kohler J, et al. Analyzing the impact of trade and investment agreements on pharmaceutical policy: provisions, pathways and potential impacts. Global health. 2019;15(Suppl 1):78.</w:t>
      </w:r>
    </w:p>
    <w:p w14:paraId="02B9432D" w14:textId="77777777" w:rsidR="00A2659F" w:rsidRPr="00A2659F" w:rsidRDefault="00A2659F" w:rsidP="00A2659F">
      <w:pPr>
        <w:pStyle w:val="EndNoteBibliography"/>
        <w:spacing w:after="0"/>
      </w:pPr>
      <w:r w:rsidRPr="00A2659F">
        <w:t>28.</w:t>
      </w:r>
      <w:r w:rsidRPr="00A2659F">
        <w:tab/>
        <w:t>World Health Organization. Combating hepatitis B and C to reach elimination by 2030: advocacy brief. . 2016.</w:t>
      </w:r>
    </w:p>
    <w:p w14:paraId="5E50268A" w14:textId="77777777" w:rsidR="00A2659F" w:rsidRPr="00A2659F" w:rsidRDefault="00A2659F" w:rsidP="00A2659F">
      <w:pPr>
        <w:pStyle w:val="EndNoteBibliography"/>
        <w:spacing w:after="0"/>
      </w:pPr>
      <w:r w:rsidRPr="00A2659F">
        <w:t>29.</w:t>
      </w:r>
      <w:r w:rsidRPr="00A2659F">
        <w:tab/>
        <w:t>World Health Organization. Global progress report on HIV, viral hepatitis and sexually transmitted infections, 2021: accountability for the global health sector strategies 2016–2021: actions for impact: web annex 2: data methods. 2021.</w:t>
      </w:r>
    </w:p>
    <w:p w14:paraId="01478E93" w14:textId="03665236" w:rsidR="00A2659F" w:rsidRPr="00A2659F" w:rsidRDefault="00A2659F" w:rsidP="00A2659F">
      <w:pPr>
        <w:pStyle w:val="EndNoteBibliography"/>
        <w:spacing w:after="0"/>
      </w:pPr>
      <w:r w:rsidRPr="00A2659F">
        <w:t>30.</w:t>
      </w:r>
      <w:r w:rsidRPr="00A2659F">
        <w:tab/>
        <w:t xml:space="preserve">World Health Organization. Hepatitis C 24th June 2022 [cited 2022 11/8/2022]. Available from: </w:t>
      </w:r>
      <w:hyperlink r:id="rId17" w:history="1">
        <w:r w:rsidRPr="00A2659F">
          <w:rPr>
            <w:rStyle w:val="Hyperlink"/>
          </w:rPr>
          <w:t>https://www.who.int/news-room/fact-sheets/detail/hepatitis-c</w:t>
        </w:r>
      </w:hyperlink>
      <w:r w:rsidRPr="00A2659F">
        <w:t>.</w:t>
      </w:r>
    </w:p>
    <w:p w14:paraId="5D57ADEB" w14:textId="77777777" w:rsidR="00A2659F" w:rsidRPr="00A2659F" w:rsidRDefault="00A2659F" w:rsidP="00A2659F">
      <w:pPr>
        <w:pStyle w:val="EndNoteBibliography"/>
        <w:spacing w:after="0"/>
      </w:pPr>
      <w:r w:rsidRPr="00A2659F">
        <w:t>31.</w:t>
      </w:r>
      <w:r w:rsidRPr="00A2659F">
        <w:tab/>
        <w:t>Mathur P, Kottilil S, Wilson E. Use of ribavirin for hepatitis C treatment in the modern direct-acting antiviral era. Journal of Clinical and Translational Hepatology. 2018;6(4):431.</w:t>
      </w:r>
    </w:p>
    <w:p w14:paraId="456EC25E" w14:textId="77777777" w:rsidR="00A2659F" w:rsidRPr="00A2659F" w:rsidRDefault="00A2659F" w:rsidP="00A2659F">
      <w:pPr>
        <w:pStyle w:val="EndNoteBibliography"/>
        <w:spacing w:after="0"/>
      </w:pPr>
      <w:r w:rsidRPr="00A2659F">
        <w:t>32.</w:t>
      </w:r>
      <w:r w:rsidRPr="00A2659F">
        <w:tab/>
        <w:t>Lucaciu LA, Dumitrascu DL. Depression and suicide ideation in chronic hepatitis C patients untreated and treated with interferon: prevalence, prevention, and treatment. Annals of gastroenterology: quarterly publication of the Hellenic Society of Gastroenterology. 2015;28(4):440.</w:t>
      </w:r>
    </w:p>
    <w:p w14:paraId="4CB18FDC" w14:textId="04B3F9DA" w:rsidR="00A2659F" w:rsidRPr="00A2659F" w:rsidRDefault="00A2659F" w:rsidP="00A2659F">
      <w:pPr>
        <w:pStyle w:val="EndNoteBibliography"/>
        <w:spacing w:after="0"/>
      </w:pPr>
      <w:r w:rsidRPr="00A2659F">
        <w:t>33.</w:t>
      </w:r>
      <w:r w:rsidRPr="00A2659F">
        <w:tab/>
        <w:t xml:space="preserve">Treatment Action Group. HCV Genotypes February 2017 [cited 2022 6/4/2022]. Available from: </w:t>
      </w:r>
      <w:hyperlink r:id="rId18" w:history="1">
        <w:r w:rsidRPr="00A2659F">
          <w:rPr>
            <w:rStyle w:val="Hyperlink"/>
          </w:rPr>
          <w:t>https://www.treatmentactiongroup.org/publication/hcv-genotypes/</w:t>
        </w:r>
      </w:hyperlink>
      <w:r w:rsidRPr="00A2659F">
        <w:t>.</w:t>
      </w:r>
    </w:p>
    <w:p w14:paraId="4794B5B8" w14:textId="77777777" w:rsidR="00A2659F" w:rsidRPr="00A2659F" w:rsidRDefault="00A2659F" w:rsidP="00A2659F">
      <w:pPr>
        <w:pStyle w:val="EndNoteBibliography"/>
        <w:spacing w:after="0"/>
      </w:pPr>
      <w:r w:rsidRPr="00A2659F">
        <w:t>34.</w:t>
      </w:r>
      <w:r w:rsidRPr="00A2659F">
        <w:tab/>
        <w:t>Senior M. Sovaldi makes blockbuster history, ignites drug pricing unrest. Nature Biotechnology. 2014;32(6):501.</w:t>
      </w:r>
    </w:p>
    <w:p w14:paraId="7F6FB931" w14:textId="77777777" w:rsidR="00A2659F" w:rsidRPr="00A2659F" w:rsidRDefault="00A2659F" w:rsidP="00A2659F">
      <w:pPr>
        <w:pStyle w:val="EndNoteBibliography"/>
        <w:spacing w:after="0"/>
      </w:pPr>
      <w:r w:rsidRPr="00A2659F">
        <w:t>35.</w:t>
      </w:r>
      <w:r w:rsidRPr="00A2659F">
        <w:tab/>
        <w:t>Pollack A. Sales of Sovaldi, new Gilead hepatitis C drug, soar to $10.3 billion. New York Times. 2015;3.</w:t>
      </w:r>
    </w:p>
    <w:p w14:paraId="334199BD" w14:textId="77777777" w:rsidR="00A2659F" w:rsidRPr="00A2659F" w:rsidRDefault="00A2659F" w:rsidP="00A2659F">
      <w:pPr>
        <w:pStyle w:val="EndNoteBibliography"/>
        <w:spacing w:after="0"/>
      </w:pPr>
      <w:r w:rsidRPr="00A2659F">
        <w:t>36.</w:t>
      </w:r>
      <w:r w:rsidRPr="00A2659F">
        <w:tab/>
        <w:t>Hill A, Khoo S, Fortunak J, Simmons B, Ford N. Minimum costs for producing hepatitis C direct-acting antivirals for use in large-scale treatment access programs in developing countries. Clinical Infectious Diseases. 2014;58(7):928-36.</w:t>
      </w:r>
    </w:p>
    <w:p w14:paraId="608AA7DD" w14:textId="54C43163" w:rsidR="00A2659F" w:rsidRPr="00A2659F" w:rsidRDefault="00A2659F" w:rsidP="00A2659F">
      <w:pPr>
        <w:pStyle w:val="EndNoteBibliography"/>
        <w:spacing w:after="0"/>
      </w:pPr>
      <w:r w:rsidRPr="00A2659F">
        <w:t>37.</w:t>
      </w:r>
      <w:r w:rsidRPr="00A2659F">
        <w:tab/>
        <w:t xml:space="preserve">Medicines Patent Pool. About Us  [cited 2022 12/9/2022]. Available from: </w:t>
      </w:r>
      <w:hyperlink r:id="rId19" w:history="1">
        <w:r w:rsidRPr="00A2659F">
          <w:rPr>
            <w:rStyle w:val="Hyperlink"/>
          </w:rPr>
          <w:t>https://medicinespatentpool.org/who-we-are/about-us</w:t>
        </w:r>
      </w:hyperlink>
      <w:r w:rsidRPr="00A2659F">
        <w:t>.</w:t>
      </w:r>
    </w:p>
    <w:p w14:paraId="139F9310" w14:textId="5ED2D6C4" w:rsidR="00A2659F" w:rsidRPr="00A2659F" w:rsidRDefault="00A2659F" w:rsidP="00A2659F">
      <w:pPr>
        <w:pStyle w:val="EndNoteBibliography"/>
        <w:spacing w:after="0"/>
      </w:pPr>
      <w:r w:rsidRPr="00A2659F">
        <w:t>38.</w:t>
      </w:r>
      <w:r w:rsidRPr="00A2659F">
        <w:tab/>
        <w:t xml:space="preserve">Medicines Patent Pool. Disease Areas  [cited 2022 30/3/2022]. Available from: </w:t>
      </w:r>
      <w:hyperlink r:id="rId20" w:history="1">
        <w:r w:rsidRPr="00A2659F">
          <w:rPr>
            <w:rStyle w:val="Hyperlink"/>
          </w:rPr>
          <w:t>https://medicinespatentpool.org/what-we-do/disease-areas#pills-VIRAL-HEPATITIS</w:t>
        </w:r>
      </w:hyperlink>
      <w:r w:rsidRPr="00A2659F">
        <w:t>.</w:t>
      </w:r>
    </w:p>
    <w:p w14:paraId="15C88475" w14:textId="3249AF61" w:rsidR="00A2659F" w:rsidRPr="00A2659F" w:rsidRDefault="00A2659F" w:rsidP="00A2659F">
      <w:pPr>
        <w:pStyle w:val="EndNoteBibliography"/>
        <w:spacing w:after="0"/>
      </w:pPr>
      <w:r w:rsidRPr="00A2659F">
        <w:t>39.</w:t>
      </w:r>
      <w:r w:rsidRPr="00A2659F">
        <w:tab/>
        <w:t xml:space="preserve">Medicines Patent Pool. Affordable versions of hepatitis C medicine daclatasvir soon available in additional countries 16 March 2020 [cited 2022 30/3/2022]. Available from: </w:t>
      </w:r>
      <w:hyperlink r:id="rId21" w:history="1">
        <w:r w:rsidRPr="00A2659F">
          <w:rPr>
            <w:rStyle w:val="Hyperlink"/>
          </w:rPr>
          <w:t>https://medicinespatentpool.org/news-publications-post/affordable-versions-of-hepatitis-c-medicine-daclatasvir-soon-available-in-additional-countries</w:t>
        </w:r>
      </w:hyperlink>
      <w:r w:rsidRPr="00A2659F">
        <w:t>.</w:t>
      </w:r>
    </w:p>
    <w:p w14:paraId="522DE4F6" w14:textId="7E0B07F4" w:rsidR="00A2659F" w:rsidRPr="00A2659F" w:rsidRDefault="00A2659F" w:rsidP="00A2659F">
      <w:pPr>
        <w:pStyle w:val="EndNoteBibliography"/>
        <w:spacing w:after="0"/>
      </w:pPr>
      <w:r w:rsidRPr="00A2659F">
        <w:t>40.</w:t>
      </w:r>
      <w:r w:rsidRPr="00A2659F">
        <w:tab/>
        <w:t xml:space="preserve">MSF Access Campaign. Access to Sofosbuvir, Ledipasvir and Velpatasvir Analysis &amp; Key Recomemendations on Gilead's Voluntary Licence  March 2015 [cited 2022 30/3/2022]. Available from: </w:t>
      </w:r>
      <w:hyperlink r:id="rId22" w:history="1">
        <w:r w:rsidRPr="00A2659F">
          <w:rPr>
            <w:rStyle w:val="Hyperlink"/>
          </w:rPr>
          <w:t>https://msfaccess.org/sites/default/files/MSF_assets/HepC/Docs/HEPC_Analystics_GileadHepCLicense_ENG_2015.pdf</w:t>
        </w:r>
      </w:hyperlink>
      <w:r w:rsidRPr="00A2659F">
        <w:t>.</w:t>
      </w:r>
    </w:p>
    <w:p w14:paraId="5FA4ADB1" w14:textId="77777777" w:rsidR="00A2659F" w:rsidRPr="00A2659F" w:rsidRDefault="00A2659F" w:rsidP="00A2659F">
      <w:pPr>
        <w:pStyle w:val="EndNoteBibliography"/>
        <w:spacing w:after="0"/>
      </w:pPr>
      <w:r w:rsidRPr="00A2659F">
        <w:t>41.</w:t>
      </w:r>
      <w:r w:rsidRPr="00A2659F">
        <w:tab/>
        <w:t>MSF Access Campaign. Voluntary licenses and access to medicines. . October 2020.</w:t>
      </w:r>
    </w:p>
    <w:p w14:paraId="3280B964" w14:textId="77777777" w:rsidR="00A2659F" w:rsidRPr="00A2659F" w:rsidRDefault="00A2659F" w:rsidP="00A2659F">
      <w:pPr>
        <w:pStyle w:val="EndNoteBibliography"/>
        <w:spacing w:after="0"/>
      </w:pPr>
      <w:r w:rsidRPr="00A2659F">
        <w:t>42.</w:t>
      </w:r>
      <w:r w:rsidRPr="00A2659F">
        <w:tab/>
        <w:t>Gower E EC, Blach S, Razavi-Shearer K, Razavi H,. Global epidemiology and genotype distribution of the hepatitis C virus infection. J Hepatol. 2014;61:S45–S57.</w:t>
      </w:r>
    </w:p>
    <w:p w14:paraId="00B77BC1" w14:textId="77777777" w:rsidR="00A2659F" w:rsidRPr="00A2659F" w:rsidRDefault="00A2659F" w:rsidP="00A2659F">
      <w:pPr>
        <w:pStyle w:val="EndNoteBibliography"/>
        <w:spacing w:after="0"/>
      </w:pPr>
      <w:r w:rsidRPr="00A2659F">
        <w:t>43.</w:t>
      </w:r>
      <w:r w:rsidRPr="00A2659F">
        <w:tab/>
        <w:t>Posuwan N VV, Chinchai T, Wasitthankasem R,Wanlapakorn N, Poovorawan Y,. 2019 Serological evidence of hepatitis A,B,and C virus infection in older adults in Khon Kaen,Thailand and the estimated rates of chronic hepatitis B and C virus infection in Thais. PeerJ. 2017;7:e7492.</w:t>
      </w:r>
    </w:p>
    <w:p w14:paraId="62741A84" w14:textId="77777777" w:rsidR="00A2659F" w:rsidRPr="00A2659F" w:rsidRDefault="00A2659F" w:rsidP="00A2659F">
      <w:pPr>
        <w:pStyle w:val="EndNoteBibliography"/>
        <w:spacing w:after="0"/>
      </w:pPr>
      <w:r w:rsidRPr="00A2659F">
        <w:t>44.</w:t>
      </w:r>
      <w:r w:rsidRPr="00A2659F">
        <w:tab/>
        <w:t>Messina JP, Humphreys I, Flaxman A, Brown A, Cooke GS, Pybus OG, et al. Global distribution and prevalence of hepatitis C virus genotypes. Hepatology. 2015;61(1):77-87.</w:t>
      </w:r>
    </w:p>
    <w:p w14:paraId="3AE6C628" w14:textId="77777777" w:rsidR="00A2659F" w:rsidRPr="00A2659F" w:rsidRDefault="00A2659F" w:rsidP="00A2659F">
      <w:pPr>
        <w:pStyle w:val="EndNoteBibliography"/>
        <w:spacing w:after="0"/>
      </w:pPr>
      <w:r w:rsidRPr="00A2659F">
        <w:lastRenderedPageBreak/>
        <w:t>45.</w:t>
      </w:r>
      <w:r w:rsidRPr="00A2659F">
        <w:tab/>
        <w:t>Wasitthankasem R, Vongpunsawad S, Siripon N, Suya C, Chulothok P, Chaiear K, et al. Genotypic distribution of hepatitis C virus in Thailand and Southeast Asia. PloS one. 2015;10(5):e0126764.</w:t>
      </w:r>
    </w:p>
    <w:p w14:paraId="318A00C6" w14:textId="77777777" w:rsidR="00A2659F" w:rsidRPr="00A2659F" w:rsidRDefault="00A2659F" w:rsidP="00A2659F">
      <w:pPr>
        <w:pStyle w:val="EndNoteBibliography"/>
        <w:spacing w:after="0"/>
      </w:pPr>
      <w:r w:rsidRPr="00A2659F">
        <w:t>46.</w:t>
      </w:r>
      <w:r w:rsidRPr="00A2659F">
        <w:tab/>
        <w:t>Sirinawasatien A, Techasirioangkun T. Sofosbuvir-based regimens in the treatment of patients with chronic hepatitis C virus infection: Real-world efficacy in Thailand. PLoS One. 2020;15(2):e0229517.</w:t>
      </w:r>
    </w:p>
    <w:p w14:paraId="15538211" w14:textId="77777777" w:rsidR="00A2659F" w:rsidRPr="00A2659F" w:rsidRDefault="00A2659F" w:rsidP="00A2659F">
      <w:pPr>
        <w:pStyle w:val="EndNoteBibliography"/>
        <w:spacing w:after="0"/>
      </w:pPr>
      <w:r w:rsidRPr="00A2659F">
        <w:t>47.</w:t>
      </w:r>
      <w:r w:rsidRPr="00A2659F">
        <w:tab/>
        <w:t>Wasitthankasem R, Pimsingh N, Treesun K, Posuwan N, Vichaiwattana P, Auphimai C, et al. Prevalence of hepatitis C virus in an endemic area of Thailand: burden assessment toward HCV elimination. The American Journal of Tropical Medicine and Hygiene. 2020;103(1):175.</w:t>
      </w:r>
    </w:p>
    <w:p w14:paraId="2426758A" w14:textId="2B0F8596" w:rsidR="00A2659F" w:rsidRPr="00A2659F" w:rsidRDefault="00A2659F" w:rsidP="00A2659F">
      <w:pPr>
        <w:pStyle w:val="EndNoteBibliography"/>
        <w:spacing w:after="0"/>
      </w:pPr>
      <w:r w:rsidRPr="00A2659F">
        <w:t>48.</w:t>
      </w:r>
      <w:r w:rsidRPr="00A2659F">
        <w:tab/>
        <w:t xml:space="preserve">Medspal. Medspal 2022 [cited 2022 6/4/2022]. Available from: </w:t>
      </w:r>
      <w:hyperlink r:id="rId23" w:history="1">
        <w:r w:rsidRPr="00A2659F">
          <w:rPr>
            <w:rStyle w:val="Hyperlink"/>
          </w:rPr>
          <w:t>https://www.medspal.org/?countries%5B%5D=Thailand&amp;disease_area%5B%5D=Hepatitis+C+(HCV)&amp;page=1</w:t>
        </w:r>
      </w:hyperlink>
      <w:r w:rsidRPr="00A2659F">
        <w:t>.</w:t>
      </w:r>
    </w:p>
    <w:p w14:paraId="312D780C" w14:textId="77777777" w:rsidR="00A2659F" w:rsidRPr="00A2659F" w:rsidRDefault="00A2659F" w:rsidP="00A2659F">
      <w:pPr>
        <w:pStyle w:val="EndNoteBibliography"/>
        <w:spacing w:after="0"/>
      </w:pPr>
      <w:r w:rsidRPr="00A2659F">
        <w:t>49.</w:t>
      </w:r>
      <w:r w:rsidRPr="00A2659F">
        <w:tab/>
        <w:t>Rattanavipapong W, Anothaisintawee T, Teerawattananon Y. Revisiting policy on chronic HCV treatment under the Thai Universal Health Coverage: An economic evaluation and budget impact analysis. PloS one. 2018;13(2):e0193112.</w:t>
      </w:r>
    </w:p>
    <w:p w14:paraId="38C0239F" w14:textId="77777777" w:rsidR="00A2659F" w:rsidRPr="00A2659F" w:rsidRDefault="00A2659F" w:rsidP="00A2659F">
      <w:pPr>
        <w:pStyle w:val="EndNoteBibliography"/>
        <w:spacing w:after="0"/>
      </w:pPr>
      <w:r w:rsidRPr="00A2659F">
        <w:t>50.</w:t>
      </w:r>
      <w:r w:rsidRPr="00A2659F">
        <w:tab/>
        <w:t>World Health Organization. Accelerating access to hepatitis C diagnostics and treatment: overcoming barriers in low-and middle-income countries: global progress report 2020.  Accelerating access to hepatitis C diagnostics and treatment: overcoming barriers in low-and middle-income countries: global progress report 20202021.</w:t>
      </w:r>
    </w:p>
    <w:p w14:paraId="759ABF53" w14:textId="77777777" w:rsidR="00A2659F" w:rsidRPr="00A2659F" w:rsidRDefault="00A2659F" w:rsidP="00A2659F">
      <w:pPr>
        <w:pStyle w:val="EndNoteBibliography"/>
        <w:spacing w:after="0"/>
      </w:pPr>
      <w:r w:rsidRPr="00A2659F">
        <w:t>51.</w:t>
      </w:r>
      <w:r w:rsidRPr="00A2659F">
        <w:tab/>
        <w:t>Simmons B, Cooke GS, Miraldo M. Effect of voluntary licences for hepatitis C medicines on access to treatment: a difference-in-differences analysis. The Lancet Global Health. 2019;7(9):e1189-e96.</w:t>
      </w:r>
    </w:p>
    <w:p w14:paraId="25FE92E1" w14:textId="44B6ABB6" w:rsidR="00A2659F" w:rsidRPr="00A2659F" w:rsidRDefault="00A2659F" w:rsidP="00A2659F">
      <w:pPr>
        <w:pStyle w:val="EndNoteBibliography"/>
        <w:spacing w:after="0"/>
      </w:pPr>
      <w:r w:rsidRPr="00A2659F">
        <w:t>52.</w:t>
      </w:r>
      <w:r w:rsidRPr="00A2659F">
        <w:tab/>
        <w:t xml:space="preserve">Code Blue. Minister Claims Imported Sofosbuvir Supply Enough For Malaysian Hepatitis C Patients 17 July 2020 [cited 2022 12th August 2022]. Available from: </w:t>
      </w:r>
      <w:hyperlink r:id="rId24" w:history="1">
        <w:r w:rsidRPr="00A2659F">
          <w:rPr>
            <w:rStyle w:val="Hyperlink"/>
          </w:rPr>
          <w:t>https://codeblue.galencentre.org/2020/07/17/minister-claims-imported-sofosbuvir-supply-enough-for-malaysian-hepatitis-c-patients/</w:t>
        </w:r>
      </w:hyperlink>
      <w:r w:rsidRPr="00A2659F">
        <w:t>.</w:t>
      </w:r>
    </w:p>
    <w:p w14:paraId="161F3265" w14:textId="77777777" w:rsidR="00A2659F" w:rsidRPr="00A2659F" w:rsidRDefault="00A2659F" w:rsidP="00A2659F">
      <w:pPr>
        <w:pStyle w:val="EndNoteBibliography"/>
        <w:spacing w:after="0"/>
      </w:pPr>
      <w:r w:rsidRPr="00A2659F">
        <w:t>53.</w:t>
      </w:r>
      <w:r w:rsidRPr="00A2659F">
        <w:tab/>
        <w:t>Gilead. Amended and Restated License Agreement. 2017.</w:t>
      </w:r>
    </w:p>
    <w:p w14:paraId="13A6FDF3" w14:textId="77777777" w:rsidR="00A2659F" w:rsidRPr="00A2659F" w:rsidRDefault="00A2659F" w:rsidP="00A2659F">
      <w:pPr>
        <w:pStyle w:val="EndNoteBibliography"/>
        <w:spacing w:after="0"/>
      </w:pPr>
      <w:r w:rsidRPr="00A2659F">
        <w:t>54.</w:t>
      </w:r>
      <w:r w:rsidRPr="00A2659F">
        <w:tab/>
        <w:t>Siraprapasiri T, Ongwangdee S, Benjarattanaporn P, Peerapatanapokin W, Sharma M. The impact of Thailand's public health response to the HIV epidemic 1984–2015: understanding the ingredients of success. Journal of virus eradication. 2016;2:7-14.</w:t>
      </w:r>
    </w:p>
    <w:p w14:paraId="60F2D3EC" w14:textId="78719F64" w:rsidR="00A2659F" w:rsidRPr="00A2659F" w:rsidRDefault="00A2659F" w:rsidP="00A2659F">
      <w:pPr>
        <w:pStyle w:val="EndNoteBibliography"/>
        <w:spacing w:after="0"/>
      </w:pPr>
      <w:r w:rsidRPr="00A2659F">
        <w:t>55.</w:t>
      </w:r>
      <w:r w:rsidRPr="00A2659F">
        <w:tab/>
        <w:t xml:space="preserve">Make Medicines Affordable. TNP+ demands that Thailand’s Minister of Health “unlock” Hepatitis C treatment 28 Feb 2022 [updated 2022; cited 2022 30/3/2022]. Available from: </w:t>
      </w:r>
      <w:hyperlink r:id="rId25" w:history="1">
        <w:r w:rsidRPr="00A2659F">
          <w:rPr>
            <w:rStyle w:val="Hyperlink"/>
          </w:rPr>
          <w:t>https://makemedicinesaffordable.org/tnp-demands-that-thailands-minister-of-health-unlock-hepatitis-c-treatment/</w:t>
        </w:r>
      </w:hyperlink>
      <w:r w:rsidRPr="00A2659F">
        <w:t>.</w:t>
      </w:r>
    </w:p>
    <w:p w14:paraId="5E8AEED5" w14:textId="77777777" w:rsidR="00A2659F" w:rsidRPr="00A2659F" w:rsidRDefault="00A2659F" w:rsidP="00A2659F">
      <w:pPr>
        <w:pStyle w:val="EndNoteBibliography"/>
        <w:spacing w:after="0"/>
      </w:pPr>
      <w:r w:rsidRPr="00A2659F">
        <w:t>56.</w:t>
      </w:r>
      <w:r w:rsidRPr="00A2659F">
        <w:tab/>
        <w:t>Kuanpoth J. Compulsory licences: law and practice in Thailand.  Compulsory Licensing: Springer; 2015. p. 61-77.</w:t>
      </w:r>
    </w:p>
    <w:p w14:paraId="7EBDA0E0" w14:textId="77777777" w:rsidR="00A2659F" w:rsidRPr="00A2659F" w:rsidRDefault="00A2659F" w:rsidP="00A2659F">
      <w:pPr>
        <w:pStyle w:val="EndNoteBibliography"/>
        <w:spacing w:after="0"/>
      </w:pPr>
      <w:r w:rsidRPr="00A2659F">
        <w:t>57.</w:t>
      </w:r>
      <w:r w:rsidRPr="00A2659F">
        <w:tab/>
        <w:t>Glaser M, Murphy AM. Patients versus patents: Thailand and the politics of access to pharmaceutical products. Journal of Third World Studies. 2010;27(1):215-34.</w:t>
      </w:r>
    </w:p>
    <w:p w14:paraId="7BBEFB17" w14:textId="77777777" w:rsidR="00A2659F" w:rsidRPr="00A2659F" w:rsidRDefault="00A2659F" w:rsidP="00A2659F">
      <w:pPr>
        <w:pStyle w:val="EndNoteBibliography"/>
        <w:spacing w:after="0"/>
      </w:pPr>
      <w:r w:rsidRPr="00A2659F">
        <w:t>58.</w:t>
      </w:r>
      <w:r w:rsidRPr="00A2659F">
        <w:tab/>
        <w:t>Islam MD, Kaplan WA, Trachtenberg D, Thrasher R, Gallagher KP, Wirtz VJ. Impacts of intellectual property provisions in trade treaties on access to medicine in low and middle income countries: a systematic review. Globalization and Health. 2019;15(1):88.</w:t>
      </w:r>
    </w:p>
    <w:p w14:paraId="4E41A5C7" w14:textId="77777777" w:rsidR="00A2659F" w:rsidRPr="00A2659F" w:rsidRDefault="00A2659F" w:rsidP="00A2659F">
      <w:pPr>
        <w:pStyle w:val="EndNoteBibliography"/>
      </w:pPr>
      <w:r w:rsidRPr="00A2659F">
        <w:t>59.</w:t>
      </w:r>
      <w:r w:rsidRPr="00A2659F">
        <w:tab/>
        <w:t>Kapczynski A, Sampat BN, Shadlen K. Trade agreements, patents, and drug prices: continuing the debate. Yale Law &amp; Economics Research Paper. 2017(572).</w:t>
      </w:r>
    </w:p>
    <w:p w14:paraId="7699F5D9" w14:textId="5043A5EF" w:rsidR="005C79B4" w:rsidRDefault="00195113">
      <w:r w:rsidRPr="00456C7B">
        <w:fldChar w:fldCharType="end"/>
      </w:r>
    </w:p>
    <w:p w14:paraId="0C6384DF" w14:textId="2AD7AE8D" w:rsidR="005C79B4" w:rsidRDefault="005C79B4"/>
    <w:sectPr w:rsidR="005C79B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B03F7" w14:textId="77777777" w:rsidR="0042745B" w:rsidRDefault="0042745B" w:rsidP="000C2FB7">
      <w:pPr>
        <w:spacing w:after="0" w:line="240" w:lineRule="auto"/>
      </w:pPr>
      <w:r>
        <w:separator/>
      </w:r>
    </w:p>
  </w:endnote>
  <w:endnote w:type="continuationSeparator" w:id="0">
    <w:p w14:paraId="2ABB2A69" w14:textId="77777777" w:rsidR="0042745B" w:rsidRDefault="0042745B" w:rsidP="000C2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831053"/>
      <w:docPartObj>
        <w:docPartGallery w:val="Page Numbers (Bottom of Page)"/>
        <w:docPartUnique/>
      </w:docPartObj>
    </w:sdtPr>
    <w:sdtEndPr>
      <w:rPr>
        <w:noProof/>
      </w:rPr>
    </w:sdtEndPr>
    <w:sdtContent>
      <w:p w14:paraId="25E71AB3" w14:textId="1DD1555B" w:rsidR="000C2FB7" w:rsidRDefault="000C2FB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297332" w14:textId="77777777" w:rsidR="000C2FB7" w:rsidRDefault="000C2F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5BE24" w14:textId="77777777" w:rsidR="0042745B" w:rsidRDefault="0042745B" w:rsidP="000C2FB7">
      <w:pPr>
        <w:spacing w:after="0" w:line="240" w:lineRule="auto"/>
      </w:pPr>
      <w:r>
        <w:separator/>
      </w:r>
    </w:p>
  </w:footnote>
  <w:footnote w:type="continuationSeparator" w:id="0">
    <w:p w14:paraId="6FC210F5" w14:textId="77777777" w:rsidR="0042745B" w:rsidRDefault="0042745B" w:rsidP="000C2FB7">
      <w:pPr>
        <w:spacing w:after="0" w:line="240" w:lineRule="auto"/>
      </w:pPr>
      <w:r>
        <w:continuationSeparator/>
      </w:r>
    </w:p>
  </w:footnote>
  <w:footnote w:id="1">
    <w:p w14:paraId="0AD8B332" w14:textId="36576C69" w:rsidR="0063443A" w:rsidRDefault="0063443A" w:rsidP="00A310BE">
      <w:pPr>
        <w:pStyle w:val="FootnoteText"/>
        <w:jc w:val="both"/>
      </w:pPr>
      <w:r w:rsidRPr="00112E1D">
        <w:rPr>
          <w:rStyle w:val="FootnoteReference"/>
        </w:rPr>
        <w:footnoteRef/>
      </w:r>
      <w:r w:rsidRPr="00112E1D">
        <w:t xml:space="preserve"> The cost of </w:t>
      </w:r>
      <w:r w:rsidR="007D2E8F" w:rsidRPr="00112E1D">
        <w:t>ribavirin</w:t>
      </w:r>
      <w:r w:rsidRPr="00112E1D">
        <w:t xml:space="preserve"> and pegylated interferon w</w:t>
      </w:r>
      <w:r w:rsidR="00D53D31" w:rsidRPr="00112E1D">
        <w:t>ere</w:t>
      </w:r>
      <w:r w:rsidRPr="00112E1D">
        <w:t xml:space="preserve"> not included in the calculations</w:t>
      </w:r>
      <w:r w:rsidR="005F62E5" w:rsidRPr="00112E1D">
        <w:t>. This was because</w:t>
      </w:r>
      <w:r w:rsidRPr="00112E1D">
        <w:t xml:space="preserve"> </w:t>
      </w:r>
      <w:r w:rsidR="00D53D31" w:rsidRPr="00112E1D">
        <w:t>they are</w:t>
      </w:r>
      <w:r w:rsidR="00E34B5F" w:rsidRPr="00112E1D">
        <w:t xml:space="preserve"> </w:t>
      </w:r>
      <w:r w:rsidR="00C30DA0" w:rsidRPr="00112E1D">
        <w:t>old</w:t>
      </w:r>
      <w:r w:rsidR="005F62E5" w:rsidRPr="00112E1D">
        <w:t xml:space="preserve">, superseded </w:t>
      </w:r>
      <w:r w:rsidR="0028002D">
        <w:t>medicines</w:t>
      </w:r>
      <w:r w:rsidR="005F62E5" w:rsidRPr="00112E1D">
        <w:t xml:space="preserve"> </w:t>
      </w:r>
      <w:r w:rsidR="00EC5A9A" w:rsidRPr="00112E1D">
        <w:t>whose patent</w:t>
      </w:r>
      <w:r w:rsidR="00D53D31" w:rsidRPr="00112E1D">
        <w:t>s</w:t>
      </w:r>
      <w:r w:rsidR="00EC5A9A" w:rsidRPr="00112E1D">
        <w:t xml:space="preserve"> ha</w:t>
      </w:r>
      <w:r w:rsidR="00D53D31" w:rsidRPr="00112E1D">
        <w:t>ve</w:t>
      </w:r>
      <w:r w:rsidR="00EC5A9A" w:rsidRPr="00112E1D">
        <w:t xml:space="preserve"> expired in </w:t>
      </w:r>
      <w:proofErr w:type="gramStart"/>
      <w:r w:rsidR="00514A37" w:rsidRPr="00112E1D">
        <w:t>the vast majority</w:t>
      </w:r>
      <w:r w:rsidR="00EC5A9A" w:rsidRPr="00112E1D">
        <w:t xml:space="preserve"> of</w:t>
      </w:r>
      <w:proofErr w:type="gramEnd"/>
      <w:r w:rsidR="00EC5A9A" w:rsidRPr="00112E1D">
        <w:t xml:space="preserve"> the world.</w:t>
      </w:r>
      <w:r w:rsidR="005F62E5" w:rsidRPr="00112E1D">
        <w:t xml:space="preserve"> </w:t>
      </w:r>
      <w:r w:rsidR="00C30DA0" w:rsidRPr="00112E1D">
        <w:t xml:space="preserve">The price of ribavirin and pegylated interferon would have been a constant for Scenarios 1-3 and </w:t>
      </w:r>
      <w:r w:rsidR="00800D7D" w:rsidRPr="00112E1D">
        <w:t xml:space="preserve">therefore </w:t>
      </w:r>
      <w:r w:rsidR="00EF1F8F" w:rsidRPr="00112E1D">
        <w:t xml:space="preserve">would </w:t>
      </w:r>
      <w:r w:rsidR="00800D7D" w:rsidRPr="00112E1D">
        <w:t xml:space="preserve">not </w:t>
      </w:r>
      <w:r w:rsidR="00EF1F8F" w:rsidRPr="00112E1D">
        <w:t xml:space="preserve">have </w:t>
      </w:r>
      <w:r w:rsidR="00800D7D" w:rsidRPr="00112E1D">
        <w:t>changed the</w:t>
      </w:r>
      <w:r w:rsidR="00567288" w:rsidRPr="00112E1D">
        <w:t xml:space="preserve"> results in </w:t>
      </w:r>
      <w:r w:rsidR="00EF4DCE" w:rsidRPr="00112E1D">
        <w:t xml:space="preserve">terms of </w:t>
      </w:r>
      <w:r w:rsidR="00995F0A" w:rsidRPr="00112E1D">
        <w:t xml:space="preserve">how </w:t>
      </w:r>
      <w:r w:rsidR="0031319C" w:rsidRPr="00112E1D">
        <w:t>the cost of these</w:t>
      </w:r>
      <w:r w:rsidR="00EF4DCE" w:rsidRPr="00112E1D">
        <w:t xml:space="preserve"> </w:t>
      </w:r>
      <w:r w:rsidR="00995F0A" w:rsidRPr="00112E1D">
        <w:t>S</w:t>
      </w:r>
      <w:r w:rsidR="00EF4DCE" w:rsidRPr="00112E1D">
        <w:t xml:space="preserve">cenarios compare to </w:t>
      </w:r>
      <w:r w:rsidR="0031319C" w:rsidRPr="00112E1D">
        <w:t>one</w:t>
      </w:r>
      <w:r w:rsidR="00EF4DCE" w:rsidRPr="00112E1D">
        <w:t xml:space="preserve"> </w:t>
      </w:r>
      <w:r w:rsidR="0031319C" w:rsidRPr="00112E1D">
        <w:t>an</w:t>
      </w:r>
      <w:r w:rsidR="00EF4DCE" w:rsidRPr="00112E1D">
        <w:t>other</w:t>
      </w:r>
      <w:r w:rsidR="00800D7D" w:rsidRPr="00112E1D">
        <w:t xml:space="preserve">. As mentioned in the </w:t>
      </w:r>
      <w:r w:rsidR="00EF1F8F" w:rsidRPr="00112E1D">
        <w:t>R</w:t>
      </w:r>
      <w:r w:rsidR="00800D7D" w:rsidRPr="00112E1D">
        <w:t xml:space="preserve">esults and </w:t>
      </w:r>
      <w:r w:rsidR="00EF1F8F" w:rsidRPr="00112E1D">
        <w:t>D</w:t>
      </w:r>
      <w:r w:rsidR="00800D7D" w:rsidRPr="00112E1D">
        <w:t>iscussion</w:t>
      </w:r>
      <w:r w:rsidR="00514A37" w:rsidRPr="00112E1D">
        <w:t>,</w:t>
      </w:r>
      <w:r w:rsidR="00800D7D" w:rsidRPr="00112E1D">
        <w:t xml:space="preserve"> it </w:t>
      </w:r>
      <w:r w:rsidR="00256507" w:rsidRPr="00112E1D">
        <w:t xml:space="preserve">would have </w:t>
      </w:r>
      <w:r w:rsidR="00EF1F8F" w:rsidRPr="00112E1D">
        <w:t xml:space="preserve">only </w:t>
      </w:r>
      <w:r w:rsidR="00256507" w:rsidRPr="00112E1D">
        <w:t xml:space="preserve">impacted the comparison with Scenario 4 as this is a DAA </w:t>
      </w:r>
      <w:r w:rsidR="005F62E5" w:rsidRPr="00112E1D">
        <w:t>only regime.</w:t>
      </w:r>
      <w:r w:rsidR="005F62E5">
        <w:t xml:space="preserve"> </w:t>
      </w:r>
    </w:p>
  </w:footnote>
  <w:footnote w:id="2">
    <w:p w14:paraId="1BA8670A" w14:textId="1F51F677" w:rsidR="00F86367" w:rsidRDefault="00F86367">
      <w:pPr>
        <w:pStyle w:val="FootnoteText"/>
      </w:pPr>
      <w:r w:rsidRPr="00112E1D">
        <w:rPr>
          <w:rStyle w:val="FootnoteReference"/>
        </w:rPr>
        <w:footnoteRef/>
      </w:r>
      <w:r w:rsidRPr="00112E1D">
        <w:t xml:space="preserve"> If Thailand cho</w:t>
      </w:r>
      <w:r w:rsidR="00404B7F" w:rsidRPr="00112E1D">
        <w:t>oses</w:t>
      </w:r>
      <w:r w:rsidRPr="00112E1D">
        <w:t xml:space="preserve"> to make patents available for new uses only</w:t>
      </w:r>
      <w:r w:rsidR="00404B7F" w:rsidRPr="00112E1D">
        <w:t>,</w:t>
      </w:r>
      <w:r w:rsidRPr="00112E1D">
        <w:t xml:space="preserve"> then this scenario would not be valid as </w:t>
      </w:r>
      <w:r w:rsidR="00782DCF" w:rsidRPr="00112E1D">
        <w:t xml:space="preserve">the only indication for the </w:t>
      </w:r>
      <w:r w:rsidRPr="00112E1D">
        <w:t xml:space="preserve">DAAs included in this scenario </w:t>
      </w:r>
      <w:r w:rsidR="00782DCF" w:rsidRPr="00112E1D">
        <w:t xml:space="preserve">is </w:t>
      </w:r>
      <w:r w:rsidRPr="00112E1D">
        <w:t xml:space="preserve">for the treatment of hepatitis C at this time. The scenario is valid </w:t>
      </w:r>
      <w:r w:rsidR="00404B7F" w:rsidRPr="00112E1D">
        <w:t>if Thailand chooses to make patents available for new methods of using a known product and or new processes of using a known product as that would result in secondary patents being granted for the DAAs in this scenario.</w:t>
      </w:r>
    </w:p>
  </w:footnote>
  <w:footnote w:id="3">
    <w:p w14:paraId="1A8C94A3" w14:textId="55F44551" w:rsidR="00F30376" w:rsidRDefault="00F30376">
      <w:pPr>
        <w:pStyle w:val="FootnoteText"/>
      </w:pPr>
      <w:r>
        <w:rPr>
          <w:rStyle w:val="FootnoteReference"/>
        </w:rPr>
        <w:footnoteRef/>
      </w:r>
      <w:r>
        <w:t xml:space="preserve"> </w:t>
      </w:r>
      <w:r w:rsidR="002841FF">
        <w:t>Some prices</w:t>
      </w:r>
      <w:r w:rsidR="000D0BC0">
        <w:t xml:space="preserve"> in this study were in Thai baht- </w:t>
      </w:r>
      <w:r w:rsidR="000A10A8">
        <w:t>these were converted into USD at 31.28 baht per USD</w:t>
      </w:r>
      <w:r w:rsidR="00335726">
        <w:t xml:space="preserve"> – </w:t>
      </w:r>
      <w:r w:rsidR="000A10A8">
        <w:t xml:space="preserve">the average </w:t>
      </w:r>
      <w:r w:rsidR="00FE7A90">
        <w:t>exchange rate for US</w:t>
      </w:r>
      <w:r w:rsidR="00DF5485">
        <w:t>$</w:t>
      </w:r>
      <w:r w:rsidR="00FE7A90">
        <w:t>/Thai baht for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C7CB2"/>
    <w:multiLevelType w:val="hybridMultilevel"/>
    <w:tmpl w:val="0936B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F504B53"/>
    <w:multiLevelType w:val="hybridMultilevel"/>
    <w:tmpl w:val="B45CD6B8"/>
    <w:lvl w:ilvl="0" w:tplc="B9BAB64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ADD7C8B"/>
    <w:multiLevelType w:val="hybridMultilevel"/>
    <w:tmpl w:val="AE4AE464"/>
    <w:lvl w:ilvl="0" w:tplc="04161720">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22666BD"/>
    <w:multiLevelType w:val="hybridMultilevel"/>
    <w:tmpl w:val="156E6DD2"/>
    <w:lvl w:ilvl="0" w:tplc="0EAE6B7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8D0171E"/>
    <w:multiLevelType w:val="hybridMultilevel"/>
    <w:tmpl w:val="08D40B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9DC326A"/>
    <w:multiLevelType w:val="hybridMultilevel"/>
    <w:tmpl w:val="AA481C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5BC53DD"/>
    <w:multiLevelType w:val="hybridMultilevel"/>
    <w:tmpl w:val="0A6ACD1A"/>
    <w:lvl w:ilvl="0" w:tplc="D0E0B7BC">
      <w:start w:val="19"/>
      <w:numFmt w:val="bullet"/>
      <w:lvlText w:val="-"/>
      <w:lvlJc w:val="left"/>
      <w:pPr>
        <w:ind w:left="1440" w:hanging="360"/>
      </w:pPr>
      <w:rPr>
        <w:rFonts w:ascii="Calibri" w:eastAsiaTheme="minorHAnsi" w:hAnsi="Calibri" w:cs="Calibri"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6AEF223A"/>
    <w:multiLevelType w:val="hybridMultilevel"/>
    <w:tmpl w:val="54303BCA"/>
    <w:lvl w:ilvl="0" w:tplc="33E0A458">
      <w:start w:val="1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25871F7"/>
    <w:multiLevelType w:val="hybridMultilevel"/>
    <w:tmpl w:val="BF1E9CD2"/>
    <w:lvl w:ilvl="0" w:tplc="CDA6DD5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B3A282A"/>
    <w:multiLevelType w:val="hybridMultilevel"/>
    <w:tmpl w:val="4C769CAC"/>
    <w:lvl w:ilvl="0" w:tplc="8CA06612">
      <w:start w:val="9"/>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41767796">
    <w:abstractNumId w:val="1"/>
  </w:num>
  <w:num w:numId="2" w16cid:durableId="807819829">
    <w:abstractNumId w:val="6"/>
  </w:num>
  <w:num w:numId="3" w16cid:durableId="1921602033">
    <w:abstractNumId w:val="8"/>
  </w:num>
  <w:num w:numId="4" w16cid:durableId="202984763">
    <w:abstractNumId w:val="7"/>
  </w:num>
  <w:num w:numId="5" w16cid:durableId="1971745500">
    <w:abstractNumId w:val="2"/>
  </w:num>
  <w:num w:numId="6" w16cid:durableId="1569925348">
    <w:abstractNumId w:val="9"/>
  </w:num>
  <w:num w:numId="7" w16cid:durableId="1178427883">
    <w:abstractNumId w:val="4"/>
  </w:num>
  <w:num w:numId="8" w16cid:durableId="1486506815">
    <w:abstractNumId w:val="3"/>
  </w:num>
  <w:num w:numId="9" w16cid:durableId="1325159166">
    <w:abstractNumId w:val="0"/>
  </w:num>
  <w:num w:numId="10" w16cid:durableId="6127137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p5tt9d12x9vhewffovwt2jvd9t5vpwzvxr&quot;&gt;phd-Converted&lt;record-ids&gt;&lt;item&gt;1&lt;/item&gt;&lt;item&gt;3&lt;/item&gt;&lt;item&gt;183&lt;/item&gt;&lt;item&gt;198&lt;/item&gt;&lt;item&gt;205&lt;/item&gt;&lt;item&gt;208&lt;/item&gt;&lt;item&gt;241&lt;/item&gt;&lt;item&gt;242&lt;/item&gt;&lt;item&gt;244&lt;/item&gt;&lt;item&gt;294&lt;/item&gt;&lt;item&gt;307&lt;/item&gt;&lt;item&gt;337&lt;/item&gt;&lt;item&gt;370&lt;/item&gt;&lt;item&gt;372&lt;/item&gt;&lt;item&gt;374&lt;/item&gt;&lt;item&gt;375&lt;/item&gt;&lt;item&gt;376&lt;/item&gt;&lt;item&gt;377&lt;/item&gt;&lt;item&gt;401&lt;/item&gt;&lt;item&gt;403&lt;/item&gt;&lt;item&gt;404&lt;/item&gt;&lt;item&gt;405&lt;/item&gt;&lt;item&gt;406&lt;/item&gt;&lt;item&gt;408&lt;/item&gt;&lt;item&gt;416&lt;/item&gt;&lt;item&gt;417&lt;/item&gt;&lt;item&gt;418&lt;/item&gt;&lt;item&gt;419&lt;/item&gt;&lt;item&gt;420&lt;/item&gt;&lt;item&gt;421&lt;/item&gt;&lt;item&gt;422&lt;/item&gt;&lt;item&gt;423&lt;/item&gt;&lt;item&gt;424&lt;/item&gt;&lt;item&gt;425&lt;/item&gt;&lt;item&gt;426&lt;/item&gt;&lt;item&gt;428&lt;/item&gt;&lt;item&gt;429&lt;/item&gt;&lt;item&gt;430&lt;/item&gt;&lt;item&gt;431&lt;/item&gt;&lt;item&gt;436&lt;/item&gt;&lt;item&gt;437&lt;/item&gt;&lt;item&gt;438&lt;/item&gt;&lt;item&gt;439&lt;/item&gt;&lt;item&gt;440&lt;/item&gt;&lt;item&gt;441&lt;/item&gt;&lt;item&gt;442&lt;/item&gt;&lt;item&gt;454&lt;/item&gt;&lt;item&gt;457&lt;/item&gt;&lt;item&gt;458&lt;/item&gt;&lt;item&gt;459&lt;/item&gt;&lt;item&gt;461&lt;/item&gt;&lt;item&gt;472&lt;/item&gt;&lt;item&gt;482&lt;/item&gt;&lt;item&gt;483&lt;/item&gt;&lt;item&gt;484&lt;/item&gt;&lt;item&gt;496&lt;/item&gt;&lt;item&gt;497&lt;/item&gt;&lt;item&gt;498&lt;/item&gt;&lt;item&gt;510&lt;/item&gt;&lt;item&gt;511&lt;/item&gt;&lt;/record-ids&gt;&lt;/item&gt;&lt;/Libraries&gt;"/>
  </w:docVars>
  <w:rsids>
    <w:rsidRoot w:val="004064C0"/>
    <w:rsid w:val="00000474"/>
    <w:rsid w:val="00001011"/>
    <w:rsid w:val="00001AEC"/>
    <w:rsid w:val="000028B8"/>
    <w:rsid w:val="000031D8"/>
    <w:rsid w:val="00004096"/>
    <w:rsid w:val="000042C5"/>
    <w:rsid w:val="00004CF5"/>
    <w:rsid w:val="0000673C"/>
    <w:rsid w:val="0000690B"/>
    <w:rsid w:val="00007C89"/>
    <w:rsid w:val="00010DE6"/>
    <w:rsid w:val="00010FA9"/>
    <w:rsid w:val="00011C53"/>
    <w:rsid w:val="000125D4"/>
    <w:rsid w:val="0001302A"/>
    <w:rsid w:val="00013A9D"/>
    <w:rsid w:val="000140CE"/>
    <w:rsid w:val="00015285"/>
    <w:rsid w:val="00016598"/>
    <w:rsid w:val="00020565"/>
    <w:rsid w:val="00020B51"/>
    <w:rsid w:val="00023251"/>
    <w:rsid w:val="00023CC7"/>
    <w:rsid w:val="00023DD9"/>
    <w:rsid w:val="000240A3"/>
    <w:rsid w:val="00024398"/>
    <w:rsid w:val="00024E4D"/>
    <w:rsid w:val="00027502"/>
    <w:rsid w:val="00031A1C"/>
    <w:rsid w:val="00032032"/>
    <w:rsid w:val="000330F5"/>
    <w:rsid w:val="000340D9"/>
    <w:rsid w:val="00034A96"/>
    <w:rsid w:val="000359FB"/>
    <w:rsid w:val="00035C48"/>
    <w:rsid w:val="000364ED"/>
    <w:rsid w:val="00036FEE"/>
    <w:rsid w:val="00037266"/>
    <w:rsid w:val="00040697"/>
    <w:rsid w:val="00041403"/>
    <w:rsid w:val="00041EE7"/>
    <w:rsid w:val="00043C80"/>
    <w:rsid w:val="00044C86"/>
    <w:rsid w:val="00045A50"/>
    <w:rsid w:val="00045CEA"/>
    <w:rsid w:val="00045F6A"/>
    <w:rsid w:val="00046FDC"/>
    <w:rsid w:val="000508D1"/>
    <w:rsid w:val="000509B4"/>
    <w:rsid w:val="00050DD4"/>
    <w:rsid w:val="000524F2"/>
    <w:rsid w:val="000541E0"/>
    <w:rsid w:val="00054D48"/>
    <w:rsid w:val="00057112"/>
    <w:rsid w:val="00060A19"/>
    <w:rsid w:val="00061BB2"/>
    <w:rsid w:val="00063180"/>
    <w:rsid w:val="000659F2"/>
    <w:rsid w:val="00070F36"/>
    <w:rsid w:val="00071085"/>
    <w:rsid w:val="0007207C"/>
    <w:rsid w:val="000738BA"/>
    <w:rsid w:val="000739C4"/>
    <w:rsid w:val="00073CBB"/>
    <w:rsid w:val="00075BD4"/>
    <w:rsid w:val="00076755"/>
    <w:rsid w:val="00081763"/>
    <w:rsid w:val="00081A70"/>
    <w:rsid w:val="00082362"/>
    <w:rsid w:val="00082980"/>
    <w:rsid w:val="00082EEA"/>
    <w:rsid w:val="000837EA"/>
    <w:rsid w:val="00084A2F"/>
    <w:rsid w:val="000863AC"/>
    <w:rsid w:val="00087291"/>
    <w:rsid w:val="00090DC5"/>
    <w:rsid w:val="00091910"/>
    <w:rsid w:val="0009251F"/>
    <w:rsid w:val="00092A3D"/>
    <w:rsid w:val="00094251"/>
    <w:rsid w:val="00094DCF"/>
    <w:rsid w:val="000963F6"/>
    <w:rsid w:val="00096E46"/>
    <w:rsid w:val="00097A44"/>
    <w:rsid w:val="000A022F"/>
    <w:rsid w:val="000A05EB"/>
    <w:rsid w:val="000A10A8"/>
    <w:rsid w:val="000A12E3"/>
    <w:rsid w:val="000A180D"/>
    <w:rsid w:val="000A4C90"/>
    <w:rsid w:val="000A5070"/>
    <w:rsid w:val="000A50D9"/>
    <w:rsid w:val="000A654E"/>
    <w:rsid w:val="000A6885"/>
    <w:rsid w:val="000A72AA"/>
    <w:rsid w:val="000B1307"/>
    <w:rsid w:val="000B2E68"/>
    <w:rsid w:val="000B4709"/>
    <w:rsid w:val="000B49FA"/>
    <w:rsid w:val="000B6286"/>
    <w:rsid w:val="000B6563"/>
    <w:rsid w:val="000B714F"/>
    <w:rsid w:val="000B7DB8"/>
    <w:rsid w:val="000B7ED2"/>
    <w:rsid w:val="000C0013"/>
    <w:rsid w:val="000C061E"/>
    <w:rsid w:val="000C0A99"/>
    <w:rsid w:val="000C1298"/>
    <w:rsid w:val="000C16F7"/>
    <w:rsid w:val="000C2D62"/>
    <w:rsid w:val="000C2FB7"/>
    <w:rsid w:val="000C3ACD"/>
    <w:rsid w:val="000C46EE"/>
    <w:rsid w:val="000C4B6C"/>
    <w:rsid w:val="000C731D"/>
    <w:rsid w:val="000C73BB"/>
    <w:rsid w:val="000D0B26"/>
    <w:rsid w:val="000D0BC0"/>
    <w:rsid w:val="000D1EF0"/>
    <w:rsid w:val="000D2F84"/>
    <w:rsid w:val="000D45B8"/>
    <w:rsid w:val="000D48F6"/>
    <w:rsid w:val="000D5157"/>
    <w:rsid w:val="000D5BEE"/>
    <w:rsid w:val="000D5D13"/>
    <w:rsid w:val="000D67FC"/>
    <w:rsid w:val="000D6FF8"/>
    <w:rsid w:val="000E02AE"/>
    <w:rsid w:val="000E1E31"/>
    <w:rsid w:val="000E23FF"/>
    <w:rsid w:val="000E4559"/>
    <w:rsid w:val="000E4CEE"/>
    <w:rsid w:val="000E5E49"/>
    <w:rsid w:val="000E7226"/>
    <w:rsid w:val="000F0028"/>
    <w:rsid w:val="000F1ACF"/>
    <w:rsid w:val="000F4037"/>
    <w:rsid w:val="000F6C8B"/>
    <w:rsid w:val="001003BF"/>
    <w:rsid w:val="00100513"/>
    <w:rsid w:val="00102B4E"/>
    <w:rsid w:val="001039D5"/>
    <w:rsid w:val="00103AF7"/>
    <w:rsid w:val="001055BD"/>
    <w:rsid w:val="00106525"/>
    <w:rsid w:val="001065E4"/>
    <w:rsid w:val="00106F8D"/>
    <w:rsid w:val="00107534"/>
    <w:rsid w:val="00110D72"/>
    <w:rsid w:val="0011148E"/>
    <w:rsid w:val="00111934"/>
    <w:rsid w:val="00112E1D"/>
    <w:rsid w:val="0011317B"/>
    <w:rsid w:val="00115A91"/>
    <w:rsid w:val="0011707A"/>
    <w:rsid w:val="00120962"/>
    <w:rsid w:val="00122162"/>
    <w:rsid w:val="0012241C"/>
    <w:rsid w:val="00122AE6"/>
    <w:rsid w:val="0012440B"/>
    <w:rsid w:val="00124454"/>
    <w:rsid w:val="00125362"/>
    <w:rsid w:val="001259D1"/>
    <w:rsid w:val="00126197"/>
    <w:rsid w:val="00127088"/>
    <w:rsid w:val="00127D1E"/>
    <w:rsid w:val="00130AB5"/>
    <w:rsid w:val="00130C5F"/>
    <w:rsid w:val="0013158C"/>
    <w:rsid w:val="00131D88"/>
    <w:rsid w:val="00132B83"/>
    <w:rsid w:val="00132C12"/>
    <w:rsid w:val="00132C61"/>
    <w:rsid w:val="00133F99"/>
    <w:rsid w:val="00135E24"/>
    <w:rsid w:val="00136058"/>
    <w:rsid w:val="001366D1"/>
    <w:rsid w:val="00137D49"/>
    <w:rsid w:val="00140120"/>
    <w:rsid w:val="001413A8"/>
    <w:rsid w:val="001424EE"/>
    <w:rsid w:val="00142D99"/>
    <w:rsid w:val="00145CCD"/>
    <w:rsid w:val="001463FC"/>
    <w:rsid w:val="001478BB"/>
    <w:rsid w:val="00151ACB"/>
    <w:rsid w:val="00152398"/>
    <w:rsid w:val="00156BC4"/>
    <w:rsid w:val="00156F44"/>
    <w:rsid w:val="00157ABE"/>
    <w:rsid w:val="001600C7"/>
    <w:rsid w:val="0016059B"/>
    <w:rsid w:val="0016079C"/>
    <w:rsid w:val="00160837"/>
    <w:rsid w:val="001624A6"/>
    <w:rsid w:val="00162965"/>
    <w:rsid w:val="00164993"/>
    <w:rsid w:val="00165BEB"/>
    <w:rsid w:val="001660D6"/>
    <w:rsid w:val="001666B0"/>
    <w:rsid w:val="00171A98"/>
    <w:rsid w:val="00171AB2"/>
    <w:rsid w:val="00171D9F"/>
    <w:rsid w:val="00173840"/>
    <w:rsid w:val="00174905"/>
    <w:rsid w:val="00176F94"/>
    <w:rsid w:val="00177C94"/>
    <w:rsid w:val="00180535"/>
    <w:rsid w:val="001807A0"/>
    <w:rsid w:val="0018300B"/>
    <w:rsid w:val="00184CD8"/>
    <w:rsid w:val="001876FC"/>
    <w:rsid w:val="00187D98"/>
    <w:rsid w:val="001900B5"/>
    <w:rsid w:val="00190556"/>
    <w:rsid w:val="001913B7"/>
    <w:rsid w:val="001917AA"/>
    <w:rsid w:val="00192234"/>
    <w:rsid w:val="00192C0C"/>
    <w:rsid w:val="00192FA0"/>
    <w:rsid w:val="00195113"/>
    <w:rsid w:val="00196E0F"/>
    <w:rsid w:val="00196E62"/>
    <w:rsid w:val="0019752D"/>
    <w:rsid w:val="001A0E26"/>
    <w:rsid w:val="001A1101"/>
    <w:rsid w:val="001A4ED1"/>
    <w:rsid w:val="001A5E9B"/>
    <w:rsid w:val="001A6E93"/>
    <w:rsid w:val="001B18A7"/>
    <w:rsid w:val="001B1A38"/>
    <w:rsid w:val="001B1FE0"/>
    <w:rsid w:val="001B5BBE"/>
    <w:rsid w:val="001B7E5E"/>
    <w:rsid w:val="001C43FF"/>
    <w:rsid w:val="001C59AB"/>
    <w:rsid w:val="001C6D72"/>
    <w:rsid w:val="001C6F9D"/>
    <w:rsid w:val="001C7104"/>
    <w:rsid w:val="001D0AE9"/>
    <w:rsid w:val="001D3D99"/>
    <w:rsid w:val="001D48B1"/>
    <w:rsid w:val="001D4AA8"/>
    <w:rsid w:val="001D50A1"/>
    <w:rsid w:val="001D6233"/>
    <w:rsid w:val="001D63C6"/>
    <w:rsid w:val="001D73D6"/>
    <w:rsid w:val="001E028F"/>
    <w:rsid w:val="001E03AE"/>
    <w:rsid w:val="001E24A5"/>
    <w:rsid w:val="001E2DAB"/>
    <w:rsid w:val="001E44D3"/>
    <w:rsid w:val="001E7688"/>
    <w:rsid w:val="001E79D2"/>
    <w:rsid w:val="001F1CC8"/>
    <w:rsid w:val="001F254D"/>
    <w:rsid w:val="001F3D11"/>
    <w:rsid w:val="001F5893"/>
    <w:rsid w:val="001F74C1"/>
    <w:rsid w:val="001F7780"/>
    <w:rsid w:val="001F7FEA"/>
    <w:rsid w:val="00201F25"/>
    <w:rsid w:val="002024C9"/>
    <w:rsid w:val="002035B1"/>
    <w:rsid w:val="00205829"/>
    <w:rsid w:val="002102EB"/>
    <w:rsid w:val="00210351"/>
    <w:rsid w:val="0021057F"/>
    <w:rsid w:val="00211409"/>
    <w:rsid w:val="0021142F"/>
    <w:rsid w:val="00211690"/>
    <w:rsid w:val="00211C3B"/>
    <w:rsid w:val="00211EBF"/>
    <w:rsid w:val="00211F25"/>
    <w:rsid w:val="00217187"/>
    <w:rsid w:val="00217791"/>
    <w:rsid w:val="00217D36"/>
    <w:rsid w:val="002205CE"/>
    <w:rsid w:val="00221EA5"/>
    <w:rsid w:val="00226872"/>
    <w:rsid w:val="00226F19"/>
    <w:rsid w:val="0023283C"/>
    <w:rsid w:val="00232E54"/>
    <w:rsid w:val="0023372B"/>
    <w:rsid w:val="00240FFB"/>
    <w:rsid w:val="002443B0"/>
    <w:rsid w:val="00244D3D"/>
    <w:rsid w:val="0024538E"/>
    <w:rsid w:val="00245628"/>
    <w:rsid w:val="002466FB"/>
    <w:rsid w:val="00246C02"/>
    <w:rsid w:val="0025102E"/>
    <w:rsid w:val="002515F6"/>
    <w:rsid w:val="0025209F"/>
    <w:rsid w:val="00252BA5"/>
    <w:rsid w:val="00254BBF"/>
    <w:rsid w:val="00256465"/>
    <w:rsid w:val="00256507"/>
    <w:rsid w:val="00257A4F"/>
    <w:rsid w:val="0026063D"/>
    <w:rsid w:val="002607EC"/>
    <w:rsid w:val="00261508"/>
    <w:rsid w:val="00263853"/>
    <w:rsid w:val="00263E4A"/>
    <w:rsid w:val="00264411"/>
    <w:rsid w:val="00265A69"/>
    <w:rsid w:val="002663A2"/>
    <w:rsid w:val="0027063F"/>
    <w:rsid w:val="00271562"/>
    <w:rsid w:val="00272619"/>
    <w:rsid w:val="002726EA"/>
    <w:rsid w:val="00273522"/>
    <w:rsid w:val="00274B12"/>
    <w:rsid w:val="0027512F"/>
    <w:rsid w:val="00275294"/>
    <w:rsid w:val="00277E0C"/>
    <w:rsid w:val="00277F9A"/>
    <w:rsid w:val="0028002D"/>
    <w:rsid w:val="0028051F"/>
    <w:rsid w:val="00281B41"/>
    <w:rsid w:val="002820DE"/>
    <w:rsid w:val="00283277"/>
    <w:rsid w:val="00283552"/>
    <w:rsid w:val="002841FF"/>
    <w:rsid w:val="0028500D"/>
    <w:rsid w:val="00286B26"/>
    <w:rsid w:val="00287985"/>
    <w:rsid w:val="00287B59"/>
    <w:rsid w:val="002904CE"/>
    <w:rsid w:val="00290549"/>
    <w:rsid w:val="002915EE"/>
    <w:rsid w:val="00292981"/>
    <w:rsid w:val="00293810"/>
    <w:rsid w:val="00293E53"/>
    <w:rsid w:val="0029488D"/>
    <w:rsid w:val="00294C08"/>
    <w:rsid w:val="002953E2"/>
    <w:rsid w:val="00295478"/>
    <w:rsid w:val="00295A30"/>
    <w:rsid w:val="00296524"/>
    <w:rsid w:val="0029703D"/>
    <w:rsid w:val="00297B01"/>
    <w:rsid w:val="00297F02"/>
    <w:rsid w:val="002A0085"/>
    <w:rsid w:val="002A00E6"/>
    <w:rsid w:val="002A10C3"/>
    <w:rsid w:val="002A217C"/>
    <w:rsid w:val="002A2CAC"/>
    <w:rsid w:val="002A62CD"/>
    <w:rsid w:val="002A6530"/>
    <w:rsid w:val="002A682B"/>
    <w:rsid w:val="002A7E71"/>
    <w:rsid w:val="002B192C"/>
    <w:rsid w:val="002B303B"/>
    <w:rsid w:val="002B34F4"/>
    <w:rsid w:val="002B41F8"/>
    <w:rsid w:val="002B55EB"/>
    <w:rsid w:val="002B5D32"/>
    <w:rsid w:val="002B62BD"/>
    <w:rsid w:val="002B6AC5"/>
    <w:rsid w:val="002B7FAD"/>
    <w:rsid w:val="002C0289"/>
    <w:rsid w:val="002C3AA2"/>
    <w:rsid w:val="002C41DD"/>
    <w:rsid w:val="002C4C3B"/>
    <w:rsid w:val="002C5901"/>
    <w:rsid w:val="002C63FF"/>
    <w:rsid w:val="002C6404"/>
    <w:rsid w:val="002D1E15"/>
    <w:rsid w:val="002D622F"/>
    <w:rsid w:val="002D64E5"/>
    <w:rsid w:val="002E0EF2"/>
    <w:rsid w:val="002E1107"/>
    <w:rsid w:val="002E2E59"/>
    <w:rsid w:val="002E2E91"/>
    <w:rsid w:val="002E4E16"/>
    <w:rsid w:val="002E5D6E"/>
    <w:rsid w:val="002E6460"/>
    <w:rsid w:val="002E7B5A"/>
    <w:rsid w:val="002F17B6"/>
    <w:rsid w:val="002F1CB9"/>
    <w:rsid w:val="002F2884"/>
    <w:rsid w:val="002F4277"/>
    <w:rsid w:val="002F57EF"/>
    <w:rsid w:val="002F59CC"/>
    <w:rsid w:val="002F5A97"/>
    <w:rsid w:val="002F5CD8"/>
    <w:rsid w:val="002F5FC4"/>
    <w:rsid w:val="002F6915"/>
    <w:rsid w:val="00300401"/>
    <w:rsid w:val="00303126"/>
    <w:rsid w:val="003032B6"/>
    <w:rsid w:val="003041C0"/>
    <w:rsid w:val="00304697"/>
    <w:rsid w:val="00304BDE"/>
    <w:rsid w:val="00305BE5"/>
    <w:rsid w:val="00305EE3"/>
    <w:rsid w:val="00306C4B"/>
    <w:rsid w:val="00306E5D"/>
    <w:rsid w:val="00307C26"/>
    <w:rsid w:val="0031319C"/>
    <w:rsid w:val="0031435E"/>
    <w:rsid w:val="003143EF"/>
    <w:rsid w:val="00314E59"/>
    <w:rsid w:val="00315FF7"/>
    <w:rsid w:val="0031792D"/>
    <w:rsid w:val="00321ECD"/>
    <w:rsid w:val="00322A18"/>
    <w:rsid w:val="0032323C"/>
    <w:rsid w:val="00327251"/>
    <w:rsid w:val="00330674"/>
    <w:rsid w:val="00330EE3"/>
    <w:rsid w:val="00332E50"/>
    <w:rsid w:val="003330C5"/>
    <w:rsid w:val="00334DB0"/>
    <w:rsid w:val="00334F63"/>
    <w:rsid w:val="00335325"/>
    <w:rsid w:val="0033538F"/>
    <w:rsid w:val="00335427"/>
    <w:rsid w:val="00335726"/>
    <w:rsid w:val="003364FE"/>
    <w:rsid w:val="00337249"/>
    <w:rsid w:val="00337A0C"/>
    <w:rsid w:val="0034035D"/>
    <w:rsid w:val="00340B79"/>
    <w:rsid w:val="00342901"/>
    <w:rsid w:val="00342B87"/>
    <w:rsid w:val="00343705"/>
    <w:rsid w:val="00344940"/>
    <w:rsid w:val="003459F1"/>
    <w:rsid w:val="00346FAE"/>
    <w:rsid w:val="00347553"/>
    <w:rsid w:val="00347BC7"/>
    <w:rsid w:val="00350716"/>
    <w:rsid w:val="00351A68"/>
    <w:rsid w:val="00352AF3"/>
    <w:rsid w:val="003547FA"/>
    <w:rsid w:val="00354826"/>
    <w:rsid w:val="00354A50"/>
    <w:rsid w:val="00356205"/>
    <w:rsid w:val="00361AC1"/>
    <w:rsid w:val="00363A4E"/>
    <w:rsid w:val="00363FC7"/>
    <w:rsid w:val="00364B67"/>
    <w:rsid w:val="00366C79"/>
    <w:rsid w:val="00366FB0"/>
    <w:rsid w:val="003675C5"/>
    <w:rsid w:val="003678E1"/>
    <w:rsid w:val="00367E40"/>
    <w:rsid w:val="003705ED"/>
    <w:rsid w:val="00371F70"/>
    <w:rsid w:val="0037216A"/>
    <w:rsid w:val="00375D55"/>
    <w:rsid w:val="00376304"/>
    <w:rsid w:val="0037680E"/>
    <w:rsid w:val="00376843"/>
    <w:rsid w:val="003770C3"/>
    <w:rsid w:val="00377DF4"/>
    <w:rsid w:val="00380E5C"/>
    <w:rsid w:val="0038117B"/>
    <w:rsid w:val="00381E37"/>
    <w:rsid w:val="00397161"/>
    <w:rsid w:val="003A234A"/>
    <w:rsid w:val="003A2F8D"/>
    <w:rsid w:val="003A31CB"/>
    <w:rsid w:val="003A4933"/>
    <w:rsid w:val="003A4E62"/>
    <w:rsid w:val="003A5C01"/>
    <w:rsid w:val="003A7344"/>
    <w:rsid w:val="003A7E8A"/>
    <w:rsid w:val="003B04AC"/>
    <w:rsid w:val="003B11F5"/>
    <w:rsid w:val="003B12CD"/>
    <w:rsid w:val="003B1615"/>
    <w:rsid w:val="003B1E12"/>
    <w:rsid w:val="003B224D"/>
    <w:rsid w:val="003B2726"/>
    <w:rsid w:val="003B3D94"/>
    <w:rsid w:val="003B47C1"/>
    <w:rsid w:val="003B6057"/>
    <w:rsid w:val="003C01DE"/>
    <w:rsid w:val="003C0EE4"/>
    <w:rsid w:val="003C13F9"/>
    <w:rsid w:val="003C1AEA"/>
    <w:rsid w:val="003C1E57"/>
    <w:rsid w:val="003C3F2A"/>
    <w:rsid w:val="003C4F56"/>
    <w:rsid w:val="003C4F66"/>
    <w:rsid w:val="003C5215"/>
    <w:rsid w:val="003D0F02"/>
    <w:rsid w:val="003D0FAB"/>
    <w:rsid w:val="003D1144"/>
    <w:rsid w:val="003D11F3"/>
    <w:rsid w:val="003D166D"/>
    <w:rsid w:val="003D2B37"/>
    <w:rsid w:val="003D3762"/>
    <w:rsid w:val="003D4B65"/>
    <w:rsid w:val="003D68E2"/>
    <w:rsid w:val="003E0AA5"/>
    <w:rsid w:val="003E0BEE"/>
    <w:rsid w:val="003E3AA1"/>
    <w:rsid w:val="003E401D"/>
    <w:rsid w:val="003E616C"/>
    <w:rsid w:val="003E7849"/>
    <w:rsid w:val="003F04CE"/>
    <w:rsid w:val="003F0F39"/>
    <w:rsid w:val="003F2313"/>
    <w:rsid w:val="003F3252"/>
    <w:rsid w:val="003F4747"/>
    <w:rsid w:val="003F55D7"/>
    <w:rsid w:val="00400C5A"/>
    <w:rsid w:val="00400F2A"/>
    <w:rsid w:val="00404B7F"/>
    <w:rsid w:val="004064C0"/>
    <w:rsid w:val="0040653B"/>
    <w:rsid w:val="00410542"/>
    <w:rsid w:val="004141BE"/>
    <w:rsid w:val="0041562A"/>
    <w:rsid w:val="004173F4"/>
    <w:rsid w:val="00417D97"/>
    <w:rsid w:val="00420114"/>
    <w:rsid w:val="00420A36"/>
    <w:rsid w:val="00425AEB"/>
    <w:rsid w:val="0042726D"/>
    <w:rsid w:val="0042745B"/>
    <w:rsid w:val="0043071D"/>
    <w:rsid w:val="0043097D"/>
    <w:rsid w:val="004318AA"/>
    <w:rsid w:val="004319BD"/>
    <w:rsid w:val="00431CFE"/>
    <w:rsid w:val="00431F97"/>
    <w:rsid w:val="0043320A"/>
    <w:rsid w:val="00434536"/>
    <w:rsid w:val="004346F7"/>
    <w:rsid w:val="00440FFD"/>
    <w:rsid w:val="0044388D"/>
    <w:rsid w:val="004456CE"/>
    <w:rsid w:val="00446EF9"/>
    <w:rsid w:val="00447E58"/>
    <w:rsid w:val="00451510"/>
    <w:rsid w:val="00452ED3"/>
    <w:rsid w:val="00456C7B"/>
    <w:rsid w:val="004577DD"/>
    <w:rsid w:val="004578FC"/>
    <w:rsid w:val="004629FF"/>
    <w:rsid w:val="00464C9E"/>
    <w:rsid w:val="00465FDA"/>
    <w:rsid w:val="00466797"/>
    <w:rsid w:val="00466CFC"/>
    <w:rsid w:val="0046713A"/>
    <w:rsid w:val="00470777"/>
    <w:rsid w:val="0047357C"/>
    <w:rsid w:val="00473CDE"/>
    <w:rsid w:val="00475268"/>
    <w:rsid w:val="00475969"/>
    <w:rsid w:val="00476465"/>
    <w:rsid w:val="004806CE"/>
    <w:rsid w:val="00480D3B"/>
    <w:rsid w:val="00482265"/>
    <w:rsid w:val="004827F5"/>
    <w:rsid w:val="004831FA"/>
    <w:rsid w:val="004832C6"/>
    <w:rsid w:val="00483DB4"/>
    <w:rsid w:val="00485AE8"/>
    <w:rsid w:val="00490D2A"/>
    <w:rsid w:val="004918A1"/>
    <w:rsid w:val="00494117"/>
    <w:rsid w:val="004973EE"/>
    <w:rsid w:val="00497454"/>
    <w:rsid w:val="004A03D3"/>
    <w:rsid w:val="004A309B"/>
    <w:rsid w:val="004A381E"/>
    <w:rsid w:val="004A59CD"/>
    <w:rsid w:val="004A7C4E"/>
    <w:rsid w:val="004B04B6"/>
    <w:rsid w:val="004B0CD4"/>
    <w:rsid w:val="004B402D"/>
    <w:rsid w:val="004B490A"/>
    <w:rsid w:val="004C04F2"/>
    <w:rsid w:val="004C0FFA"/>
    <w:rsid w:val="004C23B1"/>
    <w:rsid w:val="004C29CE"/>
    <w:rsid w:val="004C2D43"/>
    <w:rsid w:val="004C430C"/>
    <w:rsid w:val="004C454C"/>
    <w:rsid w:val="004C5C15"/>
    <w:rsid w:val="004C7379"/>
    <w:rsid w:val="004C7ACF"/>
    <w:rsid w:val="004D0551"/>
    <w:rsid w:val="004D2549"/>
    <w:rsid w:val="004D2C5B"/>
    <w:rsid w:val="004D39AC"/>
    <w:rsid w:val="004D41A2"/>
    <w:rsid w:val="004D4DE5"/>
    <w:rsid w:val="004D5990"/>
    <w:rsid w:val="004D71BA"/>
    <w:rsid w:val="004D782F"/>
    <w:rsid w:val="004D795D"/>
    <w:rsid w:val="004E06C3"/>
    <w:rsid w:val="004E1B70"/>
    <w:rsid w:val="004E3AB1"/>
    <w:rsid w:val="004E3FEE"/>
    <w:rsid w:val="004E413D"/>
    <w:rsid w:val="004E563A"/>
    <w:rsid w:val="004E5D96"/>
    <w:rsid w:val="004E6AE3"/>
    <w:rsid w:val="004F0207"/>
    <w:rsid w:val="004F2CDB"/>
    <w:rsid w:val="004F483C"/>
    <w:rsid w:val="004F6401"/>
    <w:rsid w:val="004F66C4"/>
    <w:rsid w:val="005027B5"/>
    <w:rsid w:val="005028B9"/>
    <w:rsid w:val="00503675"/>
    <w:rsid w:val="0050374E"/>
    <w:rsid w:val="005044BC"/>
    <w:rsid w:val="00513047"/>
    <w:rsid w:val="0051353B"/>
    <w:rsid w:val="00514A37"/>
    <w:rsid w:val="00516349"/>
    <w:rsid w:val="00517284"/>
    <w:rsid w:val="00517427"/>
    <w:rsid w:val="005215AB"/>
    <w:rsid w:val="00521E9C"/>
    <w:rsid w:val="00522941"/>
    <w:rsid w:val="00522CEE"/>
    <w:rsid w:val="00522FE6"/>
    <w:rsid w:val="00523829"/>
    <w:rsid w:val="005251A0"/>
    <w:rsid w:val="005267F5"/>
    <w:rsid w:val="00530E76"/>
    <w:rsid w:val="00533A2A"/>
    <w:rsid w:val="00533C79"/>
    <w:rsid w:val="005348D2"/>
    <w:rsid w:val="00535F1D"/>
    <w:rsid w:val="00540DB0"/>
    <w:rsid w:val="0054372C"/>
    <w:rsid w:val="005466DC"/>
    <w:rsid w:val="00546CEC"/>
    <w:rsid w:val="00546D74"/>
    <w:rsid w:val="00546D7A"/>
    <w:rsid w:val="00547E3D"/>
    <w:rsid w:val="005505E3"/>
    <w:rsid w:val="0055096C"/>
    <w:rsid w:val="00552569"/>
    <w:rsid w:val="0055324F"/>
    <w:rsid w:val="00553C08"/>
    <w:rsid w:val="005541FE"/>
    <w:rsid w:val="00554257"/>
    <w:rsid w:val="00554D00"/>
    <w:rsid w:val="005571E0"/>
    <w:rsid w:val="00560417"/>
    <w:rsid w:val="005605C4"/>
    <w:rsid w:val="00561483"/>
    <w:rsid w:val="00562E53"/>
    <w:rsid w:val="005631AC"/>
    <w:rsid w:val="005650D2"/>
    <w:rsid w:val="00565114"/>
    <w:rsid w:val="0056520B"/>
    <w:rsid w:val="00565476"/>
    <w:rsid w:val="0056571A"/>
    <w:rsid w:val="00566870"/>
    <w:rsid w:val="00567288"/>
    <w:rsid w:val="00572750"/>
    <w:rsid w:val="00573043"/>
    <w:rsid w:val="0057535B"/>
    <w:rsid w:val="00576048"/>
    <w:rsid w:val="005760B0"/>
    <w:rsid w:val="0058081A"/>
    <w:rsid w:val="0058330A"/>
    <w:rsid w:val="00584394"/>
    <w:rsid w:val="00584AFC"/>
    <w:rsid w:val="00586795"/>
    <w:rsid w:val="00587923"/>
    <w:rsid w:val="00590D12"/>
    <w:rsid w:val="0059194E"/>
    <w:rsid w:val="0059318E"/>
    <w:rsid w:val="00594564"/>
    <w:rsid w:val="00594694"/>
    <w:rsid w:val="00594AF0"/>
    <w:rsid w:val="00594F97"/>
    <w:rsid w:val="00597FCA"/>
    <w:rsid w:val="005A0319"/>
    <w:rsid w:val="005A215B"/>
    <w:rsid w:val="005A301C"/>
    <w:rsid w:val="005A57A4"/>
    <w:rsid w:val="005A68AD"/>
    <w:rsid w:val="005A7AAF"/>
    <w:rsid w:val="005B1FEB"/>
    <w:rsid w:val="005B23CB"/>
    <w:rsid w:val="005B2ED3"/>
    <w:rsid w:val="005B3662"/>
    <w:rsid w:val="005B3F19"/>
    <w:rsid w:val="005B6F6D"/>
    <w:rsid w:val="005C0B46"/>
    <w:rsid w:val="005C1797"/>
    <w:rsid w:val="005C2913"/>
    <w:rsid w:val="005C4BD4"/>
    <w:rsid w:val="005C5200"/>
    <w:rsid w:val="005C60F3"/>
    <w:rsid w:val="005C79AD"/>
    <w:rsid w:val="005C79B4"/>
    <w:rsid w:val="005D0697"/>
    <w:rsid w:val="005D3082"/>
    <w:rsid w:val="005D37E1"/>
    <w:rsid w:val="005D39D4"/>
    <w:rsid w:val="005D3F09"/>
    <w:rsid w:val="005D6176"/>
    <w:rsid w:val="005D6BF6"/>
    <w:rsid w:val="005D73DC"/>
    <w:rsid w:val="005E4EF5"/>
    <w:rsid w:val="005E79FF"/>
    <w:rsid w:val="005E7B1C"/>
    <w:rsid w:val="005E7BE6"/>
    <w:rsid w:val="005F1A7E"/>
    <w:rsid w:val="005F2570"/>
    <w:rsid w:val="005F62E5"/>
    <w:rsid w:val="005F6418"/>
    <w:rsid w:val="00600307"/>
    <w:rsid w:val="00600F39"/>
    <w:rsid w:val="00601707"/>
    <w:rsid w:val="00601AD5"/>
    <w:rsid w:val="0060232F"/>
    <w:rsid w:val="0060285A"/>
    <w:rsid w:val="0060324E"/>
    <w:rsid w:val="0060423E"/>
    <w:rsid w:val="00604416"/>
    <w:rsid w:val="00607571"/>
    <w:rsid w:val="00607B09"/>
    <w:rsid w:val="006102F0"/>
    <w:rsid w:val="00610FA4"/>
    <w:rsid w:val="00613EE1"/>
    <w:rsid w:val="00614617"/>
    <w:rsid w:val="00616A26"/>
    <w:rsid w:val="00624AC9"/>
    <w:rsid w:val="006259BA"/>
    <w:rsid w:val="00626E26"/>
    <w:rsid w:val="00627C3D"/>
    <w:rsid w:val="00630DA8"/>
    <w:rsid w:val="006321BF"/>
    <w:rsid w:val="00633033"/>
    <w:rsid w:val="00633ECF"/>
    <w:rsid w:val="0063443A"/>
    <w:rsid w:val="00637A1D"/>
    <w:rsid w:val="006403A8"/>
    <w:rsid w:val="00642966"/>
    <w:rsid w:val="006431C6"/>
    <w:rsid w:val="00643711"/>
    <w:rsid w:val="00643EA3"/>
    <w:rsid w:val="006448A1"/>
    <w:rsid w:val="00644F55"/>
    <w:rsid w:val="00645006"/>
    <w:rsid w:val="00645219"/>
    <w:rsid w:val="00645A78"/>
    <w:rsid w:val="00645B4F"/>
    <w:rsid w:val="00645C78"/>
    <w:rsid w:val="006467F6"/>
    <w:rsid w:val="006469B5"/>
    <w:rsid w:val="00650100"/>
    <w:rsid w:val="0065239F"/>
    <w:rsid w:val="00652970"/>
    <w:rsid w:val="00652A86"/>
    <w:rsid w:val="006531A5"/>
    <w:rsid w:val="00653617"/>
    <w:rsid w:val="00655149"/>
    <w:rsid w:val="00655EDF"/>
    <w:rsid w:val="00656720"/>
    <w:rsid w:val="006572A3"/>
    <w:rsid w:val="00657EE7"/>
    <w:rsid w:val="00660451"/>
    <w:rsid w:val="0066144B"/>
    <w:rsid w:val="006618B6"/>
    <w:rsid w:val="0066293A"/>
    <w:rsid w:val="006629A7"/>
    <w:rsid w:val="0066330E"/>
    <w:rsid w:val="006642FF"/>
    <w:rsid w:val="006653D8"/>
    <w:rsid w:val="00666181"/>
    <w:rsid w:val="00667C6C"/>
    <w:rsid w:val="00671A4B"/>
    <w:rsid w:val="006722AA"/>
    <w:rsid w:val="006727F3"/>
    <w:rsid w:val="006742F1"/>
    <w:rsid w:val="00676E02"/>
    <w:rsid w:val="00681291"/>
    <w:rsid w:val="00681A31"/>
    <w:rsid w:val="00681C24"/>
    <w:rsid w:val="00681F44"/>
    <w:rsid w:val="00683732"/>
    <w:rsid w:val="00684144"/>
    <w:rsid w:val="0068599F"/>
    <w:rsid w:val="00686141"/>
    <w:rsid w:val="00686C60"/>
    <w:rsid w:val="00686E44"/>
    <w:rsid w:val="00693062"/>
    <w:rsid w:val="00693AF2"/>
    <w:rsid w:val="00696679"/>
    <w:rsid w:val="0069669F"/>
    <w:rsid w:val="0069686D"/>
    <w:rsid w:val="006A01AC"/>
    <w:rsid w:val="006A1A01"/>
    <w:rsid w:val="006A4118"/>
    <w:rsid w:val="006A5D66"/>
    <w:rsid w:val="006A6BFE"/>
    <w:rsid w:val="006A6CA6"/>
    <w:rsid w:val="006A73D6"/>
    <w:rsid w:val="006A79C2"/>
    <w:rsid w:val="006B4E4D"/>
    <w:rsid w:val="006B4F88"/>
    <w:rsid w:val="006B580D"/>
    <w:rsid w:val="006B5C71"/>
    <w:rsid w:val="006B6FC7"/>
    <w:rsid w:val="006C07A4"/>
    <w:rsid w:val="006C0956"/>
    <w:rsid w:val="006C1643"/>
    <w:rsid w:val="006C31D5"/>
    <w:rsid w:val="006C3F34"/>
    <w:rsid w:val="006C4637"/>
    <w:rsid w:val="006D0B3F"/>
    <w:rsid w:val="006D1691"/>
    <w:rsid w:val="006D259B"/>
    <w:rsid w:val="006D537B"/>
    <w:rsid w:val="006D5566"/>
    <w:rsid w:val="006E12D4"/>
    <w:rsid w:val="006E2624"/>
    <w:rsid w:val="006E4CF9"/>
    <w:rsid w:val="006E5BDB"/>
    <w:rsid w:val="006E6D09"/>
    <w:rsid w:val="006F0383"/>
    <w:rsid w:val="006F1A46"/>
    <w:rsid w:val="006F23B5"/>
    <w:rsid w:val="006F2845"/>
    <w:rsid w:val="006F39CC"/>
    <w:rsid w:val="006F3C26"/>
    <w:rsid w:val="006F3FD1"/>
    <w:rsid w:val="006F43C0"/>
    <w:rsid w:val="006F6AD6"/>
    <w:rsid w:val="006F6FF5"/>
    <w:rsid w:val="006F75BF"/>
    <w:rsid w:val="006F7F73"/>
    <w:rsid w:val="00700028"/>
    <w:rsid w:val="0070028E"/>
    <w:rsid w:val="007004FC"/>
    <w:rsid w:val="00700A4A"/>
    <w:rsid w:val="00700CF1"/>
    <w:rsid w:val="007027BD"/>
    <w:rsid w:val="00702FBF"/>
    <w:rsid w:val="00703957"/>
    <w:rsid w:val="007045E1"/>
    <w:rsid w:val="007052BC"/>
    <w:rsid w:val="007055BD"/>
    <w:rsid w:val="007062D2"/>
    <w:rsid w:val="00706A35"/>
    <w:rsid w:val="00706B04"/>
    <w:rsid w:val="0070736E"/>
    <w:rsid w:val="0071246B"/>
    <w:rsid w:val="00713954"/>
    <w:rsid w:val="00715476"/>
    <w:rsid w:val="0071559B"/>
    <w:rsid w:val="00716797"/>
    <w:rsid w:val="00716F35"/>
    <w:rsid w:val="007205EB"/>
    <w:rsid w:val="00721C37"/>
    <w:rsid w:val="00721CF4"/>
    <w:rsid w:val="00721CFB"/>
    <w:rsid w:val="00722105"/>
    <w:rsid w:val="00723685"/>
    <w:rsid w:val="007239AC"/>
    <w:rsid w:val="007253E4"/>
    <w:rsid w:val="00726BD2"/>
    <w:rsid w:val="00726D3F"/>
    <w:rsid w:val="00726EFE"/>
    <w:rsid w:val="007272E2"/>
    <w:rsid w:val="00727346"/>
    <w:rsid w:val="0073076B"/>
    <w:rsid w:val="00730B72"/>
    <w:rsid w:val="00730E29"/>
    <w:rsid w:val="00730EC0"/>
    <w:rsid w:val="00731959"/>
    <w:rsid w:val="00731C21"/>
    <w:rsid w:val="00734009"/>
    <w:rsid w:val="00735EAA"/>
    <w:rsid w:val="00740799"/>
    <w:rsid w:val="007428B8"/>
    <w:rsid w:val="00742C17"/>
    <w:rsid w:val="007443FB"/>
    <w:rsid w:val="0074611C"/>
    <w:rsid w:val="00746178"/>
    <w:rsid w:val="0074758E"/>
    <w:rsid w:val="00751192"/>
    <w:rsid w:val="007512BD"/>
    <w:rsid w:val="0075548C"/>
    <w:rsid w:val="00755721"/>
    <w:rsid w:val="007561F9"/>
    <w:rsid w:val="0076077F"/>
    <w:rsid w:val="00760F63"/>
    <w:rsid w:val="00760FEB"/>
    <w:rsid w:val="00761A53"/>
    <w:rsid w:val="00761F84"/>
    <w:rsid w:val="0076272B"/>
    <w:rsid w:val="00762A35"/>
    <w:rsid w:val="00765276"/>
    <w:rsid w:val="007662FD"/>
    <w:rsid w:val="007703A4"/>
    <w:rsid w:val="007730FF"/>
    <w:rsid w:val="00773676"/>
    <w:rsid w:val="00773FA4"/>
    <w:rsid w:val="00774538"/>
    <w:rsid w:val="00776437"/>
    <w:rsid w:val="007800F1"/>
    <w:rsid w:val="007806E3"/>
    <w:rsid w:val="0078145E"/>
    <w:rsid w:val="00781494"/>
    <w:rsid w:val="007829C8"/>
    <w:rsid w:val="00782DCF"/>
    <w:rsid w:val="007836F1"/>
    <w:rsid w:val="00784A0C"/>
    <w:rsid w:val="00785A93"/>
    <w:rsid w:val="007865AE"/>
    <w:rsid w:val="00786634"/>
    <w:rsid w:val="00790E43"/>
    <w:rsid w:val="00791DD4"/>
    <w:rsid w:val="007920EE"/>
    <w:rsid w:val="0079266E"/>
    <w:rsid w:val="00792F88"/>
    <w:rsid w:val="00795291"/>
    <w:rsid w:val="00796980"/>
    <w:rsid w:val="00797643"/>
    <w:rsid w:val="007A0EFE"/>
    <w:rsid w:val="007A2526"/>
    <w:rsid w:val="007A2554"/>
    <w:rsid w:val="007A26F7"/>
    <w:rsid w:val="007A3165"/>
    <w:rsid w:val="007A3386"/>
    <w:rsid w:val="007A4A7B"/>
    <w:rsid w:val="007A5A0B"/>
    <w:rsid w:val="007A746B"/>
    <w:rsid w:val="007A7B4C"/>
    <w:rsid w:val="007B0694"/>
    <w:rsid w:val="007B0CEE"/>
    <w:rsid w:val="007B0E7C"/>
    <w:rsid w:val="007B42F7"/>
    <w:rsid w:val="007B515B"/>
    <w:rsid w:val="007B5FDA"/>
    <w:rsid w:val="007B6EA3"/>
    <w:rsid w:val="007B7820"/>
    <w:rsid w:val="007C0E28"/>
    <w:rsid w:val="007C0ECE"/>
    <w:rsid w:val="007C0FF0"/>
    <w:rsid w:val="007C1A99"/>
    <w:rsid w:val="007C1AB1"/>
    <w:rsid w:val="007C1B31"/>
    <w:rsid w:val="007C4395"/>
    <w:rsid w:val="007C4560"/>
    <w:rsid w:val="007C47FA"/>
    <w:rsid w:val="007C55E8"/>
    <w:rsid w:val="007C5CF4"/>
    <w:rsid w:val="007D1BE8"/>
    <w:rsid w:val="007D2561"/>
    <w:rsid w:val="007D2AEE"/>
    <w:rsid w:val="007D2E8F"/>
    <w:rsid w:val="007D7CCB"/>
    <w:rsid w:val="007E1C7E"/>
    <w:rsid w:val="007E23FB"/>
    <w:rsid w:val="007E480E"/>
    <w:rsid w:val="007E6434"/>
    <w:rsid w:val="007E649D"/>
    <w:rsid w:val="007E6A15"/>
    <w:rsid w:val="007E7342"/>
    <w:rsid w:val="007F0043"/>
    <w:rsid w:val="007F0251"/>
    <w:rsid w:val="007F0518"/>
    <w:rsid w:val="007F1592"/>
    <w:rsid w:val="007F188B"/>
    <w:rsid w:val="007F21B3"/>
    <w:rsid w:val="007F26E8"/>
    <w:rsid w:val="007F3BC9"/>
    <w:rsid w:val="007F4182"/>
    <w:rsid w:val="007F4376"/>
    <w:rsid w:val="007F5310"/>
    <w:rsid w:val="007F5501"/>
    <w:rsid w:val="008002DF"/>
    <w:rsid w:val="00800D7D"/>
    <w:rsid w:val="00803193"/>
    <w:rsid w:val="0080370A"/>
    <w:rsid w:val="00803BE0"/>
    <w:rsid w:val="00806269"/>
    <w:rsid w:val="0081086B"/>
    <w:rsid w:val="00815B7A"/>
    <w:rsid w:val="00817B2C"/>
    <w:rsid w:val="00820DCA"/>
    <w:rsid w:val="00821332"/>
    <w:rsid w:val="0082142D"/>
    <w:rsid w:val="008217C1"/>
    <w:rsid w:val="0082195B"/>
    <w:rsid w:val="00824DB6"/>
    <w:rsid w:val="00824E90"/>
    <w:rsid w:val="00826F04"/>
    <w:rsid w:val="008316DD"/>
    <w:rsid w:val="0083178C"/>
    <w:rsid w:val="008317E6"/>
    <w:rsid w:val="00832420"/>
    <w:rsid w:val="00832C39"/>
    <w:rsid w:val="008335C5"/>
    <w:rsid w:val="0083461E"/>
    <w:rsid w:val="00834E36"/>
    <w:rsid w:val="008354F9"/>
    <w:rsid w:val="00836B23"/>
    <w:rsid w:val="0084130A"/>
    <w:rsid w:val="00841538"/>
    <w:rsid w:val="0084241F"/>
    <w:rsid w:val="00842D60"/>
    <w:rsid w:val="00842EE6"/>
    <w:rsid w:val="008448A7"/>
    <w:rsid w:val="008527A9"/>
    <w:rsid w:val="00852C83"/>
    <w:rsid w:val="00853E2D"/>
    <w:rsid w:val="00854033"/>
    <w:rsid w:val="00854CD0"/>
    <w:rsid w:val="00855D59"/>
    <w:rsid w:val="00857ED7"/>
    <w:rsid w:val="0086278B"/>
    <w:rsid w:val="00862CCC"/>
    <w:rsid w:val="0086367D"/>
    <w:rsid w:val="00865735"/>
    <w:rsid w:val="00865A03"/>
    <w:rsid w:val="008677E2"/>
    <w:rsid w:val="0087206F"/>
    <w:rsid w:val="008729B0"/>
    <w:rsid w:val="00873C28"/>
    <w:rsid w:val="00877871"/>
    <w:rsid w:val="00877FD6"/>
    <w:rsid w:val="00882200"/>
    <w:rsid w:val="008822CD"/>
    <w:rsid w:val="008835AA"/>
    <w:rsid w:val="00883761"/>
    <w:rsid w:val="00883C7C"/>
    <w:rsid w:val="00885866"/>
    <w:rsid w:val="00886355"/>
    <w:rsid w:val="00886B30"/>
    <w:rsid w:val="00890779"/>
    <w:rsid w:val="0089362A"/>
    <w:rsid w:val="00893E9F"/>
    <w:rsid w:val="00895A01"/>
    <w:rsid w:val="00895A8A"/>
    <w:rsid w:val="00896134"/>
    <w:rsid w:val="0089670E"/>
    <w:rsid w:val="00897554"/>
    <w:rsid w:val="008A1CEA"/>
    <w:rsid w:val="008A2221"/>
    <w:rsid w:val="008A2EF9"/>
    <w:rsid w:val="008A4196"/>
    <w:rsid w:val="008A4954"/>
    <w:rsid w:val="008A66D2"/>
    <w:rsid w:val="008A70A3"/>
    <w:rsid w:val="008A7592"/>
    <w:rsid w:val="008B04A0"/>
    <w:rsid w:val="008B1262"/>
    <w:rsid w:val="008B3131"/>
    <w:rsid w:val="008B5121"/>
    <w:rsid w:val="008B5124"/>
    <w:rsid w:val="008B5B12"/>
    <w:rsid w:val="008B775D"/>
    <w:rsid w:val="008C1BB5"/>
    <w:rsid w:val="008C2D7A"/>
    <w:rsid w:val="008C3C2C"/>
    <w:rsid w:val="008C540B"/>
    <w:rsid w:val="008C6980"/>
    <w:rsid w:val="008C698A"/>
    <w:rsid w:val="008C7067"/>
    <w:rsid w:val="008C71A0"/>
    <w:rsid w:val="008D2206"/>
    <w:rsid w:val="008D2F3D"/>
    <w:rsid w:val="008D354D"/>
    <w:rsid w:val="008D371D"/>
    <w:rsid w:val="008D53BD"/>
    <w:rsid w:val="008D60EC"/>
    <w:rsid w:val="008D63BD"/>
    <w:rsid w:val="008D7056"/>
    <w:rsid w:val="008D74DA"/>
    <w:rsid w:val="008E0270"/>
    <w:rsid w:val="008E05D5"/>
    <w:rsid w:val="008E0880"/>
    <w:rsid w:val="008E280F"/>
    <w:rsid w:val="008E3DE6"/>
    <w:rsid w:val="008F037E"/>
    <w:rsid w:val="008F0A6B"/>
    <w:rsid w:val="008F158A"/>
    <w:rsid w:val="008F2CEC"/>
    <w:rsid w:val="008F3EC3"/>
    <w:rsid w:val="008F6184"/>
    <w:rsid w:val="008F74C1"/>
    <w:rsid w:val="008F7B37"/>
    <w:rsid w:val="009022A9"/>
    <w:rsid w:val="009037D4"/>
    <w:rsid w:val="00904213"/>
    <w:rsid w:val="0090473E"/>
    <w:rsid w:val="009056DA"/>
    <w:rsid w:val="00907C78"/>
    <w:rsid w:val="00910161"/>
    <w:rsid w:val="009120F2"/>
    <w:rsid w:val="009128AF"/>
    <w:rsid w:val="0091322F"/>
    <w:rsid w:val="0091388A"/>
    <w:rsid w:val="00915D34"/>
    <w:rsid w:val="00916000"/>
    <w:rsid w:val="00916235"/>
    <w:rsid w:val="00917467"/>
    <w:rsid w:val="00917684"/>
    <w:rsid w:val="009206E6"/>
    <w:rsid w:val="00922AE3"/>
    <w:rsid w:val="00922B88"/>
    <w:rsid w:val="00923067"/>
    <w:rsid w:val="009240AF"/>
    <w:rsid w:val="0092415E"/>
    <w:rsid w:val="00924F74"/>
    <w:rsid w:val="009258D9"/>
    <w:rsid w:val="009315E5"/>
    <w:rsid w:val="00931985"/>
    <w:rsid w:val="00934EF6"/>
    <w:rsid w:val="0093556B"/>
    <w:rsid w:val="009363D5"/>
    <w:rsid w:val="00936D38"/>
    <w:rsid w:val="00937033"/>
    <w:rsid w:val="00937B7B"/>
    <w:rsid w:val="00941A09"/>
    <w:rsid w:val="00946953"/>
    <w:rsid w:val="00952304"/>
    <w:rsid w:val="009541C7"/>
    <w:rsid w:val="00954B94"/>
    <w:rsid w:val="0095526D"/>
    <w:rsid w:val="00955A67"/>
    <w:rsid w:val="00956124"/>
    <w:rsid w:val="00956F9A"/>
    <w:rsid w:val="00956FFA"/>
    <w:rsid w:val="009579D7"/>
    <w:rsid w:val="00960815"/>
    <w:rsid w:val="00960A15"/>
    <w:rsid w:val="009638D4"/>
    <w:rsid w:val="00965203"/>
    <w:rsid w:val="009653B5"/>
    <w:rsid w:val="009702B6"/>
    <w:rsid w:val="009713EE"/>
    <w:rsid w:val="00971EA7"/>
    <w:rsid w:val="00971FEF"/>
    <w:rsid w:val="0097251D"/>
    <w:rsid w:val="00972534"/>
    <w:rsid w:val="009738BA"/>
    <w:rsid w:val="00974041"/>
    <w:rsid w:val="00974209"/>
    <w:rsid w:val="0097448B"/>
    <w:rsid w:val="00974567"/>
    <w:rsid w:val="009752F3"/>
    <w:rsid w:val="009801F6"/>
    <w:rsid w:val="0098172B"/>
    <w:rsid w:val="00981C1E"/>
    <w:rsid w:val="00981C47"/>
    <w:rsid w:val="00982991"/>
    <w:rsid w:val="00983104"/>
    <w:rsid w:val="00983549"/>
    <w:rsid w:val="00985A8A"/>
    <w:rsid w:val="00985CE2"/>
    <w:rsid w:val="0098605C"/>
    <w:rsid w:val="0098655E"/>
    <w:rsid w:val="00987DD9"/>
    <w:rsid w:val="00990FDD"/>
    <w:rsid w:val="00992EA2"/>
    <w:rsid w:val="00993EE6"/>
    <w:rsid w:val="00994B55"/>
    <w:rsid w:val="009957B9"/>
    <w:rsid w:val="00995F0A"/>
    <w:rsid w:val="00997FED"/>
    <w:rsid w:val="009A09C3"/>
    <w:rsid w:val="009A2B8E"/>
    <w:rsid w:val="009A4A85"/>
    <w:rsid w:val="009A4F63"/>
    <w:rsid w:val="009A6FD8"/>
    <w:rsid w:val="009A7163"/>
    <w:rsid w:val="009A77FC"/>
    <w:rsid w:val="009B051C"/>
    <w:rsid w:val="009B24D2"/>
    <w:rsid w:val="009B3239"/>
    <w:rsid w:val="009B3F33"/>
    <w:rsid w:val="009B550A"/>
    <w:rsid w:val="009B6032"/>
    <w:rsid w:val="009B6E43"/>
    <w:rsid w:val="009B7976"/>
    <w:rsid w:val="009C2CDC"/>
    <w:rsid w:val="009C3A57"/>
    <w:rsid w:val="009C453B"/>
    <w:rsid w:val="009C46D8"/>
    <w:rsid w:val="009C612E"/>
    <w:rsid w:val="009C6314"/>
    <w:rsid w:val="009C6379"/>
    <w:rsid w:val="009C650F"/>
    <w:rsid w:val="009C79CA"/>
    <w:rsid w:val="009D1EE6"/>
    <w:rsid w:val="009D33A8"/>
    <w:rsid w:val="009D4CEB"/>
    <w:rsid w:val="009D57B3"/>
    <w:rsid w:val="009D57FC"/>
    <w:rsid w:val="009D6566"/>
    <w:rsid w:val="009D6D2E"/>
    <w:rsid w:val="009E480B"/>
    <w:rsid w:val="009E4811"/>
    <w:rsid w:val="009E5D6D"/>
    <w:rsid w:val="009E5F74"/>
    <w:rsid w:val="009E7999"/>
    <w:rsid w:val="009F013E"/>
    <w:rsid w:val="009F0B10"/>
    <w:rsid w:val="009F0F3E"/>
    <w:rsid w:val="009F4B01"/>
    <w:rsid w:val="009F54D5"/>
    <w:rsid w:val="009F5EE1"/>
    <w:rsid w:val="009F5F1F"/>
    <w:rsid w:val="009F6BD2"/>
    <w:rsid w:val="009F74F2"/>
    <w:rsid w:val="009F7BB4"/>
    <w:rsid w:val="009F7D6D"/>
    <w:rsid w:val="00A00ED7"/>
    <w:rsid w:val="00A014D3"/>
    <w:rsid w:val="00A01708"/>
    <w:rsid w:val="00A035BF"/>
    <w:rsid w:val="00A04E79"/>
    <w:rsid w:val="00A057D6"/>
    <w:rsid w:val="00A069E4"/>
    <w:rsid w:val="00A07843"/>
    <w:rsid w:val="00A10CBC"/>
    <w:rsid w:val="00A10DDA"/>
    <w:rsid w:val="00A10DF3"/>
    <w:rsid w:val="00A1478D"/>
    <w:rsid w:val="00A1569D"/>
    <w:rsid w:val="00A1577D"/>
    <w:rsid w:val="00A16E49"/>
    <w:rsid w:val="00A205E1"/>
    <w:rsid w:val="00A214F6"/>
    <w:rsid w:val="00A216E8"/>
    <w:rsid w:val="00A2456E"/>
    <w:rsid w:val="00A254E1"/>
    <w:rsid w:val="00A2659F"/>
    <w:rsid w:val="00A27BC8"/>
    <w:rsid w:val="00A27E08"/>
    <w:rsid w:val="00A306AC"/>
    <w:rsid w:val="00A310BE"/>
    <w:rsid w:val="00A333DC"/>
    <w:rsid w:val="00A33487"/>
    <w:rsid w:val="00A3357D"/>
    <w:rsid w:val="00A34CAF"/>
    <w:rsid w:val="00A400AC"/>
    <w:rsid w:val="00A40DA7"/>
    <w:rsid w:val="00A41297"/>
    <w:rsid w:val="00A41D5B"/>
    <w:rsid w:val="00A41DD1"/>
    <w:rsid w:val="00A43287"/>
    <w:rsid w:val="00A43C69"/>
    <w:rsid w:val="00A45AE4"/>
    <w:rsid w:val="00A45C26"/>
    <w:rsid w:val="00A47C17"/>
    <w:rsid w:val="00A511A8"/>
    <w:rsid w:val="00A512BB"/>
    <w:rsid w:val="00A5260C"/>
    <w:rsid w:val="00A52CAF"/>
    <w:rsid w:val="00A5305E"/>
    <w:rsid w:val="00A53454"/>
    <w:rsid w:val="00A539A1"/>
    <w:rsid w:val="00A618E1"/>
    <w:rsid w:val="00A626C2"/>
    <w:rsid w:val="00A63B25"/>
    <w:rsid w:val="00A6633D"/>
    <w:rsid w:val="00A6659C"/>
    <w:rsid w:val="00A66A74"/>
    <w:rsid w:val="00A66B24"/>
    <w:rsid w:val="00A7233D"/>
    <w:rsid w:val="00A751DE"/>
    <w:rsid w:val="00A75ABF"/>
    <w:rsid w:val="00A76731"/>
    <w:rsid w:val="00A769D5"/>
    <w:rsid w:val="00A7746C"/>
    <w:rsid w:val="00A8056C"/>
    <w:rsid w:val="00A8067C"/>
    <w:rsid w:val="00A81199"/>
    <w:rsid w:val="00A83395"/>
    <w:rsid w:val="00A837AE"/>
    <w:rsid w:val="00A85173"/>
    <w:rsid w:val="00A90096"/>
    <w:rsid w:val="00A90276"/>
    <w:rsid w:val="00A939C4"/>
    <w:rsid w:val="00A93F98"/>
    <w:rsid w:val="00A94CE9"/>
    <w:rsid w:val="00A95E08"/>
    <w:rsid w:val="00A9612A"/>
    <w:rsid w:val="00A964C7"/>
    <w:rsid w:val="00AA03AD"/>
    <w:rsid w:val="00AA16E1"/>
    <w:rsid w:val="00AA26D4"/>
    <w:rsid w:val="00AA3F2A"/>
    <w:rsid w:val="00AA4CFA"/>
    <w:rsid w:val="00AA4FEE"/>
    <w:rsid w:val="00AA7DBE"/>
    <w:rsid w:val="00AB043A"/>
    <w:rsid w:val="00AB15C5"/>
    <w:rsid w:val="00AB28C9"/>
    <w:rsid w:val="00AB2E22"/>
    <w:rsid w:val="00AB313F"/>
    <w:rsid w:val="00AB3CDB"/>
    <w:rsid w:val="00AB4D5D"/>
    <w:rsid w:val="00AB516E"/>
    <w:rsid w:val="00AB7AD3"/>
    <w:rsid w:val="00AC04A4"/>
    <w:rsid w:val="00AC113D"/>
    <w:rsid w:val="00AC12CB"/>
    <w:rsid w:val="00AC4F45"/>
    <w:rsid w:val="00AC5106"/>
    <w:rsid w:val="00AC680B"/>
    <w:rsid w:val="00AC6F61"/>
    <w:rsid w:val="00AC7DF9"/>
    <w:rsid w:val="00AD004C"/>
    <w:rsid w:val="00AD05E3"/>
    <w:rsid w:val="00AD0FFE"/>
    <w:rsid w:val="00AD30CF"/>
    <w:rsid w:val="00AD343B"/>
    <w:rsid w:val="00AD39F1"/>
    <w:rsid w:val="00AD4474"/>
    <w:rsid w:val="00AD4AB2"/>
    <w:rsid w:val="00AD53C5"/>
    <w:rsid w:val="00AD6054"/>
    <w:rsid w:val="00AD64DA"/>
    <w:rsid w:val="00AD6BEB"/>
    <w:rsid w:val="00AD7095"/>
    <w:rsid w:val="00AD78F1"/>
    <w:rsid w:val="00AD7FAC"/>
    <w:rsid w:val="00AE0A21"/>
    <w:rsid w:val="00AE2413"/>
    <w:rsid w:val="00AE36B5"/>
    <w:rsid w:val="00AE44F5"/>
    <w:rsid w:val="00AE5134"/>
    <w:rsid w:val="00AE52F9"/>
    <w:rsid w:val="00AE55FC"/>
    <w:rsid w:val="00AE5DB9"/>
    <w:rsid w:val="00AE69DF"/>
    <w:rsid w:val="00AE6DBF"/>
    <w:rsid w:val="00AE7E71"/>
    <w:rsid w:val="00AF02B9"/>
    <w:rsid w:val="00AF0658"/>
    <w:rsid w:val="00AF1D4E"/>
    <w:rsid w:val="00AF30C5"/>
    <w:rsid w:val="00AF3B91"/>
    <w:rsid w:val="00AF4412"/>
    <w:rsid w:val="00AF5B13"/>
    <w:rsid w:val="00AF79C0"/>
    <w:rsid w:val="00B01AE7"/>
    <w:rsid w:val="00B01C48"/>
    <w:rsid w:val="00B04426"/>
    <w:rsid w:val="00B044BA"/>
    <w:rsid w:val="00B04E3C"/>
    <w:rsid w:val="00B050C7"/>
    <w:rsid w:val="00B0553D"/>
    <w:rsid w:val="00B0560D"/>
    <w:rsid w:val="00B073E6"/>
    <w:rsid w:val="00B10ED2"/>
    <w:rsid w:val="00B139C3"/>
    <w:rsid w:val="00B15B68"/>
    <w:rsid w:val="00B15FA2"/>
    <w:rsid w:val="00B22EC8"/>
    <w:rsid w:val="00B24111"/>
    <w:rsid w:val="00B25F9E"/>
    <w:rsid w:val="00B27AD4"/>
    <w:rsid w:val="00B30689"/>
    <w:rsid w:val="00B306B0"/>
    <w:rsid w:val="00B308B9"/>
    <w:rsid w:val="00B3499F"/>
    <w:rsid w:val="00B34B93"/>
    <w:rsid w:val="00B35F8A"/>
    <w:rsid w:val="00B37C8C"/>
    <w:rsid w:val="00B410C9"/>
    <w:rsid w:val="00B43EC8"/>
    <w:rsid w:val="00B45012"/>
    <w:rsid w:val="00B46712"/>
    <w:rsid w:val="00B46E2F"/>
    <w:rsid w:val="00B50FF1"/>
    <w:rsid w:val="00B5257A"/>
    <w:rsid w:val="00B549F6"/>
    <w:rsid w:val="00B54E2F"/>
    <w:rsid w:val="00B54F8D"/>
    <w:rsid w:val="00B56ECD"/>
    <w:rsid w:val="00B5752E"/>
    <w:rsid w:val="00B60B51"/>
    <w:rsid w:val="00B613DD"/>
    <w:rsid w:val="00B63B5E"/>
    <w:rsid w:val="00B641B3"/>
    <w:rsid w:val="00B650BB"/>
    <w:rsid w:val="00B65C9D"/>
    <w:rsid w:val="00B66E2D"/>
    <w:rsid w:val="00B6722D"/>
    <w:rsid w:val="00B736FF"/>
    <w:rsid w:val="00B741E4"/>
    <w:rsid w:val="00B74838"/>
    <w:rsid w:val="00B75570"/>
    <w:rsid w:val="00B80C9F"/>
    <w:rsid w:val="00B81786"/>
    <w:rsid w:val="00B826D4"/>
    <w:rsid w:val="00B832C1"/>
    <w:rsid w:val="00B84E91"/>
    <w:rsid w:val="00B86497"/>
    <w:rsid w:val="00B86966"/>
    <w:rsid w:val="00B91282"/>
    <w:rsid w:val="00B92553"/>
    <w:rsid w:val="00B928EA"/>
    <w:rsid w:val="00B96B44"/>
    <w:rsid w:val="00B97C6D"/>
    <w:rsid w:val="00B97CD3"/>
    <w:rsid w:val="00BA02AE"/>
    <w:rsid w:val="00BA0B67"/>
    <w:rsid w:val="00BA1E65"/>
    <w:rsid w:val="00BA22EB"/>
    <w:rsid w:val="00BA4B61"/>
    <w:rsid w:val="00BA4B87"/>
    <w:rsid w:val="00BA5CFF"/>
    <w:rsid w:val="00BA605A"/>
    <w:rsid w:val="00BB3236"/>
    <w:rsid w:val="00BB44A3"/>
    <w:rsid w:val="00BB4991"/>
    <w:rsid w:val="00BB4AA9"/>
    <w:rsid w:val="00BB5B2B"/>
    <w:rsid w:val="00BB66B9"/>
    <w:rsid w:val="00BB7CB5"/>
    <w:rsid w:val="00BB7CEF"/>
    <w:rsid w:val="00BC17D9"/>
    <w:rsid w:val="00BC36EB"/>
    <w:rsid w:val="00BC3AB9"/>
    <w:rsid w:val="00BC79D4"/>
    <w:rsid w:val="00BD1F92"/>
    <w:rsid w:val="00BD2B24"/>
    <w:rsid w:val="00BD2E67"/>
    <w:rsid w:val="00BD3CD2"/>
    <w:rsid w:val="00BD4FF7"/>
    <w:rsid w:val="00BD51F8"/>
    <w:rsid w:val="00BD60CE"/>
    <w:rsid w:val="00BD682D"/>
    <w:rsid w:val="00BD70E8"/>
    <w:rsid w:val="00BD7D15"/>
    <w:rsid w:val="00BE03F0"/>
    <w:rsid w:val="00BE1587"/>
    <w:rsid w:val="00BE320C"/>
    <w:rsid w:val="00BE39FB"/>
    <w:rsid w:val="00BE46D6"/>
    <w:rsid w:val="00BE513E"/>
    <w:rsid w:val="00BE5B19"/>
    <w:rsid w:val="00BE5D35"/>
    <w:rsid w:val="00BE5FA6"/>
    <w:rsid w:val="00BE6529"/>
    <w:rsid w:val="00BE7875"/>
    <w:rsid w:val="00BE79ED"/>
    <w:rsid w:val="00BE7A56"/>
    <w:rsid w:val="00BF0028"/>
    <w:rsid w:val="00BF032A"/>
    <w:rsid w:val="00BF0A8F"/>
    <w:rsid w:val="00BF308E"/>
    <w:rsid w:val="00BF4A4C"/>
    <w:rsid w:val="00BF5019"/>
    <w:rsid w:val="00BF50F7"/>
    <w:rsid w:val="00BF55EC"/>
    <w:rsid w:val="00C0152D"/>
    <w:rsid w:val="00C0167A"/>
    <w:rsid w:val="00C0193B"/>
    <w:rsid w:val="00C01EC3"/>
    <w:rsid w:val="00C0380E"/>
    <w:rsid w:val="00C046C5"/>
    <w:rsid w:val="00C06826"/>
    <w:rsid w:val="00C10380"/>
    <w:rsid w:val="00C1362E"/>
    <w:rsid w:val="00C14B64"/>
    <w:rsid w:val="00C14F64"/>
    <w:rsid w:val="00C162C4"/>
    <w:rsid w:val="00C173BA"/>
    <w:rsid w:val="00C174F2"/>
    <w:rsid w:val="00C17B25"/>
    <w:rsid w:val="00C200B2"/>
    <w:rsid w:val="00C22878"/>
    <w:rsid w:val="00C23CCE"/>
    <w:rsid w:val="00C245CB"/>
    <w:rsid w:val="00C24BEC"/>
    <w:rsid w:val="00C25E79"/>
    <w:rsid w:val="00C30416"/>
    <w:rsid w:val="00C30A08"/>
    <w:rsid w:val="00C30DA0"/>
    <w:rsid w:val="00C312A5"/>
    <w:rsid w:val="00C32861"/>
    <w:rsid w:val="00C32959"/>
    <w:rsid w:val="00C34049"/>
    <w:rsid w:val="00C36551"/>
    <w:rsid w:val="00C36EEA"/>
    <w:rsid w:val="00C373F8"/>
    <w:rsid w:val="00C373FE"/>
    <w:rsid w:val="00C4036E"/>
    <w:rsid w:val="00C404D2"/>
    <w:rsid w:val="00C405DA"/>
    <w:rsid w:val="00C406DD"/>
    <w:rsid w:val="00C43061"/>
    <w:rsid w:val="00C43E52"/>
    <w:rsid w:val="00C44FCE"/>
    <w:rsid w:val="00C452E1"/>
    <w:rsid w:val="00C45C96"/>
    <w:rsid w:val="00C466A0"/>
    <w:rsid w:val="00C46DAA"/>
    <w:rsid w:val="00C50C6C"/>
    <w:rsid w:val="00C51515"/>
    <w:rsid w:val="00C51B4A"/>
    <w:rsid w:val="00C51F61"/>
    <w:rsid w:val="00C53217"/>
    <w:rsid w:val="00C541D6"/>
    <w:rsid w:val="00C551F9"/>
    <w:rsid w:val="00C559ED"/>
    <w:rsid w:val="00C61E82"/>
    <w:rsid w:val="00C63041"/>
    <w:rsid w:val="00C6353E"/>
    <w:rsid w:val="00C6390F"/>
    <w:rsid w:val="00C63E02"/>
    <w:rsid w:val="00C64475"/>
    <w:rsid w:val="00C64E6A"/>
    <w:rsid w:val="00C6628F"/>
    <w:rsid w:val="00C67923"/>
    <w:rsid w:val="00C67AB8"/>
    <w:rsid w:val="00C67BC7"/>
    <w:rsid w:val="00C67C77"/>
    <w:rsid w:val="00C67D00"/>
    <w:rsid w:val="00C700AE"/>
    <w:rsid w:val="00C7131B"/>
    <w:rsid w:val="00C71A25"/>
    <w:rsid w:val="00C735BA"/>
    <w:rsid w:val="00C73F27"/>
    <w:rsid w:val="00C7495D"/>
    <w:rsid w:val="00C74E8E"/>
    <w:rsid w:val="00C756D9"/>
    <w:rsid w:val="00C75DF8"/>
    <w:rsid w:val="00C773F1"/>
    <w:rsid w:val="00C8041C"/>
    <w:rsid w:val="00C856DE"/>
    <w:rsid w:val="00C86A49"/>
    <w:rsid w:val="00C86E28"/>
    <w:rsid w:val="00C877EE"/>
    <w:rsid w:val="00C93313"/>
    <w:rsid w:val="00C95E44"/>
    <w:rsid w:val="00C976D1"/>
    <w:rsid w:val="00CA13A8"/>
    <w:rsid w:val="00CA219A"/>
    <w:rsid w:val="00CA29CF"/>
    <w:rsid w:val="00CA2C04"/>
    <w:rsid w:val="00CA5167"/>
    <w:rsid w:val="00CB558B"/>
    <w:rsid w:val="00CC2A5C"/>
    <w:rsid w:val="00CC2E6F"/>
    <w:rsid w:val="00CC460C"/>
    <w:rsid w:val="00CC4F13"/>
    <w:rsid w:val="00CC5FC0"/>
    <w:rsid w:val="00CC64CF"/>
    <w:rsid w:val="00CC6ADA"/>
    <w:rsid w:val="00CD110F"/>
    <w:rsid w:val="00CD1D9E"/>
    <w:rsid w:val="00CD2654"/>
    <w:rsid w:val="00CD35E1"/>
    <w:rsid w:val="00CD3606"/>
    <w:rsid w:val="00CD3719"/>
    <w:rsid w:val="00CD3940"/>
    <w:rsid w:val="00CD39AA"/>
    <w:rsid w:val="00CD4B2A"/>
    <w:rsid w:val="00CD6604"/>
    <w:rsid w:val="00CD66AD"/>
    <w:rsid w:val="00CD6D4F"/>
    <w:rsid w:val="00CE01EB"/>
    <w:rsid w:val="00CE0248"/>
    <w:rsid w:val="00CE1F47"/>
    <w:rsid w:val="00CE3892"/>
    <w:rsid w:val="00CE4F59"/>
    <w:rsid w:val="00CE5599"/>
    <w:rsid w:val="00CE7C1E"/>
    <w:rsid w:val="00CF0002"/>
    <w:rsid w:val="00CF2A9E"/>
    <w:rsid w:val="00CF3031"/>
    <w:rsid w:val="00CF38FD"/>
    <w:rsid w:val="00CF3DCF"/>
    <w:rsid w:val="00CF4515"/>
    <w:rsid w:val="00CF4577"/>
    <w:rsid w:val="00CF630B"/>
    <w:rsid w:val="00CF7090"/>
    <w:rsid w:val="00CF7EEE"/>
    <w:rsid w:val="00D03D3C"/>
    <w:rsid w:val="00D05C09"/>
    <w:rsid w:val="00D05E3F"/>
    <w:rsid w:val="00D0605C"/>
    <w:rsid w:val="00D07350"/>
    <w:rsid w:val="00D07FE9"/>
    <w:rsid w:val="00D10B8A"/>
    <w:rsid w:val="00D116A1"/>
    <w:rsid w:val="00D1254B"/>
    <w:rsid w:val="00D12F1B"/>
    <w:rsid w:val="00D13E95"/>
    <w:rsid w:val="00D15048"/>
    <w:rsid w:val="00D157D2"/>
    <w:rsid w:val="00D16EF2"/>
    <w:rsid w:val="00D17210"/>
    <w:rsid w:val="00D1732F"/>
    <w:rsid w:val="00D17656"/>
    <w:rsid w:val="00D2272E"/>
    <w:rsid w:val="00D22A92"/>
    <w:rsid w:val="00D25AEA"/>
    <w:rsid w:val="00D26D34"/>
    <w:rsid w:val="00D30622"/>
    <w:rsid w:val="00D31865"/>
    <w:rsid w:val="00D31C85"/>
    <w:rsid w:val="00D3306A"/>
    <w:rsid w:val="00D330DF"/>
    <w:rsid w:val="00D3429D"/>
    <w:rsid w:val="00D34C59"/>
    <w:rsid w:val="00D352B2"/>
    <w:rsid w:val="00D3671E"/>
    <w:rsid w:val="00D36B90"/>
    <w:rsid w:val="00D40FEB"/>
    <w:rsid w:val="00D43755"/>
    <w:rsid w:val="00D448E5"/>
    <w:rsid w:val="00D47A13"/>
    <w:rsid w:val="00D5098C"/>
    <w:rsid w:val="00D51F7C"/>
    <w:rsid w:val="00D53C27"/>
    <w:rsid w:val="00D53D31"/>
    <w:rsid w:val="00D55716"/>
    <w:rsid w:val="00D55DE4"/>
    <w:rsid w:val="00D56182"/>
    <w:rsid w:val="00D574E8"/>
    <w:rsid w:val="00D579ED"/>
    <w:rsid w:val="00D60E00"/>
    <w:rsid w:val="00D61A0E"/>
    <w:rsid w:val="00D61CB3"/>
    <w:rsid w:val="00D62EDC"/>
    <w:rsid w:val="00D63BEB"/>
    <w:rsid w:val="00D643CE"/>
    <w:rsid w:val="00D64467"/>
    <w:rsid w:val="00D66E08"/>
    <w:rsid w:val="00D70376"/>
    <w:rsid w:val="00D711E1"/>
    <w:rsid w:val="00D722E4"/>
    <w:rsid w:val="00D72367"/>
    <w:rsid w:val="00D72CC2"/>
    <w:rsid w:val="00D74535"/>
    <w:rsid w:val="00D7487F"/>
    <w:rsid w:val="00D74D0E"/>
    <w:rsid w:val="00D775BE"/>
    <w:rsid w:val="00D77B1E"/>
    <w:rsid w:val="00D80748"/>
    <w:rsid w:val="00D80C1D"/>
    <w:rsid w:val="00D81C40"/>
    <w:rsid w:val="00D826A9"/>
    <w:rsid w:val="00D83B8D"/>
    <w:rsid w:val="00D85075"/>
    <w:rsid w:val="00D85742"/>
    <w:rsid w:val="00D8637D"/>
    <w:rsid w:val="00D876C5"/>
    <w:rsid w:val="00D90155"/>
    <w:rsid w:val="00D91101"/>
    <w:rsid w:val="00D91E77"/>
    <w:rsid w:val="00D92FC1"/>
    <w:rsid w:val="00D94CF3"/>
    <w:rsid w:val="00D95DD2"/>
    <w:rsid w:val="00D96219"/>
    <w:rsid w:val="00DA00BD"/>
    <w:rsid w:val="00DA08E7"/>
    <w:rsid w:val="00DA1336"/>
    <w:rsid w:val="00DA1B95"/>
    <w:rsid w:val="00DA3B69"/>
    <w:rsid w:val="00DA3BC4"/>
    <w:rsid w:val="00DA6A6B"/>
    <w:rsid w:val="00DA7052"/>
    <w:rsid w:val="00DB146D"/>
    <w:rsid w:val="00DB3453"/>
    <w:rsid w:val="00DB4868"/>
    <w:rsid w:val="00DB57E4"/>
    <w:rsid w:val="00DB5D48"/>
    <w:rsid w:val="00DB7313"/>
    <w:rsid w:val="00DC3D96"/>
    <w:rsid w:val="00DC4306"/>
    <w:rsid w:val="00DC4D00"/>
    <w:rsid w:val="00DC5DEE"/>
    <w:rsid w:val="00DD1628"/>
    <w:rsid w:val="00DD1947"/>
    <w:rsid w:val="00DD29C9"/>
    <w:rsid w:val="00DD529D"/>
    <w:rsid w:val="00DD5AD9"/>
    <w:rsid w:val="00DD5B57"/>
    <w:rsid w:val="00DD70B2"/>
    <w:rsid w:val="00DD75EB"/>
    <w:rsid w:val="00DE081A"/>
    <w:rsid w:val="00DE3661"/>
    <w:rsid w:val="00DE3B41"/>
    <w:rsid w:val="00DE60D5"/>
    <w:rsid w:val="00DE6685"/>
    <w:rsid w:val="00DE7345"/>
    <w:rsid w:val="00DF0D5F"/>
    <w:rsid w:val="00DF127D"/>
    <w:rsid w:val="00DF149D"/>
    <w:rsid w:val="00DF19AC"/>
    <w:rsid w:val="00DF2E32"/>
    <w:rsid w:val="00DF5485"/>
    <w:rsid w:val="00DF582E"/>
    <w:rsid w:val="00DF59C8"/>
    <w:rsid w:val="00DF73A6"/>
    <w:rsid w:val="00DF755F"/>
    <w:rsid w:val="00DF799F"/>
    <w:rsid w:val="00DF7D4B"/>
    <w:rsid w:val="00E009AF"/>
    <w:rsid w:val="00E00EF6"/>
    <w:rsid w:val="00E00FC4"/>
    <w:rsid w:val="00E01B6B"/>
    <w:rsid w:val="00E01F19"/>
    <w:rsid w:val="00E020EA"/>
    <w:rsid w:val="00E02813"/>
    <w:rsid w:val="00E02F56"/>
    <w:rsid w:val="00E059C4"/>
    <w:rsid w:val="00E06F90"/>
    <w:rsid w:val="00E10621"/>
    <w:rsid w:val="00E10695"/>
    <w:rsid w:val="00E1070D"/>
    <w:rsid w:val="00E116D5"/>
    <w:rsid w:val="00E11B8E"/>
    <w:rsid w:val="00E1278E"/>
    <w:rsid w:val="00E147B7"/>
    <w:rsid w:val="00E14EF0"/>
    <w:rsid w:val="00E154C0"/>
    <w:rsid w:val="00E158FA"/>
    <w:rsid w:val="00E16F2A"/>
    <w:rsid w:val="00E20002"/>
    <w:rsid w:val="00E2038D"/>
    <w:rsid w:val="00E2070F"/>
    <w:rsid w:val="00E20FCD"/>
    <w:rsid w:val="00E22418"/>
    <w:rsid w:val="00E239D8"/>
    <w:rsid w:val="00E245C9"/>
    <w:rsid w:val="00E31038"/>
    <w:rsid w:val="00E311B7"/>
    <w:rsid w:val="00E3309D"/>
    <w:rsid w:val="00E34426"/>
    <w:rsid w:val="00E34B5F"/>
    <w:rsid w:val="00E3508D"/>
    <w:rsid w:val="00E35583"/>
    <w:rsid w:val="00E3636F"/>
    <w:rsid w:val="00E36EEF"/>
    <w:rsid w:val="00E404FF"/>
    <w:rsid w:val="00E43517"/>
    <w:rsid w:val="00E442A9"/>
    <w:rsid w:val="00E44D66"/>
    <w:rsid w:val="00E50888"/>
    <w:rsid w:val="00E50A1F"/>
    <w:rsid w:val="00E512FF"/>
    <w:rsid w:val="00E53C5A"/>
    <w:rsid w:val="00E549C1"/>
    <w:rsid w:val="00E551DE"/>
    <w:rsid w:val="00E5671C"/>
    <w:rsid w:val="00E6125E"/>
    <w:rsid w:val="00E62C02"/>
    <w:rsid w:val="00E632AA"/>
    <w:rsid w:val="00E634F8"/>
    <w:rsid w:val="00E63663"/>
    <w:rsid w:val="00E64E0A"/>
    <w:rsid w:val="00E65038"/>
    <w:rsid w:val="00E66E80"/>
    <w:rsid w:val="00E72DEA"/>
    <w:rsid w:val="00E72F86"/>
    <w:rsid w:val="00E7325B"/>
    <w:rsid w:val="00E734F2"/>
    <w:rsid w:val="00E7401C"/>
    <w:rsid w:val="00E743BD"/>
    <w:rsid w:val="00E743DA"/>
    <w:rsid w:val="00E7473E"/>
    <w:rsid w:val="00E7550C"/>
    <w:rsid w:val="00E76501"/>
    <w:rsid w:val="00E76DA5"/>
    <w:rsid w:val="00E77088"/>
    <w:rsid w:val="00E775BA"/>
    <w:rsid w:val="00E77A57"/>
    <w:rsid w:val="00E80102"/>
    <w:rsid w:val="00E8087B"/>
    <w:rsid w:val="00E81C98"/>
    <w:rsid w:val="00E832CA"/>
    <w:rsid w:val="00E85421"/>
    <w:rsid w:val="00E86114"/>
    <w:rsid w:val="00E87E9A"/>
    <w:rsid w:val="00E914AB"/>
    <w:rsid w:val="00E915DD"/>
    <w:rsid w:val="00E923B3"/>
    <w:rsid w:val="00E933E9"/>
    <w:rsid w:val="00E95668"/>
    <w:rsid w:val="00E95751"/>
    <w:rsid w:val="00E95FF9"/>
    <w:rsid w:val="00E96703"/>
    <w:rsid w:val="00E96B65"/>
    <w:rsid w:val="00EA0304"/>
    <w:rsid w:val="00EA06C7"/>
    <w:rsid w:val="00EA1C61"/>
    <w:rsid w:val="00EA2A8E"/>
    <w:rsid w:val="00EA3C92"/>
    <w:rsid w:val="00EA4042"/>
    <w:rsid w:val="00EA6F50"/>
    <w:rsid w:val="00EA7C8B"/>
    <w:rsid w:val="00EB130B"/>
    <w:rsid w:val="00EB265E"/>
    <w:rsid w:val="00EB41B6"/>
    <w:rsid w:val="00EB73E7"/>
    <w:rsid w:val="00EC074A"/>
    <w:rsid w:val="00EC2A30"/>
    <w:rsid w:val="00EC2C61"/>
    <w:rsid w:val="00EC2E94"/>
    <w:rsid w:val="00EC4BF7"/>
    <w:rsid w:val="00EC4FF9"/>
    <w:rsid w:val="00EC5A9A"/>
    <w:rsid w:val="00EC7F9F"/>
    <w:rsid w:val="00ED0592"/>
    <w:rsid w:val="00ED0744"/>
    <w:rsid w:val="00ED1A53"/>
    <w:rsid w:val="00ED1AA5"/>
    <w:rsid w:val="00ED1B84"/>
    <w:rsid w:val="00ED1BB2"/>
    <w:rsid w:val="00ED2B96"/>
    <w:rsid w:val="00ED33B8"/>
    <w:rsid w:val="00ED3A63"/>
    <w:rsid w:val="00ED6386"/>
    <w:rsid w:val="00ED7871"/>
    <w:rsid w:val="00EE32B3"/>
    <w:rsid w:val="00EE3B05"/>
    <w:rsid w:val="00EE3FCE"/>
    <w:rsid w:val="00EE4FE5"/>
    <w:rsid w:val="00EE5DD7"/>
    <w:rsid w:val="00EE65A8"/>
    <w:rsid w:val="00EE6B77"/>
    <w:rsid w:val="00EE7771"/>
    <w:rsid w:val="00EF1F8F"/>
    <w:rsid w:val="00EF2273"/>
    <w:rsid w:val="00EF23E0"/>
    <w:rsid w:val="00EF2693"/>
    <w:rsid w:val="00EF4A53"/>
    <w:rsid w:val="00EF4DCE"/>
    <w:rsid w:val="00EF56EC"/>
    <w:rsid w:val="00EF5CAC"/>
    <w:rsid w:val="00EF74D1"/>
    <w:rsid w:val="00F0003F"/>
    <w:rsid w:val="00F00601"/>
    <w:rsid w:val="00F006C0"/>
    <w:rsid w:val="00F00ED2"/>
    <w:rsid w:val="00F02225"/>
    <w:rsid w:val="00F03E20"/>
    <w:rsid w:val="00F049C5"/>
    <w:rsid w:val="00F05754"/>
    <w:rsid w:val="00F057E1"/>
    <w:rsid w:val="00F07D3A"/>
    <w:rsid w:val="00F10EC7"/>
    <w:rsid w:val="00F11811"/>
    <w:rsid w:val="00F11FE3"/>
    <w:rsid w:val="00F132F5"/>
    <w:rsid w:val="00F135B7"/>
    <w:rsid w:val="00F1391D"/>
    <w:rsid w:val="00F13BE5"/>
    <w:rsid w:val="00F15360"/>
    <w:rsid w:val="00F15467"/>
    <w:rsid w:val="00F15D2C"/>
    <w:rsid w:val="00F16DBF"/>
    <w:rsid w:val="00F179FB"/>
    <w:rsid w:val="00F17C49"/>
    <w:rsid w:val="00F209C3"/>
    <w:rsid w:val="00F22406"/>
    <w:rsid w:val="00F22A96"/>
    <w:rsid w:val="00F22C30"/>
    <w:rsid w:val="00F24D50"/>
    <w:rsid w:val="00F255F1"/>
    <w:rsid w:val="00F263B3"/>
    <w:rsid w:val="00F26B64"/>
    <w:rsid w:val="00F26BBF"/>
    <w:rsid w:val="00F30376"/>
    <w:rsid w:val="00F307AD"/>
    <w:rsid w:val="00F30FB3"/>
    <w:rsid w:val="00F3121F"/>
    <w:rsid w:val="00F316ED"/>
    <w:rsid w:val="00F329F2"/>
    <w:rsid w:val="00F332C7"/>
    <w:rsid w:val="00F33D3F"/>
    <w:rsid w:val="00F3421F"/>
    <w:rsid w:val="00F35EA3"/>
    <w:rsid w:val="00F35F58"/>
    <w:rsid w:val="00F36A2E"/>
    <w:rsid w:val="00F36F9A"/>
    <w:rsid w:val="00F37482"/>
    <w:rsid w:val="00F37735"/>
    <w:rsid w:val="00F379AD"/>
    <w:rsid w:val="00F40654"/>
    <w:rsid w:val="00F42E17"/>
    <w:rsid w:val="00F45180"/>
    <w:rsid w:val="00F46015"/>
    <w:rsid w:val="00F46C0F"/>
    <w:rsid w:val="00F478FA"/>
    <w:rsid w:val="00F502E8"/>
    <w:rsid w:val="00F552C4"/>
    <w:rsid w:val="00F55A2F"/>
    <w:rsid w:val="00F55D7E"/>
    <w:rsid w:val="00F57742"/>
    <w:rsid w:val="00F62264"/>
    <w:rsid w:val="00F62E39"/>
    <w:rsid w:val="00F63BE3"/>
    <w:rsid w:val="00F63FA3"/>
    <w:rsid w:val="00F65F73"/>
    <w:rsid w:val="00F67812"/>
    <w:rsid w:val="00F70877"/>
    <w:rsid w:val="00F70D3B"/>
    <w:rsid w:val="00F71612"/>
    <w:rsid w:val="00F72789"/>
    <w:rsid w:val="00F7316D"/>
    <w:rsid w:val="00F7425B"/>
    <w:rsid w:val="00F767BD"/>
    <w:rsid w:val="00F7729E"/>
    <w:rsid w:val="00F8127C"/>
    <w:rsid w:val="00F82151"/>
    <w:rsid w:val="00F826AF"/>
    <w:rsid w:val="00F83490"/>
    <w:rsid w:val="00F838D1"/>
    <w:rsid w:val="00F850F5"/>
    <w:rsid w:val="00F85A7D"/>
    <w:rsid w:val="00F86367"/>
    <w:rsid w:val="00F8656E"/>
    <w:rsid w:val="00F872F0"/>
    <w:rsid w:val="00F924AD"/>
    <w:rsid w:val="00F938B7"/>
    <w:rsid w:val="00F951D4"/>
    <w:rsid w:val="00F96314"/>
    <w:rsid w:val="00F97ADD"/>
    <w:rsid w:val="00F97F0F"/>
    <w:rsid w:val="00FA0349"/>
    <w:rsid w:val="00FA0380"/>
    <w:rsid w:val="00FA0907"/>
    <w:rsid w:val="00FA1E89"/>
    <w:rsid w:val="00FA2457"/>
    <w:rsid w:val="00FA6CF8"/>
    <w:rsid w:val="00FA7488"/>
    <w:rsid w:val="00FA7FC7"/>
    <w:rsid w:val="00FB05B6"/>
    <w:rsid w:val="00FB070E"/>
    <w:rsid w:val="00FB09C5"/>
    <w:rsid w:val="00FB116A"/>
    <w:rsid w:val="00FB4487"/>
    <w:rsid w:val="00FB55FD"/>
    <w:rsid w:val="00FB61A7"/>
    <w:rsid w:val="00FB75A2"/>
    <w:rsid w:val="00FB75E6"/>
    <w:rsid w:val="00FC0ADF"/>
    <w:rsid w:val="00FC5AA7"/>
    <w:rsid w:val="00FD054D"/>
    <w:rsid w:val="00FD08DA"/>
    <w:rsid w:val="00FD5AA9"/>
    <w:rsid w:val="00FD73A0"/>
    <w:rsid w:val="00FE51C6"/>
    <w:rsid w:val="00FE54B9"/>
    <w:rsid w:val="00FE5545"/>
    <w:rsid w:val="00FE6B5C"/>
    <w:rsid w:val="00FE7A90"/>
    <w:rsid w:val="00FE7FA8"/>
    <w:rsid w:val="00FF2DC3"/>
    <w:rsid w:val="00FF2E51"/>
    <w:rsid w:val="00FF558B"/>
    <w:rsid w:val="00FF58CC"/>
    <w:rsid w:val="00FF75EB"/>
    <w:rsid w:val="00FF7697"/>
  </w:rsids>
  <m:mathPr>
    <m:mathFont m:val="Cambria Math"/>
    <m:brkBin m:val="before"/>
    <m:brkBinSub m:val="--"/>
    <m:smallFrac m:val="0"/>
    <m:dispDef/>
    <m:lMargin m:val="0"/>
    <m:rMargin m:val="0"/>
    <m:defJc m:val="centerGroup"/>
    <m:wrapIndent m:val="1440"/>
    <m:intLim m:val="subSup"/>
    <m:naryLim m:val="undOvr"/>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EC106"/>
  <w15:docId w15:val="{6D9472EE-F9CD-4C67-93CC-B18ADAD34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02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F0B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636F"/>
    <w:rPr>
      <w:color w:val="0563C1" w:themeColor="hyperlink"/>
      <w:u w:val="single"/>
    </w:rPr>
  </w:style>
  <w:style w:type="paragraph" w:styleId="Caption">
    <w:name w:val="caption"/>
    <w:basedOn w:val="Normal"/>
    <w:next w:val="Normal"/>
    <w:uiPriority w:val="35"/>
    <w:unhideWhenUsed/>
    <w:qFormat/>
    <w:rsid w:val="00E3636F"/>
    <w:pPr>
      <w:spacing w:after="200" w:line="240" w:lineRule="auto"/>
    </w:pPr>
    <w:rPr>
      <w:i/>
      <w:iCs/>
      <w:color w:val="44546A" w:themeColor="text2"/>
      <w:sz w:val="18"/>
      <w:szCs w:val="18"/>
    </w:rPr>
  </w:style>
  <w:style w:type="paragraph" w:styleId="ListParagraph">
    <w:name w:val="List Paragraph"/>
    <w:basedOn w:val="Normal"/>
    <w:uiPriority w:val="34"/>
    <w:qFormat/>
    <w:rsid w:val="004A59CD"/>
    <w:pPr>
      <w:ind w:left="720"/>
      <w:contextualSpacing/>
    </w:pPr>
  </w:style>
  <w:style w:type="character" w:styleId="UnresolvedMention">
    <w:name w:val="Unresolved Mention"/>
    <w:basedOn w:val="DefaultParagraphFont"/>
    <w:uiPriority w:val="99"/>
    <w:semiHidden/>
    <w:unhideWhenUsed/>
    <w:rsid w:val="00304BDE"/>
    <w:rPr>
      <w:color w:val="605E5C"/>
      <w:shd w:val="clear" w:color="auto" w:fill="E1DFDD"/>
    </w:rPr>
  </w:style>
  <w:style w:type="character" w:styleId="FollowedHyperlink">
    <w:name w:val="FollowedHyperlink"/>
    <w:basedOn w:val="DefaultParagraphFont"/>
    <w:uiPriority w:val="99"/>
    <w:semiHidden/>
    <w:unhideWhenUsed/>
    <w:rsid w:val="00300401"/>
    <w:rPr>
      <w:color w:val="954F72" w:themeColor="followedHyperlink"/>
      <w:u w:val="single"/>
    </w:rPr>
  </w:style>
  <w:style w:type="paragraph" w:customStyle="1" w:styleId="EndNoteBibliographyTitle">
    <w:name w:val="EndNote Bibliography Title"/>
    <w:basedOn w:val="Normal"/>
    <w:link w:val="EndNoteBibliographyTitleChar"/>
    <w:rsid w:val="0019511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95113"/>
    <w:rPr>
      <w:rFonts w:ascii="Calibri" w:hAnsi="Calibri" w:cs="Calibri"/>
      <w:noProof/>
      <w:lang w:val="en-US"/>
    </w:rPr>
  </w:style>
  <w:style w:type="paragraph" w:customStyle="1" w:styleId="EndNoteBibliography">
    <w:name w:val="EndNote Bibliography"/>
    <w:basedOn w:val="Normal"/>
    <w:link w:val="EndNoteBibliographyChar"/>
    <w:rsid w:val="0019511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95113"/>
    <w:rPr>
      <w:rFonts w:ascii="Calibri" w:hAnsi="Calibri" w:cs="Calibri"/>
      <w:noProof/>
      <w:lang w:val="en-US"/>
    </w:rPr>
  </w:style>
  <w:style w:type="character" w:styleId="CommentReference">
    <w:name w:val="annotation reference"/>
    <w:basedOn w:val="DefaultParagraphFont"/>
    <w:uiPriority w:val="99"/>
    <w:semiHidden/>
    <w:unhideWhenUsed/>
    <w:rsid w:val="002B6AC5"/>
    <w:rPr>
      <w:sz w:val="16"/>
      <w:szCs w:val="16"/>
    </w:rPr>
  </w:style>
  <w:style w:type="paragraph" w:styleId="CommentText">
    <w:name w:val="annotation text"/>
    <w:basedOn w:val="Normal"/>
    <w:link w:val="CommentTextChar"/>
    <w:uiPriority w:val="99"/>
    <w:unhideWhenUsed/>
    <w:rsid w:val="002B6AC5"/>
    <w:pPr>
      <w:spacing w:line="240" w:lineRule="auto"/>
    </w:pPr>
    <w:rPr>
      <w:sz w:val="20"/>
      <w:szCs w:val="20"/>
    </w:rPr>
  </w:style>
  <w:style w:type="character" w:customStyle="1" w:styleId="CommentTextChar">
    <w:name w:val="Comment Text Char"/>
    <w:basedOn w:val="DefaultParagraphFont"/>
    <w:link w:val="CommentText"/>
    <w:uiPriority w:val="99"/>
    <w:rsid w:val="002B6AC5"/>
    <w:rPr>
      <w:sz w:val="20"/>
      <w:szCs w:val="20"/>
    </w:rPr>
  </w:style>
  <w:style w:type="paragraph" w:styleId="CommentSubject">
    <w:name w:val="annotation subject"/>
    <w:basedOn w:val="CommentText"/>
    <w:next w:val="CommentText"/>
    <w:link w:val="CommentSubjectChar"/>
    <w:uiPriority w:val="99"/>
    <w:semiHidden/>
    <w:unhideWhenUsed/>
    <w:rsid w:val="002B6AC5"/>
    <w:rPr>
      <w:b/>
      <w:bCs/>
    </w:rPr>
  </w:style>
  <w:style w:type="character" w:customStyle="1" w:styleId="CommentSubjectChar">
    <w:name w:val="Comment Subject Char"/>
    <w:basedOn w:val="CommentTextChar"/>
    <w:link w:val="CommentSubject"/>
    <w:uiPriority w:val="99"/>
    <w:semiHidden/>
    <w:rsid w:val="002B6AC5"/>
    <w:rPr>
      <w:b/>
      <w:bCs/>
      <w:sz w:val="20"/>
      <w:szCs w:val="20"/>
    </w:rPr>
  </w:style>
  <w:style w:type="table" w:styleId="TableGrid">
    <w:name w:val="Table Grid"/>
    <w:basedOn w:val="TableNormal"/>
    <w:uiPriority w:val="39"/>
    <w:rsid w:val="00F74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2F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2FB7"/>
  </w:style>
  <w:style w:type="paragraph" w:styleId="Footer">
    <w:name w:val="footer"/>
    <w:basedOn w:val="Normal"/>
    <w:link w:val="FooterChar"/>
    <w:uiPriority w:val="99"/>
    <w:unhideWhenUsed/>
    <w:rsid w:val="000C2F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2FB7"/>
  </w:style>
  <w:style w:type="paragraph" w:styleId="Revision">
    <w:name w:val="Revision"/>
    <w:hidden/>
    <w:uiPriority w:val="99"/>
    <w:semiHidden/>
    <w:rsid w:val="00EE6B77"/>
    <w:pPr>
      <w:spacing w:after="0" w:line="240" w:lineRule="auto"/>
    </w:pPr>
  </w:style>
  <w:style w:type="paragraph" w:styleId="EndnoteText">
    <w:name w:val="endnote text"/>
    <w:basedOn w:val="Normal"/>
    <w:link w:val="EndnoteTextChar"/>
    <w:uiPriority w:val="99"/>
    <w:semiHidden/>
    <w:unhideWhenUsed/>
    <w:rsid w:val="00F3037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30376"/>
    <w:rPr>
      <w:sz w:val="20"/>
      <w:szCs w:val="20"/>
    </w:rPr>
  </w:style>
  <w:style w:type="character" w:styleId="EndnoteReference">
    <w:name w:val="endnote reference"/>
    <w:basedOn w:val="DefaultParagraphFont"/>
    <w:uiPriority w:val="99"/>
    <w:semiHidden/>
    <w:unhideWhenUsed/>
    <w:rsid w:val="00F30376"/>
    <w:rPr>
      <w:vertAlign w:val="superscript"/>
    </w:rPr>
  </w:style>
  <w:style w:type="paragraph" w:styleId="FootnoteText">
    <w:name w:val="footnote text"/>
    <w:basedOn w:val="Normal"/>
    <w:link w:val="FootnoteTextChar"/>
    <w:uiPriority w:val="99"/>
    <w:semiHidden/>
    <w:unhideWhenUsed/>
    <w:rsid w:val="00F303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0376"/>
    <w:rPr>
      <w:sz w:val="20"/>
      <w:szCs w:val="20"/>
    </w:rPr>
  </w:style>
  <w:style w:type="character" w:styleId="FootnoteReference">
    <w:name w:val="footnote reference"/>
    <w:basedOn w:val="DefaultParagraphFont"/>
    <w:uiPriority w:val="99"/>
    <w:semiHidden/>
    <w:unhideWhenUsed/>
    <w:rsid w:val="00F30376"/>
    <w:rPr>
      <w:vertAlign w:val="superscript"/>
    </w:rPr>
  </w:style>
  <w:style w:type="character" w:customStyle="1" w:styleId="Heading1Char">
    <w:name w:val="Heading 1 Char"/>
    <w:basedOn w:val="DefaultParagraphFont"/>
    <w:link w:val="Heading1"/>
    <w:uiPriority w:val="9"/>
    <w:rsid w:val="0070028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F0B1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72076">
      <w:bodyDiv w:val="1"/>
      <w:marLeft w:val="0"/>
      <w:marRight w:val="0"/>
      <w:marTop w:val="0"/>
      <w:marBottom w:val="0"/>
      <w:divBdr>
        <w:top w:val="none" w:sz="0" w:space="0" w:color="auto"/>
        <w:left w:val="none" w:sz="0" w:space="0" w:color="auto"/>
        <w:bottom w:val="none" w:sz="0" w:space="0" w:color="auto"/>
        <w:right w:val="none" w:sz="0" w:space="0" w:color="auto"/>
      </w:divBdr>
      <w:divsChild>
        <w:div w:id="1642612199">
          <w:marLeft w:val="0"/>
          <w:marRight w:val="0"/>
          <w:marTop w:val="0"/>
          <w:marBottom w:val="0"/>
          <w:divBdr>
            <w:top w:val="none" w:sz="0" w:space="0" w:color="auto"/>
            <w:left w:val="none" w:sz="0" w:space="0" w:color="auto"/>
            <w:bottom w:val="none" w:sz="0" w:space="0" w:color="auto"/>
            <w:right w:val="none" w:sz="0" w:space="0" w:color="auto"/>
          </w:divBdr>
        </w:div>
        <w:div w:id="1325664222">
          <w:marLeft w:val="0"/>
          <w:marRight w:val="0"/>
          <w:marTop w:val="0"/>
          <w:marBottom w:val="0"/>
          <w:divBdr>
            <w:top w:val="none" w:sz="0" w:space="0" w:color="auto"/>
            <w:left w:val="none" w:sz="0" w:space="0" w:color="auto"/>
            <w:bottom w:val="none" w:sz="0" w:space="0" w:color="auto"/>
            <w:right w:val="none" w:sz="0" w:space="0" w:color="auto"/>
          </w:divBdr>
        </w:div>
        <w:div w:id="1336958024">
          <w:marLeft w:val="0"/>
          <w:marRight w:val="0"/>
          <w:marTop w:val="0"/>
          <w:marBottom w:val="0"/>
          <w:divBdr>
            <w:top w:val="none" w:sz="0" w:space="0" w:color="auto"/>
            <w:left w:val="none" w:sz="0" w:space="0" w:color="auto"/>
            <w:bottom w:val="none" w:sz="0" w:space="0" w:color="auto"/>
            <w:right w:val="none" w:sz="0" w:space="0" w:color="auto"/>
          </w:divBdr>
        </w:div>
        <w:div w:id="1788817915">
          <w:marLeft w:val="0"/>
          <w:marRight w:val="0"/>
          <w:marTop w:val="0"/>
          <w:marBottom w:val="0"/>
          <w:divBdr>
            <w:top w:val="none" w:sz="0" w:space="0" w:color="auto"/>
            <w:left w:val="none" w:sz="0" w:space="0" w:color="auto"/>
            <w:bottom w:val="none" w:sz="0" w:space="0" w:color="auto"/>
            <w:right w:val="none" w:sz="0" w:space="0" w:color="auto"/>
          </w:divBdr>
        </w:div>
        <w:div w:id="75175270">
          <w:marLeft w:val="0"/>
          <w:marRight w:val="0"/>
          <w:marTop w:val="0"/>
          <w:marBottom w:val="0"/>
          <w:divBdr>
            <w:top w:val="none" w:sz="0" w:space="0" w:color="auto"/>
            <w:left w:val="none" w:sz="0" w:space="0" w:color="auto"/>
            <w:bottom w:val="none" w:sz="0" w:space="0" w:color="auto"/>
            <w:right w:val="none" w:sz="0" w:space="0" w:color="auto"/>
          </w:divBdr>
        </w:div>
        <w:div w:id="111562323">
          <w:marLeft w:val="0"/>
          <w:marRight w:val="0"/>
          <w:marTop w:val="0"/>
          <w:marBottom w:val="0"/>
          <w:divBdr>
            <w:top w:val="none" w:sz="0" w:space="0" w:color="auto"/>
            <w:left w:val="none" w:sz="0" w:space="0" w:color="auto"/>
            <w:bottom w:val="none" w:sz="0" w:space="0" w:color="auto"/>
            <w:right w:val="none" w:sz="0" w:space="0" w:color="auto"/>
          </w:divBdr>
        </w:div>
        <w:div w:id="1827938761">
          <w:marLeft w:val="0"/>
          <w:marRight w:val="0"/>
          <w:marTop w:val="0"/>
          <w:marBottom w:val="0"/>
          <w:divBdr>
            <w:top w:val="none" w:sz="0" w:space="0" w:color="auto"/>
            <w:left w:val="none" w:sz="0" w:space="0" w:color="auto"/>
            <w:bottom w:val="none" w:sz="0" w:space="0" w:color="auto"/>
            <w:right w:val="none" w:sz="0" w:space="0" w:color="auto"/>
          </w:divBdr>
        </w:div>
        <w:div w:id="109208569">
          <w:marLeft w:val="0"/>
          <w:marRight w:val="0"/>
          <w:marTop w:val="0"/>
          <w:marBottom w:val="0"/>
          <w:divBdr>
            <w:top w:val="none" w:sz="0" w:space="0" w:color="auto"/>
            <w:left w:val="none" w:sz="0" w:space="0" w:color="auto"/>
            <w:bottom w:val="none" w:sz="0" w:space="0" w:color="auto"/>
            <w:right w:val="none" w:sz="0" w:space="0" w:color="auto"/>
          </w:divBdr>
        </w:div>
        <w:div w:id="2023431676">
          <w:marLeft w:val="0"/>
          <w:marRight w:val="0"/>
          <w:marTop w:val="0"/>
          <w:marBottom w:val="0"/>
          <w:divBdr>
            <w:top w:val="none" w:sz="0" w:space="0" w:color="auto"/>
            <w:left w:val="none" w:sz="0" w:space="0" w:color="auto"/>
            <w:bottom w:val="none" w:sz="0" w:space="0" w:color="auto"/>
            <w:right w:val="none" w:sz="0" w:space="0" w:color="auto"/>
          </w:divBdr>
        </w:div>
        <w:div w:id="1718510191">
          <w:marLeft w:val="0"/>
          <w:marRight w:val="0"/>
          <w:marTop w:val="0"/>
          <w:marBottom w:val="0"/>
          <w:divBdr>
            <w:top w:val="none" w:sz="0" w:space="0" w:color="auto"/>
            <w:left w:val="none" w:sz="0" w:space="0" w:color="auto"/>
            <w:bottom w:val="none" w:sz="0" w:space="0" w:color="auto"/>
            <w:right w:val="none" w:sz="0" w:space="0" w:color="auto"/>
          </w:divBdr>
        </w:div>
        <w:div w:id="1415736880">
          <w:marLeft w:val="0"/>
          <w:marRight w:val="0"/>
          <w:marTop w:val="0"/>
          <w:marBottom w:val="0"/>
          <w:divBdr>
            <w:top w:val="none" w:sz="0" w:space="0" w:color="auto"/>
            <w:left w:val="none" w:sz="0" w:space="0" w:color="auto"/>
            <w:bottom w:val="none" w:sz="0" w:space="0" w:color="auto"/>
            <w:right w:val="none" w:sz="0" w:space="0" w:color="auto"/>
          </w:divBdr>
        </w:div>
        <w:div w:id="1151826279">
          <w:marLeft w:val="0"/>
          <w:marRight w:val="0"/>
          <w:marTop w:val="0"/>
          <w:marBottom w:val="0"/>
          <w:divBdr>
            <w:top w:val="none" w:sz="0" w:space="0" w:color="auto"/>
            <w:left w:val="none" w:sz="0" w:space="0" w:color="auto"/>
            <w:bottom w:val="none" w:sz="0" w:space="0" w:color="auto"/>
            <w:right w:val="none" w:sz="0" w:space="0" w:color="auto"/>
          </w:divBdr>
        </w:div>
        <w:div w:id="188220131">
          <w:marLeft w:val="0"/>
          <w:marRight w:val="0"/>
          <w:marTop w:val="0"/>
          <w:marBottom w:val="0"/>
          <w:divBdr>
            <w:top w:val="none" w:sz="0" w:space="0" w:color="auto"/>
            <w:left w:val="none" w:sz="0" w:space="0" w:color="auto"/>
            <w:bottom w:val="none" w:sz="0" w:space="0" w:color="auto"/>
            <w:right w:val="none" w:sz="0" w:space="0" w:color="auto"/>
          </w:divBdr>
        </w:div>
        <w:div w:id="1014301624">
          <w:marLeft w:val="0"/>
          <w:marRight w:val="0"/>
          <w:marTop w:val="0"/>
          <w:marBottom w:val="0"/>
          <w:divBdr>
            <w:top w:val="none" w:sz="0" w:space="0" w:color="auto"/>
            <w:left w:val="none" w:sz="0" w:space="0" w:color="auto"/>
            <w:bottom w:val="none" w:sz="0" w:space="0" w:color="auto"/>
            <w:right w:val="none" w:sz="0" w:space="0" w:color="auto"/>
          </w:divBdr>
        </w:div>
        <w:div w:id="840394203">
          <w:marLeft w:val="0"/>
          <w:marRight w:val="0"/>
          <w:marTop w:val="0"/>
          <w:marBottom w:val="0"/>
          <w:divBdr>
            <w:top w:val="none" w:sz="0" w:space="0" w:color="auto"/>
            <w:left w:val="none" w:sz="0" w:space="0" w:color="auto"/>
            <w:bottom w:val="none" w:sz="0" w:space="0" w:color="auto"/>
            <w:right w:val="none" w:sz="0" w:space="0" w:color="auto"/>
          </w:divBdr>
        </w:div>
        <w:div w:id="473914846">
          <w:marLeft w:val="0"/>
          <w:marRight w:val="0"/>
          <w:marTop w:val="0"/>
          <w:marBottom w:val="0"/>
          <w:divBdr>
            <w:top w:val="none" w:sz="0" w:space="0" w:color="auto"/>
            <w:left w:val="none" w:sz="0" w:space="0" w:color="auto"/>
            <w:bottom w:val="none" w:sz="0" w:space="0" w:color="auto"/>
            <w:right w:val="none" w:sz="0" w:space="0" w:color="auto"/>
          </w:divBdr>
        </w:div>
        <w:div w:id="1023019624">
          <w:marLeft w:val="0"/>
          <w:marRight w:val="0"/>
          <w:marTop w:val="0"/>
          <w:marBottom w:val="0"/>
          <w:divBdr>
            <w:top w:val="none" w:sz="0" w:space="0" w:color="auto"/>
            <w:left w:val="none" w:sz="0" w:space="0" w:color="auto"/>
            <w:bottom w:val="none" w:sz="0" w:space="0" w:color="auto"/>
            <w:right w:val="none" w:sz="0" w:space="0" w:color="auto"/>
          </w:divBdr>
        </w:div>
        <w:div w:id="1368722185">
          <w:marLeft w:val="0"/>
          <w:marRight w:val="0"/>
          <w:marTop w:val="0"/>
          <w:marBottom w:val="0"/>
          <w:divBdr>
            <w:top w:val="none" w:sz="0" w:space="0" w:color="auto"/>
            <w:left w:val="none" w:sz="0" w:space="0" w:color="auto"/>
            <w:bottom w:val="none" w:sz="0" w:space="0" w:color="auto"/>
            <w:right w:val="none" w:sz="0" w:space="0" w:color="auto"/>
          </w:divBdr>
        </w:div>
        <w:div w:id="1660114287">
          <w:marLeft w:val="0"/>
          <w:marRight w:val="0"/>
          <w:marTop w:val="0"/>
          <w:marBottom w:val="0"/>
          <w:divBdr>
            <w:top w:val="none" w:sz="0" w:space="0" w:color="auto"/>
            <w:left w:val="none" w:sz="0" w:space="0" w:color="auto"/>
            <w:bottom w:val="none" w:sz="0" w:space="0" w:color="auto"/>
            <w:right w:val="none" w:sz="0" w:space="0" w:color="auto"/>
          </w:divBdr>
        </w:div>
        <w:div w:id="718742813">
          <w:marLeft w:val="0"/>
          <w:marRight w:val="0"/>
          <w:marTop w:val="0"/>
          <w:marBottom w:val="0"/>
          <w:divBdr>
            <w:top w:val="none" w:sz="0" w:space="0" w:color="auto"/>
            <w:left w:val="none" w:sz="0" w:space="0" w:color="auto"/>
            <w:bottom w:val="none" w:sz="0" w:space="0" w:color="auto"/>
            <w:right w:val="none" w:sz="0" w:space="0" w:color="auto"/>
          </w:divBdr>
        </w:div>
        <w:div w:id="1361852865">
          <w:marLeft w:val="0"/>
          <w:marRight w:val="0"/>
          <w:marTop w:val="0"/>
          <w:marBottom w:val="0"/>
          <w:divBdr>
            <w:top w:val="none" w:sz="0" w:space="0" w:color="auto"/>
            <w:left w:val="none" w:sz="0" w:space="0" w:color="auto"/>
            <w:bottom w:val="none" w:sz="0" w:space="0" w:color="auto"/>
            <w:right w:val="none" w:sz="0" w:space="0" w:color="auto"/>
          </w:divBdr>
        </w:div>
        <w:div w:id="785735259">
          <w:marLeft w:val="0"/>
          <w:marRight w:val="0"/>
          <w:marTop w:val="0"/>
          <w:marBottom w:val="0"/>
          <w:divBdr>
            <w:top w:val="none" w:sz="0" w:space="0" w:color="auto"/>
            <w:left w:val="none" w:sz="0" w:space="0" w:color="auto"/>
            <w:bottom w:val="none" w:sz="0" w:space="0" w:color="auto"/>
            <w:right w:val="none" w:sz="0" w:space="0" w:color="auto"/>
          </w:divBdr>
        </w:div>
        <w:div w:id="2103259272">
          <w:marLeft w:val="0"/>
          <w:marRight w:val="0"/>
          <w:marTop w:val="0"/>
          <w:marBottom w:val="0"/>
          <w:divBdr>
            <w:top w:val="none" w:sz="0" w:space="0" w:color="auto"/>
            <w:left w:val="none" w:sz="0" w:space="0" w:color="auto"/>
            <w:bottom w:val="none" w:sz="0" w:space="0" w:color="auto"/>
            <w:right w:val="none" w:sz="0" w:space="0" w:color="auto"/>
          </w:divBdr>
        </w:div>
        <w:div w:id="1705253456">
          <w:marLeft w:val="0"/>
          <w:marRight w:val="0"/>
          <w:marTop w:val="0"/>
          <w:marBottom w:val="0"/>
          <w:divBdr>
            <w:top w:val="none" w:sz="0" w:space="0" w:color="auto"/>
            <w:left w:val="none" w:sz="0" w:space="0" w:color="auto"/>
            <w:bottom w:val="none" w:sz="0" w:space="0" w:color="auto"/>
            <w:right w:val="none" w:sz="0" w:space="0" w:color="auto"/>
          </w:divBdr>
        </w:div>
        <w:div w:id="63114563">
          <w:marLeft w:val="0"/>
          <w:marRight w:val="0"/>
          <w:marTop w:val="0"/>
          <w:marBottom w:val="0"/>
          <w:divBdr>
            <w:top w:val="none" w:sz="0" w:space="0" w:color="auto"/>
            <w:left w:val="none" w:sz="0" w:space="0" w:color="auto"/>
            <w:bottom w:val="none" w:sz="0" w:space="0" w:color="auto"/>
            <w:right w:val="none" w:sz="0" w:space="0" w:color="auto"/>
          </w:divBdr>
        </w:div>
        <w:div w:id="1123383724">
          <w:marLeft w:val="0"/>
          <w:marRight w:val="0"/>
          <w:marTop w:val="0"/>
          <w:marBottom w:val="0"/>
          <w:divBdr>
            <w:top w:val="none" w:sz="0" w:space="0" w:color="auto"/>
            <w:left w:val="none" w:sz="0" w:space="0" w:color="auto"/>
            <w:bottom w:val="none" w:sz="0" w:space="0" w:color="auto"/>
            <w:right w:val="none" w:sz="0" w:space="0" w:color="auto"/>
          </w:divBdr>
        </w:div>
        <w:div w:id="1918707503">
          <w:marLeft w:val="0"/>
          <w:marRight w:val="0"/>
          <w:marTop w:val="0"/>
          <w:marBottom w:val="0"/>
          <w:divBdr>
            <w:top w:val="none" w:sz="0" w:space="0" w:color="auto"/>
            <w:left w:val="none" w:sz="0" w:space="0" w:color="auto"/>
            <w:bottom w:val="none" w:sz="0" w:space="0" w:color="auto"/>
            <w:right w:val="none" w:sz="0" w:space="0" w:color="auto"/>
          </w:divBdr>
        </w:div>
        <w:div w:id="1108350265">
          <w:marLeft w:val="0"/>
          <w:marRight w:val="0"/>
          <w:marTop w:val="0"/>
          <w:marBottom w:val="0"/>
          <w:divBdr>
            <w:top w:val="none" w:sz="0" w:space="0" w:color="auto"/>
            <w:left w:val="none" w:sz="0" w:space="0" w:color="auto"/>
            <w:bottom w:val="none" w:sz="0" w:space="0" w:color="auto"/>
            <w:right w:val="none" w:sz="0" w:space="0" w:color="auto"/>
          </w:divBdr>
        </w:div>
        <w:div w:id="1260990410">
          <w:marLeft w:val="0"/>
          <w:marRight w:val="0"/>
          <w:marTop w:val="0"/>
          <w:marBottom w:val="0"/>
          <w:divBdr>
            <w:top w:val="none" w:sz="0" w:space="0" w:color="auto"/>
            <w:left w:val="none" w:sz="0" w:space="0" w:color="auto"/>
            <w:bottom w:val="none" w:sz="0" w:space="0" w:color="auto"/>
            <w:right w:val="none" w:sz="0" w:space="0" w:color="auto"/>
          </w:divBdr>
        </w:div>
        <w:div w:id="2077311724">
          <w:marLeft w:val="0"/>
          <w:marRight w:val="0"/>
          <w:marTop w:val="0"/>
          <w:marBottom w:val="0"/>
          <w:divBdr>
            <w:top w:val="none" w:sz="0" w:space="0" w:color="auto"/>
            <w:left w:val="none" w:sz="0" w:space="0" w:color="auto"/>
            <w:bottom w:val="none" w:sz="0" w:space="0" w:color="auto"/>
            <w:right w:val="none" w:sz="0" w:space="0" w:color="auto"/>
          </w:divBdr>
        </w:div>
        <w:div w:id="1684241691">
          <w:marLeft w:val="0"/>
          <w:marRight w:val="0"/>
          <w:marTop w:val="0"/>
          <w:marBottom w:val="0"/>
          <w:divBdr>
            <w:top w:val="none" w:sz="0" w:space="0" w:color="auto"/>
            <w:left w:val="none" w:sz="0" w:space="0" w:color="auto"/>
            <w:bottom w:val="none" w:sz="0" w:space="0" w:color="auto"/>
            <w:right w:val="none" w:sz="0" w:space="0" w:color="auto"/>
          </w:divBdr>
        </w:div>
        <w:div w:id="657348044">
          <w:marLeft w:val="0"/>
          <w:marRight w:val="0"/>
          <w:marTop w:val="0"/>
          <w:marBottom w:val="0"/>
          <w:divBdr>
            <w:top w:val="none" w:sz="0" w:space="0" w:color="auto"/>
            <w:left w:val="none" w:sz="0" w:space="0" w:color="auto"/>
            <w:bottom w:val="none" w:sz="0" w:space="0" w:color="auto"/>
            <w:right w:val="none" w:sz="0" w:space="0" w:color="auto"/>
          </w:divBdr>
        </w:div>
        <w:div w:id="66999975">
          <w:marLeft w:val="0"/>
          <w:marRight w:val="0"/>
          <w:marTop w:val="0"/>
          <w:marBottom w:val="0"/>
          <w:divBdr>
            <w:top w:val="none" w:sz="0" w:space="0" w:color="auto"/>
            <w:left w:val="none" w:sz="0" w:space="0" w:color="auto"/>
            <w:bottom w:val="none" w:sz="0" w:space="0" w:color="auto"/>
            <w:right w:val="none" w:sz="0" w:space="0" w:color="auto"/>
          </w:divBdr>
        </w:div>
        <w:div w:id="1502312150">
          <w:marLeft w:val="0"/>
          <w:marRight w:val="0"/>
          <w:marTop w:val="0"/>
          <w:marBottom w:val="0"/>
          <w:divBdr>
            <w:top w:val="none" w:sz="0" w:space="0" w:color="auto"/>
            <w:left w:val="none" w:sz="0" w:space="0" w:color="auto"/>
            <w:bottom w:val="none" w:sz="0" w:space="0" w:color="auto"/>
            <w:right w:val="none" w:sz="0" w:space="0" w:color="auto"/>
          </w:divBdr>
        </w:div>
        <w:div w:id="357319476">
          <w:marLeft w:val="0"/>
          <w:marRight w:val="0"/>
          <w:marTop w:val="0"/>
          <w:marBottom w:val="0"/>
          <w:divBdr>
            <w:top w:val="none" w:sz="0" w:space="0" w:color="auto"/>
            <w:left w:val="none" w:sz="0" w:space="0" w:color="auto"/>
            <w:bottom w:val="none" w:sz="0" w:space="0" w:color="auto"/>
            <w:right w:val="none" w:sz="0" w:space="0" w:color="auto"/>
          </w:divBdr>
        </w:div>
        <w:div w:id="821166501">
          <w:marLeft w:val="0"/>
          <w:marRight w:val="0"/>
          <w:marTop w:val="0"/>
          <w:marBottom w:val="0"/>
          <w:divBdr>
            <w:top w:val="none" w:sz="0" w:space="0" w:color="auto"/>
            <w:left w:val="none" w:sz="0" w:space="0" w:color="auto"/>
            <w:bottom w:val="none" w:sz="0" w:space="0" w:color="auto"/>
            <w:right w:val="none" w:sz="0" w:space="0" w:color="auto"/>
          </w:divBdr>
        </w:div>
        <w:div w:id="510074309">
          <w:marLeft w:val="0"/>
          <w:marRight w:val="0"/>
          <w:marTop w:val="0"/>
          <w:marBottom w:val="0"/>
          <w:divBdr>
            <w:top w:val="none" w:sz="0" w:space="0" w:color="auto"/>
            <w:left w:val="none" w:sz="0" w:space="0" w:color="auto"/>
            <w:bottom w:val="none" w:sz="0" w:space="0" w:color="auto"/>
            <w:right w:val="none" w:sz="0" w:space="0" w:color="auto"/>
          </w:divBdr>
        </w:div>
        <w:div w:id="579951155">
          <w:marLeft w:val="0"/>
          <w:marRight w:val="0"/>
          <w:marTop w:val="0"/>
          <w:marBottom w:val="0"/>
          <w:divBdr>
            <w:top w:val="none" w:sz="0" w:space="0" w:color="auto"/>
            <w:left w:val="none" w:sz="0" w:space="0" w:color="auto"/>
            <w:bottom w:val="none" w:sz="0" w:space="0" w:color="auto"/>
            <w:right w:val="none" w:sz="0" w:space="0" w:color="auto"/>
          </w:divBdr>
        </w:div>
        <w:div w:id="475218304">
          <w:marLeft w:val="0"/>
          <w:marRight w:val="0"/>
          <w:marTop w:val="0"/>
          <w:marBottom w:val="0"/>
          <w:divBdr>
            <w:top w:val="none" w:sz="0" w:space="0" w:color="auto"/>
            <w:left w:val="none" w:sz="0" w:space="0" w:color="auto"/>
            <w:bottom w:val="none" w:sz="0" w:space="0" w:color="auto"/>
            <w:right w:val="none" w:sz="0" w:space="0" w:color="auto"/>
          </w:divBdr>
        </w:div>
        <w:div w:id="1641761339">
          <w:marLeft w:val="0"/>
          <w:marRight w:val="0"/>
          <w:marTop w:val="0"/>
          <w:marBottom w:val="0"/>
          <w:divBdr>
            <w:top w:val="none" w:sz="0" w:space="0" w:color="auto"/>
            <w:left w:val="none" w:sz="0" w:space="0" w:color="auto"/>
            <w:bottom w:val="none" w:sz="0" w:space="0" w:color="auto"/>
            <w:right w:val="none" w:sz="0" w:space="0" w:color="auto"/>
          </w:divBdr>
        </w:div>
        <w:div w:id="1524588519">
          <w:marLeft w:val="0"/>
          <w:marRight w:val="0"/>
          <w:marTop w:val="0"/>
          <w:marBottom w:val="0"/>
          <w:divBdr>
            <w:top w:val="none" w:sz="0" w:space="0" w:color="auto"/>
            <w:left w:val="none" w:sz="0" w:space="0" w:color="auto"/>
            <w:bottom w:val="none" w:sz="0" w:space="0" w:color="auto"/>
            <w:right w:val="none" w:sz="0" w:space="0" w:color="auto"/>
          </w:divBdr>
        </w:div>
        <w:div w:id="969474967">
          <w:marLeft w:val="0"/>
          <w:marRight w:val="0"/>
          <w:marTop w:val="0"/>
          <w:marBottom w:val="0"/>
          <w:divBdr>
            <w:top w:val="none" w:sz="0" w:space="0" w:color="auto"/>
            <w:left w:val="none" w:sz="0" w:space="0" w:color="auto"/>
            <w:bottom w:val="none" w:sz="0" w:space="0" w:color="auto"/>
            <w:right w:val="none" w:sz="0" w:space="0" w:color="auto"/>
          </w:divBdr>
        </w:div>
        <w:div w:id="1002242852">
          <w:marLeft w:val="0"/>
          <w:marRight w:val="0"/>
          <w:marTop w:val="0"/>
          <w:marBottom w:val="0"/>
          <w:divBdr>
            <w:top w:val="none" w:sz="0" w:space="0" w:color="auto"/>
            <w:left w:val="none" w:sz="0" w:space="0" w:color="auto"/>
            <w:bottom w:val="none" w:sz="0" w:space="0" w:color="auto"/>
            <w:right w:val="none" w:sz="0" w:space="0" w:color="auto"/>
          </w:divBdr>
        </w:div>
        <w:div w:id="2141066452">
          <w:marLeft w:val="0"/>
          <w:marRight w:val="0"/>
          <w:marTop w:val="0"/>
          <w:marBottom w:val="0"/>
          <w:divBdr>
            <w:top w:val="none" w:sz="0" w:space="0" w:color="auto"/>
            <w:left w:val="none" w:sz="0" w:space="0" w:color="auto"/>
            <w:bottom w:val="none" w:sz="0" w:space="0" w:color="auto"/>
            <w:right w:val="none" w:sz="0" w:space="0" w:color="auto"/>
          </w:divBdr>
        </w:div>
        <w:div w:id="535584539">
          <w:marLeft w:val="0"/>
          <w:marRight w:val="0"/>
          <w:marTop w:val="0"/>
          <w:marBottom w:val="0"/>
          <w:divBdr>
            <w:top w:val="none" w:sz="0" w:space="0" w:color="auto"/>
            <w:left w:val="none" w:sz="0" w:space="0" w:color="auto"/>
            <w:bottom w:val="none" w:sz="0" w:space="0" w:color="auto"/>
            <w:right w:val="none" w:sz="0" w:space="0" w:color="auto"/>
          </w:divBdr>
        </w:div>
        <w:div w:id="737552496">
          <w:marLeft w:val="0"/>
          <w:marRight w:val="0"/>
          <w:marTop w:val="0"/>
          <w:marBottom w:val="0"/>
          <w:divBdr>
            <w:top w:val="none" w:sz="0" w:space="0" w:color="auto"/>
            <w:left w:val="none" w:sz="0" w:space="0" w:color="auto"/>
            <w:bottom w:val="none" w:sz="0" w:space="0" w:color="auto"/>
            <w:right w:val="none" w:sz="0" w:space="0" w:color="auto"/>
          </w:divBdr>
        </w:div>
        <w:div w:id="1654137384">
          <w:marLeft w:val="0"/>
          <w:marRight w:val="0"/>
          <w:marTop w:val="0"/>
          <w:marBottom w:val="0"/>
          <w:divBdr>
            <w:top w:val="none" w:sz="0" w:space="0" w:color="auto"/>
            <w:left w:val="none" w:sz="0" w:space="0" w:color="auto"/>
            <w:bottom w:val="none" w:sz="0" w:space="0" w:color="auto"/>
            <w:right w:val="none" w:sz="0" w:space="0" w:color="auto"/>
          </w:divBdr>
        </w:div>
        <w:div w:id="1754624715">
          <w:marLeft w:val="0"/>
          <w:marRight w:val="0"/>
          <w:marTop w:val="0"/>
          <w:marBottom w:val="0"/>
          <w:divBdr>
            <w:top w:val="none" w:sz="0" w:space="0" w:color="auto"/>
            <w:left w:val="none" w:sz="0" w:space="0" w:color="auto"/>
            <w:bottom w:val="none" w:sz="0" w:space="0" w:color="auto"/>
            <w:right w:val="none" w:sz="0" w:space="0" w:color="auto"/>
          </w:divBdr>
        </w:div>
        <w:div w:id="2107069636">
          <w:marLeft w:val="0"/>
          <w:marRight w:val="0"/>
          <w:marTop w:val="0"/>
          <w:marBottom w:val="0"/>
          <w:divBdr>
            <w:top w:val="none" w:sz="0" w:space="0" w:color="auto"/>
            <w:left w:val="none" w:sz="0" w:space="0" w:color="auto"/>
            <w:bottom w:val="none" w:sz="0" w:space="0" w:color="auto"/>
            <w:right w:val="none" w:sz="0" w:space="0" w:color="auto"/>
          </w:divBdr>
        </w:div>
        <w:div w:id="340862953">
          <w:marLeft w:val="0"/>
          <w:marRight w:val="0"/>
          <w:marTop w:val="0"/>
          <w:marBottom w:val="0"/>
          <w:divBdr>
            <w:top w:val="none" w:sz="0" w:space="0" w:color="auto"/>
            <w:left w:val="none" w:sz="0" w:space="0" w:color="auto"/>
            <w:bottom w:val="none" w:sz="0" w:space="0" w:color="auto"/>
            <w:right w:val="none" w:sz="0" w:space="0" w:color="auto"/>
          </w:divBdr>
        </w:div>
        <w:div w:id="982394803">
          <w:marLeft w:val="0"/>
          <w:marRight w:val="0"/>
          <w:marTop w:val="0"/>
          <w:marBottom w:val="0"/>
          <w:divBdr>
            <w:top w:val="none" w:sz="0" w:space="0" w:color="auto"/>
            <w:left w:val="none" w:sz="0" w:space="0" w:color="auto"/>
            <w:bottom w:val="none" w:sz="0" w:space="0" w:color="auto"/>
            <w:right w:val="none" w:sz="0" w:space="0" w:color="auto"/>
          </w:divBdr>
        </w:div>
        <w:div w:id="36782645">
          <w:marLeft w:val="0"/>
          <w:marRight w:val="0"/>
          <w:marTop w:val="0"/>
          <w:marBottom w:val="0"/>
          <w:divBdr>
            <w:top w:val="none" w:sz="0" w:space="0" w:color="auto"/>
            <w:left w:val="none" w:sz="0" w:space="0" w:color="auto"/>
            <w:bottom w:val="none" w:sz="0" w:space="0" w:color="auto"/>
            <w:right w:val="none" w:sz="0" w:space="0" w:color="auto"/>
          </w:divBdr>
        </w:div>
        <w:div w:id="433091172">
          <w:marLeft w:val="0"/>
          <w:marRight w:val="0"/>
          <w:marTop w:val="0"/>
          <w:marBottom w:val="0"/>
          <w:divBdr>
            <w:top w:val="none" w:sz="0" w:space="0" w:color="auto"/>
            <w:left w:val="none" w:sz="0" w:space="0" w:color="auto"/>
            <w:bottom w:val="none" w:sz="0" w:space="0" w:color="auto"/>
            <w:right w:val="none" w:sz="0" w:space="0" w:color="auto"/>
          </w:divBdr>
        </w:div>
        <w:div w:id="60060270">
          <w:marLeft w:val="0"/>
          <w:marRight w:val="0"/>
          <w:marTop w:val="0"/>
          <w:marBottom w:val="0"/>
          <w:divBdr>
            <w:top w:val="none" w:sz="0" w:space="0" w:color="auto"/>
            <w:left w:val="none" w:sz="0" w:space="0" w:color="auto"/>
            <w:bottom w:val="none" w:sz="0" w:space="0" w:color="auto"/>
            <w:right w:val="none" w:sz="0" w:space="0" w:color="auto"/>
          </w:divBdr>
        </w:div>
        <w:div w:id="2109767473">
          <w:marLeft w:val="0"/>
          <w:marRight w:val="0"/>
          <w:marTop w:val="0"/>
          <w:marBottom w:val="0"/>
          <w:divBdr>
            <w:top w:val="none" w:sz="0" w:space="0" w:color="auto"/>
            <w:left w:val="none" w:sz="0" w:space="0" w:color="auto"/>
            <w:bottom w:val="none" w:sz="0" w:space="0" w:color="auto"/>
            <w:right w:val="none" w:sz="0" w:space="0" w:color="auto"/>
          </w:divBdr>
        </w:div>
        <w:div w:id="393898482">
          <w:marLeft w:val="0"/>
          <w:marRight w:val="0"/>
          <w:marTop w:val="0"/>
          <w:marBottom w:val="0"/>
          <w:divBdr>
            <w:top w:val="none" w:sz="0" w:space="0" w:color="auto"/>
            <w:left w:val="none" w:sz="0" w:space="0" w:color="auto"/>
            <w:bottom w:val="none" w:sz="0" w:space="0" w:color="auto"/>
            <w:right w:val="none" w:sz="0" w:space="0" w:color="auto"/>
          </w:divBdr>
        </w:div>
        <w:div w:id="817456137">
          <w:marLeft w:val="0"/>
          <w:marRight w:val="0"/>
          <w:marTop w:val="0"/>
          <w:marBottom w:val="0"/>
          <w:divBdr>
            <w:top w:val="none" w:sz="0" w:space="0" w:color="auto"/>
            <w:left w:val="none" w:sz="0" w:space="0" w:color="auto"/>
            <w:bottom w:val="none" w:sz="0" w:space="0" w:color="auto"/>
            <w:right w:val="none" w:sz="0" w:space="0" w:color="auto"/>
          </w:divBdr>
        </w:div>
        <w:div w:id="1659115348">
          <w:marLeft w:val="0"/>
          <w:marRight w:val="0"/>
          <w:marTop w:val="0"/>
          <w:marBottom w:val="0"/>
          <w:divBdr>
            <w:top w:val="none" w:sz="0" w:space="0" w:color="auto"/>
            <w:left w:val="none" w:sz="0" w:space="0" w:color="auto"/>
            <w:bottom w:val="none" w:sz="0" w:space="0" w:color="auto"/>
            <w:right w:val="none" w:sz="0" w:space="0" w:color="auto"/>
          </w:divBdr>
        </w:div>
        <w:div w:id="2051300940">
          <w:marLeft w:val="0"/>
          <w:marRight w:val="0"/>
          <w:marTop w:val="0"/>
          <w:marBottom w:val="0"/>
          <w:divBdr>
            <w:top w:val="none" w:sz="0" w:space="0" w:color="auto"/>
            <w:left w:val="none" w:sz="0" w:space="0" w:color="auto"/>
            <w:bottom w:val="none" w:sz="0" w:space="0" w:color="auto"/>
            <w:right w:val="none" w:sz="0" w:space="0" w:color="auto"/>
          </w:divBdr>
        </w:div>
        <w:div w:id="854462499">
          <w:marLeft w:val="0"/>
          <w:marRight w:val="0"/>
          <w:marTop w:val="0"/>
          <w:marBottom w:val="0"/>
          <w:divBdr>
            <w:top w:val="none" w:sz="0" w:space="0" w:color="auto"/>
            <w:left w:val="none" w:sz="0" w:space="0" w:color="auto"/>
            <w:bottom w:val="none" w:sz="0" w:space="0" w:color="auto"/>
            <w:right w:val="none" w:sz="0" w:space="0" w:color="auto"/>
          </w:divBdr>
        </w:div>
        <w:div w:id="754859409">
          <w:marLeft w:val="0"/>
          <w:marRight w:val="0"/>
          <w:marTop w:val="0"/>
          <w:marBottom w:val="0"/>
          <w:divBdr>
            <w:top w:val="none" w:sz="0" w:space="0" w:color="auto"/>
            <w:left w:val="none" w:sz="0" w:space="0" w:color="auto"/>
            <w:bottom w:val="none" w:sz="0" w:space="0" w:color="auto"/>
            <w:right w:val="none" w:sz="0" w:space="0" w:color="auto"/>
          </w:divBdr>
        </w:div>
        <w:div w:id="1926574555">
          <w:marLeft w:val="0"/>
          <w:marRight w:val="0"/>
          <w:marTop w:val="0"/>
          <w:marBottom w:val="0"/>
          <w:divBdr>
            <w:top w:val="none" w:sz="0" w:space="0" w:color="auto"/>
            <w:left w:val="none" w:sz="0" w:space="0" w:color="auto"/>
            <w:bottom w:val="none" w:sz="0" w:space="0" w:color="auto"/>
            <w:right w:val="none" w:sz="0" w:space="0" w:color="auto"/>
          </w:divBdr>
        </w:div>
        <w:div w:id="853887445">
          <w:marLeft w:val="0"/>
          <w:marRight w:val="0"/>
          <w:marTop w:val="0"/>
          <w:marBottom w:val="0"/>
          <w:divBdr>
            <w:top w:val="none" w:sz="0" w:space="0" w:color="auto"/>
            <w:left w:val="none" w:sz="0" w:space="0" w:color="auto"/>
            <w:bottom w:val="none" w:sz="0" w:space="0" w:color="auto"/>
            <w:right w:val="none" w:sz="0" w:space="0" w:color="auto"/>
          </w:divBdr>
        </w:div>
        <w:div w:id="370496341">
          <w:marLeft w:val="0"/>
          <w:marRight w:val="0"/>
          <w:marTop w:val="0"/>
          <w:marBottom w:val="0"/>
          <w:divBdr>
            <w:top w:val="none" w:sz="0" w:space="0" w:color="auto"/>
            <w:left w:val="none" w:sz="0" w:space="0" w:color="auto"/>
            <w:bottom w:val="none" w:sz="0" w:space="0" w:color="auto"/>
            <w:right w:val="none" w:sz="0" w:space="0" w:color="auto"/>
          </w:divBdr>
        </w:div>
        <w:div w:id="396782339">
          <w:marLeft w:val="0"/>
          <w:marRight w:val="0"/>
          <w:marTop w:val="0"/>
          <w:marBottom w:val="0"/>
          <w:divBdr>
            <w:top w:val="none" w:sz="0" w:space="0" w:color="auto"/>
            <w:left w:val="none" w:sz="0" w:space="0" w:color="auto"/>
            <w:bottom w:val="none" w:sz="0" w:space="0" w:color="auto"/>
            <w:right w:val="none" w:sz="0" w:space="0" w:color="auto"/>
          </w:divBdr>
        </w:div>
        <w:div w:id="1885828371">
          <w:marLeft w:val="0"/>
          <w:marRight w:val="0"/>
          <w:marTop w:val="0"/>
          <w:marBottom w:val="0"/>
          <w:divBdr>
            <w:top w:val="none" w:sz="0" w:space="0" w:color="auto"/>
            <w:left w:val="none" w:sz="0" w:space="0" w:color="auto"/>
            <w:bottom w:val="none" w:sz="0" w:space="0" w:color="auto"/>
            <w:right w:val="none" w:sz="0" w:space="0" w:color="auto"/>
          </w:divBdr>
        </w:div>
        <w:div w:id="1975210188">
          <w:marLeft w:val="0"/>
          <w:marRight w:val="0"/>
          <w:marTop w:val="0"/>
          <w:marBottom w:val="0"/>
          <w:divBdr>
            <w:top w:val="none" w:sz="0" w:space="0" w:color="auto"/>
            <w:left w:val="none" w:sz="0" w:space="0" w:color="auto"/>
            <w:bottom w:val="none" w:sz="0" w:space="0" w:color="auto"/>
            <w:right w:val="none" w:sz="0" w:space="0" w:color="auto"/>
          </w:divBdr>
        </w:div>
        <w:div w:id="1208765105">
          <w:marLeft w:val="0"/>
          <w:marRight w:val="0"/>
          <w:marTop w:val="0"/>
          <w:marBottom w:val="0"/>
          <w:divBdr>
            <w:top w:val="none" w:sz="0" w:space="0" w:color="auto"/>
            <w:left w:val="none" w:sz="0" w:space="0" w:color="auto"/>
            <w:bottom w:val="none" w:sz="0" w:space="0" w:color="auto"/>
            <w:right w:val="none" w:sz="0" w:space="0" w:color="auto"/>
          </w:divBdr>
        </w:div>
        <w:div w:id="2105101871">
          <w:marLeft w:val="0"/>
          <w:marRight w:val="0"/>
          <w:marTop w:val="0"/>
          <w:marBottom w:val="0"/>
          <w:divBdr>
            <w:top w:val="none" w:sz="0" w:space="0" w:color="auto"/>
            <w:left w:val="none" w:sz="0" w:space="0" w:color="auto"/>
            <w:bottom w:val="none" w:sz="0" w:space="0" w:color="auto"/>
            <w:right w:val="none" w:sz="0" w:space="0" w:color="auto"/>
          </w:divBdr>
        </w:div>
        <w:div w:id="210579643">
          <w:marLeft w:val="0"/>
          <w:marRight w:val="0"/>
          <w:marTop w:val="0"/>
          <w:marBottom w:val="0"/>
          <w:divBdr>
            <w:top w:val="none" w:sz="0" w:space="0" w:color="auto"/>
            <w:left w:val="none" w:sz="0" w:space="0" w:color="auto"/>
            <w:bottom w:val="none" w:sz="0" w:space="0" w:color="auto"/>
            <w:right w:val="none" w:sz="0" w:space="0" w:color="auto"/>
          </w:divBdr>
        </w:div>
        <w:div w:id="1206018150">
          <w:marLeft w:val="0"/>
          <w:marRight w:val="0"/>
          <w:marTop w:val="0"/>
          <w:marBottom w:val="0"/>
          <w:divBdr>
            <w:top w:val="none" w:sz="0" w:space="0" w:color="auto"/>
            <w:left w:val="none" w:sz="0" w:space="0" w:color="auto"/>
            <w:bottom w:val="none" w:sz="0" w:space="0" w:color="auto"/>
            <w:right w:val="none" w:sz="0" w:space="0" w:color="auto"/>
          </w:divBdr>
        </w:div>
        <w:div w:id="1429035263">
          <w:marLeft w:val="0"/>
          <w:marRight w:val="0"/>
          <w:marTop w:val="0"/>
          <w:marBottom w:val="0"/>
          <w:divBdr>
            <w:top w:val="none" w:sz="0" w:space="0" w:color="auto"/>
            <w:left w:val="none" w:sz="0" w:space="0" w:color="auto"/>
            <w:bottom w:val="none" w:sz="0" w:space="0" w:color="auto"/>
            <w:right w:val="none" w:sz="0" w:space="0" w:color="auto"/>
          </w:divBdr>
        </w:div>
        <w:div w:id="1485051995">
          <w:marLeft w:val="0"/>
          <w:marRight w:val="0"/>
          <w:marTop w:val="0"/>
          <w:marBottom w:val="0"/>
          <w:divBdr>
            <w:top w:val="none" w:sz="0" w:space="0" w:color="auto"/>
            <w:left w:val="none" w:sz="0" w:space="0" w:color="auto"/>
            <w:bottom w:val="none" w:sz="0" w:space="0" w:color="auto"/>
            <w:right w:val="none" w:sz="0" w:space="0" w:color="auto"/>
          </w:divBdr>
        </w:div>
        <w:div w:id="1643268239">
          <w:marLeft w:val="0"/>
          <w:marRight w:val="0"/>
          <w:marTop w:val="0"/>
          <w:marBottom w:val="0"/>
          <w:divBdr>
            <w:top w:val="none" w:sz="0" w:space="0" w:color="auto"/>
            <w:left w:val="none" w:sz="0" w:space="0" w:color="auto"/>
            <w:bottom w:val="none" w:sz="0" w:space="0" w:color="auto"/>
            <w:right w:val="none" w:sz="0" w:space="0" w:color="auto"/>
          </w:divBdr>
        </w:div>
        <w:div w:id="1108039717">
          <w:marLeft w:val="0"/>
          <w:marRight w:val="0"/>
          <w:marTop w:val="0"/>
          <w:marBottom w:val="0"/>
          <w:divBdr>
            <w:top w:val="none" w:sz="0" w:space="0" w:color="auto"/>
            <w:left w:val="none" w:sz="0" w:space="0" w:color="auto"/>
            <w:bottom w:val="none" w:sz="0" w:space="0" w:color="auto"/>
            <w:right w:val="none" w:sz="0" w:space="0" w:color="auto"/>
          </w:divBdr>
        </w:div>
        <w:div w:id="373967245">
          <w:marLeft w:val="0"/>
          <w:marRight w:val="0"/>
          <w:marTop w:val="0"/>
          <w:marBottom w:val="0"/>
          <w:divBdr>
            <w:top w:val="none" w:sz="0" w:space="0" w:color="auto"/>
            <w:left w:val="none" w:sz="0" w:space="0" w:color="auto"/>
            <w:bottom w:val="none" w:sz="0" w:space="0" w:color="auto"/>
            <w:right w:val="none" w:sz="0" w:space="0" w:color="auto"/>
          </w:divBdr>
        </w:div>
        <w:div w:id="966667671">
          <w:marLeft w:val="0"/>
          <w:marRight w:val="0"/>
          <w:marTop w:val="0"/>
          <w:marBottom w:val="0"/>
          <w:divBdr>
            <w:top w:val="none" w:sz="0" w:space="0" w:color="auto"/>
            <w:left w:val="none" w:sz="0" w:space="0" w:color="auto"/>
            <w:bottom w:val="none" w:sz="0" w:space="0" w:color="auto"/>
            <w:right w:val="none" w:sz="0" w:space="0" w:color="auto"/>
          </w:divBdr>
        </w:div>
        <w:div w:id="284969802">
          <w:marLeft w:val="0"/>
          <w:marRight w:val="0"/>
          <w:marTop w:val="0"/>
          <w:marBottom w:val="0"/>
          <w:divBdr>
            <w:top w:val="none" w:sz="0" w:space="0" w:color="auto"/>
            <w:left w:val="none" w:sz="0" w:space="0" w:color="auto"/>
            <w:bottom w:val="none" w:sz="0" w:space="0" w:color="auto"/>
            <w:right w:val="none" w:sz="0" w:space="0" w:color="auto"/>
          </w:divBdr>
        </w:div>
        <w:div w:id="50540110">
          <w:marLeft w:val="0"/>
          <w:marRight w:val="0"/>
          <w:marTop w:val="0"/>
          <w:marBottom w:val="0"/>
          <w:divBdr>
            <w:top w:val="none" w:sz="0" w:space="0" w:color="auto"/>
            <w:left w:val="none" w:sz="0" w:space="0" w:color="auto"/>
            <w:bottom w:val="none" w:sz="0" w:space="0" w:color="auto"/>
            <w:right w:val="none" w:sz="0" w:space="0" w:color="auto"/>
          </w:divBdr>
        </w:div>
        <w:div w:id="212619890">
          <w:marLeft w:val="0"/>
          <w:marRight w:val="0"/>
          <w:marTop w:val="0"/>
          <w:marBottom w:val="0"/>
          <w:divBdr>
            <w:top w:val="none" w:sz="0" w:space="0" w:color="auto"/>
            <w:left w:val="none" w:sz="0" w:space="0" w:color="auto"/>
            <w:bottom w:val="none" w:sz="0" w:space="0" w:color="auto"/>
            <w:right w:val="none" w:sz="0" w:space="0" w:color="auto"/>
          </w:divBdr>
        </w:div>
        <w:div w:id="2126340224">
          <w:marLeft w:val="0"/>
          <w:marRight w:val="0"/>
          <w:marTop w:val="0"/>
          <w:marBottom w:val="0"/>
          <w:divBdr>
            <w:top w:val="none" w:sz="0" w:space="0" w:color="auto"/>
            <w:left w:val="none" w:sz="0" w:space="0" w:color="auto"/>
            <w:bottom w:val="none" w:sz="0" w:space="0" w:color="auto"/>
            <w:right w:val="none" w:sz="0" w:space="0" w:color="auto"/>
          </w:divBdr>
        </w:div>
        <w:div w:id="686717135">
          <w:marLeft w:val="0"/>
          <w:marRight w:val="0"/>
          <w:marTop w:val="0"/>
          <w:marBottom w:val="0"/>
          <w:divBdr>
            <w:top w:val="none" w:sz="0" w:space="0" w:color="auto"/>
            <w:left w:val="none" w:sz="0" w:space="0" w:color="auto"/>
            <w:bottom w:val="none" w:sz="0" w:space="0" w:color="auto"/>
            <w:right w:val="none" w:sz="0" w:space="0" w:color="auto"/>
          </w:divBdr>
        </w:div>
        <w:div w:id="1167746209">
          <w:marLeft w:val="0"/>
          <w:marRight w:val="0"/>
          <w:marTop w:val="0"/>
          <w:marBottom w:val="0"/>
          <w:divBdr>
            <w:top w:val="none" w:sz="0" w:space="0" w:color="auto"/>
            <w:left w:val="none" w:sz="0" w:space="0" w:color="auto"/>
            <w:bottom w:val="none" w:sz="0" w:space="0" w:color="auto"/>
            <w:right w:val="none" w:sz="0" w:space="0" w:color="auto"/>
          </w:divBdr>
        </w:div>
        <w:div w:id="590819428">
          <w:marLeft w:val="0"/>
          <w:marRight w:val="0"/>
          <w:marTop w:val="0"/>
          <w:marBottom w:val="0"/>
          <w:divBdr>
            <w:top w:val="none" w:sz="0" w:space="0" w:color="auto"/>
            <w:left w:val="none" w:sz="0" w:space="0" w:color="auto"/>
            <w:bottom w:val="none" w:sz="0" w:space="0" w:color="auto"/>
            <w:right w:val="none" w:sz="0" w:space="0" w:color="auto"/>
          </w:divBdr>
        </w:div>
        <w:div w:id="1913157715">
          <w:marLeft w:val="0"/>
          <w:marRight w:val="0"/>
          <w:marTop w:val="0"/>
          <w:marBottom w:val="0"/>
          <w:divBdr>
            <w:top w:val="none" w:sz="0" w:space="0" w:color="auto"/>
            <w:left w:val="none" w:sz="0" w:space="0" w:color="auto"/>
            <w:bottom w:val="none" w:sz="0" w:space="0" w:color="auto"/>
            <w:right w:val="none" w:sz="0" w:space="0" w:color="auto"/>
          </w:divBdr>
        </w:div>
        <w:div w:id="691221411">
          <w:marLeft w:val="0"/>
          <w:marRight w:val="0"/>
          <w:marTop w:val="0"/>
          <w:marBottom w:val="0"/>
          <w:divBdr>
            <w:top w:val="none" w:sz="0" w:space="0" w:color="auto"/>
            <w:left w:val="none" w:sz="0" w:space="0" w:color="auto"/>
            <w:bottom w:val="none" w:sz="0" w:space="0" w:color="auto"/>
            <w:right w:val="none" w:sz="0" w:space="0" w:color="auto"/>
          </w:divBdr>
        </w:div>
        <w:div w:id="277225502">
          <w:marLeft w:val="0"/>
          <w:marRight w:val="0"/>
          <w:marTop w:val="0"/>
          <w:marBottom w:val="0"/>
          <w:divBdr>
            <w:top w:val="none" w:sz="0" w:space="0" w:color="auto"/>
            <w:left w:val="none" w:sz="0" w:space="0" w:color="auto"/>
            <w:bottom w:val="none" w:sz="0" w:space="0" w:color="auto"/>
            <w:right w:val="none" w:sz="0" w:space="0" w:color="auto"/>
          </w:divBdr>
        </w:div>
        <w:div w:id="978805131">
          <w:marLeft w:val="0"/>
          <w:marRight w:val="0"/>
          <w:marTop w:val="0"/>
          <w:marBottom w:val="0"/>
          <w:divBdr>
            <w:top w:val="none" w:sz="0" w:space="0" w:color="auto"/>
            <w:left w:val="none" w:sz="0" w:space="0" w:color="auto"/>
            <w:bottom w:val="none" w:sz="0" w:space="0" w:color="auto"/>
            <w:right w:val="none" w:sz="0" w:space="0" w:color="auto"/>
          </w:divBdr>
        </w:div>
        <w:div w:id="1042629688">
          <w:marLeft w:val="0"/>
          <w:marRight w:val="0"/>
          <w:marTop w:val="0"/>
          <w:marBottom w:val="0"/>
          <w:divBdr>
            <w:top w:val="none" w:sz="0" w:space="0" w:color="auto"/>
            <w:left w:val="none" w:sz="0" w:space="0" w:color="auto"/>
            <w:bottom w:val="none" w:sz="0" w:space="0" w:color="auto"/>
            <w:right w:val="none" w:sz="0" w:space="0" w:color="auto"/>
          </w:divBdr>
        </w:div>
        <w:div w:id="1968004303">
          <w:marLeft w:val="0"/>
          <w:marRight w:val="0"/>
          <w:marTop w:val="0"/>
          <w:marBottom w:val="0"/>
          <w:divBdr>
            <w:top w:val="none" w:sz="0" w:space="0" w:color="auto"/>
            <w:left w:val="none" w:sz="0" w:space="0" w:color="auto"/>
            <w:bottom w:val="none" w:sz="0" w:space="0" w:color="auto"/>
            <w:right w:val="none" w:sz="0" w:space="0" w:color="auto"/>
          </w:divBdr>
        </w:div>
        <w:div w:id="118645411">
          <w:marLeft w:val="0"/>
          <w:marRight w:val="0"/>
          <w:marTop w:val="0"/>
          <w:marBottom w:val="0"/>
          <w:divBdr>
            <w:top w:val="none" w:sz="0" w:space="0" w:color="auto"/>
            <w:left w:val="none" w:sz="0" w:space="0" w:color="auto"/>
            <w:bottom w:val="none" w:sz="0" w:space="0" w:color="auto"/>
            <w:right w:val="none" w:sz="0" w:space="0" w:color="auto"/>
          </w:divBdr>
        </w:div>
        <w:div w:id="465926651">
          <w:marLeft w:val="0"/>
          <w:marRight w:val="0"/>
          <w:marTop w:val="0"/>
          <w:marBottom w:val="0"/>
          <w:divBdr>
            <w:top w:val="none" w:sz="0" w:space="0" w:color="auto"/>
            <w:left w:val="none" w:sz="0" w:space="0" w:color="auto"/>
            <w:bottom w:val="none" w:sz="0" w:space="0" w:color="auto"/>
            <w:right w:val="none" w:sz="0" w:space="0" w:color="auto"/>
          </w:divBdr>
        </w:div>
        <w:div w:id="904872253">
          <w:marLeft w:val="0"/>
          <w:marRight w:val="0"/>
          <w:marTop w:val="0"/>
          <w:marBottom w:val="0"/>
          <w:divBdr>
            <w:top w:val="none" w:sz="0" w:space="0" w:color="auto"/>
            <w:left w:val="none" w:sz="0" w:space="0" w:color="auto"/>
            <w:bottom w:val="none" w:sz="0" w:space="0" w:color="auto"/>
            <w:right w:val="none" w:sz="0" w:space="0" w:color="auto"/>
          </w:divBdr>
        </w:div>
        <w:div w:id="1807892067">
          <w:marLeft w:val="0"/>
          <w:marRight w:val="0"/>
          <w:marTop w:val="0"/>
          <w:marBottom w:val="0"/>
          <w:divBdr>
            <w:top w:val="none" w:sz="0" w:space="0" w:color="auto"/>
            <w:left w:val="none" w:sz="0" w:space="0" w:color="auto"/>
            <w:bottom w:val="none" w:sz="0" w:space="0" w:color="auto"/>
            <w:right w:val="none" w:sz="0" w:space="0" w:color="auto"/>
          </w:divBdr>
        </w:div>
        <w:div w:id="1696348732">
          <w:marLeft w:val="0"/>
          <w:marRight w:val="0"/>
          <w:marTop w:val="0"/>
          <w:marBottom w:val="0"/>
          <w:divBdr>
            <w:top w:val="none" w:sz="0" w:space="0" w:color="auto"/>
            <w:left w:val="none" w:sz="0" w:space="0" w:color="auto"/>
            <w:bottom w:val="none" w:sz="0" w:space="0" w:color="auto"/>
            <w:right w:val="none" w:sz="0" w:space="0" w:color="auto"/>
          </w:divBdr>
        </w:div>
        <w:div w:id="799570426">
          <w:marLeft w:val="0"/>
          <w:marRight w:val="0"/>
          <w:marTop w:val="0"/>
          <w:marBottom w:val="0"/>
          <w:divBdr>
            <w:top w:val="none" w:sz="0" w:space="0" w:color="auto"/>
            <w:left w:val="none" w:sz="0" w:space="0" w:color="auto"/>
            <w:bottom w:val="none" w:sz="0" w:space="0" w:color="auto"/>
            <w:right w:val="none" w:sz="0" w:space="0" w:color="auto"/>
          </w:divBdr>
        </w:div>
        <w:div w:id="451630403">
          <w:marLeft w:val="0"/>
          <w:marRight w:val="0"/>
          <w:marTop w:val="0"/>
          <w:marBottom w:val="0"/>
          <w:divBdr>
            <w:top w:val="none" w:sz="0" w:space="0" w:color="auto"/>
            <w:left w:val="none" w:sz="0" w:space="0" w:color="auto"/>
            <w:bottom w:val="none" w:sz="0" w:space="0" w:color="auto"/>
            <w:right w:val="none" w:sz="0" w:space="0" w:color="auto"/>
          </w:divBdr>
        </w:div>
        <w:div w:id="2124377165">
          <w:marLeft w:val="0"/>
          <w:marRight w:val="0"/>
          <w:marTop w:val="0"/>
          <w:marBottom w:val="0"/>
          <w:divBdr>
            <w:top w:val="none" w:sz="0" w:space="0" w:color="auto"/>
            <w:left w:val="none" w:sz="0" w:space="0" w:color="auto"/>
            <w:bottom w:val="none" w:sz="0" w:space="0" w:color="auto"/>
            <w:right w:val="none" w:sz="0" w:space="0" w:color="auto"/>
          </w:divBdr>
        </w:div>
        <w:div w:id="1625229035">
          <w:marLeft w:val="0"/>
          <w:marRight w:val="0"/>
          <w:marTop w:val="0"/>
          <w:marBottom w:val="0"/>
          <w:divBdr>
            <w:top w:val="none" w:sz="0" w:space="0" w:color="auto"/>
            <w:left w:val="none" w:sz="0" w:space="0" w:color="auto"/>
            <w:bottom w:val="none" w:sz="0" w:space="0" w:color="auto"/>
            <w:right w:val="none" w:sz="0" w:space="0" w:color="auto"/>
          </w:divBdr>
        </w:div>
        <w:div w:id="2121561896">
          <w:marLeft w:val="0"/>
          <w:marRight w:val="0"/>
          <w:marTop w:val="0"/>
          <w:marBottom w:val="0"/>
          <w:divBdr>
            <w:top w:val="none" w:sz="0" w:space="0" w:color="auto"/>
            <w:left w:val="none" w:sz="0" w:space="0" w:color="auto"/>
            <w:bottom w:val="none" w:sz="0" w:space="0" w:color="auto"/>
            <w:right w:val="none" w:sz="0" w:space="0" w:color="auto"/>
          </w:divBdr>
        </w:div>
        <w:div w:id="1934850823">
          <w:marLeft w:val="0"/>
          <w:marRight w:val="0"/>
          <w:marTop w:val="0"/>
          <w:marBottom w:val="0"/>
          <w:divBdr>
            <w:top w:val="none" w:sz="0" w:space="0" w:color="auto"/>
            <w:left w:val="none" w:sz="0" w:space="0" w:color="auto"/>
            <w:bottom w:val="none" w:sz="0" w:space="0" w:color="auto"/>
            <w:right w:val="none" w:sz="0" w:space="0" w:color="auto"/>
          </w:divBdr>
        </w:div>
        <w:div w:id="1738046493">
          <w:marLeft w:val="0"/>
          <w:marRight w:val="0"/>
          <w:marTop w:val="0"/>
          <w:marBottom w:val="0"/>
          <w:divBdr>
            <w:top w:val="none" w:sz="0" w:space="0" w:color="auto"/>
            <w:left w:val="none" w:sz="0" w:space="0" w:color="auto"/>
            <w:bottom w:val="none" w:sz="0" w:space="0" w:color="auto"/>
            <w:right w:val="none" w:sz="0" w:space="0" w:color="auto"/>
          </w:divBdr>
        </w:div>
        <w:div w:id="137191844">
          <w:marLeft w:val="0"/>
          <w:marRight w:val="0"/>
          <w:marTop w:val="0"/>
          <w:marBottom w:val="0"/>
          <w:divBdr>
            <w:top w:val="none" w:sz="0" w:space="0" w:color="auto"/>
            <w:left w:val="none" w:sz="0" w:space="0" w:color="auto"/>
            <w:bottom w:val="none" w:sz="0" w:space="0" w:color="auto"/>
            <w:right w:val="none" w:sz="0" w:space="0" w:color="auto"/>
          </w:divBdr>
        </w:div>
        <w:div w:id="1852990626">
          <w:marLeft w:val="0"/>
          <w:marRight w:val="0"/>
          <w:marTop w:val="0"/>
          <w:marBottom w:val="0"/>
          <w:divBdr>
            <w:top w:val="none" w:sz="0" w:space="0" w:color="auto"/>
            <w:left w:val="none" w:sz="0" w:space="0" w:color="auto"/>
            <w:bottom w:val="none" w:sz="0" w:space="0" w:color="auto"/>
            <w:right w:val="none" w:sz="0" w:space="0" w:color="auto"/>
          </w:divBdr>
        </w:div>
        <w:div w:id="1224946014">
          <w:marLeft w:val="0"/>
          <w:marRight w:val="0"/>
          <w:marTop w:val="0"/>
          <w:marBottom w:val="0"/>
          <w:divBdr>
            <w:top w:val="none" w:sz="0" w:space="0" w:color="auto"/>
            <w:left w:val="none" w:sz="0" w:space="0" w:color="auto"/>
            <w:bottom w:val="none" w:sz="0" w:space="0" w:color="auto"/>
            <w:right w:val="none" w:sz="0" w:space="0" w:color="auto"/>
          </w:divBdr>
        </w:div>
        <w:div w:id="1752891462">
          <w:marLeft w:val="0"/>
          <w:marRight w:val="0"/>
          <w:marTop w:val="0"/>
          <w:marBottom w:val="0"/>
          <w:divBdr>
            <w:top w:val="none" w:sz="0" w:space="0" w:color="auto"/>
            <w:left w:val="none" w:sz="0" w:space="0" w:color="auto"/>
            <w:bottom w:val="none" w:sz="0" w:space="0" w:color="auto"/>
            <w:right w:val="none" w:sz="0" w:space="0" w:color="auto"/>
          </w:divBdr>
        </w:div>
        <w:div w:id="123013462">
          <w:marLeft w:val="0"/>
          <w:marRight w:val="0"/>
          <w:marTop w:val="0"/>
          <w:marBottom w:val="0"/>
          <w:divBdr>
            <w:top w:val="none" w:sz="0" w:space="0" w:color="auto"/>
            <w:left w:val="none" w:sz="0" w:space="0" w:color="auto"/>
            <w:bottom w:val="none" w:sz="0" w:space="0" w:color="auto"/>
            <w:right w:val="none" w:sz="0" w:space="0" w:color="auto"/>
          </w:divBdr>
        </w:div>
        <w:div w:id="888806840">
          <w:marLeft w:val="0"/>
          <w:marRight w:val="0"/>
          <w:marTop w:val="0"/>
          <w:marBottom w:val="0"/>
          <w:divBdr>
            <w:top w:val="none" w:sz="0" w:space="0" w:color="auto"/>
            <w:left w:val="none" w:sz="0" w:space="0" w:color="auto"/>
            <w:bottom w:val="none" w:sz="0" w:space="0" w:color="auto"/>
            <w:right w:val="none" w:sz="0" w:space="0" w:color="auto"/>
          </w:divBdr>
        </w:div>
        <w:div w:id="991518223">
          <w:marLeft w:val="0"/>
          <w:marRight w:val="0"/>
          <w:marTop w:val="0"/>
          <w:marBottom w:val="0"/>
          <w:divBdr>
            <w:top w:val="none" w:sz="0" w:space="0" w:color="auto"/>
            <w:left w:val="none" w:sz="0" w:space="0" w:color="auto"/>
            <w:bottom w:val="none" w:sz="0" w:space="0" w:color="auto"/>
            <w:right w:val="none" w:sz="0" w:space="0" w:color="auto"/>
          </w:divBdr>
        </w:div>
        <w:div w:id="89090229">
          <w:marLeft w:val="0"/>
          <w:marRight w:val="0"/>
          <w:marTop w:val="0"/>
          <w:marBottom w:val="0"/>
          <w:divBdr>
            <w:top w:val="none" w:sz="0" w:space="0" w:color="auto"/>
            <w:left w:val="none" w:sz="0" w:space="0" w:color="auto"/>
            <w:bottom w:val="none" w:sz="0" w:space="0" w:color="auto"/>
            <w:right w:val="none" w:sz="0" w:space="0" w:color="auto"/>
          </w:divBdr>
        </w:div>
        <w:div w:id="420221959">
          <w:marLeft w:val="0"/>
          <w:marRight w:val="0"/>
          <w:marTop w:val="0"/>
          <w:marBottom w:val="0"/>
          <w:divBdr>
            <w:top w:val="none" w:sz="0" w:space="0" w:color="auto"/>
            <w:left w:val="none" w:sz="0" w:space="0" w:color="auto"/>
            <w:bottom w:val="none" w:sz="0" w:space="0" w:color="auto"/>
            <w:right w:val="none" w:sz="0" w:space="0" w:color="auto"/>
          </w:divBdr>
        </w:div>
        <w:div w:id="1713656036">
          <w:marLeft w:val="0"/>
          <w:marRight w:val="0"/>
          <w:marTop w:val="0"/>
          <w:marBottom w:val="0"/>
          <w:divBdr>
            <w:top w:val="none" w:sz="0" w:space="0" w:color="auto"/>
            <w:left w:val="none" w:sz="0" w:space="0" w:color="auto"/>
            <w:bottom w:val="none" w:sz="0" w:space="0" w:color="auto"/>
            <w:right w:val="none" w:sz="0" w:space="0" w:color="auto"/>
          </w:divBdr>
        </w:div>
        <w:div w:id="1423867262">
          <w:marLeft w:val="0"/>
          <w:marRight w:val="0"/>
          <w:marTop w:val="0"/>
          <w:marBottom w:val="0"/>
          <w:divBdr>
            <w:top w:val="none" w:sz="0" w:space="0" w:color="auto"/>
            <w:left w:val="none" w:sz="0" w:space="0" w:color="auto"/>
            <w:bottom w:val="none" w:sz="0" w:space="0" w:color="auto"/>
            <w:right w:val="none" w:sz="0" w:space="0" w:color="auto"/>
          </w:divBdr>
        </w:div>
        <w:div w:id="1779179546">
          <w:marLeft w:val="0"/>
          <w:marRight w:val="0"/>
          <w:marTop w:val="0"/>
          <w:marBottom w:val="0"/>
          <w:divBdr>
            <w:top w:val="none" w:sz="0" w:space="0" w:color="auto"/>
            <w:left w:val="none" w:sz="0" w:space="0" w:color="auto"/>
            <w:bottom w:val="none" w:sz="0" w:space="0" w:color="auto"/>
            <w:right w:val="none" w:sz="0" w:space="0" w:color="auto"/>
          </w:divBdr>
        </w:div>
        <w:div w:id="369038890">
          <w:marLeft w:val="0"/>
          <w:marRight w:val="0"/>
          <w:marTop w:val="0"/>
          <w:marBottom w:val="0"/>
          <w:divBdr>
            <w:top w:val="none" w:sz="0" w:space="0" w:color="auto"/>
            <w:left w:val="none" w:sz="0" w:space="0" w:color="auto"/>
            <w:bottom w:val="none" w:sz="0" w:space="0" w:color="auto"/>
            <w:right w:val="none" w:sz="0" w:space="0" w:color="auto"/>
          </w:divBdr>
        </w:div>
        <w:div w:id="1436514171">
          <w:marLeft w:val="0"/>
          <w:marRight w:val="0"/>
          <w:marTop w:val="0"/>
          <w:marBottom w:val="0"/>
          <w:divBdr>
            <w:top w:val="none" w:sz="0" w:space="0" w:color="auto"/>
            <w:left w:val="none" w:sz="0" w:space="0" w:color="auto"/>
            <w:bottom w:val="none" w:sz="0" w:space="0" w:color="auto"/>
            <w:right w:val="none" w:sz="0" w:space="0" w:color="auto"/>
          </w:divBdr>
        </w:div>
        <w:div w:id="1439836307">
          <w:marLeft w:val="0"/>
          <w:marRight w:val="0"/>
          <w:marTop w:val="0"/>
          <w:marBottom w:val="0"/>
          <w:divBdr>
            <w:top w:val="none" w:sz="0" w:space="0" w:color="auto"/>
            <w:left w:val="none" w:sz="0" w:space="0" w:color="auto"/>
            <w:bottom w:val="none" w:sz="0" w:space="0" w:color="auto"/>
            <w:right w:val="none" w:sz="0" w:space="0" w:color="auto"/>
          </w:divBdr>
        </w:div>
        <w:div w:id="316416846">
          <w:marLeft w:val="0"/>
          <w:marRight w:val="0"/>
          <w:marTop w:val="0"/>
          <w:marBottom w:val="0"/>
          <w:divBdr>
            <w:top w:val="none" w:sz="0" w:space="0" w:color="auto"/>
            <w:left w:val="none" w:sz="0" w:space="0" w:color="auto"/>
            <w:bottom w:val="none" w:sz="0" w:space="0" w:color="auto"/>
            <w:right w:val="none" w:sz="0" w:space="0" w:color="auto"/>
          </w:divBdr>
        </w:div>
        <w:div w:id="1843004320">
          <w:marLeft w:val="0"/>
          <w:marRight w:val="0"/>
          <w:marTop w:val="0"/>
          <w:marBottom w:val="0"/>
          <w:divBdr>
            <w:top w:val="none" w:sz="0" w:space="0" w:color="auto"/>
            <w:left w:val="none" w:sz="0" w:space="0" w:color="auto"/>
            <w:bottom w:val="none" w:sz="0" w:space="0" w:color="auto"/>
            <w:right w:val="none" w:sz="0" w:space="0" w:color="auto"/>
          </w:divBdr>
        </w:div>
        <w:div w:id="360515666">
          <w:marLeft w:val="0"/>
          <w:marRight w:val="0"/>
          <w:marTop w:val="0"/>
          <w:marBottom w:val="0"/>
          <w:divBdr>
            <w:top w:val="none" w:sz="0" w:space="0" w:color="auto"/>
            <w:left w:val="none" w:sz="0" w:space="0" w:color="auto"/>
            <w:bottom w:val="none" w:sz="0" w:space="0" w:color="auto"/>
            <w:right w:val="none" w:sz="0" w:space="0" w:color="auto"/>
          </w:divBdr>
        </w:div>
        <w:div w:id="1247349546">
          <w:marLeft w:val="0"/>
          <w:marRight w:val="0"/>
          <w:marTop w:val="0"/>
          <w:marBottom w:val="0"/>
          <w:divBdr>
            <w:top w:val="none" w:sz="0" w:space="0" w:color="auto"/>
            <w:left w:val="none" w:sz="0" w:space="0" w:color="auto"/>
            <w:bottom w:val="none" w:sz="0" w:space="0" w:color="auto"/>
            <w:right w:val="none" w:sz="0" w:space="0" w:color="auto"/>
          </w:divBdr>
        </w:div>
        <w:div w:id="1402483297">
          <w:marLeft w:val="0"/>
          <w:marRight w:val="0"/>
          <w:marTop w:val="0"/>
          <w:marBottom w:val="0"/>
          <w:divBdr>
            <w:top w:val="none" w:sz="0" w:space="0" w:color="auto"/>
            <w:left w:val="none" w:sz="0" w:space="0" w:color="auto"/>
            <w:bottom w:val="none" w:sz="0" w:space="0" w:color="auto"/>
            <w:right w:val="none" w:sz="0" w:space="0" w:color="auto"/>
          </w:divBdr>
        </w:div>
        <w:div w:id="1411275611">
          <w:marLeft w:val="0"/>
          <w:marRight w:val="0"/>
          <w:marTop w:val="0"/>
          <w:marBottom w:val="0"/>
          <w:divBdr>
            <w:top w:val="none" w:sz="0" w:space="0" w:color="auto"/>
            <w:left w:val="none" w:sz="0" w:space="0" w:color="auto"/>
            <w:bottom w:val="none" w:sz="0" w:space="0" w:color="auto"/>
            <w:right w:val="none" w:sz="0" w:space="0" w:color="auto"/>
          </w:divBdr>
        </w:div>
        <w:div w:id="1560751856">
          <w:marLeft w:val="0"/>
          <w:marRight w:val="0"/>
          <w:marTop w:val="0"/>
          <w:marBottom w:val="0"/>
          <w:divBdr>
            <w:top w:val="none" w:sz="0" w:space="0" w:color="auto"/>
            <w:left w:val="none" w:sz="0" w:space="0" w:color="auto"/>
            <w:bottom w:val="none" w:sz="0" w:space="0" w:color="auto"/>
            <w:right w:val="none" w:sz="0" w:space="0" w:color="auto"/>
          </w:divBdr>
        </w:div>
        <w:div w:id="1132792119">
          <w:marLeft w:val="0"/>
          <w:marRight w:val="0"/>
          <w:marTop w:val="0"/>
          <w:marBottom w:val="0"/>
          <w:divBdr>
            <w:top w:val="none" w:sz="0" w:space="0" w:color="auto"/>
            <w:left w:val="none" w:sz="0" w:space="0" w:color="auto"/>
            <w:bottom w:val="none" w:sz="0" w:space="0" w:color="auto"/>
            <w:right w:val="none" w:sz="0" w:space="0" w:color="auto"/>
          </w:divBdr>
        </w:div>
        <w:div w:id="2099405678">
          <w:marLeft w:val="0"/>
          <w:marRight w:val="0"/>
          <w:marTop w:val="0"/>
          <w:marBottom w:val="0"/>
          <w:divBdr>
            <w:top w:val="none" w:sz="0" w:space="0" w:color="auto"/>
            <w:left w:val="none" w:sz="0" w:space="0" w:color="auto"/>
            <w:bottom w:val="none" w:sz="0" w:space="0" w:color="auto"/>
            <w:right w:val="none" w:sz="0" w:space="0" w:color="auto"/>
          </w:divBdr>
        </w:div>
        <w:div w:id="380403506">
          <w:marLeft w:val="0"/>
          <w:marRight w:val="0"/>
          <w:marTop w:val="0"/>
          <w:marBottom w:val="0"/>
          <w:divBdr>
            <w:top w:val="none" w:sz="0" w:space="0" w:color="auto"/>
            <w:left w:val="none" w:sz="0" w:space="0" w:color="auto"/>
            <w:bottom w:val="none" w:sz="0" w:space="0" w:color="auto"/>
            <w:right w:val="none" w:sz="0" w:space="0" w:color="auto"/>
          </w:divBdr>
        </w:div>
        <w:div w:id="1111127818">
          <w:marLeft w:val="0"/>
          <w:marRight w:val="0"/>
          <w:marTop w:val="0"/>
          <w:marBottom w:val="0"/>
          <w:divBdr>
            <w:top w:val="none" w:sz="0" w:space="0" w:color="auto"/>
            <w:left w:val="none" w:sz="0" w:space="0" w:color="auto"/>
            <w:bottom w:val="none" w:sz="0" w:space="0" w:color="auto"/>
            <w:right w:val="none" w:sz="0" w:space="0" w:color="auto"/>
          </w:divBdr>
        </w:div>
        <w:div w:id="1666277391">
          <w:marLeft w:val="0"/>
          <w:marRight w:val="0"/>
          <w:marTop w:val="0"/>
          <w:marBottom w:val="0"/>
          <w:divBdr>
            <w:top w:val="none" w:sz="0" w:space="0" w:color="auto"/>
            <w:left w:val="none" w:sz="0" w:space="0" w:color="auto"/>
            <w:bottom w:val="none" w:sz="0" w:space="0" w:color="auto"/>
            <w:right w:val="none" w:sz="0" w:space="0" w:color="auto"/>
          </w:divBdr>
        </w:div>
        <w:div w:id="1205605655">
          <w:marLeft w:val="0"/>
          <w:marRight w:val="0"/>
          <w:marTop w:val="0"/>
          <w:marBottom w:val="0"/>
          <w:divBdr>
            <w:top w:val="none" w:sz="0" w:space="0" w:color="auto"/>
            <w:left w:val="none" w:sz="0" w:space="0" w:color="auto"/>
            <w:bottom w:val="none" w:sz="0" w:space="0" w:color="auto"/>
            <w:right w:val="none" w:sz="0" w:space="0" w:color="auto"/>
          </w:divBdr>
        </w:div>
        <w:div w:id="362940914">
          <w:marLeft w:val="0"/>
          <w:marRight w:val="0"/>
          <w:marTop w:val="0"/>
          <w:marBottom w:val="0"/>
          <w:divBdr>
            <w:top w:val="none" w:sz="0" w:space="0" w:color="auto"/>
            <w:left w:val="none" w:sz="0" w:space="0" w:color="auto"/>
            <w:bottom w:val="none" w:sz="0" w:space="0" w:color="auto"/>
            <w:right w:val="none" w:sz="0" w:space="0" w:color="auto"/>
          </w:divBdr>
        </w:div>
        <w:div w:id="238713332">
          <w:marLeft w:val="0"/>
          <w:marRight w:val="0"/>
          <w:marTop w:val="0"/>
          <w:marBottom w:val="0"/>
          <w:divBdr>
            <w:top w:val="none" w:sz="0" w:space="0" w:color="auto"/>
            <w:left w:val="none" w:sz="0" w:space="0" w:color="auto"/>
            <w:bottom w:val="none" w:sz="0" w:space="0" w:color="auto"/>
            <w:right w:val="none" w:sz="0" w:space="0" w:color="auto"/>
          </w:divBdr>
        </w:div>
        <w:div w:id="760562684">
          <w:marLeft w:val="0"/>
          <w:marRight w:val="0"/>
          <w:marTop w:val="0"/>
          <w:marBottom w:val="0"/>
          <w:divBdr>
            <w:top w:val="none" w:sz="0" w:space="0" w:color="auto"/>
            <w:left w:val="none" w:sz="0" w:space="0" w:color="auto"/>
            <w:bottom w:val="none" w:sz="0" w:space="0" w:color="auto"/>
            <w:right w:val="none" w:sz="0" w:space="0" w:color="auto"/>
          </w:divBdr>
        </w:div>
        <w:div w:id="776756328">
          <w:marLeft w:val="0"/>
          <w:marRight w:val="0"/>
          <w:marTop w:val="0"/>
          <w:marBottom w:val="0"/>
          <w:divBdr>
            <w:top w:val="none" w:sz="0" w:space="0" w:color="auto"/>
            <w:left w:val="none" w:sz="0" w:space="0" w:color="auto"/>
            <w:bottom w:val="none" w:sz="0" w:space="0" w:color="auto"/>
            <w:right w:val="none" w:sz="0" w:space="0" w:color="auto"/>
          </w:divBdr>
        </w:div>
        <w:div w:id="377441569">
          <w:marLeft w:val="0"/>
          <w:marRight w:val="0"/>
          <w:marTop w:val="0"/>
          <w:marBottom w:val="0"/>
          <w:divBdr>
            <w:top w:val="none" w:sz="0" w:space="0" w:color="auto"/>
            <w:left w:val="none" w:sz="0" w:space="0" w:color="auto"/>
            <w:bottom w:val="none" w:sz="0" w:space="0" w:color="auto"/>
            <w:right w:val="none" w:sz="0" w:space="0" w:color="auto"/>
          </w:divBdr>
        </w:div>
        <w:div w:id="149759070">
          <w:marLeft w:val="0"/>
          <w:marRight w:val="0"/>
          <w:marTop w:val="0"/>
          <w:marBottom w:val="0"/>
          <w:divBdr>
            <w:top w:val="none" w:sz="0" w:space="0" w:color="auto"/>
            <w:left w:val="none" w:sz="0" w:space="0" w:color="auto"/>
            <w:bottom w:val="none" w:sz="0" w:space="0" w:color="auto"/>
            <w:right w:val="none" w:sz="0" w:space="0" w:color="auto"/>
          </w:divBdr>
        </w:div>
        <w:div w:id="783039299">
          <w:marLeft w:val="0"/>
          <w:marRight w:val="0"/>
          <w:marTop w:val="0"/>
          <w:marBottom w:val="0"/>
          <w:divBdr>
            <w:top w:val="none" w:sz="0" w:space="0" w:color="auto"/>
            <w:left w:val="none" w:sz="0" w:space="0" w:color="auto"/>
            <w:bottom w:val="none" w:sz="0" w:space="0" w:color="auto"/>
            <w:right w:val="none" w:sz="0" w:space="0" w:color="auto"/>
          </w:divBdr>
        </w:div>
        <w:div w:id="467865105">
          <w:marLeft w:val="0"/>
          <w:marRight w:val="0"/>
          <w:marTop w:val="0"/>
          <w:marBottom w:val="0"/>
          <w:divBdr>
            <w:top w:val="none" w:sz="0" w:space="0" w:color="auto"/>
            <w:left w:val="none" w:sz="0" w:space="0" w:color="auto"/>
            <w:bottom w:val="none" w:sz="0" w:space="0" w:color="auto"/>
            <w:right w:val="none" w:sz="0" w:space="0" w:color="auto"/>
          </w:divBdr>
        </w:div>
        <w:div w:id="469516431">
          <w:marLeft w:val="0"/>
          <w:marRight w:val="0"/>
          <w:marTop w:val="0"/>
          <w:marBottom w:val="0"/>
          <w:divBdr>
            <w:top w:val="none" w:sz="0" w:space="0" w:color="auto"/>
            <w:left w:val="none" w:sz="0" w:space="0" w:color="auto"/>
            <w:bottom w:val="none" w:sz="0" w:space="0" w:color="auto"/>
            <w:right w:val="none" w:sz="0" w:space="0" w:color="auto"/>
          </w:divBdr>
        </w:div>
        <w:div w:id="1131361845">
          <w:marLeft w:val="0"/>
          <w:marRight w:val="0"/>
          <w:marTop w:val="0"/>
          <w:marBottom w:val="0"/>
          <w:divBdr>
            <w:top w:val="none" w:sz="0" w:space="0" w:color="auto"/>
            <w:left w:val="none" w:sz="0" w:space="0" w:color="auto"/>
            <w:bottom w:val="none" w:sz="0" w:space="0" w:color="auto"/>
            <w:right w:val="none" w:sz="0" w:space="0" w:color="auto"/>
          </w:divBdr>
        </w:div>
        <w:div w:id="876432454">
          <w:marLeft w:val="0"/>
          <w:marRight w:val="0"/>
          <w:marTop w:val="0"/>
          <w:marBottom w:val="0"/>
          <w:divBdr>
            <w:top w:val="none" w:sz="0" w:space="0" w:color="auto"/>
            <w:left w:val="none" w:sz="0" w:space="0" w:color="auto"/>
            <w:bottom w:val="none" w:sz="0" w:space="0" w:color="auto"/>
            <w:right w:val="none" w:sz="0" w:space="0" w:color="auto"/>
          </w:divBdr>
        </w:div>
        <w:div w:id="838228744">
          <w:marLeft w:val="0"/>
          <w:marRight w:val="0"/>
          <w:marTop w:val="0"/>
          <w:marBottom w:val="0"/>
          <w:divBdr>
            <w:top w:val="none" w:sz="0" w:space="0" w:color="auto"/>
            <w:left w:val="none" w:sz="0" w:space="0" w:color="auto"/>
            <w:bottom w:val="none" w:sz="0" w:space="0" w:color="auto"/>
            <w:right w:val="none" w:sz="0" w:space="0" w:color="auto"/>
          </w:divBdr>
        </w:div>
        <w:div w:id="1580402468">
          <w:marLeft w:val="0"/>
          <w:marRight w:val="0"/>
          <w:marTop w:val="0"/>
          <w:marBottom w:val="0"/>
          <w:divBdr>
            <w:top w:val="none" w:sz="0" w:space="0" w:color="auto"/>
            <w:left w:val="none" w:sz="0" w:space="0" w:color="auto"/>
            <w:bottom w:val="none" w:sz="0" w:space="0" w:color="auto"/>
            <w:right w:val="none" w:sz="0" w:space="0" w:color="auto"/>
          </w:divBdr>
        </w:div>
      </w:divsChild>
    </w:div>
    <w:div w:id="154955077">
      <w:bodyDiv w:val="1"/>
      <w:marLeft w:val="0"/>
      <w:marRight w:val="0"/>
      <w:marTop w:val="0"/>
      <w:marBottom w:val="0"/>
      <w:divBdr>
        <w:top w:val="none" w:sz="0" w:space="0" w:color="auto"/>
        <w:left w:val="none" w:sz="0" w:space="0" w:color="auto"/>
        <w:bottom w:val="none" w:sz="0" w:space="0" w:color="auto"/>
        <w:right w:val="none" w:sz="0" w:space="0" w:color="auto"/>
      </w:divBdr>
    </w:div>
    <w:div w:id="192114996">
      <w:bodyDiv w:val="1"/>
      <w:marLeft w:val="0"/>
      <w:marRight w:val="0"/>
      <w:marTop w:val="0"/>
      <w:marBottom w:val="0"/>
      <w:divBdr>
        <w:top w:val="none" w:sz="0" w:space="0" w:color="auto"/>
        <w:left w:val="none" w:sz="0" w:space="0" w:color="auto"/>
        <w:bottom w:val="none" w:sz="0" w:space="0" w:color="auto"/>
        <w:right w:val="none" w:sz="0" w:space="0" w:color="auto"/>
      </w:divBdr>
    </w:div>
    <w:div w:id="725035480">
      <w:bodyDiv w:val="1"/>
      <w:marLeft w:val="0"/>
      <w:marRight w:val="0"/>
      <w:marTop w:val="0"/>
      <w:marBottom w:val="0"/>
      <w:divBdr>
        <w:top w:val="none" w:sz="0" w:space="0" w:color="auto"/>
        <w:left w:val="none" w:sz="0" w:space="0" w:color="auto"/>
        <w:bottom w:val="none" w:sz="0" w:space="0" w:color="auto"/>
        <w:right w:val="none" w:sz="0" w:space="0" w:color="auto"/>
      </w:divBdr>
    </w:div>
    <w:div w:id="1044018272">
      <w:bodyDiv w:val="1"/>
      <w:marLeft w:val="0"/>
      <w:marRight w:val="0"/>
      <w:marTop w:val="0"/>
      <w:marBottom w:val="0"/>
      <w:divBdr>
        <w:top w:val="none" w:sz="0" w:space="0" w:color="auto"/>
        <w:left w:val="none" w:sz="0" w:space="0" w:color="auto"/>
        <w:bottom w:val="none" w:sz="0" w:space="0" w:color="auto"/>
        <w:right w:val="none" w:sz="0" w:space="0" w:color="auto"/>
      </w:divBdr>
    </w:div>
    <w:div w:id="2059670006">
      <w:bodyDiv w:val="1"/>
      <w:marLeft w:val="0"/>
      <w:marRight w:val="0"/>
      <w:marTop w:val="0"/>
      <w:marBottom w:val="0"/>
      <w:divBdr>
        <w:top w:val="none" w:sz="0" w:space="0" w:color="auto"/>
        <w:left w:val="none" w:sz="0" w:space="0" w:color="auto"/>
        <w:bottom w:val="none" w:sz="0" w:space="0" w:color="auto"/>
        <w:right w:val="none" w:sz="0" w:space="0" w:color="auto"/>
      </w:divBdr>
    </w:div>
    <w:div w:id="2075615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tenni@unimelb.edu.au" TargetMode="External"/><Relationship Id="rId13" Type="http://schemas.openxmlformats.org/officeDocument/2006/relationships/hyperlink" Target="https://www.wto.org/english/tratop_e/trips_e/tripfq_e.htm" TargetMode="External"/><Relationship Id="rId18" Type="http://schemas.openxmlformats.org/officeDocument/2006/relationships/hyperlink" Target="https://www.treatmentactiongroup.org/publication/hcv-genotyp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dicinespatentpool.org/news-publications-post/affordable-versions-of-hepatitis-c-medicine-daclatasvir-soon-available-in-additional-countries" TargetMode="External"/><Relationship Id="rId7" Type="http://schemas.openxmlformats.org/officeDocument/2006/relationships/endnotes" Target="endnotes.xml"/><Relationship Id="rId12" Type="http://schemas.openxmlformats.org/officeDocument/2006/relationships/hyperlink" Target="https://www.worldbank.org/en/country/thailand/overview" TargetMode="External"/><Relationship Id="rId17" Type="http://schemas.openxmlformats.org/officeDocument/2006/relationships/hyperlink" Target="https://www.who.int/news-room/fact-sheets/detail/hepatitis-c" TargetMode="External"/><Relationship Id="rId25" Type="http://schemas.openxmlformats.org/officeDocument/2006/relationships/hyperlink" Target="https://makemedicinesaffordable.org/tnp-demands-that-thailands-minister-of-health-unlock-hepatitis-c-treatment/" TargetMode="External"/><Relationship Id="rId2" Type="http://schemas.openxmlformats.org/officeDocument/2006/relationships/numbering" Target="numbering.xml"/><Relationship Id="rId16" Type="http://schemas.openxmlformats.org/officeDocument/2006/relationships/hyperlink" Target="https://www.ip-watch.org/2017/11/16/tpp-texts-show-suspended-ip-provisions/" TargetMode="External"/><Relationship Id="rId20" Type="http://schemas.openxmlformats.org/officeDocument/2006/relationships/hyperlink" Target="https://medicinespatentpool.org/what-we-do/disease-areas#pills-VIRAL-HEPATIT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codeblue.galencentre.org/2020/07/17/minister-claims-imported-sofosbuvir-supply-enough-for-malaysian-hepatitis-c-patients/" TargetMode="External"/><Relationship Id="rId5" Type="http://schemas.openxmlformats.org/officeDocument/2006/relationships/webSettings" Target="webSettings.xml"/><Relationship Id="rId15" Type="http://schemas.openxmlformats.org/officeDocument/2006/relationships/hyperlink" Target="https://www.wto.org/english/tratop_e/trips_e/tripsfactsheet_pharma_e.pdf" TargetMode="External"/><Relationship Id="rId23" Type="http://schemas.openxmlformats.org/officeDocument/2006/relationships/hyperlink" Target="https://www.medspal.org/?countries%5B%5D=Thailand&amp;disease_area%5B%5D=Hepatitis+C+(HCV)&amp;page=1" TargetMode="External"/><Relationship Id="rId10" Type="http://schemas.openxmlformats.org/officeDocument/2006/relationships/hyperlink" Target="https://www.dfat.gov.au/sites/default/files/tpp-11-treaty-text.pdf" TargetMode="External"/><Relationship Id="rId19" Type="http://schemas.openxmlformats.org/officeDocument/2006/relationships/hyperlink" Target="https://medicinespatentpool.org/who-we-are/about-us" TargetMode="External"/><Relationship Id="rId4" Type="http://schemas.openxmlformats.org/officeDocument/2006/relationships/settings" Target="settings.xml"/><Relationship Id="rId9" Type="http://schemas.openxmlformats.org/officeDocument/2006/relationships/hyperlink" Target="https://www.dfat.gov.au/sites/default/files/tpp-11-treaty-text.pdf" TargetMode="External"/><Relationship Id="rId14" Type="http://schemas.openxmlformats.org/officeDocument/2006/relationships/hyperlink" Target="https://www.wto.org/english/tratop_e/trips_e/public_health_faq_e.htm" TargetMode="External"/><Relationship Id="rId22" Type="http://schemas.openxmlformats.org/officeDocument/2006/relationships/hyperlink" Target="https://msfaccess.org/sites/default/files/MSF_assets/HepC/Docs/HEPC_Analystics_GileadHepCLicense_ENG_2015.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D1FC825D-8CC8-4244-8C5F-F83E88066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16739</Words>
  <Characters>95418</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111934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Tenni</dc:creator>
  <cp:keywords/>
  <dc:description/>
  <cp:lastModifiedBy>Brigitte Tenni</cp:lastModifiedBy>
  <cp:revision>2</cp:revision>
  <cp:lastPrinted>2022-10-19T07:30:00Z</cp:lastPrinted>
  <dcterms:created xsi:type="dcterms:W3CDTF">2022-10-29T06:53:00Z</dcterms:created>
  <dcterms:modified xsi:type="dcterms:W3CDTF">2022-10-29T06:53:00Z</dcterms:modified>
</cp:coreProperties>
</file>