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7CC00" w14:textId="481352E4" w:rsidR="003D4FD9" w:rsidRPr="003D4FD9" w:rsidRDefault="00487E01" w:rsidP="003D4FD9">
      <w:pPr>
        <w:pStyle w:val="NoSpacing"/>
        <w:spacing w:line="480" w:lineRule="auto"/>
        <w:rPr>
          <w:b/>
          <w:bCs/>
        </w:rPr>
      </w:pPr>
      <w:r>
        <w:rPr>
          <w:b/>
          <w:bCs/>
        </w:rPr>
        <w:t>V</w:t>
      </w:r>
      <w:r w:rsidRPr="00487E01">
        <w:rPr>
          <w:b/>
          <w:bCs/>
        </w:rPr>
        <w:t>ariation in the strength of local and regional determinants of herbivory across the Neotropics</w:t>
      </w:r>
    </w:p>
    <w:p w14:paraId="7B5BDB31" w14:textId="77777777" w:rsidR="00FF0F21" w:rsidRDefault="00FF0F21" w:rsidP="00F740A9">
      <w:pPr>
        <w:pStyle w:val="NoSpacing"/>
        <w:spacing w:line="480" w:lineRule="auto"/>
        <w:rPr>
          <w:b/>
          <w:bCs/>
        </w:rPr>
      </w:pPr>
    </w:p>
    <w:p w14:paraId="7AC18AE0" w14:textId="4C9B42BB" w:rsidR="00F740A9" w:rsidRPr="00F740A9" w:rsidRDefault="000D04E9" w:rsidP="00F740A9">
      <w:pPr>
        <w:pStyle w:val="NoSpacing"/>
        <w:spacing w:line="480" w:lineRule="auto"/>
        <w:rPr>
          <w:b/>
          <w:bCs/>
        </w:rPr>
      </w:pPr>
      <w:r w:rsidRPr="00F740A9">
        <w:rPr>
          <w:b/>
          <w:bCs/>
        </w:rPr>
        <w:t>Abstract</w:t>
      </w:r>
    </w:p>
    <w:p w14:paraId="561A4C22" w14:textId="0C5E938A" w:rsidR="00044CA9" w:rsidRDefault="00F740A9" w:rsidP="001E7C89">
      <w:pPr>
        <w:spacing w:line="480" w:lineRule="auto"/>
      </w:pPr>
      <w:r>
        <w:t>In</w:t>
      </w:r>
      <w:r w:rsidR="00584672">
        <w:t>sect h</w:t>
      </w:r>
      <w:r w:rsidR="000D04E9">
        <w:t xml:space="preserve">erbivory </w:t>
      </w:r>
      <w:r w:rsidR="00043798">
        <w:t>can vary from an inconsequential biotic interaction to a factor that contributes substantially to the diversity of plants and animals and overall interaction diversity.</w:t>
      </w:r>
      <w:r w:rsidR="00D72307">
        <w:t xml:space="preserve">  </w:t>
      </w:r>
      <w:r w:rsidR="00867F67">
        <w:t xml:space="preserve">As </w:t>
      </w:r>
      <w:r w:rsidR="009E4D6F">
        <w:t xml:space="preserve">herbivory </w:t>
      </w:r>
      <w:r w:rsidR="00867F67">
        <w:t xml:space="preserve">is the </w:t>
      </w:r>
      <w:r w:rsidR="00B5654C">
        <w:t xml:space="preserve">result </w:t>
      </w:r>
      <w:r w:rsidR="00867F67">
        <w:t xml:space="preserve">of </w:t>
      </w:r>
      <w:r w:rsidR="00B5654C">
        <w:t xml:space="preserve">numerous ecological and evolutionary </w:t>
      </w:r>
      <w:r w:rsidR="009E4D6F">
        <w:t>processes</w:t>
      </w:r>
      <w:r w:rsidR="00867F67">
        <w:t>,</w:t>
      </w:r>
      <w:r w:rsidR="009E4D6F">
        <w:t xml:space="preserve"> </w:t>
      </w:r>
      <w:r w:rsidR="00867F67">
        <w:t xml:space="preserve">including </w:t>
      </w:r>
      <w:r w:rsidR="00584672">
        <w:t xml:space="preserve">complex </w:t>
      </w:r>
      <w:r w:rsidR="009E4D6F">
        <w:t xml:space="preserve">population dynamics and the evolution of plant defense, </w:t>
      </w:r>
      <w:r>
        <w:t xml:space="preserve">it has been difficult to predict </w:t>
      </w:r>
      <w:r w:rsidR="00822C9F">
        <w:t xml:space="preserve">variation in </w:t>
      </w:r>
      <w:r w:rsidR="009E4D6F">
        <w:t>herbivory across meaningful spatial scales.</w:t>
      </w:r>
      <w:r>
        <w:t xml:space="preserve">  </w:t>
      </w:r>
      <w:r w:rsidR="00D72307">
        <w:t xml:space="preserve">In the present work, we </w:t>
      </w:r>
      <w:r w:rsidR="00584672">
        <w:t>characterize patterns</w:t>
      </w:r>
      <w:r w:rsidR="00487F23">
        <w:t xml:space="preserve"> of </w:t>
      </w:r>
      <w:r w:rsidR="000D04E9">
        <w:t>herbivory</w:t>
      </w:r>
      <w:r w:rsidR="00822C9F">
        <w:t xml:space="preserve"> on </w:t>
      </w:r>
      <w:r w:rsidR="00584672">
        <w:t xml:space="preserve">plants </w:t>
      </w:r>
      <w:r>
        <w:t>in a</w:t>
      </w:r>
      <w:r w:rsidR="0004363F">
        <w:t xml:space="preserve"> species rich</w:t>
      </w:r>
      <w:r w:rsidR="00822C9F">
        <w:t xml:space="preserve"> </w:t>
      </w:r>
      <w:r>
        <w:t xml:space="preserve">and abundant </w:t>
      </w:r>
      <w:r w:rsidR="00A74706">
        <w:t xml:space="preserve">tropical </w:t>
      </w:r>
      <w:r w:rsidR="00822C9F">
        <w:t xml:space="preserve">understory genus </w:t>
      </w:r>
      <w:r w:rsidR="00D565E9">
        <w:t>(</w:t>
      </w:r>
      <w:r w:rsidR="00D565E9" w:rsidRPr="00D565E9">
        <w:rPr>
          <w:i/>
          <w:iCs/>
        </w:rPr>
        <w:t>Piper</w:t>
      </w:r>
      <w:r w:rsidR="00D565E9">
        <w:t xml:space="preserve">) </w:t>
      </w:r>
      <w:r w:rsidR="000D04E9">
        <w:t xml:space="preserve">across forests </w:t>
      </w:r>
      <w:r w:rsidR="00D72307">
        <w:t>spanning 44°</w:t>
      </w:r>
      <w:r w:rsidR="00E975C4">
        <w:t xml:space="preserve"> of latitude</w:t>
      </w:r>
      <w:r w:rsidR="00D72307">
        <w:t xml:space="preserve"> in the Neotropics.  We</w:t>
      </w:r>
      <w:r w:rsidR="00BB5093">
        <w:t xml:space="preserve"> </w:t>
      </w:r>
      <w:r>
        <w:t>modeled</w:t>
      </w:r>
      <w:r w:rsidR="00584672">
        <w:t xml:space="preserve"> </w:t>
      </w:r>
      <w:r w:rsidR="00822C9F">
        <w:t xml:space="preserve">the </w:t>
      </w:r>
      <w:r w:rsidR="000A2D97">
        <w:t>effects</w:t>
      </w:r>
      <w:r w:rsidR="00822C9F">
        <w:t xml:space="preserve"> of geography, climate, resource availability, </w:t>
      </w:r>
      <w:r w:rsidR="00043798">
        <w:t xml:space="preserve">and </w:t>
      </w:r>
      <w:r w:rsidR="00043798" w:rsidRPr="000215AA">
        <w:rPr>
          <w:i/>
          <w:iCs/>
        </w:rPr>
        <w:t>Piper</w:t>
      </w:r>
      <w:r w:rsidR="00043798">
        <w:t xml:space="preserve"> </w:t>
      </w:r>
      <w:r w:rsidR="00822C9F">
        <w:t>species richness on</w:t>
      </w:r>
      <w:r w:rsidR="001D21DF">
        <w:t xml:space="preserve"> </w:t>
      </w:r>
      <w:r w:rsidR="00487F23">
        <w:t xml:space="preserve">the </w:t>
      </w:r>
      <w:r w:rsidR="00043798">
        <w:t>median</w:t>
      </w:r>
      <w:r w:rsidR="00487F23">
        <w:t xml:space="preserve">, dispersion, and skew of </w:t>
      </w:r>
      <w:r w:rsidR="001D21DF">
        <w:t>generalist and specialist</w:t>
      </w:r>
      <w:r w:rsidR="00822C9F">
        <w:t xml:space="preserve"> herbivory.</w:t>
      </w:r>
      <w:r w:rsidR="00FB7973">
        <w:t xml:space="preserve"> </w:t>
      </w:r>
      <w:r>
        <w:t xml:space="preserve"> By examining the</w:t>
      </w:r>
      <w:r w:rsidR="00D565E9">
        <w:t>se multiple</w:t>
      </w:r>
      <w:r>
        <w:t xml:space="preserve"> </w:t>
      </w:r>
      <w:r w:rsidR="002F0B26">
        <w:t>components</w:t>
      </w:r>
      <w:r>
        <w:t xml:space="preserve"> of the distribution of herbivory, we </w:t>
      </w:r>
      <w:r w:rsidR="00D565E9">
        <w:t xml:space="preserve">were able to determine factors that increase biologically meaningful herbivory at the upper ends of </w:t>
      </w:r>
      <w:r w:rsidR="00E71BA0">
        <w:t>the</w:t>
      </w:r>
      <w:r w:rsidR="00D565E9">
        <w:t xml:space="preserve"> distribution.  </w:t>
      </w:r>
      <w:r w:rsidR="002F1AB3">
        <w:t xml:space="preserve">Site level </w:t>
      </w:r>
      <w:r w:rsidR="00556F89">
        <w:t>variables</w:t>
      </w:r>
      <w:r w:rsidR="003E69B6">
        <w:t xml:space="preserve"> such as latitude, seasonality</w:t>
      </w:r>
      <w:r w:rsidR="00E71BA0">
        <w:t>,</w:t>
      </w:r>
      <w:r w:rsidR="003E69B6">
        <w:t xml:space="preserve"> and maximum </w:t>
      </w:r>
      <w:r w:rsidR="00D565E9" w:rsidRPr="00D565E9">
        <w:rPr>
          <w:i/>
          <w:iCs/>
        </w:rPr>
        <w:t>Piper</w:t>
      </w:r>
      <w:r w:rsidR="00D565E9">
        <w:t xml:space="preserve"> </w:t>
      </w:r>
      <w:r w:rsidR="003E69B6">
        <w:t>richness</w:t>
      </w:r>
      <w:r w:rsidR="00556F89">
        <w:t xml:space="preserve"> </w:t>
      </w:r>
      <w:r w:rsidR="00A201DB">
        <w:t xml:space="preserve">explained variation in </w:t>
      </w:r>
      <w:r w:rsidR="00556F89">
        <w:t xml:space="preserve">herbivory </w:t>
      </w:r>
      <w:r w:rsidR="00D565E9">
        <w:t xml:space="preserve">at the </w:t>
      </w:r>
      <w:r w:rsidR="003F6851">
        <w:t>local</w:t>
      </w:r>
      <w:r w:rsidR="00D8767F">
        <w:t xml:space="preserve"> </w:t>
      </w:r>
      <w:r w:rsidR="00D565E9">
        <w:t xml:space="preserve">scale </w:t>
      </w:r>
      <w:r w:rsidR="00D8767F">
        <w:t>(plot level)</w:t>
      </w:r>
      <w:r w:rsidR="003F6851">
        <w:t xml:space="preserve"> </w:t>
      </w:r>
      <w:r w:rsidR="00D565E9">
        <w:t xml:space="preserve">better for </w:t>
      </w:r>
      <w:r w:rsidR="009A0574">
        <w:t xml:space="preserve">assemblages </w:t>
      </w:r>
      <w:r w:rsidR="00FC3B49">
        <w:t xml:space="preserve">of </w:t>
      </w:r>
      <w:r w:rsidR="00FC3B49">
        <w:rPr>
          <w:i/>
          <w:iCs/>
        </w:rPr>
        <w:t xml:space="preserve">Piper </w:t>
      </w:r>
      <w:r w:rsidR="00FC3B49" w:rsidRPr="00FC3B49">
        <w:t>congeners</w:t>
      </w:r>
      <w:r w:rsidR="00FC3B49">
        <w:rPr>
          <w:i/>
          <w:iCs/>
        </w:rPr>
        <w:t xml:space="preserve"> </w:t>
      </w:r>
      <w:r w:rsidR="003F6851">
        <w:t xml:space="preserve">than </w:t>
      </w:r>
      <w:r w:rsidR="00592810">
        <w:t>for</w:t>
      </w:r>
      <w:r w:rsidR="00584672">
        <w:t xml:space="preserve"> </w:t>
      </w:r>
      <w:r w:rsidR="00D565E9">
        <w:t>a single</w:t>
      </w:r>
      <w:r w:rsidR="00584672">
        <w:t xml:space="preserve"> </w:t>
      </w:r>
      <w:r w:rsidR="003F6851">
        <w:t>species</w:t>
      </w:r>
      <w:r w:rsidR="00A201DB">
        <w:t xml:space="preserve">. </w:t>
      </w:r>
      <w:r w:rsidR="003E69B6">
        <w:t xml:space="preserve"> </w:t>
      </w:r>
      <w:r w:rsidR="00C164EF">
        <w:t>Predictor</w:t>
      </w:r>
      <w:r w:rsidR="00D565E9">
        <w:t>s</w:t>
      </w:r>
      <w:r w:rsidR="00C164EF">
        <w:t xml:space="preserve"> that varied </w:t>
      </w:r>
      <w:r w:rsidR="00044CA9">
        <w:t>between</w:t>
      </w:r>
      <w:r w:rsidR="00C164EF">
        <w:t xml:space="preserve"> local communities, such as resource availability and diversity, </w:t>
      </w:r>
      <w:r w:rsidR="00D565E9">
        <w:t xml:space="preserve">best </w:t>
      </w:r>
      <w:r w:rsidR="00C164EF">
        <w:t>explained the distribution of herbivory within sites, dampening broad patterns across latitude and climate</w:t>
      </w:r>
      <w:r w:rsidR="001E7C89">
        <w:t xml:space="preserve"> and demonstrating why generalizations about gradients in herbivory have been elusive</w:t>
      </w:r>
      <w:r w:rsidR="00C164EF">
        <w:t>.</w:t>
      </w:r>
      <w:r w:rsidR="006D2475">
        <w:t xml:space="preserve"> </w:t>
      </w:r>
      <w:r w:rsidR="001E7C89">
        <w:t xml:space="preserve"> The e</w:t>
      </w:r>
      <w:r w:rsidR="0020302C">
        <w:t xml:space="preserve">stimated population </w:t>
      </w:r>
      <w:r w:rsidR="001C3716">
        <w:t>m</w:t>
      </w:r>
      <w:r w:rsidR="00044CA9">
        <w:t xml:space="preserve">eans, skew, and </w:t>
      </w:r>
      <w:r w:rsidR="001C3716">
        <w:t>dispersion</w:t>
      </w:r>
      <w:r w:rsidR="00044CA9">
        <w:t xml:space="preserve"> of herbivory respond</w:t>
      </w:r>
      <w:r w:rsidR="00E71BA0">
        <w:t>ed</w:t>
      </w:r>
      <w:r w:rsidR="00044CA9">
        <w:t xml:space="preserve"> differently to abiotic and biotic </w:t>
      </w:r>
      <w:r w:rsidR="001C3716">
        <w:t xml:space="preserve">factors, </w:t>
      </w:r>
      <w:r w:rsidR="00E71BA0">
        <w:t>illustrating</w:t>
      </w:r>
      <w:r w:rsidR="001C3716">
        <w:t xml:space="preserve"> </w:t>
      </w:r>
      <w:r w:rsidR="00044CA9">
        <w:t xml:space="preserve">the need for </w:t>
      </w:r>
      <w:r w:rsidR="001C3716">
        <w:t xml:space="preserve">careful </w:t>
      </w:r>
      <w:r w:rsidR="00044CA9">
        <w:t xml:space="preserve">studies to </w:t>
      </w:r>
      <w:r w:rsidR="001C3716">
        <w:t>explore distributions of herbivory and their effects on forest diversity.</w:t>
      </w:r>
      <w:r w:rsidR="009A0574">
        <w:t xml:space="preserve"> Nevertheless, </w:t>
      </w:r>
      <w:r w:rsidR="009A0574" w:rsidRPr="009A0574">
        <w:t xml:space="preserve">we observed a roughly two-fold increase in median herbivory in </w:t>
      </w:r>
      <w:r w:rsidR="009A0574" w:rsidRPr="009A0574">
        <w:lastRenderedPageBreak/>
        <w:t>humid compared to seasonal forests</w:t>
      </w:r>
      <w:r w:rsidR="009A0574">
        <w:t>, and t</w:t>
      </w:r>
      <w:r w:rsidR="009A0574" w:rsidRPr="009A0574">
        <w:t>his finding aligns with the hypothesis that precipitation seasonality plays a critical role in shaping interaction diversity within tropical ecosystems.</w:t>
      </w:r>
      <w:r w:rsidR="009A0574">
        <w:t xml:space="preserve">  </w:t>
      </w:r>
    </w:p>
    <w:p w14:paraId="2180C0A6" w14:textId="50F8FF7C" w:rsidR="00412259" w:rsidRPr="00412259" w:rsidRDefault="00412259" w:rsidP="00412259">
      <w:pPr>
        <w:spacing w:line="480" w:lineRule="auto"/>
        <w:rPr>
          <w:b/>
          <w:bCs/>
        </w:rPr>
      </w:pPr>
      <w:r w:rsidRPr="00412259">
        <w:rPr>
          <w:b/>
          <w:bCs/>
        </w:rPr>
        <w:t>Keywords:</w:t>
      </w:r>
      <w:r w:rsidRPr="00412259">
        <w:t xml:space="preserve">  </w:t>
      </w:r>
      <w:r w:rsidR="005829DD">
        <w:t>D</w:t>
      </w:r>
      <w:r w:rsidR="00487F23">
        <w:t>istribution, d</w:t>
      </w:r>
      <w:r>
        <w:t xml:space="preserve">iversity, </w:t>
      </w:r>
      <w:r w:rsidR="007F0A12">
        <w:t>herbivore</w:t>
      </w:r>
      <w:r w:rsidR="005829DD">
        <w:t xml:space="preserve">, </w:t>
      </w:r>
      <w:r>
        <w:t xml:space="preserve">latitudinal gradient, </w:t>
      </w:r>
      <w:r w:rsidR="003D4FD9">
        <w:t>resource availability</w:t>
      </w:r>
      <w:r w:rsidR="00117949">
        <w:t>,</w:t>
      </w:r>
      <w:r w:rsidR="003D4FD9">
        <w:t xml:space="preserve"> seasonality, </w:t>
      </w:r>
      <w:r>
        <w:t>tropical forest</w:t>
      </w:r>
    </w:p>
    <w:p w14:paraId="261AE751" w14:textId="77777777" w:rsidR="00FF0F21" w:rsidRDefault="00FF0F21" w:rsidP="002214EA">
      <w:pPr>
        <w:pStyle w:val="NoSpacing"/>
        <w:spacing w:line="480" w:lineRule="auto"/>
        <w:rPr>
          <w:b/>
          <w:bCs/>
        </w:rPr>
      </w:pPr>
    </w:p>
    <w:p w14:paraId="2AC28CB7" w14:textId="0E35195E" w:rsidR="002D53D8" w:rsidRPr="002D53D8" w:rsidRDefault="002D53D8" w:rsidP="002214EA">
      <w:pPr>
        <w:pStyle w:val="NoSpacing"/>
        <w:spacing w:line="480" w:lineRule="auto"/>
        <w:rPr>
          <w:b/>
          <w:bCs/>
        </w:rPr>
      </w:pPr>
      <w:r w:rsidRPr="002D53D8">
        <w:rPr>
          <w:b/>
          <w:bCs/>
        </w:rPr>
        <w:t>Introduction</w:t>
      </w:r>
    </w:p>
    <w:p w14:paraId="5A7410DD" w14:textId="45494C63" w:rsidR="00385B83" w:rsidRDefault="001B7614" w:rsidP="00385B83">
      <w:pPr>
        <w:pStyle w:val="NoSpacing"/>
        <w:spacing w:line="480" w:lineRule="auto"/>
      </w:pPr>
      <w:r>
        <w:tab/>
      </w:r>
      <w:r w:rsidR="00385B83">
        <w:t>Insect herbivory varies significantly</w:t>
      </w:r>
      <w:r w:rsidR="00585EBE">
        <w:t xml:space="preserve"> along latitudinal gradients, between distinct biomes, and</w:t>
      </w:r>
      <w:r w:rsidR="00385B83">
        <w:t xml:space="preserve"> among individual plants, (Coley et al. 1980; Zhang et al. 2016; Gao et al. 2019). Both </w:t>
      </w:r>
      <w:r w:rsidR="00FD478F">
        <w:t>central tendencies and</w:t>
      </w:r>
      <w:r w:rsidR="00385B83">
        <w:t xml:space="preserve"> range</w:t>
      </w:r>
      <w:r w:rsidR="001B656E">
        <w:t>s</w:t>
      </w:r>
      <w:r w:rsidR="00385B83">
        <w:t xml:space="preserve"> of herbivory undergo changes across these </w:t>
      </w:r>
      <w:proofErr w:type="gramStart"/>
      <w:r w:rsidR="00385B83">
        <w:t>scales, and</w:t>
      </w:r>
      <w:proofErr w:type="gramEnd"/>
      <w:r w:rsidR="00385B83">
        <w:t xml:space="preserve"> documenting these patterns has been important for elucidating the role of herbivores as selective and diversifying </w:t>
      </w:r>
      <w:r w:rsidR="00B71207">
        <w:t>agents</w:t>
      </w:r>
      <w:r w:rsidR="00385B83">
        <w:t xml:space="preserve"> within biological communities (Janzen 1970; </w:t>
      </w:r>
      <w:proofErr w:type="spellStart"/>
      <w:r w:rsidR="00385B83">
        <w:t>Langenheim</w:t>
      </w:r>
      <w:proofErr w:type="spellEnd"/>
      <w:r w:rsidR="00385B83">
        <w:t xml:space="preserve"> and Stubblebine 1983; Dyer et al. 2010; </w:t>
      </w:r>
      <w:proofErr w:type="spellStart"/>
      <w:r w:rsidR="00385B83">
        <w:t>Endara</w:t>
      </w:r>
      <w:proofErr w:type="spellEnd"/>
      <w:r w:rsidR="00385B83">
        <w:t xml:space="preserve"> et al. 2017, 2018). A synthesis of herbivory data on vascular plants estimates that, on average, an individual plant loses 5.3% of its leaf area annually to herbivory, with relatively low variation (95% CI: 4.9-5.7%; Turcotte et al. 2014). However, mean annual herbivory can surpass 25% and fluctuate between 0 and 90% within a single species (Turcotte et al. 2014). </w:t>
      </w:r>
      <w:r w:rsidR="00FD478F">
        <w:t>L</w:t>
      </w:r>
      <w:r w:rsidR="00385B83">
        <w:t>ittle is known about how distributions of herbivory shift across various gradients</w:t>
      </w:r>
      <w:r w:rsidR="00FD478F">
        <w:t xml:space="preserve"> (but see </w:t>
      </w:r>
      <w:hyperlink r:id="rId8" w:history="1">
        <w:r w:rsidR="003A3404" w:rsidRPr="00DF0473">
          <w:rPr>
            <w:rStyle w:val="Hyperlink"/>
          </w:rPr>
          <w:t>https://herbvar.org</w:t>
        </w:r>
      </w:hyperlink>
      <w:r w:rsidR="00FD478F">
        <w:t>)</w:t>
      </w:r>
      <w:r w:rsidR="00385B83">
        <w:t xml:space="preserve">. While </w:t>
      </w:r>
      <w:r w:rsidR="000015A2">
        <w:t xml:space="preserve">many </w:t>
      </w:r>
      <w:r w:rsidR="00385B83">
        <w:t xml:space="preserve">plants are known to exhibit tolerance to herbivory (Rosenthal and </w:t>
      </w:r>
      <w:proofErr w:type="spellStart"/>
      <w:r w:rsidR="00385B83">
        <w:t>Kotanen</w:t>
      </w:r>
      <w:proofErr w:type="spellEnd"/>
      <w:r w:rsidR="00385B83">
        <w:t xml:space="preserve"> 1994; Strauss and Agrawal 1999; Massad 2013), high levels of herbivory can impair plant fitness (Marquis 1992; Clark and Clark 1985), modify plant chemistry (</w:t>
      </w:r>
      <w:proofErr w:type="spellStart"/>
      <w:r w:rsidR="00385B83">
        <w:t>Endara</w:t>
      </w:r>
      <w:proofErr w:type="spellEnd"/>
      <w:r w:rsidR="00385B83">
        <w:t xml:space="preserve"> et al. 2015), constrain population growth (Katz 2016), and promote community diversity (Carson et al. 2008). Consequently, understanding the factors that influence variation in herbivory </w:t>
      </w:r>
      <w:r w:rsidR="003A3404">
        <w:t>contributes to</w:t>
      </w:r>
      <w:r w:rsidR="00385B83">
        <w:t xml:space="preserve"> elucidating the ecological and evolutionary roles of herbivores in the formation </w:t>
      </w:r>
      <w:r w:rsidR="000015A2">
        <w:t xml:space="preserve">and structure </w:t>
      </w:r>
      <w:r w:rsidR="00385B83">
        <w:t xml:space="preserve">of plant communities. </w:t>
      </w:r>
    </w:p>
    <w:p w14:paraId="155A446D" w14:textId="26E6A084" w:rsidR="00585EBE" w:rsidRDefault="00FF64E0" w:rsidP="00B71207">
      <w:pPr>
        <w:pStyle w:val="NoSpacing"/>
        <w:tabs>
          <w:tab w:val="left" w:pos="540"/>
        </w:tabs>
        <w:spacing w:line="480" w:lineRule="auto"/>
      </w:pPr>
      <w:r>
        <w:lastRenderedPageBreak/>
        <w:tab/>
      </w:r>
      <w:r w:rsidR="00CE4A70">
        <w:t xml:space="preserve"> </w:t>
      </w:r>
      <w:r w:rsidR="00585EBE" w:rsidRPr="00DF0473">
        <w:t xml:space="preserve">Herbivory varies across large-scale environmental gradients, and changes in mean herbivory have been measured across sites that vary in temperature, precipitation, and seasonality (Table 1, Hypotheses </w:t>
      </w:r>
      <w:r w:rsidR="008A090A">
        <w:t>2</w:t>
      </w:r>
      <w:r w:rsidR="00585EBE" w:rsidRPr="00DF0473">
        <w:t xml:space="preserve"> and </w:t>
      </w:r>
      <w:r w:rsidR="008A090A">
        <w:t>3</w:t>
      </w:r>
      <w:r w:rsidR="00585EBE" w:rsidRPr="00DF0473">
        <w:t xml:space="preserve">; </w:t>
      </w:r>
      <w:proofErr w:type="spellStart"/>
      <w:r w:rsidR="00585EBE" w:rsidRPr="00DF0473">
        <w:t>Brenes-Arguedes</w:t>
      </w:r>
      <w:proofErr w:type="spellEnd"/>
      <w:r w:rsidR="00585EBE" w:rsidRPr="00DF0473">
        <w:t xml:space="preserve"> et al. 2009; Moreira et al. 2015; </w:t>
      </w:r>
      <w:proofErr w:type="spellStart"/>
      <w:r w:rsidR="00585EBE" w:rsidRPr="00DF0473">
        <w:t>Galman</w:t>
      </w:r>
      <w:proofErr w:type="spellEnd"/>
      <w:r w:rsidR="00585EBE" w:rsidRPr="00DF0473">
        <w:t xml:space="preserve"> et al. 2018; </w:t>
      </w:r>
      <w:proofErr w:type="spellStart"/>
      <w:r w:rsidR="00585EBE" w:rsidRPr="00DF0473">
        <w:t>Njovu</w:t>
      </w:r>
      <w:proofErr w:type="spellEnd"/>
      <w:r w:rsidR="00585EBE" w:rsidRPr="00DF0473">
        <w:t xml:space="preserve"> et al. 2018; Hahn et al. 2019; Lynn </w:t>
      </w:r>
      <w:r w:rsidR="00585EBE">
        <w:t>&amp;</w:t>
      </w:r>
      <w:r w:rsidR="00585EBE" w:rsidRPr="00DF0473">
        <w:t xml:space="preserve"> Fridley 2019).  </w:t>
      </w:r>
      <w:r w:rsidR="00805BB9">
        <w:t xml:space="preserve">Within the tropics, </w:t>
      </w:r>
      <w:r w:rsidR="00585EBE">
        <w:t>herbivores are more species rich closer to the equator (Salazar &amp; Marquis 2012), so herbivory may be responsive to variables associated with latitude</w:t>
      </w:r>
      <w:r w:rsidR="002D666A">
        <w:t xml:space="preserve"> even without crossing into temperate zones</w:t>
      </w:r>
      <w:r w:rsidR="00585EBE">
        <w:t xml:space="preserve">.  </w:t>
      </w:r>
      <w:r w:rsidR="00585EBE" w:rsidRPr="00DF0473">
        <w:t xml:space="preserve">Nonetheless, it is difficult to understand the role of specific </w:t>
      </w:r>
      <w:r w:rsidR="00585EBE">
        <w:t>factors</w:t>
      </w:r>
      <w:r w:rsidR="00585EBE" w:rsidRPr="00DF0473">
        <w:t xml:space="preserve"> in influencing broad-scale patterns of herbivory, as many factors covary.  For example, including mean precipitation in models examining herbivory along a latitudinal gradient suggests that latitude itself is not necessarily an important predictor of herbivory (Loughnan </w:t>
      </w:r>
      <w:r w:rsidR="00585EBE">
        <w:t>&amp;</w:t>
      </w:r>
      <w:r w:rsidR="00585EBE" w:rsidRPr="00DF0473">
        <w:t xml:space="preserve"> Williams 2019).  Although herbivory is largely considered to be more intense in the tropics (Coley </w:t>
      </w:r>
      <w:r w:rsidR="00585EBE">
        <w:t>&amp;</w:t>
      </w:r>
      <w:r w:rsidR="00585EBE" w:rsidRPr="00DF0473">
        <w:t xml:space="preserve"> Aide 1991; Coley </w:t>
      </w:r>
      <w:r w:rsidR="00585EBE">
        <w:t>&amp;</w:t>
      </w:r>
      <w:r w:rsidR="00585EBE" w:rsidRPr="00DF0473">
        <w:t xml:space="preserve"> Barone 1996), recent work has shown that herbivory decreases with latitude in the northern but not the southern hemisphere (Zhang et al. 2016).  Latitudinal variation in herbivory may also result from the increased specialization and interaction diversity found at lower latitudes (Table 1; Hypothesis </w:t>
      </w:r>
      <w:r w:rsidR="008A090A">
        <w:t>4</w:t>
      </w:r>
      <w:r w:rsidR="00585EBE" w:rsidRPr="00DF0473">
        <w:t xml:space="preserve">; Dobzhansky 1950; </w:t>
      </w:r>
      <w:proofErr w:type="spellStart"/>
      <w:r w:rsidR="00585EBE" w:rsidRPr="00DF0473">
        <w:t>Mittelbach</w:t>
      </w:r>
      <w:proofErr w:type="spellEnd"/>
      <w:r w:rsidR="00585EBE" w:rsidRPr="00DF0473">
        <w:t xml:space="preserve"> et al. 2007; Dyer et al. 2007; </w:t>
      </w:r>
      <w:proofErr w:type="spellStart"/>
      <w:r w:rsidR="00585EBE" w:rsidRPr="00DF0473">
        <w:t>Schemske</w:t>
      </w:r>
      <w:proofErr w:type="spellEnd"/>
      <w:r w:rsidR="00585EBE" w:rsidRPr="00DF0473">
        <w:t xml:space="preserve"> et al. 2009; </w:t>
      </w:r>
      <w:proofErr w:type="spellStart"/>
      <w:r w:rsidR="00585EBE" w:rsidRPr="00DF0473">
        <w:t>Forister</w:t>
      </w:r>
      <w:proofErr w:type="spellEnd"/>
      <w:r w:rsidR="00585EBE" w:rsidRPr="00DF0473">
        <w:t xml:space="preserve"> et al. 2015; LaManna et al. 2017; Dyer </w:t>
      </w:r>
      <w:r w:rsidR="00585EBE">
        <w:t>&amp;</w:t>
      </w:r>
      <w:r w:rsidR="00585EBE" w:rsidRPr="00DF0473">
        <w:t xml:space="preserve"> </w:t>
      </w:r>
      <w:proofErr w:type="spellStart"/>
      <w:r w:rsidR="00585EBE" w:rsidRPr="00DF0473">
        <w:t>Forister</w:t>
      </w:r>
      <w:proofErr w:type="spellEnd"/>
      <w:r w:rsidR="00585EBE" w:rsidRPr="00DF0473">
        <w:t xml:space="preserve"> 2019)</w:t>
      </w:r>
      <w:r w:rsidR="00585EBE">
        <w:t>, and</w:t>
      </w:r>
      <w:r w:rsidR="00585EBE" w:rsidRPr="00DF0473">
        <w:t xml:space="preserve"> most of the latitudinal variation in herbivory may be driven by </w:t>
      </w:r>
      <w:r w:rsidR="00585EBE">
        <w:t xml:space="preserve">differences between the </w:t>
      </w:r>
      <w:r w:rsidR="00585EBE" w:rsidRPr="00DF0473">
        <w:t>temperate</w:t>
      </w:r>
      <w:r w:rsidR="00585EBE">
        <w:t xml:space="preserve"> zone and the </w:t>
      </w:r>
      <w:r w:rsidR="00585EBE" w:rsidRPr="00DF0473">
        <w:t>tropic</w:t>
      </w:r>
      <w:r w:rsidR="00585EBE">
        <w:t>s</w:t>
      </w:r>
      <w:r w:rsidR="00585EBE" w:rsidRPr="00DF0473">
        <w:t xml:space="preserve"> (Kozlov et al. 2015). </w:t>
      </w:r>
    </w:p>
    <w:p w14:paraId="1EE536F1" w14:textId="75AC05BF" w:rsidR="00585EBE" w:rsidRPr="00DF0473" w:rsidRDefault="00585EBE" w:rsidP="00585EBE">
      <w:pPr>
        <w:pStyle w:val="NoSpacing"/>
        <w:tabs>
          <w:tab w:val="left" w:pos="540"/>
        </w:tabs>
        <w:spacing w:line="480" w:lineRule="auto"/>
      </w:pPr>
      <w:r>
        <w:tab/>
      </w:r>
      <w:r>
        <w:tab/>
        <w:t>Beyond large scale gradients, h</w:t>
      </w:r>
      <w:r w:rsidRPr="00DF0473">
        <w:t xml:space="preserve">erbivory is influenced </w:t>
      </w:r>
      <w:r>
        <w:t xml:space="preserve">at the local level </w:t>
      </w:r>
      <w:r w:rsidRPr="00DF0473">
        <w:t xml:space="preserve">by community attributes such as host plant abundance (Table 1, Hypothesis </w:t>
      </w:r>
      <w:r w:rsidR="008A090A">
        <w:t>5</w:t>
      </w:r>
      <w:r w:rsidRPr="00DF0473">
        <w:t xml:space="preserve">; Root 1973; </w:t>
      </w:r>
      <w:proofErr w:type="spellStart"/>
      <w:r w:rsidRPr="00DF0473">
        <w:t>Whitfeld</w:t>
      </w:r>
      <w:proofErr w:type="spellEnd"/>
      <w:r w:rsidRPr="00DF0473">
        <w:t xml:space="preserve"> et al. 2012; Loughnan </w:t>
      </w:r>
      <w:r>
        <w:t>&amp;</w:t>
      </w:r>
      <w:r w:rsidRPr="00DF0473">
        <w:t xml:space="preserve"> Williams 2019), plant species richness (Table 1, Hypothesis </w:t>
      </w:r>
      <w:r w:rsidR="008A090A">
        <w:t>6</w:t>
      </w:r>
      <w:r w:rsidRPr="00DF0473">
        <w:t xml:space="preserve">; </w:t>
      </w:r>
      <w:proofErr w:type="spellStart"/>
      <w:r w:rsidRPr="00DF0473">
        <w:t>Jactel</w:t>
      </w:r>
      <w:proofErr w:type="spellEnd"/>
      <w:r w:rsidRPr="00DF0473">
        <w:t xml:space="preserve"> </w:t>
      </w:r>
      <w:r>
        <w:t>&amp;</w:t>
      </w:r>
      <w:r w:rsidRPr="00DF0473">
        <w:t xml:space="preserve"> </w:t>
      </w:r>
      <w:proofErr w:type="spellStart"/>
      <w:r w:rsidRPr="00DF0473">
        <w:t>Brockerhoff</w:t>
      </w:r>
      <w:proofErr w:type="spellEnd"/>
      <w:r w:rsidRPr="00DF0473">
        <w:t xml:space="preserve"> 2007; </w:t>
      </w:r>
      <w:proofErr w:type="spellStart"/>
      <w:r w:rsidRPr="00DF0473">
        <w:t>Vehviläinen</w:t>
      </w:r>
      <w:proofErr w:type="spellEnd"/>
      <w:r w:rsidRPr="00DF0473">
        <w:t xml:space="preserve"> et al. 2007), </w:t>
      </w:r>
      <w:r>
        <w:t>population and phylo</w:t>
      </w:r>
      <w:r w:rsidRPr="00DF0473">
        <w:t>genetic diversity (</w:t>
      </w:r>
      <w:proofErr w:type="spellStart"/>
      <w:r w:rsidRPr="00DF0473">
        <w:t>Bidart-Bouzat</w:t>
      </w:r>
      <w:proofErr w:type="spellEnd"/>
      <w:r w:rsidRPr="00DF0473">
        <w:t xml:space="preserve"> </w:t>
      </w:r>
      <w:r>
        <w:t>&amp;</w:t>
      </w:r>
      <w:r w:rsidRPr="00DF0473">
        <w:t xml:space="preserve"> </w:t>
      </w:r>
      <w:proofErr w:type="spellStart"/>
      <w:r w:rsidRPr="00DF0473">
        <w:t>Kliebenstein</w:t>
      </w:r>
      <w:proofErr w:type="spellEnd"/>
      <w:r w:rsidRPr="00DF0473">
        <w:t xml:space="preserve"> 2008; </w:t>
      </w:r>
      <w:proofErr w:type="spellStart"/>
      <w:r w:rsidRPr="00DF0473">
        <w:t>Castagneyrol</w:t>
      </w:r>
      <w:proofErr w:type="spellEnd"/>
      <w:r w:rsidRPr="00DF0473">
        <w:t xml:space="preserve"> et al. 2012; Barton et al. 2015), phytochemical </w:t>
      </w:r>
      <w:r w:rsidRPr="00DF0473">
        <w:lastRenderedPageBreak/>
        <w:t>diversity (Richards et al. 2015; Salazar et al. 2016; Massad et al. 2017), and plant trait diversity (Schuldt et al. 2014; Coverdale et al. 2018).  How these factors might affect the distribution of herbivory among plants in a community is less studied (</w:t>
      </w:r>
      <w:proofErr w:type="spellStart"/>
      <w:r w:rsidRPr="00DF0473">
        <w:t>Zvereva</w:t>
      </w:r>
      <w:proofErr w:type="spellEnd"/>
      <w:r w:rsidRPr="00DF0473">
        <w:t xml:space="preserve"> et al. 2020), but it is expected that abundant resources, plant stress, and low plant diversity will favor higher herbivory with</w:t>
      </w:r>
      <w:r>
        <w:t xml:space="preserve"> distributions exhibiting more</w:t>
      </w:r>
      <w:r w:rsidRPr="00DF0473">
        <w:t xml:space="preserve"> positive skew and kurtosis (Cobb et al. 1997; Hunter </w:t>
      </w:r>
      <w:r>
        <w:t>&amp;</w:t>
      </w:r>
      <w:r w:rsidRPr="00DF0473">
        <w:t xml:space="preserve"> </w:t>
      </w:r>
      <w:proofErr w:type="spellStart"/>
      <w:r w:rsidRPr="00DF0473">
        <w:t>Forkner</w:t>
      </w:r>
      <w:proofErr w:type="spellEnd"/>
      <w:r w:rsidRPr="00DF0473">
        <w:t xml:space="preserve"> 1999; Pearson et al. 2003a,b; Dyer et al. 2004; Richards </w:t>
      </w:r>
      <w:r>
        <w:t>&amp;</w:t>
      </w:r>
      <w:r w:rsidRPr="00DF0473">
        <w:t xml:space="preserve"> Coley 2008; Dyer et al. 2012; Piper et al. 2018; Lynn </w:t>
      </w:r>
      <w:r>
        <w:t>&amp;</w:t>
      </w:r>
      <w:r w:rsidRPr="00DF0473">
        <w:t xml:space="preserve"> Fridley 2019). </w:t>
      </w:r>
      <w:r>
        <w:t xml:space="preserve">Specialist herbivory </w:t>
      </w:r>
      <w:proofErr w:type="gramStart"/>
      <w:r>
        <w:t>in particular may</w:t>
      </w:r>
      <w:proofErr w:type="gramEnd"/>
      <w:r>
        <w:t xml:space="preserve"> increase where species richness is lower as specialists may </w:t>
      </w:r>
      <w:r w:rsidRPr="000B420C">
        <w:t>more easily locate their preferred host plants where resources are concentrated (Janzen 1970; Root 1973).</w:t>
      </w:r>
    </w:p>
    <w:p w14:paraId="3EC459AA" w14:textId="6CEAE027" w:rsidR="00B71207" w:rsidRPr="00B71207" w:rsidRDefault="00585EBE" w:rsidP="00B71207">
      <w:pPr>
        <w:pStyle w:val="NoSpacing"/>
        <w:tabs>
          <w:tab w:val="left" w:pos="540"/>
        </w:tabs>
        <w:spacing w:line="480" w:lineRule="auto"/>
      </w:pPr>
      <w:r>
        <w:tab/>
      </w:r>
      <w:r w:rsidR="005164FA" w:rsidRPr="005164FA">
        <w:t xml:space="preserve">Elevated </w:t>
      </w:r>
      <w:r w:rsidR="000015A2" w:rsidRPr="005164FA">
        <w:t xml:space="preserve">levels </w:t>
      </w:r>
      <w:r w:rsidR="000015A2">
        <w:t xml:space="preserve">of </w:t>
      </w:r>
      <w:r w:rsidR="005164FA" w:rsidRPr="005164FA">
        <w:t xml:space="preserve">herbivory </w:t>
      </w:r>
      <w:r w:rsidR="005164FA">
        <w:t>can contribute substantially to</w:t>
      </w:r>
      <w:r w:rsidR="005164FA" w:rsidRPr="005164FA">
        <w:t xml:space="preserve"> ecological and evolutionary processes, </w:t>
      </w:r>
      <w:r w:rsidR="000015A2">
        <w:t>including</w:t>
      </w:r>
      <w:r w:rsidR="000015A2" w:rsidRPr="005164FA">
        <w:t xml:space="preserve"> </w:t>
      </w:r>
      <w:r w:rsidR="005164FA" w:rsidRPr="005164FA">
        <w:t xml:space="preserve">plant growth, survival, </w:t>
      </w:r>
      <w:r w:rsidR="005164FA">
        <w:t xml:space="preserve">reproduction, </w:t>
      </w:r>
      <w:r w:rsidR="005164FA" w:rsidRPr="005164FA">
        <w:t xml:space="preserve">population dynamics, and the </w:t>
      </w:r>
      <w:r w:rsidR="005164FA">
        <w:t>evolution</w:t>
      </w:r>
      <w:r w:rsidR="005164FA" w:rsidRPr="005164FA">
        <w:t xml:space="preserve"> of specialized metabolites (Clark &amp; Clark, 1985; Marquis, 1992; Carson &amp; Root, 2000; </w:t>
      </w:r>
      <w:proofErr w:type="spellStart"/>
      <w:r w:rsidR="005164FA" w:rsidRPr="005164FA">
        <w:t>Bebber</w:t>
      </w:r>
      <w:proofErr w:type="spellEnd"/>
      <w:r w:rsidR="005164FA" w:rsidRPr="005164FA">
        <w:t xml:space="preserve"> et al., 2004; Fine &amp; </w:t>
      </w:r>
      <w:proofErr w:type="spellStart"/>
      <w:r w:rsidR="005164FA" w:rsidRPr="005164FA">
        <w:t>Mesones</w:t>
      </w:r>
      <w:proofErr w:type="spellEnd"/>
      <w:r w:rsidR="005164FA" w:rsidRPr="005164FA">
        <w:t xml:space="preserve">, 2011; </w:t>
      </w:r>
      <w:proofErr w:type="spellStart"/>
      <w:r w:rsidR="005164FA" w:rsidRPr="005164FA">
        <w:t>Endara</w:t>
      </w:r>
      <w:proofErr w:type="spellEnd"/>
      <w:r w:rsidR="005164FA" w:rsidRPr="005164FA">
        <w:t xml:space="preserve"> et al., 2015). </w:t>
      </w:r>
      <w:r w:rsidR="00377B1C">
        <w:t xml:space="preserve">Variation in </w:t>
      </w:r>
      <w:r w:rsidR="004D69A1">
        <w:t xml:space="preserve">local </w:t>
      </w:r>
      <w:r w:rsidR="00377B1C">
        <w:t>e</w:t>
      </w:r>
      <w:r w:rsidR="005164FA" w:rsidRPr="005164FA">
        <w:t xml:space="preserve">nvironmental </w:t>
      </w:r>
      <w:r w:rsidR="00377B1C">
        <w:t>conditions</w:t>
      </w:r>
      <w:r w:rsidR="005164FA" w:rsidRPr="005164FA">
        <w:t xml:space="preserve">, particularly in light (Table 1, Hypothesis </w:t>
      </w:r>
      <w:r w:rsidR="008A090A">
        <w:t>7</w:t>
      </w:r>
      <w:r w:rsidR="005164FA" w:rsidRPr="005164FA">
        <w:t>) and nutrient availability, impact the extent of herbivory</w:t>
      </w:r>
      <w:r w:rsidR="000015A2">
        <w:t xml:space="preserve"> and its consequences</w:t>
      </w:r>
      <w:r w:rsidR="00B71207">
        <w:t xml:space="preserve"> for plants </w:t>
      </w:r>
      <w:r w:rsidR="005164FA" w:rsidRPr="005164FA">
        <w:t xml:space="preserve">(Hunter &amp; </w:t>
      </w:r>
      <w:proofErr w:type="spellStart"/>
      <w:r w:rsidR="005164FA" w:rsidRPr="005164FA">
        <w:t>Forkner</w:t>
      </w:r>
      <w:proofErr w:type="spellEnd"/>
      <w:r w:rsidR="005164FA" w:rsidRPr="005164FA">
        <w:t xml:space="preserve">, 1999; Pearson et al., 2003a, 2003b; Dyer et al., 2004a; Richards </w:t>
      </w:r>
      <w:r w:rsidR="007E659F">
        <w:t>and</w:t>
      </w:r>
      <w:r w:rsidR="005164FA" w:rsidRPr="005164FA">
        <w:t xml:space="preserve"> Coley, 2007, 2008; Piper et al., 2018; Lynn &amp; Fridley, 2019).</w:t>
      </w:r>
      <w:r w:rsidR="005164FA">
        <w:t xml:space="preserve"> </w:t>
      </w:r>
      <w:r w:rsidR="00110176" w:rsidRPr="00110176">
        <w:t>In addition, specialist and generalist herbivores may respond differently to environmental variation (Massad et al. 2017</w:t>
      </w:r>
      <w:r w:rsidR="00204BD3">
        <w:t>).</w:t>
      </w:r>
      <w:r w:rsidR="00B71207" w:rsidRPr="00B71207">
        <w:t xml:space="preserve"> Despite considerable empirical data documenting the consequences of </w:t>
      </w:r>
      <w:r w:rsidR="00B71207">
        <w:t>high levels</w:t>
      </w:r>
      <w:r w:rsidR="00B71207" w:rsidRPr="00B71207">
        <w:t xml:space="preserve"> of herbivory on individual plants, research characterizing large-scale patterns in herbivory often concentrates on mean</w:t>
      </w:r>
      <w:r w:rsidR="00204BD3">
        <w:t>s</w:t>
      </w:r>
      <w:r w:rsidR="00B71207" w:rsidRPr="00B71207">
        <w:t xml:space="preserve">, ignoring </w:t>
      </w:r>
      <w:r w:rsidR="00204BD3">
        <w:t xml:space="preserve">the </w:t>
      </w:r>
      <w:r w:rsidR="00B71207" w:rsidRPr="00B71207">
        <w:t>importan</w:t>
      </w:r>
      <w:r w:rsidR="00204BD3">
        <w:t xml:space="preserve">ce of </w:t>
      </w:r>
      <w:r w:rsidR="00B71207">
        <w:t>positive</w:t>
      </w:r>
      <w:r w:rsidR="00204BD3">
        <w:t>ly</w:t>
      </w:r>
      <w:r w:rsidR="00B71207">
        <w:t xml:space="preserve"> skew</w:t>
      </w:r>
      <w:r w:rsidR="00204BD3">
        <w:t>ed values of herbivory</w:t>
      </w:r>
      <w:r w:rsidR="00B71207" w:rsidRPr="00B71207">
        <w:t>.</w:t>
      </w:r>
    </w:p>
    <w:p w14:paraId="62B6E33C" w14:textId="0CBD518E" w:rsidR="00245DA3" w:rsidRPr="00DF0473" w:rsidRDefault="00245DA3" w:rsidP="002214EA">
      <w:pPr>
        <w:pStyle w:val="NoSpacing"/>
        <w:tabs>
          <w:tab w:val="left" w:pos="540"/>
        </w:tabs>
        <w:spacing w:line="480" w:lineRule="auto"/>
      </w:pPr>
      <w:r w:rsidRPr="00DF0473">
        <w:tab/>
        <w:t xml:space="preserve">Research on patterns of herbivory </w:t>
      </w:r>
      <w:r w:rsidR="00805BB9">
        <w:t>should supplement comparisons of</w:t>
      </w:r>
      <w:r w:rsidRPr="00DF0473">
        <w:t xml:space="preserve"> central tendencies </w:t>
      </w:r>
      <w:r w:rsidR="00805BB9">
        <w:t xml:space="preserve">with measures of </w:t>
      </w:r>
      <w:r w:rsidR="00E266D5">
        <w:t>variation</w:t>
      </w:r>
      <w:r w:rsidR="00E266D5" w:rsidRPr="00DF0473">
        <w:t xml:space="preserve"> </w:t>
      </w:r>
      <w:r w:rsidR="00E266D5">
        <w:t xml:space="preserve">in </w:t>
      </w:r>
      <w:r w:rsidRPr="00DF0473">
        <w:t>dispersion, skew, and kurtosis (</w:t>
      </w:r>
      <w:proofErr w:type="spellStart"/>
      <w:r w:rsidRPr="00DF0473">
        <w:t>Rasmann</w:t>
      </w:r>
      <w:proofErr w:type="spellEnd"/>
      <w:r w:rsidRPr="00DF0473">
        <w:t xml:space="preserve"> et al. 2014; Gao et al. </w:t>
      </w:r>
      <w:r w:rsidRPr="00DF0473">
        <w:lastRenderedPageBreak/>
        <w:t>2019; Kent et al. 2020)</w:t>
      </w:r>
      <w:r w:rsidR="00BC57B9" w:rsidRPr="00DF0473">
        <w:t>, but</w:t>
      </w:r>
      <w:r w:rsidR="000E7E33">
        <w:t xml:space="preserve"> there are limited attempts to document</w:t>
      </w:r>
      <w:r w:rsidR="00BC57B9" w:rsidRPr="00DF0473">
        <w:t xml:space="preserve"> </w:t>
      </w:r>
      <w:r w:rsidRPr="00DF0473">
        <w:t xml:space="preserve">patterns </w:t>
      </w:r>
      <w:r w:rsidR="00BC57B9" w:rsidRPr="00DF0473">
        <w:t>for</w:t>
      </w:r>
      <w:r w:rsidRPr="00DF0473">
        <w:t xml:space="preserve"> these </w:t>
      </w:r>
      <w:r w:rsidR="00BC57B9" w:rsidRPr="00DF0473">
        <w:t xml:space="preserve">additional moments of herbivory distributions </w:t>
      </w:r>
      <w:r w:rsidRPr="00DF0473">
        <w:t>across latitudinal, biotic, and other gradients</w:t>
      </w:r>
      <w:r w:rsidR="000E7E33">
        <w:t xml:space="preserve"> (https://herbvar.org)</w:t>
      </w:r>
      <w:r w:rsidRPr="00DF0473">
        <w:t>.  It is also challenging to predict how the distribution parameters of herbivory are affected at local scales by factors such as nutrient availability</w:t>
      </w:r>
      <w:r w:rsidR="004B22A6">
        <w:t>, community richness,</w:t>
      </w:r>
      <w:r w:rsidRPr="00DF0473">
        <w:t xml:space="preserve"> or natural enemies.  Even as some patterns are documented (for example, distributions of herbivory are characterized by strong positive skew, Massad et al. 2013; Massad et al. 2017; https://herbvar.org; Table 1), it will take careful </w:t>
      </w:r>
      <w:r w:rsidR="00E266D5">
        <w:t xml:space="preserve">and detailed </w:t>
      </w:r>
      <w:r w:rsidRPr="00DF0473">
        <w:t xml:space="preserve">study </w:t>
      </w:r>
      <w:r w:rsidR="004B22A6">
        <w:t>of</w:t>
      </w:r>
      <w:r w:rsidR="004B22A6" w:rsidRPr="00DF0473">
        <w:t xml:space="preserve"> </w:t>
      </w:r>
      <w:r w:rsidRPr="00DF0473">
        <w:t>well understood natural systems to generate clear predictions of how distributions of herbivory are shaped by diverse conditions across multiple scales.</w:t>
      </w:r>
    </w:p>
    <w:p w14:paraId="22A60972" w14:textId="347B3E1E" w:rsidR="00D0343A" w:rsidRPr="00DF0473" w:rsidRDefault="00183360" w:rsidP="00BB5F9E">
      <w:pPr>
        <w:pStyle w:val="NoSpacing"/>
        <w:spacing w:line="480" w:lineRule="auto"/>
      </w:pPr>
      <w:r w:rsidRPr="00DF0473">
        <w:tab/>
      </w:r>
      <w:r w:rsidR="00585EBE">
        <w:t>To address the need for both large scale and detailed local level research on herbivory, w</w:t>
      </w:r>
      <w:r w:rsidR="000D77E1" w:rsidRPr="00DF0473">
        <w:t xml:space="preserve">e </w:t>
      </w:r>
      <w:r w:rsidR="007376DE" w:rsidRPr="00DF0473">
        <w:t xml:space="preserve">collected </w:t>
      </w:r>
      <w:r w:rsidR="004B22A6">
        <w:t xml:space="preserve">herbivory </w:t>
      </w:r>
      <w:r w:rsidR="00585EBE">
        <w:t>data on</w:t>
      </w:r>
      <w:r w:rsidR="004B22A6">
        <w:t xml:space="preserve"> species in the plant genus</w:t>
      </w:r>
      <w:r w:rsidR="007376DE" w:rsidRPr="00DF0473">
        <w:t xml:space="preserve"> </w:t>
      </w:r>
      <w:r w:rsidR="007376DE" w:rsidRPr="00DF0473">
        <w:rPr>
          <w:i/>
          <w:iCs/>
        </w:rPr>
        <w:t>Piper</w:t>
      </w:r>
      <w:r w:rsidR="007376DE" w:rsidRPr="00DF0473">
        <w:t xml:space="preserve"> </w:t>
      </w:r>
      <w:r w:rsidR="00805BB9">
        <w:t>(</w:t>
      </w:r>
      <w:proofErr w:type="spellStart"/>
      <w:r w:rsidR="00805BB9">
        <w:t>Piperaceae</w:t>
      </w:r>
      <w:proofErr w:type="spellEnd"/>
      <w:r w:rsidR="00805BB9">
        <w:t xml:space="preserve">) </w:t>
      </w:r>
      <w:r w:rsidR="00721A27" w:rsidRPr="00DF0473">
        <w:t>across the Neotropic</w:t>
      </w:r>
      <w:r w:rsidR="009B7E61" w:rsidRPr="00DF0473">
        <w:t xml:space="preserve">s </w:t>
      </w:r>
      <w:r w:rsidR="007376DE" w:rsidRPr="00DF0473">
        <w:t>from the state of S</w:t>
      </w:r>
      <w:r w:rsidR="006E3D9F" w:rsidRPr="00DF0473">
        <w:t>ã</w:t>
      </w:r>
      <w:r w:rsidR="007376DE" w:rsidRPr="00DF0473">
        <w:t>o Paulo, Brazil to the Yucat</w:t>
      </w:r>
      <w:r w:rsidR="006E3D9F" w:rsidRPr="00DF0473">
        <w:t>á</w:t>
      </w:r>
      <w:r w:rsidR="007376DE" w:rsidRPr="00DF0473">
        <w:t xml:space="preserve">n Peninsula in </w:t>
      </w:r>
      <w:r w:rsidR="00911834" w:rsidRPr="00DF0473">
        <w:t>México</w:t>
      </w:r>
      <w:r w:rsidR="007376DE" w:rsidRPr="00DF0473">
        <w:t xml:space="preserve"> using </w:t>
      </w:r>
      <w:r w:rsidR="003E5DAC" w:rsidRPr="00DF0473">
        <w:t xml:space="preserve">standardized </w:t>
      </w:r>
      <w:r w:rsidR="00B66326" w:rsidRPr="00DF0473">
        <w:t>methods</w:t>
      </w:r>
      <w:r w:rsidR="000D77E1" w:rsidRPr="00DF0473">
        <w:t>.  We focused on a single</w:t>
      </w:r>
      <w:r w:rsidR="000E7E33">
        <w:t xml:space="preserve"> species-rich</w:t>
      </w:r>
      <w:r w:rsidR="000D77E1" w:rsidRPr="00DF0473">
        <w:t xml:space="preserve"> </w:t>
      </w:r>
      <w:r w:rsidR="0017144D" w:rsidRPr="00DF0473">
        <w:t xml:space="preserve">and abundant </w:t>
      </w:r>
      <w:r w:rsidR="000D77E1" w:rsidRPr="00DF0473">
        <w:t>plant genus to</w:t>
      </w:r>
      <w:r w:rsidR="004B22A6">
        <w:t xml:space="preserve"> allow</w:t>
      </w:r>
      <w:r w:rsidR="000D77E1" w:rsidRPr="00DF0473">
        <w:t xml:space="preserve"> compar</w:t>
      </w:r>
      <w:r w:rsidR="004B22A6">
        <w:t>ison</w:t>
      </w:r>
      <w:r w:rsidR="00585EBE">
        <w:t>s</w:t>
      </w:r>
      <w:r w:rsidR="004B22A6">
        <w:t xml:space="preserve"> of</w:t>
      </w:r>
      <w:r w:rsidR="000D77E1" w:rsidRPr="00DF0473">
        <w:t xml:space="preserve"> herbivory caused by similar assemblages of herbivores</w:t>
      </w:r>
      <w:r w:rsidR="009446C2" w:rsidRPr="00DF0473">
        <w:t xml:space="preserve"> </w:t>
      </w:r>
      <w:r w:rsidR="000D77E1" w:rsidRPr="00DF0473">
        <w:t>across environmental gradients</w:t>
      </w:r>
      <w:r w:rsidR="005614F5" w:rsidRPr="00DF0473">
        <w:t xml:space="preserve"> </w:t>
      </w:r>
      <w:r w:rsidR="00585EBE">
        <w:t xml:space="preserve">and within communities </w:t>
      </w:r>
      <w:r w:rsidR="005614F5" w:rsidRPr="00DF0473">
        <w:t>(</w:t>
      </w:r>
      <w:proofErr w:type="spellStart"/>
      <w:r w:rsidR="00064DD0" w:rsidRPr="00DF0473">
        <w:t>Anstett</w:t>
      </w:r>
      <w:proofErr w:type="spellEnd"/>
      <w:r w:rsidR="00064DD0" w:rsidRPr="00DF0473">
        <w:t xml:space="preserve"> </w:t>
      </w:r>
      <w:r w:rsidR="0082116C" w:rsidRPr="00DF0473">
        <w:t>et al.</w:t>
      </w:r>
      <w:r w:rsidR="004C0CE7" w:rsidRPr="00DF0473">
        <w:t xml:space="preserve"> </w:t>
      </w:r>
      <w:r w:rsidR="005614F5" w:rsidRPr="00DF0473">
        <w:t>2016</w:t>
      </w:r>
      <w:r w:rsidR="00B131E1" w:rsidRPr="00DF0473">
        <w:t>;</w:t>
      </w:r>
      <w:r w:rsidR="009446C2" w:rsidRPr="00DF0473">
        <w:t xml:space="preserve"> </w:t>
      </w:r>
      <w:proofErr w:type="spellStart"/>
      <w:r w:rsidR="009446C2" w:rsidRPr="00DF0473">
        <w:t>Zvereva</w:t>
      </w:r>
      <w:proofErr w:type="spellEnd"/>
      <w:r w:rsidR="009446C2" w:rsidRPr="00DF0473">
        <w:t xml:space="preserve"> </w:t>
      </w:r>
      <w:r w:rsidR="0082116C" w:rsidRPr="00DF0473">
        <w:t>et al.</w:t>
      </w:r>
      <w:r w:rsidR="004C0CE7" w:rsidRPr="00DF0473">
        <w:t xml:space="preserve"> </w:t>
      </w:r>
      <w:r w:rsidR="009446C2" w:rsidRPr="00DF0473">
        <w:t>2020</w:t>
      </w:r>
      <w:r w:rsidR="005614F5" w:rsidRPr="00DF0473">
        <w:t>)</w:t>
      </w:r>
      <w:r w:rsidR="0046142F" w:rsidRPr="00DF0473">
        <w:t>.  We asked what factors</w:t>
      </w:r>
      <w:r w:rsidR="000D77E1" w:rsidRPr="00DF0473">
        <w:t xml:space="preserve"> </w:t>
      </w:r>
      <w:r w:rsidR="0046142F" w:rsidRPr="00DF0473">
        <w:t>best explain variation in herbivory and whether</w:t>
      </w:r>
      <w:r w:rsidR="0099459B" w:rsidRPr="00DF0473">
        <w:t xml:space="preserve"> </w:t>
      </w:r>
      <w:r w:rsidR="00E71BA0" w:rsidRPr="00DF0473">
        <w:t xml:space="preserve">the </w:t>
      </w:r>
      <w:r w:rsidR="0099459B" w:rsidRPr="00DF0473">
        <w:t>effects of</w:t>
      </w:r>
      <w:r w:rsidR="0046142F" w:rsidRPr="00DF0473">
        <w:t xml:space="preserve"> these factors differ </w:t>
      </w:r>
      <w:r w:rsidR="00C6675B" w:rsidRPr="00DF0473">
        <w:t xml:space="preserve">across spatial </w:t>
      </w:r>
      <w:r w:rsidR="0046142F" w:rsidRPr="00DF0473">
        <w:t>scales</w:t>
      </w:r>
      <w:r w:rsidR="009446C2" w:rsidRPr="00DF0473">
        <w:t xml:space="preserve"> or among specialist </w:t>
      </w:r>
      <w:r w:rsidR="00C6675B" w:rsidRPr="00DF0473">
        <w:t>and</w:t>
      </w:r>
      <w:r w:rsidR="009446C2" w:rsidRPr="00DF0473">
        <w:t xml:space="preserve"> generalist herbivores</w:t>
      </w:r>
      <w:r w:rsidR="00D0343A" w:rsidRPr="00DF0473">
        <w:t xml:space="preserve"> (Table 1)</w:t>
      </w:r>
      <w:r w:rsidR="0046142F" w:rsidRPr="00DF0473">
        <w:t xml:space="preserve">.  </w:t>
      </w:r>
      <w:r w:rsidR="00245DA3" w:rsidRPr="00DF0473">
        <w:t>L</w:t>
      </w:r>
      <w:r w:rsidR="005012C4" w:rsidRPr="00DF0473">
        <w:t xml:space="preserve">arge-scale </w:t>
      </w:r>
      <w:r w:rsidR="00245DA3" w:rsidRPr="00DF0473">
        <w:t xml:space="preserve">variation in herbivory has </w:t>
      </w:r>
      <w:r w:rsidR="005012C4" w:rsidRPr="00DF0473">
        <w:t xml:space="preserve">rarely </w:t>
      </w:r>
      <w:r w:rsidR="0082116C" w:rsidRPr="00DF0473">
        <w:t xml:space="preserve">been </w:t>
      </w:r>
      <w:r w:rsidR="00245DA3" w:rsidRPr="00DF0473">
        <w:t xml:space="preserve">studied in datasets examining </w:t>
      </w:r>
      <w:r w:rsidR="00455328" w:rsidRPr="00DF0473">
        <w:t xml:space="preserve">local </w:t>
      </w:r>
      <w:r w:rsidR="001D3773" w:rsidRPr="00DF0473">
        <w:t>diversity</w:t>
      </w:r>
      <w:r w:rsidR="00245DA3" w:rsidRPr="00DF0473">
        <w:t xml:space="preserve"> and </w:t>
      </w:r>
      <w:r w:rsidR="001D3773" w:rsidRPr="00DF0473">
        <w:t xml:space="preserve">population density </w:t>
      </w:r>
      <w:r w:rsidR="005012C4" w:rsidRPr="00DF0473">
        <w:t>as predictors of</w:t>
      </w:r>
      <w:r w:rsidR="001D3773" w:rsidRPr="00DF0473">
        <w:t xml:space="preserve"> herbivory.  </w:t>
      </w:r>
      <w:r w:rsidR="0082116C" w:rsidRPr="00DF0473">
        <w:t xml:space="preserve">We </w:t>
      </w:r>
      <w:r w:rsidR="00FC2C24" w:rsidRPr="00DF0473">
        <w:t>asked</w:t>
      </w:r>
      <w:r w:rsidR="003A3404">
        <w:t>:</w:t>
      </w:r>
      <w:r w:rsidR="00584339">
        <w:t xml:space="preserve"> </w:t>
      </w:r>
      <w:r w:rsidR="00FC2C24" w:rsidRPr="00DF0473">
        <w:t xml:space="preserve"> </w:t>
      </w:r>
      <w:r w:rsidR="00553E3E" w:rsidRPr="00DF0473">
        <w:t>I</w:t>
      </w:r>
      <w:r w:rsidR="003A3404">
        <w:t>.</w:t>
      </w:r>
      <w:r w:rsidR="00455328" w:rsidRPr="00DF0473">
        <w:t xml:space="preserve"> </w:t>
      </w:r>
      <w:r w:rsidR="003A3404">
        <w:t>W</w:t>
      </w:r>
      <w:r w:rsidR="00FC2C24" w:rsidRPr="00DF0473">
        <w:t>hat variables affect the distribution parameters of herbivory</w:t>
      </w:r>
      <w:r w:rsidR="003A3404">
        <w:t>?</w:t>
      </w:r>
      <w:r w:rsidR="00455328" w:rsidRPr="00DF0473">
        <w:t xml:space="preserve"> </w:t>
      </w:r>
      <w:r w:rsidR="003A3404">
        <w:t xml:space="preserve"> </w:t>
      </w:r>
      <w:r w:rsidR="00553E3E" w:rsidRPr="00DF0473">
        <w:t>II</w:t>
      </w:r>
      <w:r w:rsidR="003A3404">
        <w:t>.</w:t>
      </w:r>
      <w:r w:rsidR="00BB5F9E" w:rsidRPr="00DF0473">
        <w:t xml:space="preserve"> </w:t>
      </w:r>
      <w:r w:rsidR="003A3404">
        <w:t>Are there</w:t>
      </w:r>
      <w:r w:rsidR="00BB5F9E" w:rsidRPr="00DF0473">
        <w:t xml:space="preserve"> </w:t>
      </w:r>
      <w:proofErr w:type="gramStart"/>
      <w:r w:rsidR="00FC2C24" w:rsidRPr="00DF0473">
        <w:t>site specific</w:t>
      </w:r>
      <w:proofErr w:type="gramEnd"/>
      <w:r w:rsidR="00FC2C24" w:rsidRPr="00DF0473">
        <w:t xml:space="preserve"> effects on the distribution of herbivory</w:t>
      </w:r>
      <w:r w:rsidR="003A3404">
        <w:t xml:space="preserve">? </w:t>
      </w:r>
      <w:r w:rsidR="00584339">
        <w:t xml:space="preserve"> </w:t>
      </w:r>
      <w:r w:rsidR="00245DA3" w:rsidRPr="00DF0473">
        <w:t>I</w:t>
      </w:r>
      <w:r w:rsidR="00FC77AC" w:rsidRPr="00DF0473">
        <w:t>II</w:t>
      </w:r>
      <w:r w:rsidR="003A3404">
        <w:t>.</w:t>
      </w:r>
      <w:r w:rsidR="00455328" w:rsidRPr="00DF0473">
        <w:t xml:space="preserve"> </w:t>
      </w:r>
      <w:r w:rsidR="003A3404">
        <w:t>Does</w:t>
      </w:r>
      <w:r w:rsidR="003A3404" w:rsidRPr="00DF0473">
        <w:t xml:space="preserve"> </w:t>
      </w:r>
      <w:r w:rsidR="00FC2C24" w:rsidRPr="00DF0473">
        <w:t>herbivory var</w:t>
      </w:r>
      <w:r w:rsidR="000065CE">
        <w:t>y</w:t>
      </w:r>
      <w:r w:rsidR="00FC2C24" w:rsidRPr="00DF0473">
        <w:t xml:space="preserve"> more at local </w:t>
      </w:r>
      <w:r w:rsidR="00746A91" w:rsidRPr="00DF0473">
        <w:t>(</w:t>
      </w:r>
      <w:r w:rsidR="0005282E">
        <w:t xml:space="preserve">within a </w:t>
      </w:r>
      <w:r w:rsidR="00746A91" w:rsidRPr="00DF0473">
        <w:t xml:space="preserve">plot) </w:t>
      </w:r>
      <w:r w:rsidR="00FC2C24" w:rsidRPr="00DF0473">
        <w:t>scales or regionally</w:t>
      </w:r>
      <w:r w:rsidR="00746A91" w:rsidRPr="00DF0473">
        <w:t xml:space="preserve"> (</w:t>
      </w:r>
      <w:r w:rsidR="0005282E">
        <w:t xml:space="preserve">between </w:t>
      </w:r>
      <w:r w:rsidR="00746A91" w:rsidRPr="00DF0473">
        <w:t>multiple plots across a forest)</w:t>
      </w:r>
      <w:r w:rsidR="003A3404">
        <w:t>?</w:t>
      </w:r>
      <w:r w:rsidR="00FC2C24" w:rsidRPr="00DF0473">
        <w:t xml:space="preserve"> </w:t>
      </w:r>
      <w:r w:rsidR="000E7E33">
        <w:t xml:space="preserve">In the context of these questions, </w:t>
      </w:r>
      <w:r w:rsidR="004B22A6">
        <w:t xml:space="preserve">the </w:t>
      </w:r>
      <w:r w:rsidR="000E7E33">
        <w:t xml:space="preserve">“distribution of herbivory” denotes a statistical summary of damage on individual plants. </w:t>
      </w:r>
      <w:r w:rsidR="004B22A6">
        <w:t xml:space="preserve">The distribution </w:t>
      </w:r>
      <w:r w:rsidR="000E7E33">
        <w:t xml:space="preserve">of herbivory across individual plants </w:t>
      </w:r>
      <w:r w:rsidR="000E7E33">
        <w:lastRenderedPageBreak/>
        <w:t xml:space="preserve">is summarized by central tendency, dispersion, skewness, and kurtosis, which are collectively known as the moments of the distribution. </w:t>
      </w:r>
    </w:p>
    <w:p w14:paraId="544F24B6" w14:textId="08F70F76" w:rsidR="00453256" w:rsidRDefault="008155D2" w:rsidP="008A090A">
      <w:pPr>
        <w:pStyle w:val="NoSpacing"/>
        <w:spacing w:line="480" w:lineRule="auto"/>
        <w:ind w:firstLine="720"/>
      </w:pPr>
      <w:r w:rsidRPr="00DF0473">
        <w:t>The research was guided by the following specific hypotheses</w:t>
      </w:r>
      <w:r w:rsidR="0005282E">
        <w:t xml:space="preserve"> which are summarized in Table 1.</w:t>
      </w:r>
      <w:r w:rsidR="00CA72CF" w:rsidRPr="00DF0473">
        <w:t xml:space="preserve"> </w:t>
      </w:r>
      <w:r w:rsidR="008A090A">
        <w:t xml:space="preserve"> </w:t>
      </w:r>
      <w:r w:rsidR="00DD22D7">
        <w:t>H</w:t>
      </w:r>
      <w:r w:rsidRPr="00DF0473">
        <w:t xml:space="preserve">1) </w:t>
      </w:r>
      <w:r w:rsidR="00CA72CF" w:rsidRPr="00DF0473">
        <w:t>H</w:t>
      </w:r>
      <w:r w:rsidR="009D2D15" w:rsidRPr="00DF0473">
        <w:t xml:space="preserve">erbivory </w:t>
      </w:r>
      <w:r w:rsidR="0017144D" w:rsidRPr="00DF0473">
        <w:t>may</w:t>
      </w:r>
      <w:r w:rsidR="009D2D15" w:rsidRPr="00DF0473">
        <w:t xml:space="preserve"> </w:t>
      </w:r>
      <w:r w:rsidR="0093149B" w:rsidRPr="00DF0473">
        <w:t xml:space="preserve">exhibit greater variability </w:t>
      </w:r>
      <w:r w:rsidR="00D0343A" w:rsidRPr="00DF0473">
        <w:t xml:space="preserve">across </w:t>
      </w:r>
      <w:r w:rsidR="00231E37" w:rsidRPr="00DF0473">
        <w:t>a</w:t>
      </w:r>
      <w:r w:rsidR="008B323C" w:rsidRPr="00DF0473">
        <w:t xml:space="preserve"> forest </w:t>
      </w:r>
      <w:r w:rsidR="00F34880" w:rsidRPr="00DF0473">
        <w:t>(</w:t>
      </w:r>
      <w:r w:rsidR="004C1AC4">
        <w:t xml:space="preserve">between </w:t>
      </w:r>
      <w:r w:rsidR="00C74BE9" w:rsidRPr="00DF0473">
        <w:t xml:space="preserve">all </w:t>
      </w:r>
      <w:r w:rsidR="00D0343A" w:rsidRPr="00DF0473">
        <w:t xml:space="preserve">congeners measured </w:t>
      </w:r>
      <w:r w:rsidR="00C74BE9" w:rsidRPr="00DF0473">
        <w:t xml:space="preserve">in multiple plots </w:t>
      </w:r>
      <w:r w:rsidR="004C1AC4">
        <w:t>in a forest</w:t>
      </w:r>
      <w:r w:rsidR="00F34880" w:rsidRPr="00DF0473">
        <w:t xml:space="preserve">) </w:t>
      </w:r>
      <w:r w:rsidR="0093149B" w:rsidRPr="00DF0473">
        <w:t>compared to</w:t>
      </w:r>
      <w:r w:rsidR="003831CF" w:rsidRPr="00DF0473">
        <w:t xml:space="preserve"> </w:t>
      </w:r>
      <w:r w:rsidR="008B323C" w:rsidRPr="00DF0473">
        <w:t xml:space="preserve">local </w:t>
      </w:r>
      <w:r w:rsidR="00FF30BA" w:rsidRPr="00DF0473">
        <w:rPr>
          <w:i/>
          <w:iCs/>
        </w:rPr>
        <w:t>Piper</w:t>
      </w:r>
      <w:r w:rsidR="00FF30BA" w:rsidRPr="00DF0473">
        <w:t xml:space="preserve"> </w:t>
      </w:r>
      <w:r w:rsidR="00F9410C">
        <w:t>assemblages</w:t>
      </w:r>
      <w:r w:rsidR="00F9410C" w:rsidRPr="00DF0473">
        <w:t xml:space="preserve"> </w:t>
      </w:r>
      <w:r w:rsidR="00F34880" w:rsidRPr="00DF0473">
        <w:t>(</w:t>
      </w:r>
      <w:r w:rsidR="004C1AC4">
        <w:t xml:space="preserve">between </w:t>
      </w:r>
      <w:r w:rsidR="00D0343A" w:rsidRPr="00DF0473">
        <w:t>congeners measure</w:t>
      </w:r>
      <w:r w:rsidR="00C74BE9" w:rsidRPr="00DF0473">
        <w:t>d</w:t>
      </w:r>
      <w:r w:rsidR="00D0343A" w:rsidRPr="00DF0473">
        <w:t xml:space="preserve"> </w:t>
      </w:r>
      <w:r w:rsidR="004C1AC4">
        <w:t>in the same plot</w:t>
      </w:r>
      <w:r w:rsidR="00F34880" w:rsidRPr="00DF0473">
        <w:t xml:space="preserve">) </w:t>
      </w:r>
      <w:r w:rsidR="008B323C" w:rsidRPr="00DF0473">
        <w:t>or</w:t>
      </w:r>
      <w:r w:rsidR="0017144D" w:rsidRPr="00DF0473">
        <w:t xml:space="preserve"> in</w:t>
      </w:r>
      <w:r w:rsidR="008B323C" w:rsidRPr="00DF0473">
        <w:t xml:space="preserve"> </w:t>
      </w:r>
      <w:r w:rsidR="00FF30BA" w:rsidRPr="00DF0473">
        <w:t>sub</w:t>
      </w:r>
      <w:r w:rsidR="008B323C" w:rsidRPr="00DF0473">
        <w:t>populations</w:t>
      </w:r>
      <w:r w:rsidR="00F34880" w:rsidRPr="00DF0473">
        <w:t xml:space="preserve"> </w:t>
      </w:r>
      <w:r w:rsidR="00FF30BA" w:rsidRPr="00DF0473">
        <w:t xml:space="preserve">of individual species </w:t>
      </w:r>
      <w:r w:rsidR="00F34880" w:rsidRPr="00DF0473">
        <w:t>(</w:t>
      </w:r>
      <w:r w:rsidR="004C1AC4">
        <w:t xml:space="preserve">between </w:t>
      </w:r>
      <w:r w:rsidR="00F34880" w:rsidRPr="00DF0473">
        <w:t xml:space="preserve">conspecifics in </w:t>
      </w:r>
      <w:r w:rsidR="004C1AC4">
        <w:t xml:space="preserve">a </w:t>
      </w:r>
      <w:r w:rsidR="005729AF" w:rsidRPr="00DF0473">
        <w:t>plot</w:t>
      </w:r>
      <w:r w:rsidR="00F34880" w:rsidRPr="00DF0473">
        <w:t>)</w:t>
      </w:r>
      <w:r w:rsidR="00D8767F" w:rsidRPr="00DF0473">
        <w:t xml:space="preserve">.  </w:t>
      </w:r>
      <w:r w:rsidR="008A090A">
        <w:t>H2</w:t>
      </w:r>
      <w:r w:rsidR="008A090A" w:rsidRPr="00DF0473">
        <w:t xml:space="preserve">) At the regional scale, </w:t>
      </w:r>
      <w:r w:rsidR="00953F95">
        <w:t>s</w:t>
      </w:r>
      <w:r w:rsidR="00953F95" w:rsidRPr="00953F95">
        <w:t xml:space="preserve">pecialist and generalist herbivory may be higher in seasonal habitats, where leaves may be shorter lived and less well </w:t>
      </w:r>
      <w:proofErr w:type="gramStart"/>
      <w:r w:rsidR="00953F95" w:rsidRPr="00953F95">
        <w:t xml:space="preserve">defended </w:t>
      </w:r>
      <w:r w:rsidR="008A090A" w:rsidRPr="00DF0473">
        <w:t xml:space="preserve"> (</w:t>
      </w:r>
      <w:proofErr w:type="gramEnd"/>
      <w:r w:rsidR="008A090A" w:rsidRPr="00DF0473">
        <w:t>Coley and Barone 1996)</w:t>
      </w:r>
      <w:r w:rsidR="0075166C">
        <w:t xml:space="preserve">.  </w:t>
      </w:r>
      <w:r w:rsidR="00953F95" w:rsidRPr="00953F95">
        <w:t>This result may be weaker for specialists as they are more locally abundant across their range (</w:t>
      </w:r>
      <w:proofErr w:type="spellStart"/>
      <w:r w:rsidR="00953F95" w:rsidRPr="00953F95">
        <w:t>Sudta</w:t>
      </w:r>
      <w:proofErr w:type="spellEnd"/>
      <w:r w:rsidR="00953F95" w:rsidRPr="00953F95">
        <w:t xml:space="preserve"> et al. 2022) and are better adapted to higher defenses. </w:t>
      </w:r>
      <w:r w:rsidR="008A090A">
        <w:t>H3</w:t>
      </w:r>
      <w:r w:rsidR="008A090A" w:rsidRPr="00DF0473">
        <w:t xml:space="preserve">) </w:t>
      </w:r>
      <w:r w:rsidR="00953F95" w:rsidRPr="00953F95">
        <w:t xml:space="preserve">Elevated temperatures generally increase metabolism, phenology, population dynamics, and host plant quality (e.g., Dyer et al. 2013), all of which contribute to a positive correlation between temperature and herbivory for both generalists and specialists. </w:t>
      </w:r>
      <w:r w:rsidR="006623D6">
        <w:t>S</w:t>
      </w:r>
      <w:r w:rsidR="00953F95" w:rsidRPr="00953F95">
        <w:t>ince specialists are more locally abundant than generalists, the distribution of generalist herbivory may be more susceptible to outliers, yielding higher variance and positive skew for generalists versus specialists across the ranges of temperature (</w:t>
      </w:r>
      <w:proofErr w:type="spellStart"/>
      <w:r w:rsidR="00953F95" w:rsidRPr="00953F95">
        <w:t>Sudta</w:t>
      </w:r>
      <w:proofErr w:type="spellEnd"/>
      <w:r w:rsidR="00953F95" w:rsidRPr="00953F95">
        <w:t xml:space="preserve"> et al. 2022). </w:t>
      </w:r>
      <w:r w:rsidR="008A090A" w:rsidRPr="00953F95">
        <w:t xml:space="preserve"> </w:t>
      </w:r>
      <w:r w:rsidR="008A090A">
        <w:t>H4</w:t>
      </w:r>
      <w:r w:rsidR="008A090A" w:rsidRPr="00DF0473">
        <w:t>) Herbivory may be elevated (both mean and skew) at lower latitudes</w:t>
      </w:r>
      <w:r w:rsidR="008A090A">
        <w:t xml:space="preserve">.  </w:t>
      </w:r>
      <w:r w:rsidR="00DD22D7">
        <w:t>H</w:t>
      </w:r>
      <w:r w:rsidR="001115E0">
        <w:t>5</w:t>
      </w:r>
      <w:r w:rsidR="00CA72CF" w:rsidRPr="00DF0473">
        <w:t xml:space="preserve">) </w:t>
      </w:r>
      <w:r w:rsidR="006D3826">
        <w:t>Community level parameters, such as t</w:t>
      </w:r>
      <w:r w:rsidR="0093149B" w:rsidRPr="00DF0473">
        <w:t xml:space="preserve">he abundance and richness of congeners (resource availability; Root 1973), </w:t>
      </w:r>
      <w:r w:rsidR="004C1AC4">
        <w:t>may</w:t>
      </w:r>
      <w:r w:rsidR="0093149B" w:rsidRPr="00DF0473">
        <w:t xml:space="preserve"> be better predictors of v</w:t>
      </w:r>
      <w:r w:rsidR="003831CF" w:rsidRPr="00DF0473">
        <w:t xml:space="preserve">ariation </w:t>
      </w:r>
      <w:r w:rsidR="00CA72CF" w:rsidRPr="00DF0473">
        <w:t>in herbivory</w:t>
      </w:r>
      <w:r w:rsidR="0093149B" w:rsidRPr="00DF0473">
        <w:t xml:space="preserve"> </w:t>
      </w:r>
      <w:r w:rsidR="009D2D15" w:rsidRPr="00DF0473">
        <w:t xml:space="preserve">than large scale </w:t>
      </w:r>
      <w:r w:rsidR="0093149B" w:rsidRPr="00DF0473">
        <w:t xml:space="preserve">factors that differ </w:t>
      </w:r>
      <w:r w:rsidR="009D2D15" w:rsidRPr="00DF0473">
        <w:t xml:space="preserve">across sites.  </w:t>
      </w:r>
      <w:r w:rsidR="001115E0">
        <w:t xml:space="preserve">Specialist herbivory </w:t>
      </w:r>
      <w:proofErr w:type="gramStart"/>
      <w:r w:rsidR="001115E0">
        <w:t>in particular may</w:t>
      </w:r>
      <w:proofErr w:type="gramEnd"/>
      <w:r w:rsidR="001115E0">
        <w:t xml:space="preserve"> increase where resources are more concentrated.  </w:t>
      </w:r>
      <w:r w:rsidR="00DD22D7">
        <w:t>H</w:t>
      </w:r>
      <w:r w:rsidR="008A090A">
        <w:t>7</w:t>
      </w:r>
      <w:r w:rsidRPr="00DF0473">
        <w:t xml:space="preserve">) </w:t>
      </w:r>
      <w:r w:rsidR="006D3826">
        <w:t>B</w:t>
      </w:r>
      <w:r w:rsidR="00AC516E" w:rsidRPr="00DF0473">
        <w:t xml:space="preserve">oth </w:t>
      </w:r>
      <w:r w:rsidR="009D2D15" w:rsidRPr="00DF0473">
        <w:t xml:space="preserve">mean herbivory </w:t>
      </w:r>
      <w:r w:rsidR="00CC6CA7" w:rsidRPr="00DF0473">
        <w:t xml:space="preserve">and variation in herbivory </w:t>
      </w:r>
      <w:r w:rsidR="004C1AC4">
        <w:t>may</w:t>
      </w:r>
      <w:r w:rsidR="009D2D15" w:rsidRPr="00DF0473">
        <w:t xml:space="preserve"> increase with </w:t>
      </w:r>
      <w:r w:rsidR="006D3826">
        <w:t xml:space="preserve">local </w:t>
      </w:r>
      <w:r w:rsidR="009D2D15" w:rsidRPr="00DF0473">
        <w:t>host plant abundance and decrease with species richness</w:t>
      </w:r>
      <w:r w:rsidR="00C74BE9" w:rsidRPr="00DF0473">
        <w:t xml:space="preserve">, </w:t>
      </w:r>
      <w:r w:rsidR="00652DE4" w:rsidRPr="00DF0473">
        <w:t>particularly</w:t>
      </w:r>
      <w:r w:rsidR="00C74BE9" w:rsidRPr="00DF0473">
        <w:t xml:space="preserve"> for specialist</w:t>
      </w:r>
      <w:r w:rsidR="00387785" w:rsidRPr="00DF0473">
        <w:t>s</w:t>
      </w:r>
      <w:r w:rsidR="001115E0">
        <w:t>.  H5)</w:t>
      </w:r>
      <w:r w:rsidR="001115E0" w:rsidRPr="00DF0473">
        <w:t xml:space="preserve"> </w:t>
      </w:r>
      <w:r w:rsidR="001115E0">
        <w:t>At the local scale, h</w:t>
      </w:r>
      <w:r w:rsidR="001115E0" w:rsidRPr="00DF0473">
        <w:t xml:space="preserve">erbivory in </w:t>
      </w:r>
      <w:r w:rsidR="001115E0">
        <w:t xml:space="preserve">plots with more open canopies </w:t>
      </w:r>
      <w:r w:rsidR="001115E0" w:rsidRPr="00DF0473">
        <w:t xml:space="preserve">may be less </w:t>
      </w:r>
      <w:r w:rsidR="001115E0" w:rsidRPr="00DF0473">
        <w:lastRenderedPageBreak/>
        <w:t>positively skewed</w:t>
      </w:r>
      <w:r w:rsidR="001115E0">
        <w:t xml:space="preserve"> as herbivore abundance decreases in harsher environments</w:t>
      </w:r>
      <w:r w:rsidR="001115E0" w:rsidRPr="00DF0473">
        <w:t xml:space="preserve"> (Richards </w:t>
      </w:r>
      <w:r w:rsidR="001115E0">
        <w:t>&amp;</w:t>
      </w:r>
      <w:r w:rsidR="001115E0" w:rsidRPr="00DF0473">
        <w:t xml:space="preserve"> Windsor 2007</w:t>
      </w:r>
      <w:r w:rsidR="001115E0">
        <w:t xml:space="preserve">; </w:t>
      </w:r>
      <w:r w:rsidR="00F62923" w:rsidRPr="00DF0473">
        <w:t xml:space="preserve">refer to </w:t>
      </w:r>
      <w:r w:rsidR="001115E0" w:rsidRPr="00DF0473">
        <w:t>Table 1</w:t>
      </w:r>
      <w:r w:rsidR="001115E0">
        <w:t xml:space="preserve"> for </w:t>
      </w:r>
      <w:r w:rsidR="00875B7C" w:rsidRPr="00DF0473">
        <w:t>detailed</w:t>
      </w:r>
      <w:r w:rsidR="00634AE8" w:rsidRPr="00DF0473">
        <w:t xml:space="preserve"> predictions </w:t>
      </w:r>
      <w:r w:rsidR="001115E0">
        <w:t>of all hypotheses</w:t>
      </w:r>
      <w:r w:rsidR="00BC2030" w:rsidRPr="00DF0473">
        <w:t>).</w:t>
      </w:r>
      <w:r w:rsidR="00BC2030">
        <w:t xml:space="preserve">  </w:t>
      </w:r>
    </w:p>
    <w:p w14:paraId="256EA657" w14:textId="650A457D" w:rsidR="00C32E03" w:rsidRPr="00262BB0" w:rsidRDefault="00C32E03" w:rsidP="002214EA">
      <w:pPr>
        <w:pStyle w:val="NoSpacing"/>
        <w:spacing w:line="480" w:lineRule="auto"/>
        <w:rPr>
          <w:b/>
          <w:bCs/>
        </w:rPr>
      </w:pPr>
      <w:r w:rsidRPr="00262BB0">
        <w:rPr>
          <w:b/>
          <w:bCs/>
        </w:rPr>
        <w:t>Methods</w:t>
      </w:r>
    </w:p>
    <w:p w14:paraId="2CDE553B" w14:textId="71DCEABD" w:rsidR="00854B3B" w:rsidRDefault="00D06770" w:rsidP="002214EA">
      <w:pPr>
        <w:pStyle w:val="NoSpacing"/>
        <w:spacing w:line="480" w:lineRule="auto"/>
      </w:pPr>
      <w:r>
        <w:rPr>
          <w:i/>
          <w:iCs/>
        </w:rPr>
        <w:tab/>
        <w:t xml:space="preserve">Field methods.  </w:t>
      </w:r>
      <w:r w:rsidR="003704B2">
        <w:t xml:space="preserve">Data were collected in standardized plots that were surveyed across </w:t>
      </w:r>
      <w:r w:rsidR="00E27AF9">
        <w:t>1</w:t>
      </w:r>
      <w:r w:rsidR="00300CD4">
        <w:t>6</w:t>
      </w:r>
      <w:r w:rsidR="00E27AF9">
        <w:t xml:space="preserve"> sites in the</w:t>
      </w:r>
      <w:r w:rsidR="003704B2">
        <w:t xml:space="preserve"> </w:t>
      </w:r>
      <w:r w:rsidR="003704B2" w:rsidRPr="006D3826">
        <w:t>Neotropics, from the Yucatán Peninsula in M</w:t>
      </w:r>
      <w:r w:rsidR="00E82326" w:rsidRPr="006D3826">
        <w:t>é</w:t>
      </w:r>
      <w:r w:rsidR="003704B2" w:rsidRPr="006D3826">
        <w:t>xico to the Mata Atlântica of Brazil</w:t>
      </w:r>
      <w:r w:rsidR="003A0BA9" w:rsidRPr="006D3826">
        <w:t xml:space="preserve"> (Fig. </w:t>
      </w:r>
      <w:r w:rsidR="003D23CE" w:rsidRPr="006D3826">
        <w:t>1</w:t>
      </w:r>
      <w:r w:rsidR="003A0BA9" w:rsidRPr="006D3826">
        <w:t>)</w:t>
      </w:r>
      <w:r w:rsidR="003704B2" w:rsidRPr="006D3826">
        <w:t xml:space="preserve">.  </w:t>
      </w:r>
      <w:r w:rsidR="004C3E33">
        <w:t xml:space="preserve">Plots were </w:t>
      </w:r>
      <w:r w:rsidR="00252F9F">
        <w:t xml:space="preserve">surveyed </w:t>
      </w:r>
      <w:r w:rsidR="004C3E33">
        <w:t xml:space="preserve">between 2013 and 2020 </w:t>
      </w:r>
      <w:r w:rsidR="00404A95">
        <w:t>in</w:t>
      </w:r>
      <w:r w:rsidR="004C3E33">
        <w:t xml:space="preserve"> the following ecosystems: t</w:t>
      </w:r>
      <w:r w:rsidR="003704B2">
        <w:t xml:space="preserve">hree seasonally dry sites in the Yucatán, one site in a Costa Rican lowland wet forest, two sites in wet forest of the </w:t>
      </w:r>
      <w:r w:rsidR="002638FB">
        <w:t xml:space="preserve">central </w:t>
      </w:r>
      <w:r w:rsidR="003704B2">
        <w:t xml:space="preserve">Amazon in Brazil, one cloud forest site </w:t>
      </w:r>
      <w:r w:rsidR="00404A95">
        <w:t>i</w:t>
      </w:r>
      <w:r w:rsidR="003704B2">
        <w:t xml:space="preserve">n the eastern Andes in Ecuador, </w:t>
      </w:r>
      <w:r w:rsidR="00B52638">
        <w:t>two</w:t>
      </w:r>
      <w:r w:rsidR="003704B2">
        <w:t xml:space="preserve"> mid</w:t>
      </w:r>
      <w:r w:rsidR="00B52638">
        <w:t>-</w:t>
      </w:r>
      <w:r w:rsidR="003704B2">
        <w:t>elevation wet forest sites</w:t>
      </w:r>
      <w:r w:rsidR="00B52638">
        <w:t xml:space="preserve"> and one cloud forest site</w:t>
      </w:r>
      <w:r w:rsidR="003704B2">
        <w:t xml:space="preserve"> in </w:t>
      </w:r>
      <w:r w:rsidR="00B52638">
        <w:t xml:space="preserve">Perú, one </w:t>
      </w:r>
      <w:r w:rsidR="00037F61">
        <w:t xml:space="preserve">seasonal </w:t>
      </w:r>
      <w:r w:rsidR="00B52638">
        <w:t xml:space="preserve">forest in the middle-northern Mata Atlântica, </w:t>
      </w:r>
      <w:r w:rsidR="00E60CCE">
        <w:t xml:space="preserve">one gallery forest in the cerrado, </w:t>
      </w:r>
      <w:r w:rsidR="00B52638">
        <w:t xml:space="preserve">and </w:t>
      </w:r>
      <w:r w:rsidR="00641EF6">
        <w:t>two seasonal and two wet forest</w:t>
      </w:r>
      <w:r w:rsidR="00037F61">
        <w:t xml:space="preserve"> </w:t>
      </w:r>
      <w:r w:rsidR="00B52638">
        <w:t>sites in the middle-southern Mata Atlântica (</w:t>
      </w:r>
      <w:r w:rsidR="003A4466">
        <w:t xml:space="preserve">Supporting Information </w:t>
      </w:r>
      <w:r w:rsidR="00B52638">
        <w:t>Table 1).</w:t>
      </w:r>
      <w:r w:rsidR="00E60CCE">
        <w:t xml:space="preserve">  </w:t>
      </w:r>
    </w:p>
    <w:p w14:paraId="12B35753" w14:textId="618E14D0" w:rsidR="00BA2DD6" w:rsidRPr="003F4CF7" w:rsidRDefault="00854B3B" w:rsidP="002214EA">
      <w:pPr>
        <w:pStyle w:val="NoSpacing"/>
        <w:spacing w:line="480" w:lineRule="auto"/>
        <w:rPr>
          <w:i/>
          <w:iCs/>
        </w:rPr>
      </w:pPr>
      <w:r>
        <w:tab/>
      </w:r>
      <w:r w:rsidR="00E60CCE">
        <w:t xml:space="preserve">Plots </w:t>
      </w:r>
      <w:r w:rsidR="00F85C9E">
        <w:t>consisted of</w:t>
      </w:r>
      <w:r w:rsidR="00E60CCE">
        <w:t xml:space="preserve"> 10 m diameter (</w:t>
      </w:r>
      <w:r w:rsidR="00E82326">
        <w:t xml:space="preserve">78.5 </w:t>
      </w:r>
      <w:r w:rsidR="00E60CCE">
        <w:t>m</w:t>
      </w:r>
      <w:r w:rsidR="00E60CCE" w:rsidRPr="00E60CCE">
        <w:rPr>
          <w:vertAlign w:val="superscript"/>
        </w:rPr>
        <w:t>2</w:t>
      </w:r>
      <w:r w:rsidR="00E60CCE">
        <w:t xml:space="preserve">) circles that were centered on a </w:t>
      </w:r>
      <w:r w:rsidR="00CD224E">
        <w:t>haphazardly selected</w:t>
      </w:r>
      <w:r w:rsidR="00573DE8">
        <w:t xml:space="preserve"> </w:t>
      </w:r>
      <w:r w:rsidR="00E60CCE" w:rsidRPr="00E60CCE">
        <w:rPr>
          <w:i/>
          <w:iCs/>
        </w:rPr>
        <w:t>Piper</w:t>
      </w:r>
      <w:r w:rsidR="00E60CCE">
        <w:t xml:space="preserve"> individual at least </w:t>
      </w:r>
      <w:r w:rsidR="002638FB">
        <w:t>2</w:t>
      </w:r>
      <w:r w:rsidR="00E60CCE">
        <w:t>0 m from any</w:t>
      </w:r>
      <w:r w:rsidR="00E82326">
        <w:t xml:space="preserve"> forest</w:t>
      </w:r>
      <w:r w:rsidR="00E60CCE">
        <w:t xml:space="preserve"> edge.  Within the plots, all </w:t>
      </w:r>
      <w:r w:rsidR="00E60CCE" w:rsidRPr="006E3D9F">
        <w:rPr>
          <w:i/>
          <w:iCs/>
        </w:rPr>
        <w:t>Piper</w:t>
      </w:r>
      <w:r w:rsidR="00E60CCE">
        <w:t xml:space="preserve"> individuals were searched for caterpillars, and herbivory was measured by eye as estimated percent leaf area missing.  </w:t>
      </w:r>
      <w:r w:rsidR="00075C9A" w:rsidRPr="001877F9">
        <w:t xml:space="preserve">Herbivory was measured as a continuous variable for entire individuals (not subsets of leaves).  </w:t>
      </w:r>
      <w:r w:rsidR="00FC7714" w:rsidRPr="001877F9">
        <w:t xml:space="preserve">Specialist and generalist herbivory were separated as accurately as possible based on typical patterns of herbivore damage on </w:t>
      </w:r>
      <w:r w:rsidR="00FC7714" w:rsidRPr="001877F9">
        <w:rPr>
          <w:i/>
          <w:iCs/>
        </w:rPr>
        <w:t>Piper</w:t>
      </w:r>
      <w:r w:rsidR="00FC7714" w:rsidRPr="001877F9">
        <w:t xml:space="preserve"> (Dyer </w:t>
      </w:r>
      <w:r w:rsidR="0082116C">
        <w:t>et al.</w:t>
      </w:r>
      <w:r w:rsidR="004C0CE7" w:rsidRPr="001877F9">
        <w:t xml:space="preserve"> </w:t>
      </w:r>
      <w:r w:rsidR="00FC7714" w:rsidRPr="001877F9">
        <w:t xml:space="preserve">2010).  </w:t>
      </w:r>
      <w:r w:rsidR="00037F61" w:rsidRPr="001877F9">
        <w:t xml:space="preserve">For example, much herbivory on </w:t>
      </w:r>
      <w:r w:rsidR="00037F61" w:rsidRPr="001877F9">
        <w:rPr>
          <w:i/>
          <w:iCs/>
        </w:rPr>
        <w:t>Piper</w:t>
      </w:r>
      <w:r w:rsidR="00037F61" w:rsidRPr="001877F9">
        <w:t xml:space="preserve"> comes from specialist </w:t>
      </w:r>
      <w:proofErr w:type="spellStart"/>
      <w:r w:rsidR="00037F61" w:rsidRPr="001877F9">
        <w:rPr>
          <w:i/>
          <w:iCs/>
        </w:rPr>
        <w:t>Eois</w:t>
      </w:r>
      <w:proofErr w:type="spellEnd"/>
      <w:r w:rsidR="00037F61" w:rsidRPr="001877F9">
        <w:t xml:space="preserve"> </w:t>
      </w:r>
      <w:r w:rsidR="00075C9A" w:rsidRPr="001877F9">
        <w:t>caterpillars</w:t>
      </w:r>
      <w:r w:rsidR="00037F61" w:rsidRPr="001877F9">
        <w:t xml:space="preserve"> and specialist Chrysomelidae and Curculionidae; the damage from these groups is easily differentiated from damage from generalist Acrididae or generalist caterpillars (Dyer </w:t>
      </w:r>
      <w:r w:rsidR="0082116C">
        <w:t>et al.</w:t>
      </w:r>
      <w:r w:rsidR="00037F61" w:rsidRPr="001877F9">
        <w:t xml:space="preserve"> 2010).  </w:t>
      </w:r>
      <w:r w:rsidR="008155D2" w:rsidRPr="001877F9">
        <w:t>For these measures of herbivory, s</w:t>
      </w:r>
      <w:r w:rsidR="00075C9A" w:rsidRPr="001877F9">
        <w:t xml:space="preserve">pecialists </w:t>
      </w:r>
      <w:r w:rsidR="008155D2" w:rsidRPr="001877F9">
        <w:t xml:space="preserve">feed only on </w:t>
      </w:r>
      <w:r w:rsidR="008155D2" w:rsidRPr="001877F9">
        <w:rPr>
          <w:i/>
        </w:rPr>
        <w:t>Piper</w:t>
      </w:r>
      <w:r w:rsidR="008155D2" w:rsidRPr="001877F9">
        <w:t xml:space="preserve"> but </w:t>
      </w:r>
      <w:r w:rsidR="00075C9A" w:rsidRPr="001877F9">
        <w:t>may consume multiple congeners</w:t>
      </w:r>
      <w:r w:rsidR="008155D2" w:rsidRPr="001877F9">
        <w:t xml:space="preserve">, while generalists feed on plants that </w:t>
      </w:r>
      <w:r w:rsidR="00DC57DD">
        <w:t xml:space="preserve">include species </w:t>
      </w:r>
      <w:r w:rsidR="006D3826">
        <w:t xml:space="preserve">outside the </w:t>
      </w:r>
      <w:proofErr w:type="spellStart"/>
      <w:r w:rsidR="008155D2" w:rsidRPr="001877F9">
        <w:t>Piperaceae</w:t>
      </w:r>
      <w:proofErr w:type="spellEnd"/>
      <w:r w:rsidR="008155D2" w:rsidRPr="001877F9">
        <w:t xml:space="preserve"> (</w:t>
      </w:r>
      <w:proofErr w:type="gramStart"/>
      <w:r w:rsidR="008155D2" w:rsidRPr="001877F9">
        <w:t>i.e.</w:t>
      </w:r>
      <w:proofErr w:type="gramEnd"/>
      <w:r w:rsidR="008155D2" w:rsidRPr="001877F9">
        <w:t xml:space="preserve"> at least </w:t>
      </w:r>
      <w:r w:rsidR="006D3826">
        <w:t>two</w:t>
      </w:r>
      <w:r w:rsidR="008155D2" w:rsidRPr="001877F9">
        <w:t xml:space="preserve"> families of plants)</w:t>
      </w:r>
      <w:r w:rsidR="00075C9A" w:rsidRPr="001877F9">
        <w:t xml:space="preserve">.  </w:t>
      </w:r>
      <w:r w:rsidR="00056FC7" w:rsidRPr="001877F9">
        <w:rPr>
          <w:i/>
          <w:iCs/>
        </w:rPr>
        <w:t xml:space="preserve">Piper </w:t>
      </w:r>
      <w:r w:rsidR="00056FC7" w:rsidRPr="001877F9">
        <w:t>leaves are long-lived</w:t>
      </w:r>
      <w:r w:rsidR="008155D2" w:rsidRPr="001877F9">
        <w:t xml:space="preserve"> (most species in this study have leaves that can </w:t>
      </w:r>
      <w:r w:rsidR="008155D2" w:rsidRPr="001877F9">
        <w:lastRenderedPageBreak/>
        <w:t>live over 5 years)</w:t>
      </w:r>
      <w:r w:rsidR="00DD40AF" w:rsidRPr="001877F9">
        <w:t xml:space="preserve">, so while </w:t>
      </w:r>
      <w:r w:rsidR="008155D2" w:rsidRPr="001877F9">
        <w:t xml:space="preserve">some insect </w:t>
      </w:r>
      <w:r w:rsidR="00DD40AF" w:rsidRPr="001877F9">
        <w:t xml:space="preserve">herbivores </w:t>
      </w:r>
      <w:r w:rsidR="008155D2" w:rsidRPr="001877F9">
        <w:t xml:space="preserve">may be </w:t>
      </w:r>
      <w:r w:rsidR="00DD40AF" w:rsidRPr="001877F9">
        <w:t>seasonal, measures of standing herbivory on a given plant should not be affected by season (</w:t>
      </w:r>
      <w:r w:rsidR="001877F9" w:rsidRPr="001877F9">
        <w:rPr>
          <w:color w:val="000000" w:themeColor="text1"/>
        </w:rPr>
        <w:t>Dyer and Palmer 2004</w:t>
      </w:r>
      <w:r w:rsidR="00DD40AF" w:rsidRPr="001877F9">
        <w:t xml:space="preserve">).  </w:t>
      </w:r>
      <w:r w:rsidR="00E60CCE" w:rsidRPr="001877F9">
        <w:t>T</w:t>
      </w:r>
      <w:r w:rsidR="00FC7714" w:rsidRPr="001877F9">
        <w:t>o standardize data collection, t</w:t>
      </w:r>
      <w:r w:rsidR="00E60CCE" w:rsidRPr="001877F9">
        <w:t xml:space="preserve">he same researcher </w:t>
      </w:r>
      <w:r w:rsidR="00F85C9E" w:rsidRPr="001877F9">
        <w:t xml:space="preserve">(TJM) </w:t>
      </w:r>
      <w:r w:rsidR="00E60CCE" w:rsidRPr="001877F9">
        <w:t xml:space="preserve">was present at </w:t>
      </w:r>
      <w:r w:rsidR="006E3D9F" w:rsidRPr="001877F9">
        <w:t>ten</w:t>
      </w:r>
      <w:r w:rsidR="00E60CCE" w:rsidRPr="001877F9">
        <w:t xml:space="preserve"> of the sites, and she </w:t>
      </w:r>
      <w:r w:rsidR="00FC7714" w:rsidRPr="001877F9">
        <w:t>trained researchers who collected data at four of the other sites</w:t>
      </w:r>
      <w:r w:rsidR="00A72198" w:rsidRPr="001877F9">
        <w:t>,</w:t>
      </w:r>
      <w:r w:rsidR="00FC7714" w:rsidRPr="001877F9">
        <w:t xml:space="preserve"> as well as </w:t>
      </w:r>
      <w:r w:rsidR="0043200A" w:rsidRPr="001877F9">
        <w:t>researchers who</w:t>
      </w:r>
      <w:r w:rsidR="00FC7714" w:rsidRPr="001877F9">
        <w:t xml:space="preserve"> worked directly with her.  At the remaining two sites, researchers with </w:t>
      </w:r>
      <w:r w:rsidR="00997DBF" w:rsidRPr="001877F9">
        <w:t>extensive</w:t>
      </w:r>
      <w:r w:rsidR="00FC7714" w:rsidRPr="001877F9">
        <w:t xml:space="preserve"> experience working with </w:t>
      </w:r>
      <w:r w:rsidR="00FC7714" w:rsidRPr="001877F9">
        <w:rPr>
          <w:i/>
          <w:iCs/>
        </w:rPr>
        <w:t>Piper</w:t>
      </w:r>
      <w:r w:rsidR="00FC7714" w:rsidRPr="001877F9">
        <w:t xml:space="preserve"> collected the data</w:t>
      </w:r>
      <w:r w:rsidR="00F34880" w:rsidRPr="001877F9">
        <w:t xml:space="preserve"> (HGL, WS)</w:t>
      </w:r>
      <w:r w:rsidR="00FC7714" w:rsidRPr="001877F9">
        <w:t xml:space="preserve">.  All </w:t>
      </w:r>
      <w:r w:rsidR="00FC7714" w:rsidRPr="001877F9">
        <w:rPr>
          <w:i/>
          <w:iCs/>
        </w:rPr>
        <w:t>Piper</w:t>
      </w:r>
      <w:r w:rsidR="00FC7714" w:rsidRPr="001877F9">
        <w:t xml:space="preserve"> individuals were identified to species or morphospecies, and the number of leaves was counted for each plant.  Leaf area was measured on a minimum of ten randomly selected leaves per species</w:t>
      </w:r>
      <w:r w:rsidR="00D03325" w:rsidRPr="001877F9">
        <w:t xml:space="preserve"> using a gridded transparency</w:t>
      </w:r>
      <w:r w:rsidR="00FC7714" w:rsidRPr="001877F9">
        <w:t xml:space="preserve">.  </w:t>
      </w:r>
      <w:r w:rsidR="00BA2DD6" w:rsidRPr="001877F9">
        <w:t xml:space="preserve">Canopy openness was measured with a spherical </w:t>
      </w:r>
      <w:proofErr w:type="spellStart"/>
      <w:r w:rsidR="00BA2DD6" w:rsidRPr="001877F9">
        <w:t>densiometer</w:t>
      </w:r>
      <w:proofErr w:type="spellEnd"/>
      <w:r w:rsidR="00BA2DD6" w:rsidRPr="001877F9">
        <w:t xml:space="preserve"> in the center of plots at all sites except </w:t>
      </w:r>
      <w:r w:rsidR="00E82326" w:rsidRPr="001877F9">
        <w:t xml:space="preserve">in </w:t>
      </w:r>
      <w:r w:rsidR="00BA2DD6" w:rsidRPr="001877F9">
        <w:t xml:space="preserve">Ecuador and </w:t>
      </w:r>
      <w:r w:rsidR="00E82326" w:rsidRPr="001877F9">
        <w:t>Perú</w:t>
      </w:r>
      <w:r w:rsidR="00BA2DD6" w:rsidRPr="001877F9">
        <w:t xml:space="preserve">.  Understory richness was measured as the number of woody morphospecies </w:t>
      </w:r>
      <w:r w:rsidR="004B1FD1" w:rsidRPr="001877F9">
        <w:t>with leaves</w:t>
      </w:r>
      <w:r w:rsidR="00BA2DD6" w:rsidRPr="001877F9">
        <w:t xml:space="preserve"> between 50 cm and 2 m in</w:t>
      </w:r>
      <w:r w:rsidR="00A607B2">
        <w:t xml:space="preserve"> height in</w:t>
      </w:r>
      <w:r w:rsidR="00BA2DD6" w:rsidRPr="001877F9">
        <w:t xml:space="preserve"> plots </w:t>
      </w:r>
      <w:r w:rsidR="00E82326" w:rsidRPr="001877F9">
        <w:t>at all sites except México</w:t>
      </w:r>
      <w:r w:rsidR="00BA2DD6" w:rsidRPr="001877F9">
        <w:t>.</w:t>
      </w:r>
      <w:r w:rsidR="00DE344A" w:rsidRPr="001877F9">
        <w:t xml:space="preserve">  </w:t>
      </w:r>
      <w:r w:rsidR="00075C9A" w:rsidRPr="001877F9">
        <w:t>Each plot was evaluated once.</w:t>
      </w:r>
      <w:r w:rsidR="00215703">
        <w:t xml:space="preserve">  </w:t>
      </w:r>
    </w:p>
    <w:p w14:paraId="2D20F095" w14:textId="000DAD53" w:rsidR="00C32E03" w:rsidRPr="00D06770" w:rsidRDefault="00D06770" w:rsidP="006D3826">
      <w:pPr>
        <w:pStyle w:val="NoSpacing"/>
        <w:spacing w:line="480" w:lineRule="auto"/>
        <w:rPr>
          <w:i/>
          <w:iCs/>
        </w:rPr>
      </w:pPr>
      <w:r>
        <w:rPr>
          <w:i/>
          <w:iCs/>
        </w:rPr>
        <w:tab/>
      </w:r>
      <w:r w:rsidR="00C32E03" w:rsidRPr="00334F1C">
        <w:rPr>
          <w:i/>
          <w:iCs/>
        </w:rPr>
        <w:t>Climate data</w:t>
      </w:r>
      <w:r>
        <w:rPr>
          <w:i/>
          <w:iCs/>
        </w:rPr>
        <w:t xml:space="preserve">.  </w:t>
      </w:r>
      <w:r w:rsidR="006D3826">
        <w:t xml:space="preserve">To describe seasonality in precipitation, data from 2011 through 2019 were extracted from </w:t>
      </w:r>
      <w:r w:rsidR="006D3826" w:rsidRPr="00E44EFC">
        <w:t>https://climatedataguide.ucar.edu/climate-data/gpcc-global-precipitation-climatology-centre</w:t>
      </w:r>
      <w:r w:rsidR="006D3826">
        <w:t xml:space="preserve"> for all sites, and the coefficient of variation in precipitation was calculated</w:t>
      </w:r>
      <w:r w:rsidR="006D3826" w:rsidRPr="001877F9">
        <w:t xml:space="preserve">.  </w:t>
      </w:r>
      <w:r w:rsidR="006D3826" w:rsidRPr="003F323D">
        <w:t>The coefficient of variation in precipitation is a standard means of describing seasonality (e.g., https://www.worldclim.org/data/bioclim.html), and our group has used this as a</w:t>
      </w:r>
      <w:r w:rsidR="006D3826">
        <w:t>n informative</w:t>
      </w:r>
      <w:r w:rsidR="006D3826" w:rsidRPr="003F323D">
        <w:t xml:space="preserve"> predictor in statistical models (</w:t>
      </w:r>
      <w:proofErr w:type="spellStart"/>
      <w:r w:rsidR="006D3826" w:rsidRPr="003F323D">
        <w:t>Stireman</w:t>
      </w:r>
      <w:proofErr w:type="spellEnd"/>
      <w:r w:rsidR="006D3826" w:rsidRPr="003F323D">
        <w:t xml:space="preserve"> et al. 2005</w:t>
      </w:r>
      <w:r w:rsidR="006D3826">
        <w:t xml:space="preserve">).  </w:t>
      </w:r>
      <w:r w:rsidR="006D3826" w:rsidRPr="001877F9">
        <w:t>Throughout the paper, ‘seasonality’ refers to the coefficient of variation in precipitation.</w:t>
      </w:r>
      <w:r w:rsidR="006D3826">
        <w:t xml:space="preserve"> </w:t>
      </w:r>
      <w:r w:rsidR="00C32E03">
        <w:t xml:space="preserve">Data on temperature and precipitation for the </w:t>
      </w:r>
      <w:proofErr w:type="spellStart"/>
      <w:r w:rsidR="00C32E03">
        <w:t>Reserva</w:t>
      </w:r>
      <w:proofErr w:type="spellEnd"/>
      <w:r w:rsidR="00C32E03">
        <w:t xml:space="preserve"> Adolfo </w:t>
      </w:r>
      <w:proofErr w:type="spellStart"/>
      <w:r w:rsidR="00C32E03">
        <w:t>Ducke</w:t>
      </w:r>
      <w:proofErr w:type="spellEnd"/>
      <w:r w:rsidR="00C32E03">
        <w:t xml:space="preserve"> are annual averages from 2000-2014 and were provided by the Instituto Nacional de </w:t>
      </w:r>
      <w:proofErr w:type="spellStart"/>
      <w:r w:rsidR="00C32E03">
        <w:t>Pesquisas</w:t>
      </w:r>
      <w:proofErr w:type="spellEnd"/>
      <w:r w:rsidR="00C32E03">
        <w:t xml:space="preserve"> da Ama</w:t>
      </w:r>
      <w:r w:rsidR="00C32E03" w:rsidRPr="00D8198A">
        <w:t>zônia.  Data for Mogi-</w:t>
      </w:r>
      <w:proofErr w:type="spellStart"/>
      <w:r w:rsidR="00C32E03" w:rsidRPr="00D8198A">
        <w:t>Guaçu</w:t>
      </w:r>
      <w:proofErr w:type="spellEnd"/>
      <w:r w:rsidR="00C32E03">
        <w:t xml:space="preserve"> are from </w:t>
      </w:r>
      <w:r w:rsidR="007770AA">
        <w:t xml:space="preserve">January 2017-December 2019 and are from the </w:t>
      </w:r>
      <w:r w:rsidR="007770AA" w:rsidRPr="007770AA">
        <w:t xml:space="preserve">Centro </w:t>
      </w:r>
      <w:proofErr w:type="spellStart"/>
      <w:r w:rsidR="007770AA">
        <w:t>I</w:t>
      </w:r>
      <w:r w:rsidR="007770AA" w:rsidRPr="007770AA">
        <w:t>ntegrado</w:t>
      </w:r>
      <w:proofErr w:type="spellEnd"/>
      <w:r w:rsidR="007770AA" w:rsidRPr="007770AA">
        <w:t xml:space="preserve"> de </w:t>
      </w:r>
      <w:proofErr w:type="spellStart"/>
      <w:r w:rsidR="007770AA">
        <w:t>I</w:t>
      </w:r>
      <w:r w:rsidR="007770AA" w:rsidRPr="007770AA">
        <w:t>nformações</w:t>
      </w:r>
      <w:proofErr w:type="spellEnd"/>
      <w:r w:rsidR="007770AA" w:rsidRPr="007770AA">
        <w:t xml:space="preserve"> </w:t>
      </w:r>
      <w:proofErr w:type="spellStart"/>
      <w:r w:rsidR="007770AA">
        <w:t>A</w:t>
      </w:r>
      <w:r w:rsidR="007770AA" w:rsidRPr="007770AA">
        <w:t>grometeorológicas</w:t>
      </w:r>
      <w:proofErr w:type="spellEnd"/>
      <w:r w:rsidR="007770AA">
        <w:t xml:space="preserve"> of São Paulo.  </w:t>
      </w:r>
      <w:r w:rsidR="00DF5C9E" w:rsidRPr="00D8198A">
        <w:rPr>
          <w:lang w:val="pt-BR"/>
        </w:rPr>
        <w:t xml:space="preserve">Data from São Bento de Sapucaí and Parque Nacional de Itatiaia </w:t>
      </w:r>
      <w:r w:rsidR="00F9410C">
        <w:rPr>
          <w:lang w:val="pt-BR"/>
        </w:rPr>
        <w:t>were derived</w:t>
      </w:r>
      <w:r w:rsidR="00F9410C" w:rsidRPr="00D8198A">
        <w:rPr>
          <w:lang w:val="pt-BR"/>
        </w:rPr>
        <w:t xml:space="preserve"> </w:t>
      </w:r>
      <w:r w:rsidR="00DF5C9E" w:rsidRPr="00D8198A">
        <w:rPr>
          <w:lang w:val="pt-BR"/>
        </w:rPr>
        <w:t>from</w:t>
      </w:r>
      <w:r w:rsidR="00F9410C">
        <w:rPr>
          <w:lang w:val="pt-BR"/>
        </w:rPr>
        <w:t>:</w:t>
      </w:r>
      <w:r w:rsidR="00DF5C9E" w:rsidRPr="00D8198A">
        <w:rPr>
          <w:lang w:val="pt-BR"/>
        </w:rPr>
        <w:t xml:space="preserve"> https://pt.climate-</w:t>
      </w:r>
      <w:r w:rsidR="00DF5C9E" w:rsidRPr="00D8198A">
        <w:rPr>
          <w:lang w:val="pt-BR"/>
        </w:rPr>
        <w:lastRenderedPageBreak/>
        <w:t xml:space="preserve">data.org/.  Data from </w:t>
      </w:r>
      <w:r w:rsidR="00CB5DA9">
        <w:rPr>
          <w:lang w:val="pt-BR"/>
        </w:rPr>
        <w:t xml:space="preserve">the </w:t>
      </w:r>
      <w:r w:rsidR="00DF5C9E" w:rsidRPr="00D8198A">
        <w:rPr>
          <w:lang w:val="pt-BR"/>
        </w:rPr>
        <w:t xml:space="preserve">Parque Estadual de Serra do Mar </w:t>
      </w:r>
      <w:r w:rsidR="00F9410C">
        <w:rPr>
          <w:lang w:val="pt-BR"/>
        </w:rPr>
        <w:t>were collected</w:t>
      </w:r>
      <w:r w:rsidR="00F9410C" w:rsidRPr="00D8198A">
        <w:rPr>
          <w:lang w:val="pt-BR"/>
        </w:rPr>
        <w:t xml:space="preserve"> </w:t>
      </w:r>
      <w:r w:rsidR="00DF5C9E" w:rsidRPr="00D8198A">
        <w:rPr>
          <w:lang w:val="pt-BR"/>
        </w:rPr>
        <w:t>from</w:t>
      </w:r>
      <w:r w:rsidR="00F9410C">
        <w:rPr>
          <w:lang w:val="pt-BR"/>
        </w:rPr>
        <w:t>:</w:t>
      </w:r>
      <w:r w:rsidR="00DF5C9E" w:rsidRPr="00D8198A">
        <w:rPr>
          <w:lang w:val="pt-BR"/>
        </w:rPr>
        <w:t xml:space="preserve"> http://www.bv.fapesp.br/pt/bolsas/89914/fenologia-de-vegetacao-de-duna-da-praia-da-fazenda-parque-estadual-da-serra-do-mar-nucleo-picinguaba.  </w:t>
      </w:r>
      <w:r w:rsidR="00DF5C9E">
        <w:t>Data from other reserves in the Mata Atlântica of São Paulo</w:t>
      </w:r>
      <w:r w:rsidR="008543CF">
        <w:t>, Costa Rica,</w:t>
      </w:r>
      <w:r w:rsidR="00DF5C9E">
        <w:t xml:space="preserve"> and Ecuador were provided by the reserves.  Data from Serra Bonita are from Matos </w:t>
      </w:r>
      <w:r w:rsidR="0082116C">
        <w:t>et al.</w:t>
      </w:r>
      <w:r w:rsidR="004C0CE7">
        <w:t xml:space="preserve"> </w:t>
      </w:r>
      <w:r w:rsidR="00DF5C9E">
        <w:t>(2010).</w:t>
      </w:r>
      <w:r w:rsidR="00206944">
        <w:t xml:space="preserve">  Data for the Per</w:t>
      </w:r>
      <w:r w:rsidR="00206944" w:rsidRPr="00D8198A">
        <w:t>ú sites are from nearby San Ramón (</w:t>
      </w:r>
      <w:r w:rsidR="00D8198A" w:rsidRPr="00D8198A">
        <w:rPr>
          <w:lang w:val="en"/>
        </w:rPr>
        <w:t>https://en.climate-data.org/south-america/peru/junin/san-ramon-28556/</w:t>
      </w:r>
      <w:r w:rsidR="00206944" w:rsidRPr="00206944">
        <w:rPr>
          <w:lang w:val="en"/>
        </w:rPr>
        <w:t>)</w:t>
      </w:r>
      <w:r w:rsidR="00206944">
        <w:rPr>
          <w:lang w:val="en"/>
        </w:rPr>
        <w:t>.</w:t>
      </w:r>
      <w:r w:rsidR="00D8198A">
        <w:t xml:space="preserve">  </w:t>
      </w:r>
      <w:r w:rsidR="00741809">
        <w:t xml:space="preserve">Data </w:t>
      </w:r>
      <w:r w:rsidR="0099508F">
        <w:t xml:space="preserve">on temperature for </w:t>
      </w:r>
      <w:r w:rsidR="00E9115C">
        <w:t>M</w:t>
      </w:r>
      <w:r w:rsidR="003A4CAB" w:rsidRPr="003A4CAB">
        <w:t>é</w:t>
      </w:r>
      <w:r w:rsidR="00E9115C">
        <w:t xml:space="preserve">xico are annual averages from </w:t>
      </w:r>
      <w:r w:rsidR="0099508F">
        <w:t>December</w:t>
      </w:r>
      <w:r w:rsidR="007A1879">
        <w:t xml:space="preserve"> </w:t>
      </w:r>
      <w:r w:rsidR="00E9115C">
        <w:t>201</w:t>
      </w:r>
      <w:r w:rsidR="007A1879">
        <w:t>7</w:t>
      </w:r>
      <w:r w:rsidR="00E9115C">
        <w:t>-</w:t>
      </w:r>
      <w:r w:rsidR="007A1879">
        <w:t xml:space="preserve"> February </w:t>
      </w:r>
      <w:r w:rsidR="00E9115C">
        <w:t>2019</w:t>
      </w:r>
      <w:r w:rsidR="007A1879">
        <w:t xml:space="preserve"> and are from the </w:t>
      </w:r>
      <w:proofErr w:type="spellStart"/>
      <w:r w:rsidR="007A1879">
        <w:t>Servicio</w:t>
      </w:r>
      <w:proofErr w:type="spellEnd"/>
      <w:r w:rsidR="007A1879">
        <w:t xml:space="preserve"> </w:t>
      </w:r>
      <w:proofErr w:type="spellStart"/>
      <w:r w:rsidR="007A1879">
        <w:t>Metereológico</w:t>
      </w:r>
      <w:proofErr w:type="spellEnd"/>
      <w:r w:rsidR="007A1879">
        <w:t xml:space="preserve"> Nacional CONAGUA</w:t>
      </w:r>
      <w:r w:rsidR="0099508F">
        <w:t xml:space="preserve"> (</w:t>
      </w:r>
      <w:r w:rsidR="0099508F" w:rsidRPr="0099508F">
        <w:t>https://smn.conagua.gob.mx/es/climatologia/temperaturas-y-lluvias/mapas-diarios-de-temperatura-y-lluvia</w:t>
      </w:r>
      <w:r w:rsidR="0099508F">
        <w:t>)</w:t>
      </w:r>
      <w:r w:rsidR="006E3D9F">
        <w:t>.</w:t>
      </w:r>
      <w:r w:rsidR="00E44EFC">
        <w:t xml:space="preserve">  </w:t>
      </w:r>
    </w:p>
    <w:p w14:paraId="4526E4ED" w14:textId="765F3561" w:rsidR="00E21A77" w:rsidRDefault="006E3D9F" w:rsidP="004C05BC">
      <w:pPr>
        <w:pStyle w:val="NoSpacing"/>
        <w:spacing w:line="480" w:lineRule="auto"/>
      </w:pPr>
      <w:r>
        <w:rPr>
          <w:i/>
          <w:iCs/>
        </w:rPr>
        <w:tab/>
        <w:t xml:space="preserve">Data analyses.  </w:t>
      </w:r>
      <w:r w:rsidR="00BC3E84">
        <w:t>T</w:t>
      </w:r>
      <w:r w:rsidR="00854B3B">
        <w:t>he distribution of herbivory</w:t>
      </w:r>
      <w:r w:rsidR="004C05BC">
        <w:t xml:space="preserve"> </w:t>
      </w:r>
      <w:r w:rsidR="00BC3E84">
        <w:t>was examined in</w:t>
      </w:r>
      <w:r w:rsidR="001D3773">
        <w:t xml:space="preserve"> </w:t>
      </w:r>
      <w:r w:rsidR="001649E7">
        <w:t xml:space="preserve">local </w:t>
      </w:r>
      <w:r w:rsidR="001649E7" w:rsidRPr="001649E7">
        <w:rPr>
          <w:i/>
          <w:iCs/>
        </w:rPr>
        <w:t>Piper</w:t>
      </w:r>
      <w:r w:rsidR="001649E7">
        <w:t xml:space="preserve"> </w:t>
      </w:r>
      <w:r w:rsidR="001D3773">
        <w:t>communities</w:t>
      </w:r>
      <w:r w:rsidR="00BC3E84">
        <w:t xml:space="preserve"> across the Neotropics</w:t>
      </w:r>
      <w:r w:rsidR="00854B3B">
        <w:t xml:space="preserve">.  </w:t>
      </w:r>
      <w:r w:rsidR="004C05BC">
        <w:t xml:space="preserve">Given the skewed nature of </w:t>
      </w:r>
      <w:r w:rsidR="003F4E45">
        <w:t xml:space="preserve">herbivory </w:t>
      </w:r>
      <w:r w:rsidR="00BC3E84">
        <w:t xml:space="preserve">distributions, with </w:t>
      </w:r>
      <w:r w:rsidR="008A287F">
        <w:t>most individuals experienc</w:t>
      </w:r>
      <w:r w:rsidR="00BC3E84">
        <w:t>ing</w:t>
      </w:r>
      <w:r w:rsidR="008A287F">
        <w:t xml:space="preserve"> little </w:t>
      </w:r>
      <w:r w:rsidR="003F4E45">
        <w:t>damage</w:t>
      </w:r>
      <w:r w:rsidR="00BC3E84">
        <w:t xml:space="preserve"> and a few </w:t>
      </w:r>
      <w:proofErr w:type="gramStart"/>
      <w:r w:rsidR="00BC3E84">
        <w:t>suffering</w:t>
      </w:r>
      <w:proofErr w:type="gramEnd"/>
      <w:r w:rsidR="00BC3E84">
        <w:t xml:space="preserve"> </w:t>
      </w:r>
      <w:r w:rsidR="008A287F">
        <w:t xml:space="preserve">high </w:t>
      </w:r>
      <w:r w:rsidR="003F4E45">
        <w:t>herbivory</w:t>
      </w:r>
      <w:r w:rsidR="00F76226">
        <w:t xml:space="preserve"> </w:t>
      </w:r>
      <w:r w:rsidR="00BC3E84">
        <w:t>(</w:t>
      </w:r>
      <w:r w:rsidR="00F76226">
        <w:t>Table 1</w:t>
      </w:r>
      <w:r w:rsidR="003F4E45">
        <w:t xml:space="preserve">), </w:t>
      </w:r>
      <w:r w:rsidR="004C05BC">
        <w:t>the mean is not a</w:t>
      </w:r>
      <w:r w:rsidR="00F9410C">
        <w:t>n</w:t>
      </w:r>
      <w:r w:rsidR="004C05BC">
        <w:t xml:space="preserve"> </w:t>
      </w:r>
      <w:r w:rsidR="00F9410C">
        <w:t>appropriate composite variable for</w:t>
      </w:r>
      <w:r w:rsidR="003F4E45">
        <w:t xml:space="preserve"> herbivory.  </w:t>
      </w:r>
      <w:r w:rsidR="00E21A77">
        <w:t xml:space="preserve">We therefore sought to </w:t>
      </w:r>
      <w:r w:rsidR="00F9410C">
        <w:t>estimate statistics</w:t>
      </w:r>
      <w:r w:rsidR="00E21A77">
        <w:t xml:space="preserve"> that </w:t>
      </w:r>
      <w:r w:rsidR="00F9410C">
        <w:t xml:space="preserve">comprise </w:t>
      </w:r>
      <w:r w:rsidR="00E21A77">
        <w:t>three components of the distribution of herbivory</w:t>
      </w:r>
      <w:r w:rsidR="00F76226">
        <w:t xml:space="preserve">: </w:t>
      </w:r>
      <w:r w:rsidR="00E21A77">
        <w:t xml:space="preserve"> </w:t>
      </w:r>
      <w:r w:rsidR="00F9410C">
        <w:t>central tendency</w:t>
      </w:r>
      <w:r w:rsidR="00E21A77">
        <w:t>, skew, and dispersion.  We calculated the 25</w:t>
      </w:r>
      <w:r w:rsidR="00E21A77" w:rsidRPr="00E21A77">
        <w:rPr>
          <w:vertAlign w:val="superscript"/>
        </w:rPr>
        <w:t>th</w:t>
      </w:r>
      <w:r w:rsidR="00E21A77">
        <w:t>, 50</w:t>
      </w:r>
      <w:r w:rsidR="00E21A77" w:rsidRPr="00E21A77">
        <w:rPr>
          <w:vertAlign w:val="superscript"/>
        </w:rPr>
        <w:t>th</w:t>
      </w:r>
      <w:r w:rsidR="00E21A77">
        <w:t xml:space="preserve"> (median), 75</w:t>
      </w:r>
      <w:r w:rsidR="00E21A77" w:rsidRPr="00E21A77">
        <w:rPr>
          <w:vertAlign w:val="superscript"/>
        </w:rPr>
        <w:t>th</w:t>
      </w:r>
      <w:r w:rsidR="00E21A77">
        <w:t>, 80</w:t>
      </w:r>
      <w:r w:rsidR="00E21A77" w:rsidRPr="00E21A77">
        <w:rPr>
          <w:vertAlign w:val="superscript"/>
        </w:rPr>
        <w:t>th</w:t>
      </w:r>
      <w:r w:rsidR="00E21A77">
        <w:t>, and 90</w:t>
      </w:r>
      <w:r w:rsidR="00E21A77" w:rsidRPr="00E21A77">
        <w:rPr>
          <w:vertAlign w:val="superscript"/>
        </w:rPr>
        <w:t>th</w:t>
      </w:r>
      <w:r w:rsidR="00E21A77">
        <w:t xml:space="preserve"> quantiles and the mean</w:t>
      </w:r>
      <w:r w:rsidR="007D02FD">
        <w:t>, geometric mean</w:t>
      </w:r>
      <w:r w:rsidR="004B1FD1">
        <w:t xml:space="preserve"> (Turcotte </w:t>
      </w:r>
      <w:r w:rsidR="0082116C">
        <w:t>et al.</w:t>
      </w:r>
      <w:r w:rsidR="004C0CE7">
        <w:t xml:space="preserve"> </w:t>
      </w:r>
      <w:r w:rsidR="004B1FD1">
        <w:t>2014</w:t>
      </w:r>
      <w:r w:rsidR="001B20B8">
        <w:t xml:space="preserve"> utilized geometric means</w:t>
      </w:r>
      <w:r w:rsidR="004B1FD1">
        <w:t>)</w:t>
      </w:r>
      <w:r w:rsidR="007D02FD">
        <w:t xml:space="preserve">, </w:t>
      </w:r>
      <w:r w:rsidR="00E21A77">
        <w:t xml:space="preserve">and variance of </w:t>
      </w:r>
      <w:r w:rsidR="003C43D6">
        <w:t xml:space="preserve">specialist and generalist </w:t>
      </w:r>
      <w:r w:rsidR="00E21A77">
        <w:t xml:space="preserve">herbivory for all </w:t>
      </w:r>
      <w:r w:rsidR="00A04FCF" w:rsidRPr="00A04FCF">
        <w:rPr>
          <w:i/>
          <w:iCs/>
        </w:rPr>
        <w:t>Piper</w:t>
      </w:r>
      <w:r w:rsidR="00A04FCF">
        <w:t xml:space="preserve"> </w:t>
      </w:r>
      <w:r w:rsidR="00F9410C">
        <w:t xml:space="preserve">assemblages </w:t>
      </w:r>
      <w:r w:rsidR="005729AF">
        <w:t xml:space="preserve">(defined as all </w:t>
      </w:r>
      <w:r w:rsidR="005729AF">
        <w:rPr>
          <w:i/>
          <w:iCs/>
        </w:rPr>
        <w:t xml:space="preserve">Piper </w:t>
      </w:r>
      <w:r w:rsidR="00A04FCF">
        <w:t xml:space="preserve">individuals </w:t>
      </w:r>
      <w:proofErr w:type="gramStart"/>
      <w:r w:rsidR="00E21A77">
        <w:t xml:space="preserve">in a </w:t>
      </w:r>
      <w:r w:rsidR="005729AF">
        <w:t>given</w:t>
      </w:r>
      <w:proofErr w:type="gramEnd"/>
      <w:r w:rsidR="005729AF">
        <w:t xml:space="preserve"> </w:t>
      </w:r>
      <w:r w:rsidR="00E21A77">
        <w:t>plot</w:t>
      </w:r>
      <w:r w:rsidR="005729AF">
        <w:t>)</w:t>
      </w:r>
      <w:r w:rsidR="00E21A77">
        <w:t xml:space="preserve">.  We </w:t>
      </w:r>
      <w:r w:rsidR="001B20B8">
        <w:t xml:space="preserve">used </w:t>
      </w:r>
      <w:r w:rsidR="00E21A77">
        <w:t>a factor analys</w:t>
      </w:r>
      <w:r w:rsidR="004B4955">
        <w:t>i</w:t>
      </w:r>
      <w:r w:rsidR="00E21A77">
        <w:t xml:space="preserve">s of </w:t>
      </w:r>
      <w:r w:rsidR="004B4955">
        <w:t xml:space="preserve">z-score transformed </w:t>
      </w:r>
      <w:r w:rsidR="003C43D6">
        <w:t>values</w:t>
      </w:r>
      <w:r w:rsidR="00E21A77">
        <w:t xml:space="preserve"> </w:t>
      </w:r>
      <w:r w:rsidR="004B4955">
        <w:t>of these metrics</w:t>
      </w:r>
      <w:r w:rsidR="001B20B8">
        <w:t xml:space="preserve"> to create latent variables related to central tendency, skew, and dispersion</w:t>
      </w:r>
      <w:r w:rsidR="00861FE6">
        <w:t xml:space="preserve"> for specialist and generalist herbivory</w:t>
      </w:r>
      <w:r w:rsidR="00E21A77">
        <w:t>.</w:t>
      </w:r>
      <w:r w:rsidR="003C43D6">
        <w:t xml:space="preserve">  </w:t>
      </w:r>
    </w:p>
    <w:p w14:paraId="1C954890" w14:textId="00DCD0CA" w:rsidR="00D7425E" w:rsidRPr="00D7425E" w:rsidRDefault="00EF616D" w:rsidP="00D7425E">
      <w:pPr>
        <w:pStyle w:val="NoSpacing"/>
        <w:spacing w:line="480" w:lineRule="auto"/>
        <w:ind w:firstLine="720"/>
      </w:pPr>
      <w:r w:rsidRPr="00EF616D">
        <w:t xml:space="preserve">We used a longstanding and common approach to creating latent variables: factor analysis (Thompson and Daniel 1996). There are well-established justifications for such an approach, but most relevant here are: 1) dimension reduction: quantiles and other measured variables from a distribution are numerous, and factor analysis reduces the number of these </w:t>
      </w:r>
      <w:r w:rsidRPr="00EF616D">
        <w:lastRenderedPageBreak/>
        <w:t>variables making it easier to understand relationships between predictor and response variables; 2) reducing potential multicollinearity: factor analysis reduces multicollinearity via dimension reduction; 3) estimating latent constructs: factor analysis estimates latent constructs that may be causing the values of measured variables. This last point is important with respect to metrics that are used in statistics, such as means and standard deviations, since these do not necessarily directly measure the most relevant summaries of central tendencies or spread of the data.</w:t>
      </w:r>
    </w:p>
    <w:p w14:paraId="5C445640" w14:textId="27A19D4A" w:rsidR="00936A44" w:rsidRPr="00D51E9F" w:rsidRDefault="003C43D6" w:rsidP="0086157C">
      <w:pPr>
        <w:pStyle w:val="NoSpacing"/>
        <w:spacing w:line="480" w:lineRule="auto"/>
      </w:pPr>
      <w:r w:rsidRPr="00D7425E">
        <w:tab/>
      </w:r>
      <w:r w:rsidR="00D7425E">
        <w:t>The first factor represented skew and was loaded most heavily by the 75</w:t>
      </w:r>
      <w:r w:rsidR="00D7425E" w:rsidRPr="00861FE6">
        <w:rPr>
          <w:vertAlign w:val="superscript"/>
        </w:rPr>
        <w:t>th</w:t>
      </w:r>
      <w:r w:rsidR="00D7425E">
        <w:t>, 80</w:t>
      </w:r>
      <w:r w:rsidR="00D7425E" w:rsidRPr="00861FE6">
        <w:rPr>
          <w:vertAlign w:val="superscript"/>
        </w:rPr>
        <w:t>th</w:t>
      </w:r>
      <w:r w:rsidR="00D7425E" w:rsidRPr="00861FE6">
        <w:t>, and 90th quantiles</w:t>
      </w:r>
      <w:r w:rsidR="00D7425E">
        <w:t xml:space="preserve">.  The second factor represented the </w:t>
      </w:r>
      <w:r w:rsidR="00EF616D">
        <w:t>central tendency</w:t>
      </w:r>
      <w:r w:rsidR="00D7425E">
        <w:t>; the mean, geometric mean, median, and the 25</w:t>
      </w:r>
      <w:r w:rsidR="00D7425E" w:rsidRPr="00861FE6">
        <w:rPr>
          <w:vertAlign w:val="superscript"/>
        </w:rPr>
        <w:t>th</w:t>
      </w:r>
      <w:r w:rsidR="00D7425E">
        <w:t xml:space="preserve"> quantile contributed most strongly to it.  The third factor represented dispersion and was loaded most heavily by the variance.  </w:t>
      </w:r>
      <w:r w:rsidRPr="006854AF">
        <w:t xml:space="preserve">The three </w:t>
      </w:r>
      <w:r w:rsidR="0086157C" w:rsidRPr="006854AF">
        <w:t xml:space="preserve">factors </w:t>
      </w:r>
      <w:r w:rsidR="004B1FD1" w:rsidRPr="006854AF">
        <w:t>(</w:t>
      </w:r>
      <w:r w:rsidR="001B20B8" w:rsidRPr="006854AF">
        <w:t>latent variables</w:t>
      </w:r>
      <w:r w:rsidR="00861FE6">
        <w:t>)</w:t>
      </w:r>
      <w:r w:rsidR="001B20B8" w:rsidRPr="006854AF">
        <w:t xml:space="preserve"> </w:t>
      </w:r>
      <w:r w:rsidRPr="006854AF">
        <w:t xml:space="preserve">were </w:t>
      </w:r>
      <w:r w:rsidR="0086157C" w:rsidRPr="006854AF">
        <w:t xml:space="preserve">used </w:t>
      </w:r>
      <w:r w:rsidR="00F838F0">
        <w:t xml:space="preserve">as responses </w:t>
      </w:r>
      <w:r w:rsidR="00A9676D" w:rsidRPr="006854AF">
        <w:t>in Bayesian structural equation models (SEM)</w:t>
      </w:r>
      <w:r w:rsidR="001B20B8" w:rsidRPr="006854AF">
        <w:t xml:space="preserve"> to test specific causal hypotheses</w:t>
      </w:r>
      <w:r w:rsidR="00F838F0">
        <w:t xml:space="preserve"> about the effects of geographic, climatic, and biotic variables on the distribution of herbivory</w:t>
      </w:r>
      <w:r w:rsidR="00A9676D" w:rsidRPr="001877F9">
        <w:t>.</w:t>
      </w:r>
      <w:r w:rsidRPr="001877F9">
        <w:t xml:space="preserve"> </w:t>
      </w:r>
      <w:r w:rsidR="000B3395" w:rsidRPr="001877F9">
        <w:t xml:space="preserve"> </w:t>
      </w:r>
      <w:r w:rsidR="006854AF" w:rsidRPr="001877F9">
        <w:t xml:space="preserve">These models </w:t>
      </w:r>
      <w:r w:rsidR="001D2C5A" w:rsidRPr="001877F9">
        <w:t>cor</w:t>
      </w:r>
      <w:r w:rsidR="006854AF" w:rsidRPr="001877F9">
        <w:t xml:space="preserve">respond </w:t>
      </w:r>
      <w:r w:rsidR="00DC57DD">
        <w:t>to</w:t>
      </w:r>
      <w:r w:rsidR="00DC57DD" w:rsidRPr="001877F9">
        <w:t xml:space="preserve"> </w:t>
      </w:r>
      <w:r w:rsidR="006854AF" w:rsidRPr="001877F9">
        <w:t xml:space="preserve">Question I, regarding variables that affect the </w:t>
      </w:r>
      <w:r w:rsidR="006854AF" w:rsidRPr="00CA72CF">
        <w:t>distribution of herbivory.</w:t>
      </w:r>
      <w:r w:rsidR="00FA7583" w:rsidRPr="00CA72CF">
        <w:t xml:space="preserve">  </w:t>
      </w:r>
      <w:r w:rsidR="000B3395" w:rsidRPr="00CA72CF">
        <w:t xml:space="preserve">SEM </w:t>
      </w:r>
      <w:r w:rsidR="00EF616D">
        <w:t>was</w:t>
      </w:r>
      <w:r w:rsidR="000B3395" w:rsidRPr="00CA72CF">
        <w:t xml:space="preserve"> used because </w:t>
      </w:r>
      <w:r w:rsidR="00EF616D">
        <w:t>it</w:t>
      </w:r>
      <w:r w:rsidR="000B3395" w:rsidRPr="00CA72CF">
        <w:t xml:space="preserve"> allow</w:t>
      </w:r>
      <w:r w:rsidR="00EF616D">
        <w:t>s</w:t>
      </w:r>
      <w:r w:rsidR="000B3395" w:rsidRPr="00CA72CF">
        <w:t xml:space="preserve"> for </w:t>
      </w:r>
      <w:r w:rsidR="00900D25">
        <w:t xml:space="preserve">estimation of </w:t>
      </w:r>
      <w:r w:rsidR="000B3395" w:rsidRPr="00CA72CF">
        <w:t xml:space="preserve">direct and indirect causal relationships among interacting variables.  </w:t>
      </w:r>
      <w:r w:rsidR="0046574A" w:rsidRPr="00CA72CF">
        <w:t xml:space="preserve">Exogenous predictors in the </w:t>
      </w:r>
      <w:r w:rsidR="001B20B8" w:rsidRPr="00CA72CF">
        <w:t>SEM in</w:t>
      </w:r>
      <w:r w:rsidR="001B20B8">
        <w:t xml:space="preserve">cluded: </w:t>
      </w:r>
      <w:r w:rsidR="00826AE5">
        <w:t>(</w:t>
      </w:r>
      <w:proofErr w:type="spellStart"/>
      <w:r w:rsidR="00826AE5">
        <w:t>i</w:t>
      </w:r>
      <w:proofErr w:type="spellEnd"/>
      <w:r w:rsidR="00826AE5">
        <w:t xml:space="preserve">) </w:t>
      </w:r>
      <w:r w:rsidR="00D2751C" w:rsidRPr="006D7B7B">
        <w:t>precipitation seasonality,</w:t>
      </w:r>
      <w:r w:rsidR="0046574A" w:rsidRPr="006D7B7B">
        <w:t xml:space="preserve"> </w:t>
      </w:r>
      <w:r w:rsidR="00826AE5" w:rsidRPr="006D7B7B">
        <w:t>(ii) average annual temperature</w:t>
      </w:r>
      <w:r w:rsidR="008A090A" w:rsidRPr="006D7B7B">
        <w:t>, and (iii) the absolute value of latitude</w:t>
      </w:r>
      <w:r w:rsidR="00CA72CF" w:rsidRPr="006D7B7B">
        <w:t xml:space="preserve"> (Hypotheses </w:t>
      </w:r>
      <w:r w:rsidR="008A090A" w:rsidRPr="006D7B7B">
        <w:t>2</w:t>
      </w:r>
      <w:r w:rsidR="00CA72CF" w:rsidRPr="006D7B7B">
        <w:t>-</w:t>
      </w:r>
      <w:r w:rsidR="008A090A" w:rsidRPr="006D7B7B">
        <w:t>4</w:t>
      </w:r>
      <w:r w:rsidR="00CA72CF" w:rsidRPr="006D7B7B">
        <w:t>)</w:t>
      </w:r>
      <w:r w:rsidR="0046574A" w:rsidRPr="006D7B7B">
        <w:t>.  Endogenous predictors were</w:t>
      </w:r>
      <w:r w:rsidR="00826AE5" w:rsidRPr="006D7B7B">
        <w:t xml:space="preserve"> (</w:t>
      </w:r>
      <w:proofErr w:type="spellStart"/>
      <w:r w:rsidR="00826AE5" w:rsidRPr="006D7B7B">
        <w:t>i</w:t>
      </w:r>
      <w:proofErr w:type="spellEnd"/>
      <w:r w:rsidR="00826AE5" w:rsidRPr="006D7B7B">
        <w:t xml:space="preserve">) </w:t>
      </w:r>
      <w:r w:rsidR="00D2751C" w:rsidRPr="006D7B7B">
        <w:t xml:space="preserve">the </w:t>
      </w:r>
      <w:r w:rsidR="00391826" w:rsidRPr="006D7B7B">
        <w:t xml:space="preserve">total </w:t>
      </w:r>
      <w:r w:rsidR="00D2751C" w:rsidRPr="006D7B7B">
        <w:t xml:space="preserve">amount of </w:t>
      </w:r>
      <w:r w:rsidR="00D2751C" w:rsidRPr="006D7B7B">
        <w:rPr>
          <w:i/>
          <w:iCs/>
        </w:rPr>
        <w:t>Piper</w:t>
      </w:r>
      <w:r w:rsidR="00D2751C" w:rsidRPr="006D7B7B">
        <w:t xml:space="preserve"> leaf area available in a plot</w:t>
      </w:r>
      <w:r w:rsidR="00CA72CF" w:rsidRPr="006D7B7B">
        <w:t xml:space="preserve"> (Hypotheses </w:t>
      </w:r>
      <w:r w:rsidR="008A090A" w:rsidRPr="006D7B7B">
        <w:t>5</w:t>
      </w:r>
      <w:r w:rsidR="00CA72CF" w:rsidRPr="006D7B7B">
        <w:t xml:space="preserve"> and </w:t>
      </w:r>
      <w:r w:rsidR="008A090A" w:rsidRPr="006D7B7B">
        <w:t>6</w:t>
      </w:r>
      <w:r w:rsidR="00CA72CF" w:rsidRPr="006D7B7B">
        <w:t>)</w:t>
      </w:r>
      <w:r w:rsidR="00D2751C" w:rsidRPr="006D7B7B">
        <w:t xml:space="preserve">, </w:t>
      </w:r>
      <w:r w:rsidR="00826AE5" w:rsidRPr="006D7B7B">
        <w:t>(</w:t>
      </w:r>
      <w:r w:rsidR="0046574A" w:rsidRPr="006D7B7B">
        <w:t>ii</w:t>
      </w:r>
      <w:r w:rsidR="00826AE5" w:rsidRPr="006D7B7B">
        <w:t xml:space="preserve">) </w:t>
      </w:r>
      <w:r w:rsidR="003D1027" w:rsidRPr="006D7B7B">
        <w:rPr>
          <w:i/>
          <w:iCs/>
        </w:rPr>
        <w:t>Piper</w:t>
      </w:r>
      <w:r w:rsidR="003D1027" w:rsidRPr="006D7B7B">
        <w:t xml:space="preserve"> diversity in a plot (calculated as Simpson’s index of species equivalents (</w:t>
      </w:r>
      <w:proofErr w:type="spellStart"/>
      <w:r w:rsidR="003D1027" w:rsidRPr="006D7B7B">
        <w:t>Jost</w:t>
      </w:r>
      <w:proofErr w:type="spellEnd"/>
      <w:r w:rsidR="003D1027" w:rsidRPr="006D7B7B">
        <w:t xml:space="preserve"> 2006) based on leaf area rather than the number of </w:t>
      </w:r>
      <w:r w:rsidR="003D1027" w:rsidRPr="006D7B7B">
        <w:rPr>
          <w:i/>
          <w:iCs/>
        </w:rPr>
        <w:t>Piper</w:t>
      </w:r>
      <w:r w:rsidR="003D1027" w:rsidRPr="006D7B7B">
        <w:t xml:space="preserve"> individuals to better represent the diversity of resources available</w:t>
      </w:r>
      <w:r w:rsidR="00CA72CF" w:rsidRPr="006D7B7B">
        <w:t xml:space="preserve"> </w:t>
      </w:r>
      <w:r w:rsidR="0082114D" w:rsidRPr="006D7B7B">
        <w:t>(</w:t>
      </w:r>
      <w:r w:rsidR="00CA72CF" w:rsidRPr="006D7B7B">
        <w:t>Hypothes</w:t>
      </w:r>
      <w:r w:rsidR="0082114D" w:rsidRPr="006D7B7B">
        <w:t>e</w:t>
      </w:r>
      <w:r w:rsidR="00CA72CF" w:rsidRPr="006D7B7B">
        <w:t xml:space="preserve">s </w:t>
      </w:r>
      <w:r w:rsidR="008A090A" w:rsidRPr="006D7B7B">
        <w:t>5</w:t>
      </w:r>
      <w:r w:rsidR="0082114D" w:rsidRPr="006D7B7B">
        <w:t xml:space="preserve"> and </w:t>
      </w:r>
      <w:r w:rsidR="008A090A" w:rsidRPr="006D7B7B">
        <w:t>6</w:t>
      </w:r>
      <w:r w:rsidR="003D1027" w:rsidRPr="006D7B7B">
        <w:t>)</w:t>
      </w:r>
      <w:r w:rsidR="00D2751C" w:rsidRPr="006D7B7B">
        <w:t xml:space="preserve">, and </w:t>
      </w:r>
      <w:r w:rsidR="00826AE5" w:rsidRPr="006D7B7B">
        <w:t>(</w:t>
      </w:r>
      <w:r w:rsidR="0046574A" w:rsidRPr="006D7B7B">
        <w:t>ii</w:t>
      </w:r>
      <w:r w:rsidR="00826AE5" w:rsidRPr="006D7B7B">
        <w:t xml:space="preserve">i) </w:t>
      </w:r>
      <w:r w:rsidR="00D2751C" w:rsidRPr="006D7B7B">
        <w:t xml:space="preserve">the richness of </w:t>
      </w:r>
      <w:r w:rsidR="00D2751C" w:rsidRPr="006D7B7B">
        <w:rPr>
          <w:i/>
          <w:iCs/>
        </w:rPr>
        <w:t>Piper</w:t>
      </w:r>
      <w:r w:rsidR="00D2751C" w:rsidRPr="006D7B7B">
        <w:t xml:space="preserve"> species in a plot</w:t>
      </w:r>
      <w:r w:rsidR="00CA72CF" w:rsidRPr="006D7B7B">
        <w:t xml:space="preserve"> (Hypothes</w:t>
      </w:r>
      <w:r w:rsidR="0082114D" w:rsidRPr="006D7B7B">
        <w:t>e</w:t>
      </w:r>
      <w:r w:rsidR="00CA72CF" w:rsidRPr="006D7B7B">
        <w:t xml:space="preserve">s </w:t>
      </w:r>
      <w:r w:rsidR="008A090A" w:rsidRPr="006D7B7B">
        <w:t>5</w:t>
      </w:r>
      <w:r w:rsidR="00CA72CF" w:rsidRPr="006D7B7B">
        <w:t xml:space="preserve"> and </w:t>
      </w:r>
      <w:r w:rsidR="008A090A" w:rsidRPr="006D7B7B">
        <w:t>6</w:t>
      </w:r>
      <w:r w:rsidR="00CA72CF" w:rsidRPr="006D7B7B">
        <w:t>)</w:t>
      </w:r>
      <w:r w:rsidR="00D2751C" w:rsidRPr="006D7B7B">
        <w:t xml:space="preserve">.  </w:t>
      </w:r>
      <w:r w:rsidR="00826AE5" w:rsidRPr="006D7B7B">
        <w:t>Predictors</w:t>
      </w:r>
      <w:r w:rsidR="00826AE5" w:rsidRPr="00D51E9F">
        <w:t xml:space="preserve"> </w:t>
      </w:r>
      <w:r w:rsidR="004B4955" w:rsidRPr="00D51E9F">
        <w:t xml:space="preserve">were normalized as z-scores, and models were run using the </w:t>
      </w:r>
      <w:proofErr w:type="spellStart"/>
      <w:r w:rsidR="004B4955" w:rsidRPr="00D51E9F">
        <w:t>lavaan</w:t>
      </w:r>
      <w:proofErr w:type="spellEnd"/>
      <w:r w:rsidR="004B4955" w:rsidRPr="00D51E9F">
        <w:t xml:space="preserve"> package (</w:t>
      </w:r>
      <w:proofErr w:type="spellStart"/>
      <w:r w:rsidR="004B4955" w:rsidRPr="00D51E9F">
        <w:t>Rosseel</w:t>
      </w:r>
      <w:proofErr w:type="spellEnd"/>
      <w:r w:rsidR="004B4955" w:rsidRPr="00D51E9F">
        <w:t xml:space="preserve"> 2012).  </w:t>
      </w:r>
      <w:r w:rsidR="00DF0473" w:rsidRPr="00D51E9F">
        <w:t xml:space="preserve">The model selection process, starting with the full model and running to the best fit model is documented in Supplementary Table 2.  </w:t>
      </w:r>
      <w:r w:rsidR="004B4955" w:rsidRPr="00D51E9F">
        <w:lastRenderedPageBreak/>
        <w:t xml:space="preserve">Bayesian posterior probabilities of the parameter estimates of modeled relationships were calculated for the </w:t>
      </w:r>
      <w:r w:rsidR="00DF0473" w:rsidRPr="00D51E9F">
        <w:t xml:space="preserve">best fit </w:t>
      </w:r>
      <w:r w:rsidR="004B4955" w:rsidRPr="00D51E9F">
        <w:t xml:space="preserve">SEM with the </w:t>
      </w:r>
      <w:proofErr w:type="spellStart"/>
      <w:r w:rsidR="004B4955" w:rsidRPr="00D51E9F">
        <w:t>blavaan</w:t>
      </w:r>
      <w:proofErr w:type="spellEnd"/>
      <w:r w:rsidR="004B4955" w:rsidRPr="00D51E9F">
        <w:t xml:space="preserve"> package (Merkle and </w:t>
      </w:r>
      <w:proofErr w:type="spellStart"/>
      <w:r w:rsidR="004B4955" w:rsidRPr="00D51E9F">
        <w:t>Rosseel</w:t>
      </w:r>
      <w:proofErr w:type="spellEnd"/>
      <w:r w:rsidR="004B4955" w:rsidRPr="00D51E9F">
        <w:t xml:space="preserve"> 2016).  Bayesian analyses were run with two chains of 10,000 samples using a burn-in of 20 iterations and an adaptation of 1000 iterations. </w:t>
      </w:r>
      <w:r w:rsidR="00900D25">
        <w:t>Trace plots and effective sample sizes were used to assess</w:t>
      </w:r>
      <w:r w:rsidR="004B4955" w:rsidRPr="00D51E9F">
        <w:t xml:space="preserve"> </w:t>
      </w:r>
      <w:r w:rsidR="00900D25" w:rsidRPr="00900D25">
        <w:t xml:space="preserve">convergence and mixing of the chains to ensure </w:t>
      </w:r>
      <w:r w:rsidR="00900D25">
        <w:t>reliable</w:t>
      </w:r>
      <w:r w:rsidR="00900D25" w:rsidRPr="00900D25">
        <w:t xml:space="preserve"> results.</w:t>
      </w:r>
      <w:r w:rsidR="00900D25">
        <w:t xml:space="preserve"> </w:t>
      </w:r>
      <w:r w:rsidR="004B4955" w:rsidRPr="00D51E9F">
        <w:t xml:space="preserve">Bayesian posterior probabilities are presented with the marginal log-likelihood and posterior predictive </w:t>
      </w:r>
      <w:r w:rsidR="004B4955" w:rsidRPr="00D51E9F">
        <w:rPr>
          <w:i/>
          <w:iCs/>
        </w:rPr>
        <w:t>P</w:t>
      </w:r>
      <w:r w:rsidR="004B4955" w:rsidRPr="00D51E9F">
        <w:t xml:space="preserve">-values (PPP values).  </w:t>
      </w:r>
      <w:r w:rsidR="00D2751C" w:rsidRPr="00D51E9F">
        <w:t xml:space="preserve">AIC scores </w:t>
      </w:r>
      <w:r w:rsidR="00A04FCF" w:rsidRPr="00D51E9F">
        <w:t>and X</w:t>
      </w:r>
      <w:r w:rsidR="00A04FCF" w:rsidRPr="00D51E9F">
        <w:rPr>
          <w:vertAlign w:val="superscript"/>
        </w:rPr>
        <w:t>2</w:t>
      </w:r>
      <w:r w:rsidR="00A04FCF" w:rsidRPr="00D51E9F">
        <w:t xml:space="preserve"> goodness of fit statistics </w:t>
      </w:r>
      <w:r w:rsidR="00D2751C" w:rsidRPr="00D51E9F">
        <w:t>were compared to determine the best fit model</w:t>
      </w:r>
      <w:r w:rsidR="00EF616D" w:rsidRPr="00D51E9F">
        <w:t xml:space="preserve"> (note that for the X</w:t>
      </w:r>
      <w:r w:rsidR="00EF616D" w:rsidRPr="00D51E9F">
        <w:rPr>
          <w:vertAlign w:val="superscript"/>
        </w:rPr>
        <w:t>2</w:t>
      </w:r>
      <w:r w:rsidR="00EF616D" w:rsidRPr="00D51E9F">
        <w:t xml:space="preserve"> goodness of fit, larger </w:t>
      </w:r>
      <w:r w:rsidR="00EF616D" w:rsidRPr="00D51E9F">
        <w:rPr>
          <w:i/>
          <w:iCs/>
        </w:rPr>
        <w:t>P-</w:t>
      </w:r>
      <w:r w:rsidR="00EF616D" w:rsidRPr="00D51E9F">
        <w:t>values indicate the models are a better fit to the data)</w:t>
      </w:r>
      <w:r w:rsidR="00D2751C" w:rsidRPr="00D51E9F">
        <w:t>.</w:t>
      </w:r>
      <w:r w:rsidR="004B4955" w:rsidRPr="00D51E9F">
        <w:t xml:space="preserve">  </w:t>
      </w:r>
      <w:r w:rsidR="00F36726" w:rsidRPr="00D51E9F">
        <w:t xml:space="preserve">For model selection, we used </w:t>
      </w:r>
      <w:r w:rsidR="00F36726" w:rsidRPr="00D51E9F">
        <w:rPr>
          <w:i/>
          <w:iCs/>
        </w:rPr>
        <w:t>a</w:t>
      </w:r>
      <w:r w:rsidR="001877F9" w:rsidRPr="00D51E9F">
        <w:rPr>
          <w:i/>
          <w:iCs/>
        </w:rPr>
        <w:t xml:space="preserve"> </w:t>
      </w:r>
      <w:r w:rsidR="00F36726" w:rsidRPr="00D51E9F">
        <w:rPr>
          <w:i/>
          <w:iCs/>
        </w:rPr>
        <w:t>priori</w:t>
      </w:r>
      <w:r w:rsidR="00F36726" w:rsidRPr="00D51E9F">
        <w:t xml:space="preserve"> causal models then worked towards the most parsimonious model that fit the data.</w:t>
      </w:r>
      <w:r w:rsidR="000B3395" w:rsidRPr="00D51E9F">
        <w:t xml:space="preserve">  </w:t>
      </w:r>
      <w:r w:rsidR="00DD1EAC" w:rsidRPr="00D51E9F">
        <w:t xml:space="preserve">The variance-covariance matrix of the best fit model is in Supplementary Table </w:t>
      </w:r>
      <w:r w:rsidR="00DF0473" w:rsidRPr="00D51E9F">
        <w:t>3</w:t>
      </w:r>
      <w:r w:rsidR="00DD1EAC" w:rsidRPr="00D51E9F">
        <w:t>.</w:t>
      </w:r>
    </w:p>
    <w:p w14:paraId="057A71AF" w14:textId="34B46A0C" w:rsidR="00CE78C3" w:rsidRPr="00D51E9F" w:rsidRDefault="0086157C" w:rsidP="003D1027">
      <w:pPr>
        <w:pStyle w:val="NoSpacing"/>
        <w:spacing w:line="480" w:lineRule="auto"/>
      </w:pPr>
      <w:r w:rsidRPr="00D51E9F">
        <w:tab/>
      </w:r>
      <w:r w:rsidR="00CE78C3" w:rsidRPr="00D51E9F">
        <w:t xml:space="preserve">As we were particularly interested in </w:t>
      </w:r>
      <w:r w:rsidR="00391826" w:rsidRPr="00D51E9F">
        <w:t>variables</w:t>
      </w:r>
      <w:r w:rsidR="00CE78C3" w:rsidRPr="00D51E9F">
        <w:t xml:space="preserve"> that drive extremes in herbivory, we also analyzed the skew of the data</w:t>
      </w:r>
      <w:r w:rsidR="00391826" w:rsidRPr="00D51E9F">
        <w:t>,</w:t>
      </w:r>
      <w:r w:rsidR="00CE78C3" w:rsidRPr="00D51E9F">
        <w:t xml:space="preserve"> </w:t>
      </w:r>
      <w:r w:rsidR="00391826" w:rsidRPr="00D51E9F">
        <w:t xml:space="preserve">calculated as </w:t>
      </w:r>
      <w:r w:rsidR="00CE78C3" w:rsidRPr="00D51E9F">
        <w:t>80</w:t>
      </w:r>
      <w:r w:rsidR="00CE78C3" w:rsidRPr="00D51E9F">
        <w:rPr>
          <w:vertAlign w:val="superscript"/>
        </w:rPr>
        <w:t>th</w:t>
      </w:r>
      <w:r w:rsidR="00CE78C3" w:rsidRPr="00D51E9F">
        <w:t xml:space="preserve"> quantiles </w:t>
      </w:r>
      <w:r w:rsidR="00391826" w:rsidRPr="00D51E9F">
        <w:t xml:space="preserve">of herbivory, </w:t>
      </w:r>
      <w:r w:rsidR="003D1027" w:rsidRPr="00D51E9F">
        <w:t>for each geographic region separately (combining three sites in México, three sites in Perú, two in the Amazon Basin, and four in the southern Mata Atlântica)</w:t>
      </w:r>
      <w:r w:rsidR="00CE78C3" w:rsidRPr="00D51E9F">
        <w:t xml:space="preserve"> using SEM</w:t>
      </w:r>
      <w:r w:rsidR="003D1027" w:rsidRPr="00D51E9F">
        <w:t xml:space="preserve">.  </w:t>
      </w:r>
      <w:r w:rsidR="00FA7583" w:rsidRPr="00D51E9F">
        <w:t xml:space="preserve">These analyses allowed us to explore Question II regarding site specific effects on the distribution of herbivory.  </w:t>
      </w:r>
      <w:r w:rsidR="00CE78C3" w:rsidRPr="00D51E9F">
        <w:t>Higher values of the 80th quantile indicate more plants in a dataset received greater herbivory (</w:t>
      </w:r>
      <w:r w:rsidR="003A4466" w:rsidRPr="00D51E9F">
        <w:t>Supporting Information</w:t>
      </w:r>
      <w:r w:rsidR="00CE78C3" w:rsidRPr="00D51E9F">
        <w:t xml:space="preserve"> Fig. </w:t>
      </w:r>
      <w:r w:rsidR="00E166B0">
        <w:t>1</w:t>
      </w:r>
      <w:r w:rsidR="00CE78C3" w:rsidRPr="00D51E9F">
        <w:t>).  We note that the use of the 80</w:t>
      </w:r>
      <w:r w:rsidR="00CE78C3" w:rsidRPr="00D51E9F">
        <w:rPr>
          <w:vertAlign w:val="superscript"/>
        </w:rPr>
        <w:t>th</w:t>
      </w:r>
      <w:r w:rsidR="00CE78C3" w:rsidRPr="00D51E9F">
        <w:t xml:space="preserve"> quantile for herbivory at population and community levels is somewhat arbitrary (as opposed to the 75</w:t>
      </w:r>
      <w:r w:rsidR="00CE78C3" w:rsidRPr="00D51E9F">
        <w:rPr>
          <w:vertAlign w:val="superscript"/>
        </w:rPr>
        <w:t>th</w:t>
      </w:r>
      <w:r w:rsidR="00CE78C3" w:rsidRPr="00D51E9F">
        <w:t xml:space="preserve"> or the 90</w:t>
      </w:r>
      <w:r w:rsidR="00CE78C3" w:rsidRPr="00D51E9F">
        <w:rPr>
          <w:vertAlign w:val="superscript"/>
        </w:rPr>
        <w:t>th</w:t>
      </w:r>
      <w:r w:rsidR="00CE78C3" w:rsidRPr="00D51E9F">
        <w:t xml:space="preserve"> quantiles), but it was found to be useful in exploration of the data, and other quantiles yielded similar inferences.  </w:t>
      </w:r>
      <w:r w:rsidR="003D1027" w:rsidRPr="00D51E9F">
        <w:t xml:space="preserve">Predictor variables </w:t>
      </w:r>
      <w:r w:rsidR="00CE78C3" w:rsidRPr="00D51E9F">
        <w:t xml:space="preserve">in the SEM </w:t>
      </w:r>
      <w:r w:rsidR="003D1027" w:rsidRPr="00D51E9F">
        <w:t>were (</w:t>
      </w:r>
      <w:proofErr w:type="spellStart"/>
      <w:r w:rsidR="003D1027" w:rsidRPr="00D51E9F">
        <w:t>i</w:t>
      </w:r>
      <w:proofErr w:type="spellEnd"/>
      <w:r w:rsidR="003D1027" w:rsidRPr="00D51E9F">
        <w:t xml:space="preserve">) the total leaf area of each species of </w:t>
      </w:r>
      <w:r w:rsidR="003D1027" w:rsidRPr="00D51E9F">
        <w:rPr>
          <w:i/>
          <w:iCs/>
        </w:rPr>
        <w:t>Piper</w:t>
      </w:r>
      <w:r w:rsidR="003D1027" w:rsidRPr="00D51E9F">
        <w:t xml:space="preserve"> in a plot, (ii) total leaf area of all </w:t>
      </w:r>
      <w:r w:rsidR="003D1027" w:rsidRPr="00D51E9F">
        <w:rPr>
          <w:i/>
          <w:iCs/>
        </w:rPr>
        <w:t>Piper</w:t>
      </w:r>
      <w:r w:rsidR="003D1027" w:rsidRPr="00D51E9F">
        <w:t xml:space="preserve"> individuals in a plot, (iii) the relative leaf area of a given species in plot (</w:t>
      </w:r>
      <w:r w:rsidR="003D1027" w:rsidRPr="00E6458F">
        <w:t xml:space="preserve">dividing species level leaf area by total </w:t>
      </w:r>
      <w:r w:rsidR="003D1027" w:rsidRPr="00E6458F">
        <w:rPr>
          <w:i/>
          <w:iCs/>
        </w:rPr>
        <w:t>Piper</w:t>
      </w:r>
      <w:r w:rsidR="003D1027" w:rsidRPr="00E6458F">
        <w:t xml:space="preserve"> leaf area; </w:t>
      </w:r>
      <w:proofErr w:type="spellStart"/>
      <w:r w:rsidR="003D1027" w:rsidRPr="00E6458F">
        <w:t>i</w:t>
      </w:r>
      <w:proofErr w:type="spellEnd"/>
      <w:r w:rsidR="003D1027" w:rsidRPr="00E6458F">
        <w:t xml:space="preserve">-iii are measures of resource </w:t>
      </w:r>
      <w:r w:rsidR="003D1027" w:rsidRPr="00E6458F">
        <w:lastRenderedPageBreak/>
        <w:t>abundance</w:t>
      </w:r>
      <w:r w:rsidR="00CA72CF" w:rsidRPr="00E6458F">
        <w:t xml:space="preserve">; Hypotheses </w:t>
      </w:r>
      <w:r w:rsidR="008A090A" w:rsidRPr="00E6458F">
        <w:t>5</w:t>
      </w:r>
      <w:r w:rsidR="00CA72CF" w:rsidRPr="00E6458F">
        <w:t xml:space="preserve"> and </w:t>
      </w:r>
      <w:r w:rsidR="008A090A" w:rsidRPr="00E6458F">
        <w:t>6</w:t>
      </w:r>
      <w:r w:rsidR="003D1027" w:rsidRPr="00E6458F">
        <w:t xml:space="preserve">), (iv) </w:t>
      </w:r>
      <w:r w:rsidR="003D1027" w:rsidRPr="00E6458F">
        <w:rPr>
          <w:i/>
          <w:iCs/>
        </w:rPr>
        <w:t>Piper</w:t>
      </w:r>
      <w:r w:rsidR="003D1027" w:rsidRPr="00E6458F">
        <w:t xml:space="preserve"> richness in a plot</w:t>
      </w:r>
      <w:r w:rsidR="00CA72CF" w:rsidRPr="00E6458F">
        <w:t xml:space="preserve"> (Hypotheses </w:t>
      </w:r>
      <w:r w:rsidR="008A090A" w:rsidRPr="00E6458F">
        <w:t>5</w:t>
      </w:r>
      <w:r w:rsidR="00CA72CF" w:rsidRPr="00E6458F">
        <w:t xml:space="preserve"> and </w:t>
      </w:r>
      <w:r w:rsidR="008A090A" w:rsidRPr="00E6458F">
        <w:t>6</w:t>
      </w:r>
      <w:r w:rsidR="00CA72CF" w:rsidRPr="00E6458F">
        <w:t>)</w:t>
      </w:r>
      <w:r w:rsidR="003D1027" w:rsidRPr="00E6458F">
        <w:t xml:space="preserve">, (v) </w:t>
      </w:r>
      <w:r w:rsidR="003D1027" w:rsidRPr="00E6458F">
        <w:rPr>
          <w:i/>
          <w:iCs/>
        </w:rPr>
        <w:t>Piper</w:t>
      </w:r>
      <w:r w:rsidR="003D1027" w:rsidRPr="00E6458F">
        <w:t xml:space="preserve"> diversity in a plot (based on leaf area as described above</w:t>
      </w:r>
      <w:r w:rsidR="00CA72CF" w:rsidRPr="00E6458F">
        <w:t xml:space="preserve">; Hypotheses </w:t>
      </w:r>
      <w:r w:rsidR="008A090A" w:rsidRPr="00E6458F">
        <w:t>5</w:t>
      </w:r>
      <w:r w:rsidR="00CA72CF" w:rsidRPr="00E6458F">
        <w:t xml:space="preserve"> and </w:t>
      </w:r>
      <w:r w:rsidR="008A090A" w:rsidRPr="00E6458F">
        <w:t>6</w:t>
      </w:r>
      <w:r w:rsidR="003D1027" w:rsidRPr="00E6458F">
        <w:t xml:space="preserve">).  These models included canopy cover </w:t>
      </w:r>
      <w:r w:rsidR="0082114D" w:rsidRPr="00E6458F">
        <w:t xml:space="preserve">(Hypothesis </w:t>
      </w:r>
      <w:r w:rsidR="008A090A" w:rsidRPr="00E6458F">
        <w:t>7</w:t>
      </w:r>
      <w:r w:rsidR="0082114D" w:rsidRPr="00E6458F">
        <w:t xml:space="preserve">) </w:t>
      </w:r>
      <w:r w:rsidR="003D1027" w:rsidRPr="00E6458F">
        <w:t>and understory richness when data were available</w:t>
      </w:r>
      <w:r w:rsidR="0082114D" w:rsidRPr="00E6458F">
        <w:t xml:space="preserve"> (Hypothesis </w:t>
      </w:r>
      <w:r w:rsidR="00E6458F" w:rsidRPr="00E6458F">
        <w:t>5</w:t>
      </w:r>
      <w:r w:rsidR="0082114D" w:rsidRPr="00E6458F">
        <w:t>)</w:t>
      </w:r>
      <w:r w:rsidR="003D1027" w:rsidRPr="00E6458F">
        <w:t>.  Data were normalized as z-scores</w:t>
      </w:r>
      <w:r w:rsidR="003D1027" w:rsidRPr="00D51E9F">
        <w:t xml:space="preserve">, and all models were run using the </w:t>
      </w:r>
      <w:proofErr w:type="spellStart"/>
      <w:r w:rsidR="003D1027" w:rsidRPr="00D51E9F">
        <w:t>lavaan</w:t>
      </w:r>
      <w:proofErr w:type="spellEnd"/>
      <w:r w:rsidR="003D1027" w:rsidRPr="00D51E9F">
        <w:t xml:space="preserve"> package (</w:t>
      </w:r>
      <w:proofErr w:type="spellStart"/>
      <w:r w:rsidR="003D1027" w:rsidRPr="00D51E9F">
        <w:t>Rosseel</w:t>
      </w:r>
      <w:proofErr w:type="spellEnd"/>
      <w:r w:rsidR="003D1027" w:rsidRPr="00D51E9F">
        <w:t xml:space="preserve"> 2012). </w:t>
      </w:r>
      <w:r w:rsidR="005B3893" w:rsidRPr="00D51E9F">
        <w:t xml:space="preserve"> The model selection process was </w:t>
      </w:r>
      <w:proofErr w:type="gramStart"/>
      <w:r w:rsidR="005B3893" w:rsidRPr="00D51E9F">
        <w:t>similar to</w:t>
      </w:r>
      <w:proofErr w:type="gramEnd"/>
      <w:r w:rsidR="005B3893" w:rsidRPr="00D51E9F">
        <w:t xml:space="preserve"> that described in Supplementary Table 2.</w:t>
      </w:r>
    </w:p>
    <w:p w14:paraId="113115B0" w14:textId="5EEC9C09" w:rsidR="003D1027" w:rsidRDefault="00CE78C3" w:rsidP="003D1027">
      <w:pPr>
        <w:pStyle w:val="NoSpacing"/>
        <w:spacing w:line="480" w:lineRule="auto"/>
      </w:pPr>
      <w:r w:rsidRPr="00D51E9F">
        <w:tab/>
      </w:r>
      <w:r w:rsidR="00314429" w:rsidRPr="00D51E9F">
        <w:t xml:space="preserve">Finally, to answer Question </w:t>
      </w:r>
      <w:r w:rsidR="007C0585" w:rsidRPr="00D51E9F">
        <w:t>I</w:t>
      </w:r>
      <w:r w:rsidR="00FC77AC" w:rsidRPr="00D51E9F">
        <w:t>II</w:t>
      </w:r>
      <w:r w:rsidR="00314429" w:rsidRPr="00D51E9F">
        <w:t xml:space="preserve"> </w:t>
      </w:r>
      <w:r w:rsidR="00030DF6" w:rsidRPr="00D51E9F">
        <w:t xml:space="preserve">concerning </w:t>
      </w:r>
      <w:r w:rsidR="00314429" w:rsidRPr="00D51E9F">
        <w:t>whether herbivory varies more at local or regional scales, w</w:t>
      </w:r>
      <w:r w:rsidRPr="00D51E9F">
        <w:t xml:space="preserve">e </w:t>
      </w:r>
      <w:r w:rsidR="0036182F" w:rsidRPr="00D51E9F">
        <w:t xml:space="preserve">qualitatively </w:t>
      </w:r>
      <w:r w:rsidRPr="00D51E9F">
        <w:t>compared summary statistics of the 80</w:t>
      </w:r>
      <w:r w:rsidRPr="00D51E9F">
        <w:rPr>
          <w:vertAlign w:val="superscript"/>
        </w:rPr>
        <w:t>th</w:t>
      </w:r>
      <w:r w:rsidRPr="00D51E9F">
        <w:t xml:space="preserve"> quantiles of specialist and generalist herbivory at the level of a (</w:t>
      </w:r>
      <w:proofErr w:type="spellStart"/>
      <w:r w:rsidRPr="00D51E9F">
        <w:t>i</w:t>
      </w:r>
      <w:proofErr w:type="spellEnd"/>
      <w:r w:rsidRPr="00D51E9F">
        <w:t xml:space="preserve">) population (all individuals of a given </w:t>
      </w:r>
      <w:r w:rsidRPr="00D51E9F">
        <w:rPr>
          <w:i/>
          <w:iCs/>
        </w:rPr>
        <w:t xml:space="preserve">Piper </w:t>
      </w:r>
      <w:r w:rsidRPr="00D51E9F">
        <w:t xml:space="preserve">species in a plot), (ii) community (all </w:t>
      </w:r>
      <w:r w:rsidRPr="00D51E9F">
        <w:rPr>
          <w:i/>
          <w:iCs/>
        </w:rPr>
        <w:t>Piper</w:t>
      </w:r>
      <w:r w:rsidRPr="00D51E9F">
        <w:t xml:space="preserve"> individuals in a plot), and (iii) forest (all </w:t>
      </w:r>
      <w:r w:rsidRPr="00D51E9F">
        <w:rPr>
          <w:i/>
          <w:iCs/>
        </w:rPr>
        <w:t>Piper</w:t>
      </w:r>
      <w:r w:rsidRPr="00D51E9F">
        <w:t xml:space="preserve"> individuals measured </w:t>
      </w:r>
      <w:r w:rsidR="00391826" w:rsidRPr="00D51E9F">
        <w:t>at</w:t>
      </w:r>
      <w:r w:rsidRPr="00D51E9F">
        <w:t xml:space="preserve"> a given site).  </w:t>
      </w:r>
      <w:r w:rsidR="0036182F" w:rsidRPr="00D51E9F">
        <w:t>To determine the predictive power of site level variables on the</w:t>
      </w:r>
      <w:r w:rsidR="0036182F">
        <w:t xml:space="preserve"> distribution of specialist and generalist herbivory at the level of a population and a community</w:t>
      </w:r>
      <w:r w:rsidR="00CA72CF">
        <w:t xml:space="preserve"> </w:t>
      </w:r>
      <w:r w:rsidR="00CA72CF" w:rsidRPr="00E6458F">
        <w:t>(Hypothesis 1)</w:t>
      </w:r>
      <w:r w:rsidR="0036182F" w:rsidRPr="00E6458F">
        <w:t>, w</w:t>
      </w:r>
      <w:r w:rsidRPr="00E6458F">
        <w:t>e</w:t>
      </w:r>
      <w:r w:rsidR="00DD0D04" w:rsidRPr="00E6458F">
        <w:t xml:space="preserve"> also</w:t>
      </w:r>
      <w:r>
        <w:t xml:space="preserve"> </w:t>
      </w:r>
      <w:r w:rsidR="00FA7C5E">
        <w:t>ran</w:t>
      </w:r>
      <w:r>
        <w:t xml:space="preserve"> linear regression models of the 80</w:t>
      </w:r>
      <w:r w:rsidRPr="004C4D2A">
        <w:rPr>
          <w:vertAlign w:val="superscript"/>
        </w:rPr>
        <w:t>th</w:t>
      </w:r>
      <w:r>
        <w:t xml:space="preserve"> quantiles of specialist and generalist herbivory at the </w:t>
      </w:r>
      <w:r w:rsidR="0036182F">
        <w:t xml:space="preserve">population and community </w:t>
      </w:r>
      <w:r>
        <w:t xml:space="preserve">level.  Predictor variables included the absolute value of latitude, site level seasonality in precipitation, and the maximum </w:t>
      </w:r>
      <w:r w:rsidRPr="004C4D2A">
        <w:rPr>
          <w:i/>
          <w:iCs/>
        </w:rPr>
        <w:t>Piper</w:t>
      </w:r>
      <w:r>
        <w:t xml:space="preserve"> richness recorded in a plot at each site.  </w:t>
      </w:r>
      <w:r w:rsidR="00BE4526">
        <w:t xml:space="preserve">Generalist herbivory at the population level was </w:t>
      </w:r>
      <w:r>
        <w:t xml:space="preserve">log-transformed for normality.  </w:t>
      </w:r>
      <w:r w:rsidR="003D1027">
        <w:t>A</w:t>
      </w:r>
      <w:r>
        <w:t>ll a</w:t>
      </w:r>
      <w:r w:rsidR="003D1027">
        <w:t xml:space="preserve">nalyses were conducted with R version 4.0.3.    </w:t>
      </w:r>
    </w:p>
    <w:p w14:paraId="3CD7480C" w14:textId="6D282D47" w:rsidR="00C83CE1" w:rsidRDefault="00C83CE1" w:rsidP="00C83CE1">
      <w:pPr>
        <w:pStyle w:val="NoSpacing"/>
        <w:spacing w:line="480" w:lineRule="auto"/>
        <w:ind w:firstLine="720"/>
      </w:pPr>
      <w:r>
        <w:t>Our data were collected to test the hypotheses summarized in Table 1</w:t>
      </w:r>
      <w:r w:rsidR="00861FE6">
        <w:t>;</w:t>
      </w:r>
      <w:r>
        <w:t xml:space="preserve"> </w:t>
      </w:r>
      <w:proofErr w:type="gramStart"/>
      <w:r>
        <w:t>thus</w:t>
      </w:r>
      <w:proofErr w:type="gramEnd"/>
      <w:r>
        <w:t xml:space="preserve"> our statistical analyses were designed for specific hypothesis tests and a relatively small number of models rather than model selection or prediction approaches.  </w:t>
      </w:r>
      <w:r w:rsidR="004C1AC4">
        <w:t>W</w:t>
      </w:r>
      <w:r>
        <w:t xml:space="preserve">e tested simpler nested </w:t>
      </w:r>
      <w:r w:rsidR="004C1AC4">
        <w:t>SEM, but all were aligned with hypotheses in Table 1</w:t>
      </w:r>
      <w:r>
        <w:t xml:space="preserve">.  Furthermore, although we include both Bayesian and null-hypothesis-testing approaches, we do not utilize strict cutoffs or "significance" for probability distributions, rather we report measures of variance, credibility intervals, and </w:t>
      </w:r>
      <w:r>
        <w:lastRenderedPageBreak/>
        <w:t>probability values associated with our parameter estimates</w:t>
      </w:r>
      <w:r w:rsidR="00406298">
        <w:t xml:space="preserve"> (</w:t>
      </w:r>
      <w:r w:rsidR="00364920">
        <w:t xml:space="preserve">Wasserstein and </w:t>
      </w:r>
      <w:proofErr w:type="spellStart"/>
      <w:r w:rsidR="00364920">
        <w:t>Lazer</w:t>
      </w:r>
      <w:proofErr w:type="spellEnd"/>
      <w:r w:rsidR="00364920">
        <w:t xml:space="preserve"> </w:t>
      </w:r>
      <w:r w:rsidR="00406298">
        <w:t xml:space="preserve">2016; </w:t>
      </w:r>
      <w:proofErr w:type="spellStart"/>
      <w:r w:rsidR="00406298">
        <w:t>Tredennick</w:t>
      </w:r>
      <w:proofErr w:type="spellEnd"/>
      <w:r w:rsidR="00406298">
        <w:t xml:space="preserve"> </w:t>
      </w:r>
      <w:r w:rsidR="0082116C">
        <w:t>et al.</w:t>
      </w:r>
      <w:r w:rsidR="00406298">
        <w:t xml:space="preserve"> 2021)</w:t>
      </w:r>
      <w:r>
        <w:t xml:space="preserve">.  We also note when effect sizes </w:t>
      </w:r>
      <w:r w:rsidR="004C1AC4">
        <w:t>were</w:t>
      </w:r>
      <w:r>
        <w:t xml:space="preserve"> small but still fit mechanistic hypotheses.</w:t>
      </w:r>
    </w:p>
    <w:p w14:paraId="4A5241C0" w14:textId="43016B48" w:rsidR="00E240A0" w:rsidRPr="00D73D3A" w:rsidRDefault="00453751" w:rsidP="002214EA">
      <w:pPr>
        <w:pStyle w:val="NoSpacing"/>
        <w:spacing w:line="480" w:lineRule="auto"/>
        <w:rPr>
          <w:b/>
          <w:bCs/>
        </w:rPr>
      </w:pPr>
      <w:r w:rsidRPr="00D73D3A">
        <w:rPr>
          <w:b/>
          <w:bCs/>
        </w:rPr>
        <w:t>R</w:t>
      </w:r>
      <w:r w:rsidR="00E240A0" w:rsidRPr="00D73D3A">
        <w:rPr>
          <w:b/>
          <w:bCs/>
        </w:rPr>
        <w:t>esults</w:t>
      </w:r>
    </w:p>
    <w:p w14:paraId="7888EB96" w14:textId="33CE2F39" w:rsidR="007B6EB9" w:rsidRDefault="00D73D3A" w:rsidP="002214EA">
      <w:pPr>
        <w:pStyle w:val="NoSpacing"/>
        <w:spacing w:line="480" w:lineRule="auto"/>
      </w:pPr>
      <w:r w:rsidRPr="00BB44D9">
        <w:tab/>
      </w:r>
      <w:r w:rsidR="00C008E9" w:rsidRPr="003F2864">
        <w:t xml:space="preserve">Across sites, </w:t>
      </w:r>
      <w:r w:rsidR="003F2864" w:rsidRPr="003F2864">
        <w:t xml:space="preserve">median </w:t>
      </w:r>
      <w:r w:rsidR="0036182F" w:rsidRPr="003F2864">
        <w:t xml:space="preserve">plot level </w:t>
      </w:r>
      <w:r w:rsidR="0036182F" w:rsidRPr="003F2864">
        <w:rPr>
          <w:i/>
          <w:iCs/>
        </w:rPr>
        <w:t>Piper</w:t>
      </w:r>
      <w:r w:rsidR="0036182F" w:rsidRPr="003F2864">
        <w:t xml:space="preserve"> richness </w:t>
      </w:r>
      <w:r w:rsidR="003F2864" w:rsidRPr="003F2864">
        <w:t xml:space="preserve">was </w:t>
      </w:r>
      <w:r w:rsidR="00C008E9" w:rsidRPr="003F2864">
        <w:t xml:space="preserve">4.0 </w:t>
      </w:r>
      <w:r w:rsidR="003F2864" w:rsidRPr="003F2864">
        <w:t>(range:  1-12</w:t>
      </w:r>
      <w:r w:rsidR="00C008E9" w:rsidRPr="003F2864">
        <w:t>)</w:t>
      </w:r>
      <w:r w:rsidR="0036182F" w:rsidRPr="003F2864">
        <w:t>,</w:t>
      </w:r>
      <w:r w:rsidR="00C008E9" w:rsidRPr="003F2864">
        <w:t xml:space="preserve"> and </w:t>
      </w:r>
      <w:r w:rsidR="003F2864" w:rsidRPr="003F2864">
        <w:t xml:space="preserve">median </w:t>
      </w:r>
      <w:r w:rsidR="0036182F" w:rsidRPr="003F2864">
        <w:t xml:space="preserve">plot level </w:t>
      </w:r>
      <w:r w:rsidR="0036182F" w:rsidRPr="003F2864">
        <w:rPr>
          <w:i/>
          <w:iCs/>
        </w:rPr>
        <w:t>Piper</w:t>
      </w:r>
      <w:r w:rsidR="0036182F" w:rsidRPr="003F2864">
        <w:t xml:space="preserve"> abundance was </w:t>
      </w:r>
      <w:r w:rsidR="003F2864" w:rsidRPr="003F2864">
        <w:t>26.5</w:t>
      </w:r>
      <w:r w:rsidR="00C008E9" w:rsidRPr="003F2864">
        <w:t xml:space="preserve"> </w:t>
      </w:r>
      <w:r w:rsidR="003F2864" w:rsidRPr="003F2864">
        <w:t>(range:  3-222)</w:t>
      </w:r>
      <w:r w:rsidR="00C008E9" w:rsidRPr="003F2864">
        <w:t xml:space="preserve">. </w:t>
      </w:r>
      <w:r w:rsidR="00364092" w:rsidRPr="003F2864">
        <w:t xml:space="preserve"> </w:t>
      </w:r>
      <w:r w:rsidR="00E501BC" w:rsidRPr="003F2864">
        <w:t xml:space="preserve">The </w:t>
      </w:r>
      <w:r w:rsidR="00FF6919" w:rsidRPr="003F2864">
        <w:t xml:space="preserve">highest </w:t>
      </w:r>
      <w:r w:rsidR="00E501BC" w:rsidRPr="003F2864">
        <w:t xml:space="preserve">number of </w:t>
      </w:r>
      <w:r w:rsidR="00E501BC" w:rsidRPr="003F2864">
        <w:rPr>
          <w:i/>
          <w:iCs/>
        </w:rPr>
        <w:t>Piper</w:t>
      </w:r>
      <w:r w:rsidR="00E501BC" w:rsidRPr="003F2864">
        <w:t xml:space="preserve"> species in </w:t>
      </w:r>
      <w:r w:rsidR="00FF6919" w:rsidRPr="003F2864">
        <w:t xml:space="preserve">a </w:t>
      </w:r>
      <w:r w:rsidR="005F7031" w:rsidRPr="003F2864">
        <w:t xml:space="preserve">plot </w:t>
      </w:r>
      <w:r w:rsidR="00E501BC" w:rsidRPr="003F2864">
        <w:t xml:space="preserve">was </w:t>
      </w:r>
      <w:r w:rsidR="003F2864" w:rsidRPr="003F2864">
        <w:t>found</w:t>
      </w:r>
      <w:r w:rsidR="00E501BC" w:rsidRPr="003F2864">
        <w:t xml:space="preserve"> in </w:t>
      </w:r>
      <w:r w:rsidR="004D3D81" w:rsidRPr="003F2864">
        <w:t xml:space="preserve">the </w:t>
      </w:r>
      <w:r w:rsidR="00737AE1" w:rsidRPr="003F2864">
        <w:t>Mata Atlântica</w:t>
      </w:r>
      <w:r w:rsidR="00C008E9">
        <w:t>, while the</w:t>
      </w:r>
      <w:r w:rsidR="00364092">
        <w:t xml:space="preserve"> </w:t>
      </w:r>
      <w:r w:rsidR="004D3D81">
        <w:t xml:space="preserve">seasonally dry forests in </w:t>
      </w:r>
      <w:r w:rsidR="00911834">
        <w:t>México</w:t>
      </w:r>
      <w:r w:rsidR="004D3D81">
        <w:t xml:space="preserve"> had </w:t>
      </w:r>
      <w:r w:rsidR="005F7031">
        <w:t xml:space="preserve">the lowest maximum </w:t>
      </w:r>
      <w:r w:rsidR="00E501BC">
        <w:t xml:space="preserve">number of </w:t>
      </w:r>
      <w:r w:rsidR="00E501BC" w:rsidRPr="00E501BC">
        <w:rPr>
          <w:i/>
          <w:iCs/>
        </w:rPr>
        <w:t>Piper</w:t>
      </w:r>
      <w:r w:rsidR="00E501BC">
        <w:t xml:space="preserve"> species </w:t>
      </w:r>
      <w:r w:rsidR="005F7031">
        <w:t xml:space="preserve">in </w:t>
      </w:r>
      <w:r w:rsidR="00E501BC">
        <w:t xml:space="preserve">a </w:t>
      </w:r>
      <w:r w:rsidR="005F7031">
        <w:t xml:space="preserve">plot </w:t>
      </w:r>
      <w:r w:rsidR="00E501BC">
        <w:t>(</w:t>
      </w:r>
      <w:r w:rsidR="004D3D81">
        <w:t xml:space="preserve">three </w:t>
      </w:r>
      <w:proofErr w:type="gramStart"/>
      <w:r w:rsidR="004D3D81">
        <w:t>species;</w:t>
      </w:r>
      <w:proofErr w:type="gramEnd"/>
      <w:r w:rsidR="004D3D81">
        <w:t xml:space="preserve"> </w:t>
      </w:r>
      <w:r w:rsidR="003A4466">
        <w:t>Supporting Information</w:t>
      </w:r>
      <w:r w:rsidR="00DE344A">
        <w:t xml:space="preserve"> </w:t>
      </w:r>
      <w:r w:rsidR="00E501BC">
        <w:t xml:space="preserve">Table 1). </w:t>
      </w:r>
      <w:r w:rsidR="00F90D66">
        <w:t xml:space="preserve"> </w:t>
      </w:r>
      <w:r w:rsidR="009E51C1">
        <w:t>Mean herbivory across the dataset was 7.9 ± 0.13% (SE)</w:t>
      </w:r>
      <w:r w:rsidR="005815FF">
        <w:t xml:space="preserve">, and the geometric mean was </w:t>
      </w:r>
      <w:r w:rsidR="00314BF4">
        <w:t>4</w:t>
      </w:r>
      <w:r w:rsidR="005815FF">
        <w:t>.3</w:t>
      </w:r>
      <w:r w:rsidR="005172B1">
        <w:t>%</w:t>
      </w:r>
      <w:r w:rsidR="008E1980">
        <w:t xml:space="preserve">. </w:t>
      </w:r>
      <w:r w:rsidR="009E51C1">
        <w:t xml:space="preserve"> </w:t>
      </w:r>
      <w:r w:rsidR="00A44606">
        <w:t>Mean specialist herbivory</w:t>
      </w:r>
      <w:r w:rsidR="009E51C1">
        <w:t xml:space="preserve"> </w:t>
      </w:r>
      <w:r w:rsidR="00A44606">
        <w:t>was 3.5 ± 0.05%</w:t>
      </w:r>
      <w:r w:rsidR="00391826">
        <w:t xml:space="preserve"> (geometric mean = 1.7%)</w:t>
      </w:r>
      <w:r w:rsidR="009E51C1">
        <w:t>,</w:t>
      </w:r>
      <w:r w:rsidR="00270C4D">
        <w:t xml:space="preserve"> and</w:t>
      </w:r>
      <w:r w:rsidR="00A44606">
        <w:t xml:space="preserve"> mean generalist herbivory was 4.4</w:t>
      </w:r>
      <w:r w:rsidR="006B5634">
        <w:t xml:space="preserve"> ± 0.10</w:t>
      </w:r>
      <w:r w:rsidR="00A44606">
        <w:t>%</w:t>
      </w:r>
      <w:r w:rsidR="00391826">
        <w:t xml:space="preserve"> (</w:t>
      </w:r>
      <w:r w:rsidR="007D02FD">
        <w:t xml:space="preserve">geometric mean </w:t>
      </w:r>
      <w:r w:rsidR="00391826">
        <w:t xml:space="preserve">= </w:t>
      </w:r>
      <w:r w:rsidR="00314BF4">
        <w:t>2</w:t>
      </w:r>
      <w:r w:rsidR="007D02FD">
        <w:t>.</w:t>
      </w:r>
      <w:r w:rsidR="005815FF">
        <w:t>1</w:t>
      </w:r>
      <w:r w:rsidR="007D02FD">
        <w:t>%</w:t>
      </w:r>
      <w:r w:rsidR="00391826">
        <w:t>)</w:t>
      </w:r>
      <w:r w:rsidR="007D02FD">
        <w:t xml:space="preserve">. </w:t>
      </w:r>
      <w:r w:rsidR="007D02FD" w:rsidRPr="00BB44D9">
        <w:t xml:space="preserve"> </w:t>
      </w:r>
      <w:r w:rsidR="007D02FD">
        <w:t xml:space="preserve"> </w:t>
      </w:r>
    </w:p>
    <w:p w14:paraId="162A35F0" w14:textId="1545FB6A" w:rsidR="003F68E8" w:rsidRPr="00952EA4" w:rsidRDefault="003F68E8" w:rsidP="003F68E8">
      <w:pPr>
        <w:pStyle w:val="NoSpacing"/>
        <w:spacing w:line="480" w:lineRule="auto"/>
        <w:rPr>
          <w:i/>
          <w:iCs/>
        </w:rPr>
      </w:pPr>
      <w:bookmarkStart w:id="0" w:name="_Hlk114898848"/>
      <w:r>
        <w:rPr>
          <w:i/>
          <w:iCs/>
        </w:rPr>
        <w:t xml:space="preserve">What </w:t>
      </w:r>
      <w:r w:rsidR="00391826">
        <w:rPr>
          <w:i/>
          <w:iCs/>
        </w:rPr>
        <w:t>variables</w:t>
      </w:r>
      <w:r>
        <w:rPr>
          <w:i/>
          <w:iCs/>
        </w:rPr>
        <w:t xml:space="preserve"> </w:t>
      </w:r>
      <w:r w:rsidR="006F631D">
        <w:rPr>
          <w:i/>
          <w:iCs/>
        </w:rPr>
        <w:t xml:space="preserve">affect </w:t>
      </w:r>
      <w:r w:rsidR="003B4B6D">
        <w:rPr>
          <w:i/>
          <w:iCs/>
        </w:rPr>
        <w:t xml:space="preserve">the </w:t>
      </w:r>
      <w:r>
        <w:rPr>
          <w:i/>
          <w:iCs/>
        </w:rPr>
        <w:t xml:space="preserve">distribution </w:t>
      </w:r>
      <w:r w:rsidR="006F631D">
        <w:rPr>
          <w:i/>
          <w:iCs/>
        </w:rPr>
        <w:t xml:space="preserve">parameters </w:t>
      </w:r>
      <w:r w:rsidR="003B4B6D">
        <w:rPr>
          <w:i/>
          <w:iCs/>
        </w:rPr>
        <w:t xml:space="preserve">of </w:t>
      </w:r>
      <w:r>
        <w:rPr>
          <w:i/>
          <w:iCs/>
        </w:rPr>
        <w:t>herbivory?</w:t>
      </w:r>
    </w:p>
    <w:bookmarkEnd w:id="0"/>
    <w:p w14:paraId="1E3742F8" w14:textId="2EF6DD91" w:rsidR="00D20CE3" w:rsidRDefault="003F68E8" w:rsidP="00FE423C">
      <w:pPr>
        <w:pStyle w:val="NoSpacing"/>
        <w:spacing w:line="480" w:lineRule="auto"/>
      </w:pPr>
      <w:r w:rsidRPr="00BB44D9">
        <w:tab/>
      </w:r>
      <w:r>
        <w:t xml:space="preserve">The best fit Bayesian SEM describing the distribution of herbivory </w:t>
      </w:r>
      <w:r w:rsidR="006F631D">
        <w:t xml:space="preserve">supported </w:t>
      </w:r>
      <w:r>
        <w:t>the</w:t>
      </w:r>
      <w:r w:rsidR="006F631D">
        <w:t xml:space="preserve"> hypothes</w:t>
      </w:r>
      <w:r w:rsidR="00C35DDE">
        <w:t>e</w:t>
      </w:r>
      <w:r w:rsidR="006F631D">
        <w:t xml:space="preserve">s that </w:t>
      </w:r>
      <w:r w:rsidR="00FE423C">
        <w:t xml:space="preserve">seasonality, </w:t>
      </w:r>
      <w:r w:rsidR="00FE423C">
        <w:rPr>
          <w:i/>
          <w:iCs/>
        </w:rPr>
        <w:t xml:space="preserve">Piper </w:t>
      </w:r>
      <w:r w:rsidR="00FE423C">
        <w:t xml:space="preserve">richness, and resource availability </w:t>
      </w:r>
      <w:r w:rsidR="00D51E9F">
        <w:t xml:space="preserve">(leaf area) </w:t>
      </w:r>
      <w:r w:rsidR="00FE423C">
        <w:t>affect herbivory</w:t>
      </w:r>
      <w:r w:rsidR="00535499">
        <w:t xml:space="preserve"> </w:t>
      </w:r>
      <w:r w:rsidR="003B4B6D">
        <w:t>(X</w:t>
      </w:r>
      <w:r w:rsidR="003B4B6D" w:rsidRPr="008904CF">
        <w:rPr>
          <w:vertAlign w:val="superscript"/>
        </w:rPr>
        <w:t>2</w:t>
      </w:r>
      <w:r w:rsidR="003B4B6D">
        <w:t xml:space="preserve"> = 2</w:t>
      </w:r>
      <w:r w:rsidR="00F875D3">
        <w:t>5</w:t>
      </w:r>
      <w:r w:rsidR="003B4B6D">
        <w:t>.</w:t>
      </w:r>
      <w:r w:rsidR="00F875D3">
        <w:t>74</w:t>
      </w:r>
      <w:r w:rsidR="003B4B6D">
        <w:t xml:space="preserve">, </w:t>
      </w:r>
      <w:proofErr w:type="spellStart"/>
      <w:r w:rsidR="003B4B6D">
        <w:t>df</w:t>
      </w:r>
      <w:proofErr w:type="spellEnd"/>
      <w:r w:rsidR="003B4B6D">
        <w:t xml:space="preserve"> = 33, </w:t>
      </w:r>
      <w:r w:rsidR="003B4B6D" w:rsidRPr="003B4B6D">
        <w:rPr>
          <w:i/>
          <w:iCs/>
        </w:rPr>
        <w:t>P</w:t>
      </w:r>
      <w:r w:rsidR="003B4B6D">
        <w:t xml:space="preserve"> = 0.</w:t>
      </w:r>
      <w:r w:rsidR="00F875D3">
        <w:t>81</w:t>
      </w:r>
      <w:r w:rsidR="003B4B6D">
        <w:t>; AIC = 45</w:t>
      </w:r>
      <w:r w:rsidR="00F875D3">
        <w:t>51.</w:t>
      </w:r>
      <w:r w:rsidR="003B4B6D">
        <w:t>64; Bayesian MLL = -23</w:t>
      </w:r>
      <w:r w:rsidR="00B74EFE">
        <w:t>76</w:t>
      </w:r>
      <w:r w:rsidR="003B4B6D">
        <w:t>.</w:t>
      </w:r>
      <w:r w:rsidR="00B74EFE">
        <w:t>82</w:t>
      </w:r>
      <w:r w:rsidR="003B4B6D">
        <w:t>; PPP = 0.7</w:t>
      </w:r>
      <w:r w:rsidR="00B74EFE">
        <w:t>2</w:t>
      </w:r>
      <w:r w:rsidR="003B4B6D">
        <w:t xml:space="preserve">; Fig. </w:t>
      </w:r>
      <w:r w:rsidR="00E27AF9">
        <w:t>2</w:t>
      </w:r>
      <w:r w:rsidR="003B4B6D">
        <w:t xml:space="preserve">; </w:t>
      </w:r>
      <w:r w:rsidR="003A4466">
        <w:t>Supporting Information</w:t>
      </w:r>
      <w:r w:rsidR="003B4B6D">
        <w:t xml:space="preserve"> Fig. </w:t>
      </w:r>
      <w:r w:rsidR="00E166B0">
        <w:t>2</w:t>
      </w:r>
      <w:r w:rsidR="003B4B6D">
        <w:t>)</w:t>
      </w:r>
      <w:r>
        <w:t>.</w:t>
      </w:r>
      <w:r w:rsidR="003B4B6D">
        <w:t xml:space="preserve">  </w:t>
      </w:r>
      <w:r w:rsidR="00D20CE3">
        <w:t xml:space="preserve">Strongly seasonal sites had less skewed distributions of specialist herbivory and lower mean generalist herbivory.  </w:t>
      </w:r>
      <w:r w:rsidR="00EB4389">
        <w:t>Higher</w:t>
      </w:r>
      <w:r w:rsidR="00D20CE3">
        <w:t xml:space="preserve"> </w:t>
      </w:r>
      <w:r w:rsidR="00D20CE3" w:rsidRPr="00020C7B">
        <w:rPr>
          <w:i/>
          <w:iCs/>
        </w:rPr>
        <w:t>Piper</w:t>
      </w:r>
      <w:r w:rsidR="00D20CE3">
        <w:t xml:space="preserve"> richness led to increased variation in specialist and generalist herbivory, greater skew for generalists, and lower mean herbivory for specialists.  Where </w:t>
      </w:r>
      <w:r w:rsidR="00D20CE3" w:rsidRPr="00D20CE3">
        <w:rPr>
          <w:i/>
          <w:iCs/>
        </w:rPr>
        <w:t>Piper</w:t>
      </w:r>
      <w:r w:rsidR="00D20CE3">
        <w:t xml:space="preserve"> leaf area was </w:t>
      </w:r>
      <w:r w:rsidR="007F6351">
        <w:t>greater</w:t>
      </w:r>
      <w:r w:rsidR="00D20CE3">
        <w:t xml:space="preserve">, there was a narrower skew of generalist herbivory.  The skew of generalist herbivory was the best described variable </w:t>
      </w:r>
      <w:r w:rsidR="007422A0">
        <w:t xml:space="preserve">in our model </w:t>
      </w:r>
      <w:r w:rsidR="00D20CE3">
        <w:t>(r</w:t>
      </w:r>
      <w:r w:rsidR="00D20CE3" w:rsidRPr="008904CF">
        <w:rPr>
          <w:vertAlign w:val="superscript"/>
        </w:rPr>
        <w:t>2</w:t>
      </w:r>
      <w:r w:rsidR="00D20CE3">
        <w:t xml:space="preserve"> = 0.1</w:t>
      </w:r>
      <w:r w:rsidR="00F875D3">
        <w:t>6</w:t>
      </w:r>
      <w:r w:rsidR="00D20CE3">
        <w:t xml:space="preserve">), while mean specialist herbivory was the </w:t>
      </w:r>
      <w:r w:rsidR="007422A0">
        <w:t xml:space="preserve">least well </w:t>
      </w:r>
      <w:r w:rsidR="00D20CE3">
        <w:t>described variable (r</w:t>
      </w:r>
      <w:r w:rsidR="00D20CE3" w:rsidRPr="008904CF">
        <w:rPr>
          <w:vertAlign w:val="superscript"/>
        </w:rPr>
        <w:t>2</w:t>
      </w:r>
      <w:r w:rsidR="00D20CE3">
        <w:t xml:space="preserve"> = 0.02).  </w:t>
      </w:r>
      <w:r w:rsidR="004F4FE8">
        <w:t xml:space="preserve">In addition, the SEM showed </w:t>
      </w:r>
      <w:r w:rsidR="00535499" w:rsidRPr="00020C7B">
        <w:rPr>
          <w:i/>
          <w:iCs/>
        </w:rPr>
        <w:t>Piper</w:t>
      </w:r>
      <w:r w:rsidR="00535499">
        <w:t xml:space="preserve"> richness was greater in less seasonal sites.  </w:t>
      </w:r>
    </w:p>
    <w:p w14:paraId="1550D91F" w14:textId="491E5EB2" w:rsidR="00CE0C49" w:rsidRPr="00373CB6" w:rsidRDefault="00D37BD5" w:rsidP="00CE0C49">
      <w:pPr>
        <w:pStyle w:val="NoSpacing"/>
        <w:spacing w:line="480" w:lineRule="auto"/>
        <w:rPr>
          <w:i/>
          <w:iCs/>
        </w:rPr>
      </w:pPr>
      <w:bookmarkStart w:id="1" w:name="_Hlk114898865"/>
      <w:r>
        <w:rPr>
          <w:i/>
          <w:iCs/>
        </w:rPr>
        <w:t xml:space="preserve">Are there </w:t>
      </w:r>
      <w:r w:rsidR="009E270A">
        <w:rPr>
          <w:i/>
          <w:iCs/>
        </w:rPr>
        <w:t>site-specific</w:t>
      </w:r>
      <w:r>
        <w:rPr>
          <w:i/>
          <w:iCs/>
        </w:rPr>
        <w:t xml:space="preserve"> effects on </w:t>
      </w:r>
      <w:r w:rsidR="00BC264F">
        <w:rPr>
          <w:i/>
          <w:iCs/>
        </w:rPr>
        <w:t>the distribution of herbivory?</w:t>
      </w:r>
    </w:p>
    <w:bookmarkEnd w:id="1"/>
    <w:p w14:paraId="59A62E1C" w14:textId="3FEF7AA4" w:rsidR="00CE0C49" w:rsidRDefault="00074EA1" w:rsidP="00CE0C49">
      <w:pPr>
        <w:pStyle w:val="NoSpacing"/>
        <w:spacing w:line="480" w:lineRule="auto"/>
      </w:pPr>
      <w:r>
        <w:lastRenderedPageBreak/>
        <w:tab/>
        <w:t xml:space="preserve">The distribution of herbivory was analyzed separately </w:t>
      </w:r>
      <w:r w:rsidR="007422A0">
        <w:t>within</w:t>
      </w:r>
      <w:r>
        <w:t xml:space="preserve"> each site using the </w:t>
      </w:r>
      <w:bookmarkStart w:id="2" w:name="_Hlk82286612"/>
      <w:r w:rsidR="00ED7BF8">
        <w:t>80</w:t>
      </w:r>
      <w:r w:rsidR="00ED7BF8" w:rsidRPr="00ED7BF8">
        <w:rPr>
          <w:vertAlign w:val="superscript"/>
        </w:rPr>
        <w:t>th</w:t>
      </w:r>
      <w:r w:rsidR="00ED7BF8">
        <w:t xml:space="preserve"> quantiles of herbivory, </w:t>
      </w:r>
      <w:proofErr w:type="gramStart"/>
      <w:r w:rsidR="00ED7BF8">
        <w:t>similar to</w:t>
      </w:r>
      <w:proofErr w:type="gramEnd"/>
      <w:r w:rsidR="00ED7BF8">
        <w:t xml:space="preserve"> the </w:t>
      </w:r>
      <w:r w:rsidR="001B20B8">
        <w:t>latent variable</w:t>
      </w:r>
      <w:r w:rsidR="00C26846">
        <w:t xml:space="preserve"> describing skew</w:t>
      </w:r>
      <w:r w:rsidR="001B20B8">
        <w:t xml:space="preserve"> </w:t>
      </w:r>
      <w:r w:rsidR="00ED7BF8">
        <w:t>in the multisite analys</w:t>
      </w:r>
      <w:r w:rsidR="00E17B38">
        <w:t>i</w:t>
      </w:r>
      <w:r w:rsidR="00ED7BF8">
        <w:t>s</w:t>
      </w:r>
      <w:r>
        <w:t>.  T</w:t>
      </w:r>
      <w:r w:rsidR="00CE0C49">
        <w:t xml:space="preserve">he </w:t>
      </w:r>
      <w:r w:rsidR="008B1B22">
        <w:t>best</w:t>
      </w:r>
      <w:r w:rsidR="00CE0C49" w:rsidRPr="00E4051D">
        <w:t xml:space="preserve"> predictors </w:t>
      </w:r>
      <w:r>
        <w:t xml:space="preserve">of the distribution of herbivory differed between sites </w:t>
      </w:r>
      <w:r w:rsidR="00CE0C49" w:rsidRPr="00E4051D">
        <w:t>(</w:t>
      </w:r>
      <w:r w:rsidR="00372985">
        <w:t xml:space="preserve">Fig. </w:t>
      </w:r>
      <w:proofErr w:type="gramStart"/>
      <w:r w:rsidR="00E166B0">
        <w:t>3</w:t>
      </w:r>
      <w:r w:rsidR="00CE0C49" w:rsidRPr="00E4051D">
        <w:t>;</w:t>
      </w:r>
      <w:proofErr w:type="gramEnd"/>
      <w:r w:rsidR="00CE0C49" w:rsidRPr="00E4051D">
        <w:t xml:space="preserve"> </w:t>
      </w:r>
      <w:r w:rsidR="003A4466">
        <w:t xml:space="preserve">Supporting Information </w:t>
      </w:r>
      <w:r w:rsidR="00CE0C49" w:rsidRPr="00E4051D">
        <w:t xml:space="preserve">Table </w:t>
      </w:r>
      <w:r w:rsidR="00DD1EAC">
        <w:t>3</w:t>
      </w:r>
      <w:r w:rsidR="00CE0C49" w:rsidRPr="00E4051D">
        <w:t xml:space="preserve">).  </w:t>
      </w:r>
      <w:r w:rsidR="00CE0C49">
        <w:t>Our southernmost sites had the most herbivory at</w:t>
      </w:r>
      <w:r w:rsidR="000C1954">
        <w:t xml:space="preserve"> the</w:t>
      </w:r>
      <w:r w:rsidR="00CE0C49">
        <w:t xml:space="preserve"> population and community scales, and more seasonal sites had the least herbivory.  The forest with the most specialist herbivory was our southernmost site in Brazil (24.3 °S) with an 80</w:t>
      </w:r>
      <w:r w:rsidR="00CE0C49" w:rsidRPr="00952EA4">
        <w:rPr>
          <w:vertAlign w:val="superscript"/>
        </w:rPr>
        <w:t>th</w:t>
      </w:r>
      <w:r w:rsidR="00CE0C49">
        <w:t xml:space="preserve"> quantile of 10% herbivory.  Similarly, our second </w:t>
      </w:r>
      <w:r w:rsidR="00E17B38">
        <w:t xml:space="preserve">most </w:t>
      </w:r>
      <w:r w:rsidR="00CE0C49">
        <w:t>southern site had the highest generalist herbivory (80</w:t>
      </w:r>
      <w:r w:rsidR="00CE0C49" w:rsidRPr="00952EA4">
        <w:rPr>
          <w:vertAlign w:val="superscript"/>
        </w:rPr>
        <w:t>th</w:t>
      </w:r>
      <w:r w:rsidR="00CE0C49">
        <w:t xml:space="preserve"> quantile of 13.4% </w:t>
      </w:r>
      <w:proofErr w:type="gramStart"/>
      <w:r w:rsidR="00CE0C49">
        <w:t>herbivory</w:t>
      </w:r>
      <w:r w:rsidR="00D51E9F">
        <w:t>;</w:t>
      </w:r>
      <w:proofErr w:type="gramEnd"/>
      <w:r w:rsidR="00D51E9F">
        <w:t xml:space="preserve"> Supporting Information Fig. </w:t>
      </w:r>
      <w:r w:rsidR="00E166B0">
        <w:t>3</w:t>
      </w:r>
      <w:r w:rsidR="00CE0C49">
        <w:t xml:space="preserve">).  </w:t>
      </w:r>
      <w:proofErr w:type="gramStart"/>
      <w:r w:rsidR="00CE0C49">
        <w:t>Both of these</w:t>
      </w:r>
      <w:proofErr w:type="gramEnd"/>
      <w:r w:rsidR="00CE0C49">
        <w:t xml:space="preserve"> sites were tropical wet forests with ~2400 mm of precipitation per year.  The site with the </w:t>
      </w:r>
      <w:r w:rsidR="0006652C">
        <w:t xml:space="preserve">lowest </w:t>
      </w:r>
      <w:r w:rsidR="00CE0C49">
        <w:t>specialist herbivory was our second most seasonal site, a gallery forest in the Brazilian cerrado (80</w:t>
      </w:r>
      <w:r w:rsidR="00CE0C49" w:rsidRPr="00952EA4">
        <w:rPr>
          <w:vertAlign w:val="superscript"/>
        </w:rPr>
        <w:t>th</w:t>
      </w:r>
      <w:r w:rsidR="00CE0C49">
        <w:t xml:space="preserve"> quantile of 1.6% herbivory).  Our driest, most seasonal site in </w:t>
      </w:r>
      <w:r w:rsidR="00CE0C49" w:rsidRPr="00E4051D">
        <w:t xml:space="preserve">México </w:t>
      </w:r>
      <w:r w:rsidR="00CE0C49">
        <w:t>had the lowest generalist herbivory (80</w:t>
      </w:r>
      <w:r w:rsidR="00CE0C49" w:rsidRPr="00952EA4">
        <w:rPr>
          <w:vertAlign w:val="superscript"/>
        </w:rPr>
        <w:t>th</w:t>
      </w:r>
      <w:r w:rsidR="00CE0C49">
        <w:t xml:space="preserve"> quantile of 1.8% herbivory). </w:t>
      </w:r>
    </w:p>
    <w:p w14:paraId="5743DCAF" w14:textId="3BB767F7" w:rsidR="00CE0C49" w:rsidRDefault="00CE0C49" w:rsidP="00CE0C49">
      <w:pPr>
        <w:pStyle w:val="NoSpacing"/>
        <w:spacing w:line="480" w:lineRule="auto"/>
      </w:pPr>
      <w:r>
        <w:tab/>
        <w:t>G</w:t>
      </w:r>
      <w:r w:rsidRPr="00E4051D">
        <w:t xml:space="preserve">eneralist and specialist herbivory decreased on </w:t>
      </w:r>
      <w:r w:rsidR="00476FE3">
        <w:rPr>
          <w:i/>
        </w:rPr>
        <w:t xml:space="preserve">Piper </w:t>
      </w:r>
      <w:r w:rsidRPr="00E4051D">
        <w:t xml:space="preserve">species with more </w:t>
      </w:r>
      <w:r>
        <w:t xml:space="preserve">plot-level </w:t>
      </w:r>
      <w:r w:rsidRPr="00E4051D">
        <w:t xml:space="preserve">leaf area </w:t>
      </w:r>
      <w:r w:rsidR="00E53F17">
        <w:t xml:space="preserve">(species per plot leaf area) </w:t>
      </w:r>
      <w:r w:rsidRPr="00E4051D">
        <w:t>in the tropical dry forests of México and in the Amazon Basin</w:t>
      </w:r>
      <w:r w:rsidR="00514DAC">
        <w:t>.</w:t>
      </w:r>
      <w:r w:rsidR="00F8117E">
        <w:t xml:space="preserve"> In contrast,</w:t>
      </w:r>
      <w:r w:rsidR="00514DAC">
        <w:t xml:space="preserve"> </w:t>
      </w:r>
      <w:r w:rsidR="00F8117E">
        <w:t>s</w:t>
      </w:r>
      <w:r w:rsidR="00F8117E" w:rsidRPr="00E4051D">
        <w:t xml:space="preserve">pecialist </w:t>
      </w:r>
      <w:r w:rsidRPr="00E4051D">
        <w:t xml:space="preserve">herbivory increased with leaf area in Ecuadorian cloud forest, which was among our least seasonal sites.  Total </w:t>
      </w:r>
      <w:r w:rsidRPr="00E4051D">
        <w:rPr>
          <w:i/>
          <w:iCs/>
        </w:rPr>
        <w:t>Piper</w:t>
      </w:r>
      <w:r w:rsidRPr="00E4051D">
        <w:t xml:space="preserve"> leaf area</w:t>
      </w:r>
      <w:r>
        <w:t xml:space="preserve"> in a plot</w:t>
      </w:r>
      <w:r w:rsidRPr="00E4051D">
        <w:t xml:space="preserve"> </w:t>
      </w:r>
      <w:r w:rsidR="00061602">
        <w:t xml:space="preserve">(including all </w:t>
      </w:r>
      <w:r w:rsidR="00061602" w:rsidRPr="00061602">
        <w:rPr>
          <w:i/>
          <w:iCs/>
        </w:rPr>
        <w:t>Piper</w:t>
      </w:r>
      <w:r w:rsidR="00061602">
        <w:t xml:space="preserve"> species) </w:t>
      </w:r>
      <w:r w:rsidRPr="00E4051D">
        <w:t xml:space="preserve">led to </w:t>
      </w:r>
      <w:r>
        <w:t xml:space="preserve">more </w:t>
      </w:r>
      <w:r w:rsidRPr="00E4051D">
        <w:t xml:space="preserve">generalist and specialist herbivory in the cerrado gallery forest and to </w:t>
      </w:r>
      <w:r>
        <w:t xml:space="preserve">more </w:t>
      </w:r>
      <w:r w:rsidRPr="00E4051D">
        <w:t xml:space="preserve">generalist herbivory in Ecuador.  Plots with greater </w:t>
      </w:r>
      <w:r w:rsidRPr="00E4051D">
        <w:rPr>
          <w:i/>
          <w:iCs/>
        </w:rPr>
        <w:t>Piper</w:t>
      </w:r>
      <w:r w:rsidRPr="00E4051D">
        <w:t xml:space="preserve"> species richness </w:t>
      </w:r>
      <w:r>
        <w:t>received</w:t>
      </w:r>
      <w:r w:rsidRPr="00E4051D">
        <w:t xml:space="preserve"> </w:t>
      </w:r>
      <w:r>
        <w:t xml:space="preserve">more </w:t>
      </w:r>
      <w:r w:rsidRPr="00E4051D">
        <w:t xml:space="preserve">generalist herbivory in Costa Rica, where </w:t>
      </w:r>
      <w:r w:rsidRPr="00E4051D">
        <w:rPr>
          <w:i/>
          <w:iCs/>
        </w:rPr>
        <w:t>Piper</w:t>
      </w:r>
      <w:r w:rsidRPr="00E4051D">
        <w:t xml:space="preserve"> richness was</w:t>
      </w:r>
      <w:r>
        <w:t xml:space="preserve"> relatively</w:t>
      </w:r>
      <w:r w:rsidRPr="00E4051D">
        <w:t xml:space="preserve"> high (5.2 ± 0.5 (SE) species per plot)</w:t>
      </w:r>
      <w:r>
        <w:t xml:space="preserve">.  In contrast, </w:t>
      </w:r>
      <w:r w:rsidR="00074EA1">
        <w:t xml:space="preserve">generalist damage </w:t>
      </w:r>
      <w:r>
        <w:t xml:space="preserve">decreased with </w:t>
      </w:r>
      <w:r w:rsidR="00A8656D">
        <w:rPr>
          <w:i/>
          <w:iCs/>
        </w:rPr>
        <w:t xml:space="preserve">Piper </w:t>
      </w:r>
      <w:r>
        <w:t xml:space="preserve">richness </w:t>
      </w:r>
      <w:r w:rsidRPr="00E4051D">
        <w:t>in the Amazon</w:t>
      </w:r>
      <w:r>
        <w:t xml:space="preserve"> </w:t>
      </w:r>
      <w:r w:rsidR="006D33F1">
        <w:t>B</w:t>
      </w:r>
      <w:r>
        <w:t>asin sites</w:t>
      </w:r>
      <w:r w:rsidRPr="00E4051D">
        <w:t xml:space="preserve">, where overall </w:t>
      </w:r>
      <w:r w:rsidRPr="00E4051D">
        <w:rPr>
          <w:i/>
          <w:iCs/>
        </w:rPr>
        <w:t xml:space="preserve">Piper </w:t>
      </w:r>
      <w:r w:rsidRPr="00E4051D">
        <w:t>richness was lower (4.2 ± 0.3 species per plot</w:t>
      </w:r>
      <w:proofErr w:type="gramStart"/>
      <w:r w:rsidRPr="00E4051D">
        <w:t>)</w:t>
      </w:r>
      <w:r w:rsidR="002474A1">
        <w:t>, but</w:t>
      </w:r>
      <w:proofErr w:type="gramEnd"/>
      <w:r w:rsidR="002474A1">
        <w:t xml:space="preserve"> increased with </w:t>
      </w:r>
      <w:r w:rsidR="002474A1" w:rsidRPr="00E4051D">
        <w:rPr>
          <w:i/>
          <w:iCs/>
        </w:rPr>
        <w:t xml:space="preserve">Piper </w:t>
      </w:r>
      <w:r w:rsidR="002474A1" w:rsidRPr="00E4051D">
        <w:t xml:space="preserve">diversity </w:t>
      </w:r>
      <w:r w:rsidR="002474A1">
        <w:t>(based on leaf area)</w:t>
      </w:r>
      <w:r w:rsidRPr="00E4051D">
        <w:t xml:space="preserve">. </w:t>
      </w:r>
      <w:r w:rsidR="002474A1">
        <w:t xml:space="preserve"> </w:t>
      </w:r>
      <w:r>
        <w:t xml:space="preserve">Understory plant richness increased generalist herbivory in the Amazon </w:t>
      </w:r>
      <w:r w:rsidR="006D33F1">
        <w:t>B</w:t>
      </w:r>
      <w:r>
        <w:t>asin, where richness was high (</w:t>
      </w:r>
      <w:r w:rsidRPr="00E4051D">
        <w:t xml:space="preserve">60.3 ± 2.9 species per plot), and </w:t>
      </w:r>
      <w:r w:rsidR="00416042">
        <w:t xml:space="preserve">in </w:t>
      </w:r>
      <w:r w:rsidRPr="00E4051D">
        <w:t xml:space="preserve">the </w:t>
      </w:r>
      <w:r>
        <w:t>Mata Atlântica</w:t>
      </w:r>
      <w:r w:rsidRPr="00E4051D">
        <w:t xml:space="preserve">, </w:t>
      </w:r>
      <w:r w:rsidRPr="00E4051D">
        <w:lastRenderedPageBreak/>
        <w:t>where understory richness was lower (32.0 ± 2.0 species per plot).  In the cerrado</w:t>
      </w:r>
      <w:r w:rsidR="00A8656D">
        <w:t xml:space="preserve"> gallery forest</w:t>
      </w:r>
      <w:r w:rsidRPr="00E4051D">
        <w:t>, generalist herbivory decreased with canopy openness (</w:t>
      </w:r>
      <w:r w:rsidR="00372985">
        <w:t xml:space="preserve">Fig. </w:t>
      </w:r>
      <w:proofErr w:type="gramStart"/>
      <w:r w:rsidR="00E166B0">
        <w:t>3</w:t>
      </w:r>
      <w:r w:rsidRPr="00E4051D">
        <w:t>;</w:t>
      </w:r>
      <w:proofErr w:type="gramEnd"/>
      <w:r w:rsidRPr="00E4051D">
        <w:t xml:space="preserve"> </w:t>
      </w:r>
      <w:r w:rsidR="003A4466">
        <w:t xml:space="preserve">Supporting Information </w:t>
      </w:r>
      <w:r w:rsidRPr="00E4051D">
        <w:t xml:space="preserve">Table </w:t>
      </w:r>
      <w:r w:rsidR="00DD1EAC">
        <w:t>3</w:t>
      </w:r>
      <w:r w:rsidRPr="00E4051D">
        <w:t xml:space="preserve">).  </w:t>
      </w:r>
    </w:p>
    <w:p w14:paraId="1909CC82" w14:textId="3B759BA4" w:rsidR="007B6EB9" w:rsidRPr="007B6EB9" w:rsidRDefault="007B6EB9" w:rsidP="002214EA">
      <w:pPr>
        <w:pStyle w:val="NoSpacing"/>
        <w:spacing w:line="480" w:lineRule="auto"/>
        <w:rPr>
          <w:i/>
          <w:iCs/>
        </w:rPr>
      </w:pPr>
      <w:bookmarkStart w:id="3" w:name="_Hlk114898884"/>
      <w:bookmarkEnd w:id="2"/>
      <w:r w:rsidRPr="007B6EB9">
        <w:rPr>
          <w:i/>
          <w:iCs/>
        </w:rPr>
        <w:t xml:space="preserve">Does herbivory vary more at local scales or </w:t>
      </w:r>
      <w:r w:rsidR="00005588">
        <w:rPr>
          <w:i/>
          <w:iCs/>
        </w:rPr>
        <w:t>regionally</w:t>
      </w:r>
      <w:r w:rsidRPr="007B6EB9">
        <w:rPr>
          <w:i/>
          <w:iCs/>
        </w:rPr>
        <w:t xml:space="preserve">? </w:t>
      </w:r>
    </w:p>
    <w:bookmarkEnd w:id="3"/>
    <w:p w14:paraId="43CC154A" w14:textId="69B87ECB" w:rsidR="00F7424F" w:rsidRDefault="007B6EB9" w:rsidP="001649E7">
      <w:pPr>
        <w:pStyle w:val="NoSpacing"/>
        <w:spacing w:line="480" w:lineRule="auto"/>
      </w:pPr>
      <w:r>
        <w:tab/>
      </w:r>
      <w:bookmarkStart w:id="4" w:name="_Hlk82258470"/>
      <w:r w:rsidR="00A44606">
        <w:t xml:space="preserve">The </w:t>
      </w:r>
      <w:r w:rsidR="00B41630">
        <w:t>distribution</w:t>
      </w:r>
      <w:r w:rsidR="00E17B38">
        <w:t>s</w:t>
      </w:r>
      <w:r w:rsidR="00B41630">
        <w:t xml:space="preserve"> </w:t>
      </w:r>
      <w:r w:rsidR="00A44606">
        <w:t>of</w:t>
      </w:r>
      <w:r w:rsidR="00304A41" w:rsidRPr="00D8198A">
        <w:t xml:space="preserve"> herbivory</w:t>
      </w:r>
      <w:r w:rsidR="00373CB6">
        <w:t xml:space="preserve"> described with 80</w:t>
      </w:r>
      <w:r w:rsidR="00373CB6" w:rsidRPr="00373CB6">
        <w:rPr>
          <w:vertAlign w:val="superscript"/>
        </w:rPr>
        <w:t>th</w:t>
      </w:r>
      <w:r w:rsidR="00373CB6">
        <w:t xml:space="preserve"> quantiles</w:t>
      </w:r>
      <w:r w:rsidR="00304A41" w:rsidRPr="00D8198A">
        <w:t xml:space="preserve"> </w:t>
      </w:r>
      <w:r w:rsidR="00E17B38">
        <w:t>were</w:t>
      </w:r>
      <w:r w:rsidR="00A44606">
        <w:t xml:space="preserve"> </w:t>
      </w:r>
      <w:r w:rsidR="002F70D0">
        <w:t>similar at the</w:t>
      </w:r>
      <w:r w:rsidR="00647CB2">
        <w:t xml:space="preserve"> level of a </w:t>
      </w:r>
      <w:r w:rsidR="002F70D0">
        <w:t>population</w:t>
      </w:r>
      <w:r w:rsidR="00647CB2">
        <w:t xml:space="preserve"> (conspecifics in a plot)</w:t>
      </w:r>
      <w:r w:rsidR="002F70D0">
        <w:t>, community</w:t>
      </w:r>
      <w:r w:rsidR="00647CB2">
        <w:t xml:space="preserve"> (congeners in a plot)</w:t>
      </w:r>
      <w:r w:rsidR="002F70D0">
        <w:t xml:space="preserve">, and site </w:t>
      </w:r>
      <w:r w:rsidR="00647CB2">
        <w:t xml:space="preserve">(congeners in multiple plots in a </w:t>
      </w:r>
      <w:proofErr w:type="gramStart"/>
      <w:r w:rsidR="00647CB2">
        <w:t>forest;</w:t>
      </w:r>
      <w:proofErr w:type="gramEnd"/>
      <w:r w:rsidR="00647CB2">
        <w:t xml:space="preserve"> </w:t>
      </w:r>
      <w:r w:rsidR="003A4466">
        <w:t>Supporting Information</w:t>
      </w:r>
      <w:r w:rsidR="003D23CE">
        <w:t xml:space="preserve"> </w:t>
      </w:r>
      <w:r w:rsidR="003D23CE" w:rsidRPr="00BB44D9">
        <w:t xml:space="preserve">Fig. </w:t>
      </w:r>
      <w:r w:rsidR="00E166B0">
        <w:t>3</w:t>
      </w:r>
      <w:r w:rsidR="002F70D0">
        <w:t>).  T</w:t>
      </w:r>
      <w:r w:rsidR="00A44606">
        <w:t>he 80</w:t>
      </w:r>
      <w:r w:rsidR="00A44606" w:rsidRPr="00A44606">
        <w:rPr>
          <w:vertAlign w:val="superscript"/>
        </w:rPr>
        <w:t>th</w:t>
      </w:r>
      <w:r w:rsidR="00A44606">
        <w:t xml:space="preserve"> quantiles </w:t>
      </w:r>
      <w:r w:rsidR="004D3D81">
        <w:t>at the site level fell within</w:t>
      </w:r>
      <w:r w:rsidR="00AE17FC">
        <w:t xml:space="preserve"> the </w:t>
      </w:r>
      <w:r w:rsidR="00A44606">
        <w:t>interquartile range</w:t>
      </w:r>
      <w:r w:rsidR="00AE17FC">
        <w:t xml:space="preserve"> </w:t>
      </w:r>
      <w:r w:rsidR="00A44606">
        <w:t xml:space="preserve">of </w:t>
      </w:r>
      <w:r w:rsidR="00373CB6">
        <w:t xml:space="preserve">the </w:t>
      </w:r>
      <w:r w:rsidR="004C2B88">
        <w:t>population</w:t>
      </w:r>
      <w:r w:rsidR="00A44606">
        <w:t xml:space="preserve"> and </w:t>
      </w:r>
      <w:r w:rsidR="004C2B88">
        <w:t xml:space="preserve">community </w:t>
      </w:r>
      <w:r w:rsidR="00A44606">
        <w:t>level 80</w:t>
      </w:r>
      <w:r w:rsidR="00A44606" w:rsidRPr="00A44606">
        <w:rPr>
          <w:vertAlign w:val="superscript"/>
        </w:rPr>
        <w:t>th</w:t>
      </w:r>
      <w:r w:rsidR="00A44606">
        <w:t xml:space="preserve"> quantiles </w:t>
      </w:r>
      <w:r w:rsidR="00E416E9">
        <w:t>with rare exception</w:t>
      </w:r>
      <w:r w:rsidR="003F7A9C">
        <w:t>s</w:t>
      </w:r>
      <w:r w:rsidR="00E416E9">
        <w:t xml:space="preserve"> </w:t>
      </w:r>
      <w:r w:rsidR="00304A41" w:rsidRPr="00BB44D9">
        <w:t>(</w:t>
      </w:r>
      <w:r w:rsidR="003A4466">
        <w:t>Supporting Information</w:t>
      </w:r>
      <w:r w:rsidR="00C40B17">
        <w:t xml:space="preserve"> </w:t>
      </w:r>
      <w:r w:rsidR="00304A41" w:rsidRPr="00BB44D9">
        <w:t xml:space="preserve">Fig. </w:t>
      </w:r>
      <w:r w:rsidR="00E166B0">
        <w:t>4</w:t>
      </w:r>
      <w:r w:rsidR="00304A41" w:rsidRPr="00BB44D9">
        <w:t xml:space="preserve">).  </w:t>
      </w:r>
      <w:r w:rsidR="00E15ED5">
        <w:t xml:space="preserve">Site level variables (latitude, seasonality, and maximum </w:t>
      </w:r>
      <w:r w:rsidR="00E15ED5" w:rsidRPr="00FC22FB">
        <w:rPr>
          <w:i/>
          <w:iCs/>
        </w:rPr>
        <w:t>Piper</w:t>
      </w:r>
      <w:r w:rsidR="00E15ED5">
        <w:t xml:space="preserve"> richness) explained </w:t>
      </w:r>
      <w:r w:rsidR="007B44B9">
        <w:t xml:space="preserve">the </w:t>
      </w:r>
      <w:r w:rsidR="00373CB6">
        <w:t>80</w:t>
      </w:r>
      <w:r w:rsidR="00373CB6" w:rsidRPr="00373CB6">
        <w:rPr>
          <w:vertAlign w:val="superscript"/>
        </w:rPr>
        <w:t>th</w:t>
      </w:r>
      <w:r w:rsidR="00373CB6">
        <w:t xml:space="preserve"> quantile</w:t>
      </w:r>
      <w:r w:rsidR="007B44B9">
        <w:t xml:space="preserve"> of </w:t>
      </w:r>
      <w:r w:rsidR="00E15ED5">
        <w:t>generalist herbivory better than specialist herbivory</w:t>
      </w:r>
      <w:r w:rsidR="00720099">
        <w:t xml:space="preserve"> (Table </w:t>
      </w:r>
      <w:r w:rsidR="00372985">
        <w:t>2</w:t>
      </w:r>
      <w:r w:rsidR="00720099">
        <w:t>)</w:t>
      </w:r>
      <w:r w:rsidR="002F70D0">
        <w:t xml:space="preserve">.  The site level variables also </w:t>
      </w:r>
      <w:r w:rsidR="00E15ED5">
        <w:t xml:space="preserve">better </w:t>
      </w:r>
      <w:r w:rsidR="00B41630">
        <w:t>predicted</w:t>
      </w:r>
      <w:r w:rsidR="00E15ED5">
        <w:t xml:space="preserve"> herbivory at the community rather than population </w:t>
      </w:r>
      <w:r w:rsidR="00B41630">
        <w:t xml:space="preserve">level </w:t>
      </w:r>
      <w:r w:rsidR="00E15ED5">
        <w:t xml:space="preserve">(Table </w:t>
      </w:r>
      <w:r w:rsidR="00372985">
        <w:t>2)</w:t>
      </w:r>
      <w:r w:rsidR="00E15ED5">
        <w:t>.</w:t>
      </w:r>
      <w:r w:rsidR="00F7424F">
        <w:t xml:space="preserve">  </w:t>
      </w:r>
      <w:r w:rsidR="00C76218">
        <w:t>D</w:t>
      </w:r>
      <w:r w:rsidR="007B44B9">
        <w:t xml:space="preserve">amage by generalist herbivores </w:t>
      </w:r>
      <w:r w:rsidR="00F7424F">
        <w:t>increased farther from the equator, but the opposite was true for specialist herbivory</w:t>
      </w:r>
      <w:r w:rsidR="00066FBB">
        <w:t xml:space="preserve"> (Table 2)</w:t>
      </w:r>
      <w:r w:rsidR="00F7424F">
        <w:t xml:space="preserve">.  </w:t>
      </w:r>
      <w:r w:rsidR="007B44B9">
        <w:t xml:space="preserve">Herbivory by both generalists and specialists increased </w:t>
      </w:r>
      <w:r w:rsidR="00F7424F">
        <w:t xml:space="preserve">where </w:t>
      </w:r>
      <w:r w:rsidR="00F7424F" w:rsidRPr="00F7424F">
        <w:rPr>
          <w:i/>
          <w:iCs/>
        </w:rPr>
        <w:t>Piper</w:t>
      </w:r>
      <w:r w:rsidR="00F7424F">
        <w:t xml:space="preserve"> was more species rich and decreased in more seasonal sites.</w:t>
      </w:r>
    </w:p>
    <w:bookmarkEnd w:id="4"/>
    <w:p w14:paraId="6421B630" w14:textId="77777777" w:rsidR="00555183" w:rsidRDefault="00555183" w:rsidP="006F0A9F">
      <w:pPr>
        <w:pStyle w:val="NoSpacing"/>
      </w:pPr>
    </w:p>
    <w:p w14:paraId="76675E57" w14:textId="19DA3B4D" w:rsidR="00F90D66" w:rsidRDefault="00F90D66" w:rsidP="002214EA">
      <w:pPr>
        <w:spacing w:line="480" w:lineRule="auto"/>
        <w:rPr>
          <w:b/>
          <w:bCs/>
        </w:rPr>
      </w:pPr>
      <w:r>
        <w:rPr>
          <w:b/>
          <w:bCs/>
        </w:rPr>
        <w:t>Discussion</w:t>
      </w:r>
    </w:p>
    <w:p w14:paraId="0B3DC2E7" w14:textId="7CD8D8EC" w:rsidR="00782D9E" w:rsidRDefault="00B37731" w:rsidP="00B37731">
      <w:pPr>
        <w:spacing w:line="480" w:lineRule="auto"/>
      </w:pPr>
      <w:r>
        <w:tab/>
      </w:r>
      <w:r w:rsidR="00603F66">
        <w:t>T</w:t>
      </w:r>
      <w:r w:rsidR="006706F5" w:rsidRPr="00C07DA1">
        <w:t xml:space="preserve">he search for broad patterns of herbivory has </w:t>
      </w:r>
      <w:r w:rsidR="008B1B22">
        <w:t xml:space="preserve">uncovered few consistent </w:t>
      </w:r>
      <w:r w:rsidR="00C76218">
        <w:t>relationships</w:t>
      </w:r>
      <w:r w:rsidR="008B1B22">
        <w:t>,</w:t>
      </w:r>
      <w:r>
        <w:t xml:space="preserve"> </w:t>
      </w:r>
      <w:r w:rsidR="00D51D4C">
        <w:t xml:space="preserve">despite numerous hypotheses </w:t>
      </w:r>
      <w:r w:rsidR="00242135">
        <w:t>attempting to explain</w:t>
      </w:r>
      <w:r w:rsidR="00D51D4C">
        <w:t xml:space="preserve"> </w:t>
      </w:r>
      <w:r w:rsidR="006D4052">
        <w:t xml:space="preserve">variation in </w:t>
      </w:r>
      <w:r w:rsidR="00D51D4C">
        <w:t xml:space="preserve">herbivory </w:t>
      </w:r>
      <w:r w:rsidR="006E0D54">
        <w:t>(</w:t>
      </w:r>
      <w:r w:rsidR="006E0D54" w:rsidRPr="00C708C0">
        <w:t>Coley and Aide 1991</w:t>
      </w:r>
      <w:r w:rsidR="006E0D54">
        <w:t xml:space="preserve">; Coley and Barone 1996; Moles </w:t>
      </w:r>
      <w:r w:rsidR="0082116C">
        <w:t>et al.</w:t>
      </w:r>
      <w:r w:rsidR="004C0CE7">
        <w:t xml:space="preserve"> </w:t>
      </w:r>
      <w:r w:rsidR="006E0D54">
        <w:t>2011</w:t>
      </w:r>
      <w:r w:rsidR="00015B44">
        <w:t>;</w:t>
      </w:r>
      <w:r w:rsidR="006E0D54">
        <w:t xml:space="preserve"> </w:t>
      </w:r>
      <w:r w:rsidR="009A13FD">
        <w:t xml:space="preserve">Lim </w:t>
      </w:r>
      <w:r w:rsidR="0082116C">
        <w:t>et al.</w:t>
      </w:r>
      <w:r w:rsidR="004C0CE7">
        <w:t xml:space="preserve"> </w:t>
      </w:r>
      <w:r w:rsidR="009A13FD">
        <w:t xml:space="preserve">2015; </w:t>
      </w:r>
      <w:r w:rsidR="006E0D54">
        <w:t xml:space="preserve">Zhang </w:t>
      </w:r>
      <w:r w:rsidR="0082116C">
        <w:t>et al.</w:t>
      </w:r>
      <w:r w:rsidR="004C0CE7">
        <w:t xml:space="preserve"> </w:t>
      </w:r>
      <w:r w:rsidR="006E0D54">
        <w:t>2016</w:t>
      </w:r>
      <w:r>
        <w:t>)</w:t>
      </w:r>
      <w:r w:rsidR="006706F5" w:rsidRPr="00C07DA1">
        <w:t xml:space="preserve">.  </w:t>
      </w:r>
      <w:r w:rsidR="00E643A2">
        <w:t>In the present work</w:t>
      </w:r>
      <w:r>
        <w:t xml:space="preserve">, we examined </w:t>
      </w:r>
      <w:r w:rsidR="0067284A">
        <w:t>many of these</w:t>
      </w:r>
      <w:r>
        <w:t xml:space="preserve"> hypotheses</w:t>
      </w:r>
      <w:r w:rsidR="0067284A">
        <w:t xml:space="preserve"> (Table 1)</w:t>
      </w:r>
      <w:r>
        <w:t xml:space="preserve">, and we found that both landscape </w:t>
      </w:r>
      <w:r w:rsidR="00E6458F">
        <w:t xml:space="preserve">and local </w:t>
      </w:r>
      <w:r>
        <w:t xml:space="preserve">level </w:t>
      </w:r>
      <w:r w:rsidR="00E6458F">
        <w:t>variables</w:t>
      </w:r>
      <w:r>
        <w:t xml:space="preserve"> affect</w:t>
      </w:r>
      <w:r w:rsidR="00310C35">
        <w:t xml:space="preserve"> the distribution of</w:t>
      </w:r>
      <w:r>
        <w:t xml:space="preserve"> </w:t>
      </w:r>
      <w:r w:rsidR="007258F9">
        <w:t>herbivory</w:t>
      </w:r>
      <w:r>
        <w:t>.</w:t>
      </w:r>
      <w:r w:rsidR="00310C35">
        <w:t xml:space="preserve">  Importantly, not all </w:t>
      </w:r>
      <w:r w:rsidR="00E17B38">
        <w:t>metrics</w:t>
      </w:r>
      <w:r w:rsidR="00310C35">
        <w:t xml:space="preserve"> of </w:t>
      </w:r>
      <w:r w:rsidR="007412DD">
        <w:t xml:space="preserve">the distributions of </w:t>
      </w:r>
      <w:r w:rsidR="00310C35">
        <w:t>herbivory</w:t>
      </w:r>
      <w:r w:rsidR="008B1B22">
        <w:t xml:space="preserve"> </w:t>
      </w:r>
      <w:r w:rsidR="00310C35">
        <w:t xml:space="preserve">were affected by the same variables, and relevant predictors differed between sites and for generalist and specialist herbivores.  </w:t>
      </w:r>
      <w:r w:rsidR="009F5FB5" w:rsidRPr="00067809">
        <w:t xml:space="preserve">Interestingly, </w:t>
      </w:r>
      <w:r w:rsidR="008D621E">
        <w:t xml:space="preserve">the distributions of </w:t>
      </w:r>
      <w:r w:rsidR="009F5FB5" w:rsidRPr="00067809">
        <w:t xml:space="preserve">herbivory </w:t>
      </w:r>
      <w:r w:rsidR="008D621E">
        <w:t xml:space="preserve">were </w:t>
      </w:r>
      <w:r w:rsidR="009F5FB5" w:rsidRPr="00067809">
        <w:t xml:space="preserve">similar whether analyzed </w:t>
      </w:r>
      <w:r w:rsidR="009F5FB5">
        <w:t>for</w:t>
      </w:r>
      <w:r w:rsidR="009F5FB5" w:rsidRPr="00067809">
        <w:t xml:space="preserve"> a population of a single species, a local </w:t>
      </w:r>
      <w:r w:rsidR="00900D25">
        <w:t>assemblage</w:t>
      </w:r>
      <w:r w:rsidR="00900D25" w:rsidRPr="00067809">
        <w:t xml:space="preserve"> </w:t>
      </w:r>
      <w:r w:rsidR="009F5FB5" w:rsidRPr="00067809">
        <w:lastRenderedPageBreak/>
        <w:t xml:space="preserve">of co-occurring </w:t>
      </w:r>
      <w:r w:rsidR="00C76218" w:rsidRPr="00C76218">
        <w:t>congeners</w:t>
      </w:r>
      <w:r w:rsidR="009F5FB5" w:rsidRPr="00067809">
        <w:t xml:space="preserve">, or all </w:t>
      </w:r>
      <w:r w:rsidR="00C76218" w:rsidRPr="00C76218">
        <w:t>congeners</w:t>
      </w:r>
      <w:r w:rsidR="009F5FB5" w:rsidRPr="00067809">
        <w:t xml:space="preserve"> measured in a forest, suggesting variables that influence herbivory on an individual plant </w:t>
      </w:r>
      <w:r w:rsidR="00AE6FAF">
        <w:t xml:space="preserve">may </w:t>
      </w:r>
      <w:r w:rsidR="009F5FB5" w:rsidRPr="00067809">
        <w:t xml:space="preserve">affect patterns of herbivory across an entire forest.  </w:t>
      </w:r>
      <w:r w:rsidR="00E17B38">
        <w:rPr>
          <w:i/>
          <w:iCs/>
        </w:rPr>
        <w:t xml:space="preserve">Piper </w:t>
      </w:r>
      <w:r w:rsidR="00E17B38">
        <w:t xml:space="preserve">is a particularly informative genus for understanding broad scale patterns.  It is </w:t>
      </w:r>
      <w:r w:rsidR="00C1063D">
        <w:t xml:space="preserve">both abundant and </w:t>
      </w:r>
      <w:r w:rsidR="00900D25">
        <w:t xml:space="preserve">species rich </w:t>
      </w:r>
      <w:r w:rsidR="00C1063D">
        <w:t>across the Neotropics (</w:t>
      </w:r>
      <w:r w:rsidR="00382E7B" w:rsidRPr="001877F9">
        <w:rPr>
          <w:color w:val="000000" w:themeColor="text1"/>
        </w:rPr>
        <w:t>Dyer and Palmer 2004</w:t>
      </w:r>
      <w:r w:rsidR="00C1063D">
        <w:t xml:space="preserve">), and it suffers levels of herbivory </w:t>
      </w:r>
      <w:proofErr w:type="gramStart"/>
      <w:r w:rsidR="00C1063D">
        <w:t>similar to</w:t>
      </w:r>
      <w:proofErr w:type="gramEnd"/>
      <w:r w:rsidR="00C1063D">
        <w:t xml:space="preserve"> estimates of global averages (</w:t>
      </w:r>
      <w:r w:rsidR="00382E7B">
        <w:t xml:space="preserve">the geometric mean in our dataset was 4.3%, while the </w:t>
      </w:r>
      <w:r w:rsidR="007D6341">
        <w:t xml:space="preserve">globally reported </w:t>
      </w:r>
      <w:r w:rsidR="00382E7B">
        <w:t xml:space="preserve">geometric mean is 5.3%; </w:t>
      </w:r>
      <w:r w:rsidR="00C1063D">
        <w:t xml:space="preserve">Turcotte et al. </w:t>
      </w:r>
      <w:r w:rsidR="00C4331E">
        <w:t>2014</w:t>
      </w:r>
      <w:r w:rsidR="00C1063D">
        <w:t>)</w:t>
      </w:r>
      <w:r w:rsidR="00382E7B">
        <w:t xml:space="preserve">.  </w:t>
      </w:r>
      <w:r>
        <w:t xml:space="preserve">  </w:t>
      </w:r>
    </w:p>
    <w:p w14:paraId="159A0E14" w14:textId="504034E0" w:rsidR="00724205" w:rsidRPr="00724205" w:rsidRDefault="00392AE6" w:rsidP="00B37731">
      <w:pPr>
        <w:spacing w:line="480" w:lineRule="auto"/>
        <w:rPr>
          <w:i/>
          <w:iCs/>
        </w:rPr>
      </w:pPr>
      <w:r>
        <w:rPr>
          <w:i/>
          <w:iCs/>
        </w:rPr>
        <w:t>H</w:t>
      </w:r>
      <w:r w:rsidR="00724205" w:rsidRPr="00724205">
        <w:rPr>
          <w:i/>
          <w:iCs/>
        </w:rPr>
        <w:t xml:space="preserve">erbivory </w:t>
      </w:r>
      <w:r w:rsidR="002E70C4">
        <w:rPr>
          <w:i/>
          <w:iCs/>
        </w:rPr>
        <w:t xml:space="preserve">is </w:t>
      </w:r>
      <w:r w:rsidR="008B5ACB">
        <w:rPr>
          <w:i/>
          <w:iCs/>
        </w:rPr>
        <w:t xml:space="preserve">not directly affected by latitude but is </w:t>
      </w:r>
      <w:r>
        <w:rPr>
          <w:i/>
          <w:iCs/>
        </w:rPr>
        <w:t xml:space="preserve">lower in more </w:t>
      </w:r>
      <w:r w:rsidR="00711355">
        <w:rPr>
          <w:i/>
          <w:iCs/>
        </w:rPr>
        <w:t>seasonal</w:t>
      </w:r>
      <w:r>
        <w:rPr>
          <w:i/>
          <w:iCs/>
        </w:rPr>
        <w:t xml:space="preserve"> forests</w:t>
      </w:r>
    </w:p>
    <w:p w14:paraId="6BF3C9B8" w14:textId="0A5D1655" w:rsidR="00BB1FB5" w:rsidRDefault="00673CD1" w:rsidP="00BB1FB5">
      <w:pPr>
        <w:spacing w:line="480" w:lineRule="auto"/>
      </w:pPr>
      <w:r>
        <w:tab/>
        <w:t xml:space="preserve">A major question in large-scale studies of herbivory is whether herbivory changes with latitude (Moles </w:t>
      </w:r>
      <w:r w:rsidR="0082116C">
        <w:t>et al.</w:t>
      </w:r>
      <w:r w:rsidR="004C0CE7">
        <w:t xml:space="preserve"> </w:t>
      </w:r>
      <w:r>
        <w:t xml:space="preserve">2011; Lim </w:t>
      </w:r>
      <w:r w:rsidR="0082116C">
        <w:t>et al.</w:t>
      </w:r>
      <w:r w:rsidR="004C0CE7">
        <w:t xml:space="preserve"> </w:t>
      </w:r>
      <w:r>
        <w:t xml:space="preserve">2015; Zhang </w:t>
      </w:r>
      <w:r w:rsidR="0082116C">
        <w:t>et al.</w:t>
      </w:r>
      <w:r w:rsidR="004C0CE7">
        <w:t xml:space="preserve"> </w:t>
      </w:r>
      <w:r>
        <w:t xml:space="preserve">2016).  </w:t>
      </w:r>
      <w:r w:rsidR="00556AD7">
        <w:t xml:space="preserve">Our SEM indicated that </w:t>
      </w:r>
      <w:r>
        <w:t xml:space="preserve">latitude did not have direct effects on </w:t>
      </w:r>
      <w:r w:rsidR="006D4052">
        <w:t xml:space="preserve">the distribution of </w:t>
      </w:r>
      <w:r>
        <w:t>herbivory</w:t>
      </w:r>
      <w:r w:rsidR="008B1B22">
        <w:t xml:space="preserve">, but it is important to note that our latitudinal gradient was limited to the tropics, and many </w:t>
      </w:r>
      <w:r w:rsidR="008D621E">
        <w:t xml:space="preserve">ecological </w:t>
      </w:r>
      <w:r w:rsidR="008B1B22">
        <w:t xml:space="preserve">changes </w:t>
      </w:r>
      <w:r w:rsidR="008D621E">
        <w:t xml:space="preserve">associated with </w:t>
      </w:r>
      <w:r w:rsidR="008B1B22">
        <w:t xml:space="preserve">latitude occur </w:t>
      </w:r>
      <w:r w:rsidR="008D621E">
        <w:t>over</w:t>
      </w:r>
      <w:r w:rsidR="008B1B22">
        <w:t xml:space="preserve"> gradients that </w:t>
      </w:r>
      <w:r w:rsidR="004C1AC4">
        <w:t>extend</w:t>
      </w:r>
      <w:r w:rsidR="008B1B22">
        <w:t xml:space="preserve"> from </w:t>
      </w:r>
      <w:r w:rsidR="00AE6FAF">
        <w:t xml:space="preserve">the </w:t>
      </w:r>
      <w:r w:rsidR="008B1B22">
        <w:t xml:space="preserve">tropical into </w:t>
      </w:r>
      <w:r w:rsidR="00AE6FAF">
        <w:t xml:space="preserve">the </w:t>
      </w:r>
      <w:r w:rsidR="008B1B22">
        <w:t xml:space="preserve">temperate </w:t>
      </w:r>
      <w:r w:rsidR="008D621E">
        <w:t>zone</w:t>
      </w:r>
      <w:r w:rsidR="008B1B22">
        <w:t xml:space="preserve"> (Dyer and </w:t>
      </w:r>
      <w:proofErr w:type="spellStart"/>
      <w:r w:rsidR="008B1B22">
        <w:t>Forister</w:t>
      </w:r>
      <w:proofErr w:type="spellEnd"/>
      <w:r w:rsidR="008B1B22">
        <w:t xml:space="preserve"> </w:t>
      </w:r>
      <w:r w:rsidR="00FC2C24">
        <w:t>2019</w:t>
      </w:r>
      <w:r w:rsidR="008B1B22">
        <w:t>).</w:t>
      </w:r>
      <w:r>
        <w:t xml:space="preserve"> </w:t>
      </w:r>
      <w:r w:rsidR="00FC2C24">
        <w:t xml:space="preserve"> </w:t>
      </w:r>
      <w:r w:rsidR="008B5ACB">
        <w:t xml:space="preserve">In our dataset, </w:t>
      </w:r>
      <w:r w:rsidR="008B1B22">
        <w:t>seasonality was the best predictor of changes in herbivory</w:t>
      </w:r>
      <w:r w:rsidR="008B5ACB">
        <w:t xml:space="preserve">.  This may explain </w:t>
      </w:r>
      <w:r>
        <w:t xml:space="preserve">why the search for latitudinal gradients in herbivory has been </w:t>
      </w:r>
      <w:r w:rsidR="00DC2883">
        <w:t xml:space="preserve">inconclusive and why studies incorporating climate </w:t>
      </w:r>
      <w:r w:rsidR="008B5ACB">
        <w:t xml:space="preserve">are </w:t>
      </w:r>
      <w:r w:rsidR="006D4052">
        <w:t xml:space="preserve">better </w:t>
      </w:r>
      <w:r w:rsidR="00DC2883">
        <w:t xml:space="preserve">able to </w:t>
      </w:r>
      <w:r w:rsidR="00242135">
        <w:t>explain</w:t>
      </w:r>
      <w:r w:rsidR="00DC2883">
        <w:t xml:space="preserve"> variation in herbivor</w:t>
      </w:r>
      <w:r w:rsidR="008B5ACB">
        <w:t>y</w:t>
      </w:r>
      <w:r w:rsidR="00BE092A">
        <w:t xml:space="preserve"> </w:t>
      </w:r>
      <w:r w:rsidR="00E0211B">
        <w:t xml:space="preserve">across large spatial scales </w:t>
      </w:r>
      <w:r w:rsidR="00BE092A">
        <w:t>(</w:t>
      </w:r>
      <w:r w:rsidR="00E0211B">
        <w:t xml:space="preserve">Zhang </w:t>
      </w:r>
      <w:r w:rsidR="0082116C">
        <w:t>et al.</w:t>
      </w:r>
      <w:r w:rsidR="004C0CE7">
        <w:t xml:space="preserve"> </w:t>
      </w:r>
      <w:r w:rsidR="00E0211B">
        <w:t xml:space="preserve">2016; </w:t>
      </w:r>
      <w:r w:rsidR="00BE092A" w:rsidRPr="00BE092A">
        <w:t>Loughnan and Williams 2019</w:t>
      </w:r>
      <w:r w:rsidR="00BE092A">
        <w:t>)</w:t>
      </w:r>
      <w:r w:rsidR="00E0211B">
        <w:t>.  In our data, s</w:t>
      </w:r>
      <w:r w:rsidR="00711355">
        <w:t>easonal</w:t>
      </w:r>
      <w:r w:rsidR="00556AD7">
        <w:t xml:space="preserve"> variation in precipitation </w:t>
      </w:r>
      <w:r w:rsidR="00711355">
        <w:t>directly reduce</w:t>
      </w:r>
      <w:r w:rsidR="008B5ACB">
        <w:t>d</w:t>
      </w:r>
      <w:r w:rsidR="00711355">
        <w:t xml:space="preserve"> the skew of specialist herbivory and the mean of generalist herbivory</w:t>
      </w:r>
      <w:r w:rsidR="00216403">
        <w:t xml:space="preserve">, </w:t>
      </w:r>
      <w:r w:rsidR="007D6341">
        <w:t>and</w:t>
      </w:r>
      <w:r w:rsidR="00216403">
        <w:t xml:space="preserve"> temperature</w:t>
      </w:r>
      <w:r w:rsidR="00776B41">
        <w:t xml:space="preserve"> alone</w:t>
      </w:r>
      <w:r w:rsidR="00216403">
        <w:t xml:space="preserve"> was not predictive of herbivory</w:t>
      </w:r>
      <w:r w:rsidR="006D4052">
        <w:t xml:space="preserve">.  Seasonality </w:t>
      </w:r>
      <w:r w:rsidR="00711355">
        <w:t xml:space="preserve">also affected the distribution of herbivory indirectly via changes in </w:t>
      </w:r>
      <w:r w:rsidR="00711355" w:rsidRPr="00711355">
        <w:rPr>
          <w:i/>
          <w:iCs/>
        </w:rPr>
        <w:t>Piper</w:t>
      </w:r>
      <w:r w:rsidR="00711355">
        <w:t xml:space="preserve"> richness.</w:t>
      </w:r>
      <w:r>
        <w:t xml:space="preserve">  </w:t>
      </w:r>
    </w:p>
    <w:p w14:paraId="3B38F6DD" w14:textId="588F0C51" w:rsidR="00E0211B" w:rsidRDefault="00BB1FB5" w:rsidP="00B37731">
      <w:pPr>
        <w:spacing w:line="480" w:lineRule="auto"/>
      </w:pPr>
      <w:r>
        <w:tab/>
        <w:t>H</w:t>
      </w:r>
      <w:r w:rsidR="00E0211B" w:rsidRPr="00C07DA1">
        <w:t xml:space="preserve">erbivory </w:t>
      </w:r>
      <w:r w:rsidR="0058178E">
        <w:t>was lower</w:t>
      </w:r>
      <w:r w:rsidR="00E0211B" w:rsidRPr="00C07DA1">
        <w:t xml:space="preserve"> in more seasonal forests for both specialists and generalists</w:t>
      </w:r>
      <w:r w:rsidR="00E0211B">
        <w:t>, contrary to our initial hypothesis</w:t>
      </w:r>
      <w:r w:rsidR="0058178E">
        <w:t xml:space="preserve"> </w:t>
      </w:r>
      <w:r w:rsidR="002B463F">
        <w:t xml:space="preserve">and a </w:t>
      </w:r>
      <w:r w:rsidR="00A73ADA">
        <w:t xml:space="preserve">previous review </w:t>
      </w:r>
      <w:r w:rsidR="002B463F">
        <w:t xml:space="preserve">that found </w:t>
      </w:r>
      <w:r w:rsidR="002B463F" w:rsidRPr="00CF294C">
        <w:rPr>
          <w:i/>
          <w:iCs/>
        </w:rPr>
        <w:t>Piper</w:t>
      </w:r>
      <w:r w:rsidR="002B463F">
        <w:t xml:space="preserve"> herbivory to be greater in dry than wet forests (</w:t>
      </w:r>
      <w:proofErr w:type="spellStart"/>
      <w:r w:rsidR="002B463F">
        <w:t>Dirzo</w:t>
      </w:r>
      <w:proofErr w:type="spellEnd"/>
      <w:r w:rsidR="002B463F">
        <w:t xml:space="preserve"> and </w:t>
      </w:r>
      <w:proofErr w:type="spellStart"/>
      <w:r w:rsidR="002B463F">
        <w:t>Boege</w:t>
      </w:r>
      <w:proofErr w:type="spellEnd"/>
      <w:r w:rsidR="002B463F">
        <w:t xml:space="preserve"> 2008).  Our </w:t>
      </w:r>
      <w:r w:rsidR="00242135">
        <w:t>findings</w:t>
      </w:r>
      <w:r w:rsidR="002B463F">
        <w:t xml:space="preserve"> </w:t>
      </w:r>
      <w:r w:rsidR="004D334F">
        <w:t>a</w:t>
      </w:r>
      <w:r w:rsidR="002B463F">
        <w:t xml:space="preserve">re </w:t>
      </w:r>
      <w:r w:rsidR="00A73ADA">
        <w:t>consistent</w:t>
      </w:r>
      <w:r w:rsidR="002B463F">
        <w:t xml:space="preserve">, however, </w:t>
      </w:r>
      <w:r w:rsidR="00A73ADA" w:rsidRPr="004A2120">
        <w:t xml:space="preserve">with </w:t>
      </w:r>
      <w:r w:rsidR="004A2120" w:rsidRPr="004A2120">
        <w:t>a study</w:t>
      </w:r>
      <w:r w:rsidR="002B463F" w:rsidRPr="004A2120">
        <w:t xml:space="preserve"> </w:t>
      </w:r>
      <w:r w:rsidR="0058178E" w:rsidRPr="004A2120">
        <w:t>showing plants experience more damage in wet than dry forests (</w:t>
      </w:r>
      <w:proofErr w:type="spellStart"/>
      <w:r w:rsidR="0058178E" w:rsidRPr="004A2120">
        <w:t>Brenes</w:t>
      </w:r>
      <w:proofErr w:type="spellEnd"/>
      <w:r w:rsidR="0058178E" w:rsidRPr="004A2120">
        <w:t xml:space="preserve"> Argueda</w:t>
      </w:r>
      <w:r w:rsidR="0058178E">
        <w:t xml:space="preserve">s </w:t>
      </w:r>
      <w:r w:rsidR="0082116C">
        <w:t>et al.</w:t>
      </w:r>
      <w:r w:rsidR="004C0CE7">
        <w:t xml:space="preserve"> </w:t>
      </w:r>
      <w:r w:rsidR="0058178E">
        <w:lastRenderedPageBreak/>
        <w:t>2009)</w:t>
      </w:r>
      <w:r w:rsidR="00E0211B">
        <w:t xml:space="preserve">.  </w:t>
      </w:r>
      <w:r w:rsidR="00A73ADA">
        <w:rPr>
          <w:i/>
        </w:rPr>
        <w:t xml:space="preserve">Piper </w:t>
      </w:r>
      <w:r w:rsidR="00A73ADA">
        <w:t xml:space="preserve">species </w:t>
      </w:r>
      <w:r w:rsidR="004E4484">
        <w:t xml:space="preserve">may be </w:t>
      </w:r>
      <w:r w:rsidR="00E0211B">
        <w:t xml:space="preserve">near their range limits in the seasonal forests we studied and therefore host fewer </w:t>
      </w:r>
      <w:r w:rsidR="005012C4">
        <w:t xml:space="preserve">specialized </w:t>
      </w:r>
      <w:r w:rsidR="00E0211B">
        <w:t xml:space="preserve">herbivores </w:t>
      </w:r>
      <w:r w:rsidR="004E4484">
        <w:t xml:space="preserve">and suffer lower herbivory </w:t>
      </w:r>
      <w:r w:rsidR="00E0211B">
        <w:t>(</w:t>
      </w:r>
      <w:proofErr w:type="spellStart"/>
      <w:r w:rsidR="00E0211B" w:rsidRPr="00C6379C">
        <w:t>Anstett</w:t>
      </w:r>
      <w:proofErr w:type="spellEnd"/>
      <w:r w:rsidR="00E0211B">
        <w:t xml:space="preserve"> </w:t>
      </w:r>
      <w:r w:rsidR="0082116C">
        <w:t>et al.</w:t>
      </w:r>
      <w:r w:rsidR="004C0CE7">
        <w:t xml:space="preserve"> </w:t>
      </w:r>
      <w:r w:rsidR="00E0211B">
        <w:t xml:space="preserve">2016).  </w:t>
      </w:r>
      <w:r>
        <w:t>W</w:t>
      </w:r>
      <w:r w:rsidR="00E0211B">
        <w:t xml:space="preserve">ithin a forest, herbivore </w:t>
      </w:r>
      <w:r w:rsidR="003D6FE2">
        <w:t>occurrence</w:t>
      </w:r>
      <w:r w:rsidR="004E4484">
        <w:t>,</w:t>
      </w:r>
      <w:r w:rsidR="00E0211B">
        <w:t xml:space="preserve"> plant-herbivore-parasitoid networks</w:t>
      </w:r>
      <w:r w:rsidR="004E4484">
        <w:t>,</w:t>
      </w:r>
      <w:r w:rsidR="00E0211B">
        <w:t xml:space="preserve"> </w:t>
      </w:r>
      <w:r w:rsidR="0058178E">
        <w:t>and the relative abundance of generalists and specialists</w:t>
      </w:r>
      <w:r w:rsidR="004E4484">
        <w:t xml:space="preserve"> on </w:t>
      </w:r>
      <w:r w:rsidR="004E4484" w:rsidRPr="00624822">
        <w:rPr>
          <w:i/>
          <w:iCs/>
        </w:rPr>
        <w:t>Piper</w:t>
      </w:r>
      <w:r w:rsidR="0058178E">
        <w:t xml:space="preserve"> change seasonally (</w:t>
      </w:r>
      <w:r w:rsidR="004E4484">
        <w:t xml:space="preserve">Cosmo </w:t>
      </w:r>
      <w:r w:rsidR="0082116C">
        <w:t>et al.</w:t>
      </w:r>
      <w:r w:rsidR="004C0CE7">
        <w:t xml:space="preserve"> </w:t>
      </w:r>
      <w:r w:rsidR="004E4484">
        <w:t xml:space="preserve">2019; Campos-Moreno </w:t>
      </w:r>
      <w:r w:rsidR="0082116C">
        <w:t>et al.</w:t>
      </w:r>
      <w:r w:rsidR="004C0CE7">
        <w:t xml:space="preserve"> </w:t>
      </w:r>
      <w:r w:rsidR="004E4484">
        <w:t xml:space="preserve">2021; </w:t>
      </w:r>
      <w:r w:rsidR="0058178E">
        <w:t xml:space="preserve">authors, pers. </w:t>
      </w:r>
      <w:proofErr w:type="spellStart"/>
      <w:r w:rsidR="0058178E">
        <w:t>obs</w:t>
      </w:r>
      <w:proofErr w:type="spellEnd"/>
      <w:r w:rsidR="0058178E">
        <w:t>)</w:t>
      </w:r>
      <w:r w:rsidR="00E0211B">
        <w:t xml:space="preserve">.  Our data were </w:t>
      </w:r>
      <w:r w:rsidR="00845C67">
        <w:t xml:space="preserve">not </w:t>
      </w:r>
      <w:r w:rsidR="00E0211B">
        <w:t>collected</w:t>
      </w:r>
      <w:r w:rsidR="00845C67">
        <w:t xml:space="preserve"> across multiple seasons at all sites, but</w:t>
      </w:r>
      <w:r w:rsidR="00E0211B">
        <w:t xml:space="preserve"> </w:t>
      </w:r>
      <w:r w:rsidR="00073190" w:rsidRPr="008D621E">
        <w:rPr>
          <w:i/>
          <w:iCs/>
        </w:rPr>
        <w:t xml:space="preserve">Piper </w:t>
      </w:r>
      <w:r w:rsidR="00073190" w:rsidRPr="008D621E">
        <w:t>leaves are long-lived</w:t>
      </w:r>
      <w:r w:rsidR="00E6458F">
        <w:t>,</w:t>
      </w:r>
      <w:r w:rsidR="00073190" w:rsidRPr="008D621E">
        <w:t xml:space="preserve"> and specialist </w:t>
      </w:r>
      <w:proofErr w:type="spellStart"/>
      <w:r w:rsidR="00073190" w:rsidRPr="008D621E">
        <w:rPr>
          <w:i/>
          <w:iCs/>
        </w:rPr>
        <w:t>Eois</w:t>
      </w:r>
      <w:proofErr w:type="spellEnd"/>
      <w:r w:rsidR="00073190" w:rsidRPr="008D621E">
        <w:t xml:space="preserve"> are often found feeding on mature leaves</w:t>
      </w:r>
      <w:r w:rsidR="008D621E" w:rsidRPr="008D621E">
        <w:t xml:space="preserve"> (authors, pers. obs.)</w:t>
      </w:r>
      <w:r w:rsidR="007D6341">
        <w:t>.  Ou</w:t>
      </w:r>
      <w:r w:rsidR="00073190" w:rsidRPr="008D621E">
        <w:t xml:space="preserve">r measurements of standing herbivory </w:t>
      </w:r>
      <w:r w:rsidR="00776B41">
        <w:t xml:space="preserve">are </w:t>
      </w:r>
      <w:r w:rsidR="007D6341">
        <w:t xml:space="preserve">therefore </w:t>
      </w:r>
      <w:r w:rsidR="00776B41">
        <w:t>integrative, reflecting herbivory</w:t>
      </w:r>
      <w:r w:rsidR="00647CB2">
        <w:t xml:space="preserve"> potentially accumulated </w:t>
      </w:r>
      <w:r w:rsidR="00776B41">
        <w:t>over multiple seasons</w:t>
      </w:r>
      <w:r w:rsidR="007D6341">
        <w:t xml:space="preserve"> and </w:t>
      </w:r>
      <w:r w:rsidR="00845C67">
        <w:t>cannot be used to measure seasonal differences</w:t>
      </w:r>
      <w:r w:rsidR="00647CB2">
        <w:t>.  H</w:t>
      </w:r>
      <w:r w:rsidR="00830A1B">
        <w:t xml:space="preserve">erbivory may </w:t>
      </w:r>
      <w:r w:rsidR="00647CB2">
        <w:t xml:space="preserve">also </w:t>
      </w:r>
      <w:r w:rsidR="00830A1B">
        <w:t>vary</w:t>
      </w:r>
      <w:r w:rsidR="00A347ED" w:rsidRPr="008D621E">
        <w:t xml:space="preserve"> between years</w:t>
      </w:r>
      <w:r w:rsidR="00EA1922" w:rsidRPr="008D621E">
        <w:t xml:space="preserve">, so long-term studies following leaves through their entire </w:t>
      </w:r>
      <w:r w:rsidR="004D334F">
        <w:t>lifespan</w:t>
      </w:r>
      <w:r w:rsidR="00EA1922" w:rsidRPr="008D621E">
        <w:t xml:space="preserve"> may produce </w:t>
      </w:r>
      <w:r w:rsidR="00830A1B">
        <w:t xml:space="preserve">a more nuanced understanding of variation in herbivory across time and space </w:t>
      </w:r>
      <w:r w:rsidR="00EA1922" w:rsidRPr="008D621E">
        <w:t xml:space="preserve">(Filip </w:t>
      </w:r>
      <w:r w:rsidR="0082116C">
        <w:t>et al.</w:t>
      </w:r>
      <w:r w:rsidR="00EA1922" w:rsidRPr="008D621E">
        <w:t xml:space="preserve"> 1995).</w:t>
      </w:r>
    </w:p>
    <w:p w14:paraId="3B2DC6E6" w14:textId="5B623E8D" w:rsidR="00E0211B" w:rsidRDefault="00677CD1" w:rsidP="00B37731">
      <w:pPr>
        <w:spacing w:line="480" w:lineRule="auto"/>
      </w:pPr>
      <w:r>
        <w:rPr>
          <w:i/>
          <w:iCs/>
        </w:rPr>
        <w:t>Environmental variation describes g</w:t>
      </w:r>
      <w:r w:rsidR="0085049C">
        <w:rPr>
          <w:i/>
          <w:iCs/>
        </w:rPr>
        <w:t xml:space="preserve">eneralist </w:t>
      </w:r>
      <w:r>
        <w:rPr>
          <w:i/>
          <w:iCs/>
        </w:rPr>
        <w:t>better than specialist herbivory</w:t>
      </w:r>
    </w:p>
    <w:p w14:paraId="0374D694" w14:textId="3CCE7AD4" w:rsidR="007258F9" w:rsidRDefault="00392AE6" w:rsidP="00B37731">
      <w:pPr>
        <w:spacing w:line="480" w:lineRule="auto"/>
      </w:pPr>
      <w:r>
        <w:tab/>
      </w:r>
      <w:r w:rsidR="00677CD1">
        <w:t>O</w:t>
      </w:r>
      <w:r w:rsidR="00F7424F">
        <w:t xml:space="preserve">nly 7% of the distribution of specialist herbivory </w:t>
      </w:r>
      <w:r w:rsidR="00B6578F">
        <w:t xml:space="preserve">at the community level </w:t>
      </w:r>
      <w:r w:rsidR="00F7424F">
        <w:t xml:space="preserve">could be </w:t>
      </w:r>
      <w:r w:rsidR="00B6578F">
        <w:t xml:space="preserve">explained </w:t>
      </w:r>
      <w:r w:rsidR="00F7424F">
        <w:t xml:space="preserve">by </w:t>
      </w:r>
      <w:r w:rsidR="000835AB">
        <w:t xml:space="preserve">latitude, seasonality, and local </w:t>
      </w:r>
      <w:r w:rsidR="000835AB" w:rsidRPr="000835AB">
        <w:rPr>
          <w:i/>
          <w:iCs/>
        </w:rPr>
        <w:t>Piper</w:t>
      </w:r>
      <w:r w:rsidR="000835AB">
        <w:t xml:space="preserve"> richness, while these site level factors explained 28% of the variation in generalist herbivory.  </w:t>
      </w:r>
      <w:r w:rsidR="008E641D">
        <w:t>D</w:t>
      </w:r>
      <w:r w:rsidR="000835AB">
        <w:t xml:space="preserve">ifferences </w:t>
      </w:r>
      <w:r w:rsidR="008E641D">
        <w:t xml:space="preserve">in the importance of variables influencing specialists </w:t>
      </w:r>
      <w:r w:rsidR="006B6342">
        <w:t>versus</w:t>
      </w:r>
      <w:r w:rsidR="008E641D">
        <w:t xml:space="preserve"> generalists </w:t>
      </w:r>
      <w:r w:rsidR="00A75C5E">
        <w:t xml:space="preserve">may </w:t>
      </w:r>
      <w:r w:rsidR="00073190">
        <w:t>partially</w:t>
      </w:r>
      <w:r w:rsidR="00A75C5E">
        <w:t xml:space="preserve"> explain why </w:t>
      </w:r>
      <w:r w:rsidR="00830A1B">
        <w:t xml:space="preserve">predicting </w:t>
      </w:r>
      <w:r w:rsidR="00A75C5E">
        <w:t xml:space="preserve">global patterns </w:t>
      </w:r>
      <w:r w:rsidR="00B24ADF">
        <w:t>of</w:t>
      </w:r>
      <w:r w:rsidR="00A75C5E">
        <w:t xml:space="preserve"> </w:t>
      </w:r>
      <w:r w:rsidR="004E4484">
        <w:t xml:space="preserve">total </w:t>
      </w:r>
      <w:r w:rsidR="00A75C5E">
        <w:t xml:space="preserve">herbivory </w:t>
      </w:r>
      <w:r w:rsidR="00830A1B">
        <w:t xml:space="preserve">has </w:t>
      </w:r>
      <w:r w:rsidR="00A75C5E">
        <w:t>been elusive.</w:t>
      </w:r>
      <w:r w:rsidR="00677CD1">
        <w:t xml:space="preserve">  For example, local interactions</w:t>
      </w:r>
      <w:r w:rsidR="006D4052">
        <w:t xml:space="preserve">, </w:t>
      </w:r>
      <w:r w:rsidR="00677CD1">
        <w:t>plant trait</w:t>
      </w:r>
      <w:r w:rsidR="006D4052">
        <w:t>s,</w:t>
      </w:r>
      <w:r w:rsidR="00677CD1">
        <w:t xml:space="preserve"> and phylogenetic diversity </w:t>
      </w:r>
      <w:r w:rsidR="00C74DE0">
        <w:t xml:space="preserve">are known to particularly </w:t>
      </w:r>
      <w:r w:rsidR="008E641D">
        <w:t xml:space="preserve">affect </w:t>
      </w:r>
      <w:r w:rsidR="00677CD1">
        <w:t>specialist</w:t>
      </w:r>
      <w:r w:rsidR="008E641D">
        <w:t xml:space="preserve"> herbivory </w:t>
      </w:r>
      <w:r w:rsidR="00677CD1">
        <w:t xml:space="preserve">(Schuldt </w:t>
      </w:r>
      <w:r w:rsidR="0082116C">
        <w:t>et al.</w:t>
      </w:r>
      <w:r w:rsidR="004C0CE7">
        <w:t xml:space="preserve"> </w:t>
      </w:r>
      <w:r w:rsidR="00677CD1">
        <w:t xml:space="preserve">2014; Massad </w:t>
      </w:r>
      <w:r w:rsidR="0082116C">
        <w:t>et al.</w:t>
      </w:r>
      <w:r w:rsidR="004C0CE7">
        <w:t xml:space="preserve"> </w:t>
      </w:r>
      <w:r w:rsidR="00677CD1">
        <w:t xml:space="preserve">2017; </w:t>
      </w:r>
      <w:proofErr w:type="spellStart"/>
      <w:r w:rsidR="00677CD1">
        <w:t>Jactel</w:t>
      </w:r>
      <w:proofErr w:type="spellEnd"/>
      <w:r w:rsidR="00677CD1">
        <w:t xml:space="preserve"> </w:t>
      </w:r>
      <w:r w:rsidR="0082116C">
        <w:t>et al.</w:t>
      </w:r>
      <w:r w:rsidR="004C0CE7">
        <w:t xml:space="preserve"> </w:t>
      </w:r>
      <w:r w:rsidR="00677CD1">
        <w:t>2021)</w:t>
      </w:r>
      <w:r w:rsidR="008E641D">
        <w:t xml:space="preserve">, while our data show site level factors explain much of </w:t>
      </w:r>
      <w:r w:rsidR="00C74DE0">
        <w:t xml:space="preserve">the variation in </w:t>
      </w:r>
      <w:r w:rsidR="008E641D">
        <w:t>generalist herbivory</w:t>
      </w:r>
      <w:r w:rsidR="00677CD1">
        <w:t xml:space="preserve">.  </w:t>
      </w:r>
      <w:r w:rsidR="00F7424F">
        <w:t xml:space="preserve">Specialist herbivory is the result of a </w:t>
      </w:r>
      <w:r w:rsidR="00DE626E">
        <w:t xml:space="preserve">potentially </w:t>
      </w:r>
      <w:r w:rsidR="00F7424F">
        <w:t xml:space="preserve">long </w:t>
      </w:r>
      <w:r w:rsidR="00DE626E">
        <w:t>co-</w:t>
      </w:r>
      <w:r w:rsidR="00F7424F">
        <w:t xml:space="preserve">evolutionary history between </w:t>
      </w:r>
      <w:r w:rsidR="005012C4">
        <w:t xml:space="preserve">lineages of </w:t>
      </w:r>
      <w:r w:rsidR="00F7424F">
        <w:t xml:space="preserve">plants and herbivores </w:t>
      </w:r>
      <w:r w:rsidR="00F7424F" w:rsidRPr="00603F66">
        <w:t>(</w:t>
      </w:r>
      <w:r w:rsidR="00603F66">
        <w:t xml:space="preserve">Ehrlich and Raven 1964; </w:t>
      </w:r>
      <w:r w:rsidR="00467696" w:rsidRPr="00603F66">
        <w:t xml:space="preserve">Agrawal </w:t>
      </w:r>
      <w:r w:rsidR="0082116C">
        <w:t>et al.</w:t>
      </w:r>
      <w:r w:rsidR="004C0CE7">
        <w:t xml:space="preserve"> </w:t>
      </w:r>
      <w:r w:rsidR="00467696" w:rsidRPr="00603F66">
        <w:t>2012</w:t>
      </w:r>
      <w:r w:rsidR="00A50AEB" w:rsidRPr="00603F66">
        <w:t xml:space="preserve">; </w:t>
      </w:r>
      <w:proofErr w:type="spellStart"/>
      <w:r w:rsidR="00A50AEB" w:rsidRPr="00603F66">
        <w:t>Volf</w:t>
      </w:r>
      <w:proofErr w:type="spellEnd"/>
      <w:r w:rsidR="00A50AEB" w:rsidRPr="00603F66">
        <w:t xml:space="preserve"> </w:t>
      </w:r>
      <w:r w:rsidR="0082116C">
        <w:t>et al.</w:t>
      </w:r>
      <w:r w:rsidR="004C0CE7">
        <w:t xml:space="preserve"> </w:t>
      </w:r>
      <w:r w:rsidR="00A50AEB" w:rsidRPr="00603F66">
        <w:t>2018</w:t>
      </w:r>
      <w:r w:rsidR="00F7424F" w:rsidRPr="00603F66">
        <w:t xml:space="preserve">), </w:t>
      </w:r>
      <w:r w:rsidR="00FA2EA4">
        <w:t>so</w:t>
      </w:r>
      <w:r w:rsidR="00F7424F">
        <w:t xml:space="preserve"> it makes sense </w:t>
      </w:r>
      <w:r w:rsidR="00DE626E">
        <w:t xml:space="preserve">that </w:t>
      </w:r>
      <w:r w:rsidR="00603F66">
        <w:t>specialist damage</w:t>
      </w:r>
      <w:r w:rsidR="00F7424F">
        <w:t xml:space="preserve"> </w:t>
      </w:r>
      <w:r w:rsidR="006B6342">
        <w:t xml:space="preserve">is </w:t>
      </w:r>
      <w:r w:rsidR="00F7424F">
        <w:t xml:space="preserve">more difficult to predict based on </w:t>
      </w:r>
      <w:r w:rsidR="008C62CB">
        <w:t>factors varying at regional scales</w:t>
      </w:r>
      <w:r w:rsidR="00F7424F">
        <w:t>.  In contrast</w:t>
      </w:r>
      <w:r w:rsidR="00A701EA">
        <w:t xml:space="preserve">, </w:t>
      </w:r>
      <w:r w:rsidR="000835AB">
        <w:t xml:space="preserve">generalist herbivores are less </w:t>
      </w:r>
      <w:r w:rsidR="000835AB">
        <w:lastRenderedPageBreak/>
        <w:t>constrained by species specific traits and may respond more to environmental variation</w:t>
      </w:r>
      <w:r w:rsidR="00153B0C">
        <w:t xml:space="preserve">.  </w:t>
      </w:r>
      <w:r w:rsidR="002C70FF">
        <w:t>A</w:t>
      </w:r>
      <w:r w:rsidR="00242135">
        <w:t xml:space="preserve"> previous </w:t>
      </w:r>
      <w:r w:rsidR="00F95169">
        <w:t>study</w:t>
      </w:r>
      <w:r w:rsidR="002C70FF">
        <w:t xml:space="preserve"> focused </w:t>
      </w:r>
      <w:r w:rsidR="00677CD1">
        <w:t xml:space="preserve">on </w:t>
      </w:r>
      <w:r w:rsidR="002C70FF">
        <w:t>two species</w:t>
      </w:r>
      <w:r w:rsidR="00F95169">
        <w:t xml:space="preserve"> </w:t>
      </w:r>
      <w:r w:rsidR="002C70FF">
        <w:t xml:space="preserve">of </w:t>
      </w:r>
      <w:r w:rsidR="002C70FF" w:rsidRPr="002C70FF">
        <w:rPr>
          <w:i/>
          <w:iCs/>
        </w:rPr>
        <w:t>Piper</w:t>
      </w:r>
      <w:r w:rsidR="002C70FF">
        <w:t xml:space="preserve"> </w:t>
      </w:r>
      <w:r w:rsidR="009B21D1">
        <w:t xml:space="preserve">found that </w:t>
      </w:r>
      <w:r w:rsidR="00F95169">
        <w:t>generalist herbivor</w:t>
      </w:r>
      <w:r w:rsidR="00502F5F">
        <w:t>es</w:t>
      </w:r>
      <w:r w:rsidR="00F95169">
        <w:t xml:space="preserve"> </w:t>
      </w:r>
      <w:r w:rsidR="00502F5F">
        <w:t xml:space="preserve">increase in richness </w:t>
      </w:r>
      <w:r w:rsidR="009B21D1">
        <w:t xml:space="preserve">toward </w:t>
      </w:r>
      <w:r w:rsidR="00502F5F">
        <w:t>the equator</w:t>
      </w:r>
      <w:r w:rsidR="008C62CB">
        <w:t>,</w:t>
      </w:r>
      <w:r w:rsidR="00502F5F">
        <w:t xml:space="preserve"> although herbivory itself did </w:t>
      </w:r>
      <w:r w:rsidR="00F95169">
        <w:t>not vary with latitude</w:t>
      </w:r>
      <w:r w:rsidR="00502F5F">
        <w:t xml:space="preserve"> </w:t>
      </w:r>
      <w:r w:rsidR="00F95169">
        <w:t xml:space="preserve">(Salazar </w:t>
      </w:r>
      <w:r w:rsidR="00994FB8">
        <w:t>and Marquis 2012</w:t>
      </w:r>
      <w:r w:rsidR="00F95169">
        <w:t xml:space="preserve">).  </w:t>
      </w:r>
      <w:r w:rsidR="004D334F">
        <w:t>In contrast, o</w:t>
      </w:r>
      <w:r w:rsidR="00FA2EA4">
        <w:t xml:space="preserve">ur </w:t>
      </w:r>
      <w:r w:rsidR="009830AF">
        <w:t xml:space="preserve">data show </w:t>
      </w:r>
      <w:r w:rsidR="00FA2EA4">
        <w:t>mean generalist damage was lower in more seasonal sites,</w:t>
      </w:r>
      <w:r w:rsidR="000B79EA">
        <w:t xml:space="preserve"> </w:t>
      </w:r>
      <w:r w:rsidR="00FA2EA4">
        <w:t>farther from the equator</w:t>
      </w:r>
      <w:r w:rsidR="002D666A">
        <w:t>, despite well documented patterns of increasing diet breadth at higher latitudes (Dyer et al. 200</w:t>
      </w:r>
      <w:r w:rsidR="00BA175A">
        <w:t>7</w:t>
      </w:r>
      <w:r w:rsidR="002D666A">
        <w:t xml:space="preserve">; </w:t>
      </w:r>
      <w:proofErr w:type="spellStart"/>
      <w:r w:rsidR="002D666A">
        <w:t>Forister</w:t>
      </w:r>
      <w:proofErr w:type="spellEnd"/>
      <w:r w:rsidR="002D666A">
        <w:t xml:space="preserve"> et al. </w:t>
      </w:r>
      <w:r w:rsidR="00BA175A">
        <w:t>2015</w:t>
      </w:r>
      <w:r w:rsidR="002D666A">
        <w:t>).</w:t>
      </w:r>
      <w:r w:rsidR="0085049C">
        <w:t xml:space="preserve"> </w:t>
      </w:r>
      <w:r w:rsidR="004D334F">
        <w:t>S</w:t>
      </w:r>
      <w:r w:rsidR="00517C06">
        <w:t xml:space="preserve">easonality </w:t>
      </w:r>
      <w:r w:rsidR="000676D3">
        <w:t xml:space="preserve">and distance from the equator </w:t>
      </w:r>
      <w:r w:rsidR="0094408F">
        <w:t xml:space="preserve">were </w:t>
      </w:r>
      <w:r w:rsidR="000676D3">
        <w:t>not</w:t>
      </w:r>
      <w:r w:rsidR="00517C06">
        <w:t xml:space="preserve"> invariably </w:t>
      </w:r>
      <w:r w:rsidR="0094408F">
        <w:t>correlated</w:t>
      </w:r>
      <w:r w:rsidR="004A2120">
        <w:t>, however</w:t>
      </w:r>
      <w:r w:rsidR="00E55D7F">
        <w:t>,</w:t>
      </w:r>
      <w:r w:rsidR="0094408F">
        <w:t xml:space="preserve"> </w:t>
      </w:r>
      <w:r w:rsidR="000676D3">
        <w:t xml:space="preserve">as two of our Mata Atlântica sites, which were the farthest from the equator, were less seasonal than other sites, such as the dry forests in Mexico and the gallery forest in the cerrado.  </w:t>
      </w:r>
    </w:p>
    <w:p w14:paraId="5CE737A7" w14:textId="152C5778" w:rsidR="00724205" w:rsidRPr="00724205" w:rsidRDefault="00010C85" w:rsidP="00FE0F95">
      <w:pPr>
        <w:spacing w:line="480" w:lineRule="auto"/>
        <w:rPr>
          <w:i/>
          <w:iCs/>
        </w:rPr>
      </w:pPr>
      <w:r>
        <w:rPr>
          <w:i/>
          <w:iCs/>
        </w:rPr>
        <w:t>Specialists and generalists respond differently to resource availability</w:t>
      </w:r>
      <w:r w:rsidR="00B40955">
        <w:rPr>
          <w:i/>
          <w:iCs/>
        </w:rPr>
        <w:t xml:space="preserve"> and diversity</w:t>
      </w:r>
    </w:p>
    <w:p w14:paraId="40CE58A2" w14:textId="60A6C279" w:rsidR="00F5391D" w:rsidRDefault="006E690F" w:rsidP="004C24DB">
      <w:pPr>
        <w:spacing w:line="480" w:lineRule="auto"/>
      </w:pPr>
      <w:r>
        <w:tab/>
        <w:t>G</w:t>
      </w:r>
      <w:r w:rsidR="004C24DB" w:rsidRPr="00C07DA1">
        <w:t xml:space="preserve">eneralist herbivory was </w:t>
      </w:r>
      <w:r w:rsidR="009C7B28">
        <w:t>lower</w:t>
      </w:r>
      <w:r w:rsidR="009C7B28" w:rsidRPr="00C07DA1">
        <w:t xml:space="preserve"> </w:t>
      </w:r>
      <w:r w:rsidR="004C24DB" w:rsidRPr="00C07DA1">
        <w:t xml:space="preserve">on species </w:t>
      </w:r>
      <w:r w:rsidR="009C7B28">
        <w:t>with greater</w:t>
      </w:r>
      <w:r w:rsidR="0010773A">
        <w:t xml:space="preserve"> </w:t>
      </w:r>
      <w:r w:rsidR="004C24DB" w:rsidRPr="00C07DA1">
        <w:t>leaf area</w:t>
      </w:r>
      <w:r w:rsidR="0010773A">
        <w:t xml:space="preserve"> in </w:t>
      </w:r>
      <w:r w:rsidR="00555183">
        <w:t xml:space="preserve">our </w:t>
      </w:r>
      <w:r w:rsidR="0010773A">
        <w:t>plots</w:t>
      </w:r>
      <w:r w:rsidR="00F5391D">
        <w:t xml:space="preserve">.  Although this </w:t>
      </w:r>
      <w:r w:rsidR="00603F66">
        <w:t xml:space="preserve">contradicts </w:t>
      </w:r>
      <w:r w:rsidR="00F5391D">
        <w:t xml:space="preserve">our original hypothesis that herbivory </w:t>
      </w:r>
      <w:r w:rsidR="00242135">
        <w:t>sh</w:t>
      </w:r>
      <w:r w:rsidR="00F5391D">
        <w:t xml:space="preserve">ould be more </w:t>
      </w:r>
      <w:r w:rsidR="00C166F4">
        <w:t xml:space="preserve">prevalent or intense </w:t>
      </w:r>
      <w:r w:rsidR="00F5391D">
        <w:t xml:space="preserve">where resources are abundant, the pattern </w:t>
      </w:r>
      <w:r>
        <w:t xml:space="preserve">is </w:t>
      </w:r>
      <w:proofErr w:type="gramStart"/>
      <w:r>
        <w:t>similar to</w:t>
      </w:r>
      <w:proofErr w:type="gramEnd"/>
      <w:r>
        <w:t xml:space="preserve"> </w:t>
      </w:r>
      <w:r w:rsidR="006126B9">
        <w:t xml:space="preserve">experimental </w:t>
      </w:r>
      <w:r w:rsidR="004243C0">
        <w:t>results showing</w:t>
      </w:r>
      <w:r w:rsidR="00F5391D">
        <w:t xml:space="preserve"> herbivory declines with</w:t>
      </w:r>
      <w:r w:rsidR="00603F66">
        <w:t xml:space="preserve"> plant</w:t>
      </w:r>
      <w:r w:rsidR="00F5391D">
        <w:t xml:space="preserve"> density, possibly because damage is spread across many individuals (Germany </w:t>
      </w:r>
      <w:r w:rsidR="0082116C">
        <w:t>et al.</w:t>
      </w:r>
      <w:r w:rsidR="004C0CE7">
        <w:t xml:space="preserve"> </w:t>
      </w:r>
      <w:r w:rsidR="00F5391D">
        <w:t xml:space="preserve">2019).  </w:t>
      </w:r>
      <w:r w:rsidR="001A49C0">
        <w:t xml:space="preserve">In addition, a locally abundant </w:t>
      </w:r>
      <w:r w:rsidR="001A49C0" w:rsidRPr="001A49C0">
        <w:rPr>
          <w:i/>
          <w:iCs/>
        </w:rPr>
        <w:t>Piper</w:t>
      </w:r>
      <w:r w:rsidR="001A49C0" w:rsidRPr="001A49C0">
        <w:t xml:space="preserve"> species may</w:t>
      </w:r>
      <w:r w:rsidR="005012C4">
        <w:t xml:space="preserve"> by chance</w:t>
      </w:r>
      <w:r w:rsidR="001A49C0" w:rsidRPr="001A49C0">
        <w:t xml:space="preserve"> be suboptimal for </w:t>
      </w:r>
      <w:r w:rsidR="001A49C0">
        <w:t>a</w:t>
      </w:r>
      <w:r w:rsidR="001A49C0" w:rsidRPr="001A49C0">
        <w:t xml:space="preserve"> generalist</w:t>
      </w:r>
      <w:r w:rsidR="001A49C0">
        <w:t xml:space="preserve"> herbivore</w:t>
      </w:r>
      <w:r w:rsidR="001A49C0" w:rsidRPr="001A49C0">
        <w:t xml:space="preserve">, </w:t>
      </w:r>
      <w:r w:rsidR="0079768A">
        <w:t xml:space="preserve">resulting in the herbivore moving </w:t>
      </w:r>
      <w:r w:rsidR="001A49C0" w:rsidRPr="001A49C0">
        <w:t xml:space="preserve">to another </w:t>
      </w:r>
      <w:r w:rsidR="0079768A">
        <w:t xml:space="preserve">patch of forest </w:t>
      </w:r>
      <w:r w:rsidR="001A49C0" w:rsidRPr="001A49C0">
        <w:t>or reduc</w:t>
      </w:r>
      <w:r w:rsidR="0079768A">
        <w:t>ing</w:t>
      </w:r>
      <w:r w:rsidR="001A49C0" w:rsidRPr="001A49C0">
        <w:t xml:space="preserve"> feeding rates to detoxify defens</w:t>
      </w:r>
      <w:r w:rsidR="00E55D7F">
        <w:t>iv</w:t>
      </w:r>
      <w:r w:rsidR="001A49C0" w:rsidRPr="001A49C0">
        <w:t>e chemistry.</w:t>
      </w:r>
      <w:r w:rsidR="001A49C0">
        <w:t xml:space="preserve">  </w:t>
      </w:r>
      <w:r w:rsidR="0079768A">
        <w:t xml:space="preserve">Both possibilities are </w:t>
      </w:r>
      <w:r w:rsidR="00F5391D">
        <w:t xml:space="preserve">supported by the fact that the </w:t>
      </w:r>
      <w:r w:rsidR="00825AA2">
        <w:t xml:space="preserve">skew </w:t>
      </w:r>
      <w:r w:rsidR="00F5391D">
        <w:t xml:space="preserve">of generalist herbivory decreased with leaf area.  In contrast, </w:t>
      </w:r>
      <w:r w:rsidR="00825AA2">
        <w:t xml:space="preserve">percent </w:t>
      </w:r>
      <w:r w:rsidR="00F5391D">
        <w:t xml:space="preserve">specialist herbivory increased where leaf area was more abundant.  </w:t>
      </w:r>
      <w:r w:rsidR="00242135">
        <w:t>This may be because s</w:t>
      </w:r>
      <w:r w:rsidR="002467D0">
        <w:t>pecialists more effectively find their hosts when resources are concentrated, increasing herbivory (</w:t>
      </w:r>
      <w:proofErr w:type="spellStart"/>
      <w:r w:rsidR="002467D0">
        <w:t>Jactel</w:t>
      </w:r>
      <w:proofErr w:type="spellEnd"/>
      <w:r w:rsidR="002467D0">
        <w:t xml:space="preserve"> </w:t>
      </w:r>
      <w:r w:rsidR="0082116C">
        <w:t>et al.</w:t>
      </w:r>
      <w:r w:rsidR="004C0CE7">
        <w:t xml:space="preserve"> </w:t>
      </w:r>
      <w:r w:rsidR="002467D0">
        <w:t xml:space="preserve">2021).  </w:t>
      </w:r>
      <w:r w:rsidR="00F5391D">
        <w:t>Th</w:t>
      </w:r>
      <w:r w:rsidR="002467D0">
        <w:t>e</w:t>
      </w:r>
      <w:r w:rsidR="00F5391D">
        <w:t xml:space="preserve"> difference </w:t>
      </w:r>
      <w:r w:rsidR="002467D0">
        <w:t>between specialist and generalist</w:t>
      </w:r>
      <w:r w:rsidR="005012C4">
        <w:t xml:space="preserve"> herbivory</w:t>
      </w:r>
      <w:r w:rsidR="002467D0">
        <w:t xml:space="preserve"> </w:t>
      </w:r>
      <w:r w:rsidR="009C7B28">
        <w:t xml:space="preserve">could </w:t>
      </w:r>
      <w:r w:rsidR="006D4052">
        <w:t xml:space="preserve">also </w:t>
      </w:r>
      <w:r w:rsidR="009C7B28">
        <w:t xml:space="preserve">be due to </w:t>
      </w:r>
      <w:r w:rsidR="00F5391D">
        <w:t xml:space="preserve">changes in plant chemistry post-damage, which may serve to repel generalist herbivores but not affect adapted specialists.  Induced defenses are not thought to be especially important in the tropics </w:t>
      </w:r>
      <w:r w:rsidR="00F5391D">
        <w:lastRenderedPageBreak/>
        <w:t>(</w:t>
      </w:r>
      <w:proofErr w:type="spellStart"/>
      <w:r w:rsidR="00E51A9F">
        <w:t>Bixenmann</w:t>
      </w:r>
      <w:proofErr w:type="spellEnd"/>
      <w:r w:rsidR="00E51A9F">
        <w:t xml:space="preserve"> </w:t>
      </w:r>
      <w:r w:rsidR="0082116C">
        <w:t>et al.</w:t>
      </w:r>
      <w:r w:rsidR="004C0CE7">
        <w:t xml:space="preserve"> </w:t>
      </w:r>
      <w:r w:rsidR="00E51A9F">
        <w:t>2016</w:t>
      </w:r>
      <w:r w:rsidR="007D6341">
        <w:t xml:space="preserve">; </w:t>
      </w:r>
      <w:proofErr w:type="spellStart"/>
      <w:r w:rsidR="007D6341">
        <w:t>Glassmire</w:t>
      </w:r>
      <w:proofErr w:type="spellEnd"/>
      <w:r w:rsidR="007D6341">
        <w:t xml:space="preserve"> et al. 2023</w:t>
      </w:r>
      <w:r w:rsidR="00F5391D">
        <w:t xml:space="preserve">), but </w:t>
      </w:r>
      <w:r w:rsidR="00CF294C">
        <w:t xml:space="preserve">volatiles emitted by </w:t>
      </w:r>
      <w:r w:rsidR="00CF294C" w:rsidRPr="00CF294C">
        <w:rPr>
          <w:i/>
          <w:iCs/>
        </w:rPr>
        <w:t>Piper</w:t>
      </w:r>
      <w:r w:rsidR="00CF294C">
        <w:t xml:space="preserve"> change with damage, which could affect herbivore host</w:t>
      </w:r>
      <w:r w:rsidR="004A2120">
        <w:t xml:space="preserve"> searching</w:t>
      </w:r>
      <w:r w:rsidR="00CF294C">
        <w:t xml:space="preserve"> (Stanton, unpublished data).</w:t>
      </w:r>
      <w:r w:rsidR="005973AB">
        <w:t xml:space="preserve">  </w:t>
      </w:r>
    </w:p>
    <w:p w14:paraId="2013ED35" w14:textId="24569509" w:rsidR="00042237" w:rsidRDefault="00CF294C" w:rsidP="00042237">
      <w:pPr>
        <w:spacing w:line="480" w:lineRule="auto"/>
      </w:pPr>
      <w:r>
        <w:tab/>
      </w:r>
      <w:r w:rsidR="00791F81">
        <w:t>Locally, herbivory often increase</w:t>
      </w:r>
      <w:r w:rsidR="00D73F7D">
        <w:t>s</w:t>
      </w:r>
      <w:r w:rsidR="00791F81">
        <w:t xml:space="preserve"> where patches of forest are more uniform or where associational resistance is lacking</w:t>
      </w:r>
      <w:r w:rsidR="00825AA2">
        <w:t xml:space="preserve"> </w:t>
      </w:r>
      <w:r w:rsidR="00791F81">
        <w:t>(</w:t>
      </w:r>
      <w:r w:rsidR="00591B11">
        <w:t xml:space="preserve">Barbosa </w:t>
      </w:r>
      <w:r w:rsidR="0082116C">
        <w:t>et al.</w:t>
      </w:r>
      <w:r w:rsidR="00591B11">
        <w:t xml:space="preserve"> 2009; </w:t>
      </w:r>
      <w:r w:rsidR="00791F81">
        <w:t>Alvarez-</w:t>
      </w:r>
      <w:proofErr w:type="spellStart"/>
      <w:r w:rsidR="00791F81">
        <w:t>Loayza</w:t>
      </w:r>
      <w:proofErr w:type="spellEnd"/>
      <w:r w:rsidR="00791F81">
        <w:t xml:space="preserve"> and </w:t>
      </w:r>
      <w:proofErr w:type="spellStart"/>
      <w:r w:rsidR="00791F81">
        <w:t>Terborgh</w:t>
      </w:r>
      <w:proofErr w:type="spellEnd"/>
      <w:r w:rsidR="00791F81">
        <w:t xml:space="preserve"> 2011; Massad </w:t>
      </w:r>
      <w:r w:rsidR="0082116C">
        <w:t>et al.</w:t>
      </w:r>
      <w:r w:rsidR="004C0CE7">
        <w:t xml:space="preserve"> </w:t>
      </w:r>
      <w:r w:rsidR="00791F81">
        <w:t xml:space="preserve">2013; </w:t>
      </w:r>
      <w:proofErr w:type="spellStart"/>
      <w:r w:rsidR="00791F81">
        <w:t>Norghauer</w:t>
      </w:r>
      <w:proofErr w:type="spellEnd"/>
      <w:r w:rsidR="00791F81">
        <w:t xml:space="preserve"> </w:t>
      </w:r>
      <w:r w:rsidR="0082116C">
        <w:t>et al.</w:t>
      </w:r>
      <w:r w:rsidR="004C0CE7">
        <w:t xml:space="preserve"> </w:t>
      </w:r>
      <w:r w:rsidR="00791F81">
        <w:t xml:space="preserve">2016; </w:t>
      </w:r>
      <w:proofErr w:type="spellStart"/>
      <w:r w:rsidR="00791F81">
        <w:t>Jactel</w:t>
      </w:r>
      <w:proofErr w:type="spellEnd"/>
      <w:r w:rsidR="00791F81">
        <w:t xml:space="preserve"> </w:t>
      </w:r>
      <w:r w:rsidR="0082116C">
        <w:t>et al.</w:t>
      </w:r>
      <w:r w:rsidR="004C0CE7">
        <w:t xml:space="preserve"> </w:t>
      </w:r>
      <w:r w:rsidR="00791F81">
        <w:t xml:space="preserve">2021).  </w:t>
      </w:r>
      <w:r w:rsidR="00D73F7D">
        <w:t xml:space="preserve">At </w:t>
      </w:r>
      <w:r w:rsidR="00E37D8F">
        <w:t xml:space="preserve">the </w:t>
      </w:r>
      <w:r w:rsidR="00D73F7D">
        <w:t>sites</w:t>
      </w:r>
      <w:r w:rsidR="00E37D8F">
        <w:t xml:space="preserve"> included in this study</w:t>
      </w:r>
      <w:r w:rsidR="00791F81">
        <w:t xml:space="preserve">, </w:t>
      </w:r>
      <w:r w:rsidR="004C24DB" w:rsidRPr="00C07DA1">
        <w:rPr>
          <w:i/>
          <w:iCs/>
        </w:rPr>
        <w:t>Piper</w:t>
      </w:r>
      <w:r w:rsidR="004C24DB" w:rsidRPr="00C07DA1">
        <w:t xml:space="preserve"> diversity</w:t>
      </w:r>
      <w:r>
        <w:t>,</w:t>
      </w:r>
      <w:r w:rsidR="004C24DB" w:rsidRPr="00C07DA1">
        <w:t xml:space="preserve"> </w:t>
      </w:r>
      <w:r>
        <w:t xml:space="preserve">measured as species richness </w:t>
      </w:r>
      <w:r w:rsidR="00825AA2">
        <w:t xml:space="preserve">and </w:t>
      </w:r>
      <w:r>
        <w:t xml:space="preserve">Simpson’s index of leaf area, </w:t>
      </w:r>
      <w:r w:rsidR="004C24DB" w:rsidRPr="00C07DA1">
        <w:t xml:space="preserve">led to </w:t>
      </w:r>
      <w:r w:rsidR="009F3833">
        <w:t>greater skew and dispersion of generalist herbivory</w:t>
      </w:r>
      <w:r w:rsidR="004C24DB" w:rsidRPr="00C07DA1">
        <w:t xml:space="preserve">.  </w:t>
      </w:r>
      <w:r w:rsidR="009F3833">
        <w:t xml:space="preserve">Similarly, the skew of specialist herbivory increased with </w:t>
      </w:r>
      <w:r w:rsidR="009F3833" w:rsidRPr="009F3833">
        <w:rPr>
          <w:i/>
          <w:iCs/>
        </w:rPr>
        <w:t>Piper</w:t>
      </w:r>
      <w:r w:rsidR="009F3833">
        <w:t xml:space="preserve"> richness, although mean specialist herbivory decreased.  </w:t>
      </w:r>
      <w:r w:rsidR="00042237">
        <w:t>It is interesting that in natural settings, where biodiversity</w:t>
      </w:r>
      <w:r w:rsidR="005012C4">
        <w:t>-</w:t>
      </w:r>
      <w:r w:rsidR="00042237">
        <w:t xml:space="preserve">ecosystem function relationships can be difficult to discern, our data support an increase in function (as indicated by herbivory) with greater plant diversity.  Understanding determinants of generalist herbivory on </w:t>
      </w:r>
      <w:r w:rsidR="00042237" w:rsidRPr="00DB5DE0">
        <w:rPr>
          <w:i/>
          <w:iCs/>
        </w:rPr>
        <w:t>Piper</w:t>
      </w:r>
      <w:r w:rsidR="00042237">
        <w:t xml:space="preserve"> is particularly important as generalist herbivores shared by </w:t>
      </w:r>
      <w:r w:rsidR="00042237" w:rsidRPr="00DB5DE0">
        <w:rPr>
          <w:i/>
          <w:iCs/>
        </w:rPr>
        <w:t>Piper</w:t>
      </w:r>
      <w:r w:rsidR="00042237">
        <w:t xml:space="preserve"> and other </w:t>
      </w:r>
      <w:r w:rsidR="00E25ADC">
        <w:t xml:space="preserve">genera </w:t>
      </w:r>
      <w:r w:rsidR="00FC22B3">
        <w:t xml:space="preserve">can </w:t>
      </w:r>
      <w:r w:rsidR="00E25ADC">
        <w:t xml:space="preserve">increase </w:t>
      </w:r>
      <w:r w:rsidR="00556AD7">
        <w:t xml:space="preserve">plant diversity locally </w:t>
      </w:r>
      <w:r w:rsidR="00042237">
        <w:t xml:space="preserve">(Dyer </w:t>
      </w:r>
      <w:r w:rsidR="0082116C">
        <w:t>et al.</w:t>
      </w:r>
      <w:r w:rsidR="004C0CE7">
        <w:t xml:space="preserve"> </w:t>
      </w:r>
      <w:r w:rsidR="00042237">
        <w:t>2010).</w:t>
      </w:r>
    </w:p>
    <w:p w14:paraId="7AEDA99D" w14:textId="00EAE069" w:rsidR="004C24DB" w:rsidRDefault="00042237" w:rsidP="004C24DB">
      <w:pPr>
        <w:spacing w:line="480" w:lineRule="auto"/>
      </w:pPr>
      <w:r>
        <w:tab/>
      </w:r>
      <w:r w:rsidR="00791F81">
        <w:t xml:space="preserve">The </w:t>
      </w:r>
      <w:r>
        <w:t xml:space="preserve">contrasts uncovered </w:t>
      </w:r>
      <w:r w:rsidR="00791F81">
        <w:t>between generalist and specialist</w:t>
      </w:r>
      <w:r w:rsidR="00FC22B3">
        <w:t xml:space="preserve"> herbivory</w:t>
      </w:r>
      <w:r w:rsidR="00791F81">
        <w:t xml:space="preserve"> </w:t>
      </w:r>
      <w:r w:rsidR="00FC22B3">
        <w:t xml:space="preserve">likely reflect </w:t>
      </w:r>
      <w:r w:rsidR="004C24DB" w:rsidRPr="00C07DA1">
        <w:t xml:space="preserve">differences in host searching and dietary choices between </w:t>
      </w:r>
      <w:r w:rsidR="00D972B3">
        <w:t>the</w:t>
      </w:r>
      <w:r w:rsidR="006F79CE">
        <w:t>se</w:t>
      </w:r>
      <w:r w:rsidR="00D972B3">
        <w:t xml:space="preserve"> two groups of herbivores</w:t>
      </w:r>
      <w:r w:rsidR="004C24DB" w:rsidRPr="00C07DA1">
        <w:t xml:space="preserve">.  Generalists </w:t>
      </w:r>
      <w:r w:rsidR="00FC22B3">
        <w:t>appear</w:t>
      </w:r>
      <w:r w:rsidR="00FC22B3" w:rsidRPr="00C07DA1">
        <w:t xml:space="preserve"> </w:t>
      </w:r>
      <w:r w:rsidR="004C24DB" w:rsidRPr="00C07DA1">
        <w:t xml:space="preserve">to favor more diverse </w:t>
      </w:r>
      <w:r w:rsidR="00FC22B3">
        <w:t>communities</w:t>
      </w:r>
      <w:r w:rsidR="004C24DB" w:rsidRPr="00C07DA1">
        <w:t>, where a single potential host plant does not dominate</w:t>
      </w:r>
      <w:r w:rsidR="00EF048C">
        <w:t>, potentially due to benefits of dietary mixing (</w:t>
      </w:r>
      <w:r w:rsidR="009F3833">
        <w:t xml:space="preserve">Bernays </w:t>
      </w:r>
      <w:r w:rsidR="0082116C">
        <w:t>et al.</w:t>
      </w:r>
      <w:r w:rsidR="004C0CE7">
        <w:t xml:space="preserve"> </w:t>
      </w:r>
      <w:r w:rsidR="009F3833">
        <w:t xml:space="preserve">1994; </w:t>
      </w:r>
      <w:r w:rsidR="00EF048C">
        <w:t xml:space="preserve">Singer </w:t>
      </w:r>
      <w:r w:rsidR="0082116C">
        <w:t>et al.</w:t>
      </w:r>
      <w:r w:rsidR="004C0CE7">
        <w:t xml:space="preserve"> </w:t>
      </w:r>
      <w:r w:rsidR="00EF048C">
        <w:t xml:space="preserve">2004).  </w:t>
      </w:r>
      <w:r w:rsidR="004C24DB" w:rsidRPr="00C07DA1">
        <w:t xml:space="preserve">Specialists, on the other hand, may be more attracted to </w:t>
      </w:r>
      <w:r w:rsidR="00FC22B3">
        <w:t>areas</w:t>
      </w:r>
      <w:r w:rsidR="00FC22B3" w:rsidRPr="00C07DA1">
        <w:t xml:space="preserve"> </w:t>
      </w:r>
      <w:r w:rsidR="004C24DB" w:rsidRPr="00C07DA1">
        <w:t>where their preferred resource is highly abundant</w:t>
      </w:r>
      <w:r w:rsidR="00FC47A5">
        <w:t xml:space="preserve"> (Root 1973)</w:t>
      </w:r>
      <w:r w:rsidR="004C24DB" w:rsidRPr="00C07DA1">
        <w:t>.  Site by site, however, these patterns vary widely</w:t>
      </w:r>
      <w:r w:rsidR="000468F9">
        <w:t xml:space="preserve">, as we discuss </w:t>
      </w:r>
      <w:r w:rsidR="003F5297">
        <w:t>below</w:t>
      </w:r>
      <w:r w:rsidR="000468F9">
        <w:t>.</w:t>
      </w:r>
    </w:p>
    <w:p w14:paraId="5B27E561" w14:textId="693533FD" w:rsidR="006067BC" w:rsidRPr="006067BC" w:rsidRDefault="00531BE0" w:rsidP="004C24DB">
      <w:pPr>
        <w:spacing w:line="480" w:lineRule="auto"/>
        <w:rPr>
          <w:i/>
          <w:iCs/>
        </w:rPr>
      </w:pPr>
      <w:r>
        <w:rPr>
          <w:i/>
          <w:iCs/>
        </w:rPr>
        <w:t>Effects of resources and richness on h</w:t>
      </w:r>
      <w:r w:rsidR="006067BC" w:rsidRPr="006067BC">
        <w:rPr>
          <w:i/>
          <w:iCs/>
        </w:rPr>
        <w:t xml:space="preserve">erbivory distributions </w:t>
      </w:r>
      <w:r>
        <w:rPr>
          <w:i/>
          <w:iCs/>
        </w:rPr>
        <w:t xml:space="preserve">differ between </w:t>
      </w:r>
      <w:r w:rsidR="006067BC" w:rsidRPr="006067BC">
        <w:rPr>
          <w:i/>
          <w:iCs/>
        </w:rPr>
        <w:t>sites</w:t>
      </w:r>
    </w:p>
    <w:p w14:paraId="29AEF44A" w14:textId="2824ADB7" w:rsidR="006F79CE" w:rsidRDefault="00CF294C" w:rsidP="004C24DB">
      <w:pPr>
        <w:spacing w:line="480" w:lineRule="auto"/>
      </w:pPr>
      <w:r>
        <w:lastRenderedPageBreak/>
        <w:tab/>
      </w:r>
      <w:r w:rsidR="004C24DB" w:rsidRPr="00C07DA1">
        <w:t xml:space="preserve">In </w:t>
      </w:r>
      <w:r w:rsidR="00D73F7D">
        <w:t xml:space="preserve">the three </w:t>
      </w:r>
      <w:r w:rsidR="00FB18D8">
        <w:t xml:space="preserve">Mexican dry </w:t>
      </w:r>
      <w:r w:rsidR="00D73F7D">
        <w:t>forests</w:t>
      </w:r>
      <w:r w:rsidR="004C24DB" w:rsidRPr="00C07DA1">
        <w:t>,</w:t>
      </w:r>
      <w:r w:rsidR="00D73F7D">
        <w:t xml:space="preserve"> </w:t>
      </w:r>
      <w:r w:rsidR="004C24DB" w:rsidRPr="00C07DA1">
        <w:t>herbivory was reduced on species with more leaf area in a plot, presumably because there were more resources available for herbivores</w:t>
      </w:r>
      <w:r w:rsidR="00381464">
        <w:t>,</w:t>
      </w:r>
      <w:r w:rsidR="004C24DB" w:rsidRPr="00C07DA1">
        <w:t xml:space="preserve"> and herbivory </w:t>
      </w:r>
      <w:r w:rsidR="00406A08">
        <w:t xml:space="preserve">was therefore less concentrated </w:t>
      </w:r>
      <w:r w:rsidR="004C24DB" w:rsidRPr="00C07DA1">
        <w:t>on single individuals</w:t>
      </w:r>
      <w:r w:rsidR="00AD70CB">
        <w:t xml:space="preserve"> (Schuldt </w:t>
      </w:r>
      <w:r w:rsidR="0082116C">
        <w:t>et al.</w:t>
      </w:r>
      <w:r w:rsidR="004C0CE7">
        <w:t xml:space="preserve"> </w:t>
      </w:r>
      <w:r w:rsidR="00AD70CB">
        <w:t>2014)</w:t>
      </w:r>
      <w:r w:rsidR="004C24DB" w:rsidRPr="00C07DA1">
        <w:t xml:space="preserve">.  In contrast, </w:t>
      </w:r>
      <w:r w:rsidR="009958BA">
        <w:t xml:space="preserve">in our second most seasonal location, </w:t>
      </w:r>
      <w:r w:rsidR="00591B11">
        <w:t xml:space="preserve">a </w:t>
      </w:r>
      <w:r w:rsidR="009958BA">
        <w:t xml:space="preserve">cerrado gallery forest, </w:t>
      </w:r>
      <w:r w:rsidR="004C24DB" w:rsidRPr="00C07DA1">
        <w:t xml:space="preserve">both generalist and specialist herbivory </w:t>
      </w:r>
      <w:r w:rsidR="00F56EBD">
        <w:t>increased with</w:t>
      </w:r>
      <w:r w:rsidR="00F56EBD" w:rsidRPr="00C07DA1">
        <w:t xml:space="preserve"> </w:t>
      </w:r>
      <w:r w:rsidR="004C24DB" w:rsidRPr="00C07DA1">
        <w:t xml:space="preserve">total </w:t>
      </w:r>
      <w:r w:rsidR="004C24DB" w:rsidRPr="00C07DA1">
        <w:rPr>
          <w:i/>
          <w:iCs/>
        </w:rPr>
        <w:t>Piper</w:t>
      </w:r>
      <w:r w:rsidR="004C24DB" w:rsidRPr="00C07DA1">
        <w:t xml:space="preserve"> leaf area</w:t>
      </w:r>
      <w:r w:rsidR="00AD70CB">
        <w:t xml:space="preserve">.  </w:t>
      </w:r>
      <w:r w:rsidR="00B56CDB">
        <w:t xml:space="preserve">Leaf area per species was greater in plots in </w:t>
      </w:r>
      <w:r w:rsidR="00B56CDB" w:rsidRPr="00C07DA1">
        <w:t>México</w:t>
      </w:r>
      <w:r w:rsidR="00B56CDB">
        <w:t xml:space="preserve"> than in the </w:t>
      </w:r>
      <w:r w:rsidR="00F56EBD">
        <w:t xml:space="preserve">cerrado </w:t>
      </w:r>
      <w:r w:rsidR="00B56CDB">
        <w:t xml:space="preserve">gallery forest, potentially explaining why there may have been a dilution of herbivory in México and not in the gallery forest.  </w:t>
      </w:r>
      <w:r w:rsidR="00E37D8F">
        <w:t xml:space="preserve">In addition, </w:t>
      </w:r>
      <w:r w:rsidR="00E37D8F" w:rsidRPr="00E37D8F">
        <w:rPr>
          <w:i/>
          <w:iCs/>
        </w:rPr>
        <w:t>Piper</w:t>
      </w:r>
      <w:r w:rsidR="00E37D8F">
        <w:t xml:space="preserve"> is restricted to the narrow confines of gallery forest in the cerrado (</w:t>
      </w:r>
      <w:r w:rsidR="00E37D8F" w:rsidRPr="00E37D8F">
        <w:t xml:space="preserve">Oliveira-Filho </w:t>
      </w:r>
      <w:r w:rsidR="00E37D8F">
        <w:t>and</w:t>
      </w:r>
      <w:r w:rsidR="00E37D8F" w:rsidRPr="00E37D8F">
        <w:t xml:space="preserve"> Ratter 2002)</w:t>
      </w:r>
      <w:r w:rsidR="00E37D8F">
        <w:t xml:space="preserve">, and this concentration of resources may have resulted in the higher herbivory measured.  </w:t>
      </w:r>
      <w:proofErr w:type="gramStart"/>
      <w:r w:rsidR="006F79CE" w:rsidRPr="00C07DA1">
        <w:t>Similar to</w:t>
      </w:r>
      <w:proofErr w:type="gramEnd"/>
      <w:r w:rsidR="006F79CE" w:rsidRPr="00C07DA1">
        <w:t xml:space="preserve"> the cerrado site, in</w:t>
      </w:r>
      <w:r w:rsidR="006F79CE">
        <w:t xml:space="preserve"> the</w:t>
      </w:r>
      <w:r w:rsidR="006F79CE" w:rsidRPr="00C07DA1">
        <w:t xml:space="preserve"> Ecuador</w:t>
      </w:r>
      <w:r w:rsidR="006F79CE">
        <w:t>ian cloud forest</w:t>
      </w:r>
      <w:r w:rsidR="006F79CE" w:rsidRPr="00C07DA1">
        <w:t xml:space="preserve"> more extreme generalist and specialist damage was found in plots with more </w:t>
      </w:r>
      <w:r w:rsidR="006F79CE" w:rsidRPr="00C07DA1">
        <w:rPr>
          <w:i/>
          <w:iCs/>
        </w:rPr>
        <w:t>Piper</w:t>
      </w:r>
      <w:r w:rsidR="006F79CE" w:rsidRPr="00C07DA1">
        <w:t xml:space="preserve"> leaf area.  </w:t>
      </w:r>
      <w:r w:rsidR="006F79CE">
        <w:t xml:space="preserve">The higher herbivory measured in Ecuador may result from a </w:t>
      </w:r>
      <w:r w:rsidR="004243C0">
        <w:t xml:space="preserve">less </w:t>
      </w:r>
      <w:r w:rsidR="006F79CE">
        <w:t xml:space="preserve">seasonal climate and </w:t>
      </w:r>
      <w:r w:rsidR="00FB218C">
        <w:t>what is therefore</w:t>
      </w:r>
      <w:r w:rsidR="006F79CE">
        <w:t xml:space="preserve"> more constant herbivore pressure</w:t>
      </w:r>
      <w:r w:rsidR="006F79CE" w:rsidRPr="006A4B34">
        <w:t xml:space="preserve">.  </w:t>
      </w:r>
      <w:r w:rsidR="006D7B7B" w:rsidRPr="006A4B34">
        <w:t>In the cerrado,</w:t>
      </w:r>
      <w:r w:rsidR="00390AB9" w:rsidRPr="006A4B34">
        <w:t xml:space="preserve"> another important pattern was that</w:t>
      </w:r>
      <w:r w:rsidR="006D7B7B" w:rsidRPr="006A4B34">
        <w:t xml:space="preserve"> canopy openness limited herbivory, where increased light levels may cause particularly strong reductions in humidity (</w:t>
      </w:r>
      <w:r w:rsidR="00390AB9" w:rsidRPr="006A4B34">
        <w:t xml:space="preserve">corroborating results reported by </w:t>
      </w:r>
      <w:r w:rsidR="006D7B7B" w:rsidRPr="006A4B34">
        <w:t>Richards and Windsor 2007).</w:t>
      </w:r>
      <w:r w:rsidR="006D7B7B" w:rsidRPr="00C07DA1">
        <w:t xml:space="preserve"> </w:t>
      </w:r>
      <w:r w:rsidR="006D7B7B">
        <w:t xml:space="preserve"> </w:t>
      </w:r>
    </w:p>
    <w:p w14:paraId="6B7CC31C" w14:textId="56B66EE1" w:rsidR="00DC4E5D" w:rsidRDefault="00382E7B">
      <w:pPr>
        <w:spacing w:line="480" w:lineRule="auto"/>
        <w:pPrChange w:id="5" w:author="Tara Massad" w:date="2023-05-14T20:39:00Z">
          <w:pPr>
            <w:spacing w:line="480" w:lineRule="auto"/>
            <w:ind w:firstLine="720"/>
          </w:pPr>
        </w:pPrChange>
      </w:pPr>
      <w:r>
        <w:tab/>
      </w:r>
      <w:r w:rsidR="004C24DB" w:rsidRPr="00C07DA1">
        <w:t xml:space="preserve">In lowland humid forests of Costa Rica and the Amazon Basin </w:t>
      </w:r>
      <w:r w:rsidR="004C24DB" w:rsidRPr="00C07DA1">
        <w:rPr>
          <w:i/>
          <w:iCs/>
        </w:rPr>
        <w:t>Piper</w:t>
      </w:r>
      <w:r w:rsidR="004C24DB" w:rsidRPr="00C07DA1">
        <w:t xml:space="preserve"> richness had contrasting effects on </w:t>
      </w:r>
      <w:r w:rsidR="009D7300">
        <w:t>generalist</w:t>
      </w:r>
      <w:r w:rsidR="004C24DB" w:rsidRPr="00C07DA1">
        <w:t xml:space="preserve"> herbivory.  In Costa Rica, </w:t>
      </w:r>
      <w:r w:rsidR="004C24DB" w:rsidRPr="00C07DA1">
        <w:rPr>
          <w:i/>
          <w:iCs/>
        </w:rPr>
        <w:t>Piper</w:t>
      </w:r>
      <w:r w:rsidR="004C24DB" w:rsidRPr="00C07DA1">
        <w:t xml:space="preserve"> richness resulted in more generalist damage.  In the Amazon, </w:t>
      </w:r>
      <w:r w:rsidR="004C24DB" w:rsidRPr="00C07DA1">
        <w:rPr>
          <w:i/>
          <w:iCs/>
        </w:rPr>
        <w:t>Piper</w:t>
      </w:r>
      <w:r w:rsidR="004C24DB" w:rsidRPr="00C07DA1">
        <w:t xml:space="preserve"> richness was associated with less generalist damage.  Nonetheless, generalist herbivory increased with </w:t>
      </w:r>
      <w:r w:rsidR="004C24DB" w:rsidRPr="00C07DA1">
        <w:rPr>
          <w:i/>
          <w:iCs/>
        </w:rPr>
        <w:t xml:space="preserve">Piper </w:t>
      </w:r>
      <w:r w:rsidR="00647D0C">
        <w:rPr>
          <w:iCs/>
        </w:rPr>
        <w:t>leaf</w:t>
      </w:r>
      <w:r w:rsidR="00F605C3">
        <w:rPr>
          <w:iCs/>
        </w:rPr>
        <w:t xml:space="preserve"> </w:t>
      </w:r>
      <w:r w:rsidR="00647D0C">
        <w:rPr>
          <w:iCs/>
        </w:rPr>
        <w:t xml:space="preserve">area </w:t>
      </w:r>
      <w:r w:rsidR="004C24DB">
        <w:t>diversity in the Amazon Basin</w:t>
      </w:r>
      <w:r w:rsidR="00591B11">
        <w:t xml:space="preserve">.  </w:t>
      </w:r>
      <w:r w:rsidR="009D7300">
        <w:t xml:space="preserve">In addition, </w:t>
      </w:r>
      <w:r w:rsidR="00DB5458" w:rsidRPr="00DB5458">
        <w:rPr>
          <w:i/>
          <w:iCs/>
        </w:rPr>
        <w:t>Piper</w:t>
      </w:r>
      <w:r w:rsidR="00DB5458">
        <w:t xml:space="preserve"> richness and leaf area diversity were positively correlated</w:t>
      </w:r>
      <w:r w:rsidR="00EC57FE">
        <w:t xml:space="preserve"> in Costa Rica</w:t>
      </w:r>
      <w:r w:rsidR="009D7300">
        <w:t xml:space="preserve"> (where richness increased generalist damage)</w:t>
      </w:r>
      <w:r w:rsidR="00C528F9">
        <w:t xml:space="preserve">.  </w:t>
      </w:r>
      <w:r w:rsidR="009D7300">
        <w:t xml:space="preserve">When calculating diversity based on leaf area, one captures the diversity of resources available from an herbivore’s point of view, and this may </w:t>
      </w:r>
      <w:r w:rsidR="009D7300">
        <w:lastRenderedPageBreak/>
        <w:t>be a more informative description of resource diversity than the richness of individual plants</w:t>
      </w:r>
      <w:r w:rsidR="00C528F9">
        <w:t>, particularly if richness values include many small individuals</w:t>
      </w:r>
      <w:r w:rsidR="009D7300">
        <w:t xml:space="preserve">.  </w:t>
      </w:r>
      <w:r w:rsidR="00DB5458">
        <w:t xml:space="preserve">  </w:t>
      </w:r>
    </w:p>
    <w:p w14:paraId="7CAFDEF3" w14:textId="48B33540" w:rsidR="00010C85" w:rsidRPr="00010C85" w:rsidRDefault="00010C85" w:rsidP="00EE1301">
      <w:pPr>
        <w:spacing w:line="480" w:lineRule="auto"/>
        <w:rPr>
          <w:i/>
          <w:iCs/>
        </w:rPr>
      </w:pPr>
      <w:r w:rsidRPr="00010C85">
        <w:rPr>
          <w:i/>
          <w:iCs/>
        </w:rPr>
        <w:t>Conclusions</w:t>
      </w:r>
    </w:p>
    <w:p w14:paraId="448AFF92" w14:textId="701989FE" w:rsidR="00DC4E5D" w:rsidRDefault="000D04E9" w:rsidP="002F21A6">
      <w:pPr>
        <w:spacing w:line="480" w:lineRule="auto"/>
        <w:rPr>
          <w:b/>
          <w:bCs/>
        </w:rPr>
      </w:pPr>
      <w:r>
        <w:tab/>
      </w:r>
      <w:r w:rsidR="00C40B62">
        <w:t>The search for</w:t>
      </w:r>
      <w:r w:rsidR="001C37D0">
        <w:t xml:space="preserve"> factors</w:t>
      </w:r>
      <w:r w:rsidR="00E6458F">
        <w:t xml:space="preserve"> that influence</w:t>
      </w:r>
      <w:r w:rsidR="00EF1839">
        <w:t xml:space="preserve"> variation in</w:t>
      </w:r>
      <w:r w:rsidR="00FC22B3">
        <w:t xml:space="preserve"> </w:t>
      </w:r>
      <w:r w:rsidR="001C37D0">
        <w:t xml:space="preserve">herbivory </w:t>
      </w:r>
      <w:r w:rsidR="00E6458F">
        <w:t>inform</w:t>
      </w:r>
      <w:r w:rsidR="000244FF">
        <w:t>s</w:t>
      </w:r>
      <w:r w:rsidR="001C37D0">
        <w:t xml:space="preserve"> </w:t>
      </w:r>
      <w:r w:rsidR="003F1545">
        <w:t xml:space="preserve">both </w:t>
      </w:r>
      <w:r w:rsidR="001C37D0">
        <w:t>ecology and conservation</w:t>
      </w:r>
      <w:r w:rsidR="000244FF">
        <w:t xml:space="preserve"> because </w:t>
      </w:r>
      <w:r w:rsidR="001C37D0">
        <w:t>herbivores play a strong role in maintaining tropical forest</w:t>
      </w:r>
      <w:r w:rsidR="00EF1839">
        <w:t xml:space="preserve"> diversity</w:t>
      </w:r>
      <w:r w:rsidR="001C37D0">
        <w:t xml:space="preserve">, even </w:t>
      </w:r>
      <w:r w:rsidR="00EF1839">
        <w:t xml:space="preserve">at </w:t>
      </w:r>
      <w:r w:rsidR="001C37D0">
        <w:t xml:space="preserve">large scales (Levi </w:t>
      </w:r>
      <w:r w:rsidR="0082116C">
        <w:t>et al.</w:t>
      </w:r>
      <w:r w:rsidR="004C0CE7">
        <w:t xml:space="preserve"> </w:t>
      </w:r>
      <w:r w:rsidR="001C37D0">
        <w:t>2019)</w:t>
      </w:r>
      <w:r w:rsidR="000244FF">
        <w:t>.  O</w:t>
      </w:r>
      <w:r w:rsidR="00DB64CB">
        <w:t xml:space="preserve">ur data demonstrate </w:t>
      </w:r>
      <w:r w:rsidR="000244FF">
        <w:t xml:space="preserve">that </w:t>
      </w:r>
      <w:r w:rsidR="00DB64CB">
        <w:t>seasonality and community level</w:t>
      </w:r>
      <w:r w:rsidR="000244FF">
        <w:t xml:space="preserve"> parameters, such as species richness and resource availability, </w:t>
      </w:r>
      <w:r w:rsidR="00392330">
        <w:t>partially</w:t>
      </w:r>
      <w:r w:rsidR="00DB64CB">
        <w:t xml:space="preserve"> explain the distribution of herbivory.  </w:t>
      </w:r>
      <w:r w:rsidR="00C40B62">
        <w:t xml:space="preserve">Going forward, it </w:t>
      </w:r>
      <w:r w:rsidR="000244FF">
        <w:t>will be</w:t>
      </w:r>
      <w:r w:rsidR="00C40B62">
        <w:t xml:space="preserve"> important to acknowledge that v</w:t>
      </w:r>
      <w:r w:rsidR="001C37D0">
        <w:t xml:space="preserve">ariables </w:t>
      </w:r>
      <w:r w:rsidR="00657E56">
        <w:t xml:space="preserve">operating </w:t>
      </w:r>
      <w:r w:rsidR="001C37D0">
        <w:t xml:space="preserve">at </w:t>
      </w:r>
      <w:r w:rsidR="006772BD">
        <w:t xml:space="preserve">both </w:t>
      </w:r>
      <w:r w:rsidR="00657E56">
        <w:t xml:space="preserve">regional </w:t>
      </w:r>
      <w:r w:rsidR="000244FF">
        <w:t xml:space="preserve">and local </w:t>
      </w:r>
      <w:r w:rsidR="001C37D0">
        <w:t>scales govern patterns of herbivory</w:t>
      </w:r>
      <w:r w:rsidR="008B1B22">
        <w:t xml:space="preserve">. </w:t>
      </w:r>
      <w:r w:rsidR="00044CA9">
        <w:t xml:space="preserve"> </w:t>
      </w:r>
      <w:r w:rsidR="00392330" w:rsidRPr="00392330">
        <w:t xml:space="preserve">Future work may also benefit from addressing interactions between </w:t>
      </w:r>
      <w:r w:rsidR="00392330">
        <w:t xml:space="preserve">these </w:t>
      </w:r>
      <w:r w:rsidR="00392330" w:rsidRPr="00392330">
        <w:t>predictor</w:t>
      </w:r>
      <w:r w:rsidR="00392330">
        <w:t xml:space="preserve">s. </w:t>
      </w:r>
      <w:r w:rsidR="00392330" w:rsidRPr="00392330">
        <w:t xml:space="preserve"> </w:t>
      </w:r>
      <w:r w:rsidR="00392330">
        <w:t>Overall</w:t>
      </w:r>
      <w:r w:rsidR="008B1B22">
        <w:t xml:space="preserve">, </w:t>
      </w:r>
      <w:r w:rsidR="000244FF">
        <w:t xml:space="preserve">research </w:t>
      </w:r>
      <w:r w:rsidR="00392330">
        <w:t xml:space="preserve">that </w:t>
      </w:r>
      <w:r w:rsidR="000244FF">
        <w:t>address</w:t>
      </w:r>
      <w:r w:rsidR="00392330">
        <w:t>es</w:t>
      </w:r>
      <w:r w:rsidR="000244FF">
        <w:t xml:space="preserve"> </w:t>
      </w:r>
      <w:r w:rsidR="002F21A6">
        <w:t>the causes and effects of</w:t>
      </w:r>
      <w:r w:rsidR="00347206">
        <w:t xml:space="preserve"> variation in</w:t>
      </w:r>
      <w:r w:rsidR="002F21A6">
        <w:t xml:space="preserve"> the </w:t>
      </w:r>
      <w:r w:rsidR="00347206">
        <w:t>statistical</w:t>
      </w:r>
      <w:r w:rsidR="002F21A6">
        <w:t xml:space="preserve"> distribution</w:t>
      </w:r>
      <w:r w:rsidR="00347206">
        <w:t>s</w:t>
      </w:r>
      <w:r w:rsidR="002F21A6">
        <w:t xml:space="preserve"> of </w:t>
      </w:r>
      <w:r w:rsidR="008B1B22">
        <w:t>herbivory</w:t>
      </w:r>
      <w:r w:rsidR="00392330">
        <w:t xml:space="preserve"> will help determine factors that produce ecologically meaningful levels of herbivory</w:t>
      </w:r>
      <w:r w:rsidR="008B1B22">
        <w:t xml:space="preserve">. </w:t>
      </w:r>
      <w:r w:rsidR="00044CA9">
        <w:t xml:space="preserve"> </w:t>
      </w:r>
      <w:r w:rsidR="00DC4E5D">
        <w:rPr>
          <w:b/>
          <w:bCs/>
        </w:rPr>
        <w:br w:type="page"/>
      </w:r>
    </w:p>
    <w:p w14:paraId="4887E313" w14:textId="1EB29857" w:rsidR="00DE344A" w:rsidRDefault="00B80CE9" w:rsidP="002214EA">
      <w:pPr>
        <w:spacing w:line="480" w:lineRule="auto"/>
        <w:rPr>
          <w:b/>
          <w:bCs/>
        </w:rPr>
      </w:pPr>
      <w:r>
        <w:rPr>
          <w:b/>
          <w:bCs/>
        </w:rPr>
        <w:lastRenderedPageBreak/>
        <w:t>References</w:t>
      </w:r>
    </w:p>
    <w:p w14:paraId="4B32D169" w14:textId="09758D38" w:rsidR="00C6379C" w:rsidRPr="00C6379C" w:rsidRDefault="00C6379C" w:rsidP="00C6379C">
      <w:pPr>
        <w:spacing w:line="480" w:lineRule="auto"/>
        <w:ind w:left="720" w:hanging="720"/>
      </w:pPr>
      <w:r w:rsidRPr="00C6379C">
        <w:t xml:space="preserve">Agrawal, A. A., </w:t>
      </w:r>
      <w:proofErr w:type="spellStart"/>
      <w:r w:rsidRPr="00C6379C">
        <w:t>Petschenka</w:t>
      </w:r>
      <w:proofErr w:type="spellEnd"/>
      <w:r w:rsidRPr="00C6379C">
        <w:t xml:space="preserve">, G., Bingham, R. A., Weber, M. G., &amp; </w:t>
      </w:r>
      <w:proofErr w:type="spellStart"/>
      <w:r w:rsidRPr="00C6379C">
        <w:t>Rasmann</w:t>
      </w:r>
      <w:proofErr w:type="spellEnd"/>
      <w:r w:rsidRPr="00C6379C">
        <w:t xml:space="preserve">, S. (2012). Toxic cardenolides: Chemical ecology and coevolution of specialized plant-herbivore interactions. </w:t>
      </w:r>
      <w:r w:rsidRPr="00C6379C">
        <w:rPr>
          <w:i/>
          <w:iCs/>
        </w:rPr>
        <w:t>New Phytologist</w:t>
      </w:r>
      <w:r w:rsidRPr="00C6379C">
        <w:t xml:space="preserve">, </w:t>
      </w:r>
      <w:r w:rsidRPr="00C6379C">
        <w:rPr>
          <w:i/>
          <w:iCs/>
        </w:rPr>
        <w:t>194</w:t>
      </w:r>
      <w:r w:rsidRPr="00C6379C">
        <w:t xml:space="preserve">, 28–45. </w:t>
      </w:r>
      <w:hyperlink r:id="rId9" w:history="1">
        <w:r w:rsidRPr="00C6379C">
          <w:rPr>
            <w:rStyle w:val="Hyperlink"/>
          </w:rPr>
          <w:t>https://doi.org/10.1111/j.1469-8137.2011.04049.x</w:t>
        </w:r>
      </w:hyperlink>
    </w:p>
    <w:p w14:paraId="77987F16" w14:textId="337F618A" w:rsidR="00C6379C" w:rsidRPr="00C6379C" w:rsidRDefault="00C6379C" w:rsidP="00C6379C">
      <w:pPr>
        <w:spacing w:line="480" w:lineRule="auto"/>
        <w:ind w:left="720" w:hanging="720"/>
      </w:pPr>
      <w:r w:rsidRPr="00C6379C">
        <w:t>Alvarez-</w:t>
      </w:r>
      <w:proofErr w:type="spellStart"/>
      <w:r w:rsidRPr="00C6379C">
        <w:t>Loayza</w:t>
      </w:r>
      <w:proofErr w:type="spellEnd"/>
      <w:r w:rsidRPr="00C6379C">
        <w:t xml:space="preserve">, P., &amp; </w:t>
      </w:r>
      <w:proofErr w:type="spellStart"/>
      <w:r w:rsidRPr="00C6379C">
        <w:t>Terborgh</w:t>
      </w:r>
      <w:proofErr w:type="spellEnd"/>
      <w:r w:rsidRPr="00C6379C">
        <w:t xml:space="preserve">, J. (2011). Fates of seedling carpets in an Amazonian floodplain forest: Intra-cohort competition or attack by enemies? </w:t>
      </w:r>
      <w:r w:rsidRPr="00C6379C">
        <w:rPr>
          <w:i/>
          <w:iCs/>
        </w:rPr>
        <w:t>Journal of Ecology</w:t>
      </w:r>
      <w:r w:rsidRPr="00C6379C">
        <w:t xml:space="preserve">, </w:t>
      </w:r>
      <w:r w:rsidRPr="00C6379C">
        <w:rPr>
          <w:i/>
          <w:iCs/>
        </w:rPr>
        <w:t>99</w:t>
      </w:r>
      <w:r w:rsidRPr="00C6379C">
        <w:t xml:space="preserve">, 1045–1054. </w:t>
      </w:r>
      <w:hyperlink r:id="rId10" w:history="1">
        <w:r w:rsidRPr="00C6379C">
          <w:rPr>
            <w:rStyle w:val="Hyperlink"/>
          </w:rPr>
          <w:t>https://www.jstor.org/stable/23027668</w:t>
        </w:r>
      </w:hyperlink>
    </w:p>
    <w:p w14:paraId="705161B5" w14:textId="1579002A" w:rsidR="00C6379C" w:rsidRDefault="00C6379C" w:rsidP="00C6379C">
      <w:pPr>
        <w:spacing w:line="480" w:lineRule="auto"/>
        <w:ind w:left="720" w:hanging="720"/>
      </w:pPr>
      <w:r w:rsidRPr="00BB1711">
        <w:t>Anderson</w:t>
      </w:r>
      <w:r w:rsidR="003320B7">
        <w:t>,</w:t>
      </w:r>
      <w:r w:rsidRPr="00BB1711">
        <w:t xml:space="preserve"> R</w:t>
      </w:r>
      <w:r w:rsidR="003320B7">
        <w:t xml:space="preserve">. </w:t>
      </w:r>
      <w:r w:rsidRPr="00BB1711">
        <w:t>M</w:t>
      </w:r>
      <w:r w:rsidR="003320B7">
        <w:t>.</w:t>
      </w:r>
      <w:r w:rsidRPr="00BB1711">
        <w:t xml:space="preserve">, </w:t>
      </w:r>
      <w:proofErr w:type="spellStart"/>
      <w:r w:rsidRPr="00BB1711">
        <w:t>Dallar</w:t>
      </w:r>
      <w:proofErr w:type="spellEnd"/>
      <w:r w:rsidR="003320B7">
        <w:t>,</w:t>
      </w:r>
      <w:r w:rsidRPr="00BB1711">
        <w:t xml:space="preserve"> N</w:t>
      </w:r>
      <w:r w:rsidR="003320B7">
        <w:t xml:space="preserve">. </w:t>
      </w:r>
      <w:r w:rsidRPr="00BB1711">
        <w:t>M</w:t>
      </w:r>
      <w:r w:rsidR="003320B7">
        <w:t>.</w:t>
      </w:r>
      <w:r w:rsidRPr="00BB1711">
        <w:t xml:space="preserve">, </w:t>
      </w:r>
      <w:proofErr w:type="spellStart"/>
      <w:r w:rsidRPr="00BB1711">
        <w:t>Pirtel</w:t>
      </w:r>
      <w:proofErr w:type="spellEnd"/>
      <w:r w:rsidR="003320B7">
        <w:t>,</w:t>
      </w:r>
      <w:r w:rsidRPr="00BB1711">
        <w:t xml:space="preserve"> N</w:t>
      </w:r>
      <w:r w:rsidR="003320B7">
        <w:t xml:space="preserve">. </w:t>
      </w:r>
      <w:r w:rsidRPr="00BB1711">
        <w:t>L</w:t>
      </w:r>
      <w:r w:rsidR="003320B7">
        <w:t>.</w:t>
      </w:r>
      <w:r w:rsidRPr="00BB1711">
        <w:t>, Connors</w:t>
      </w:r>
      <w:r w:rsidR="003320B7">
        <w:t>,</w:t>
      </w:r>
      <w:r w:rsidRPr="00BB1711">
        <w:t xml:space="preserve"> C</w:t>
      </w:r>
      <w:r w:rsidR="003320B7">
        <w:t xml:space="preserve">. </w:t>
      </w:r>
      <w:r w:rsidRPr="00BB1711">
        <w:t>J</w:t>
      </w:r>
      <w:r w:rsidR="003320B7">
        <w:t>.</w:t>
      </w:r>
      <w:r w:rsidRPr="00BB1711">
        <w:t xml:space="preserve">, </w:t>
      </w:r>
      <w:proofErr w:type="spellStart"/>
      <w:r w:rsidRPr="00BB1711">
        <w:t>Mickley</w:t>
      </w:r>
      <w:proofErr w:type="spellEnd"/>
      <w:r w:rsidR="003320B7">
        <w:t>,</w:t>
      </w:r>
      <w:r w:rsidRPr="00BB1711">
        <w:t xml:space="preserve"> J</w:t>
      </w:r>
      <w:r w:rsidR="003320B7">
        <w:t>.</w:t>
      </w:r>
      <w:r w:rsidRPr="00BB1711">
        <w:t>, Bagchi</w:t>
      </w:r>
      <w:r w:rsidR="003320B7">
        <w:t>,</w:t>
      </w:r>
      <w:r w:rsidRPr="00BB1711">
        <w:t xml:space="preserve"> R</w:t>
      </w:r>
      <w:r w:rsidR="003320B7">
        <w:t>.,</w:t>
      </w:r>
      <w:r w:rsidRPr="00BB1711">
        <w:t xml:space="preserve"> </w:t>
      </w:r>
      <w:r w:rsidR="003320B7">
        <w:t xml:space="preserve">&amp; </w:t>
      </w:r>
      <w:r w:rsidRPr="00BB1711">
        <w:t>Singer</w:t>
      </w:r>
      <w:r w:rsidR="003320B7">
        <w:t>,</w:t>
      </w:r>
      <w:r w:rsidRPr="00BB1711">
        <w:t xml:space="preserve"> M</w:t>
      </w:r>
      <w:r w:rsidR="003320B7">
        <w:t xml:space="preserve">. </w:t>
      </w:r>
      <w:r w:rsidRPr="00BB1711">
        <w:t>S</w:t>
      </w:r>
      <w:r w:rsidR="003320B7">
        <w:t>.</w:t>
      </w:r>
      <w:r w:rsidRPr="00BB1711">
        <w:t xml:space="preserve"> (2019)</w:t>
      </w:r>
      <w:r w:rsidR="003320B7">
        <w:t>.</w:t>
      </w:r>
      <w:r w:rsidRPr="00BB1711">
        <w:t xml:space="preserve"> Bottom-</w:t>
      </w:r>
      <w:r w:rsidR="003320B7">
        <w:t>u</w:t>
      </w:r>
      <w:r w:rsidRPr="00BB1711">
        <w:t xml:space="preserve">p and </w:t>
      </w:r>
      <w:r w:rsidR="003320B7">
        <w:t>t</w:t>
      </w:r>
      <w:r w:rsidRPr="00BB1711">
        <w:t>op-</w:t>
      </w:r>
      <w:r w:rsidR="003320B7">
        <w:t>d</w:t>
      </w:r>
      <w:r w:rsidRPr="00BB1711">
        <w:t xml:space="preserve">own </w:t>
      </w:r>
      <w:r w:rsidR="003320B7">
        <w:t>e</w:t>
      </w:r>
      <w:r w:rsidRPr="00BB1711">
        <w:t xml:space="preserve">ffects of </w:t>
      </w:r>
      <w:r w:rsidR="003320B7">
        <w:t>f</w:t>
      </w:r>
      <w:r w:rsidRPr="00BB1711">
        <w:t xml:space="preserve">orest </w:t>
      </w:r>
      <w:r w:rsidR="003320B7">
        <w:t>f</w:t>
      </w:r>
      <w:r w:rsidRPr="00BB1711">
        <w:t xml:space="preserve">ragmentation </w:t>
      </w:r>
      <w:r w:rsidR="003320B7">
        <w:t>d</w:t>
      </w:r>
      <w:r w:rsidRPr="00BB1711">
        <w:t xml:space="preserve">iffer </w:t>
      </w:r>
      <w:r w:rsidR="003320B7">
        <w:t>b</w:t>
      </w:r>
      <w:r w:rsidRPr="00BB1711">
        <w:t xml:space="preserve">etween </w:t>
      </w:r>
      <w:r w:rsidR="003320B7">
        <w:t>d</w:t>
      </w:r>
      <w:r w:rsidRPr="00BB1711">
        <w:t xml:space="preserve">ietary </w:t>
      </w:r>
      <w:r w:rsidR="003320B7">
        <w:t>g</w:t>
      </w:r>
      <w:r w:rsidRPr="00BB1711">
        <w:t xml:space="preserve">eneralist and </w:t>
      </w:r>
      <w:r w:rsidR="003320B7">
        <w:t>s</w:t>
      </w:r>
      <w:r w:rsidRPr="00BB1711">
        <w:t xml:space="preserve">pecialist </w:t>
      </w:r>
      <w:r w:rsidR="003320B7">
        <w:t>c</w:t>
      </w:r>
      <w:r w:rsidRPr="00BB1711">
        <w:t xml:space="preserve">aterpillars. </w:t>
      </w:r>
      <w:r w:rsidRPr="00BB1711">
        <w:rPr>
          <w:i/>
          <w:iCs/>
        </w:rPr>
        <w:t>Front</w:t>
      </w:r>
      <w:r w:rsidR="00A71F05">
        <w:rPr>
          <w:i/>
          <w:iCs/>
        </w:rPr>
        <w:t>iers in</w:t>
      </w:r>
      <w:r w:rsidRPr="00BB1711">
        <w:rPr>
          <w:i/>
          <w:iCs/>
        </w:rPr>
        <w:t xml:space="preserve"> Ecol</w:t>
      </w:r>
      <w:r w:rsidR="00A71F05">
        <w:rPr>
          <w:i/>
          <w:iCs/>
        </w:rPr>
        <w:t>ogy</w:t>
      </w:r>
      <w:r w:rsidRPr="00BB1711">
        <w:rPr>
          <w:i/>
          <w:iCs/>
        </w:rPr>
        <w:t xml:space="preserve"> </w:t>
      </w:r>
      <w:r w:rsidR="00A71F05">
        <w:rPr>
          <w:i/>
          <w:iCs/>
        </w:rPr>
        <w:t xml:space="preserve">and </w:t>
      </w:r>
      <w:r w:rsidRPr="00BB1711">
        <w:rPr>
          <w:i/>
          <w:iCs/>
        </w:rPr>
        <w:t>Evol</w:t>
      </w:r>
      <w:r w:rsidR="00A71F05">
        <w:rPr>
          <w:i/>
          <w:iCs/>
        </w:rPr>
        <w:t>ution</w:t>
      </w:r>
      <w:r w:rsidRPr="00A71F05">
        <w:rPr>
          <w:i/>
          <w:iCs/>
        </w:rPr>
        <w:t xml:space="preserve"> 7</w:t>
      </w:r>
      <w:r w:rsidR="00C6651D">
        <w:t xml:space="preserve">, </w:t>
      </w:r>
      <w:r w:rsidRPr="00BB1711">
        <w:t xml:space="preserve">452. </w:t>
      </w:r>
      <w:proofErr w:type="spellStart"/>
      <w:r w:rsidRPr="00BB1711">
        <w:t>doi</w:t>
      </w:r>
      <w:proofErr w:type="spellEnd"/>
      <w:r w:rsidRPr="00BB1711">
        <w:t>: 10.3389/fevo.2019.00452</w:t>
      </w:r>
    </w:p>
    <w:p w14:paraId="305055F2" w14:textId="3C0FB543" w:rsidR="00C6379C" w:rsidRPr="00C6379C" w:rsidRDefault="00C6379C" w:rsidP="00C6379C">
      <w:pPr>
        <w:spacing w:line="480" w:lineRule="auto"/>
        <w:ind w:left="720" w:hanging="720"/>
      </w:pPr>
      <w:proofErr w:type="spellStart"/>
      <w:r w:rsidRPr="00C6379C">
        <w:t>Anstett</w:t>
      </w:r>
      <w:proofErr w:type="spellEnd"/>
      <w:r w:rsidRPr="00C6379C">
        <w:t xml:space="preserve">, D. N., Nunes, K. A., Baskett, C., &amp; </w:t>
      </w:r>
      <w:proofErr w:type="spellStart"/>
      <w:r w:rsidRPr="00C6379C">
        <w:t>Kotanen</w:t>
      </w:r>
      <w:proofErr w:type="spellEnd"/>
      <w:r w:rsidRPr="00C6379C">
        <w:t xml:space="preserve">, P. M. (2016). Sources of </w:t>
      </w:r>
      <w:r w:rsidR="003320B7">
        <w:t>c</w:t>
      </w:r>
      <w:r w:rsidRPr="00C6379C">
        <w:t xml:space="preserve">ontroversy </w:t>
      </w:r>
      <w:r w:rsidR="003320B7">
        <w:t>s</w:t>
      </w:r>
      <w:r w:rsidRPr="00C6379C">
        <w:t xml:space="preserve">urrounding </w:t>
      </w:r>
      <w:r w:rsidR="003320B7">
        <w:t>l</w:t>
      </w:r>
      <w:r w:rsidRPr="00C6379C">
        <w:t xml:space="preserve">atitudinal </w:t>
      </w:r>
      <w:r w:rsidR="003320B7">
        <w:t>p</w:t>
      </w:r>
      <w:r w:rsidRPr="00C6379C">
        <w:t xml:space="preserve">atterns in </w:t>
      </w:r>
      <w:r w:rsidR="003320B7">
        <w:t>h</w:t>
      </w:r>
      <w:r w:rsidRPr="00C6379C">
        <w:t xml:space="preserve">erbivory and </w:t>
      </w:r>
      <w:r w:rsidR="003320B7">
        <w:t>d</w:t>
      </w:r>
      <w:r w:rsidRPr="00C6379C">
        <w:t xml:space="preserve">efense. </w:t>
      </w:r>
      <w:r w:rsidRPr="00C6379C">
        <w:rPr>
          <w:i/>
          <w:iCs/>
        </w:rPr>
        <w:t>Trends in Ecology &amp; Evolution</w:t>
      </w:r>
      <w:r w:rsidRPr="00C6379C">
        <w:t xml:space="preserve">, </w:t>
      </w:r>
      <w:r w:rsidRPr="00C6379C">
        <w:rPr>
          <w:i/>
          <w:iCs/>
        </w:rPr>
        <w:t>31</w:t>
      </w:r>
      <w:r w:rsidRPr="00C6379C">
        <w:t xml:space="preserve">, 789–802. </w:t>
      </w:r>
      <w:hyperlink r:id="rId11" w:history="1">
        <w:r w:rsidRPr="00C6379C">
          <w:rPr>
            <w:rStyle w:val="Hyperlink"/>
          </w:rPr>
          <w:t>https://doi.org/10.1016/j.tree.2016.07.011</w:t>
        </w:r>
      </w:hyperlink>
    </w:p>
    <w:p w14:paraId="14FDEE92" w14:textId="77777777" w:rsidR="00C6379C" w:rsidRPr="00C6379C" w:rsidRDefault="00C6379C" w:rsidP="00C6379C">
      <w:pPr>
        <w:spacing w:line="480" w:lineRule="auto"/>
        <w:ind w:left="720" w:hanging="720"/>
      </w:pPr>
      <w:r w:rsidRPr="00C6379C">
        <w:t xml:space="preserve">Barbosa, P., Hines, J., Kaplan, I., Martinson, H., </w:t>
      </w:r>
      <w:proofErr w:type="spellStart"/>
      <w:r w:rsidRPr="00C6379C">
        <w:t>Szczepaniec</w:t>
      </w:r>
      <w:proofErr w:type="spellEnd"/>
      <w:r w:rsidRPr="00C6379C">
        <w:t xml:space="preserve">, A., &amp; Szendrei, Z. (2009). Associational Resistance and Associational Susceptibility: Having Right or Wrong Neighbors. </w:t>
      </w:r>
      <w:r w:rsidRPr="00C6379C">
        <w:rPr>
          <w:i/>
          <w:iCs/>
        </w:rPr>
        <w:t>Annual Review of Ecology Evolution and Systematics</w:t>
      </w:r>
      <w:r w:rsidRPr="00C6379C">
        <w:t xml:space="preserve">, </w:t>
      </w:r>
      <w:r w:rsidRPr="00C6379C">
        <w:rPr>
          <w:i/>
          <w:iCs/>
        </w:rPr>
        <w:t>40</w:t>
      </w:r>
      <w:r w:rsidRPr="00C6379C">
        <w:t xml:space="preserve">, 1–20. </w:t>
      </w:r>
      <w:hyperlink r:id="rId12" w:history="1">
        <w:r w:rsidRPr="00C6379C">
          <w:rPr>
            <w:rStyle w:val="Hyperlink"/>
          </w:rPr>
          <w:t>https://doi.org/10.1146/annurev.ecolsys.110308.120242</w:t>
        </w:r>
      </w:hyperlink>
    </w:p>
    <w:p w14:paraId="21EBB707" w14:textId="397436E5" w:rsidR="00C6379C" w:rsidRPr="00487F23" w:rsidRDefault="00C6379C" w:rsidP="00C6379C">
      <w:pPr>
        <w:spacing w:line="480" w:lineRule="auto"/>
        <w:ind w:left="720" w:hanging="720"/>
      </w:pPr>
      <w:r w:rsidRPr="00C6379C">
        <w:t xml:space="preserve">Barton, K. E., </w:t>
      </w:r>
      <w:proofErr w:type="spellStart"/>
      <w:r w:rsidRPr="00C6379C">
        <w:t>Valkama</w:t>
      </w:r>
      <w:proofErr w:type="spellEnd"/>
      <w:r w:rsidRPr="00C6379C">
        <w:t xml:space="preserve">, E., </w:t>
      </w:r>
      <w:proofErr w:type="spellStart"/>
      <w:r w:rsidRPr="00C6379C">
        <w:t>Vehvilainen</w:t>
      </w:r>
      <w:proofErr w:type="spellEnd"/>
      <w:r w:rsidRPr="00C6379C">
        <w:t xml:space="preserve">, H., </w:t>
      </w:r>
      <w:proofErr w:type="spellStart"/>
      <w:r w:rsidRPr="00C6379C">
        <w:t>Ruohomaki</w:t>
      </w:r>
      <w:proofErr w:type="spellEnd"/>
      <w:r w:rsidRPr="00C6379C">
        <w:t xml:space="preserve">, K., Knight, T. M., &amp; </w:t>
      </w:r>
      <w:proofErr w:type="spellStart"/>
      <w:r w:rsidRPr="00C6379C">
        <w:t>Koricheva</w:t>
      </w:r>
      <w:proofErr w:type="spellEnd"/>
      <w:r w:rsidRPr="00C6379C">
        <w:t xml:space="preserve">, J. (2015). Additive and non-additive effects of birch genotypic diversity on arthropod herbivory in a long-term field experiment. </w:t>
      </w:r>
      <w:r w:rsidRPr="00487F23">
        <w:rPr>
          <w:i/>
          <w:iCs/>
        </w:rPr>
        <w:t>Oikos</w:t>
      </w:r>
      <w:r w:rsidRPr="00487F23">
        <w:t xml:space="preserve">, </w:t>
      </w:r>
      <w:r w:rsidRPr="00487F23">
        <w:rPr>
          <w:i/>
          <w:iCs/>
        </w:rPr>
        <w:t>124</w:t>
      </w:r>
      <w:r w:rsidRPr="00487F23">
        <w:t>, 697–706.</w:t>
      </w:r>
    </w:p>
    <w:p w14:paraId="3D5809AD" w14:textId="5072BC20" w:rsidR="000C3375" w:rsidRDefault="000C3375" w:rsidP="00C6379C">
      <w:pPr>
        <w:spacing w:line="480" w:lineRule="auto"/>
        <w:ind w:left="720" w:hanging="720"/>
      </w:pPr>
      <w:proofErr w:type="spellStart"/>
      <w:r w:rsidRPr="000C3375">
        <w:lastRenderedPageBreak/>
        <w:t>Bebber</w:t>
      </w:r>
      <w:proofErr w:type="spellEnd"/>
      <w:r w:rsidRPr="000C3375">
        <w:t xml:space="preserve">, D. P., N. D. Brown, and M. R. Speight. 2004. Dipterocarp Seedling Population Dynamics in Bornean Primary Lowland Forest during the 1997-8 El Niño-Southern Oscillation. </w:t>
      </w:r>
      <w:r w:rsidRPr="00A71F05">
        <w:rPr>
          <w:i/>
          <w:iCs/>
        </w:rPr>
        <w:t>Journal of Tropical Ecology 20</w:t>
      </w:r>
      <w:r w:rsidR="00672D37">
        <w:t xml:space="preserve">, </w:t>
      </w:r>
      <w:r w:rsidRPr="000C3375">
        <w:t>11–19.</w:t>
      </w:r>
    </w:p>
    <w:p w14:paraId="013D140D" w14:textId="3F0AE726" w:rsidR="000C3375" w:rsidRDefault="000C3375" w:rsidP="000C3375">
      <w:pPr>
        <w:spacing w:line="480" w:lineRule="auto"/>
        <w:ind w:left="720" w:hanging="720"/>
      </w:pPr>
      <w:r w:rsidRPr="002125F2">
        <w:t xml:space="preserve">Bernays, E. A., Bright, K. L., Gonzalez, N., &amp; Angel, J. (1994). </w:t>
      </w:r>
      <w:r w:rsidRPr="00FC47A5">
        <w:t xml:space="preserve">Dietary Mixing in a Generalist Herbivore: Tests of Two Hypotheses. </w:t>
      </w:r>
      <w:r w:rsidRPr="00A71F05">
        <w:rPr>
          <w:i/>
          <w:iCs/>
        </w:rPr>
        <w:t>Ecology, 75</w:t>
      </w:r>
      <w:r w:rsidRPr="00FC47A5">
        <w:t xml:space="preserve">, 1997–2006. https://doi.org/10.2307/1941604 </w:t>
      </w:r>
    </w:p>
    <w:p w14:paraId="2E1E196F" w14:textId="63462F57" w:rsidR="00C6379C" w:rsidRPr="00C6379C" w:rsidRDefault="00C6379C" w:rsidP="00C6379C">
      <w:pPr>
        <w:spacing w:line="480" w:lineRule="auto"/>
        <w:ind w:left="720" w:hanging="720"/>
      </w:pPr>
      <w:proofErr w:type="spellStart"/>
      <w:r w:rsidRPr="00C6379C">
        <w:t>Bidart-Bouzat</w:t>
      </w:r>
      <w:proofErr w:type="spellEnd"/>
      <w:r w:rsidRPr="00C6379C">
        <w:t xml:space="preserve">, M. G., &amp; </w:t>
      </w:r>
      <w:proofErr w:type="spellStart"/>
      <w:r w:rsidRPr="00C6379C">
        <w:t>Kliebenstein</w:t>
      </w:r>
      <w:proofErr w:type="spellEnd"/>
      <w:r w:rsidRPr="00C6379C">
        <w:t xml:space="preserve">, D. J. (2008). Differential levels of insect herbivory in the field associated with genotypic variation in </w:t>
      </w:r>
      <w:proofErr w:type="spellStart"/>
      <w:r w:rsidRPr="00C6379C">
        <w:t>glucosinolates</w:t>
      </w:r>
      <w:proofErr w:type="spellEnd"/>
      <w:r w:rsidRPr="00C6379C">
        <w:t xml:space="preserve"> in Arabidopsis thaliana. </w:t>
      </w:r>
      <w:r w:rsidRPr="00C6379C">
        <w:rPr>
          <w:i/>
          <w:iCs/>
        </w:rPr>
        <w:t>Journal of Chemical Ecology</w:t>
      </w:r>
      <w:r w:rsidRPr="00C6379C">
        <w:t xml:space="preserve">, </w:t>
      </w:r>
      <w:r w:rsidRPr="00C6379C">
        <w:rPr>
          <w:i/>
          <w:iCs/>
        </w:rPr>
        <w:t>34</w:t>
      </w:r>
      <w:r w:rsidRPr="00C6379C">
        <w:t xml:space="preserve">, 1026–1037. </w:t>
      </w:r>
      <w:hyperlink r:id="rId13" w:history="1">
        <w:r w:rsidRPr="00C6379C">
          <w:rPr>
            <w:rStyle w:val="Hyperlink"/>
          </w:rPr>
          <w:t>https://doi.org/10.1007/s10886-008-9498-z</w:t>
        </w:r>
      </w:hyperlink>
    </w:p>
    <w:p w14:paraId="53C27FC7" w14:textId="655E65C6" w:rsidR="00C6379C" w:rsidRPr="00C6379C" w:rsidRDefault="00C6379C" w:rsidP="00C6379C">
      <w:pPr>
        <w:spacing w:line="480" w:lineRule="auto"/>
        <w:ind w:left="720" w:hanging="720"/>
        <w:rPr>
          <w:lang w:val="es-MX"/>
        </w:rPr>
      </w:pPr>
      <w:proofErr w:type="spellStart"/>
      <w:r w:rsidRPr="00C6379C">
        <w:t>Bixenmann</w:t>
      </w:r>
      <w:proofErr w:type="spellEnd"/>
      <w:r w:rsidRPr="00C6379C">
        <w:t xml:space="preserve">, R. J., Coley, P. D., </w:t>
      </w:r>
      <w:proofErr w:type="spellStart"/>
      <w:r w:rsidRPr="00C6379C">
        <w:t>Weinhold</w:t>
      </w:r>
      <w:proofErr w:type="spellEnd"/>
      <w:r w:rsidRPr="00C6379C">
        <w:t xml:space="preserve">, A., &amp; </w:t>
      </w:r>
      <w:proofErr w:type="spellStart"/>
      <w:r w:rsidRPr="00C6379C">
        <w:t>Kursar</w:t>
      </w:r>
      <w:proofErr w:type="spellEnd"/>
      <w:r w:rsidRPr="00C6379C">
        <w:t xml:space="preserve">, T. A. (2016). High herbivore pressure favors constitutive over induced defense. </w:t>
      </w:r>
      <w:r w:rsidRPr="00C6379C">
        <w:rPr>
          <w:i/>
          <w:iCs/>
        </w:rPr>
        <w:t>Ecology and Evolution</w:t>
      </w:r>
      <w:r w:rsidRPr="00C6379C">
        <w:t xml:space="preserve">, </w:t>
      </w:r>
      <w:r w:rsidRPr="00C6379C">
        <w:rPr>
          <w:i/>
          <w:iCs/>
        </w:rPr>
        <w:t>6</w:t>
      </w:r>
      <w:r w:rsidRPr="00C6379C">
        <w:t xml:space="preserve">, 6037–6049. </w:t>
      </w:r>
      <w:hyperlink r:id="rId14" w:history="1">
        <w:r w:rsidRPr="00C6379C">
          <w:rPr>
            <w:rStyle w:val="Hyperlink"/>
            <w:lang w:val="es-MX"/>
          </w:rPr>
          <w:t>http://dx.doi.org/10.1002/ece3.2208</w:t>
        </w:r>
      </w:hyperlink>
    </w:p>
    <w:p w14:paraId="67ACE7EE" w14:textId="00801D4E" w:rsidR="00C6379C" w:rsidRPr="00C6379C" w:rsidRDefault="00C6379C" w:rsidP="00C6379C">
      <w:pPr>
        <w:spacing w:line="480" w:lineRule="auto"/>
        <w:ind w:left="720" w:hanging="720"/>
      </w:pPr>
      <w:r w:rsidRPr="00C6379C">
        <w:rPr>
          <w:lang w:val="es-MX"/>
        </w:rPr>
        <w:t xml:space="preserve">Brenes-Arguedas, T., </w:t>
      </w:r>
      <w:proofErr w:type="spellStart"/>
      <w:r w:rsidRPr="00C6379C">
        <w:rPr>
          <w:lang w:val="es-MX"/>
        </w:rPr>
        <w:t>Coley</w:t>
      </w:r>
      <w:proofErr w:type="spellEnd"/>
      <w:r w:rsidRPr="00C6379C">
        <w:rPr>
          <w:lang w:val="es-MX"/>
        </w:rPr>
        <w:t xml:space="preserve">, P. D., &amp; </w:t>
      </w:r>
      <w:proofErr w:type="spellStart"/>
      <w:r w:rsidRPr="00C6379C">
        <w:rPr>
          <w:lang w:val="es-MX"/>
        </w:rPr>
        <w:t>Kursar</w:t>
      </w:r>
      <w:proofErr w:type="spellEnd"/>
      <w:r w:rsidRPr="00C6379C">
        <w:rPr>
          <w:lang w:val="es-MX"/>
        </w:rPr>
        <w:t xml:space="preserve">, T. A. (2009). </w:t>
      </w:r>
      <w:r w:rsidRPr="00C6379C">
        <w:t xml:space="preserve">Pests vs. Drought as determinants of plant distribution along a tropical rainfall gradient. </w:t>
      </w:r>
      <w:r w:rsidRPr="00C6379C">
        <w:rPr>
          <w:i/>
          <w:iCs/>
        </w:rPr>
        <w:t>Ecology</w:t>
      </w:r>
      <w:r w:rsidRPr="00C6379C">
        <w:t xml:space="preserve">, </w:t>
      </w:r>
      <w:r w:rsidRPr="00C6379C">
        <w:rPr>
          <w:i/>
          <w:iCs/>
        </w:rPr>
        <w:t>90</w:t>
      </w:r>
      <w:r w:rsidRPr="00C6379C">
        <w:t xml:space="preserve">, 1751–1761. </w:t>
      </w:r>
      <w:hyperlink r:id="rId15" w:history="1">
        <w:r w:rsidRPr="00C6379C">
          <w:rPr>
            <w:rStyle w:val="Hyperlink"/>
          </w:rPr>
          <w:t>https://doi.org/10.1890/08-1271.1</w:t>
        </w:r>
      </w:hyperlink>
    </w:p>
    <w:p w14:paraId="6F4A9237" w14:textId="005D8880" w:rsidR="00C6379C" w:rsidRDefault="00C6379C" w:rsidP="00C6379C">
      <w:pPr>
        <w:spacing w:line="480" w:lineRule="auto"/>
        <w:ind w:left="720" w:hanging="720"/>
        <w:rPr>
          <w:rStyle w:val="Hyperlink"/>
        </w:rPr>
      </w:pPr>
      <w:r w:rsidRPr="00C6379C">
        <w:t>Campos-Moreno, D. F., Dyer, L. A., Salcido, D., Massad, T. J., Pérez-</w:t>
      </w:r>
      <w:proofErr w:type="spellStart"/>
      <w:r w:rsidRPr="00C6379C">
        <w:t>Lachaud</w:t>
      </w:r>
      <w:proofErr w:type="spellEnd"/>
      <w:r w:rsidRPr="00C6379C">
        <w:t xml:space="preserve">, G., </w:t>
      </w:r>
      <w:proofErr w:type="spellStart"/>
      <w:r w:rsidRPr="00C6379C">
        <w:t>Tepe</w:t>
      </w:r>
      <w:proofErr w:type="spellEnd"/>
      <w:r w:rsidRPr="00C6379C">
        <w:t xml:space="preserve">, E. J., Whitfield, J. B., &amp; </w:t>
      </w:r>
      <w:proofErr w:type="spellStart"/>
      <w:r w:rsidRPr="00C6379C">
        <w:t>Pozo</w:t>
      </w:r>
      <w:proofErr w:type="spellEnd"/>
      <w:r w:rsidRPr="00C6379C">
        <w:t xml:space="preserve">, C. (2021). Importance of interaction rewiring in determining spatial and temporal turnover of </w:t>
      </w:r>
      <w:proofErr w:type="spellStart"/>
      <w:r w:rsidRPr="00C6379C">
        <w:t>tritrophic</w:t>
      </w:r>
      <w:proofErr w:type="spellEnd"/>
      <w:r w:rsidRPr="00C6379C">
        <w:t xml:space="preserve"> (</w:t>
      </w:r>
      <w:r w:rsidRPr="00A71F05">
        <w:rPr>
          <w:i/>
          <w:iCs/>
        </w:rPr>
        <w:t>Piper</w:t>
      </w:r>
      <w:r w:rsidRPr="00C6379C">
        <w:t xml:space="preserve">-caterpillar-parasitoid) </w:t>
      </w:r>
      <w:proofErr w:type="spellStart"/>
      <w:r w:rsidRPr="00C6379C">
        <w:t>metanetworks</w:t>
      </w:r>
      <w:proofErr w:type="spellEnd"/>
      <w:r w:rsidRPr="00C6379C">
        <w:t xml:space="preserve"> in the Yucatán </w:t>
      </w:r>
      <w:proofErr w:type="spellStart"/>
      <w:r w:rsidRPr="00C6379C">
        <w:t>Península</w:t>
      </w:r>
      <w:proofErr w:type="spellEnd"/>
      <w:r w:rsidRPr="00C6379C">
        <w:t xml:space="preserve">, México. </w:t>
      </w:r>
      <w:r w:rsidRPr="00C6379C">
        <w:rPr>
          <w:i/>
          <w:iCs/>
        </w:rPr>
        <w:t>Biotropica</w:t>
      </w:r>
      <w:r w:rsidRPr="00C6379C">
        <w:t xml:space="preserve">, </w:t>
      </w:r>
      <w:r w:rsidRPr="00C6379C">
        <w:rPr>
          <w:i/>
          <w:iCs/>
        </w:rPr>
        <w:t>53</w:t>
      </w:r>
      <w:r w:rsidRPr="00C6379C">
        <w:t xml:space="preserve">, 1071–1081. </w:t>
      </w:r>
      <w:hyperlink r:id="rId16" w:history="1">
        <w:r w:rsidRPr="00C6379C">
          <w:rPr>
            <w:rStyle w:val="Hyperlink"/>
          </w:rPr>
          <w:t>https://doi.org/10.1111/btp.12946</w:t>
        </w:r>
      </w:hyperlink>
    </w:p>
    <w:p w14:paraId="1D6A5874" w14:textId="35097B2C" w:rsidR="000D44B3" w:rsidRPr="000D44B3" w:rsidRDefault="000D44B3" w:rsidP="000D44B3">
      <w:pPr>
        <w:spacing w:line="480" w:lineRule="auto"/>
        <w:ind w:left="720" w:hanging="720"/>
      </w:pPr>
      <w:r w:rsidRPr="006F79CE">
        <w:lastRenderedPageBreak/>
        <w:t>Carson, W.P. and Root, R.B.</w:t>
      </w:r>
      <w:r w:rsidR="000C3375">
        <w:t xml:space="preserve"> (</w:t>
      </w:r>
      <w:r w:rsidRPr="006F79CE">
        <w:t>2000</w:t>
      </w:r>
      <w:r w:rsidR="000C3375">
        <w:t>)</w:t>
      </w:r>
      <w:r w:rsidRPr="006F79CE">
        <w:t>. Herbivory and plant species coexistence: community regulation by an outbreaking phytophagous insect. </w:t>
      </w:r>
      <w:r w:rsidRPr="006F79CE">
        <w:rPr>
          <w:i/>
          <w:iCs/>
        </w:rPr>
        <w:t xml:space="preserve">Ecological </w:t>
      </w:r>
      <w:r w:rsidR="00A71F05">
        <w:rPr>
          <w:i/>
          <w:iCs/>
        </w:rPr>
        <w:t>M</w:t>
      </w:r>
      <w:r w:rsidRPr="006F79CE">
        <w:rPr>
          <w:i/>
          <w:iCs/>
        </w:rPr>
        <w:t>onographs</w:t>
      </w:r>
      <w:r w:rsidRPr="006F79CE">
        <w:t>, </w:t>
      </w:r>
      <w:r w:rsidRPr="006F79CE">
        <w:rPr>
          <w:i/>
          <w:iCs/>
        </w:rPr>
        <w:t>70</w:t>
      </w:r>
      <w:r w:rsidRPr="006F79CE">
        <w:t>, 73-99.</w:t>
      </w:r>
    </w:p>
    <w:p w14:paraId="76EB7CEF" w14:textId="7512E025" w:rsidR="00ED48A2" w:rsidRPr="00153580" w:rsidRDefault="00ED48A2" w:rsidP="00ED48A2">
      <w:pPr>
        <w:spacing w:after="0" w:line="480" w:lineRule="auto"/>
        <w:ind w:left="720" w:hanging="720"/>
        <w:rPr>
          <w:rFonts w:eastAsia="Calibri"/>
          <w:b/>
          <w:bCs/>
        </w:rPr>
      </w:pPr>
      <w:r w:rsidRPr="00153580">
        <w:rPr>
          <w:rFonts w:eastAsia="Calibri"/>
        </w:rPr>
        <w:t>Carson</w:t>
      </w:r>
      <w:r w:rsidRPr="00263E00">
        <w:rPr>
          <w:rFonts w:eastAsia="Calibri"/>
        </w:rPr>
        <w:t>,</w:t>
      </w:r>
      <w:r w:rsidRPr="00153580">
        <w:rPr>
          <w:rFonts w:eastAsia="Calibri"/>
        </w:rPr>
        <w:t xml:space="preserve"> W</w:t>
      </w:r>
      <w:r w:rsidRPr="00263E00">
        <w:rPr>
          <w:rFonts w:eastAsia="Calibri"/>
        </w:rPr>
        <w:t>.</w:t>
      </w:r>
      <w:r>
        <w:rPr>
          <w:rFonts w:eastAsia="Calibri"/>
        </w:rPr>
        <w:t xml:space="preserve"> </w:t>
      </w:r>
      <w:r w:rsidRPr="00153580">
        <w:rPr>
          <w:rFonts w:eastAsia="Calibri"/>
        </w:rPr>
        <w:t>P</w:t>
      </w:r>
      <w:r w:rsidRPr="00263E00">
        <w:rPr>
          <w:rFonts w:eastAsia="Calibri"/>
        </w:rPr>
        <w:t>.</w:t>
      </w:r>
      <w:r w:rsidRPr="00153580">
        <w:rPr>
          <w:rFonts w:eastAsia="Calibri"/>
        </w:rPr>
        <w:t>, Anderson</w:t>
      </w:r>
      <w:r>
        <w:rPr>
          <w:rFonts w:eastAsia="Calibri"/>
        </w:rPr>
        <w:t>, J. T.</w:t>
      </w:r>
      <w:r w:rsidRPr="00153580">
        <w:rPr>
          <w:rFonts w:eastAsia="Calibri"/>
        </w:rPr>
        <w:t>, Leigh Jr,</w:t>
      </w:r>
      <w:r>
        <w:rPr>
          <w:rFonts w:eastAsia="Calibri"/>
        </w:rPr>
        <w:t xml:space="preserve"> </w:t>
      </w:r>
      <w:r w:rsidRPr="00263E00">
        <w:rPr>
          <w:rFonts w:eastAsia="Calibri"/>
        </w:rPr>
        <w:t>E.</w:t>
      </w:r>
      <w:r>
        <w:rPr>
          <w:rFonts w:eastAsia="Calibri"/>
        </w:rPr>
        <w:t xml:space="preserve"> </w:t>
      </w:r>
      <w:r w:rsidRPr="00263E00">
        <w:rPr>
          <w:rFonts w:eastAsia="Calibri"/>
        </w:rPr>
        <w:t>G.</w:t>
      </w:r>
      <w:proofErr w:type="gramStart"/>
      <w:r>
        <w:rPr>
          <w:rFonts w:eastAsia="Calibri"/>
        </w:rPr>
        <w:t>,</w:t>
      </w:r>
      <w:r w:rsidRPr="00263E00">
        <w:rPr>
          <w:rFonts w:eastAsia="Calibri"/>
        </w:rPr>
        <w:t xml:space="preserve"> </w:t>
      </w:r>
      <w:r w:rsidRPr="00153580">
        <w:rPr>
          <w:rFonts w:eastAsia="Calibri"/>
        </w:rPr>
        <w:t xml:space="preserve"> </w:t>
      </w:r>
      <w:r>
        <w:rPr>
          <w:rFonts w:eastAsia="Calibri"/>
        </w:rPr>
        <w:t>&amp;</w:t>
      </w:r>
      <w:proofErr w:type="gramEnd"/>
      <w:r w:rsidRPr="00263E00">
        <w:rPr>
          <w:rFonts w:eastAsia="Calibri"/>
        </w:rPr>
        <w:t xml:space="preserve"> </w:t>
      </w:r>
      <w:r w:rsidRPr="00153580">
        <w:rPr>
          <w:rFonts w:eastAsia="Calibri"/>
        </w:rPr>
        <w:t>Schnitzer</w:t>
      </w:r>
      <w:r>
        <w:rPr>
          <w:rFonts w:eastAsia="Calibri"/>
        </w:rPr>
        <w:t xml:space="preserve">, </w:t>
      </w:r>
      <w:r w:rsidRPr="00263E00">
        <w:rPr>
          <w:rFonts w:eastAsia="Calibri"/>
        </w:rPr>
        <w:t>S.A</w:t>
      </w:r>
      <w:r w:rsidRPr="00153580">
        <w:rPr>
          <w:rFonts w:eastAsia="Calibri"/>
        </w:rPr>
        <w:t xml:space="preserve">. </w:t>
      </w:r>
      <w:r>
        <w:rPr>
          <w:rFonts w:eastAsia="Calibri"/>
        </w:rPr>
        <w:t>(</w:t>
      </w:r>
      <w:r w:rsidRPr="00153580">
        <w:rPr>
          <w:rFonts w:eastAsia="Calibri"/>
        </w:rPr>
        <w:t>2008</w:t>
      </w:r>
      <w:r>
        <w:rPr>
          <w:rFonts w:eastAsia="Calibri"/>
        </w:rPr>
        <w:t>)</w:t>
      </w:r>
      <w:r w:rsidRPr="00153580">
        <w:rPr>
          <w:rFonts w:eastAsia="Calibri"/>
        </w:rPr>
        <w:t xml:space="preserve">. Challenges associated with testing and falsifying the Janzen-Connell Hypothesis: A review and critique. </w:t>
      </w:r>
      <w:r>
        <w:rPr>
          <w:rFonts w:eastAsia="Calibri"/>
        </w:rPr>
        <w:t xml:space="preserve">Pp 210-241 </w:t>
      </w:r>
      <w:r w:rsidRPr="00ED48A2">
        <w:rPr>
          <w:rFonts w:eastAsia="Calibri"/>
        </w:rPr>
        <w:t>in</w:t>
      </w:r>
      <w:r w:rsidRPr="00153580">
        <w:rPr>
          <w:rFonts w:eastAsia="Calibri"/>
        </w:rPr>
        <w:t xml:space="preserve"> </w:t>
      </w:r>
      <w:r>
        <w:rPr>
          <w:rFonts w:eastAsia="Calibri"/>
        </w:rPr>
        <w:t xml:space="preserve">W. P. </w:t>
      </w:r>
      <w:r w:rsidRPr="00153580">
        <w:rPr>
          <w:rFonts w:eastAsia="Calibri"/>
        </w:rPr>
        <w:t xml:space="preserve">Carson </w:t>
      </w:r>
      <w:r>
        <w:rPr>
          <w:rFonts w:eastAsia="Calibri"/>
        </w:rPr>
        <w:t xml:space="preserve">&amp; S. A. </w:t>
      </w:r>
      <w:r w:rsidRPr="00153580">
        <w:rPr>
          <w:rFonts w:eastAsia="Calibri"/>
        </w:rPr>
        <w:t xml:space="preserve">Schnitzer, </w:t>
      </w:r>
      <w:r>
        <w:rPr>
          <w:rFonts w:eastAsia="Calibri"/>
        </w:rPr>
        <w:t>eds</w:t>
      </w:r>
      <w:r w:rsidRPr="00153580">
        <w:rPr>
          <w:rFonts w:eastAsia="Calibri"/>
        </w:rPr>
        <w:t>. Tropical Forest Community Ecology. Blackwell Publishing</w:t>
      </w:r>
      <w:r>
        <w:rPr>
          <w:rFonts w:eastAsia="Calibri"/>
        </w:rPr>
        <w:t xml:space="preserve">, </w:t>
      </w:r>
      <w:r w:rsidRPr="00153580">
        <w:rPr>
          <w:rFonts w:eastAsia="Calibri"/>
        </w:rPr>
        <w:t xml:space="preserve">Malden, USA. </w:t>
      </w:r>
    </w:p>
    <w:p w14:paraId="1AD83262" w14:textId="1EABE780" w:rsidR="00C6379C" w:rsidRDefault="00C6379C" w:rsidP="00C6379C">
      <w:pPr>
        <w:spacing w:line="480" w:lineRule="auto"/>
        <w:ind w:left="720" w:hanging="720"/>
      </w:pPr>
      <w:proofErr w:type="spellStart"/>
      <w:r w:rsidRPr="00C6379C">
        <w:t>Castagneyrol</w:t>
      </w:r>
      <w:proofErr w:type="spellEnd"/>
      <w:r w:rsidRPr="00C6379C">
        <w:t xml:space="preserve">, B., </w:t>
      </w:r>
      <w:proofErr w:type="spellStart"/>
      <w:r w:rsidRPr="00C6379C">
        <w:t>Lagache</w:t>
      </w:r>
      <w:proofErr w:type="spellEnd"/>
      <w:r w:rsidRPr="00C6379C">
        <w:t xml:space="preserve">, L., </w:t>
      </w:r>
      <w:proofErr w:type="spellStart"/>
      <w:r w:rsidRPr="00C6379C">
        <w:t>Giffard</w:t>
      </w:r>
      <w:proofErr w:type="spellEnd"/>
      <w:r w:rsidRPr="00C6379C">
        <w:t xml:space="preserve">, B., Kremer, A., &amp; </w:t>
      </w:r>
      <w:proofErr w:type="spellStart"/>
      <w:r w:rsidRPr="00C6379C">
        <w:t>Jactel</w:t>
      </w:r>
      <w:proofErr w:type="spellEnd"/>
      <w:r w:rsidRPr="00C6379C">
        <w:t xml:space="preserve">, H. (2012). Genetic </w:t>
      </w:r>
      <w:r w:rsidR="00A71F05">
        <w:t>d</w:t>
      </w:r>
      <w:r w:rsidRPr="00C6379C">
        <w:t xml:space="preserve">iversity Increases </w:t>
      </w:r>
      <w:r w:rsidR="00A71F05">
        <w:t>i</w:t>
      </w:r>
      <w:r w:rsidRPr="00C6379C">
        <w:t xml:space="preserve">nsect </w:t>
      </w:r>
      <w:r w:rsidR="00A71F05">
        <w:t>h</w:t>
      </w:r>
      <w:r w:rsidRPr="00C6379C">
        <w:t xml:space="preserve">erbivory on </w:t>
      </w:r>
      <w:r w:rsidR="00A71F05">
        <w:t>o</w:t>
      </w:r>
      <w:r w:rsidRPr="00C6379C">
        <w:t xml:space="preserve">ak </w:t>
      </w:r>
      <w:r w:rsidR="00A71F05">
        <w:t>s</w:t>
      </w:r>
      <w:r w:rsidRPr="00C6379C">
        <w:t xml:space="preserve">aplings. </w:t>
      </w:r>
      <w:r w:rsidRPr="00C6379C">
        <w:rPr>
          <w:i/>
          <w:iCs/>
        </w:rPr>
        <w:t>PLOS ONE</w:t>
      </w:r>
      <w:r w:rsidRPr="00C6379C">
        <w:t xml:space="preserve">, </w:t>
      </w:r>
      <w:r w:rsidRPr="00C6379C">
        <w:rPr>
          <w:i/>
          <w:iCs/>
        </w:rPr>
        <w:t>7</w:t>
      </w:r>
      <w:r w:rsidRPr="00C6379C">
        <w:t xml:space="preserve">, e44247. </w:t>
      </w:r>
      <w:hyperlink r:id="rId17" w:history="1">
        <w:r w:rsidRPr="00C6379C">
          <w:rPr>
            <w:rStyle w:val="Hyperlink"/>
          </w:rPr>
          <w:t>https://doi.org/10.1371/journal.pone.0044247</w:t>
        </w:r>
      </w:hyperlink>
    </w:p>
    <w:p w14:paraId="3B1FDEBA" w14:textId="2AFA71C1" w:rsidR="00F84D13" w:rsidRPr="00F84D13" w:rsidRDefault="00F84D13" w:rsidP="00F84D13">
      <w:pPr>
        <w:spacing w:line="480" w:lineRule="auto"/>
        <w:ind w:left="720" w:hanging="720"/>
      </w:pPr>
      <w:r w:rsidRPr="00F84D13">
        <w:t xml:space="preserve">Clark, D. B., &amp; Clark, D. A. (1985). Seedling </w:t>
      </w:r>
      <w:r>
        <w:t>d</w:t>
      </w:r>
      <w:r w:rsidRPr="00F84D13">
        <w:t xml:space="preserve">ynamics of a </w:t>
      </w:r>
      <w:r>
        <w:t>t</w:t>
      </w:r>
      <w:r w:rsidRPr="00F84D13">
        <w:t xml:space="preserve">ropical </w:t>
      </w:r>
      <w:r>
        <w:t>t</w:t>
      </w:r>
      <w:r w:rsidRPr="00F84D13">
        <w:t xml:space="preserve">ree: Impacts of </w:t>
      </w:r>
      <w:r>
        <w:t>h</w:t>
      </w:r>
      <w:r w:rsidRPr="00F84D13">
        <w:t xml:space="preserve">erbivory and </w:t>
      </w:r>
      <w:r>
        <w:t>m</w:t>
      </w:r>
      <w:r w:rsidRPr="00F84D13">
        <w:t xml:space="preserve">eristem </w:t>
      </w:r>
      <w:r>
        <w:t>d</w:t>
      </w:r>
      <w:r w:rsidRPr="00F84D13">
        <w:t xml:space="preserve">amage. </w:t>
      </w:r>
      <w:r w:rsidRPr="00F84D13">
        <w:rPr>
          <w:i/>
          <w:iCs/>
        </w:rPr>
        <w:t>Ecology</w:t>
      </w:r>
      <w:r w:rsidRPr="00F84D13">
        <w:t xml:space="preserve">, </w:t>
      </w:r>
      <w:r w:rsidRPr="00F84D13">
        <w:rPr>
          <w:i/>
          <w:iCs/>
        </w:rPr>
        <w:t>66</w:t>
      </w:r>
      <w:r w:rsidRPr="00F84D13">
        <w:t xml:space="preserve">, 1884–1892. </w:t>
      </w:r>
      <w:hyperlink r:id="rId18" w:history="1">
        <w:r w:rsidRPr="00F84D13">
          <w:rPr>
            <w:rStyle w:val="Hyperlink"/>
          </w:rPr>
          <w:t>https://doi.org/10.2307/2937384</w:t>
        </w:r>
      </w:hyperlink>
    </w:p>
    <w:p w14:paraId="73118A61" w14:textId="6A9F3752" w:rsidR="00C6379C" w:rsidRPr="00C6379C" w:rsidRDefault="00C6379C" w:rsidP="00C6379C">
      <w:pPr>
        <w:spacing w:line="480" w:lineRule="auto"/>
        <w:ind w:left="720" w:hanging="720"/>
      </w:pPr>
      <w:r w:rsidRPr="00C6379C">
        <w:t xml:space="preserve">Cobb, N. S., Mopper, S., Gehring, C. A., </w:t>
      </w:r>
      <w:proofErr w:type="spellStart"/>
      <w:r w:rsidRPr="00C6379C">
        <w:t>Caouette</w:t>
      </w:r>
      <w:proofErr w:type="spellEnd"/>
      <w:r w:rsidRPr="00C6379C">
        <w:t xml:space="preserve">, M., Christensen, K. M., &amp; Whitham, T. G. (1997). Increased moth herbivory associated with environmental stress of pinyon pine at local and regional levels. </w:t>
      </w:r>
      <w:proofErr w:type="spellStart"/>
      <w:r w:rsidRPr="00C6379C">
        <w:rPr>
          <w:i/>
          <w:iCs/>
        </w:rPr>
        <w:t>Oecologia</w:t>
      </w:r>
      <w:proofErr w:type="spellEnd"/>
      <w:r w:rsidRPr="00C6379C">
        <w:t xml:space="preserve">, </w:t>
      </w:r>
      <w:r w:rsidRPr="00C6379C">
        <w:rPr>
          <w:i/>
          <w:iCs/>
        </w:rPr>
        <w:t>109</w:t>
      </w:r>
      <w:r w:rsidRPr="00C6379C">
        <w:t xml:space="preserve">, 389–397. </w:t>
      </w:r>
      <w:hyperlink r:id="rId19" w:history="1">
        <w:r w:rsidRPr="00C6379C">
          <w:rPr>
            <w:rStyle w:val="Hyperlink"/>
          </w:rPr>
          <w:t>https://doi.org/10.1007/s004420050098</w:t>
        </w:r>
      </w:hyperlink>
    </w:p>
    <w:p w14:paraId="02F68E99" w14:textId="18DD7FE9" w:rsidR="00C6379C" w:rsidRPr="00C6651D" w:rsidRDefault="00C6379C" w:rsidP="00C6379C">
      <w:pPr>
        <w:spacing w:line="480" w:lineRule="auto"/>
        <w:ind w:left="720" w:hanging="720"/>
      </w:pPr>
      <w:r w:rsidRPr="00C6379C">
        <w:t xml:space="preserve">Coley, P. D. (1980). Effects of leaf age and plant life history patterns on herbivory. </w:t>
      </w:r>
      <w:r w:rsidRPr="00C6651D">
        <w:rPr>
          <w:i/>
          <w:iCs/>
        </w:rPr>
        <w:t>Nature</w:t>
      </w:r>
      <w:r w:rsidRPr="00C6651D">
        <w:t xml:space="preserve">, </w:t>
      </w:r>
      <w:r w:rsidRPr="00C6651D">
        <w:rPr>
          <w:i/>
          <w:iCs/>
        </w:rPr>
        <w:t>284</w:t>
      </w:r>
      <w:r w:rsidRPr="00C6651D">
        <w:t>(5756), 545–546.</w:t>
      </w:r>
    </w:p>
    <w:p w14:paraId="0480C0E6" w14:textId="5DD7CEC1" w:rsidR="00310F5A" w:rsidRPr="00310F5A" w:rsidRDefault="00310F5A" w:rsidP="00C6379C">
      <w:pPr>
        <w:spacing w:line="480" w:lineRule="auto"/>
        <w:ind w:left="720" w:hanging="720"/>
      </w:pPr>
      <w:r w:rsidRPr="00310F5A">
        <w:t>Coley, P. D., &amp; Aide, T</w:t>
      </w:r>
      <w:r>
        <w:t xml:space="preserve">. M. (1991). A comparison of herbivory and plant defenses in temperate and tropical broad-leaved forests. Pp 25 – 49 in P. W. Price, T. M. </w:t>
      </w:r>
      <w:proofErr w:type="spellStart"/>
      <w:r>
        <w:t>Lewinsohn</w:t>
      </w:r>
      <w:proofErr w:type="spellEnd"/>
      <w:r>
        <w:t xml:space="preserve">, G. W. Fernandes, &amp; W. W. Benson, eds. Plant-Animal Interactions?  Evolutionary Ecology in Tropical and Temperate Regions. Wiley &amp; Sons, New York. </w:t>
      </w:r>
    </w:p>
    <w:p w14:paraId="008190F4" w14:textId="64167124" w:rsidR="00A71F05" w:rsidRPr="00A71F05" w:rsidRDefault="00A71F05" w:rsidP="00A71F05">
      <w:pPr>
        <w:spacing w:line="480" w:lineRule="auto"/>
        <w:ind w:left="720" w:hanging="720"/>
      </w:pPr>
      <w:r w:rsidRPr="000D1BBE">
        <w:lastRenderedPageBreak/>
        <w:t xml:space="preserve">Coley, P. D., &amp; Barone, J. A. (1996). </w:t>
      </w:r>
      <w:r w:rsidRPr="00A71F05">
        <w:t>Herbivory and plant defenses in tropical forests.</w:t>
      </w:r>
      <w:r w:rsidRPr="00A71F05">
        <w:rPr>
          <w:i/>
          <w:iCs/>
        </w:rPr>
        <w:t xml:space="preserve"> Annual Review of Ecology, Evolution, and Systematics, 27</w:t>
      </w:r>
      <w:r>
        <w:t>,</w:t>
      </w:r>
      <w:r w:rsidRPr="00A71F05">
        <w:t xml:space="preserve"> 305–335.</w:t>
      </w:r>
    </w:p>
    <w:p w14:paraId="0C831570" w14:textId="73BE67C0" w:rsidR="00C6379C" w:rsidRPr="00C6379C" w:rsidRDefault="00C6379C" w:rsidP="00C6379C">
      <w:pPr>
        <w:spacing w:line="480" w:lineRule="auto"/>
        <w:ind w:left="720" w:hanging="720"/>
      </w:pPr>
      <w:r w:rsidRPr="00E2347D">
        <w:t xml:space="preserve">Cosmo, L. G., Nascimento, A. R., </w:t>
      </w:r>
      <w:proofErr w:type="spellStart"/>
      <w:r w:rsidRPr="00E2347D">
        <w:t>Cogni</w:t>
      </w:r>
      <w:proofErr w:type="spellEnd"/>
      <w:r w:rsidRPr="00E2347D">
        <w:t xml:space="preserve">, R., &amp; Freitas, A. V. L. (2019). </w:t>
      </w:r>
      <w:r w:rsidRPr="00C6379C">
        <w:t xml:space="preserve">Temporal distribution in a tri-trophic system associated with </w:t>
      </w:r>
      <w:r w:rsidRPr="00A71F05">
        <w:rPr>
          <w:i/>
          <w:iCs/>
        </w:rPr>
        <w:t xml:space="preserve">Piper </w:t>
      </w:r>
      <w:proofErr w:type="spellStart"/>
      <w:r w:rsidRPr="00A71F05">
        <w:rPr>
          <w:i/>
          <w:iCs/>
        </w:rPr>
        <w:t>amalago</w:t>
      </w:r>
      <w:proofErr w:type="spellEnd"/>
      <w:r w:rsidRPr="00C6379C">
        <w:t xml:space="preserve"> L. in a tropical seasonal forest. </w:t>
      </w:r>
      <w:r w:rsidRPr="00C6379C">
        <w:rPr>
          <w:i/>
          <w:iCs/>
        </w:rPr>
        <w:t>Arthropod-Plant Interactions</w:t>
      </w:r>
      <w:r w:rsidRPr="00C6379C">
        <w:t xml:space="preserve">, </w:t>
      </w:r>
      <w:r w:rsidRPr="00C6379C">
        <w:rPr>
          <w:i/>
          <w:iCs/>
        </w:rPr>
        <w:t>13</w:t>
      </w:r>
      <w:r w:rsidRPr="00C6379C">
        <w:t xml:space="preserve">, 647–652. </w:t>
      </w:r>
      <w:hyperlink r:id="rId20" w:history="1">
        <w:r w:rsidRPr="00C6379C">
          <w:rPr>
            <w:rStyle w:val="Hyperlink"/>
          </w:rPr>
          <w:t>https://doi.org/10.1007/s11829-019-09687-y</w:t>
        </w:r>
      </w:hyperlink>
    </w:p>
    <w:p w14:paraId="1BDA2987" w14:textId="02ABE5B9" w:rsidR="00C6379C" w:rsidRPr="00C6379C" w:rsidRDefault="00C6379C" w:rsidP="00C6379C">
      <w:pPr>
        <w:spacing w:line="480" w:lineRule="auto"/>
        <w:ind w:left="720" w:hanging="720"/>
      </w:pPr>
      <w:r w:rsidRPr="00C6379C">
        <w:t xml:space="preserve">Coverdale, T. C., </w:t>
      </w:r>
      <w:proofErr w:type="spellStart"/>
      <w:r w:rsidRPr="00C6379C">
        <w:t>Goheen</w:t>
      </w:r>
      <w:proofErr w:type="spellEnd"/>
      <w:r w:rsidRPr="00C6379C">
        <w:t xml:space="preserve">, J. R., Palmer, T. M., &amp; Pringle, R. M. (2018). Good neighbors make good defenses: Associational refuges reduce defense investment in African savanna plants. </w:t>
      </w:r>
      <w:r w:rsidRPr="00C6379C">
        <w:rPr>
          <w:i/>
          <w:iCs/>
        </w:rPr>
        <w:t>Ecology</w:t>
      </w:r>
      <w:r w:rsidRPr="00C6379C">
        <w:t xml:space="preserve">, </w:t>
      </w:r>
      <w:r w:rsidRPr="00C6379C">
        <w:rPr>
          <w:i/>
          <w:iCs/>
        </w:rPr>
        <w:t>99</w:t>
      </w:r>
      <w:r w:rsidRPr="00C6379C">
        <w:t xml:space="preserve">, 1724–1736. </w:t>
      </w:r>
      <w:hyperlink r:id="rId21" w:history="1">
        <w:r w:rsidRPr="00C6379C">
          <w:rPr>
            <w:rStyle w:val="Hyperlink"/>
          </w:rPr>
          <w:t>https://doi.org/10.1002/ecy.2397</w:t>
        </w:r>
      </w:hyperlink>
    </w:p>
    <w:p w14:paraId="1B77F098" w14:textId="0D7166D6" w:rsidR="00C6379C" w:rsidRPr="00C6379C" w:rsidRDefault="00C6379C" w:rsidP="00C6379C">
      <w:pPr>
        <w:spacing w:line="480" w:lineRule="auto"/>
        <w:ind w:left="720" w:hanging="720"/>
      </w:pPr>
      <w:r w:rsidRPr="00C6379C">
        <w:t xml:space="preserve">Dobzhansky, T. (1950). Evolution in the tropics. </w:t>
      </w:r>
      <w:r w:rsidRPr="00C6379C">
        <w:rPr>
          <w:i/>
          <w:iCs/>
        </w:rPr>
        <w:t>American Scientist</w:t>
      </w:r>
      <w:r w:rsidRPr="00C6379C">
        <w:t xml:space="preserve">, </w:t>
      </w:r>
      <w:r w:rsidRPr="00C6379C">
        <w:rPr>
          <w:i/>
          <w:iCs/>
        </w:rPr>
        <w:t>38</w:t>
      </w:r>
      <w:r w:rsidRPr="00C6379C">
        <w:t xml:space="preserve">, 208–221. </w:t>
      </w:r>
      <w:hyperlink r:id="rId22" w:history="1">
        <w:r w:rsidRPr="00C6379C">
          <w:rPr>
            <w:rStyle w:val="Hyperlink"/>
          </w:rPr>
          <w:t>https://www.jstor.org/stable/27826306</w:t>
        </w:r>
      </w:hyperlink>
    </w:p>
    <w:p w14:paraId="2BABC89A" w14:textId="5E354162" w:rsidR="00C6379C" w:rsidRDefault="00C6379C" w:rsidP="00C6379C">
      <w:pPr>
        <w:spacing w:line="480" w:lineRule="auto"/>
        <w:ind w:left="720" w:hanging="720"/>
      </w:pPr>
      <w:proofErr w:type="spellStart"/>
      <w:r>
        <w:t>Dirzo</w:t>
      </w:r>
      <w:proofErr w:type="spellEnd"/>
      <w:r>
        <w:t xml:space="preserve"> R, </w:t>
      </w:r>
      <w:r w:rsidR="006A7A23">
        <w:t xml:space="preserve">&amp; </w:t>
      </w:r>
      <w:proofErr w:type="spellStart"/>
      <w:r>
        <w:t>Boege</w:t>
      </w:r>
      <w:proofErr w:type="spellEnd"/>
      <w:r>
        <w:t xml:space="preserve"> K. 2008. Patterns of herbivory and defense in tropical dry and rain forests.  Pp. 63–78 in W. P. Carson </w:t>
      </w:r>
      <w:r w:rsidR="006A7A23">
        <w:t>&amp;</w:t>
      </w:r>
      <w:r>
        <w:t xml:space="preserve"> S. A. Schnitzer, eds. </w:t>
      </w:r>
      <w:proofErr w:type="gramStart"/>
      <w:r>
        <w:t>Tropical forest</w:t>
      </w:r>
      <w:proofErr w:type="gramEnd"/>
      <w:r>
        <w:t xml:space="preserve"> Community Ecology. Wiley-Blackwell, Hoboken, NJ.</w:t>
      </w:r>
    </w:p>
    <w:p w14:paraId="6355B4CF" w14:textId="513BEBE9" w:rsidR="00C6379C" w:rsidRPr="00585EBE" w:rsidRDefault="00C6379C" w:rsidP="00C6379C">
      <w:pPr>
        <w:spacing w:line="480" w:lineRule="auto"/>
        <w:ind w:left="720" w:hanging="720"/>
      </w:pPr>
      <w:r w:rsidRPr="00C6379C">
        <w:t xml:space="preserve">Dyer, L. A., Letourneau, D. K., Dodson, C. D., Tobler, M. A., </w:t>
      </w:r>
      <w:proofErr w:type="spellStart"/>
      <w:r w:rsidRPr="00C6379C">
        <w:t>Stireman</w:t>
      </w:r>
      <w:proofErr w:type="spellEnd"/>
      <w:r w:rsidRPr="00C6379C">
        <w:t xml:space="preserve">, J. O., &amp; Hsu, A. (2004). Ecological causes and consequences of variation in defensive chemistry of a Neotropical shrub. </w:t>
      </w:r>
      <w:r w:rsidRPr="00585EBE">
        <w:rPr>
          <w:i/>
          <w:iCs/>
        </w:rPr>
        <w:t>Ecology</w:t>
      </w:r>
      <w:r w:rsidRPr="00585EBE">
        <w:t xml:space="preserve">, </w:t>
      </w:r>
      <w:r w:rsidRPr="00585EBE">
        <w:rPr>
          <w:i/>
          <w:iCs/>
        </w:rPr>
        <w:t>85</w:t>
      </w:r>
      <w:r w:rsidRPr="00585EBE">
        <w:t xml:space="preserve">, 2795–2803. </w:t>
      </w:r>
      <w:r w:rsidR="007711A1">
        <w:fldChar w:fldCharType="begin"/>
      </w:r>
      <w:r w:rsidR="007711A1" w:rsidRPr="000D1BBE">
        <w:instrText>https://doi.org/10.1890/03-0233</w:instrText>
      </w:r>
      <w:r w:rsidR="007711A1">
        <w:fldChar w:fldCharType="separate"/>
      </w:r>
      <w:r w:rsidRPr="00585EBE">
        <w:rPr>
          <w:rStyle w:val="Hyperlink"/>
        </w:rPr>
        <w:t>https://doi.org/10.1890/03-0233</w:t>
      </w:r>
      <w:r w:rsidR="007711A1">
        <w:rPr>
          <w:rStyle w:val="Hyperlink"/>
          <w:lang w:val="es-MX"/>
        </w:rPr>
        <w:fldChar w:fldCharType="end"/>
      </w:r>
    </w:p>
    <w:p w14:paraId="02817264" w14:textId="0E74A686" w:rsidR="00047902" w:rsidRPr="00153580" w:rsidRDefault="00047902" w:rsidP="00047902">
      <w:pPr>
        <w:spacing w:after="0" w:line="480" w:lineRule="auto"/>
        <w:ind w:left="720" w:hanging="720"/>
        <w:rPr>
          <w:rFonts w:eastAsia="Calibri"/>
        </w:rPr>
      </w:pPr>
      <w:r w:rsidRPr="00585EBE">
        <w:rPr>
          <w:rFonts w:eastAsia="Calibri"/>
        </w:rPr>
        <w:t xml:space="preserve">Dyer L. A., &amp; Palmer, A. D. N. (2004). </w:t>
      </w:r>
      <w:r w:rsidRPr="00153580">
        <w:rPr>
          <w:rFonts w:eastAsia="Calibri"/>
          <w:i/>
          <w:iCs/>
        </w:rPr>
        <w:t>Piper</w:t>
      </w:r>
      <w:r w:rsidRPr="00153580">
        <w:rPr>
          <w:rFonts w:eastAsia="Calibri"/>
        </w:rPr>
        <w:t>: A Model Genus for Studies of Phytochemistry, Ecology, and Evolution. Springer US</w:t>
      </w:r>
      <w:r>
        <w:rPr>
          <w:rFonts w:eastAsia="Calibri"/>
        </w:rPr>
        <w:t xml:space="preserve">, </w:t>
      </w:r>
      <w:r w:rsidRPr="00153580">
        <w:rPr>
          <w:rFonts w:eastAsia="Calibri"/>
        </w:rPr>
        <w:t>Boston,</w:t>
      </w:r>
      <w:r>
        <w:rPr>
          <w:rFonts w:eastAsia="Calibri"/>
        </w:rPr>
        <w:t xml:space="preserve"> USA</w:t>
      </w:r>
      <w:r w:rsidRPr="00153580">
        <w:rPr>
          <w:rFonts w:eastAsia="Calibri"/>
        </w:rPr>
        <w:t>.</w:t>
      </w:r>
    </w:p>
    <w:p w14:paraId="63043740" w14:textId="74684545" w:rsidR="00CF592E" w:rsidRPr="00CF592E" w:rsidRDefault="00CF592E" w:rsidP="00CF592E">
      <w:pPr>
        <w:spacing w:line="480" w:lineRule="auto"/>
        <w:ind w:left="720" w:hanging="720"/>
      </w:pPr>
      <w:r w:rsidRPr="00CF592E">
        <w:t xml:space="preserve">Dyer, L. A., Singer, M. S., </w:t>
      </w:r>
      <w:proofErr w:type="spellStart"/>
      <w:r w:rsidRPr="00CF592E">
        <w:t>Lill</w:t>
      </w:r>
      <w:proofErr w:type="spellEnd"/>
      <w:r w:rsidRPr="00CF592E">
        <w:t xml:space="preserve">, J. T., </w:t>
      </w:r>
      <w:proofErr w:type="spellStart"/>
      <w:r w:rsidRPr="00CF592E">
        <w:t>Stireman</w:t>
      </w:r>
      <w:proofErr w:type="spellEnd"/>
      <w:r w:rsidRPr="00CF592E">
        <w:t xml:space="preserve">, J. O., Gentry, G. L., Marquis, R. J., </w:t>
      </w:r>
      <w:proofErr w:type="spellStart"/>
      <w:r w:rsidRPr="00CF592E">
        <w:t>Ricklefs</w:t>
      </w:r>
      <w:proofErr w:type="spellEnd"/>
      <w:r w:rsidRPr="00CF592E">
        <w:t xml:space="preserve">, R. E., </w:t>
      </w:r>
      <w:proofErr w:type="spellStart"/>
      <w:r w:rsidRPr="00CF592E">
        <w:t>Greeney</w:t>
      </w:r>
      <w:proofErr w:type="spellEnd"/>
      <w:r w:rsidRPr="00CF592E">
        <w:t xml:space="preserve">, H. F., Wagner, D. L., </w:t>
      </w:r>
      <w:proofErr w:type="spellStart"/>
      <w:r w:rsidRPr="00CF592E">
        <w:t>Morais</w:t>
      </w:r>
      <w:proofErr w:type="spellEnd"/>
      <w:r w:rsidRPr="00CF592E">
        <w:t xml:space="preserve">, H. C., </w:t>
      </w:r>
      <w:proofErr w:type="spellStart"/>
      <w:r w:rsidRPr="00CF592E">
        <w:t>Diniz</w:t>
      </w:r>
      <w:proofErr w:type="spellEnd"/>
      <w:r w:rsidRPr="00CF592E">
        <w:t xml:space="preserve">, I. R., </w:t>
      </w:r>
      <w:proofErr w:type="spellStart"/>
      <w:r w:rsidRPr="00CF592E">
        <w:t>Kursar</w:t>
      </w:r>
      <w:proofErr w:type="spellEnd"/>
      <w:r w:rsidRPr="00CF592E">
        <w:t xml:space="preserve">, T. A., &amp; Coley, P. D. (2007). Host specificity of Lepidoptera in tropical and temperate forests. </w:t>
      </w:r>
      <w:r w:rsidRPr="00CF592E">
        <w:rPr>
          <w:i/>
          <w:iCs/>
        </w:rPr>
        <w:t>Nature</w:t>
      </w:r>
      <w:r w:rsidRPr="00CF592E">
        <w:t xml:space="preserve">, </w:t>
      </w:r>
      <w:r w:rsidRPr="00CF592E">
        <w:rPr>
          <w:i/>
          <w:iCs/>
        </w:rPr>
        <w:t>448</w:t>
      </w:r>
      <w:r w:rsidRPr="00CF592E">
        <w:t>, 696-</w:t>
      </w:r>
      <w:r>
        <w:t>69</w:t>
      </w:r>
      <w:r w:rsidRPr="00CF592E">
        <w:t xml:space="preserve">9. </w:t>
      </w:r>
      <w:hyperlink r:id="rId23" w:history="1">
        <w:r w:rsidRPr="00CF592E">
          <w:rPr>
            <w:rStyle w:val="Hyperlink"/>
          </w:rPr>
          <w:t>https://doi.org/10.1038/nature05884</w:t>
        </w:r>
      </w:hyperlink>
    </w:p>
    <w:p w14:paraId="6A064EE0" w14:textId="0791E315" w:rsidR="00C6379C" w:rsidRPr="00C6379C" w:rsidRDefault="00C6379C" w:rsidP="00C6379C">
      <w:pPr>
        <w:spacing w:line="480" w:lineRule="auto"/>
        <w:ind w:left="720" w:hanging="720"/>
      </w:pPr>
      <w:r w:rsidRPr="00C6379C">
        <w:lastRenderedPageBreak/>
        <w:t xml:space="preserve">Dyer, L. A., Letourneau, D. K., Chavarria, G. V., &amp; Amoretti, D. S. (2010). Herbivores on a dominant understory shrub increase local plant diversity in rain forest communities. </w:t>
      </w:r>
      <w:r w:rsidRPr="00C6379C">
        <w:rPr>
          <w:i/>
          <w:iCs/>
        </w:rPr>
        <w:t>Ecology</w:t>
      </w:r>
      <w:r w:rsidRPr="00C6379C">
        <w:t xml:space="preserve">, </w:t>
      </w:r>
      <w:r w:rsidRPr="00C6379C">
        <w:rPr>
          <w:i/>
          <w:iCs/>
        </w:rPr>
        <w:t>91</w:t>
      </w:r>
      <w:r w:rsidRPr="00C6379C">
        <w:t xml:space="preserve">, 3707–3718. </w:t>
      </w:r>
      <w:hyperlink r:id="rId24" w:history="1">
        <w:r w:rsidRPr="00C6379C">
          <w:rPr>
            <w:rStyle w:val="Hyperlink"/>
          </w:rPr>
          <w:t>https://doi.org/10.1890/08-1634.1</w:t>
        </w:r>
      </w:hyperlink>
    </w:p>
    <w:p w14:paraId="0507DF85" w14:textId="77777777" w:rsidR="006A7A23" w:rsidRDefault="006A7A23" w:rsidP="00C6379C">
      <w:pPr>
        <w:spacing w:line="480" w:lineRule="auto"/>
        <w:ind w:left="720" w:hanging="720"/>
      </w:pPr>
      <w:r w:rsidRPr="00E337BC">
        <w:t>Dyer, L. A., Carson, W. P, &amp; Leig</w:t>
      </w:r>
      <w:r>
        <w:t>h, E. G. (2012). Insect outbreaks in tropical forests:  Patterns, mechanisms, and consequences. Pp 219-245 in P. Barbosa, D. K. Letourneau, &amp; A. A. Agrawal, eds. Insect Outbreaks Revisited, first edition. Blackwell Publishing Ltd, Hoboken, NJ.</w:t>
      </w:r>
    </w:p>
    <w:p w14:paraId="0F0CD3E0" w14:textId="4E18334B" w:rsidR="00C6379C" w:rsidRDefault="00C6379C" w:rsidP="00C6379C">
      <w:pPr>
        <w:spacing w:line="480" w:lineRule="auto"/>
        <w:ind w:left="720" w:hanging="720"/>
        <w:rPr>
          <w:rStyle w:val="Hyperlink"/>
        </w:rPr>
      </w:pPr>
      <w:r w:rsidRPr="00C6379C">
        <w:t xml:space="preserve">Dyer, L. A., &amp; </w:t>
      </w:r>
      <w:proofErr w:type="spellStart"/>
      <w:r w:rsidRPr="00C6379C">
        <w:t>Forister</w:t>
      </w:r>
      <w:proofErr w:type="spellEnd"/>
      <w:r w:rsidRPr="00C6379C">
        <w:t xml:space="preserve">, M. L. (2019). Challenges and advances in the study of latitudinal gradients in multitrophic interactions, with a focus on consumer specialization. </w:t>
      </w:r>
      <w:r w:rsidRPr="00C6379C">
        <w:rPr>
          <w:i/>
          <w:iCs/>
        </w:rPr>
        <w:t>Current Opinion in Insect Science</w:t>
      </w:r>
      <w:r w:rsidRPr="00C6379C">
        <w:t xml:space="preserve">, </w:t>
      </w:r>
      <w:r w:rsidRPr="00C6379C">
        <w:rPr>
          <w:i/>
          <w:iCs/>
        </w:rPr>
        <w:t>32</w:t>
      </w:r>
      <w:r w:rsidRPr="00C6379C">
        <w:t xml:space="preserve">, 68–76. </w:t>
      </w:r>
      <w:hyperlink r:id="rId25" w:history="1">
        <w:r w:rsidRPr="00C6379C">
          <w:rPr>
            <w:rStyle w:val="Hyperlink"/>
          </w:rPr>
          <w:t>https://doi.org/10.1016/j.cois.2018.11.008</w:t>
        </w:r>
      </w:hyperlink>
    </w:p>
    <w:p w14:paraId="41EA2347" w14:textId="05C55082" w:rsidR="00C6651D" w:rsidRPr="00153580" w:rsidRDefault="00C6651D" w:rsidP="00C6651D">
      <w:pPr>
        <w:spacing w:after="0" w:line="480" w:lineRule="auto"/>
        <w:ind w:left="720" w:hanging="720"/>
        <w:rPr>
          <w:rFonts w:eastAsia="Calibri"/>
        </w:rPr>
      </w:pPr>
      <w:r w:rsidRPr="00153580">
        <w:rPr>
          <w:rFonts w:eastAsia="Calibri"/>
        </w:rPr>
        <w:t>Ehrlich P</w:t>
      </w:r>
      <w:r w:rsidRPr="00FC7080">
        <w:rPr>
          <w:rFonts w:eastAsia="Calibri"/>
        </w:rPr>
        <w:t>.</w:t>
      </w:r>
      <w:r w:rsidRPr="00153580">
        <w:rPr>
          <w:rFonts w:eastAsia="Calibri"/>
        </w:rPr>
        <w:t>,</w:t>
      </w:r>
      <w:r w:rsidRPr="00FC7080">
        <w:rPr>
          <w:rFonts w:eastAsia="Calibri"/>
        </w:rPr>
        <w:t xml:space="preserve"> </w:t>
      </w:r>
      <w:r>
        <w:rPr>
          <w:rFonts w:eastAsia="Calibri"/>
        </w:rPr>
        <w:t>&amp;</w:t>
      </w:r>
      <w:r w:rsidRPr="00153580">
        <w:rPr>
          <w:rFonts w:eastAsia="Calibri"/>
        </w:rPr>
        <w:t xml:space="preserve"> Raven</w:t>
      </w:r>
      <w:r>
        <w:rPr>
          <w:rFonts w:eastAsia="Calibri"/>
        </w:rPr>
        <w:t xml:space="preserve">, </w:t>
      </w:r>
      <w:r w:rsidRPr="00FC7080">
        <w:rPr>
          <w:rFonts w:eastAsia="Calibri"/>
        </w:rPr>
        <w:t>R.</w:t>
      </w:r>
      <w:r w:rsidRPr="00153580">
        <w:rPr>
          <w:rFonts w:eastAsia="Calibri"/>
        </w:rPr>
        <w:t xml:space="preserve"> </w:t>
      </w:r>
      <w:r>
        <w:rPr>
          <w:rFonts w:eastAsia="Calibri"/>
        </w:rPr>
        <w:t>(</w:t>
      </w:r>
      <w:r w:rsidRPr="00153580">
        <w:rPr>
          <w:rFonts w:eastAsia="Calibri"/>
        </w:rPr>
        <w:t>1964</w:t>
      </w:r>
      <w:r>
        <w:rPr>
          <w:rFonts w:eastAsia="Calibri"/>
        </w:rPr>
        <w:t>)</w:t>
      </w:r>
      <w:r w:rsidRPr="00153580">
        <w:rPr>
          <w:rFonts w:eastAsia="Calibri"/>
        </w:rPr>
        <w:t xml:space="preserve">. Butterflies and plants – A study in coevolution. </w:t>
      </w:r>
      <w:r w:rsidRPr="00C6651D">
        <w:rPr>
          <w:rFonts w:eastAsia="Calibri"/>
          <w:i/>
          <w:iCs/>
        </w:rPr>
        <w:t>Evolution 18</w:t>
      </w:r>
      <w:r>
        <w:rPr>
          <w:rFonts w:eastAsia="Calibri"/>
          <w:i/>
          <w:iCs/>
        </w:rPr>
        <w:t xml:space="preserve">, </w:t>
      </w:r>
      <w:r w:rsidRPr="00153580">
        <w:rPr>
          <w:rFonts w:eastAsia="Calibri"/>
        </w:rPr>
        <w:t>586–608.</w:t>
      </w:r>
    </w:p>
    <w:p w14:paraId="0F03DAD6" w14:textId="7DAE48AA" w:rsidR="00C6379C" w:rsidRPr="00C6379C" w:rsidRDefault="00C6379C" w:rsidP="00C6379C">
      <w:pPr>
        <w:spacing w:line="480" w:lineRule="auto"/>
        <w:ind w:left="720" w:hanging="720"/>
      </w:pPr>
      <w:proofErr w:type="spellStart"/>
      <w:r w:rsidRPr="00C6379C">
        <w:t>Endara</w:t>
      </w:r>
      <w:proofErr w:type="spellEnd"/>
      <w:r w:rsidRPr="00C6379C">
        <w:t xml:space="preserve">, M.-J., </w:t>
      </w:r>
      <w:proofErr w:type="spellStart"/>
      <w:r w:rsidRPr="00C6379C">
        <w:t>Weinhold</w:t>
      </w:r>
      <w:proofErr w:type="spellEnd"/>
      <w:r w:rsidRPr="00C6379C">
        <w:t xml:space="preserve">, A., Cox, J. E., Wiggins, N. L., Coley, P. D., &amp; </w:t>
      </w:r>
      <w:proofErr w:type="spellStart"/>
      <w:r w:rsidRPr="00C6379C">
        <w:t>Kursar</w:t>
      </w:r>
      <w:proofErr w:type="spellEnd"/>
      <w:r w:rsidRPr="00C6379C">
        <w:t xml:space="preserve">, T. A. (2015). Divergent evolution in antiherbivore defences within species complexes at a single Amazonian site. </w:t>
      </w:r>
      <w:r w:rsidRPr="00C6379C">
        <w:rPr>
          <w:i/>
          <w:iCs/>
        </w:rPr>
        <w:t>Journal of Ecology</w:t>
      </w:r>
      <w:r w:rsidRPr="00C6379C">
        <w:t xml:space="preserve">, </w:t>
      </w:r>
      <w:r w:rsidRPr="00C6379C">
        <w:rPr>
          <w:i/>
          <w:iCs/>
        </w:rPr>
        <w:t>103</w:t>
      </w:r>
      <w:r w:rsidRPr="00C6379C">
        <w:t xml:space="preserve">, 1107–1118. </w:t>
      </w:r>
      <w:hyperlink r:id="rId26" w:history="1">
        <w:r w:rsidRPr="00C6379C">
          <w:rPr>
            <w:rStyle w:val="Hyperlink"/>
          </w:rPr>
          <w:t>https://doi.org/10.1111/1365-2745.12431</w:t>
        </w:r>
      </w:hyperlink>
    </w:p>
    <w:p w14:paraId="21EEFC51" w14:textId="22269FDD" w:rsidR="00C6379C" w:rsidRPr="00C6379C" w:rsidRDefault="00C6379C" w:rsidP="00C6379C">
      <w:pPr>
        <w:spacing w:line="480" w:lineRule="auto"/>
        <w:ind w:left="720" w:hanging="720"/>
      </w:pPr>
      <w:proofErr w:type="spellStart"/>
      <w:r w:rsidRPr="00C6379C">
        <w:t>Endara</w:t>
      </w:r>
      <w:proofErr w:type="spellEnd"/>
      <w:r w:rsidRPr="00C6379C">
        <w:t xml:space="preserve">, M.-J., Coley, P. D., </w:t>
      </w:r>
      <w:proofErr w:type="spellStart"/>
      <w:r w:rsidRPr="00C6379C">
        <w:t>Ghabash</w:t>
      </w:r>
      <w:proofErr w:type="spellEnd"/>
      <w:r w:rsidRPr="00C6379C">
        <w:t xml:space="preserve">, G., Nicholls, J. A., Dexter, K. G., </w:t>
      </w:r>
      <w:proofErr w:type="spellStart"/>
      <w:r w:rsidRPr="00C6379C">
        <w:t>Donoso</w:t>
      </w:r>
      <w:proofErr w:type="spellEnd"/>
      <w:r w:rsidRPr="00C6379C">
        <w:t xml:space="preserve">, D. A., Stone, G. N., Pennington, R. T., &amp; </w:t>
      </w:r>
      <w:proofErr w:type="spellStart"/>
      <w:r w:rsidRPr="00C6379C">
        <w:t>Kursar</w:t>
      </w:r>
      <w:proofErr w:type="spellEnd"/>
      <w:r w:rsidRPr="00C6379C">
        <w:t xml:space="preserve">, T. A. (2017). Coevolutionary arms race versus host defense chase in a tropical herbivore-plant system. </w:t>
      </w:r>
      <w:r w:rsidRPr="00C6379C">
        <w:rPr>
          <w:i/>
          <w:iCs/>
        </w:rPr>
        <w:t>Proceedings of the National Academy of Sciences of the United States of America</w:t>
      </w:r>
      <w:r w:rsidRPr="00C6379C">
        <w:t xml:space="preserve">, </w:t>
      </w:r>
      <w:r w:rsidRPr="00C6379C">
        <w:rPr>
          <w:i/>
          <w:iCs/>
        </w:rPr>
        <w:t>114</w:t>
      </w:r>
      <w:r w:rsidRPr="00C6379C">
        <w:t xml:space="preserve">, E7499–E7505. </w:t>
      </w:r>
      <w:hyperlink r:id="rId27" w:history="1">
        <w:r w:rsidRPr="00C6379C">
          <w:rPr>
            <w:rStyle w:val="Hyperlink"/>
          </w:rPr>
          <w:t>https://doi.org/10.1073/pnas.1707727114</w:t>
        </w:r>
      </w:hyperlink>
    </w:p>
    <w:p w14:paraId="68526838" w14:textId="4E1083E6" w:rsidR="00C6379C" w:rsidRPr="00C6379C" w:rsidRDefault="00C6379C" w:rsidP="00C6379C">
      <w:pPr>
        <w:spacing w:line="480" w:lineRule="auto"/>
        <w:ind w:left="720" w:hanging="720"/>
      </w:pPr>
      <w:proofErr w:type="spellStart"/>
      <w:r w:rsidRPr="00C6379C">
        <w:lastRenderedPageBreak/>
        <w:t>Endara</w:t>
      </w:r>
      <w:proofErr w:type="spellEnd"/>
      <w:r w:rsidRPr="00C6379C">
        <w:t xml:space="preserve">, M.-J., Nicholls, J. A., Coley, P. D., </w:t>
      </w:r>
      <w:proofErr w:type="spellStart"/>
      <w:r w:rsidRPr="00C6379C">
        <w:t>Forrister</w:t>
      </w:r>
      <w:proofErr w:type="spellEnd"/>
      <w:r w:rsidRPr="00C6379C">
        <w:t xml:space="preserve">, D. L., Younkin, G. C., Dexter, K. G., </w:t>
      </w:r>
      <w:proofErr w:type="spellStart"/>
      <w:r w:rsidRPr="00C6379C">
        <w:t>Kidner</w:t>
      </w:r>
      <w:proofErr w:type="spellEnd"/>
      <w:r w:rsidRPr="00C6379C">
        <w:t xml:space="preserve">, C. A., Pennington, R. T., Stone, G. N., &amp; </w:t>
      </w:r>
      <w:proofErr w:type="spellStart"/>
      <w:r w:rsidRPr="00C6379C">
        <w:t>Kursar</w:t>
      </w:r>
      <w:proofErr w:type="spellEnd"/>
      <w:r w:rsidRPr="00C6379C">
        <w:t xml:space="preserve">, T. A. (2018). Tracking of </w:t>
      </w:r>
      <w:r w:rsidR="00A71F05">
        <w:t>h</w:t>
      </w:r>
      <w:r w:rsidRPr="00C6379C">
        <w:t xml:space="preserve">ost </w:t>
      </w:r>
      <w:r w:rsidR="00A71F05">
        <w:t>d</w:t>
      </w:r>
      <w:r w:rsidRPr="00C6379C">
        <w:t xml:space="preserve">efenses and </w:t>
      </w:r>
      <w:r w:rsidR="00A71F05">
        <w:t>p</w:t>
      </w:r>
      <w:r w:rsidRPr="00C6379C">
        <w:t xml:space="preserve">hylogeny </w:t>
      </w:r>
      <w:r w:rsidR="00A71F05">
        <w:t>d</w:t>
      </w:r>
      <w:r w:rsidRPr="00C6379C">
        <w:t xml:space="preserve">uring the </w:t>
      </w:r>
      <w:r w:rsidR="00A71F05">
        <w:t>r</w:t>
      </w:r>
      <w:r w:rsidRPr="00C6379C">
        <w:t>adiation of Neotropical Inga-</w:t>
      </w:r>
      <w:r w:rsidR="00A71F05">
        <w:t>f</w:t>
      </w:r>
      <w:r w:rsidRPr="00C6379C">
        <w:t xml:space="preserve">eeding </w:t>
      </w:r>
      <w:r w:rsidR="00A71F05">
        <w:t>s</w:t>
      </w:r>
      <w:r w:rsidRPr="00C6379C">
        <w:t xml:space="preserve">awflies (Hymenoptera; </w:t>
      </w:r>
      <w:proofErr w:type="spellStart"/>
      <w:r w:rsidRPr="00C6379C">
        <w:t>Argidae</w:t>
      </w:r>
      <w:proofErr w:type="spellEnd"/>
      <w:r w:rsidRPr="00C6379C">
        <w:t xml:space="preserve">). </w:t>
      </w:r>
      <w:r w:rsidRPr="00C6379C">
        <w:rPr>
          <w:i/>
          <w:iCs/>
        </w:rPr>
        <w:t>Frontiers in Plant Science</w:t>
      </w:r>
      <w:r w:rsidRPr="00C6379C">
        <w:t xml:space="preserve">, </w:t>
      </w:r>
      <w:r w:rsidRPr="00C6379C">
        <w:rPr>
          <w:i/>
          <w:iCs/>
        </w:rPr>
        <w:t>0</w:t>
      </w:r>
      <w:r w:rsidRPr="00C6379C">
        <w:t xml:space="preserve">. </w:t>
      </w:r>
      <w:hyperlink r:id="rId28" w:history="1">
        <w:r w:rsidRPr="00C6379C">
          <w:rPr>
            <w:rStyle w:val="Hyperlink"/>
          </w:rPr>
          <w:t>https://doi.org/10.3389/fpls.2018.01237</w:t>
        </w:r>
      </w:hyperlink>
    </w:p>
    <w:p w14:paraId="3C752069" w14:textId="77777777" w:rsidR="00C6379C" w:rsidRPr="00C6379C" w:rsidRDefault="00C6379C" w:rsidP="00C6379C">
      <w:pPr>
        <w:spacing w:line="480" w:lineRule="auto"/>
        <w:ind w:left="720" w:hanging="720"/>
      </w:pPr>
      <w:r w:rsidRPr="00C6379C">
        <w:t xml:space="preserve">Eveleigh, E. S., McCann, K. S., McCarthy, P. C., Pollock, S. J., </w:t>
      </w:r>
      <w:proofErr w:type="spellStart"/>
      <w:r w:rsidRPr="00C6379C">
        <w:t>Lucarotti</w:t>
      </w:r>
      <w:proofErr w:type="spellEnd"/>
      <w:r w:rsidRPr="00C6379C">
        <w:t xml:space="preserve">, C. J., Morin, B., McDougall, G. A., Strongman, D. B., Huber, J. T., </w:t>
      </w:r>
      <w:proofErr w:type="spellStart"/>
      <w:r w:rsidRPr="00C6379C">
        <w:t>Umbanhowar</w:t>
      </w:r>
      <w:proofErr w:type="spellEnd"/>
      <w:r w:rsidRPr="00C6379C">
        <w:t xml:space="preserve">, J., &amp; Faria, L. D. B. (2007). Fluctuations in density of an outbreak species drive diversity cascades in food webs. </w:t>
      </w:r>
      <w:r w:rsidRPr="00C6379C">
        <w:rPr>
          <w:i/>
          <w:iCs/>
        </w:rPr>
        <w:t>Proceedings of the National Academy of Sciences</w:t>
      </w:r>
      <w:r w:rsidRPr="00C6379C">
        <w:t xml:space="preserve">, </w:t>
      </w:r>
      <w:r w:rsidRPr="00C6379C">
        <w:rPr>
          <w:i/>
          <w:iCs/>
        </w:rPr>
        <w:t>104</w:t>
      </w:r>
      <w:r w:rsidRPr="00C6379C">
        <w:t xml:space="preserve">(43), 16976–16981. </w:t>
      </w:r>
      <w:hyperlink r:id="rId29" w:history="1">
        <w:r w:rsidRPr="00C6379C">
          <w:rPr>
            <w:rStyle w:val="Hyperlink"/>
          </w:rPr>
          <w:t>https://doi.org/10.1073/pnas.0704301104</w:t>
        </w:r>
      </w:hyperlink>
    </w:p>
    <w:p w14:paraId="33047BF8" w14:textId="77777777" w:rsidR="00840747" w:rsidRPr="006A39A2" w:rsidRDefault="00840747" w:rsidP="00840747">
      <w:pPr>
        <w:spacing w:line="480" w:lineRule="auto"/>
        <w:ind w:left="450" w:hanging="480"/>
        <w:rPr>
          <w:lang w:val="es-EC"/>
        </w:rPr>
      </w:pPr>
      <w:r>
        <w:t xml:space="preserve">Filip, V., </w:t>
      </w:r>
      <w:proofErr w:type="spellStart"/>
      <w:r>
        <w:t>Dirzo</w:t>
      </w:r>
      <w:proofErr w:type="spellEnd"/>
      <w:r>
        <w:t xml:space="preserve">, R., </w:t>
      </w:r>
      <w:proofErr w:type="spellStart"/>
      <w:r>
        <w:t>Maass</w:t>
      </w:r>
      <w:proofErr w:type="spellEnd"/>
      <w:r>
        <w:t xml:space="preserve">, J. M., &amp; Sarukhan, J. (1995). Within- and Among-Year Variation in the Levels of Herbivory on the Foliage of Trees from a Mexican Tropical Deciduous Forest. </w:t>
      </w:r>
      <w:r w:rsidRPr="006A39A2">
        <w:rPr>
          <w:i/>
          <w:iCs/>
          <w:lang w:val="es-EC"/>
        </w:rPr>
        <w:t>Biotropica</w:t>
      </w:r>
      <w:r w:rsidRPr="006A39A2">
        <w:rPr>
          <w:lang w:val="es-EC"/>
        </w:rPr>
        <w:t xml:space="preserve">, </w:t>
      </w:r>
      <w:r w:rsidRPr="006A39A2">
        <w:rPr>
          <w:i/>
          <w:iCs/>
          <w:lang w:val="es-EC"/>
        </w:rPr>
        <w:t>27</w:t>
      </w:r>
      <w:r w:rsidRPr="006A39A2">
        <w:rPr>
          <w:lang w:val="es-EC"/>
        </w:rPr>
        <w:t xml:space="preserve">(1), 78–86. </w:t>
      </w:r>
      <w:hyperlink r:id="rId30" w:history="1">
        <w:r w:rsidRPr="006A39A2">
          <w:rPr>
            <w:rStyle w:val="Hyperlink"/>
            <w:lang w:val="es-EC"/>
          </w:rPr>
          <w:t>https://doi.org/10.2307/2388905</w:t>
        </w:r>
      </w:hyperlink>
    </w:p>
    <w:p w14:paraId="7A0CE4E2" w14:textId="63EA4AB8" w:rsidR="00402503" w:rsidRPr="0075166C" w:rsidRDefault="00402503" w:rsidP="00402503">
      <w:pPr>
        <w:spacing w:line="480" w:lineRule="auto"/>
        <w:ind w:left="720" w:hanging="720"/>
      </w:pPr>
      <w:r w:rsidRPr="006A39A2">
        <w:rPr>
          <w:lang w:val="es-EC"/>
        </w:rPr>
        <w:t xml:space="preserve">Fine, P. V. A., &amp; Mesones, I. (2011). </w:t>
      </w:r>
      <w:r w:rsidRPr="00402503">
        <w:t xml:space="preserve">The </w:t>
      </w:r>
      <w:r>
        <w:t>r</w:t>
      </w:r>
      <w:r w:rsidRPr="00402503">
        <w:t xml:space="preserve">ole of </w:t>
      </w:r>
      <w:r>
        <w:t>n</w:t>
      </w:r>
      <w:r w:rsidRPr="00402503">
        <w:t xml:space="preserve">atural </w:t>
      </w:r>
      <w:r>
        <w:t>e</w:t>
      </w:r>
      <w:r w:rsidRPr="00402503">
        <w:t xml:space="preserve">nemies in the </w:t>
      </w:r>
      <w:r>
        <w:t>g</w:t>
      </w:r>
      <w:r w:rsidRPr="00402503">
        <w:t xml:space="preserve">ermination and </w:t>
      </w:r>
      <w:r>
        <w:t>e</w:t>
      </w:r>
      <w:r w:rsidRPr="00402503">
        <w:t xml:space="preserve">stablishment of </w:t>
      </w:r>
      <w:proofErr w:type="spellStart"/>
      <w:r w:rsidRPr="00402503">
        <w:rPr>
          <w:i/>
          <w:iCs/>
        </w:rPr>
        <w:t>Pachira</w:t>
      </w:r>
      <w:proofErr w:type="spellEnd"/>
      <w:r w:rsidRPr="00402503">
        <w:t xml:space="preserve"> (</w:t>
      </w:r>
      <w:proofErr w:type="spellStart"/>
      <w:r w:rsidRPr="00402503">
        <w:t>Malvaceae</w:t>
      </w:r>
      <w:proofErr w:type="spellEnd"/>
      <w:r w:rsidRPr="00402503">
        <w:t xml:space="preserve">) </w:t>
      </w:r>
      <w:r>
        <w:t>t</w:t>
      </w:r>
      <w:r w:rsidRPr="00402503">
        <w:t xml:space="preserve">rees in the Peruvian Amazon. </w:t>
      </w:r>
      <w:r w:rsidRPr="0075166C">
        <w:rPr>
          <w:i/>
          <w:iCs/>
        </w:rPr>
        <w:t>Biotropica 43</w:t>
      </w:r>
      <w:r w:rsidRPr="0075166C">
        <w:t>, 265–269.</w:t>
      </w:r>
    </w:p>
    <w:p w14:paraId="77BCB7CE" w14:textId="7FBC8ED5" w:rsidR="00CF592E" w:rsidRPr="00CF592E" w:rsidRDefault="00CF592E" w:rsidP="00CF592E">
      <w:pPr>
        <w:spacing w:line="480" w:lineRule="auto"/>
        <w:ind w:left="720" w:hanging="720"/>
      </w:pPr>
      <w:proofErr w:type="spellStart"/>
      <w:r w:rsidRPr="0075166C">
        <w:t>Forister</w:t>
      </w:r>
      <w:proofErr w:type="spellEnd"/>
      <w:r w:rsidRPr="0075166C">
        <w:t xml:space="preserve">, M. L., Novotny, V., </w:t>
      </w:r>
      <w:proofErr w:type="spellStart"/>
      <w:r w:rsidRPr="0075166C">
        <w:t>Panorska</w:t>
      </w:r>
      <w:proofErr w:type="spellEnd"/>
      <w:r w:rsidRPr="0075166C">
        <w:t xml:space="preserve">, A. K., Baje, L., Basset, Y., </w:t>
      </w:r>
      <w:proofErr w:type="spellStart"/>
      <w:r w:rsidRPr="0075166C">
        <w:t>Butterill</w:t>
      </w:r>
      <w:proofErr w:type="spellEnd"/>
      <w:r w:rsidRPr="0075166C">
        <w:t xml:space="preserve">, P. T., </w:t>
      </w:r>
      <w:proofErr w:type="spellStart"/>
      <w:r w:rsidRPr="0075166C">
        <w:t>Cizek</w:t>
      </w:r>
      <w:proofErr w:type="spellEnd"/>
      <w:r w:rsidRPr="0075166C">
        <w:t xml:space="preserve">, L., Coley, P. D., Dem, F., </w:t>
      </w:r>
      <w:proofErr w:type="spellStart"/>
      <w:r w:rsidRPr="0075166C">
        <w:t>Diniz</w:t>
      </w:r>
      <w:proofErr w:type="spellEnd"/>
      <w:r w:rsidRPr="0075166C">
        <w:t xml:space="preserve">, I. R., </w:t>
      </w:r>
      <w:proofErr w:type="spellStart"/>
      <w:r w:rsidRPr="0075166C">
        <w:t>Drozd</w:t>
      </w:r>
      <w:proofErr w:type="spellEnd"/>
      <w:r w:rsidRPr="0075166C">
        <w:t xml:space="preserve">, P., Fox, M., </w:t>
      </w:r>
      <w:proofErr w:type="spellStart"/>
      <w:r w:rsidRPr="0075166C">
        <w:t>Glassmire</w:t>
      </w:r>
      <w:proofErr w:type="spellEnd"/>
      <w:r w:rsidRPr="0075166C">
        <w:t xml:space="preserve">, A. E., Hazen, R., </w:t>
      </w:r>
      <w:proofErr w:type="spellStart"/>
      <w:r w:rsidRPr="0075166C">
        <w:t>Hrcek</w:t>
      </w:r>
      <w:proofErr w:type="spellEnd"/>
      <w:r w:rsidRPr="0075166C">
        <w:t xml:space="preserve">, J., </w:t>
      </w:r>
      <w:proofErr w:type="spellStart"/>
      <w:r w:rsidRPr="0075166C">
        <w:t>Jahner</w:t>
      </w:r>
      <w:proofErr w:type="spellEnd"/>
      <w:r w:rsidRPr="0075166C">
        <w:t xml:space="preserve">, J. P., Kaman, O., </w:t>
      </w:r>
      <w:proofErr w:type="spellStart"/>
      <w:r w:rsidRPr="0075166C">
        <w:t>Kozubowski</w:t>
      </w:r>
      <w:proofErr w:type="spellEnd"/>
      <w:r w:rsidRPr="0075166C">
        <w:t xml:space="preserve">, T. J., </w:t>
      </w:r>
      <w:proofErr w:type="spellStart"/>
      <w:r w:rsidRPr="0075166C">
        <w:t>Kursar</w:t>
      </w:r>
      <w:proofErr w:type="spellEnd"/>
      <w:r w:rsidRPr="0075166C">
        <w:t xml:space="preserve">, T. A., … </w:t>
      </w:r>
      <w:r w:rsidRPr="00CF592E">
        <w:t xml:space="preserve">Dyer, L. A. (2015). The global distribution of diet breadth in insect herbivores. </w:t>
      </w:r>
      <w:r w:rsidRPr="00CF592E">
        <w:rPr>
          <w:i/>
          <w:iCs/>
        </w:rPr>
        <w:t>Proceedings of the National Academy of Sciences</w:t>
      </w:r>
      <w:r w:rsidRPr="00CF592E">
        <w:t xml:space="preserve">, </w:t>
      </w:r>
      <w:r w:rsidRPr="00CF592E">
        <w:rPr>
          <w:i/>
          <w:iCs/>
        </w:rPr>
        <w:t>112</w:t>
      </w:r>
      <w:r w:rsidRPr="00CF592E">
        <w:t xml:space="preserve">, 442–447. </w:t>
      </w:r>
      <w:hyperlink r:id="rId31" w:history="1">
        <w:r w:rsidRPr="00CF592E">
          <w:rPr>
            <w:rStyle w:val="Hyperlink"/>
          </w:rPr>
          <w:t>https://doi.org/10.1073/pnas.1423042112</w:t>
        </w:r>
      </w:hyperlink>
    </w:p>
    <w:p w14:paraId="6EAC52E7" w14:textId="77777777" w:rsidR="00F87156" w:rsidRPr="00CF592E" w:rsidRDefault="00F87156" w:rsidP="00402503">
      <w:pPr>
        <w:spacing w:line="480" w:lineRule="auto"/>
        <w:ind w:left="720" w:hanging="720"/>
      </w:pPr>
    </w:p>
    <w:p w14:paraId="405DB990" w14:textId="0D9946D4" w:rsidR="00C6379C" w:rsidRDefault="00C6379C" w:rsidP="00C6379C">
      <w:pPr>
        <w:spacing w:line="480" w:lineRule="auto"/>
        <w:ind w:left="720" w:hanging="720"/>
        <w:rPr>
          <w:rStyle w:val="Hyperlink"/>
        </w:rPr>
      </w:pPr>
      <w:proofErr w:type="spellStart"/>
      <w:r w:rsidRPr="0075166C">
        <w:lastRenderedPageBreak/>
        <w:t>Galmán</w:t>
      </w:r>
      <w:proofErr w:type="spellEnd"/>
      <w:r w:rsidRPr="0075166C">
        <w:t xml:space="preserve">, A., Abdala‐Roberts, L., Zhang, S., Teran, J. C. B.-M. y, </w:t>
      </w:r>
      <w:proofErr w:type="spellStart"/>
      <w:r w:rsidRPr="0075166C">
        <w:t>Rasmann</w:t>
      </w:r>
      <w:proofErr w:type="spellEnd"/>
      <w:r w:rsidRPr="0075166C">
        <w:t xml:space="preserve">, S., &amp; Moreira, X. (2018). </w:t>
      </w:r>
      <w:r w:rsidRPr="00C6379C">
        <w:t xml:space="preserve">A global analysis of elevational gradients in leaf herbivory and its underlying drivers: Effects of plant growth form, leaf habit and climatic correlates. </w:t>
      </w:r>
      <w:r w:rsidRPr="00C6379C">
        <w:rPr>
          <w:i/>
          <w:iCs/>
        </w:rPr>
        <w:t>Journal of Ecology</w:t>
      </w:r>
      <w:r w:rsidRPr="00C6379C">
        <w:t xml:space="preserve">, </w:t>
      </w:r>
      <w:r w:rsidRPr="00C6379C">
        <w:rPr>
          <w:i/>
          <w:iCs/>
        </w:rPr>
        <w:t>106</w:t>
      </w:r>
      <w:r w:rsidRPr="00C6379C">
        <w:t xml:space="preserve">(1), 413–421. </w:t>
      </w:r>
      <w:hyperlink r:id="rId32" w:history="1">
        <w:r w:rsidRPr="00C6379C">
          <w:rPr>
            <w:rStyle w:val="Hyperlink"/>
          </w:rPr>
          <w:t>https://doi.org/10.1111/1365-2745.12866</w:t>
        </w:r>
      </w:hyperlink>
    </w:p>
    <w:p w14:paraId="5CB80FAA" w14:textId="5D5372E3" w:rsidR="002D40FA" w:rsidRPr="00402503" w:rsidRDefault="002D40FA" w:rsidP="002D40FA">
      <w:pPr>
        <w:spacing w:line="480" w:lineRule="auto"/>
        <w:ind w:left="720" w:hanging="720"/>
      </w:pPr>
      <w:r w:rsidRPr="00C6651D">
        <w:t>Gao, J., Fang, C.</w:t>
      </w:r>
      <w:r w:rsidR="00402503" w:rsidRPr="00C6651D">
        <w:t>,</w:t>
      </w:r>
      <w:r w:rsidRPr="00C6651D">
        <w:t xml:space="preserve"> </w:t>
      </w:r>
      <w:r w:rsidR="00402503" w:rsidRPr="00C6651D">
        <w:t>&amp;</w:t>
      </w:r>
      <w:r w:rsidRPr="00C6651D">
        <w:t xml:space="preserve"> Zhao, B., </w:t>
      </w:r>
      <w:r w:rsidR="00402503" w:rsidRPr="00C6651D">
        <w:t>(</w:t>
      </w:r>
      <w:r w:rsidRPr="00C6651D">
        <w:t>2019</w:t>
      </w:r>
      <w:r w:rsidR="00402503" w:rsidRPr="00C6651D">
        <w:t>)</w:t>
      </w:r>
      <w:r w:rsidRPr="00C6651D">
        <w:t xml:space="preserve">. </w:t>
      </w:r>
      <w:r w:rsidRPr="00402503">
        <w:t>The latitudinal herbivory hypothesis revisited: To be part is to be whole. </w:t>
      </w:r>
      <w:r w:rsidRPr="00402503">
        <w:rPr>
          <w:i/>
          <w:iCs/>
        </w:rPr>
        <w:t xml:space="preserve">Ecology and </w:t>
      </w:r>
      <w:r w:rsidR="006E6A5C">
        <w:rPr>
          <w:i/>
          <w:iCs/>
        </w:rPr>
        <w:t>E</w:t>
      </w:r>
      <w:r w:rsidRPr="00402503">
        <w:rPr>
          <w:i/>
          <w:iCs/>
        </w:rPr>
        <w:t>volution</w:t>
      </w:r>
      <w:r w:rsidRPr="00402503">
        <w:t>, </w:t>
      </w:r>
      <w:r w:rsidRPr="00402503">
        <w:rPr>
          <w:i/>
          <w:iCs/>
        </w:rPr>
        <w:t>9</w:t>
      </w:r>
      <w:r w:rsidRPr="00402503">
        <w:t>,</w:t>
      </w:r>
      <w:r w:rsidR="00E70A3C">
        <w:t xml:space="preserve"> </w:t>
      </w:r>
      <w:r w:rsidRPr="00402503">
        <w:t>3681-3688.</w:t>
      </w:r>
    </w:p>
    <w:p w14:paraId="37F1EC0B" w14:textId="5CDEA4C7" w:rsidR="007D4D95" w:rsidRDefault="007D4D95" w:rsidP="00C6379C">
      <w:pPr>
        <w:spacing w:line="480" w:lineRule="auto"/>
        <w:ind w:left="720" w:hanging="720"/>
      </w:pPr>
      <w:r w:rsidRPr="007D4D95">
        <w:t>Gentry, G. L., &amp; Dyer, L. A. (2002). O</w:t>
      </w:r>
      <w:r>
        <w:t>n the conditional nature of neotropical caterpillar defenses against their natural enemies</w:t>
      </w:r>
      <w:r w:rsidRPr="007D4D95">
        <w:t xml:space="preserve">. </w:t>
      </w:r>
      <w:r w:rsidRPr="007D4D95">
        <w:rPr>
          <w:i/>
          <w:iCs/>
        </w:rPr>
        <w:t>Ecology, 83</w:t>
      </w:r>
      <w:r w:rsidRPr="007D4D95">
        <w:t>(11), 3108–3119. https://doi.org/10.1890/0012-9658(2002)083[</w:t>
      </w:r>
      <w:proofErr w:type="gramStart"/>
      <w:r w:rsidRPr="007D4D95">
        <w:t>3108:OTCNON</w:t>
      </w:r>
      <w:proofErr w:type="gramEnd"/>
      <w:r w:rsidRPr="007D4D95">
        <w:t>]2.0.CO;2</w:t>
      </w:r>
    </w:p>
    <w:p w14:paraId="66A49729" w14:textId="7BF66E49" w:rsidR="00C6379C" w:rsidRDefault="00C6379C" w:rsidP="00C6379C">
      <w:pPr>
        <w:spacing w:line="480" w:lineRule="auto"/>
        <w:ind w:left="720" w:hanging="720"/>
        <w:rPr>
          <w:rStyle w:val="Hyperlink"/>
        </w:rPr>
      </w:pPr>
      <w:r w:rsidRPr="00C6379C">
        <w:t xml:space="preserve">Germany, M. S., </w:t>
      </w:r>
      <w:proofErr w:type="spellStart"/>
      <w:r w:rsidRPr="00C6379C">
        <w:t>Bruelheide</w:t>
      </w:r>
      <w:proofErr w:type="spellEnd"/>
      <w:r w:rsidRPr="00C6379C">
        <w:t xml:space="preserve">, H., &amp; </w:t>
      </w:r>
      <w:proofErr w:type="spellStart"/>
      <w:r w:rsidRPr="00C6379C">
        <w:t>Erfmeier</w:t>
      </w:r>
      <w:proofErr w:type="spellEnd"/>
      <w:r w:rsidRPr="00C6379C">
        <w:t xml:space="preserve">, A. (2019). Janzen-Connell effects in a forest BEF experiment: Strong distance-dependent seedling establishment of multiple species. </w:t>
      </w:r>
      <w:r w:rsidRPr="00C6379C">
        <w:rPr>
          <w:i/>
          <w:iCs/>
        </w:rPr>
        <w:t>Ecology</w:t>
      </w:r>
      <w:r w:rsidRPr="00C6379C">
        <w:t xml:space="preserve">, </w:t>
      </w:r>
      <w:r w:rsidRPr="00C6379C">
        <w:rPr>
          <w:i/>
          <w:iCs/>
        </w:rPr>
        <w:t>100</w:t>
      </w:r>
      <w:r w:rsidRPr="00C6379C">
        <w:t xml:space="preserve">(8), e02736. </w:t>
      </w:r>
      <w:hyperlink r:id="rId33" w:history="1">
        <w:r w:rsidRPr="00C6379C">
          <w:rPr>
            <w:rStyle w:val="Hyperlink"/>
          </w:rPr>
          <w:t>https://doi.org/10.1002/ecy.2736</w:t>
        </w:r>
      </w:hyperlink>
    </w:p>
    <w:p w14:paraId="126A296A" w14:textId="293A19F3" w:rsidR="00E70A3C" w:rsidRPr="00E70A3C" w:rsidRDefault="00E70A3C" w:rsidP="00E70A3C">
      <w:pPr>
        <w:spacing w:line="480" w:lineRule="auto"/>
        <w:ind w:left="720" w:hanging="720"/>
      </w:pPr>
      <w:proofErr w:type="spellStart"/>
      <w:r w:rsidRPr="00E70A3C">
        <w:t>Glassmire</w:t>
      </w:r>
      <w:proofErr w:type="spellEnd"/>
      <w:r w:rsidRPr="00E70A3C">
        <w:t>, A. E., Carson, W. P.</w:t>
      </w:r>
      <w:r>
        <w:t xml:space="preserve">, </w:t>
      </w:r>
      <w:proofErr w:type="spellStart"/>
      <w:r w:rsidRPr="00E70A3C">
        <w:t>Smilanich</w:t>
      </w:r>
      <w:proofErr w:type="spellEnd"/>
      <w:r w:rsidRPr="00E70A3C">
        <w:t>, A. M.</w:t>
      </w:r>
      <w:r>
        <w:t>,</w:t>
      </w:r>
      <w:r w:rsidRPr="00E70A3C">
        <w:t xml:space="preserve"> Richards,</w:t>
      </w:r>
      <w:r>
        <w:t xml:space="preserve"> </w:t>
      </w:r>
      <w:r w:rsidRPr="00E70A3C">
        <w:t>L. A.</w:t>
      </w:r>
      <w:r>
        <w:t>,</w:t>
      </w:r>
      <w:r w:rsidRPr="00E70A3C">
        <w:t xml:space="preserve"> Jeffrey, C. S.</w:t>
      </w:r>
      <w:r>
        <w:t>,</w:t>
      </w:r>
      <w:r w:rsidRPr="00E70A3C">
        <w:t xml:space="preserve"> Dodson, C. D.</w:t>
      </w:r>
      <w:r>
        <w:t>,</w:t>
      </w:r>
      <w:r w:rsidRPr="00E70A3C">
        <w:t xml:space="preserve"> Philbin, C. S.</w:t>
      </w:r>
      <w:r>
        <w:t>,</w:t>
      </w:r>
      <w:r w:rsidRPr="00E70A3C">
        <w:t xml:space="preserve"> </w:t>
      </w:r>
      <w:r>
        <w:t>Garcia Lopez, H.</w:t>
      </w:r>
      <w:r w:rsidRPr="00E70A3C">
        <w:t>, and Dyer</w:t>
      </w:r>
      <w:r>
        <w:t xml:space="preserve">, </w:t>
      </w:r>
      <w:r w:rsidRPr="00E70A3C">
        <w:t xml:space="preserve">L. A. </w:t>
      </w:r>
      <w:r>
        <w:t>(</w:t>
      </w:r>
      <w:r w:rsidRPr="00E70A3C">
        <w:t>2023</w:t>
      </w:r>
      <w:r>
        <w:t>)</w:t>
      </w:r>
      <w:r w:rsidRPr="00E70A3C">
        <w:t xml:space="preserve">. Multiple and contrasting pressures determine intraspecific phytochemical variation in a tropical shrub. </w:t>
      </w:r>
      <w:proofErr w:type="spellStart"/>
      <w:proofErr w:type="gramStart"/>
      <w:r w:rsidRPr="00E70A3C">
        <w:rPr>
          <w:i/>
          <w:iCs/>
        </w:rPr>
        <w:t>Oecologia</w:t>
      </w:r>
      <w:proofErr w:type="spellEnd"/>
      <w:r>
        <w:rPr>
          <w:i/>
          <w:iCs/>
        </w:rPr>
        <w:t xml:space="preserve">, </w:t>
      </w:r>
      <w:r w:rsidRPr="00E70A3C">
        <w:rPr>
          <w:i/>
          <w:iCs/>
        </w:rPr>
        <w:t xml:space="preserve"> 201</w:t>
      </w:r>
      <w:proofErr w:type="gramEnd"/>
      <w:r>
        <w:t xml:space="preserve">, </w:t>
      </w:r>
      <w:r w:rsidRPr="00E70A3C">
        <w:t>991–1003.</w:t>
      </w:r>
    </w:p>
    <w:p w14:paraId="5347F588" w14:textId="4BAF9FD0" w:rsidR="00C6379C" w:rsidRPr="00C6379C" w:rsidRDefault="00C6379C" w:rsidP="00C6379C">
      <w:pPr>
        <w:spacing w:line="480" w:lineRule="auto"/>
        <w:ind w:left="720" w:hanging="720"/>
      </w:pPr>
      <w:r w:rsidRPr="00C6379C">
        <w:t xml:space="preserve">Hahn, P. G., Agrawal, A. A., Sussman, K. I., &amp; Maron, J. L. (2019). Population </w:t>
      </w:r>
      <w:r w:rsidR="00402503">
        <w:t>v</w:t>
      </w:r>
      <w:r w:rsidRPr="00C6379C">
        <w:t xml:space="preserve">ariation, </w:t>
      </w:r>
      <w:r w:rsidR="00402503">
        <w:t>e</w:t>
      </w:r>
      <w:r w:rsidRPr="00C6379C">
        <w:t xml:space="preserve">nvironmental </w:t>
      </w:r>
      <w:r w:rsidR="00402503">
        <w:t>g</w:t>
      </w:r>
      <w:r w:rsidRPr="00C6379C">
        <w:t xml:space="preserve">radients, and the </w:t>
      </w:r>
      <w:r w:rsidR="00402503">
        <w:t>e</w:t>
      </w:r>
      <w:r w:rsidRPr="00C6379C">
        <w:t xml:space="preserve">volutionary </w:t>
      </w:r>
      <w:r w:rsidR="00402503">
        <w:t>e</w:t>
      </w:r>
      <w:r w:rsidRPr="00C6379C">
        <w:t xml:space="preserve">cology of </w:t>
      </w:r>
      <w:r w:rsidR="00402503">
        <w:t>p</w:t>
      </w:r>
      <w:r w:rsidRPr="00C6379C">
        <w:t xml:space="preserve">lant </w:t>
      </w:r>
      <w:r w:rsidR="00402503">
        <w:t>d</w:t>
      </w:r>
      <w:r w:rsidRPr="00C6379C">
        <w:t xml:space="preserve">efense against </w:t>
      </w:r>
      <w:r w:rsidR="00402503">
        <w:t>h</w:t>
      </w:r>
      <w:r w:rsidRPr="00C6379C">
        <w:t xml:space="preserve">erbivory. </w:t>
      </w:r>
      <w:r w:rsidRPr="00C6379C">
        <w:rPr>
          <w:i/>
          <w:iCs/>
        </w:rPr>
        <w:t>The American Naturalist</w:t>
      </w:r>
      <w:r w:rsidRPr="00C6379C">
        <w:t xml:space="preserve">, </w:t>
      </w:r>
      <w:r w:rsidRPr="00C6379C">
        <w:rPr>
          <w:i/>
          <w:iCs/>
        </w:rPr>
        <w:t>193</w:t>
      </w:r>
      <w:r w:rsidRPr="00C6379C">
        <w:t xml:space="preserve">(1), 20–34. </w:t>
      </w:r>
      <w:hyperlink r:id="rId34" w:history="1">
        <w:r w:rsidRPr="00C6379C">
          <w:rPr>
            <w:rStyle w:val="Hyperlink"/>
          </w:rPr>
          <w:t>https://doi.org/10.1086/700838</w:t>
        </w:r>
      </w:hyperlink>
    </w:p>
    <w:p w14:paraId="0AA342FE" w14:textId="7D732003" w:rsidR="00C6379C" w:rsidRPr="00C6379C" w:rsidRDefault="00C6379C" w:rsidP="00C6379C">
      <w:pPr>
        <w:spacing w:line="480" w:lineRule="auto"/>
        <w:ind w:left="720" w:hanging="720"/>
      </w:pPr>
      <w:r w:rsidRPr="00C6379C">
        <w:t xml:space="preserve">Hairston, N. G., Smith, F. E., &amp; </w:t>
      </w:r>
      <w:proofErr w:type="spellStart"/>
      <w:r w:rsidRPr="00C6379C">
        <w:t>Slobodkin</w:t>
      </w:r>
      <w:proofErr w:type="spellEnd"/>
      <w:r w:rsidRPr="00C6379C">
        <w:t xml:space="preserve">, L. B. (1960). Community </w:t>
      </w:r>
      <w:r w:rsidR="00402503">
        <w:t>s</w:t>
      </w:r>
      <w:r w:rsidRPr="00C6379C">
        <w:t xml:space="preserve">tructure, </w:t>
      </w:r>
      <w:r w:rsidR="00402503">
        <w:t>p</w:t>
      </w:r>
      <w:r w:rsidRPr="00C6379C">
        <w:t xml:space="preserve">opulation </w:t>
      </w:r>
      <w:r w:rsidR="00402503">
        <w:t>c</w:t>
      </w:r>
      <w:r w:rsidRPr="00C6379C">
        <w:t xml:space="preserve">ontrol, and </w:t>
      </w:r>
      <w:r w:rsidR="00402503">
        <w:t>c</w:t>
      </w:r>
      <w:r w:rsidRPr="00C6379C">
        <w:t xml:space="preserve">ompetition. </w:t>
      </w:r>
      <w:r w:rsidRPr="00C6379C">
        <w:rPr>
          <w:i/>
          <w:iCs/>
        </w:rPr>
        <w:t>The American Naturalist</w:t>
      </w:r>
      <w:r w:rsidRPr="00C6379C">
        <w:t xml:space="preserve">, </w:t>
      </w:r>
      <w:r w:rsidRPr="00C6379C">
        <w:rPr>
          <w:i/>
          <w:iCs/>
        </w:rPr>
        <w:t>94</w:t>
      </w:r>
      <w:r w:rsidRPr="00C6379C">
        <w:t xml:space="preserve">(879), 421–425. </w:t>
      </w:r>
      <w:hyperlink r:id="rId35" w:history="1">
        <w:r w:rsidRPr="00C6379C">
          <w:rPr>
            <w:rStyle w:val="Hyperlink"/>
          </w:rPr>
          <w:t>https://www.jstor.org/stable/2458808</w:t>
        </w:r>
      </w:hyperlink>
    </w:p>
    <w:p w14:paraId="344DC2EC" w14:textId="17F2F937" w:rsidR="00C6379C" w:rsidRPr="00C6379C" w:rsidRDefault="00C6379C" w:rsidP="00C6379C">
      <w:pPr>
        <w:spacing w:line="480" w:lineRule="auto"/>
        <w:ind w:left="720" w:hanging="720"/>
      </w:pPr>
      <w:r w:rsidRPr="00C6379C">
        <w:lastRenderedPageBreak/>
        <w:t xml:space="preserve">Hunter, M. D., &amp; </w:t>
      </w:r>
      <w:proofErr w:type="spellStart"/>
      <w:r w:rsidRPr="00C6379C">
        <w:t>Forkner</w:t>
      </w:r>
      <w:proofErr w:type="spellEnd"/>
      <w:r w:rsidRPr="00C6379C">
        <w:t xml:space="preserve">, R. E. (1999). Hurricane </w:t>
      </w:r>
      <w:r w:rsidR="00402503">
        <w:t>d</w:t>
      </w:r>
      <w:r w:rsidRPr="00C6379C">
        <w:t xml:space="preserve">amage </w:t>
      </w:r>
      <w:r w:rsidR="00402503">
        <w:t>i</w:t>
      </w:r>
      <w:r w:rsidRPr="00C6379C">
        <w:t xml:space="preserve">nfluences </w:t>
      </w:r>
      <w:r w:rsidR="00402503">
        <w:t>f</w:t>
      </w:r>
      <w:r w:rsidRPr="00C6379C">
        <w:t xml:space="preserve">oliar </w:t>
      </w:r>
      <w:r w:rsidR="00402503">
        <w:t>p</w:t>
      </w:r>
      <w:r w:rsidRPr="00C6379C">
        <w:t xml:space="preserve">olyphenolics and </w:t>
      </w:r>
      <w:r w:rsidR="00402503">
        <w:t>s</w:t>
      </w:r>
      <w:r w:rsidRPr="00C6379C">
        <w:t xml:space="preserve">ubsequent </w:t>
      </w:r>
      <w:r w:rsidR="00402503">
        <w:t>h</w:t>
      </w:r>
      <w:r w:rsidRPr="00C6379C">
        <w:t xml:space="preserve">erbivory on </w:t>
      </w:r>
      <w:r w:rsidR="00402503">
        <w:t>s</w:t>
      </w:r>
      <w:r w:rsidRPr="00C6379C">
        <w:t xml:space="preserve">urviving </w:t>
      </w:r>
      <w:r w:rsidR="00402503">
        <w:t>t</w:t>
      </w:r>
      <w:r w:rsidRPr="00C6379C">
        <w:t xml:space="preserve">rees. </w:t>
      </w:r>
      <w:r w:rsidRPr="00C6379C">
        <w:rPr>
          <w:i/>
          <w:iCs/>
        </w:rPr>
        <w:t>Ecology</w:t>
      </w:r>
      <w:r w:rsidRPr="00C6379C">
        <w:t xml:space="preserve">, </w:t>
      </w:r>
      <w:r w:rsidRPr="00C6379C">
        <w:rPr>
          <w:i/>
          <w:iCs/>
        </w:rPr>
        <w:t>80</w:t>
      </w:r>
      <w:r w:rsidRPr="00C6379C">
        <w:t xml:space="preserve">(8), 2676–2682. </w:t>
      </w:r>
      <w:hyperlink r:id="rId36" w:history="1">
        <w:r w:rsidRPr="00C6379C">
          <w:rPr>
            <w:rStyle w:val="Hyperlink"/>
          </w:rPr>
          <w:t>https://doi.org/10.1890/0012-9658(1999)080[2676:HDIFPA]2.0.CO;2</w:t>
        </w:r>
      </w:hyperlink>
    </w:p>
    <w:p w14:paraId="263B9780" w14:textId="77777777" w:rsidR="00C6379C" w:rsidRPr="00C6379C" w:rsidRDefault="00C6379C" w:rsidP="00C6379C">
      <w:pPr>
        <w:spacing w:line="480" w:lineRule="auto"/>
        <w:ind w:left="720" w:hanging="720"/>
      </w:pPr>
      <w:proofErr w:type="spellStart"/>
      <w:r w:rsidRPr="00C6379C">
        <w:t>Jactel</w:t>
      </w:r>
      <w:proofErr w:type="spellEnd"/>
      <w:r w:rsidRPr="00C6379C">
        <w:t xml:space="preserve">, H., &amp; </w:t>
      </w:r>
      <w:proofErr w:type="spellStart"/>
      <w:r w:rsidRPr="00C6379C">
        <w:t>Brockerhoff</w:t>
      </w:r>
      <w:proofErr w:type="spellEnd"/>
      <w:r w:rsidRPr="00C6379C">
        <w:t xml:space="preserve">, E. G. (2007). Tree diversity reduces herbivory by forest insects. </w:t>
      </w:r>
      <w:r w:rsidRPr="00C6379C">
        <w:rPr>
          <w:i/>
          <w:iCs/>
        </w:rPr>
        <w:t>Ecology Letters</w:t>
      </w:r>
      <w:r w:rsidRPr="00C6379C">
        <w:t xml:space="preserve">, </w:t>
      </w:r>
      <w:r w:rsidRPr="00C6379C">
        <w:rPr>
          <w:i/>
          <w:iCs/>
        </w:rPr>
        <w:t>10</w:t>
      </w:r>
      <w:r w:rsidRPr="00C6379C">
        <w:t xml:space="preserve">(9), 835–848. </w:t>
      </w:r>
      <w:hyperlink r:id="rId37" w:history="1">
        <w:r w:rsidRPr="00C6379C">
          <w:rPr>
            <w:rStyle w:val="Hyperlink"/>
          </w:rPr>
          <w:t>https://doi.org/10.1111/j.1461-0248.2007.01073.x</w:t>
        </w:r>
      </w:hyperlink>
    </w:p>
    <w:p w14:paraId="572FD314" w14:textId="1B2B68C4" w:rsidR="00C6379C" w:rsidRPr="00C6379C" w:rsidRDefault="00C6379C" w:rsidP="00C6379C">
      <w:pPr>
        <w:spacing w:line="480" w:lineRule="auto"/>
        <w:ind w:left="720" w:hanging="720"/>
      </w:pPr>
      <w:proofErr w:type="spellStart"/>
      <w:r w:rsidRPr="00C6379C">
        <w:t>Jactel</w:t>
      </w:r>
      <w:proofErr w:type="spellEnd"/>
      <w:r w:rsidRPr="00C6379C">
        <w:t xml:space="preserve">, H., Moreira, X., &amp; </w:t>
      </w:r>
      <w:proofErr w:type="spellStart"/>
      <w:r w:rsidRPr="00C6379C">
        <w:t>Castagneyrol</w:t>
      </w:r>
      <w:proofErr w:type="spellEnd"/>
      <w:r w:rsidRPr="00C6379C">
        <w:t xml:space="preserve">, B. (2021). Tree </w:t>
      </w:r>
      <w:r w:rsidR="00402503">
        <w:t>d</w:t>
      </w:r>
      <w:r w:rsidRPr="00C6379C">
        <w:t xml:space="preserve">iversity and </w:t>
      </w:r>
      <w:r w:rsidR="00402503">
        <w:t>f</w:t>
      </w:r>
      <w:r w:rsidRPr="00C6379C">
        <w:t xml:space="preserve">orest </w:t>
      </w:r>
      <w:r w:rsidR="00402503">
        <w:t>r</w:t>
      </w:r>
      <w:r w:rsidRPr="00C6379C">
        <w:t xml:space="preserve">esistance to </w:t>
      </w:r>
      <w:r w:rsidR="00402503">
        <w:t>i</w:t>
      </w:r>
      <w:r w:rsidRPr="00C6379C">
        <w:t xml:space="preserve">nsect </w:t>
      </w:r>
      <w:r w:rsidR="00402503">
        <w:t>p</w:t>
      </w:r>
      <w:r w:rsidRPr="00C6379C">
        <w:t xml:space="preserve">ests: Patterns, </w:t>
      </w:r>
      <w:r w:rsidR="00402503">
        <w:t>m</w:t>
      </w:r>
      <w:r w:rsidRPr="00C6379C">
        <w:t xml:space="preserve">echanisms, and </w:t>
      </w:r>
      <w:r w:rsidR="00402503">
        <w:t>p</w:t>
      </w:r>
      <w:r w:rsidRPr="00C6379C">
        <w:t xml:space="preserve">rospects. In A. E. Douglas (Ed.), </w:t>
      </w:r>
      <w:r w:rsidRPr="00C6379C">
        <w:rPr>
          <w:i/>
          <w:iCs/>
        </w:rPr>
        <w:t>Annual Review of Entomology, Vol 66, 2021</w:t>
      </w:r>
      <w:r w:rsidRPr="00C6379C">
        <w:t xml:space="preserve"> (Vol. 66, pp. 277–296). Annual Reviews. </w:t>
      </w:r>
      <w:hyperlink r:id="rId38" w:history="1">
        <w:r w:rsidRPr="00C6379C">
          <w:rPr>
            <w:rStyle w:val="Hyperlink"/>
          </w:rPr>
          <w:t>https://doi.org/10.1146/annurev-ento-041720-075234</w:t>
        </w:r>
      </w:hyperlink>
    </w:p>
    <w:p w14:paraId="0CCAFC39" w14:textId="036B6A43" w:rsidR="00C73ED4" w:rsidRDefault="00C73ED4" w:rsidP="00C73ED4">
      <w:pPr>
        <w:spacing w:after="0" w:line="480" w:lineRule="auto"/>
        <w:ind w:left="720" w:hanging="720"/>
        <w:rPr>
          <w:rFonts w:eastAsia="Calibri"/>
        </w:rPr>
      </w:pPr>
      <w:r w:rsidRPr="00153580">
        <w:rPr>
          <w:rFonts w:eastAsia="Calibri"/>
        </w:rPr>
        <w:t>Janzen</w:t>
      </w:r>
      <w:r>
        <w:rPr>
          <w:rFonts w:eastAsia="Calibri"/>
        </w:rPr>
        <w:t>,</w:t>
      </w:r>
      <w:r w:rsidRPr="00153580">
        <w:rPr>
          <w:rFonts w:eastAsia="Calibri"/>
        </w:rPr>
        <w:t xml:space="preserve"> D. </w:t>
      </w:r>
      <w:r>
        <w:rPr>
          <w:rFonts w:eastAsia="Calibri"/>
        </w:rPr>
        <w:t>(</w:t>
      </w:r>
      <w:r w:rsidRPr="00153580">
        <w:rPr>
          <w:rFonts w:eastAsia="Calibri"/>
        </w:rPr>
        <w:t>1970</w:t>
      </w:r>
      <w:r>
        <w:rPr>
          <w:rFonts w:eastAsia="Calibri"/>
        </w:rPr>
        <w:t>)</w:t>
      </w:r>
      <w:r w:rsidRPr="00153580">
        <w:rPr>
          <w:rFonts w:eastAsia="Calibri"/>
        </w:rPr>
        <w:t xml:space="preserve">. Herbivores and the number of tree species in tropical forests. </w:t>
      </w:r>
      <w:r w:rsidRPr="00C73ED4">
        <w:rPr>
          <w:rFonts w:eastAsia="Calibri"/>
          <w:i/>
          <w:iCs/>
        </w:rPr>
        <w:t>American Naturalist 104</w:t>
      </w:r>
      <w:r w:rsidRPr="00153580">
        <w:rPr>
          <w:rFonts w:eastAsia="Calibri"/>
        </w:rPr>
        <w:t>:501-528.</w:t>
      </w:r>
    </w:p>
    <w:p w14:paraId="42498694" w14:textId="682C7680" w:rsidR="00C73ED4" w:rsidRPr="00153580" w:rsidRDefault="00C6379C" w:rsidP="00C73ED4">
      <w:pPr>
        <w:spacing w:after="0" w:line="480" w:lineRule="auto"/>
        <w:ind w:left="720" w:hanging="720"/>
        <w:rPr>
          <w:rFonts w:eastAsia="Calibri"/>
        </w:rPr>
      </w:pPr>
      <w:r w:rsidRPr="00C609C6">
        <w:t xml:space="preserve">Johnson, M. T. J., &amp; </w:t>
      </w:r>
      <w:proofErr w:type="spellStart"/>
      <w:r w:rsidRPr="00C609C6">
        <w:t>Rasmann</w:t>
      </w:r>
      <w:proofErr w:type="spellEnd"/>
      <w:r w:rsidRPr="00C609C6">
        <w:t xml:space="preserve">, S. (2011). </w:t>
      </w:r>
      <w:r w:rsidRPr="00C6379C">
        <w:t xml:space="preserve">The latitudinal herbivory-defence hypothesis takes a detour on the map. </w:t>
      </w:r>
      <w:r w:rsidRPr="00C6379C">
        <w:rPr>
          <w:i/>
          <w:iCs/>
        </w:rPr>
        <w:t>New Phytologist</w:t>
      </w:r>
      <w:r w:rsidRPr="00C6379C">
        <w:t xml:space="preserve">, </w:t>
      </w:r>
      <w:r w:rsidRPr="00C6379C">
        <w:rPr>
          <w:i/>
          <w:iCs/>
        </w:rPr>
        <w:t>191</w:t>
      </w:r>
      <w:r w:rsidRPr="00C6379C">
        <w:t xml:space="preserve">(3), 589–592. </w:t>
      </w:r>
      <w:hyperlink r:id="rId39" w:history="1">
        <w:r w:rsidRPr="00C6379C">
          <w:rPr>
            <w:rStyle w:val="Hyperlink"/>
          </w:rPr>
          <w:t>https://doi.org/10.1111/j.1469-8137.2011.03816.x</w:t>
        </w:r>
      </w:hyperlink>
      <w:r w:rsidR="00C73ED4" w:rsidRPr="00C73ED4">
        <w:rPr>
          <w:rFonts w:eastAsia="Calibri"/>
        </w:rPr>
        <w:t xml:space="preserve"> </w:t>
      </w:r>
    </w:p>
    <w:p w14:paraId="7833A59B" w14:textId="7F59BAEF" w:rsidR="00C73ED4" w:rsidRPr="00153580" w:rsidRDefault="00C73ED4" w:rsidP="00C73ED4">
      <w:pPr>
        <w:spacing w:after="0" w:line="480" w:lineRule="auto"/>
        <w:ind w:left="720" w:hanging="720"/>
        <w:rPr>
          <w:rFonts w:eastAsia="Calibri"/>
        </w:rPr>
      </w:pPr>
      <w:proofErr w:type="spellStart"/>
      <w:r w:rsidRPr="00153580">
        <w:rPr>
          <w:rFonts w:eastAsia="Calibri"/>
        </w:rPr>
        <w:t>Jost</w:t>
      </w:r>
      <w:proofErr w:type="spellEnd"/>
      <w:r>
        <w:rPr>
          <w:rFonts w:eastAsia="Calibri"/>
        </w:rPr>
        <w:t>,</w:t>
      </w:r>
      <w:r w:rsidRPr="00153580">
        <w:rPr>
          <w:rFonts w:eastAsia="Calibri"/>
        </w:rPr>
        <w:t xml:space="preserve"> L. </w:t>
      </w:r>
      <w:r>
        <w:rPr>
          <w:rFonts w:eastAsia="Calibri"/>
        </w:rPr>
        <w:t>(</w:t>
      </w:r>
      <w:r w:rsidRPr="00153580">
        <w:rPr>
          <w:rFonts w:eastAsia="Calibri"/>
        </w:rPr>
        <w:t>2006</w:t>
      </w:r>
      <w:r>
        <w:rPr>
          <w:rFonts w:eastAsia="Calibri"/>
        </w:rPr>
        <w:t>)</w:t>
      </w:r>
      <w:r w:rsidRPr="00153580">
        <w:rPr>
          <w:rFonts w:eastAsia="Calibri"/>
        </w:rPr>
        <w:t xml:space="preserve">. Entropy and diversity. </w:t>
      </w:r>
      <w:r w:rsidRPr="00C73ED4">
        <w:rPr>
          <w:rFonts w:eastAsia="Calibri"/>
          <w:i/>
          <w:iCs/>
        </w:rPr>
        <w:t>Oikos 113</w:t>
      </w:r>
      <w:r w:rsidRPr="00153580">
        <w:rPr>
          <w:rFonts w:eastAsia="Calibri"/>
        </w:rPr>
        <w:t>:363-375.</w:t>
      </w:r>
    </w:p>
    <w:p w14:paraId="1CBDA84D" w14:textId="0FF9D7D5" w:rsidR="00C6379C" w:rsidRPr="00AC516E" w:rsidRDefault="00C6379C" w:rsidP="00C6379C">
      <w:pPr>
        <w:spacing w:line="480" w:lineRule="auto"/>
        <w:ind w:left="720" w:hanging="720"/>
        <w:rPr>
          <w:rStyle w:val="Hyperlink"/>
        </w:rPr>
      </w:pPr>
      <w:r w:rsidRPr="00C6379C">
        <w:t xml:space="preserve">Katz, D. S. W. (2016). The effects of invertebrate herbivores on plant population growth: A meta-regression analysis. </w:t>
      </w:r>
      <w:proofErr w:type="spellStart"/>
      <w:r w:rsidRPr="00C609C6">
        <w:rPr>
          <w:i/>
          <w:iCs/>
        </w:rPr>
        <w:t>Oecologia</w:t>
      </w:r>
      <w:proofErr w:type="spellEnd"/>
      <w:r w:rsidRPr="00C609C6">
        <w:t xml:space="preserve">, </w:t>
      </w:r>
      <w:r w:rsidRPr="00C609C6">
        <w:rPr>
          <w:i/>
          <w:iCs/>
        </w:rPr>
        <w:t>182</w:t>
      </w:r>
      <w:r w:rsidRPr="00C609C6">
        <w:t xml:space="preserve">(1), 43–53. </w:t>
      </w:r>
      <w:hyperlink r:id="rId40" w:history="1">
        <w:r w:rsidRPr="00C609C6">
          <w:rPr>
            <w:rStyle w:val="Hyperlink"/>
          </w:rPr>
          <w:t>https://doi.org/10.1007/s00442-016-3602-9</w:t>
        </w:r>
      </w:hyperlink>
    </w:p>
    <w:p w14:paraId="7BC34414" w14:textId="7C8E9D1D" w:rsidR="002D40FA" w:rsidRPr="00402503" w:rsidRDefault="002D40FA" w:rsidP="002D40FA">
      <w:pPr>
        <w:spacing w:line="480" w:lineRule="auto"/>
        <w:ind w:left="720" w:hanging="720"/>
      </w:pPr>
      <w:r w:rsidRPr="00402503">
        <w:t xml:space="preserve">Kent, D.R., Lynn, J.S., </w:t>
      </w:r>
      <w:proofErr w:type="spellStart"/>
      <w:r w:rsidRPr="00402503">
        <w:t>Pennings</w:t>
      </w:r>
      <w:proofErr w:type="spellEnd"/>
      <w:r w:rsidRPr="00402503">
        <w:t xml:space="preserve">, S.C., Souza, L.A., Smith, M.D. and </w:t>
      </w:r>
      <w:proofErr w:type="spellStart"/>
      <w:r w:rsidRPr="00402503">
        <w:t>Rudgers</w:t>
      </w:r>
      <w:proofErr w:type="spellEnd"/>
      <w:r w:rsidRPr="00402503">
        <w:t xml:space="preserve">, J.A., </w:t>
      </w:r>
      <w:r w:rsidR="00402503">
        <w:t>(</w:t>
      </w:r>
      <w:r w:rsidRPr="00402503">
        <w:t>2020</w:t>
      </w:r>
      <w:r w:rsidR="00402503">
        <w:t>)</w:t>
      </w:r>
      <w:r w:rsidRPr="00402503">
        <w:t>. Weak latitudinal gradients in insect herbivory for dominant rangeland grasses of North America. </w:t>
      </w:r>
      <w:r w:rsidRPr="00402503">
        <w:rPr>
          <w:i/>
          <w:iCs/>
        </w:rPr>
        <w:t>Ecology and evolution</w:t>
      </w:r>
      <w:r w:rsidRPr="00402503">
        <w:t>, </w:t>
      </w:r>
      <w:r w:rsidRPr="00402503">
        <w:rPr>
          <w:i/>
          <w:iCs/>
        </w:rPr>
        <w:t>10</w:t>
      </w:r>
      <w:r w:rsidRPr="00402503">
        <w:t>(13),</w:t>
      </w:r>
      <w:r w:rsidR="00402503">
        <w:t xml:space="preserve"> </w:t>
      </w:r>
      <w:r w:rsidRPr="00402503">
        <w:t>6385-6394.</w:t>
      </w:r>
    </w:p>
    <w:p w14:paraId="62C35615" w14:textId="6129E63E" w:rsidR="00ED48A2" w:rsidRDefault="00ED48A2" w:rsidP="00C6379C">
      <w:pPr>
        <w:spacing w:line="480" w:lineRule="auto"/>
        <w:ind w:left="720" w:hanging="720"/>
      </w:pPr>
      <w:proofErr w:type="spellStart"/>
      <w:r w:rsidRPr="00ED48A2">
        <w:lastRenderedPageBreak/>
        <w:t>Langeheim</w:t>
      </w:r>
      <w:proofErr w:type="spellEnd"/>
      <w:r w:rsidRPr="00ED48A2">
        <w:t xml:space="preserve">, J. H., </w:t>
      </w:r>
      <w:r>
        <w:t>&amp;</w:t>
      </w:r>
      <w:r w:rsidRPr="00ED48A2">
        <w:t xml:space="preserve"> Stubblebine</w:t>
      </w:r>
      <w:r>
        <w:t xml:space="preserve">, </w:t>
      </w:r>
      <w:r w:rsidRPr="00ED48A2">
        <w:t xml:space="preserve">W. H. </w:t>
      </w:r>
      <w:r>
        <w:t>(</w:t>
      </w:r>
      <w:r w:rsidRPr="00ED48A2">
        <w:t>1983</w:t>
      </w:r>
      <w:r>
        <w:t>)</w:t>
      </w:r>
      <w:r w:rsidRPr="00ED48A2">
        <w:t xml:space="preserve">. Variation in leaf resin composition between parent tree and progeny in </w:t>
      </w:r>
      <w:proofErr w:type="spellStart"/>
      <w:r w:rsidRPr="00ED48A2">
        <w:rPr>
          <w:i/>
          <w:iCs/>
        </w:rPr>
        <w:t>Hymenaea</w:t>
      </w:r>
      <w:proofErr w:type="spellEnd"/>
      <w:r w:rsidRPr="00ED48A2">
        <w:t xml:space="preserve">: Implications for herbivory in the humid tropics. </w:t>
      </w:r>
      <w:r w:rsidRPr="001E0FBB">
        <w:rPr>
          <w:i/>
          <w:iCs/>
        </w:rPr>
        <w:t>Biochemical Systematics and Ecology 11</w:t>
      </w:r>
      <w:r w:rsidRPr="00ED48A2">
        <w:t>:97–106.</w:t>
      </w:r>
    </w:p>
    <w:p w14:paraId="7D1B79B8" w14:textId="6564B011" w:rsidR="00C6379C" w:rsidRDefault="00C6379C" w:rsidP="00C6379C">
      <w:pPr>
        <w:spacing w:line="480" w:lineRule="auto"/>
        <w:ind w:left="720" w:hanging="720"/>
        <w:rPr>
          <w:rStyle w:val="Hyperlink"/>
        </w:rPr>
      </w:pPr>
      <w:r w:rsidRPr="00C6379C">
        <w:t xml:space="preserve">Levi, T., Barfield, M., </w:t>
      </w:r>
      <w:proofErr w:type="spellStart"/>
      <w:r w:rsidRPr="00C6379C">
        <w:t>Barrantes</w:t>
      </w:r>
      <w:proofErr w:type="spellEnd"/>
      <w:r w:rsidRPr="00C6379C">
        <w:t xml:space="preserve">, S., Sullivan, C., Holt, R. D., &amp; </w:t>
      </w:r>
      <w:proofErr w:type="spellStart"/>
      <w:r w:rsidRPr="00C6379C">
        <w:t>Terborgh</w:t>
      </w:r>
      <w:proofErr w:type="spellEnd"/>
      <w:r w:rsidRPr="00C6379C">
        <w:t xml:space="preserve">, J. (2019). Tropical forests can maintain </w:t>
      </w:r>
      <w:proofErr w:type="spellStart"/>
      <w:r w:rsidRPr="00C6379C">
        <w:t>hyperdiversity</w:t>
      </w:r>
      <w:proofErr w:type="spellEnd"/>
      <w:r w:rsidRPr="00C6379C">
        <w:t xml:space="preserve"> because of enemies. </w:t>
      </w:r>
      <w:r w:rsidRPr="00C6379C">
        <w:rPr>
          <w:i/>
          <w:iCs/>
        </w:rPr>
        <w:t>Proceedings of the National Academy of Sciences of the United States of America</w:t>
      </w:r>
      <w:r w:rsidRPr="00C6379C">
        <w:t xml:space="preserve">, </w:t>
      </w:r>
      <w:r w:rsidRPr="00C6379C">
        <w:rPr>
          <w:i/>
          <w:iCs/>
        </w:rPr>
        <w:t>116</w:t>
      </w:r>
      <w:r w:rsidRPr="00C6379C">
        <w:t xml:space="preserve">(2), 581–586. </w:t>
      </w:r>
      <w:hyperlink r:id="rId41" w:history="1">
        <w:r w:rsidRPr="00C6379C">
          <w:rPr>
            <w:rStyle w:val="Hyperlink"/>
          </w:rPr>
          <w:t>https://doi.org/10.1073/pnas.1813211116</w:t>
        </w:r>
      </w:hyperlink>
    </w:p>
    <w:p w14:paraId="7617EAFD" w14:textId="77777777" w:rsidR="00CF0D04" w:rsidRPr="00CF0D04" w:rsidRDefault="00CF0D04" w:rsidP="00CF0D04">
      <w:pPr>
        <w:spacing w:line="480" w:lineRule="auto"/>
        <w:ind w:left="720" w:hanging="720"/>
      </w:pPr>
      <w:r w:rsidRPr="00CF0D04">
        <w:t xml:space="preserve">Lim, J. Y., Fine, P. V. A., &amp; </w:t>
      </w:r>
      <w:proofErr w:type="spellStart"/>
      <w:r w:rsidRPr="00CF0D04">
        <w:t>Mittelbach</w:t>
      </w:r>
      <w:proofErr w:type="spellEnd"/>
      <w:r w:rsidRPr="00CF0D04">
        <w:t xml:space="preserve">, G. G. (2015). Assessing the latitudinal gradient in herbivory. </w:t>
      </w:r>
      <w:r w:rsidRPr="00CF0D04">
        <w:rPr>
          <w:i/>
          <w:iCs/>
        </w:rPr>
        <w:t>Global Ecology and Biogeography</w:t>
      </w:r>
      <w:r w:rsidRPr="00CF0D04">
        <w:t xml:space="preserve">, </w:t>
      </w:r>
      <w:r w:rsidRPr="00CF0D04">
        <w:rPr>
          <w:i/>
          <w:iCs/>
        </w:rPr>
        <w:t>24</w:t>
      </w:r>
      <w:r w:rsidRPr="00CF0D04">
        <w:t xml:space="preserve">(10), 1106–1112. </w:t>
      </w:r>
      <w:hyperlink r:id="rId42" w:history="1">
        <w:r w:rsidRPr="00CF0D04">
          <w:rPr>
            <w:rStyle w:val="Hyperlink"/>
          </w:rPr>
          <w:t>https://doi.org/10.1111/geb.12336</w:t>
        </w:r>
      </w:hyperlink>
    </w:p>
    <w:p w14:paraId="2219741E" w14:textId="0B2398E4" w:rsidR="00C6379C" w:rsidRDefault="00C6379C" w:rsidP="00C6379C">
      <w:pPr>
        <w:spacing w:line="480" w:lineRule="auto"/>
        <w:ind w:left="720" w:hanging="720"/>
        <w:rPr>
          <w:rStyle w:val="Hyperlink"/>
        </w:rPr>
      </w:pPr>
      <w:r w:rsidRPr="00C6379C">
        <w:t xml:space="preserve">Loughnan, D., &amp; Williams, J. L. (2019). Climate and leaf traits, not latitude, explain variation in plant–herbivore interactions across a species’ range. </w:t>
      </w:r>
      <w:r w:rsidRPr="00C6379C">
        <w:rPr>
          <w:i/>
          <w:iCs/>
        </w:rPr>
        <w:t>Journal of Ecology</w:t>
      </w:r>
      <w:r w:rsidRPr="00C6379C">
        <w:t xml:space="preserve">, </w:t>
      </w:r>
      <w:r w:rsidRPr="00C6379C">
        <w:rPr>
          <w:i/>
          <w:iCs/>
        </w:rPr>
        <w:t>107</w:t>
      </w:r>
      <w:r w:rsidRPr="00C6379C">
        <w:t xml:space="preserve">, 913–922. </w:t>
      </w:r>
      <w:hyperlink r:id="rId43" w:history="1">
        <w:r w:rsidRPr="00C6379C">
          <w:rPr>
            <w:rStyle w:val="Hyperlink"/>
          </w:rPr>
          <w:t>https://doi.org/10.1111/1365-2745.13065</w:t>
        </w:r>
      </w:hyperlink>
    </w:p>
    <w:p w14:paraId="6F4F76E1" w14:textId="14B376F9" w:rsidR="005A6631" w:rsidRPr="005A6631" w:rsidRDefault="005A6631" w:rsidP="005A6631">
      <w:pPr>
        <w:spacing w:after="0" w:line="480" w:lineRule="auto"/>
        <w:ind w:left="450" w:hanging="480"/>
        <w:rPr>
          <w:rFonts w:eastAsia="Times New Roman"/>
        </w:rPr>
      </w:pPr>
      <w:r w:rsidRPr="005A6631">
        <w:rPr>
          <w:rFonts w:eastAsia="Times New Roman"/>
        </w:rPr>
        <w:t xml:space="preserve">Lynn, J. S., </w:t>
      </w:r>
      <w:r>
        <w:rPr>
          <w:rFonts w:eastAsia="Times New Roman"/>
        </w:rPr>
        <w:t xml:space="preserve">&amp; </w:t>
      </w:r>
      <w:r w:rsidRPr="005A6631">
        <w:rPr>
          <w:rFonts w:eastAsia="Times New Roman"/>
        </w:rPr>
        <w:t>Fridley</w:t>
      </w:r>
      <w:r>
        <w:rPr>
          <w:rFonts w:eastAsia="Times New Roman"/>
        </w:rPr>
        <w:t>, J. D</w:t>
      </w:r>
      <w:r w:rsidRPr="005A6631">
        <w:rPr>
          <w:rFonts w:eastAsia="Times New Roman"/>
        </w:rPr>
        <w:t xml:space="preserve">. </w:t>
      </w:r>
      <w:r>
        <w:rPr>
          <w:rFonts w:eastAsia="Times New Roman"/>
        </w:rPr>
        <w:t>(</w:t>
      </w:r>
      <w:r w:rsidRPr="005A6631">
        <w:rPr>
          <w:rFonts w:eastAsia="Times New Roman"/>
        </w:rPr>
        <w:t>2019</w:t>
      </w:r>
      <w:r>
        <w:rPr>
          <w:rFonts w:eastAsia="Times New Roman"/>
        </w:rPr>
        <w:t>)</w:t>
      </w:r>
      <w:r w:rsidRPr="005A6631">
        <w:rPr>
          <w:rFonts w:eastAsia="Times New Roman"/>
        </w:rPr>
        <w:t xml:space="preserve">. Geographic patterns of plant–herbivore interactions are driven by soil fertility. </w:t>
      </w:r>
      <w:r w:rsidRPr="005A6631">
        <w:rPr>
          <w:rFonts w:eastAsia="Times New Roman"/>
          <w:i/>
          <w:iCs/>
        </w:rPr>
        <w:t>Journal of Plant Ecology 12</w:t>
      </w:r>
      <w:r w:rsidRPr="005A6631">
        <w:rPr>
          <w:rFonts w:eastAsia="Times New Roman"/>
        </w:rPr>
        <w:t>:653–661.</w:t>
      </w:r>
    </w:p>
    <w:p w14:paraId="22F83388" w14:textId="40BACD55" w:rsidR="00FA71FE" w:rsidRPr="00FA71FE" w:rsidRDefault="00DE49AA" w:rsidP="00DE49AA">
      <w:pPr>
        <w:spacing w:after="0" w:line="480" w:lineRule="auto"/>
        <w:ind w:left="450" w:hanging="480"/>
        <w:rPr>
          <w:rFonts w:eastAsia="Times New Roman"/>
        </w:rPr>
      </w:pPr>
      <w:r w:rsidRPr="003A4466">
        <w:rPr>
          <w:rFonts w:eastAsia="Times New Roman"/>
        </w:rPr>
        <w:t>Marino, P.C</w:t>
      </w:r>
      <w:r w:rsidR="00FA71FE" w:rsidRPr="003A4466">
        <w:rPr>
          <w:rFonts w:eastAsia="Times New Roman"/>
        </w:rPr>
        <w:t xml:space="preserve">., </w:t>
      </w:r>
      <w:r w:rsidRPr="003A4466">
        <w:rPr>
          <w:rFonts w:eastAsia="Times New Roman"/>
        </w:rPr>
        <w:t xml:space="preserve">&amp; Landis, </w:t>
      </w:r>
      <w:r w:rsidR="00FA71FE" w:rsidRPr="003A4466">
        <w:rPr>
          <w:rFonts w:eastAsia="Times New Roman"/>
        </w:rPr>
        <w:t>D.</w:t>
      </w:r>
      <w:r w:rsidRPr="003A4466">
        <w:rPr>
          <w:rFonts w:eastAsia="Times New Roman"/>
        </w:rPr>
        <w:t xml:space="preserve"> A</w:t>
      </w:r>
      <w:r w:rsidR="00FA71FE" w:rsidRPr="003A4466">
        <w:rPr>
          <w:rFonts w:eastAsia="Times New Roman"/>
        </w:rPr>
        <w:t xml:space="preserve">. </w:t>
      </w:r>
      <w:r w:rsidRPr="003A4466">
        <w:rPr>
          <w:rFonts w:eastAsia="Times New Roman"/>
        </w:rPr>
        <w:t>(</w:t>
      </w:r>
      <w:r w:rsidR="00FA71FE" w:rsidRPr="003A4466">
        <w:rPr>
          <w:rFonts w:eastAsia="Times New Roman"/>
        </w:rPr>
        <w:t>1996</w:t>
      </w:r>
      <w:r w:rsidRPr="003A4466">
        <w:rPr>
          <w:rFonts w:eastAsia="Times New Roman"/>
        </w:rPr>
        <w:t>)</w:t>
      </w:r>
      <w:r w:rsidR="00FA71FE" w:rsidRPr="003A4466">
        <w:rPr>
          <w:rFonts w:eastAsia="Times New Roman"/>
        </w:rPr>
        <w:t xml:space="preserve">. </w:t>
      </w:r>
      <w:r w:rsidR="00FA71FE" w:rsidRPr="00FA71FE">
        <w:rPr>
          <w:rFonts w:eastAsia="Times New Roman"/>
        </w:rPr>
        <w:t xml:space="preserve">Effect of landscape structure on parasitoid diversity and parasitism in agroecosystems. </w:t>
      </w:r>
      <w:r w:rsidR="00FA71FE" w:rsidRPr="00FA71FE">
        <w:rPr>
          <w:rFonts w:eastAsia="Times New Roman"/>
          <w:i/>
          <w:iCs/>
        </w:rPr>
        <w:t xml:space="preserve">Ecological </w:t>
      </w:r>
      <w:r w:rsidRPr="00DE49AA">
        <w:rPr>
          <w:rFonts w:eastAsia="Times New Roman"/>
          <w:i/>
          <w:iCs/>
        </w:rPr>
        <w:t>A</w:t>
      </w:r>
      <w:r w:rsidR="00FA71FE" w:rsidRPr="00FA71FE">
        <w:rPr>
          <w:rFonts w:eastAsia="Times New Roman"/>
          <w:i/>
          <w:iCs/>
        </w:rPr>
        <w:t>pplications</w:t>
      </w:r>
      <w:r w:rsidRPr="00DE49AA">
        <w:rPr>
          <w:rFonts w:eastAsia="Times New Roman"/>
          <w:i/>
          <w:iCs/>
        </w:rPr>
        <w:t>, 6,</w:t>
      </w:r>
      <w:r>
        <w:rPr>
          <w:rFonts w:eastAsia="Times New Roman"/>
        </w:rPr>
        <w:t xml:space="preserve"> 276-284</w:t>
      </w:r>
      <w:r w:rsidR="00FA71FE" w:rsidRPr="00FA71FE">
        <w:rPr>
          <w:rFonts w:eastAsia="Times New Roman"/>
        </w:rPr>
        <w:t>.</w:t>
      </w:r>
    </w:p>
    <w:p w14:paraId="1D1E1341" w14:textId="02638F04" w:rsidR="00C6379C" w:rsidRPr="00C6379C" w:rsidRDefault="00C6379C" w:rsidP="00C6379C">
      <w:pPr>
        <w:spacing w:line="480" w:lineRule="auto"/>
        <w:ind w:left="720" w:hanging="720"/>
      </w:pPr>
      <w:r w:rsidRPr="00C6379C">
        <w:t xml:space="preserve">Marquis, R. J. (1992). A </w:t>
      </w:r>
      <w:r w:rsidR="00592CFD">
        <w:t>b</w:t>
      </w:r>
      <w:r w:rsidRPr="00C6379C">
        <w:t xml:space="preserve">ite is a </w:t>
      </w:r>
      <w:r w:rsidR="00592CFD">
        <w:t>b</w:t>
      </w:r>
      <w:r w:rsidRPr="00C6379C">
        <w:t xml:space="preserve">ite is a </w:t>
      </w:r>
      <w:r w:rsidR="00592CFD">
        <w:t>b</w:t>
      </w:r>
      <w:r w:rsidRPr="00C6379C">
        <w:t xml:space="preserve">ite? Constraints on </w:t>
      </w:r>
      <w:r w:rsidR="00592CFD">
        <w:t>r</w:t>
      </w:r>
      <w:r w:rsidRPr="00C6379C">
        <w:t xml:space="preserve">esponse to </w:t>
      </w:r>
      <w:proofErr w:type="spellStart"/>
      <w:r w:rsidR="00592CFD">
        <w:t>f</w:t>
      </w:r>
      <w:r w:rsidRPr="00C6379C">
        <w:t>olivory</w:t>
      </w:r>
      <w:proofErr w:type="spellEnd"/>
      <w:r w:rsidRPr="00C6379C">
        <w:t xml:space="preserve"> in </w:t>
      </w:r>
      <w:r w:rsidRPr="00592CFD">
        <w:rPr>
          <w:i/>
          <w:iCs/>
        </w:rPr>
        <w:t xml:space="preserve">Piper </w:t>
      </w:r>
      <w:proofErr w:type="spellStart"/>
      <w:r w:rsidR="00592CFD">
        <w:rPr>
          <w:i/>
          <w:iCs/>
        </w:rPr>
        <w:t>a</w:t>
      </w:r>
      <w:r w:rsidRPr="00592CFD">
        <w:rPr>
          <w:i/>
          <w:iCs/>
        </w:rPr>
        <w:t>rieianum</w:t>
      </w:r>
      <w:proofErr w:type="spellEnd"/>
      <w:r w:rsidRPr="00C6379C">
        <w:t xml:space="preserve"> (</w:t>
      </w:r>
      <w:proofErr w:type="spellStart"/>
      <w:r w:rsidRPr="00C6379C">
        <w:t>Piperaceae</w:t>
      </w:r>
      <w:proofErr w:type="spellEnd"/>
      <w:r w:rsidRPr="00C6379C">
        <w:t xml:space="preserve">). </w:t>
      </w:r>
      <w:r w:rsidRPr="00C6379C">
        <w:rPr>
          <w:i/>
          <w:iCs/>
        </w:rPr>
        <w:t>Ecology</w:t>
      </w:r>
      <w:r w:rsidRPr="00C6379C">
        <w:t xml:space="preserve">, </w:t>
      </w:r>
      <w:r w:rsidRPr="00C6379C">
        <w:rPr>
          <w:i/>
          <w:iCs/>
        </w:rPr>
        <w:t>73</w:t>
      </w:r>
      <w:r w:rsidRPr="00C6379C">
        <w:t xml:space="preserve">, 143–152. </w:t>
      </w:r>
      <w:hyperlink r:id="rId44" w:history="1">
        <w:r w:rsidRPr="00C6379C">
          <w:rPr>
            <w:rStyle w:val="Hyperlink"/>
          </w:rPr>
          <w:t>https://doi.org/10.2307/1938727</w:t>
        </w:r>
      </w:hyperlink>
    </w:p>
    <w:p w14:paraId="25D557CB" w14:textId="3AA2B21C" w:rsidR="00C6379C" w:rsidRPr="00C6379C" w:rsidRDefault="00C6379C" w:rsidP="00C6379C">
      <w:pPr>
        <w:spacing w:line="480" w:lineRule="auto"/>
        <w:ind w:left="720" w:hanging="720"/>
        <w:rPr>
          <w:lang w:val="pt-BR"/>
        </w:rPr>
      </w:pPr>
      <w:r w:rsidRPr="00C6379C">
        <w:t xml:space="preserve">Massad, T. J. (2013). Ontogenetic differences of herbivory on woody and herbaceous plants: A meta-analysis demonstrating unique effects of herbivory on the young and the old, the slow and the fast. </w:t>
      </w:r>
      <w:r w:rsidRPr="00C6379C">
        <w:rPr>
          <w:i/>
          <w:iCs/>
          <w:lang w:val="pt-BR"/>
        </w:rPr>
        <w:t>Oecologia</w:t>
      </w:r>
      <w:r w:rsidRPr="00C6379C">
        <w:rPr>
          <w:lang w:val="pt-BR"/>
        </w:rPr>
        <w:t xml:space="preserve">, </w:t>
      </w:r>
      <w:r w:rsidRPr="00C6379C">
        <w:rPr>
          <w:i/>
          <w:iCs/>
          <w:lang w:val="pt-BR"/>
        </w:rPr>
        <w:t>172</w:t>
      </w:r>
      <w:r w:rsidRPr="00C6379C">
        <w:rPr>
          <w:lang w:val="pt-BR"/>
        </w:rPr>
        <w:t xml:space="preserve">, 1–10. </w:t>
      </w:r>
      <w:r w:rsidR="00A034AC">
        <w:rPr>
          <w:lang w:val="pt-BR"/>
        </w:rPr>
        <w:t>https://</w:t>
      </w:r>
      <w:r w:rsidR="00A034AC" w:rsidRPr="00A034AC">
        <w:rPr>
          <w:lang w:val="pt-BR"/>
        </w:rPr>
        <w:t>doi.org/10.1007/s00442-012-2470-1</w:t>
      </w:r>
    </w:p>
    <w:p w14:paraId="0495BC8C" w14:textId="23C1E41B" w:rsidR="00C6379C" w:rsidRPr="00B71207" w:rsidRDefault="00C6379C" w:rsidP="00C6379C">
      <w:pPr>
        <w:spacing w:line="480" w:lineRule="auto"/>
        <w:ind w:left="720" w:hanging="720"/>
        <w:rPr>
          <w:rStyle w:val="Hyperlink"/>
        </w:rPr>
      </w:pPr>
      <w:r w:rsidRPr="00C6379C">
        <w:rPr>
          <w:lang w:val="pt-BR"/>
        </w:rPr>
        <w:lastRenderedPageBreak/>
        <w:t xml:space="preserve">Massad, T. J., Balch, J. K., Davidson, E. A., Brando, P. M., Mews, C. L., Porto, P., Quintino, R. M., Vieira, S. A., Marimon Junior, B. H., &amp; Trumbore, S. E. (2013). </w:t>
      </w:r>
      <w:r w:rsidRPr="00C6379C">
        <w:t xml:space="preserve">Interactions between repeated fire, nutrients, and insect herbivores affect the recovery of diversity in the southern Amazon. </w:t>
      </w:r>
      <w:proofErr w:type="spellStart"/>
      <w:r w:rsidRPr="00B71207">
        <w:rPr>
          <w:i/>
          <w:iCs/>
        </w:rPr>
        <w:t>Oecologia</w:t>
      </w:r>
      <w:proofErr w:type="spellEnd"/>
      <w:r w:rsidRPr="00B71207">
        <w:t xml:space="preserve">, </w:t>
      </w:r>
      <w:r w:rsidRPr="00B71207">
        <w:rPr>
          <w:i/>
          <w:iCs/>
        </w:rPr>
        <w:t>172</w:t>
      </w:r>
      <w:r w:rsidRPr="00B71207">
        <w:t xml:space="preserve">, 219–229. </w:t>
      </w:r>
      <w:hyperlink r:id="rId45" w:history="1">
        <w:r w:rsidRPr="00B71207">
          <w:rPr>
            <w:rStyle w:val="Hyperlink"/>
          </w:rPr>
          <w:t>https://doi.org/10.1007/s00442-012-2482-x</w:t>
        </w:r>
      </w:hyperlink>
    </w:p>
    <w:p w14:paraId="40459F73" w14:textId="776DC37E" w:rsidR="00E2347D" w:rsidRPr="00E2347D" w:rsidRDefault="00E2347D" w:rsidP="00E2347D">
      <w:pPr>
        <w:spacing w:line="480" w:lineRule="auto"/>
        <w:ind w:left="720" w:hanging="720"/>
      </w:pPr>
      <w:r w:rsidRPr="00B71207">
        <w:t xml:space="preserve">Massad, T. J., de </w:t>
      </w:r>
      <w:proofErr w:type="spellStart"/>
      <w:r w:rsidRPr="00B71207">
        <w:t>Moraes</w:t>
      </w:r>
      <w:proofErr w:type="spellEnd"/>
      <w:r w:rsidRPr="00B71207">
        <w:t xml:space="preserve">, </w:t>
      </w:r>
      <w:r w:rsidR="00ED48A2" w:rsidRPr="00B71207">
        <w:t xml:space="preserve">M. M., </w:t>
      </w:r>
      <w:r w:rsidRPr="00B71207">
        <w:t xml:space="preserve">Philbin, </w:t>
      </w:r>
      <w:r w:rsidR="00ED48A2" w:rsidRPr="00B71207">
        <w:t xml:space="preserve">C., </w:t>
      </w:r>
      <w:r w:rsidRPr="00B71207">
        <w:t xml:space="preserve">Oliveira, </w:t>
      </w:r>
      <w:r w:rsidR="00ED48A2" w:rsidRPr="00B71207">
        <w:t xml:space="preserve">C., </w:t>
      </w:r>
      <w:proofErr w:type="spellStart"/>
      <w:r w:rsidRPr="00B71207">
        <w:t>Torrejon</w:t>
      </w:r>
      <w:proofErr w:type="spellEnd"/>
      <w:r w:rsidRPr="00B71207">
        <w:t xml:space="preserve">, </w:t>
      </w:r>
      <w:r w:rsidR="00ED48A2" w:rsidRPr="00B71207">
        <w:t>G. C.</w:t>
      </w:r>
      <w:proofErr w:type="gramStart"/>
      <w:r w:rsidR="00ED48A2" w:rsidRPr="00B71207">
        <w:t xml:space="preserve">,  </w:t>
      </w:r>
      <w:r w:rsidRPr="00B71207">
        <w:t>Yamaguchi</w:t>
      </w:r>
      <w:proofErr w:type="gramEnd"/>
      <w:r w:rsidRPr="00B71207">
        <w:t xml:space="preserve">, </w:t>
      </w:r>
      <w:r w:rsidR="00ED48A2" w:rsidRPr="00B71207">
        <w:t xml:space="preserve">L. F., </w:t>
      </w:r>
      <w:r w:rsidRPr="00B71207">
        <w:t xml:space="preserve">Jeffrey, </w:t>
      </w:r>
      <w:r w:rsidR="00ED48A2" w:rsidRPr="00B71207">
        <w:t xml:space="preserve">C. S., </w:t>
      </w:r>
      <w:r w:rsidRPr="00B71207">
        <w:t xml:space="preserve">Dyer, </w:t>
      </w:r>
      <w:r w:rsidR="00ED48A2" w:rsidRPr="00B71207">
        <w:t xml:space="preserve">L. A., </w:t>
      </w:r>
      <w:r w:rsidRPr="00B71207">
        <w:t xml:space="preserve">Richards, </w:t>
      </w:r>
      <w:r w:rsidR="00ED48A2" w:rsidRPr="00B71207">
        <w:t xml:space="preserve">L. A., </w:t>
      </w:r>
      <w:r w:rsidRPr="00B71207">
        <w:t>&amp; Kato</w:t>
      </w:r>
      <w:r w:rsidR="00ED48A2" w:rsidRPr="00B71207">
        <w:t>, M. J</w:t>
      </w:r>
      <w:r w:rsidRPr="00B71207">
        <w:t xml:space="preserve">. (2017). </w:t>
      </w:r>
      <w:r w:rsidRPr="00E2347D">
        <w:t xml:space="preserve">Similarity in volatile communities leads to increased herbivory and greater tropical forest diversity. </w:t>
      </w:r>
      <w:r w:rsidRPr="00E2347D">
        <w:rPr>
          <w:i/>
          <w:iCs/>
        </w:rPr>
        <w:t>Ecology 98</w:t>
      </w:r>
      <w:r w:rsidRPr="00E2347D">
        <w:t>:1750–1756.</w:t>
      </w:r>
    </w:p>
    <w:p w14:paraId="20337197" w14:textId="254504F8" w:rsidR="00E2347D" w:rsidRPr="003A4466" w:rsidRDefault="00E2347D" w:rsidP="00E2347D">
      <w:pPr>
        <w:spacing w:line="480" w:lineRule="auto"/>
        <w:ind w:left="720" w:hanging="720"/>
        <w:rPr>
          <w:lang w:val="pt-BR"/>
        </w:rPr>
      </w:pPr>
      <w:r w:rsidRPr="00E2347D">
        <w:t xml:space="preserve">Massad, T. J., L. A. Richards, C. Philbin, L. Fumiko Yamaguchi, M. J. Kato, C. S. Jeffrey, C. Oliveira Jr, K. </w:t>
      </w:r>
      <w:proofErr w:type="spellStart"/>
      <w:r w:rsidRPr="00E2347D">
        <w:t>Ochsenrider</w:t>
      </w:r>
      <w:proofErr w:type="spellEnd"/>
      <w:r w:rsidRPr="00E2347D">
        <w:t xml:space="preserve">, M. M. de </w:t>
      </w:r>
      <w:proofErr w:type="spellStart"/>
      <w:r w:rsidRPr="00E2347D">
        <w:t>Moraes</w:t>
      </w:r>
      <w:proofErr w:type="spellEnd"/>
      <w:r w:rsidRPr="00E2347D">
        <w:t xml:space="preserve">, E. J. </w:t>
      </w:r>
      <w:proofErr w:type="spellStart"/>
      <w:r w:rsidRPr="00E2347D">
        <w:t>Tepe</w:t>
      </w:r>
      <w:proofErr w:type="spellEnd"/>
      <w:r w:rsidRPr="00E2347D">
        <w:t xml:space="preserve">, G. Cebrian </w:t>
      </w:r>
      <w:proofErr w:type="spellStart"/>
      <w:r w:rsidRPr="00E2347D">
        <w:t>Torrejon</w:t>
      </w:r>
      <w:proofErr w:type="spellEnd"/>
      <w:r w:rsidRPr="00E2347D">
        <w:t xml:space="preserve">, M. </w:t>
      </w:r>
      <w:proofErr w:type="spellStart"/>
      <w:r w:rsidRPr="00E2347D">
        <w:t>Sandivo</w:t>
      </w:r>
      <w:proofErr w:type="spellEnd"/>
      <w:r w:rsidRPr="00E2347D">
        <w:t xml:space="preserve">, </w:t>
      </w:r>
      <w:r w:rsidR="00ED48A2">
        <w:t>&amp;</w:t>
      </w:r>
      <w:r w:rsidRPr="00E2347D">
        <w:t xml:space="preserve"> Dyer</w:t>
      </w:r>
      <w:r w:rsidR="00ED48A2">
        <w:t xml:space="preserve">, </w:t>
      </w:r>
      <w:r w:rsidR="00ED48A2" w:rsidRPr="00E2347D">
        <w:t>L. A.</w:t>
      </w:r>
      <w:r w:rsidRPr="00E2347D">
        <w:t xml:space="preserve"> (</w:t>
      </w:r>
      <w:r w:rsidR="00216403">
        <w:t>2022</w:t>
      </w:r>
      <w:r w:rsidRPr="00E2347D">
        <w:t xml:space="preserve">). The chemical ecology of tropical forest diversity: Environmental variation, chemical similarity, herbivory, and richness. </w:t>
      </w:r>
      <w:r w:rsidRPr="003A4466">
        <w:rPr>
          <w:i/>
          <w:iCs/>
          <w:lang w:val="pt-BR"/>
        </w:rPr>
        <w:t>Ecology</w:t>
      </w:r>
      <w:r w:rsidRPr="003A4466">
        <w:rPr>
          <w:lang w:val="pt-BR"/>
        </w:rPr>
        <w:t xml:space="preserve"> n/a:e3762.</w:t>
      </w:r>
    </w:p>
    <w:p w14:paraId="458DE88E" w14:textId="677920FD" w:rsidR="00FA71FE" w:rsidRDefault="00FA71FE" w:rsidP="00FA71FE">
      <w:pPr>
        <w:spacing w:line="480" w:lineRule="auto"/>
        <w:ind w:left="720" w:hanging="720"/>
      </w:pPr>
      <w:r w:rsidRPr="00FA71FE">
        <w:rPr>
          <w:lang w:val="pt-BR"/>
        </w:rPr>
        <w:t>Matos, F. B., Amorim, A. M., &amp; Lab</w:t>
      </w:r>
      <w:r>
        <w:rPr>
          <w:lang w:val="pt-BR"/>
        </w:rPr>
        <w:t xml:space="preserve">iak, P. H. (2010). </w:t>
      </w:r>
      <w:r w:rsidRPr="00FA71FE">
        <w:t>The ferns and lycophytes o</w:t>
      </w:r>
      <w:r>
        <w:t>f a montane tropical forest in southern Bahia, Brazil</w:t>
      </w:r>
      <w:r w:rsidRPr="00FA71FE">
        <w:t xml:space="preserve">. </w:t>
      </w:r>
      <w:r w:rsidRPr="00FA71FE">
        <w:rPr>
          <w:i/>
          <w:iCs/>
        </w:rPr>
        <w:t>Journal of the Botanical Research Institute of Texas</w:t>
      </w:r>
      <w:r>
        <w:rPr>
          <w:i/>
          <w:iCs/>
        </w:rPr>
        <w:t>,</w:t>
      </w:r>
      <w:r w:rsidRPr="00FA71FE">
        <w:t xml:space="preserve"> </w:t>
      </w:r>
      <w:r w:rsidRPr="00FA71FE">
        <w:rPr>
          <w:i/>
          <w:iCs/>
        </w:rPr>
        <w:t>4</w:t>
      </w:r>
      <w:r>
        <w:t xml:space="preserve">, </w:t>
      </w:r>
      <w:r w:rsidRPr="00FA71FE">
        <w:t>333–346.</w:t>
      </w:r>
    </w:p>
    <w:p w14:paraId="4BE2720F" w14:textId="4AE56B3A" w:rsidR="0070082F" w:rsidRDefault="0070082F" w:rsidP="0070082F">
      <w:pPr>
        <w:spacing w:after="0" w:line="480" w:lineRule="auto"/>
        <w:ind w:left="720" w:hanging="720"/>
        <w:rPr>
          <w:rFonts w:eastAsia="Calibri"/>
        </w:rPr>
      </w:pPr>
      <w:r w:rsidRPr="00153580">
        <w:rPr>
          <w:rFonts w:eastAsia="Calibri"/>
        </w:rPr>
        <w:t>Merkle</w:t>
      </w:r>
      <w:r w:rsidRPr="00550AE3">
        <w:rPr>
          <w:rFonts w:eastAsia="Calibri"/>
        </w:rPr>
        <w:t>,</w:t>
      </w:r>
      <w:r w:rsidRPr="00153580">
        <w:rPr>
          <w:rFonts w:eastAsia="Calibri"/>
        </w:rPr>
        <w:t xml:space="preserve"> E</w:t>
      </w:r>
      <w:r w:rsidRPr="00550AE3">
        <w:rPr>
          <w:rFonts w:eastAsia="Calibri"/>
        </w:rPr>
        <w:t>.</w:t>
      </w:r>
      <w:r>
        <w:rPr>
          <w:rFonts w:eastAsia="Calibri"/>
        </w:rPr>
        <w:t xml:space="preserve"> </w:t>
      </w:r>
      <w:r w:rsidRPr="00153580">
        <w:rPr>
          <w:rFonts w:eastAsia="Calibri"/>
        </w:rPr>
        <w:t>C</w:t>
      </w:r>
      <w:r w:rsidRPr="00550AE3">
        <w:rPr>
          <w:rFonts w:eastAsia="Calibri"/>
        </w:rPr>
        <w:t>.</w:t>
      </w:r>
      <w:r w:rsidRPr="00153580">
        <w:rPr>
          <w:rFonts w:eastAsia="Calibri"/>
        </w:rPr>
        <w:t xml:space="preserve">, </w:t>
      </w:r>
      <w:r>
        <w:rPr>
          <w:rFonts w:eastAsia="Calibri"/>
        </w:rPr>
        <w:t>&amp;</w:t>
      </w:r>
      <w:r w:rsidRPr="00550AE3">
        <w:rPr>
          <w:rFonts w:eastAsia="Calibri"/>
        </w:rPr>
        <w:t xml:space="preserve"> </w:t>
      </w:r>
      <w:proofErr w:type="spellStart"/>
      <w:r w:rsidRPr="00153580">
        <w:rPr>
          <w:rFonts w:eastAsia="Calibri"/>
        </w:rPr>
        <w:t>Rosseel</w:t>
      </w:r>
      <w:proofErr w:type="spellEnd"/>
      <w:r>
        <w:rPr>
          <w:rFonts w:eastAsia="Calibri"/>
        </w:rPr>
        <w:t xml:space="preserve">, </w:t>
      </w:r>
      <w:r w:rsidRPr="00550AE3">
        <w:rPr>
          <w:rFonts w:eastAsia="Calibri"/>
        </w:rPr>
        <w:t>Y.</w:t>
      </w:r>
      <w:r w:rsidRPr="00153580">
        <w:rPr>
          <w:rFonts w:eastAsia="Calibri"/>
        </w:rPr>
        <w:t xml:space="preserve"> </w:t>
      </w:r>
      <w:r>
        <w:rPr>
          <w:rFonts w:eastAsia="Calibri"/>
        </w:rPr>
        <w:t>(</w:t>
      </w:r>
      <w:r w:rsidRPr="00153580">
        <w:rPr>
          <w:rFonts w:eastAsia="Calibri"/>
        </w:rPr>
        <w:t>2016</w:t>
      </w:r>
      <w:r>
        <w:rPr>
          <w:rFonts w:eastAsia="Calibri"/>
        </w:rPr>
        <w:t>)</w:t>
      </w:r>
      <w:r w:rsidRPr="00153580">
        <w:rPr>
          <w:rFonts w:eastAsia="Calibri"/>
        </w:rPr>
        <w:t xml:space="preserve">. </w:t>
      </w:r>
      <w:proofErr w:type="spellStart"/>
      <w:r w:rsidRPr="00153580">
        <w:rPr>
          <w:rFonts w:eastAsia="Calibri"/>
        </w:rPr>
        <w:t>blavaan</w:t>
      </w:r>
      <w:proofErr w:type="spellEnd"/>
      <w:r w:rsidRPr="00153580">
        <w:rPr>
          <w:rFonts w:eastAsia="Calibri"/>
        </w:rPr>
        <w:t xml:space="preserve">: Bayesian structural equation models via parameter expansion. </w:t>
      </w:r>
      <w:proofErr w:type="spellStart"/>
      <w:r w:rsidRPr="00153580">
        <w:rPr>
          <w:rFonts w:eastAsia="Calibri"/>
        </w:rPr>
        <w:t>arXiv</w:t>
      </w:r>
      <w:proofErr w:type="spellEnd"/>
      <w:r w:rsidRPr="00153580">
        <w:rPr>
          <w:rFonts w:eastAsia="Calibri"/>
        </w:rPr>
        <w:t xml:space="preserve"> 1511.05604. URL </w:t>
      </w:r>
      <w:hyperlink r:id="rId46" w:history="1">
        <w:r w:rsidR="00086D21" w:rsidRPr="000251D5">
          <w:rPr>
            <w:rStyle w:val="Hyperlink"/>
            <w:rFonts w:eastAsia="Calibri"/>
          </w:rPr>
          <w:t>https://arxiv.org/abs/1511.05604</w:t>
        </w:r>
      </w:hyperlink>
      <w:r w:rsidRPr="00153580">
        <w:rPr>
          <w:rFonts w:eastAsia="Calibri"/>
        </w:rPr>
        <w:t>.</w:t>
      </w:r>
    </w:p>
    <w:p w14:paraId="5EA893C9" w14:textId="279CF527" w:rsidR="00086D21" w:rsidRPr="00086D21" w:rsidRDefault="00086D21" w:rsidP="0070082F">
      <w:pPr>
        <w:spacing w:after="0" w:line="480" w:lineRule="auto"/>
        <w:ind w:left="720" w:hanging="720"/>
        <w:rPr>
          <w:rFonts w:eastAsia="Calibri"/>
        </w:rPr>
      </w:pPr>
      <w:r w:rsidRPr="003A4466">
        <w:rPr>
          <w:rFonts w:eastAsia="Calibri"/>
        </w:rPr>
        <w:t>Moreira, X., Abdala-Roberts, L., Parra-</w:t>
      </w:r>
      <w:proofErr w:type="spellStart"/>
      <w:r w:rsidRPr="003A4466">
        <w:rPr>
          <w:rFonts w:eastAsia="Calibri"/>
        </w:rPr>
        <w:t>Tabla</w:t>
      </w:r>
      <w:proofErr w:type="spellEnd"/>
      <w:r w:rsidRPr="003A4466">
        <w:rPr>
          <w:rFonts w:eastAsia="Calibri"/>
        </w:rPr>
        <w:t xml:space="preserve">, V., &amp; Mooney, K. A. (2015). </w:t>
      </w:r>
      <w:r w:rsidRPr="00086D21">
        <w:rPr>
          <w:rFonts w:eastAsia="Calibri"/>
        </w:rPr>
        <w:t xml:space="preserve">Latitudinal variation in herbivory: influences of climatic drivers, herbivore identity and natural enemies. </w:t>
      </w:r>
      <w:r w:rsidRPr="00086D21">
        <w:rPr>
          <w:rFonts w:eastAsia="Calibri"/>
          <w:i/>
          <w:iCs/>
        </w:rPr>
        <w:t>Oikos</w:t>
      </w:r>
      <w:r>
        <w:rPr>
          <w:rFonts w:eastAsia="Calibri"/>
          <w:i/>
          <w:iCs/>
        </w:rPr>
        <w:t>,</w:t>
      </w:r>
      <w:r w:rsidRPr="00086D21">
        <w:rPr>
          <w:rFonts w:eastAsia="Calibri"/>
          <w:i/>
          <w:iCs/>
        </w:rPr>
        <w:t xml:space="preserve"> 124</w:t>
      </w:r>
      <w:r>
        <w:rPr>
          <w:rFonts w:eastAsia="Calibri"/>
          <w:i/>
          <w:iCs/>
        </w:rPr>
        <w:t xml:space="preserve">, </w:t>
      </w:r>
      <w:r w:rsidRPr="00086D21">
        <w:rPr>
          <w:rFonts w:eastAsia="Calibri"/>
        </w:rPr>
        <w:t>1444–1452.</w:t>
      </w:r>
    </w:p>
    <w:p w14:paraId="61EDAB3D" w14:textId="5511C382" w:rsidR="00C6379C" w:rsidRDefault="00C6379C" w:rsidP="00C6379C">
      <w:pPr>
        <w:spacing w:line="480" w:lineRule="auto"/>
        <w:ind w:left="720" w:hanging="720"/>
        <w:rPr>
          <w:rStyle w:val="Hyperlink"/>
        </w:rPr>
      </w:pPr>
      <w:r w:rsidRPr="00C6379C">
        <w:lastRenderedPageBreak/>
        <w:t xml:space="preserve">Moles, A. T., Bonser, S. P., Poore, A. G. B., Wallis, I. R., &amp; Foley, W. J. (2011). Assessing the evidence for latitudinal gradients in plant defence and herbivory. </w:t>
      </w:r>
      <w:r w:rsidRPr="00C6379C">
        <w:rPr>
          <w:i/>
          <w:iCs/>
        </w:rPr>
        <w:t>Functional Ecology</w:t>
      </w:r>
      <w:r w:rsidRPr="00C6379C">
        <w:t xml:space="preserve">, </w:t>
      </w:r>
      <w:r w:rsidRPr="00C6379C">
        <w:rPr>
          <w:i/>
          <w:iCs/>
        </w:rPr>
        <w:t>25</w:t>
      </w:r>
      <w:r w:rsidRPr="00C6379C">
        <w:t xml:space="preserve">, 380–388. </w:t>
      </w:r>
      <w:hyperlink r:id="rId47" w:history="1">
        <w:r w:rsidRPr="00C6379C">
          <w:rPr>
            <w:rStyle w:val="Hyperlink"/>
          </w:rPr>
          <w:t>https://doi.org/10.1111/j.1365-2435.2010.01814.x</w:t>
        </w:r>
      </w:hyperlink>
    </w:p>
    <w:p w14:paraId="258626BF" w14:textId="48B28021" w:rsidR="001A4190" w:rsidRPr="00ED06AB" w:rsidRDefault="001A4190" w:rsidP="001A4190">
      <w:pPr>
        <w:spacing w:line="480" w:lineRule="auto"/>
        <w:ind w:left="720" w:hanging="720"/>
        <w:rPr>
          <w:rStyle w:val="Hyperlink"/>
          <w:color w:val="auto"/>
          <w:u w:val="none"/>
        </w:rPr>
      </w:pPr>
      <w:r w:rsidRPr="00ED06AB">
        <w:t xml:space="preserve">Murphy, S. M., </w:t>
      </w:r>
      <w:proofErr w:type="spellStart"/>
      <w:r w:rsidRPr="00ED06AB">
        <w:t>Lill</w:t>
      </w:r>
      <w:proofErr w:type="spellEnd"/>
      <w:r w:rsidRPr="00ED06AB">
        <w:t xml:space="preserve">, J. T., Bowers, M. D. &amp; Singer, M. S. (2014) Enemy-free space for parasitoids. </w:t>
      </w:r>
      <w:r w:rsidRPr="00ED06AB">
        <w:rPr>
          <w:i/>
          <w:iCs/>
        </w:rPr>
        <w:t>Environmental Entomology, 43,</w:t>
      </w:r>
      <w:r w:rsidRPr="00ED06AB">
        <w:t xml:space="preserve"> 1465–1474.</w:t>
      </w:r>
    </w:p>
    <w:p w14:paraId="438BCA3E" w14:textId="7AF23163" w:rsidR="0036744B" w:rsidRPr="0036744B" w:rsidRDefault="0036744B" w:rsidP="0036744B">
      <w:pPr>
        <w:spacing w:after="0" w:line="480" w:lineRule="auto"/>
        <w:ind w:left="450" w:hanging="480"/>
        <w:rPr>
          <w:rFonts w:eastAsia="Times New Roman"/>
        </w:rPr>
      </w:pPr>
      <w:proofErr w:type="spellStart"/>
      <w:r w:rsidRPr="0036744B">
        <w:rPr>
          <w:rFonts w:eastAsia="Times New Roman"/>
        </w:rPr>
        <w:t>Njovu</w:t>
      </w:r>
      <w:proofErr w:type="spellEnd"/>
      <w:r w:rsidRPr="0036744B">
        <w:rPr>
          <w:rFonts w:eastAsia="Times New Roman"/>
        </w:rPr>
        <w:t>, H. K., Peters, M. K.</w:t>
      </w:r>
      <w:r>
        <w:rPr>
          <w:rFonts w:eastAsia="Times New Roman"/>
        </w:rPr>
        <w:t>,</w:t>
      </w:r>
      <w:r w:rsidRPr="0036744B">
        <w:rPr>
          <w:rFonts w:eastAsia="Times New Roman"/>
        </w:rPr>
        <w:t xml:space="preserve"> Schellenberger Costa,</w:t>
      </w:r>
      <w:r>
        <w:rPr>
          <w:rFonts w:eastAsia="Times New Roman"/>
        </w:rPr>
        <w:t xml:space="preserve"> D. </w:t>
      </w:r>
      <w:proofErr w:type="spellStart"/>
      <w:r w:rsidRPr="0036744B">
        <w:rPr>
          <w:rFonts w:eastAsia="Times New Roman"/>
        </w:rPr>
        <w:t>Brandl</w:t>
      </w:r>
      <w:proofErr w:type="spellEnd"/>
      <w:r w:rsidRPr="0036744B">
        <w:rPr>
          <w:rFonts w:eastAsia="Times New Roman"/>
        </w:rPr>
        <w:t xml:space="preserve">, </w:t>
      </w:r>
      <w:r>
        <w:rPr>
          <w:rFonts w:eastAsia="Times New Roman"/>
        </w:rPr>
        <w:t xml:space="preserve">R., </w:t>
      </w:r>
      <w:proofErr w:type="spellStart"/>
      <w:r w:rsidRPr="0036744B">
        <w:rPr>
          <w:rFonts w:eastAsia="Times New Roman"/>
        </w:rPr>
        <w:t>Kleyer</w:t>
      </w:r>
      <w:proofErr w:type="spellEnd"/>
      <w:r w:rsidRPr="0036744B">
        <w:rPr>
          <w:rFonts w:eastAsia="Times New Roman"/>
        </w:rPr>
        <w:t xml:space="preserve">, </w:t>
      </w:r>
      <w:r>
        <w:rPr>
          <w:rFonts w:eastAsia="Times New Roman"/>
        </w:rPr>
        <w:t xml:space="preserve">M., </w:t>
      </w:r>
      <w:proofErr w:type="spellStart"/>
      <w:r w:rsidRPr="0036744B">
        <w:rPr>
          <w:rFonts w:eastAsia="Times New Roman"/>
        </w:rPr>
        <w:t>Steffan‐Dewenter</w:t>
      </w:r>
      <w:proofErr w:type="spellEnd"/>
      <w:r w:rsidRPr="0036744B">
        <w:rPr>
          <w:rFonts w:eastAsia="Times New Roman"/>
        </w:rPr>
        <w:t>,</w:t>
      </w:r>
      <w:r>
        <w:rPr>
          <w:rFonts w:eastAsia="Times New Roman"/>
        </w:rPr>
        <w:t xml:space="preserve"> </w:t>
      </w:r>
      <w:r w:rsidRPr="0036744B">
        <w:rPr>
          <w:rFonts w:eastAsia="Times New Roman"/>
        </w:rPr>
        <w:t>I.</w:t>
      </w:r>
      <w:r>
        <w:rPr>
          <w:rFonts w:eastAsia="Times New Roman"/>
        </w:rPr>
        <w:t>,</w:t>
      </w:r>
      <w:r w:rsidRPr="0036744B">
        <w:rPr>
          <w:rFonts w:eastAsia="Times New Roman"/>
        </w:rPr>
        <w:t xml:space="preserve"> </w:t>
      </w:r>
      <w:r>
        <w:rPr>
          <w:rFonts w:eastAsia="Times New Roman"/>
        </w:rPr>
        <w:t xml:space="preserve">&amp; </w:t>
      </w:r>
      <w:r w:rsidRPr="0036744B">
        <w:rPr>
          <w:rFonts w:eastAsia="Times New Roman"/>
        </w:rPr>
        <w:t>Si</w:t>
      </w:r>
      <w:r>
        <w:rPr>
          <w:rFonts w:eastAsia="Times New Roman"/>
        </w:rPr>
        <w:t>, X</w:t>
      </w:r>
      <w:r w:rsidRPr="0036744B">
        <w:rPr>
          <w:rFonts w:eastAsia="Times New Roman"/>
        </w:rPr>
        <w:t xml:space="preserve">. </w:t>
      </w:r>
      <w:r>
        <w:rPr>
          <w:rFonts w:eastAsia="Times New Roman"/>
        </w:rPr>
        <w:t>(</w:t>
      </w:r>
      <w:r w:rsidRPr="0036744B">
        <w:rPr>
          <w:rFonts w:eastAsia="Times New Roman"/>
        </w:rPr>
        <w:t>2019</w:t>
      </w:r>
      <w:r>
        <w:rPr>
          <w:rFonts w:eastAsia="Times New Roman"/>
        </w:rPr>
        <w:t>)</w:t>
      </w:r>
      <w:r w:rsidRPr="0036744B">
        <w:rPr>
          <w:rFonts w:eastAsia="Times New Roman"/>
        </w:rPr>
        <w:t xml:space="preserve">. Leaf traits mediate changes in invertebrate herbivory along broad environmental gradients on Mt. Kilimanjaro, Tanzania. </w:t>
      </w:r>
      <w:r w:rsidRPr="0036744B">
        <w:rPr>
          <w:rFonts w:eastAsia="Times New Roman"/>
          <w:i/>
          <w:iCs/>
        </w:rPr>
        <w:t>The Journal of Animal Ecology, 88,</w:t>
      </w:r>
      <w:r>
        <w:rPr>
          <w:rFonts w:eastAsia="Times New Roman"/>
        </w:rPr>
        <w:t xml:space="preserve"> </w:t>
      </w:r>
      <w:r w:rsidRPr="0036744B">
        <w:rPr>
          <w:rFonts w:eastAsia="Times New Roman"/>
        </w:rPr>
        <w:t>1777–1788.</w:t>
      </w:r>
    </w:p>
    <w:p w14:paraId="25C20338" w14:textId="0F456D86" w:rsidR="003E53F7" w:rsidRPr="003E53F7" w:rsidRDefault="003E53F7" w:rsidP="003E53F7">
      <w:pPr>
        <w:spacing w:after="0" w:line="480" w:lineRule="auto"/>
        <w:ind w:left="450" w:hanging="480"/>
        <w:rPr>
          <w:rFonts w:eastAsia="Times New Roman"/>
        </w:rPr>
      </w:pPr>
      <w:proofErr w:type="spellStart"/>
      <w:r w:rsidRPr="003E53F7">
        <w:rPr>
          <w:rFonts w:eastAsia="Times New Roman"/>
        </w:rPr>
        <w:t>Norghauer</w:t>
      </w:r>
      <w:proofErr w:type="spellEnd"/>
      <w:r w:rsidRPr="003E53F7">
        <w:rPr>
          <w:rFonts w:eastAsia="Times New Roman"/>
        </w:rPr>
        <w:t>, J. M., Free, C. M.</w:t>
      </w:r>
      <w:r>
        <w:rPr>
          <w:rFonts w:eastAsia="Times New Roman"/>
        </w:rPr>
        <w:t>,</w:t>
      </w:r>
      <w:r w:rsidRPr="003E53F7">
        <w:rPr>
          <w:rFonts w:eastAsia="Times New Roman"/>
        </w:rPr>
        <w:t xml:space="preserve"> Landis, R. M.</w:t>
      </w:r>
      <w:r>
        <w:rPr>
          <w:rFonts w:eastAsia="Times New Roman"/>
        </w:rPr>
        <w:t>,</w:t>
      </w:r>
      <w:r w:rsidRPr="003E53F7">
        <w:rPr>
          <w:rFonts w:eastAsia="Times New Roman"/>
        </w:rPr>
        <w:t xml:space="preserve"> Grogan, J.</w:t>
      </w:r>
      <w:r>
        <w:rPr>
          <w:rFonts w:eastAsia="Times New Roman"/>
        </w:rPr>
        <w:t>,</w:t>
      </w:r>
      <w:r w:rsidRPr="003E53F7">
        <w:rPr>
          <w:rFonts w:eastAsia="Times New Roman"/>
        </w:rPr>
        <w:t xml:space="preserve"> Malcolm, J. R.</w:t>
      </w:r>
      <w:r>
        <w:rPr>
          <w:rFonts w:eastAsia="Times New Roman"/>
        </w:rPr>
        <w:t>, &amp;</w:t>
      </w:r>
      <w:r w:rsidRPr="003E53F7">
        <w:rPr>
          <w:rFonts w:eastAsia="Times New Roman"/>
        </w:rPr>
        <w:t xml:space="preserve"> Thomas</w:t>
      </w:r>
      <w:r>
        <w:rPr>
          <w:rFonts w:eastAsia="Times New Roman"/>
        </w:rPr>
        <w:t>, S. C.,</w:t>
      </w:r>
      <w:r w:rsidRPr="003E53F7">
        <w:rPr>
          <w:rFonts w:eastAsia="Times New Roman"/>
        </w:rPr>
        <w:t xml:space="preserve"> </w:t>
      </w:r>
      <w:r>
        <w:rPr>
          <w:rFonts w:eastAsia="Times New Roman"/>
        </w:rPr>
        <w:t>(</w:t>
      </w:r>
      <w:r w:rsidRPr="003E53F7">
        <w:rPr>
          <w:rFonts w:eastAsia="Times New Roman"/>
        </w:rPr>
        <w:t>2016</w:t>
      </w:r>
      <w:r>
        <w:rPr>
          <w:rFonts w:eastAsia="Times New Roman"/>
        </w:rPr>
        <w:t>)</w:t>
      </w:r>
      <w:r w:rsidRPr="003E53F7">
        <w:rPr>
          <w:rFonts w:eastAsia="Times New Roman"/>
        </w:rPr>
        <w:t xml:space="preserve">. Herbivores limit the population size of big-leaf mahogany trees in an </w:t>
      </w:r>
      <w:proofErr w:type="gramStart"/>
      <w:r w:rsidRPr="003E53F7">
        <w:rPr>
          <w:rFonts w:eastAsia="Times New Roman"/>
        </w:rPr>
        <w:t>Amazonian forest</w:t>
      </w:r>
      <w:proofErr w:type="gramEnd"/>
      <w:r w:rsidRPr="003E53F7">
        <w:rPr>
          <w:rFonts w:eastAsia="Times New Roman"/>
        </w:rPr>
        <w:t xml:space="preserve">. </w:t>
      </w:r>
      <w:r w:rsidRPr="003E53F7">
        <w:rPr>
          <w:rFonts w:eastAsia="Times New Roman"/>
          <w:i/>
          <w:iCs/>
        </w:rPr>
        <w:t>Oikos, 125,</w:t>
      </w:r>
      <w:r>
        <w:rPr>
          <w:rFonts w:eastAsia="Times New Roman"/>
        </w:rPr>
        <w:t xml:space="preserve"> </w:t>
      </w:r>
      <w:r w:rsidRPr="003E53F7">
        <w:rPr>
          <w:rFonts w:eastAsia="Times New Roman"/>
        </w:rPr>
        <w:t>137–148.</w:t>
      </w:r>
    </w:p>
    <w:p w14:paraId="14457195" w14:textId="23E91696" w:rsidR="00C21476" w:rsidRDefault="00C21476" w:rsidP="00F7460C">
      <w:pPr>
        <w:spacing w:line="480" w:lineRule="auto"/>
        <w:ind w:left="720" w:hanging="720"/>
      </w:pPr>
      <w:r w:rsidRPr="003E53F7">
        <w:t xml:space="preserve">Oliveira-Filho, A. T., &amp; Ratter, J. A. </w:t>
      </w:r>
      <w:r w:rsidR="0036744B" w:rsidRPr="003E53F7">
        <w:t>(</w:t>
      </w:r>
      <w:r w:rsidRPr="003E53F7">
        <w:t>2002</w:t>
      </w:r>
      <w:r w:rsidR="0036744B" w:rsidRPr="003E53F7">
        <w:t>)</w:t>
      </w:r>
      <w:r w:rsidRPr="003E53F7">
        <w:t xml:space="preserve">. </w:t>
      </w:r>
      <w:r w:rsidRPr="00C21476">
        <w:t xml:space="preserve">6. Vegetation Physiognomies and Woody Flora of the Cerrado Biome. In The </w:t>
      </w:r>
      <w:proofErr w:type="spellStart"/>
      <w:r>
        <w:t>C</w:t>
      </w:r>
      <w:r w:rsidRPr="00C21476">
        <w:t>errados</w:t>
      </w:r>
      <w:proofErr w:type="spellEnd"/>
      <w:r w:rsidRPr="00C21476">
        <w:t xml:space="preserve"> of Brazil (pp. 91-120). Columbia University Press.</w:t>
      </w:r>
    </w:p>
    <w:p w14:paraId="40144C43" w14:textId="4F5F8080" w:rsidR="00F7460C" w:rsidRDefault="00F7460C" w:rsidP="003D6FE2">
      <w:pPr>
        <w:spacing w:line="480" w:lineRule="auto"/>
        <w:ind w:left="450" w:hanging="450"/>
      </w:pPr>
      <w:proofErr w:type="spellStart"/>
      <w:r>
        <w:rPr>
          <w:rStyle w:val="nlmstring-name"/>
        </w:rPr>
        <w:t>Pacala</w:t>
      </w:r>
      <w:proofErr w:type="spellEnd"/>
      <w:r>
        <w:rPr>
          <w:rStyle w:val="nlmstring-name"/>
        </w:rPr>
        <w:t>,</w:t>
      </w:r>
      <w:r>
        <w:t xml:space="preserve"> </w:t>
      </w:r>
      <w:r>
        <w:rPr>
          <w:rStyle w:val="nlmstring-name"/>
        </w:rPr>
        <w:t xml:space="preserve">S. W. </w:t>
      </w:r>
      <w:r>
        <w:t xml:space="preserve">&amp; </w:t>
      </w:r>
      <w:r>
        <w:rPr>
          <w:rStyle w:val="nlmstring-name"/>
        </w:rPr>
        <w:t>Hassell, M. P. (1991)</w:t>
      </w:r>
      <w:r>
        <w:t xml:space="preserve"> </w:t>
      </w:r>
      <w:r w:rsidRPr="003D6FE2">
        <w:t>The Persistence of Host-Parasitoid Associations in Patchy Environments. II. Evaluation of Field Data</w:t>
      </w:r>
      <w:r>
        <w:t xml:space="preserve">. </w:t>
      </w:r>
      <w:r w:rsidRPr="003D6FE2">
        <w:rPr>
          <w:rStyle w:val="journalname"/>
          <w:i/>
          <w:iCs/>
        </w:rPr>
        <w:t>The American Naturalist</w:t>
      </w:r>
      <w:r w:rsidRPr="003D6FE2">
        <w:rPr>
          <w:i/>
          <w:iCs/>
        </w:rPr>
        <w:t xml:space="preserve"> </w:t>
      </w:r>
      <w:r w:rsidRPr="003D6FE2">
        <w:rPr>
          <w:rStyle w:val="volume"/>
          <w:i/>
          <w:iCs/>
        </w:rPr>
        <w:t>138</w:t>
      </w:r>
      <w:r w:rsidRPr="003D6FE2">
        <w:rPr>
          <w:i/>
          <w:iCs/>
        </w:rPr>
        <w:t xml:space="preserve">, </w:t>
      </w:r>
      <w:r w:rsidRPr="00F7460C">
        <w:rPr>
          <w:rStyle w:val="page"/>
        </w:rPr>
        <w:t>584-605</w:t>
      </w:r>
      <w:r>
        <w:rPr>
          <w:rStyle w:val="page"/>
        </w:rPr>
        <w:t>.</w:t>
      </w:r>
    </w:p>
    <w:p w14:paraId="75CF1CFF" w14:textId="41116973" w:rsidR="00C6379C" w:rsidRPr="00C6379C" w:rsidRDefault="00C6379C" w:rsidP="00F7460C">
      <w:pPr>
        <w:spacing w:line="480" w:lineRule="auto"/>
        <w:ind w:left="720" w:hanging="720"/>
      </w:pPr>
      <w:r w:rsidRPr="00C6379C">
        <w:t xml:space="preserve">Pearson, T. R. H., </w:t>
      </w:r>
      <w:proofErr w:type="spellStart"/>
      <w:r w:rsidRPr="00C6379C">
        <w:t>Burslem</w:t>
      </w:r>
      <w:proofErr w:type="spellEnd"/>
      <w:r w:rsidRPr="00C6379C">
        <w:t xml:space="preserve">, D., </w:t>
      </w:r>
      <w:proofErr w:type="spellStart"/>
      <w:r w:rsidRPr="00C6379C">
        <w:t>Goeriz</w:t>
      </w:r>
      <w:proofErr w:type="spellEnd"/>
      <w:r w:rsidRPr="00C6379C">
        <w:t xml:space="preserve">, R. E., &amp; </w:t>
      </w:r>
      <w:proofErr w:type="spellStart"/>
      <w:r w:rsidRPr="00C6379C">
        <w:t>Dalling</w:t>
      </w:r>
      <w:proofErr w:type="spellEnd"/>
      <w:r w:rsidRPr="00C6379C">
        <w:t xml:space="preserve">, J. W. (2003a). Interactions of gap size and herbivory on establishment, </w:t>
      </w:r>
      <w:proofErr w:type="gramStart"/>
      <w:r w:rsidRPr="00C6379C">
        <w:t>growth</w:t>
      </w:r>
      <w:proofErr w:type="gramEnd"/>
      <w:r w:rsidRPr="00C6379C">
        <w:t xml:space="preserve"> and survival of three species of neotropical pioneer trees. </w:t>
      </w:r>
      <w:r w:rsidRPr="00C6379C">
        <w:rPr>
          <w:i/>
          <w:iCs/>
        </w:rPr>
        <w:t>Journal of Ecology</w:t>
      </w:r>
      <w:r w:rsidRPr="00C6379C">
        <w:t xml:space="preserve">, </w:t>
      </w:r>
      <w:r w:rsidRPr="00C6379C">
        <w:rPr>
          <w:i/>
          <w:iCs/>
        </w:rPr>
        <w:t>91</w:t>
      </w:r>
      <w:r w:rsidRPr="00C6379C">
        <w:t xml:space="preserve">, 785–796. </w:t>
      </w:r>
      <w:hyperlink r:id="rId48" w:history="1">
        <w:r w:rsidRPr="00C6379C">
          <w:rPr>
            <w:rStyle w:val="Hyperlink"/>
          </w:rPr>
          <w:t>https://doi.org/10.1046/j.1365-2745.2003.00803.x</w:t>
        </w:r>
      </w:hyperlink>
    </w:p>
    <w:p w14:paraId="25985AAC" w14:textId="54074268" w:rsidR="00C6379C" w:rsidRPr="003D6FE2" w:rsidRDefault="00C6379C" w:rsidP="00C6379C">
      <w:pPr>
        <w:spacing w:line="480" w:lineRule="auto"/>
        <w:ind w:left="720" w:hanging="720"/>
        <w:rPr>
          <w:rStyle w:val="Hyperlink"/>
        </w:rPr>
      </w:pPr>
      <w:r w:rsidRPr="00C6379C">
        <w:t xml:space="preserve">Pearson, T. R. H., </w:t>
      </w:r>
      <w:proofErr w:type="spellStart"/>
      <w:r w:rsidRPr="00C6379C">
        <w:t>Burslem</w:t>
      </w:r>
      <w:proofErr w:type="spellEnd"/>
      <w:r w:rsidRPr="00C6379C">
        <w:t xml:space="preserve">, D., </w:t>
      </w:r>
      <w:proofErr w:type="spellStart"/>
      <w:r w:rsidRPr="00C6379C">
        <w:t>Goeriz</w:t>
      </w:r>
      <w:proofErr w:type="spellEnd"/>
      <w:r w:rsidRPr="00C6379C">
        <w:t xml:space="preserve">, R. E., &amp; </w:t>
      </w:r>
      <w:proofErr w:type="spellStart"/>
      <w:r w:rsidRPr="00C6379C">
        <w:t>Dalling</w:t>
      </w:r>
      <w:proofErr w:type="spellEnd"/>
      <w:r w:rsidRPr="00C6379C">
        <w:t xml:space="preserve">, J. W. (2003b). Regeneration niche partitioning in neotropical pioneers: Effects of gap size, seasonal drought and herbivory </w:t>
      </w:r>
      <w:r w:rsidRPr="00C6379C">
        <w:lastRenderedPageBreak/>
        <w:t xml:space="preserve">on growth and survival. </w:t>
      </w:r>
      <w:proofErr w:type="spellStart"/>
      <w:r w:rsidRPr="003D6FE2">
        <w:rPr>
          <w:i/>
          <w:iCs/>
        </w:rPr>
        <w:t>Oecologia</w:t>
      </w:r>
      <w:proofErr w:type="spellEnd"/>
      <w:r w:rsidRPr="003D6FE2">
        <w:t xml:space="preserve">, </w:t>
      </w:r>
      <w:r w:rsidRPr="003D6FE2">
        <w:rPr>
          <w:i/>
          <w:iCs/>
        </w:rPr>
        <w:t>137</w:t>
      </w:r>
      <w:r w:rsidRPr="003D6FE2">
        <w:t xml:space="preserve">, 456–465. </w:t>
      </w:r>
      <w:hyperlink r:id="rId49" w:history="1">
        <w:r w:rsidRPr="003D6FE2">
          <w:rPr>
            <w:rStyle w:val="Hyperlink"/>
          </w:rPr>
          <w:t>https://doi.org/10.1007/s00442-003-1361-x</w:t>
        </w:r>
      </w:hyperlink>
    </w:p>
    <w:p w14:paraId="4D7EE257" w14:textId="4722DF2B" w:rsidR="00C73ED4" w:rsidRDefault="00C73ED4" w:rsidP="00C73ED4">
      <w:pPr>
        <w:spacing w:after="0" w:line="480" w:lineRule="auto"/>
        <w:ind w:left="450" w:hanging="480"/>
        <w:rPr>
          <w:rFonts w:eastAsia="Times New Roman"/>
        </w:rPr>
      </w:pPr>
      <w:r w:rsidRPr="003D6FE2">
        <w:rPr>
          <w:rFonts w:eastAsia="Times New Roman"/>
        </w:rPr>
        <w:t xml:space="preserve">Piper, F. I., S. H. Altmann, &amp; Lusk, C. H. </w:t>
      </w:r>
      <w:r w:rsidR="003D6FE2">
        <w:rPr>
          <w:rFonts w:eastAsia="Times New Roman"/>
        </w:rPr>
        <w:t>(</w:t>
      </w:r>
      <w:r w:rsidRPr="003D6FE2">
        <w:rPr>
          <w:rFonts w:eastAsia="Times New Roman"/>
        </w:rPr>
        <w:t>2018</w:t>
      </w:r>
      <w:r w:rsidR="003D6FE2">
        <w:rPr>
          <w:rFonts w:eastAsia="Times New Roman"/>
        </w:rPr>
        <w:t>)</w:t>
      </w:r>
      <w:r w:rsidRPr="003D6FE2">
        <w:rPr>
          <w:rFonts w:eastAsia="Times New Roman"/>
        </w:rPr>
        <w:t xml:space="preserve"> </w:t>
      </w:r>
      <w:r w:rsidRPr="00C73ED4">
        <w:rPr>
          <w:rFonts w:eastAsia="Times New Roman"/>
        </w:rPr>
        <w:t xml:space="preserve">Global patterns of insect herbivory in gap and understorey environments, and their implications for woody plant carbon storage. </w:t>
      </w:r>
      <w:r w:rsidRPr="00C73ED4">
        <w:rPr>
          <w:rFonts w:eastAsia="Times New Roman"/>
          <w:i/>
          <w:iCs/>
        </w:rPr>
        <w:t>Oikos 127</w:t>
      </w:r>
      <w:r w:rsidR="005A6631">
        <w:rPr>
          <w:rFonts w:eastAsia="Times New Roman"/>
        </w:rPr>
        <w:t xml:space="preserve">, </w:t>
      </w:r>
      <w:r w:rsidRPr="00C73ED4">
        <w:rPr>
          <w:rFonts w:eastAsia="Times New Roman"/>
        </w:rPr>
        <w:t>483–496.</w:t>
      </w:r>
    </w:p>
    <w:p w14:paraId="64FF727D" w14:textId="27582AAA" w:rsidR="00E60671" w:rsidRPr="00E60671" w:rsidRDefault="00E60671" w:rsidP="003D6FE2">
      <w:pPr>
        <w:spacing w:after="0" w:line="480" w:lineRule="auto"/>
        <w:ind w:left="720" w:hanging="720"/>
        <w:rPr>
          <w:rFonts w:eastAsia="Times New Roman"/>
        </w:rPr>
      </w:pPr>
      <w:r w:rsidRPr="003D6FE2">
        <w:rPr>
          <w:rStyle w:val="author"/>
        </w:rPr>
        <w:t>Price, P. W.</w:t>
      </w:r>
      <w:r w:rsidRPr="00E60671">
        <w:rPr>
          <w:rStyle w:val="HTMLCite"/>
          <w:iCs w:val="0"/>
        </w:rPr>
        <w:t xml:space="preserve">, </w:t>
      </w:r>
      <w:r w:rsidRPr="003D6FE2">
        <w:rPr>
          <w:rStyle w:val="author"/>
        </w:rPr>
        <w:t>Bouton, C. E.</w:t>
      </w:r>
      <w:r w:rsidRPr="00E60671">
        <w:rPr>
          <w:rStyle w:val="HTMLCite"/>
          <w:iCs w:val="0"/>
        </w:rPr>
        <w:t xml:space="preserve">, </w:t>
      </w:r>
      <w:r w:rsidRPr="003D6FE2">
        <w:rPr>
          <w:rStyle w:val="author"/>
        </w:rPr>
        <w:t>Gross, P.</w:t>
      </w:r>
      <w:r w:rsidRPr="00E60671">
        <w:rPr>
          <w:rStyle w:val="HTMLCite"/>
          <w:iCs w:val="0"/>
        </w:rPr>
        <w:t xml:space="preserve">, </w:t>
      </w:r>
      <w:proofErr w:type="spellStart"/>
      <w:r w:rsidRPr="003D6FE2">
        <w:rPr>
          <w:rStyle w:val="author"/>
        </w:rPr>
        <w:t>McPheron</w:t>
      </w:r>
      <w:proofErr w:type="spellEnd"/>
      <w:r w:rsidRPr="003D6FE2">
        <w:rPr>
          <w:rStyle w:val="author"/>
        </w:rPr>
        <w:t>, B. A.</w:t>
      </w:r>
      <w:r w:rsidRPr="00E60671">
        <w:rPr>
          <w:rStyle w:val="HTMLCite"/>
          <w:iCs w:val="0"/>
        </w:rPr>
        <w:t xml:space="preserve">, </w:t>
      </w:r>
      <w:r w:rsidRPr="003D6FE2">
        <w:rPr>
          <w:rStyle w:val="author"/>
        </w:rPr>
        <w:t>Thompson, J. N.</w:t>
      </w:r>
      <w:r w:rsidRPr="00E60671">
        <w:rPr>
          <w:rStyle w:val="HTMLCite"/>
          <w:iCs w:val="0"/>
        </w:rPr>
        <w:t xml:space="preserve">, </w:t>
      </w:r>
      <w:r>
        <w:rPr>
          <w:rStyle w:val="HTMLCite"/>
          <w:i w:val="0"/>
        </w:rPr>
        <w:t xml:space="preserve">&amp; </w:t>
      </w:r>
      <w:r w:rsidRPr="003D6FE2">
        <w:rPr>
          <w:rStyle w:val="author"/>
        </w:rPr>
        <w:t>Weis, A. E.</w:t>
      </w:r>
      <w:r w:rsidRPr="00E60671">
        <w:rPr>
          <w:rStyle w:val="HTMLCite"/>
          <w:iCs w:val="0"/>
        </w:rPr>
        <w:t xml:space="preserve"> </w:t>
      </w:r>
      <w:r>
        <w:rPr>
          <w:rStyle w:val="HTMLCite"/>
          <w:i w:val="0"/>
        </w:rPr>
        <w:t>(</w:t>
      </w:r>
      <w:r w:rsidRPr="003D6FE2">
        <w:rPr>
          <w:rStyle w:val="pubyear"/>
        </w:rPr>
        <w:t>1980</w:t>
      </w:r>
      <w:r>
        <w:rPr>
          <w:rStyle w:val="pubyear"/>
        </w:rPr>
        <w:t>)</w:t>
      </w:r>
      <w:r w:rsidRPr="00E60671">
        <w:rPr>
          <w:rStyle w:val="HTMLCite"/>
          <w:iCs w:val="0"/>
        </w:rPr>
        <w:t xml:space="preserve"> </w:t>
      </w:r>
      <w:r w:rsidRPr="003D6FE2">
        <w:rPr>
          <w:rStyle w:val="articletitle"/>
        </w:rPr>
        <w:t>Interactions among three trophic levels: influence of plant</w:t>
      </w:r>
      <w:r>
        <w:rPr>
          <w:rStyle w:val="articletitle"/>
        </w:rPr>
        <w:t>s</w:t>
      </w:r>
      <w:r w:rsidRPr="003D6FE2">
        <w:rPr>
          <w:rStyle w:val="articletitle"/>
        </w:rPr>
        <w:t xml:space="preserve"> on interaction between insect herbivores and natural enemies</w:t>
      </w:r>
      <w:r w:rsidRPr="00E60671">
        <w:rPr>
          <w:rStyle w:val="HTMLCite"/>
          <w:iCs w:val="0"/>
        </w:rPr>
        <w:t xml:space="preserve">. </w:t>
      </w:r>
      <w:r w:rsidRPr="00E60671">
        <w:rPr>
          <w:rStyle w:val="journaltitle"/>
          <w:i/>
          <w:iCs/>
        </w:rPr>
        <w:t>Ann</w:t>
      </w:r>
      <w:r w:rsidRPr="003D6FE2">
        <w:rPr>
          <w:rStyle w:val="journaltitle"/>
          <w:i/>
          <w:iCs/>
        </w:rPr>
        <w:t>ual</w:t>
      </w:r>
      <w:r w:rsidRPr="00E60671">
        <w:rPr>
          <w:rStyle w:val="journaltitle"/>
          <w:i/>
          <w:iCs/>
        </w:rPr>
        <w:t xml:space="preserve"> Rev</w:t>
      </w:r>
      <w:r w:rsidRPr="003D6FE2">
        <w:rPr>
          <w:rStyle w:val="journaltitle"/>
          <w:i/>
          <w:iCs/>
        </w:rPr>
        <w:t xml:space="preserve">iew of </w:t>
      </w:r>
      <w:r w:rsidRPr="00E60671">
        <w:rPr>
          <w:rStyle w:val="journaltitle"/>
          <w:i/>
          <w:iCs/>
        </w:rPr>
        <w:t>Ecol</w:t>
      </w:r>
      <w:r w:rsidRPr="003D6FE2">
        <w:rPr>
          <w:rStyle w:val="journaltitle"/>
          <w:i/>
          <w:iCs/>
        </w:rPr>
        <w:t xml:space="preserve">ogy and </w:t>
      </w:r>
      <w:r w:rsidRPr="00E60671">
        <w:rPr>
          <w:rStyle w:val="journaltitle"/>
          <w:i/>
          <w:iCs/>
        </w:rPr>
        <w:t>Syst</w:t>
      </w:r>
      <w:r w:rsidRPr="003D6FE2">
        <w:rPr>
          <w:rStyle w:val="journaltitle"/>
          <w:i/>
          <w:iCs/>
        </w:rPr>
        <w:t>ematics</w:t>
      </w:r>
      <w:r w:rsidRPr="00E60671">
        <w:rPr>
          <w:rStyle w:val="HTMLCite"/>
        </w:rPr>
        <w:t>,</w:t>
      </w:r>
      <w:r w:rsidRPr="00E60671">
        <w:rPr>
          <w:rStyle w:val="HTMLCite"/>
          <w:iCs w:val="0"/>
        </w:rPr>
        <w:t xml:space="preserve"> </w:t>
      </w:r>
      <w:r w:rsidRPr="00E60671">
        <w:rPr>
          <w:rStyle w:val="vol"/>
          <w:i/>
          <w:iCs/>
        </w:rPr>
        <w:t>11</w:t>
      </w:r>
      <w:r w:rsidRPr="00E60671">
        <w:rPr>
          <w:rStyle w:val="HTMLCite"/>
          <w:iCs w:val="0"/>
        </w:rPr>
        <w:t xml:space="preserve">, </w:t>
      </w:r>
      <w:r w:rsidRPr="003D6FE2">
        <w:rPr>
          <w:rStyle w:val="pagefirst"/>
        </w:rPr>
        <w:t>41</w:t>
      </w:r>
      <w:r>
        <w:rPr>
          <w:rStyle w:val="HTMLCite"/>
          <w:iCs w:val="0"/>
        </w:rPr>
        <w:t>-</w:t>
      </w:r>
      <w:r w:rsidRPr="003D6FE2">
        <w:rPr>
          <w:rStyle w:val="pagelast"/>
        </w:rPr>
        <w:t>65</w:t>
      </w:r>
      <w:r w:rsidRPr="00E60671">
        <w:rPr>
          <w:rStyle w:val="HTMLCite"/>
          <w:iCs w:val="0"/>
        </w:rPr>
        <w:t>.</w:t>
      </w:r>
    </w:p>
    <w:p w14:paraId="78C9212E" w14:textId="358B839F" w:rsidR="00B556F0" w:rsidRDefault="00B556F0" w:rsidP="00C6379C">
      <w:pPr>
        <w:spacing w:line="480" w:lineRule="auto"/>
        <w:ind w:left="720" w:hanging="720"/>
      </w:pPr>
      <w:proofErr w:type="spellStart"/>
      <w:r w:rsidRPr="006F79CE">
        <w:t>Rasmann</w:t>
      </w:r>
      <w:proofErr w:type="spellEnd"/>
      <w:r w:rsidRPr="006F79CE">
        <w:t xml:space="preserve">, S., </w:t>
      </w:r>
      <w:proofErr w:type="spellStart"/>
      <w:r w:rsidRPr="006F79CE">
        <w:t>Pellissier</w:t>
      </w:r>
      <w:proofErr w:type="spellEnd"/>
      <w:r w:rsidRPr="006F79CE">
        <w:t xml:space="preserve">, L., </w:t>
      </w:r>
      <w:proofErr w:type="spellStart"/>
      <w:r w:rsidRPr="006F79CE">
        <w:t>Defossez</w:t>
      </w:r>
      <w:proofErr w:type="spellEnd"/>
      <w:r w:rsidRPr="006F79CE">
        <w:t xml:space="preserve">, E., </w:t>
      </w:r>
      <w:proofErr w:type="spellStart"/>
      <w:r w:rsidRPr="006F79CE">
        <w:t>Jactel</w:t>
      </w:r>
      <w:proofErr w:type="spellEnd"/>
      <w:r w:rsidRPr="006F79CE">
        <w:t>, H., &amp; Kunstler, G. (2014). Climate‐driven change in plant–insect interactions along elevation gradients. </w:t>
      </w:r>
      <w:r w:rsidRPr="006F79CE">
        <w:rPr>
          <w:i/>
          <w:iCs/>
        </w:rPr>
        <w:t>Functional Ecology</w:t>
      </w:r>
      <w:r w:rsidRPr="006F79CE">
        <w:t>, </w:t>
      </w:r>
      <w:r w:rsidRPr="006F79CE">
        <w:rPr>
          <w:i/>
          <w:iCs/>
        </w:rPr>
        <w:t>28</w:t>
      </w:r>
      <w:r w:rsidRPr="006F79CE">
        <w:t>, 46-54.</w:t>
      </w:r>
    </w:p>
    <w:p w14:paraId="0FFF4039" w14:textId="77777777" w:rsidR="000050E1" w:rsidRDefault="000050E1" w:rsidP="000050E1">
      <w:pPr>
        <w:spacing w:line="480" w:lineRule="auto"/>
        <w:ind w:left="720" w:hanging="720"/>
        <w:rPr>
          <w:rStyle w:val="Hyperlink"/>
        </w:rPr>
      </w:pPr>
      <w:r w:rsidRPr="00C6379C">
        <w:t xml:space="preserve">Richards, L. A., &amp; Windsor, D. M. (2007). Seasonal variation of arthropod abundance in gaps and the understorey of a lowland moist forest in Panama. </w:t>
      </w:r>
      <w:r w:rsidRPr="00C6379C">
        <w:rPr>
          <w:i/>
          <w:iCs/>
        </w:rPr>
        <w:t>Journal of Tropical Ecology</w:t>
      </w:r>
      <w:r w:rsidRPr="00C6379C">
        <w:t xml:space="preserve">, </w:t>
      </w:r>
      <w:r w:rsidRPr="00C6379C">
        <w:rPr>
          <w:i/>
          <w:iCs/>
        </w:rPr>
        <w:t>23</w:t>
      </w:r>
      <w:r w:rsidRPr="00C6379C">
        <w:t xml:space="preserve">, 169–176. </w:t>
      </w:r>
      <w:hyperlink r:id="rId50" w:history="1">
        <w:r w:rsidRPr="00C6379C">
          <w:rPr>
            <w:rStyle w:val="Hyperlink"/>
          </w:rPr>
          <w:t>https://doi.org/10.1017/S0266467406003907</w:t>
        </w:r>
      </w:hyperlink>
    </w:p>
    <w:p w14:paraId="60DB5206" w14:textId="56086F8C" w:rsidR="00C6379C" w:rsidRPr="00C6379C" w:rsidRDefault="00C6379C" w:rsidP="00C6379C">
      <w:pPr>
        <w:spacing w:line="480" w:lineRule="auto"/>
        <w:ind w:left="720" w:hanging="720"/>
      </w:pPr>
      <w:r w:rsidRPr="00C609C6">
        <w:t xml:space="preserve">Richards, L. A., &amp; Coley, P. D. (2008). </w:t>
      </w:r>
      <w:r w:rsidRPr="00C6379C">
        <w:t xml:space="preserve">Combined Effects of Host Plant Quality and Predation on a Tropical Lepidopteran: A Comparison between Treefall Gaps and the Understory in Panama. </w:t>
      </w:r>
      <w:r w:rsidRPr="00C6379C">
        <w:rPr>
          <w:i/>
          <w:iCs/>
        </w:rPr>
        <w:t>Biotropica</w:t>
      </w:r>
      <w:r w:rsidRPr="00C6379C">
        <w:t xml:space="preserve">, </w:t>
      </w:r>
      <w:r w:rsidRPr="00C6379C">
        <w:rPr>
          <w:i/>
          <w:iCs/>
        </w:rPr>
        <w:t>40</w:t>
      </w:r>
      <w:r w:rsidRPr="00C6379C">
        <w:t xml:space="preserve">, 736–741. </w:t>
      </w:r>
      <w:hyperlink r:id="rId51" w:history="1">
        <w:r w:rsidRPr="00C6379C">
          <w:rPr>
            <w:rStyle w:val="Hyperlink"/>
          </w:rPr>
          <w:t>https://doi.org/10.1111/j.1744-7429.2008.00438.x</w:t>
        </w:r>
      </w:hyperlink>
    </w:p>
    <w:p w14:paraId="0C5AEC6F" w14:textId="0E3953FA" w:rsidR="000050E1" w:rsidRPr="000050E1" w:rsidRDefault="000050E1" w:rsidP="000050E1">
      <w:pPr>
        <w:spacing w:after="0" w:line="480" w:lineRule="auto"/>
        <w:ind w:left="450" w:hanging="480"/>
        <w:rPr>
          <w:rFonts w:eastAsia="Times New Roman"/>
        </w:rPr>
      </w:pPr>
      <w:r w:rsidRPr="000050E1">
        <w:rPr>
          <w:rFonts w:eastAsia="Times New Roman"/>
        </w:rPr>
        <w:t xml:space="preserve">Richards, L. A., L. A. Dyer, M. L. </w:t>
      </w:r>
      <w:proofErr w:type="spellStart"/>
      <w:r w:rsidRPr="000050E1">
        <w:rPr>
          <w:rFonts w:eastAsia="Times New Roman"/>
        </w:rPr>
        <w:t>Forister</w:t>
      </w:r>
      <w:proofErr w:type="spellEnd"/>
      <w:r w:rsidRPr="000050E1">
        <w:rPr>
          <w:rFonts w:eastAsia="Times New Roman"/>
        </w:rPr>
        <w:t xml:space="preserve">, A. M. </w:t>
      </w:r>
      <w:proofErr w:type="spellStart"/>
      <w:r w:rsidRPr="000050E1">
        <w:rPr>
          <w:rFonts w:eastAsia="Times New Roman"/>
        </w:rPr>
        <w:t>Smilanich</w:t>
      </w:r>
      <w:proofErr w:type="spellEnd"/>
      <w:r w:rsidRPr="000050E1">
        <w:rPr>
          <w:rFonts w:eastAsia="Times New Roman"/>
        </w:rPr>
        <w:t xml:space="preserve">, C. D. Dodson, M. D. Leonard, </w:t>
      </w:r>
      <w:r w:rsidR="005A6631">
        <w:rPr>
          <w:rFonts w:eastAsia="Times New Roman"/>
        </w:rPr>
        <w:t>&amp;</w:t>
      </w:r>
      <w:r w:rsidRPr="000050E1">
        <w:rPr>
          <w:rFonts w:eastAsia="Times New Roman"/>
        </w:rPr>
        <w:t xml:space="preserve"> Jeffrey</w:t>
      </w:r>
      <w:r w:rsidR="005A6631">
        <w:rPr>
          <w:rFonts w:eastAsia="Times New Roman"/>
        </w:rPr>
        <w:t xml:space="preserve">, </w:t>
      </w:r>
      <w:r w:rsidR="005A6631" w:rsidRPr="000050E1">
        <w:rPr>
          <w:rFonts w:eastAsia="Times New Roman"/>
        </w:rPr>
        <w:t>C. S.</w:t>
      </w:r>
      <w:r w:rsidRPr="000050E1">
        <w:rPr>
          <w:rFonts w:eastAsia="Times New Roman"/>
        </w:rPr>
        <w:t xml:space="preserve"> </w:t>
      </w:r>
      <w:r>
        <w:rPr>
          <w:rFonts w:eastAsia="Times New Roman"/>
        </w:rPr>
        <w:t>(</w:t>
      </w:r>
      <w:r w:rsidRPr="000050E1">
        <w:rPr>
          <w:rFonts w:eastAsia="Times New Roman"/>
        </w:rPr>
        <w:t>2015</w:t>
      </w:r>
      <w:r>
        <w:rPr>
          <w:rFonts w:eastAsia="Times New Roman"/>
        </w:rPr>
        <w:t>)</w:t>
      </w:r>
      <w:r w:rsidRPr="000050E1">
        <w:rPr>
          <w:rFonts w:eastAsia="Times New Roman"/>
        </w:rPr>
        <w:t xml:space="preserve">. Phytochemical diversity drives plant-insect community diversity. </w:t>
      </w:r>
      <w:r w:rsidRPr="000050E1">
        <w:rPr>
          <w:rFonts w:eastAsia="Times New Roman"/>
          <w:i/>
          <w:iCs/>
        </w:rPr>
        <w:t>Proceedings of the National Academy of Sciences of the United States of America</w:t>
      </w:r>
      <w:r w:rsidR="005A6631">
        <w:rPr>
          <w:rFonts w:eastAsia="Times New Roman"/>
          <w:i/>
          <w:iCs/>
        </w:rPr>
        <w:t>,</w:t>
      </w:r>
      <w:r w:rsidRPr="000050E1">
        <w:rPr>
          <w:rFonts w:eastAsia="Times New Roman"/>
          <w:i/>
          <w:iCs/>
        </w:rPr>
        <w:t xml:space="preserve"> 112</w:t>
      </w:r>
      <w:r w:rsidR="005A6631">
        <w:rPr>
          <w:rFonts w:eastAsia="Times New Roman"/>
        </w:rPr>
        <w:t xml:space="preserve">, </w:t>
      </w:r>
      <w:r w:rsidRPr="000050E1">
        <w:rPr>
          <w:rFonts w:eastAsia="Times New Roman"/>
        </w:rPr>
        <w:t>10973–10978.</w:t>
      </w:r>
    </w:p>
    <w:p w14:paraId="1FA2CF7B" w14:textId="3143B9BD" w:rsidR="00C6379C" w:rsidRPr="00C6379C" w:rsidRDefault="00C6379C" w:rsidP="00C6379C">
      <w:pPr>
        <w:spacing w:line="480" w:lineRule="auto"/>
        <w:ind w:left="720" w:hanging="720"/>
      </w:pPr>
      <w:r w:rsidRPr="00C6379C">
        <w:lastRenderedPageBreak/>
        <w:t xml:space="preserve">Root, R. (1973). Organization of a </w:t>
      </w:r>
      <w:r w:rsidR="00592CFD">
        <w:t>p</w:t>
      </w:r>
      <w:r w:rsidRPr="00C6379C">
        <w:t>lant-</w:t>
      </w:r>
      <w:r w:rsidR="00592CFD">
        <w:t>a</w:t>
      </w:r>
      <w:r w:rsidRPr="00C6379C">
        <w:t xml:space="preserve">rthropod </w:t>
      </w:r>
      <w:r w:rsidR="00592CFD">
        <w:t>a</w:t>
      </w:r>
      <w:r w:rsidRPr="00C6379C">
        <w:t xml:space="preserve">ssociation in </w:t>
      </w:r>
      <w:r w:rsidR="00592CFD">
        <w:t>s</w:t>
      </w:r>
      <w:r w:rsidRPr="00C6379C">
        <w:t xml:space="preserve">imple and </w:t>
      </w:r>
      <w:r w:rsidR="00592CFD">
        <w:t>d</w:t>
      </w:r>
      <w:r w:rsidRPr="00C6379C">
        <w:t xml:space="preserve">iverse </w:t>
      </w:r>
      <w:r w:rsidR="00592CFD">
        <w:t>h</w:t>
      </w:r>
      <w:r w:rsidRPr="00C6379C">
        <w:t>abitats—</w:t>
      </w:r>
      <w:r w:rsidR="00592CFD">
        <w:t>f</w:t>
      </w:r>
      <w:r w:rsidRPr="00C6379C">
        <w:t xml:space="preserve">auna of </w:t>
      </w:r>
      <w:r w:rsidR="00592CFD">
        <w:t>c</w:t>
      </w:r>
      <w:r w:rsidRPr="00C6379C">
        <w:t>ollards (</w:t>
      </w:r>
      <w:r w:rsidR="00592CFD" w:rsidRPr="00592CFD">
        <w:rPr>
          <w:i/>
          <w:iCs/>
        </w:rPr>
        <w:t>B</w:t>
      </w:r>
      <w:r w:rsidRPr="00592CFD">
        <w:rPr>
          <w:i/>
          <w:iCs/>
        </w:rPr>
        <w:t>rassica</w:t>
      </w:r>
      <w:r w:rsidR="00592CFD" w:rsidRPr="00592CFD">
        <w:rPr>
          <w:i/>
          <w:iCs/>
        </w:rPr>
        <w:t xml:space="preserve"> o</w:t>
      </w:r>
      <w:r w:rsidRPr="00592CFD">
        <w:rPr>
          <w:i/>
          <w:iCs/>
        </w:rPr>
        <w:t>leracea</w:t>
      </w:r>
      <w:r w:rsidRPr="00C6379C">
        <w:t xml:space="preserve">). </w:t>
      </w:r>
      <w:r w:rsidRPr="00C6379C">
        <w:rPr>
          <w:i/>
          <w:iCs/>
        </w:rPr>
        <w:t>Ecological Monographs</w:t>
      </w:r>
      <w:r w:rsidRPr="00C6379C">
        <w:t xml:space="preserve">, </w:t>
      </w:r>
      <w:r w:rsidRPr="00C6379C">
        <w:rPr>
          <w:i/>
          <w:iCs/>
        </w:rPr>
        <w:t>43</w:t>
      </w:r>
      <w:r w:rsidRPr="00C6379C">
        <w:t xml:space="preserve">, 95–120. </w:t>
      </w:r>
      <w:hyperlink r:id="rId52" w:history="1">
        <w:r w:rsidRPr="00C6379C">
          <w:rPr>
            <w:rStyle w:val="Hyperlink"/>
          </w:rPr>
          <w:t>https://doi.org/10.2307/1942161</w:t>
        </w:r>
      </w:hyperlink>
    </w:p>
    <w:p w14:paraId="43FE6E69" w14:textId="76A7A988" w:rsidR="00C6379C" w:rsidRPr="00C6379C" w:rsidRDefault="00C6379C" w:rsidP="00C6379C">
      <w:pPr>
        <w:spacing w:line="480" w:lineRule="auto"/>
        <w:ind w:left="720" w:hanging="720"/>
      </w:pPr>
      <w:r w:rsidRPr="00C6379C">
        <w:t xml:space="preserve">Rosenthal, J. P., &amp; </w:t>
      </w:r>
      <w:proofErr w:type="spellStart"/>
      <w:r w:rsidRPr="00C6379C">
        <w:t>Kotanen</w:t>
      </w:r>
      <w:proofErr w:type="spellEnd"/>
      <w:r w:rsidRPr="00C6379C">
        <w:t xml:space="preserve">, P. M. (1994). Terrestrial plant tolerance to herbivory. </w:t>
      </w:r>
      <w:r w:rsidRPr="00C6379C">
        <w:rPr>
          <w:i/>
          <w:iCs/>
        </w:rPr>
        <w:t>Trends in Ecology &amp; Evolution</w:t>
      </w:r>
      <w:r w:rsidRPr="00C6379C">
        <w:t xml:space="preserve">, </w:t>
      </w:r>
      <w:r w:rsidRPr="00C6379C">
        <w:rPr>
          <w:i/>
          <w:iCs/>
        </w:rPr>
        <w:t>9</w:t>
      </w:r>
      <w:r w:rsidRPr="00C6379C">
        <w:t xml:space="preserve">, 145–148. </w:t>
      </w:r>
      <w:hyperlink r:id="rId53" w:history="1">
        <w:r w:rsidRPr="00C6379C">
          <w:rPr>
            <w:rStyle w:val="Hyperlink"/>
          </w:rPr>
          <w:t>https://doi.org/10.1016/0169-5347(94)90180-5</w:t>
        </w:r>
      </w:hyperlink>
    </w:p>
    <w:p w14:paraId="78CA637B" w14:textId="4F418214" w:rsidR="00C73ED4" w:rsidRDefault="00C73ED4" w:rsidP="00C6379C">
      <w:pPr>
        <w:spacing w:line="480" w:lineRule="auto"/>
        <w:ind w:left="720" w:hanging="720"/>
      </w:pPr>
      <w:proofErr w:type="spellStart"/>
      <w:r w:rsidRPr="00C73ED4">
        <w:t>Rosseel</w:t>
      </w:r>
      <w:proofErr w:type="spellEnd"/>
      <w:r w:rsidRPr="00C73ED4">
        <w:t xml:space="preserve">, Y. </w:t>
      </w:r>
      <w:r>
        <w:t>(</w:t>
      </w:r>
      <w:r w:rsidRPr="00C73ED4">
        <w:t>2012</w:t>
      </w:r>
      <w:r>
        <w:t>)</w:t>
      </w:r>
      <w:r w:rsidRPr="00C73ED4">
        <w:t xml:space="preserve">. </w:t>
      </w:r>
      <w:proofErr w:type="spellStart"/>
      <w:r w:rsidRPr="00C73ED4">
        <w:t>lavaan</w:t>
      </w:r>
      <w:proofErr w:type="spellEnd"/>
      <w:r w:rsidRPr="00C73ED4">
        <w:t xml:space="preserve">: An R Package for Structural Equation Modeling. </w:t>
      </w:r>
      <w:r w:rsidRPr="00C73ED4">
        <w:rPr>
          <w:i/>
          <w:iCs/>
        </w:rPr>
        <w:t>Journal of Statistical Software</w:t>
      </w:r>
      <w:r w:rsidR="003F6DF8">
        <w:rPr>
          <w:i/>
          <w:iCs/>
        </w:rPr>
        <w:t>,</w:t>
      </w:r>
      <w:r w:rsidRPr="00C73ED4">
        <w:rPr>
          <w:i/>
          <w:iCs/>
        </w:rPr>
        <w:t xml:space="preserve"> 48</w:t>
      </w:r>
      <w:r w:rsidR="003F6DF8">
        <w:t xml:space="preserve">, </w:t>
      </w:r>
      <w:r w:rsidRPr="00C73ED4">
        <w:t xml:space="preserve">1-36. URL </w:t>
      </w:r>
      <w:hyperlink r:id="rId54" w:history="1">
        <w:r w:rsidRPr="00C73ED4">
          <w:rPr>
            <w:rStyle w:val="Hyperlink"/>
          </w:rPr>
          <w:t>http://www.jstatsoft.org/v48/i02/</w:t>
        </w:r>
      </w:hyperlink>
      <w:r w:rsidRPr="00C73ED4">
        <w:t>.</w:t>
      </w:r>
    </w:p>
    <w:p w14:paraId="12DE8BFD" w14:textId="48576484" w:rsidR="00C6379C" w:rsidRPr="00C6379C" w:rsidRDefault="00C6379C" w:rsidP="00C6379C">
      <w:pPr>
        <w:spacing w:line="480" w:lineRule="auto"/>
        <w:ind w:left="720" w:hanging="720"/>
        <w:rPr>
          <w:lang w:val="pt-BR"/>
        </w:rPr>
      </w:pPr>
      <w:r w:rsidRPr="00C73ED4">
        <w:rPr>
          <w:lang w:val="pt-BR"/>
        </w:rPr>
        <w:t xml:space="preserve">Salazar, D., &amp; Marquis, R. J. (2012). </w:t>
      </w:r>
      <w:r w:rsidRPr="00C6379C">
        <w:t xml:space="preserve">Herbivore pressure increases toward the equator. </w:t>
      </w:r>
      <w:r w:rsidRPr="00C6379C">
        <w:rPr>
          <w:i/>
          <w:iCs/>
        </w:rPr>
        <w:t>Proceedings of the National Academy of Sciences of the United States of America</w:t>
      </w:r>
      <w:r w:rsidRPr="00C6379C">
        <w:t xml:space="preserve">, </w:t>
      </w:r>
      <w:r w:rsidRPr="00C6379C">
        <w:rPr>
          <w:i/>
          <w:iCs/>
        </w:rPr>
        <w:t>109</w:t>
      </w:r>
      <w:r w:rsidRPr="00C6379C">
        <w:t xml:space="preserve">, 12616–12620. </w:t>
      </w:r>
      <w:hyperlink r:id="rId55" w:history="1">
        <w:r w:rsidRPr="00C6379C">
          <w:rPr>
            <w:rStyle w:val="Hyperlink"/>
            <w:lang w:val="pt-BR"/>
          </w:rPr>
          <w:t>https://doi.org/10.1073/pnas.1202907109</w:t>
        </w:r>
      </w:hyperlink>
    </w:p>
    <w:p w14:paraId="7EAD1437" w14:textId="5BB7F11C" w:rsidR="00C6379C" w:rsidRPr="00C6379C" w:rsidRDefault="00C6379C" w:rsidP="00C6379C">
      <w:pPr>
        <w:spacing w:line="480" w:lineRule="auto"/>
        <w:ind w:left="720" w:hanging="720"/>
      </w:pPr>
      <w:r w:rsidRPr="00C6379C">
        <w:rPr>
          <w:lang w:val="pt-BR"/>
        </w:rPr>
        <w:t xml:space="preserve">Salazar, D., Jaramillo, A., &amp; Marquis, R. J. (2016). </w:t>
      </w:r>
      <w:r w:rsidRPr="00C6379C">
        <w:t xml:space="preserve">The impact of plant chemical diversity on plant-herbivore interactions at the community level. </w:t>
      </w:r>
      <w:proofErr w:type="spellStart"/>
      <w:r w:rsidRPr="00C6379C">
        <w:rPr>
          <w:i/>
          <w:iCs/>
        </w:rPr>
        <w:t>Oecologia</w:t>
      </w:r>
      <w:proofErr w:type="spellEnd"/>
      <w:r w:rsidRPr="00C6379C">
        <w:t xml:space="preserve">, </w:t>
      </w:r>
      <w:r w:rsidRPr="00C6379C">
        <w:rPr>
          <w:i/>
          <w:iCs/>
        </w:rPr>
        <w:t>181</w:t>
      </w:r>
      <w:r w:rsidRPr="00C6379C">
        <w:t xml:space="preserve">, 1199–1208. </w:t>
      </w:r>
      <w:hyperlink r:id="rId56" w:history="1">
        <w:r w:rsidRPr="00C6379C">
          <w:rPr>
            <w:rStyle w:val="Hyperlink"/>
          </w:rPr>
          <w:t>https://doi.org/10.1007/s00442-016-3629-y</w:t>
        </w:r>
      </w:hyperlink>
    </w:p>
    <w:p w14:paraId="4296D799" w14:textId="1C1E40D7" w:rsidR="00C6379C" w:rsidRPr="00C6379C" w:rsidRDefault="00C6379C" w:rsidP="00C6379C">
      <w:pPr>
        <w:spacing w:line="480" w:lineRule="auto"/>
        <w:ind w:left="720" w:hanging="720"/>
      </w:pPr>
      <w:r w:rsidRPr="00C6379C">
        <w:t xml:space="preserve">Schuldt, A., </w:t>
      </w:r>
      <w:proofErr w:type="spellStart"/>
      <w:r w:rsidRPr="00C6379C">
        <w:t>Assmann</w:t>
      </w:r>
      <w:proofErr w:type="spellEnd"/>
      <w:r w:rsidRPr="00C6379C">
        <w:t xml:space="preserve">, T., </w:t>
      </w:r>
      <w:proofErr w:type="spellStart"/>
      <w:r w:rsidRPr="00C6379C">
        <w:t>Bruelheide</w:t>
      </w:r>
      <w:proofErr w:type="spellEnd"/>
      <w:r w:rsidRPr="00C6379C">
        <w:t xml:space="preserve">, H., </w:t>
      </w:r>
      <w:proofErr w:type="spellStart"/>
      <w:r w:rsidRPr="00C6379C">
        <w:t>Durka</w:t>
      </w:r>
      <w:proofErr w:type="spellEnd"/>
      <w:r w:rsidRPr="00C6379C">
        <w:t xml:space="preserve">, W., </w:t>
      </w:r>
      <w:proofErr w:type="spellStart"/>
      <w:r w:rsidRPr="00C6379C">
        <w:t>Eichenberg</w:t>
      </w:r>
      <w:proofErr w:type="spellEnd"/>
      <w:r w:rsidRPr="00C6379C">
        <w:t xml:space="preserve">, D., </w:t>
      </w:r>
      <w:proofErr w:type="spellStart"/>
      <w:r w:rsidRPr="00C6379C">
        <w:t>Härdtle</w:t>
      </w:r>
      <w:proofErr w:type="spellEnd"/>
      <w:r w:rsidRPr="00C6379C">
        <w:t xml:space="preserve">, W., </w:t>
      </w:r>
      <w:proofErr w:type="spellStart"/>
      <w:r w:rsidRPr="00C6379C">
        <w:t>Kröber</w:t>
      </w:r>
      <w:proofErr w:type="spellEnd"/>
      <w:r w:rsidRPr="00C6379C">
        <w:t xml:space="preserve">, W., Michalski, S. G., &amp; </w:t>
      </w:r>
      <w:proofErr w:type="spellStart"/>
      <w:r w:rsidRPr="00C6379C">
        <w:t>Purschke</w:t>
      </w:r>
      <w:proofErr w:type="spellEnd"/>
      <w:r w:rsidRPr="00C6379C">
        <w:t xml:space="preserve">, O. (2014). Functional and phylogenetic diversity of woody plants drive herbivory in a highly diverse forest. </w:t>
      </w:r>
      <w:r w:rsidRPr="00C6379C">
        <w:rPr>
          <w:i/>
          <w:iCs/>
        </w:rPr>
        <w:t>New Phytologist</w:t>
      </w:r>
      <w:r w:rsidRPr="00C6379C">
        <w:t xml:space="preserve">, </w:t>
      </w:r>
      <w:r w:rsidRPr="00C6379C">
        <w:rPr>
          <w:i/>
          <w:iCs/>
        </w:rPr>
        <w:t>202</w:t>
      </w:r>
      <w:r w:rsidRPr="00C6379C">
        <w:t xml:space="preserve">, 864–873. </w:t>
      </w:r>
      <w:hyperlink r:id="rId57" w:history="1">
        <w:r w:rsidRPr="00C6379C">
          <w:rPr>
            <w:rStyle w:val="Hyperlink"/>
          </w:rPr>
          <w:t>https://doi.org/10.1111/nph.12695</w:t>
        </w:r>
      </w:hyperlink>
    </w:p>
    <w:p w14:paraId="53BF0731" w14:textId="2278D9D7" w:rsidR="00C6379C" w:rsidRDefault="00C6379C" w:rsidP="00C6379C">
      <w:pPr>
        <w:spacing w:line="480" w:lineRule="auto"/>
        <w:ind w:left="720" w:hanging="720"/>
        <w:rPr>
          <w:rStyle w:val="Hyperlink"/>
        </w:rPr>
      </w:pPr>
      <w:r w:rsidRPr="00C6379C">
        <w:t xml:space="preserve">Singer, M. S., Carriere, Y., </w:t>
      </w:r>
      <w:proofErr w:type="spellStart"/>
      <w:r w:rsidRPr="00C6379C">
        <w:t>Theuring</w:t>
      </w:r>
      <w:proofErr w:type="spellEnd"/>
      <w:r w:rsidRPr="00C6379C">
        <w:t xml:space="preserve">, C., &amp; Hartmann, T. (2004). Disentangling food quality from resistance against parasitoids: Diet choice by a generalist caterpillar. </w:t>
      </w:r>
      <w:r w:rsidRPr="00C6379C">
        <w:rPr>
          <w:i/>
          <w:iCs/>
        </w:rPr>
        <w:t>American Naturalist</w:t>
      </w:r>
      <w:r w:rsidRPr="00C6379C">
        <w:t xml:space="preserve">, </w:t>
      </w:r>
      <w:r w:rsidRPr="00C6379C">
        <w:rPr>
          <w:i/>
          <w:iCs/>
        </w:rPr>
        <w:t>164</w:t>
      </w:r>
      <w:r w:rsidRPr="00C6379C">
        <w:t xml:space="preserve">, 423–429. </w:t>
      </w:r>
      <w:hyperlink r:id="rId58" w:history="1">
        <w:r w:rsidRPr="00C6379C">
          <w:rPr>
            <w:rStyle w:val="Hyperlink"/>
          </w:rPr>
          <w:t>https://doi.org/10.1086/423152</w:t>
        </w:r>
      </w:hyperlink>
    </w:p>
    <w:p w14:paraId="1149CBAC" w14:textId="50E7A34C" w:rsidR="001A4190" w:rsidRPr="00C6379C" w:rsidRDefault="001A4190" w:rsidP="001A4190">
      <w:pPr>
        <w:spacing w:line="480" w:lineRule="auto"/>
        <w:ind w:left="720" w:hanging="720"/>
      </w:pPr>
      <w:proofErr w:type="spellStart"/>
      <w:r w:rsidRPr="001A4190">
        <w:lastRenderedPageBreak/>
        <w:t>Stireman</w:t>
      </w:r>
      <w:proofErr w:type="spellEnd"/>
      <w:r w:rsidRPr="001A4190">
        <w:t>, J.</w:t>
      </w:r>
      <w:r>
        <w:t xml:space="preserve"> </w:t>
      </w:r>
      <w:r w:rsidRPr="001A4190">
        <w:t>O. III &amp; Singer, M.</w:t>
      </w:r>
      <w:r>
        <w:t xml:space="preserve"> </w:t>
      </w:r>
      <w:r w:rsidRPr="001A4190">
        <w:t>S. (2003)</w:t>
      </w:r>
      <w:r w:rsidR="003D6FE2">
        <w:t>.</w:t>
      </w:r>
      <w:r w:rsidRPr="001A4190">
        <w:t xml:space="preserve"> Determinants of parasitoid-host associations: insights from a natural tachinid</w:t>
      </w:r>
      <w:r>
        <w:t>-</w:t>
      </w:r>
      <w:r w:rsidRPr="001A4190">
        <w:t>lepidopteran</w:t>
      </w:r>
      <w:r>
        <w:t xml:space="preserve"> </w:t>
      </w:r>
      <w:r w:rsidRPr="001A4190">
        <w:t xml:space="preserve">community. </w:t>
      </w:r>
      <w:r w:rsidRPr="003D6FE2">
        <w:rPr>
          <w:i/>
          <w:iCs/>
        </w:rPr>
        <w:t>Ecology</w:t>
      </w:r>
      <w:r w:rsidRPr="001A4190">
        <w:t>, 84, 296–310.</w:t>
      </w:r>
    </w:p>
    <w:p w14:paraId="7AD8AAF1" w14:textId="51EEB34E" w:rsidR="00156F80" w:rsidRPr="00156F80" w:rsidRDefault="00156F80" w:rsidP="00156F80">
      <w:pPr>
        <w:spacing w:line="480" w:lineRule="auto"/>
        <w:ind w:left="720" w:hanging="720"/>
      </w:pPr>
      <w:proofErr w:type="spellStart"/>
      <w:r w:rsidRPr="00156F80">
        <w:t>Stireman</w:t>
      </w:r>
      <w:proofErr w:type="spellEnd"/>
      <w:r w:rsidRPr="00156F80">
        <w:t xml:space="preserve">, J. O., Dyer, L. A., Janzen, D. H., Singer, M. S., </w:t>
      </w:r>
      <w:proofErr w:type="spellStart"/>
      <w:r w:rsidRPr="00156F80">
        <w:t>Lill</w:t>
      </w:r>
      <w:proofErr w:type="spellEnd"/>
      <w:r w:rsidRPr="00156F80">
        <w:t xml:space="preserve">, J. T., Marquis, R. J., </w:t>
      </w:r>
      <w:proofErr w:type="spellStart"/>
      <w:r w:rsidRPr="00156F80">
        <w:t>Ricklefs</w:t>
      </w:r>
      <w:proofErr w:type="spellEnd"/>
      <w:r w:rsidRPr="00156F80">
        <w:t xml:space="preserve">, R. E., Gentry, G. L., </w:t>
      </w:r>
      <w:proofErr w:type="spellStart"/>
      <w:r w:rsidRPr="00156F80">
        <w:t>Hallwachs</w:t>
      </w:r>
      <w:proofErr w:type="spellEnd"/>
      <w:r w:rsidRPr="00156F80">
        <w:t xml:space="preserve">, W., Coley, P. D., Barone, J. A., </w:t>
      </w:r>
      <w:proofErr w:type="spellStart"/>
      <w:r w:rsidRPr="00156F80">
        <w:t>Greeney</w:t>
      </w:r>
      <w:proofErr w:type="spellEnd"/>
      <w:r w:rsidRPr="00156F80">
        <w:t xml:space="preserve">, H. F., </w:t>
      </w:r>
      <w:proofErr w:type="spellStart"/>
      <w:r w:rsidRPr="00156F80">
        <w:t>Connahs</w:t>
      </w:r>
      <w:proofErr w:type="spellEnd"/>
      <w:r w:rsidRPr="00156F80">
        <w:t xml:space="preserve">, H., Barbosa, P., </w:t>
      </w:r>
      <w:proofErr w:type="spellStart"/>
      <w:r w:rsidRPr="00156F80">
        <w:t>Morais</w:t>
      </w:r>
      <w:proofErr w:type="spellEnd"/>
      <w:r w:rsidRPr="00156F80">
        <w:t xml:space="preserve">, H. C., &amp; </w:t>
      </w:r>
      <w:proofErr w:type="spellStart"/>
      <w:r w:rsidRPr="00156F80">
        <w:t>Diniz</w:t>
      </w:r>
      <w:proofErr w:type="spellEnd"/>
      <w:r w:rsidRPr="00156F80">
        <w:t xml:space="preserve">, I. R. (2005). Climatic unpredictability and parasitism of caterpillars: Implications of global warming. </w:t>
      </w:r>
      <w:r w:rsidRPr="00156F80">
        <w:rPr>
          <w:i/>
          <w:iCs/>
        </w:rPr>
        <w:t>Proceedings of the National Academy of Sciences</w:t>
      </w:r>
      <w:r w:rsidRPr="00156F80">
        <w:t xml:space="preserve">, </w:t>
      </w:r>
      <w:r w:rsidRPr="00156F80">
        <w:rPr>
          <w:i/>
          <w:iCs/>
        </w:rPr>
        <w:t>102</w:t>
      </w:r>
      <w:r w:rsidRPr="00156F80">
        <w:t xml:space="preserve">, 17384–17387. </w:t>
      </w:r>
      <w:hyperlink r:id="rId59" w:history="1">
        <w:r w:rsidRPr="00156F80">
          <w:rPr>
            <w:rStyle w:val="Hyperlink"/>
          </w:rPr>
          <w:t>https://doi.org/10.1073/pnas.0508839102</w:t>
        </w:r>
      </w:hyperlink>
    </w:p>
    <w:p w14:paraId="6283C40E" w14:textId="56DFE7FB" w:rsidR="00C6379C" w:rsidRPr="00C6379C" w:rsidRDefault="00C6379C" w:rsidP="00C6379C">
      <w:pPr>
        <w:spacing w:line="480" w:lineRule="auto"/>
        <w:ind w:left="720" w:hanging="720"/>
      </w:pPr>
      <w:r w:rsidRPr="00C6379C">
        <w:t xml:space="preserve">Strauss, S. Y., &amp; Agrawal, A. A. (1999). The ecology and evolution of plant tolerance to herbivory. </w:t>
      </w:r>
      <w:r w:rsidRPr="00C6379C">
        <w:rPr>
          <w:i/>
          <w:iCs/>
        </w:rPr>
        <w:t>Trends in Ecology &amp; Evolution</w:t>
      </w:r>
      <w:r w:rsidRPr="00C6379C">
        <w:t xml:space="preserve">, </w:t>
      </w:r>
      <w:r w:rsidRPr="00C6379C">
        <w:rPr>
          <w:i/>
          <w:iCs/>
        </w:rPr>
        <w:t>14</w:t>
      </w:r>
      <w:r w:rsidRPr="00C6379C">
        <w:t xml:space="preserve">, 179–185. </w:t>
      </w:r>
      <w:hyperlink r:id="rId60" w:history="1">
        <w:r w:rsidRPr="00C6379C">
          <w:rPr>
            <w:rStyle w:val="Hyperlink"/>
          </w:rPr>
          <w:t>https://doi.org/10.1016/S0169-5347(98)01576-6</w:t>
        </w:r>
      </w:hyperlink>
    </w:p>
    <w:p w14:paraId="2C08698C" w14:textId="57475338" w:rsidR="00584339" w:rsidRDefault="00584339" w:rsidP="00D7425E">
      <w:pPr>
        <w:spacing w:line="480" w:lineRule="auto"/>
        <w:ind w:left="720" w:hanging="720"/>
      </w:pPr>
      <w:proofErr w:type="spellStart"/>
      <w:r w:rsidRPr="0075166C">
        <w:rPr>
          <w:color w:val="222222"/>
          <w:highlight w:val="white"/>
        </w:rPr>
        <w:t>Sudta</w:t>
      </w:r>
      <w:proofErr w:type="spellEnd"/>
      <w:r w:rsidRPr="0075166C">
        <w:rPr>
          <w:color w:val="222222"/>
          <w:highlight w:val="white"/>
        </w:rPr>
        <w:t xml:space="preserve">, C., Salcido, D. M., </w:t>
      </w:r>
      <w:proofErr w:type="spellStart"/>
      <w:r w:rsidRPr="0075166C">
        <w:rPr>
          <w:color w:val="222222"/>
          <w:highlight w:val="white"/>
        </w:rPr>
        <w:t>Forister</w:t>
      </w:r>
      <w:proofErr w:type="spellEnd"/>
      <w:r w:rsidRPr="0075166C">
        <w:rPr>
          <w:color w:val="222222"/>
          <w:highlight w:val="white"/>
        </w:rPr>
        <w:t xml:space="preserve">, M. L., Walla, T. R., </w:t>
      </w:r>
      <w:proofErr w:type="spellStart"/>
      <w:r w:rsidRPr="0075166C">
        <w:rPr>
          <w:color w:val="222222"/>
          <w:highlight w:val="white"/>
        </w:rPr>
        <w:t>Villamarín</w:t>
      </w:r>
      <w:proofErr w:type="spellEnd"/>
      <w:r w:rsidRPr="0075166C">
        <w:rPr>
          <w:color w:val="222222"/>
          <w:highlight w:val="white"/>
        </w:rPr>
        <w:t xml:space="preserve">‐Cortez, S. &amp; Dyer, L.A., (2022). </w:t>
      </w:r>
      <w:r>
        <w:rPr>
          <w:color w:val="222222"/>
          <w:highlight w:val="white"/>
        </w:rPr>
        <w:t>Jack‐of‐all‐trades paradigm meets long‐term data: Generalist herbivores are more widespread and locally less abundant. </w:t>
      </w:r>
      <w:r>
        <w:rPr>
          <w:i/>
          <w:iCs/>
          <w:color w:val="222222"/>
          <w:highlight w:val="white"/>
        </w:rPr>
        <w:t>Ecology Letters</w:t>
      </w:r>
      <w:r>
        <w:rPr>
          <w:color w:val="222222"/>
          <w:highlight w:val="white"/>
        </w:rPr>
        <w:t>, </w:t>
      </w:r>
      <w:r>
        <w:rPr>
          <w:i/>
          <w:iCs/>
          <w:color w:val="222222"/>
          <w:highlight w:val="white"/>
        </w:rPr>
        <w:t>25</w:t>
      </w:r>
      <w:r>
        <w:rPr>
          <w:color w:val="222222"/>
          <w:highlight w:val="white"/>
        </w:rPr>
        <w:t>, 948-957.</w:t>
      </w:r>
    </w:p>
    <w:p w14:paraId="2C0C9E44" w14:textId="759F56D7" w:rsidR="00D7425E" w:rsidRPr="00D7425E" w:rsidRDefault="00D7425E" w:rsidP="00D7425E">
      <w:pPr>
        <w:spacing w:line="480" w:lineRule="auto"/>
        <w:ind w:left="720" w:hanging="720"/>
      </w:pPr>
      <w:r w:rsidRPr="00D7425E">
        <w:t xml:space="preserve">Thompson, B. </w:t>
      </w:r>
      <w:r w:rsidR="00584339">
        <w:t>&amp;</w:t>
      </w:r>
      <w:r w:rsidRPr="00D7425E">
        <w:t xml:space="preserve"> Daniel, L.</w:t>
      </w:r>
      <w:r>
        <w:t xml:space="preserve"> </w:t>
      </w:r>
      <w:r w:rsidRPr="00D7425E">
        <w:t xml:space="preserve">G., </w:t>
      </w:r>
      <w:r>
        <w:t>(</w:t>
      </w:r>
      <w:r w:rsidRPr="00D7425E">
        <w:t>1996</w:t>
      </w:r>
      <w:r>
        <w:t>)</w:t>
      </w:r>
      <w:r w:rsidRPr="00D7425E">
        <w:t>. Factor analytic evidence for the construct validity of scores: A historical overview and some guidelines. </w:t>
      </w:r>
      <w:r w:rsidRPr="00D7425E">
        <w:rPr>
          <w:i/>
          <w:iCs/>
        </w:rPr>
        <w:t>Educational and</w:t>
      </w:r>
      <w:r w:rsidR="00CD40E0">
        <w:rPr>
          <w:i/>
          <w:iCs/>
        </w:rPr>
        <w:t xml:space="preserve"> P</w:t>
      </w:r>
      <w:r w:rsidRPr="00D7425E">
        <w:rPr>
          <w:i/>
          <w:iCs/>
        </w:rPr>
        <w:t xml:space="preserve">sychological </w:t>
      </w:r>
      <w:r w:rsidR="00CD40E0">
        <w:rPr>
          <w:i/>
          <w:iCs/>
        </w:rPr>
        <w:t>M</w:t>
      </w:r>
      <w:r w:rsidRPr="00D7425E">
        <w:rPr>
          <w:i/>
          <w:iCs/>
        </w:rPr>
        <w:t>easurement</w:t>
      </w:r>
      <w:r w:rsidRPr="00D7425E">
        <w:t>, </w:t>
      </w:r>
      <w:r w:rsidRPr="00D7425E">
        <w:rPr>
          <w:i/>
          <w:iCs/>
        </w:rPr>
        <w:t>56</w:t>
      </w:r>
      <w:r>
        <w:t xml:space="preserve">, </w:t>
      </w:r>
      <w:r w:rsidRPr="00D7425E">
        <w:t xml:space="preserve">197-208. </w:t>
      </w:r>
    </w:p>
    <w:p w14:paraId="1EEB8A10" w14:textId="7B205377" w:rsidR="00406298" w:rsidRDefault="00406298" w:rsidP="00C6379C">
      <w:pPr>
        <w:spacing w:line="480" w:lineRule="auto"/>
        <w:ind w:left="720" w:hanging="720"/>
      </w:pPr>
      <w:proofErr w:type="spellStart"/>
      <w:r w:rsidRPr="00406298">
        <w:t>Tredennick</w:t>
      </w:r>
      <w:proofErr w:type="spellEnd"/>
      <w:r w:rsidRPr="00406298">
        <w:t xml:space="preserve">, A. T., Hooker, G., </w:t>
      </w:r>
      <w:proofErr w:type="spellStart"/>
      <w:r w:rsidRPr="00406298">
        <w:t>Ellner</w:t>
      </w:r>
      <w:proofErr w:type="spellEnd"/>
      <w:r w:rsidRPr="00406298">
        <w:t>, S. P., &amp; Adler, P. B. (2021). A practical guide to selecting models for exploration, inference, and prediction in ecology. Ecology, 102(6), e03336. https://doi.org/10.1002/ecy.3336</w:t>
      </w:r>
    </w:p>
    <w:p w14:paraId="091FB0D2" w14:textId="323E6669" w:rsidR="00C6379C" w:rsidRPr="00C6379C" w:rsidRDefault="00C6379C" w:rsidP="00C6379C">
      <w:pPr>
        <w:spacing w:line="480" w:lineRule="auto"/>
        <w:ind w:left="720" w:hanging="720"/>
      </w:pPr>
      <w:r w:rsidRPr="00C6379C">
        <w:t xml:space="preserve">Turcotte, M. M., Davies, T. J., Thomsen, C. J. M., &amp; Johnson, M. T. J. (2014). Macroecological and macroevolutionary patterns of leaf herbivory across vascular plants. </w:t>
      </w:r>
      <w:r w:rsidRPr="00C6379C">
        <w:rPr>
          <w:i/>
          <w:iCs/>
        </w:rPr>
        <w:t xml:space="preserve">Proceedings of </w:t>
      </w:r>
      <w:r w:rsidRPr="00C6379C">
        <w:rPr>
          <w:i/>
          <w:iCs/>
        </w:rPr>
        <w:lastRenderedPageBreak/>
        <w:t>the Royal Society B: Biological Sciences</w:t>
      </w:r>
      <w:r w:rsidRPr="00C6379C">
        <w:t xml:space="preserve">, </w:t>
      </w:r>
      <w:r w:rsidRPr="00C6379C">
        <w:rPr>
          <w:i/>
          <w:iCs/>
        </w:rPr>
        <w:t>281</w:t>
      </w:r>
      <w:r w:rsidR="003F6DF8">
        <w:rPr>
          <w:i/>
          <w:iCs/>
        </w:rPr>
        <w:t xml:space="preserve">, </w:t>
      </w:r>
      <w:r w:rsidRPr="00C6379C">
        <w:t xml:space="preserve">1787. </w:t>
      </w:r>
      <w:hyperlink r:id="rId61" w:history="1">
        <w:r w:rsidRPr="00C6379C">
          <w:rPr>
            <w:rStyle w:val="Hyperlink"/>
          </w:rPr>
          <w:t>https://doi.org/10.1098/rspb.2014.0555</w:t>
        </w:r>
      </w:hyperlink>
    </w:p>
    <w:p w14:paraId="1FCF0EE1" w14:textId="24F5ECFE" w:rsidR="00C6379C" w:rsidRPr="000215AA" w:rsidRDefault="00C6379C" w:rsidP="00C6379C">
      <w:pPr>
        <w:spacing w:line="480" w:lineRule="auto"/>
        <w:ind w:left="720" w:hanging="720"/>
        <w:rPr>
          <w:rStyle w:val="Hyperlink"/>
        </w:rPr>
      </w:pPr>
      <w:proofErr w:type="spellStart"/>
      <w:r w:rsidRPr="0075166C">
        <w:rPr>
          <w:lang w:val="fr-FR"/>
        </w:rPr>
        <w:t>Vehvilainen</w:t>
      </w:r>
      <w:proofErr w:type="spellEnd"/>
      <w:r w:rsidRPr="0075166C">
        <w:rPr>
          <w:lang w:val="fr-FR"/>
        </w:rPr>
        <w:t xml:space="preserve">, H., </w:t>
      </w:r>
      <w:proofErr w:type="spellStart"/>
      <w:r w:rsidRPr="0075166C">
        <w:rPr>
          <w:lang w:val="fr-FR"/>
        </w:rPr>
        <w:t>Koricheva</w:t>
      </w:r>
      <w:proofErr w:type="spellEnd"/>
      <w:r w:rsidRPr="0075166C">
        <w:rPr>
          <w:lang w:val="fr-FR"/>
        </w:rPr>
        <w:t xml:space="preserve">, J., &amp; </w:t>
      </w:r>
      <w:proofErr w:type="spellStart"/>
      <w:r w:rsidRPr="0075166C">
        <w:rPr>
          <w:lang w:val="fr-FR"/>
        </w:rPr>
        <w:t>Ruohomaki</w:t>
      </w:r>
      <w:proofErr w:type="spellEnd"/>
      <w:r w:rsidRPr="0075166C">
        <w:rPr>
          <w:lang w:val="fr-FR"/>
        </w:rPr>
        <w:t xml:space="preserve">, K. (2007). </w:t>
      </w:r>
      <w:r w:rsidRPr="00C6379C">
        <w:t xml:space="preserve">Tree species diversity influences herbivore abundance and damage: Meta-analysis of long-term forest experiments. </w:t>
      </w:r>
      <w:proofErr w:type="spellStart"/>
      <w:r w:rsidRPr="000215AA">
        <w:rPr>
          <w:i/>
          <w:iCs/>
        </w:rPr>
        <w:t>Oecologia</w:t>
      </w:r>
      <w:proofErr w:type="spellEnd"/>
      <w:r w:rsidRPr="000215AA">
        <w:t xml:space="preserve">, </w:t>
      </w:r>
      <w:r w:rsidRPr="000215AA">
        <w:rPr>
          <w:i/>
          <w:iCs/>
        </w:rPr>
        <w:t>152</w:t>
      </w:r>
      <w:r w:rsidRPr="000215AA">
        <w:t xml:space="preserve">, 287–298. </w:t>
      </w:r>
      <w:hyperlink r:id="rId62" w:history="1">
        <w:r w:rsidRPr="000215AA">
          <w:rPr>
            <w:rStyle w:val="Hyperlink"/>
          </w:rPr>
          <w:t>https://doi.org/10.1007/s00442-007-0673-7</w:t>
        </w:r>
      </w:hyperlink>
    </w:p>
    <w:p w14:paraId="16DCEBD7" w14:textId="6F1193A5" w:rsidR="001E0FBB" w:rsidRPr="001E0FBB" w:rsidRDefault="001E0FBB" w:rsidP="001E0FBB">
      <w:pPr>
        <w:spacing w:after="0" w:line="480" w:lineRule="auto"/>
        <w:ind w:left="450" w:hanging="480"/>
        <w:rPr>
          <w:rFonts w:eastAsia="Times New Roman"/>
        </w:rPr>
      </w:pPr>
      <w:proofErr w:type="spellStart"/>
      <w:r w:rsidRPr="000215AA">
        <w:rPr>
          <w:rFonts w:eastAsia="Times New Roman"/>
        </w:rPr>
        <w:t>Volf</w:t>
      </w:r>
      <w:proofErr w:type="spellEnd"/>
      <w:r w:rsidRPr="000215AA">
        <w:rPr>
          <w:rFonts w:eastAsia="Times New Roman"/>
        </w:rPr>
        <w:t xml:space="preserve">, M., S. T. Segar, S. E. Miller, B. </w:t>
      </w:r>
      <w:proofErr w:type="spellStart"/>
      <w:r w:rsidRPr="000215AA">
        <w:rPr>
          <w:rFonts w:eastAsia="Times New Roman"/>
        </w:rPr>
        <w:t>Isua</w:t>
      </w:r>
      <w:proofErr w:type="spellEnd"/>
      <w:r w:rsidRPr="000215AA">
        <w:rPr>
          <w:rFonts w:eastAsia="Times New Roman"/>
        </w:rPr>
        <w:t xml:space="preserve">, M. </w:t>
      </w:r>
      <w:proofErr w:type="spellStart"/>
      <w:r w:rsidRPr="000215AA">
        <w:rPr>
          <w:rFonts w:eastAsia="Times New Roman"/>
        </w:rPr>
        <w:t>Sisol</w:t>
      </w:r>
      <w:proofErr w:type="spellEnd"/>
      <w:r w:rsidRPr="000215AA">
        <w:rPr>
          <w:rFonts w:eastAsia="Times New Roman"/>
        </w:rPr>
        <w:t xml:space="preserve">, G. </w:t>
      </w:r>
      <w:proofErr w:type="spellStart"/>
      <w:r w:rsidRPr="000215AA">
        <w:rPr>
          <w:rFonts w:eastAsia="Times New Roman"/>
        </w:rPr>
        <w:t>Aubona</w:t>
      </w:r>
      <w:proofErr w:type="spellEnd"/>
      <w:r w:rsidRPr="000215AA">
        <w:rPr>
          <w:rFonts w:eastAsia="Times New Roman"/>
        </w:rPr>
        <w:t xml:space="preserve">, P. </w:t>
      </w:r>
      <w:proofErr w:type="spellStart"/>
      <w:r w:rsidRPr="000215AA">
        <w:rPr>
          <w:rFonts w:eastAsia="Times New Roman"/>
        </w:rPr>
        <w:t>Simek</w:t>
      </w:r>
      <w:proofErr w:type="spellEnd"/>
      <w:r w:rsidRPr="000215AA">
        <w:rPr>
          <w:rFonts w:eastAsia="Times New Roman"/>
        </w:rPr>
        <w:t xml:space="preserve">, M. Moos, J. </w:t>
      </w:r>
      <w:proofErr w:type="spellStart"/>
      <w:r w:rsidRPr="000215AA">
        <w:rPr>
          <w:rFonts w:eastAsia="Times New Roman"/>
        </w:rPr>
        <w:t>Laitila</w:t>
      </w:r>
      <w:proofErr w:type="spellEnd"/>
      <w:r w:rsidRPr="000215AA">
        <w:rPr>
          <w:rFonts w:eastAsia="Times New Roman"/>
        </w:rPr>
        <w:t xml:space="preserve">, J. Kim, J. Zima, J. Rota, G. D. </w:t>
      </w:r>
      <w:proofErr w:type="spellStart"/>
      <w:r w:rsidRPr="000215AA">
        <w:rPr>
          <w:rFonts w:eastAsia="Times New Roman"/>
        </w:rPr>
        <w:t>Weiblen</w:t>
      </w:r>
      <w:proofErr w:type="spellEnd"/>
      <w:r w:rsidRPr="000215AA">
        <w:rPr>
          <w:rFonts w:eastAsia="Times New Roman"/>
        </w:rPr>
        <w:t xml:space="preserve">, S. </w:t>
      </w:r>
      <w:proofErr w:type="spellStart"/>
      <w:r w:rsidRPr="000215AA">
        <w:rPr>
          <w:rFonts w:eastAsia="Times New Roman"/>
        </w:rPr>
        <w:t>Wossa</w:t>
      </w:r>
      <w:proofErr w:type="spellEnd"/>
      <w:r w:rsidRPr="000215AA">
        <w:rPr>
          <w:rFonts w:eastAsia="Times New Roman"/>
        </w:rPr>
        <w:t xml:space="preserve">, J.-P. </w:t>
      </w:r>
      <w:proofErr w:type="spellStart"/>
      <w:r w:rsidRPr="000215AA">
        <w:rPr>
          <w:rFonts w:eastAsia="Times New Roman"/>
        </w:rPr>
        <w:t>Salminen</w:t>
      </w:r>
      <w:proofErr w:type="spellEnd"/>
      <w:r w:rsidRPr="000215AA">
        <w:rPr>
          <w:rFonts w:eastAsia="Times New Roman"/>
        </w:rPr>
        <w:t xml:space="preserve">, Y. Basset, &amp; Novotny, V. (2018). </w:t>
      </w:r>
      <w:r w:rsidRPr="001E0FBB">
        <w:rPr>
          <w:rFonts w:eastAsia="Times New Roman"/>
        </w:rPr>
        <w:t xml:space="preserve">Community structure of insect herbivores is driven by conservatism, </w:t>
      </w:r>
      <w:proofErr w:type="gramStart"/>
      <w:r w:rsidRPr="001E0FBB">
        <w:rPr>
          <w:rFonts w:eastAsia="Times New Roman"/>
        </w:rPr>
        <w:t>escalation</w:t>
      </w:r>
      <w:proofErr w:type="gramEnd"/>
      <w:r w:rsidRPr="001E0FBB">
        <w:rPr>
          <w:rFonts w:eastAsia="Times New Roman"/>
        </w:rPr>
        <w:t xml:space="preserve"> and divergence of defensive traits in </w:t>
      </w:r>
      <w:r w:rsidRPr="00541475">
        <w:rPr>
          <w:rFonts w:eastAsia="Times New Roman"/>
          <w:i/>
          <w:iCs/>
        </w:rPr>
        <w:t>Ficus</w:t>
      </w:r>
      <w:r w:rsidRPr="001E0FBB">
        <w:rPr>
          <w:rFonts w:eastAsia="Times New Roman"/>
        </w:rPr>
        <w:t xml:space="preserve">. </w:t>
      </w:r>
      <w:r w:rsidRPr="001E0FBB">
        <w:rPr>
          <w:rFonts w:eastAsia="Times New Roman"/>
          <w:i/>
          <w:iCs/>
        </w:rPr>
        <w:t>Ecology Letters</w:t>
      </w:r>
      <w:r w:rsidR="003F6DF8">
        <w:rPr>
          <w:rFonts w:eastAsia="Times New Roman"/>
          <w:i/>
          <w:iCs/>
        </w:rPr>
        <w:t>,</w:t>
      </w:r>
      <w:r w:rsidRPr="001E0FBB">
        <w:rPr>
          <w:rFonts w:eastAsia="Times New Roman"/>
          <w:i/>
          <w:iCs/>
        </w:rPr>
        <w:t xml:space="preserve"> 21</w:t>
      </w:r>
      <w:r w:rsidR="003F6DF8">
        <w:rPr>
          <w:rFonts w:eastAsia="Times New Roman"/>
          <w:i/>
          <w:iCs/>
        </w:rPr>
        <w:t xml:space="preserve">, </w:t>
      </w:r>
      <w:r w:rsidRPr="001E0FBB">
        <w:rPr>
          <w:rFonts w:eastAsia="Times New Roman"/>
        </w:rPr>
        <w:t>83–92.</w:t>
      </w:r>
    </w:p>
    <w:p w14:paraId="03F139F9" w14:textId="31791139" w:rsidR="001D7F35" w:rsidRDefault="001D7F35" w:rsidP="00C6379C">
      <w:pPr>
        <w:spacing w:line="480" w:lineRule="auto"/>
        <w:ind w:left="720" w:hanging="720"/>
      </w:pPr>
      <w:r w:rsidRPr="001D7F35">
        <w:t>Wasserstein, R. L., &amp; Lazar, N. A. (2016). The ASA Statement on p-Values: Context, Process, and Purpose. The American Statistician, 70(2), 129–133. https://doi.org/10.1080/00031305.2016.1154108</w:t>
      </w:r>
    </w:p>
    <w:p w14:paraId="657A961E" w14:textId="59BB5D25" w:rsidR="00C6379C" w:rsidRDefault="00C6379C" w:rsidP="00C6379C">
      <w:pPr>
        <w:spacing w:line="480" w:lineRule="auto"/>
        <w:ind w:left="720" w:hanging="720"/>
        <w:rPr>
          <w:rStyle w:val="Hyperlink"/>
        </w:rPr>
      </w:pPr>
      <w:proofErr w:type="spellStart"/>
      <w:r w:rsidRPr="00C6379C">
        <w:t>Whitfeld</w:t>
      </w:r>
      <w:proofErr w:type="spellEnd"/>
      <w:r w:rsidRPr="00C6379C">
        <w:t xml:space="preserve">, T. J. S., Novotny, V., Miller, S. E., </w:t>
      </w:r>
      <w:proofErr w:type="spellStart"/>
      <w:r w:rsidRPr="00C6379C">
        <w:t>Hrcek</w:t>
      </w:r>
      <w:proofErr w:type="spellEnd"/>
      <w:r w:rsidRPr="00C6379C">
        <w:t xml:space="preserve">, J., </w:t>
      </w:r>
      <w:proofErr w:type="spellStart"/>
      <w:r w:rsidRPr="00C6379C">
        <w:t>Klimes</w:t>
      </w:r>
      <w:proofErr w:type="spellEnd"/>
      <w:r w:rsidRPr="00C6379C">
        <w:t xml:space="preserve">, P., &amp; </w:t>
      </w:r>
      <w:proofErr w:type="spellStart"/>
      <w:r w:rsidRPr="00C6379C">
        <w:t>Weiblen</w:t>
      </w:r>
      <w:proofErr w:type="spellEnd"/>
      <w:r w:rsidRPr="00C6379C">
        <w:t xml:space="preserve">, G. D. (2012). Predicting tropical insect herbivore abundance from host plant traits and phylogeny. </w:t>
      </w:r>
      <w:r w:rsidRPr="00C6379C">
        <w:rPr>
          <w:i/>
          <w:iCs/>
        </w:rPr>
        <w:t>Ecology</w:t>
      </w:r>
      <w:r w:rsidRPr="00C6379C">
        <w:t xml:space="preserve">, </w:t>
      </w:r>
      <w:r w:rsidRPr="00C6379C">
        <w:rPr>
          <w:i/>
          <w:iCs/>
        </w:rPr>
        <w:t>93</w:t>
      </w:r>
      <w:r w:rsidRPr="00C6379C">
        <w:t xml:space="preserve">, S211–S222. </w:t>
      </w:r>
      <w:hyperlink r:id="rId63" w:history="1">
        <w:r w:rsidRPr="00C6379C">
          <w:rPr>
            <w:rStyle w:val="Hyperlink"/>
          </w:rPr>
          <w:t>https://doi.org/10.1890/11-0503.1</w:t>
        </w:r>
      </w:hyperlink>
    </w:p>
    <w:p w14:paraId="2ADDE892" w14:textId="1E168726" w:rsidR="00C6379C" w:rsidRPr="00C6379C" w:rsidRDefault="00C6379C" w:rsidP="00C6379C">
      <w:pPr>
        <w:spacing w:line="480" w:lineRule="auto"/>
        <w:ind w:left="720" w:hanging="720"/>
      </w:pPr>
      <w:r w:rsidRPr="00C6379C">
        <w:t xml:space="preserve">Zhang, S., Zhang, Y., &amp; Ma, K. (2016). Latitudinal variation in herbivory: Hemispheric asymmetries and the role of climatic drivers. </w:t>
      </w:r>
      <w:r w:rsidRPr="00C6379C">
        <w:rPr>
          <w:i/>
          <w:iCs/>
        </w:rPr>
        <w:t>Journal of Ecology</w:t>
      </w:r>
      <w:r w:rsidRPr="00C6379C">
        <w:t xml:space="preserve">, </w:t>
      </w:r>
      <w:r w:rsidRPr="00C6379C">
        <w:rPr>
          <w:i/>
          <w:iCs/>
        </w:rPr>
        <w:t>104</w:t>
      </w:r>
      <w:r w:rsidRPr="00C6379C">
        <w:t xml:space="preserve">, 1089–1095. </w:t>
      </w:r>
      <w:hyperlink r:id="rId64" w:history="1">
        <w:r w:rsidRPr="00C6379C">
          <w:rPr>
            <w:rStyle w:val="Hyperlink"/>
          </w:rPr>
          <w:t>https://doi.org/10.1111/1365-2745.12588</w:t>
        </w:r>
      </w:hyperlink>
    </w:p>
    <w:p w14:paraId="2FE47362" w14:textId="1A20956F" w:rsidR="00592CFD" w:rsidRPr="00C6379C" w:rsidRDefault="00592CFD" w:rsidP="00592CFD">
      <w:pPr>
        <w:spacing w:line="480" w:lineRule="auto"/>
        <w:ind w:left="720" w:hanging="720"/>
      </w:pPr>
      <w:bookmarkStart w:id="6" w:name="_Hlk85524487"/>
      <w:bookmarkStart w:id="7" w:name="_Hlk76047238"/>
      <w:proofErr w:type="spellStart"/>
      <w:r w:rsidRPr="006F79CE">
        <w:t>Zvereva</w:t>
      </w:r>
      <w:proofErr w:type="spellEnd"/>
      <w:r w:rsidRPr="006F79CE">
        <w:t xml:space="preserve">, E.L., Zverev, V., </w:t>
      </w:r>
      <w:proofErr w:type="spellStart"/>
      <w:r w:rsidRPr="006F79CE">
        <w:t>Usoltsev</w:t>
      </w:r>
      <w:proofErr w:type="spellEnd"/>
      <w:r w:rsidRPr="006F79CE">
        <w:t xml:space="preserve">, V.A. </w:t>
      </w:r>
      <w:r w:rsidR="003F6DF8">
        <w:t>&amp;</w:t>
      </w:r>
      <w:r w:rsidRPr="006F79CE">
        <w:t xml:space="preserve"> Kozlov, M.V. </w:t>
      </w:r>
      <w:r w:rsidR="003F6DF8">
        <w:t>(</w:t>
      </w:r>
      <w:r w:rsidRPr="006F79CE">
        <w:t>2020</w:t>
      </w:r>
      <w:r w:rsidR="003F6DF8">
        <w:t>)</w:t>
      </w:r>
      <w:r w:rsidRPr="006F79CE">
        <w:t>. Latitudinal pattern in community‐wide herbivory does not match the pattern in herbivory averaged across common plant species. </w:t>
      </w:r>
      <w:r w:rsidRPr="006F79CE">
        <w:rPr>
          <w:i/>
          <w:iCs/>
        </w:rPr>
        <w:t>Journal of Ecology</w:t>
      </w:r>
      <w:r w:rsidRPr="006F79CE">
        <w:t>, </w:t>
      </w:r>
      <w:r w:rsidRPr="006F79CE">
        <w:rPr>
          <w:i/>
          <w:iCs/>
        </w:rPr>
        <w:t>108</w:t>
      </w:r>
      <w:r w:rsidRPr="006F79CE">
        <w:t>, 2511-2520.</w:t>
      </w:r>
    </w:p>
    <w:p w14:paraId="278BAF9D" w14:textId="47717DD1" w:rsidR="00592CFD" w:rsidRDefault="00592CFD" w:rsidP="009B617E">
      <w:pPr>
        <w:spacing w:line="480" w:lineRule="auto"/>
        <w:rPr>
          <w:b/>
          <w:bCs/>
        </w:rPr>
        <w:sectPr w:rsidR="00592CFD" w:rsidSect="003F0404">
          <w:footerReference w:type="default" r:id="rId65"/>
          <w:pgSz w:w="12240" w:h="15840"/>
          <w:pgMar w:top="1440" w:right="1440" w:bottom="1440" w:left="1440" w:header="720" w:footer="720" w:gutter="0"/>
          <w:lnNumType w:countBy="1" w:restart="continuous"/>
          <w:cols w:space="720"/>
          <w:docGrid w:linePitch="360"/>
        </w:sectPr>
      </w:pPr>
    </w:p>
    <w:p w14:paraId="358523AF" w14:textId="2CD9AF32" w:rsidR="00EE1301" w:rsidRDefault="009B617E" w:rsidP="00D76EAC">
      <w:pPr>
        <w:spacing w:line="480" w:lineRule="auto"/>
        <w:rPr>
          <w:b/>
          <w:bCs/>
        </w:rPr>
      </w:pPr>
      <w:r w:rsidRPr="00AF1B56">
        <w:rPr>
          <w:b/>
          <w:bCs/>
        </w:rPr>
        <w:lastRenderedPageBreak/>
        <w:t>Table 1.</w:t>
      </w:r>
      <w:r>
        <w:t xml:space="preserve">  Hypothesized </w:t>
      </w:r>
      <w:r w:rsidR="00C254D2">
        <w:t>responses</w:t>
      </w:r>
      <w:r>
        <w:t xml:space="preserve"> of specialist and generalist herbivory to </w:t>
      </w:r>
      <w:r w:rsidR="007736E1">
        <w:t xml:space="preserve">local and regional </w:t>
      </w:r>
      <w:r w:rsidR="00E13799">
        <w:t>variation</w:t>
      </w:r>
      <w:r w:rsidR="00C254D2">
        <w:t xml:space="preserve"> in abiotic and biotic conditions</w:t>
      </w:r>
      <w:bookmarkEnd w:id="6"/>
      <w:bookmarkEnd w:id="7"/>
    </w:p>
    <w:tbl>
      <w:tblPr>
        <w:tblStyle w:val="TableGrid1"/>
        <w:tblW w:w="9810"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7200"/>
      </w:tblGrid>
      <w:tr w:rsidR="00D76EAC" w:rsidRPr="00D76EAC" w14:paraId="0904CB42" w14:textId="77777777" w:rsidTr="00D35110">
        <w:trPr>
          <w:jc w:val="center"/>
        </w:trPr>
        <w:tc>
          <w:tcPr>
            <w:tcW w:w="2610" w:type="dxa"/>
            <w:tcBorders>
              <w:top w:val="single" w:sz="12" w:space="0" w:color="auto"/>
              <w:bottom w:val="single" w:sz="8" w:space="0" w:color="auto"/>
            </w:tcBorders>
            <w:vAlign w:val="bottom"/>
          </w:tcPr>
          <w:p w14:paraId="5B8C9E5E" w14:textId="77777777" w:rsidR="00D76EAC" w:rsidRPr="00D76EAC" w:rsidRDefault="00D76EAC" w:rsidP="00D76EAC">
            <w:pPr>
              <w:rPr>
                <w:b/>
                <w:bCs/>
              </w:rPr>
            </w:pPr>
            <w:r w:rsidRPr="00D76EAC">
              <w:rPr>
                <w:b/>
                <w:bCs/>
              </w:rPr>
              <w:t>Predictor</w:t>
            </w:r>
          </w:p>
        </w:tc>
        <w:tc>
          <w:tcPr>
            <w:tcW w:w="7200" w:type="dxa"/>
            <w:tcBorders>
              <w:top w:val="single" w:sz="12" w:space="0" w:color="auto"/>
              <w:bottom w:val="single" w:sz="8" w:space="0" w:color="auto"/>
            </w:tcBorders>
            <w:vAlign w:val="bottom"/>
          </w:tcPr>
          <w:p w14:paraId="3CA46007" w14:textId="77777777" w:rsidR="00D76EAC" w:rsidRPr="00D76EAC" w:rsidRDefault="00D76EAC" w:rsidP="00D76EAC">
            <w:pPr>
              <w:rPr>
                <w:b/>
                <w:bCs/>
              </w:rPr>
            </w:pPr>
            <w:r w:rsidRPr="00D76EAC">
              <w:rPr>
                <w:b/>
                <w:bCs/>
              </w:rPr>
              <w:t>Relevant hypotheses</w:t>
            </w:r>
          </w:p>
        </w:tc>
      </w:tr>
      <w:tr w:rsidR="00D76EAC" w:rsidRPr="00D76EAC" w14:paraId="57A8D1DB" w14:textId="77777777" w:rsidTr="00D35110">
        <w:trPr>
          <w:trHeight w:val="763"/>
          <w:jc w:val="center"/>
        </w:trPr>
        <w:tc>
          <w:tcPr>
            <w:tcW w:w="2610" w:type="dxa"/>
            <w:tcBorders>
              <w:top w:val="single" w:sz="8" w:space="0" w:color="auto"/>
              <w:bottom w:val="single" w:sz="4" w:space="0" w:color="auto"/>
            </w:tcBorders>
            <w:vAlign w:val="center"/>
          </w:tcPr>
          <w:p w14:paraId="17F646DF" w14:textId="77777777" w:rsidR="00D76EAC" w:rsidRPr="00D76EAC" w:rsidRDefault="00D76EAC" w:rsidP="00D76EAC">
            <w:r w:rsidRPr="00D76EAC">
              <w:t xml:space="preserve">Scale at which </w:t>
            </w:r>
            <w:proofErr w:type="gramStart"/>
            <w:r w:rsidRPr="00D76EAC">
              <w:t>the  distribution</w:t>
            </w:r>
            <w:proofErr w:type="gramEnd"/>
            <w:r w:rsidRPr="00D76EAC">
              <w:t xml:space="preserve"> of herbivory is assessed </w:t>
            </w:r>
          </w:p>
        </w:tc>
        <w:tc>
          <w:tcPr>
            <w:tcW w:w="7200" w:type="dxa"/>
            <w:tcBorders>
              <w:top w:val="single" w:sz="8" w:space="0" w:color="auto"/>
              <w:bottom w:val="single" w:sz="4" w:space="0" w:color="auto"/>
            </w:tcBorders>
            <w:vAlign w:val="center"/>
          </w:tcPr>
          <w:p w14:paraId="5E098CB6" w14:textId="77777777" w:rsidR="00D76EAC" w:rsidRPr="00D76EAC" w:rsidRDefault="00D76EAC" w:rsidP="00D76EAC"/>
          <w:p w14:paraId="2F6808B2" w14:textId="77777777" w:rsidR="00D76EAC" w:rsidRDefault="00D76EAC" w:rsidP="00D76EAC">
            <w:r w:rsidRPr="00D76EAC">
              <w:t>H1:  Variation in herbivory may increase with scale (spatially and phylogenetically).</w:t>
            </w:r>
          </w:p>
          <w:p w14:paraId="0C95E5E3" w14:textId="77777777" w:rsidR="00D76EAC" w:rsidRPr="00D76EAC" w:rsidRDefault="00D76EAC" w:rsidP="00D76EAC"/>
          <w:p w14:paraId="452261B1" w14:textId="77777777" w:rsidR="00D76EAC" w:rsidRPr="00D76EAC" w:rsidRDefault="00D76EAC" w:rsidP="00D76EAC">
            <w:r w:rsidRPr="00D76EAC">
              <w:t>Prediction:  The dispersion and skew of specialist and generalist herbivory will be greater across congeners in a forest as compared to congeners within a local community or members of a subpopulation.</w:t>
            </w:r>
          </w:p>
          <w:p w14:paraId="530A92A6" w14:textId="77777777" w:rsidR="00D76EAC" w:rsidRPr="00D76EAC" w:rsidRDefault="00D76EAC" w:rsidP="00D76EAC"/>
        </w:tc>
      </w:tr>
      <w:tr w:rsidR="00D76EAC" w:rsidRPr="00D76EAC" w14:paraId="27C24D6F" w14:textId="77777777" w:rsidTr="00D35110">
        <w:trPr>
          <w:jc w:val="center"/>
        </w:trPr>
        <w:tc>
          <w:tcPr>
            <w:tcW w:w="2610" w:type="dxa"/>
            <w:tcBorders>
              <w:top w:val="single" w:sz="4" w:space="0" w:color="auto"/>
              <w:bottom w:val="single" w:sz="4" w:space="0" w:color="auto"/>
            </w:tcBorders>
            <w:vAlign w:val="center"/>
          </w:tcPr>
          <w:p w14:paraId="02879973" w14:textId="77777777" w:rsidR="00D76EAC" w:rsidRPr="00D76EAC" w:rsidRDefault="00D76EAC" w:rsidP="00D76EAC">
            <w:pPr>
              <w:rPr>
                <w:b/>
                <w:bCs/>
                <w:i/>
                <w:iCs/>
              </w:rPr>
            </w:pPr>
            <w:r w:rsidRPr="00D76EAC">
              <w:rPr>
                <w:b/>
                <w:bCs/>
                <w:i/>
                <w:iCs/>
              </w:rPr>
              <w:t>Regional scale</w:t>
            </w:r>
          </w:p>
        </w:tc>
        <w:tc>
          <w:tcPr>
            <w:tcW w:w="7200" w:type="dxa"/>
            <w:tcBorders>
              <w:top w:val="single" w:sz="4" w:space="0" w:color="auto"/>
              <w:bottom w:val="single" w:sz="4" w:space="0" w:color="auto"/>
            </w:tcBorders>
            <w:vAlign w:val="center"/>
          </w:tcPr>
          <w:p w14:paraId="271690EB" w14:textId="77777777" w:rsidR="00D76EAC" w:rsidRPr="00D76EAC" w:rsidRDefault="00D76EAC" w:rsidP="00D76EAC">
            <w:pPr>
              <w:rPr>
                <w:b/>
                <w:bCs/>
                <w:i/>
                <w:iCs/>
              </w:rPr>
            </w:pPr>
          </w:p>
        </w:tc>
      </w:tr>
      <w:tr w:rsidR="00D76EAC" w:rsidRPr="00D76EAC" w14:paraId="595DC3C8" w14:textId="77777777" w:rsidTr="00D35110">
        <w:trPr>
          <w:jc w:val="center"/>
        </w:trPr>
        <w:tc>
          <w:tcPr>
            <w:tcW w:w="2610" w:type="dxa"/>
            <w:tcBorders>
              <w:top w:val="single" w:sz="4" w:space="0" w:color="auto"/>
              <w:bottom w:val="single" w:sz="4" w:space="0" w:color="auto"/>
            </w:tcBorders>
            <w:vAlign w:val="center"/>
          </w:tcPr>
          <w:p w14:paraId="64215F6F" w14:textId="77777777" w:rsidR="00D76EAC" w:rsidRPr="00D76EAC" w:rsidRDefault="00D76EAC" w:rsidP="00D76EAC">
            <w:r w:rsidRPr="00D76EAC">
              <w:t>Precipitation seasonality</w:t>
            </w:r>
          </w:p>
        </w:tc>
        <w:tc>
          <w:tcPr>
            <w:tcW w:w="7200" w:type="dxa"/>
            <w:tcBorders>
              <w:top w:val="single" w:sz="4" w:space="0" w:color="auto"/>
              <w:bottom w:val="single" w:sz="4" w:space="0" w:color="auto"/>
            </w:tcBorders>
            <w:vAlign w:val="center"/>
          </w:tcPr>
          <w:p w14:paraId="6F57036E" w14:textId="77777777" w:rsidR="00D76EAC" w:rsidRPr="00D76EAC" w:rsidRDefault="00D76EAC" w:rsidP="00D76EAC"/>
          <w:p w14:paraId="782B988E" w14:textId="1E802BFA" w:rsidR="00D76EAC" w:rsidRDefault="00D76EAC" w:rsidP="00D76EAC">
            <w:r w:rsidRPr="00D76EAC">
              <w:t xml:space="preserve">H2:  </w:t>
            </w:r>
            <w:r w:rsidR="006623D6" w:rsidRPr="006623D6">
              <w:t xml:space="preserve">At the regional scale, specialist and generalist herbivory may be higher in seasonal habitats, where leaves may be shorter lived and less well </w:t>
            </w:r>
            <w:proofErr w:type="gramStart"/>
            <w:r w:rsidR="006623D6" w:rsidRPr="006623D6">
              <w:t>defended  (</w:t>
            </w:r>
            <w:proofErr w:type="gramEnd"/>
            <w:r w:rsidR="006623D6" w:rsidRPr="006623D6">
              <w:t xml:space="preserve">Coley and Barone 1996).  </w:t>
            </w:r>
          </w:p>
          <w:p w14:paraId="1D470E68" w14:textId="77777777" w:rsidR="00D76EAC" w:rsidRPr="00D76EAC" w:rsidRDefault="00D76EAC" w:rsidP="00D76EAC"/>
          <w:p w14:paraId="3B887AB2" w14:textId="2FD53583" w:rsidR="00D76EAC" w:rsidRDefault="00D76EAC" w:rsidP="00D76EAC">
            <w:r w:rsidRPr="00D76EAC">
              <w:t xml:space="preserve">Prediction:  </w:t>
            </w:r>
            <w:r w:rsidR="006623D6">
              <w:t>While specialist and generalist herbivory will be higher in seasonal forests, the</w:t>
            </w:r>
            <w:r w:rsidR="006623D6" w:rsidRPr="00953F95">
              <w:t xml:space="preserve"> </w:t>
            </w:r>
            <w:r w:rsidR="006623D6">
              <w:t xml:space="preserve">pattern </w:t>
            </w:r>
            <w:r w:rsidR="006623D6" w:rsidRPr="00953F95">
              <w:t>may be weaker for specialists as they are more locally abundant across their range (</w:t>
            </w:r>
            <w:proofErr w:type="spellStart"/>
            <w:r w:rsidR="006623D6" w:rsidRPr="00953F95">
              <w:t>Sudta</w:t>
            </w:r>
            <w:proofErr w:type="spellEnd"/>
            <w:r w:rsidR="006623D6" w:rsidRPr="00953F95">
              <w:t xml:space="preserve"> et al. 2022) and are better adapted to higher defenses.</w:t>
            </w:r>
          </w:p>
          <w:p w14:paraId="7DD7C2EC" w14:textId="77777777" w:rsidR="00D76EAC" w:rsidRPr="00D76EAC" w:rsidRDefault="00D76EAC" w:rsidP="006623D6"/>
        </w:tc>
      </w:tr>
      <w:tr w:rsidR="00D76EAC" w:rsidRPr="00D76EAC" w14:paraId="57B75B5A" w14:textId="77777777" w:rsidTr="00D35110">
        <w:trPr>
          <w:jc w:val="center"/>
        </w:trPr>
        <w:tc>
          <w:tcPr>
            <w:tcW w:w="2610" w:type="dxa"/>
            <w:tcBorders>
              <w:top w:val="single" w:sz="8" w:space="0" w:color="auto"/>
              <w:bottom w:val="single" w:sz="4" w:space="0" w:color="auto"/>
            </w:tcBorders>
            <w:vAlign w:val="center"/>
          </w:tcPr>
          <w:p w14:paraId="7D2CA6CB" w14:textId="77777777" w:rsidR="00D76EAC" w:rsidRPr="00D76EAC" w:rsidRDefault="00D76EAC" w:rsidP="00D76EAC">
            <w:r w:rsidRPr="00D76EAC">
              <w:t>Average temperature</w:t>
            </w:r>
          </w:p>
        </w:tc>
        <w:tc>
          <w:tcPr>
            <w:tcW w:w="7200" w:type="dxa"/>
            <w:tcBorders>
              <w:top w:val="single" w:sz="8" w:space="0" w:color="auto"/>
              <w:bottom w:val="single" w:sz="4" w:space="0" w:color="auto"/>
            </w:tcBorders>
            <w:vAlign w:val="center"/>
          </w:tcPr>
          <w:p w14:paraId="3507C377" w14:textId="77777777" w:rsidR="00D76EAC" w:rsidRPr="00D76EAC" w:rsidRDefault="00D76EAC" w:rsidP="00D76EAC"/>
          <w:p w14:paraId="05E280AE" w14:textId="0BFA9274" w:rsidR="00D76EAC" w:rsidRDefault="00D76EAC" w:rsidP="00D76EAC">
            <w:r w:rsidRPr="00D76EAC">
              <w:t xml:space="preserve">H3:  </w:t>
            </w:r>
            <w:r w:rsidR="006623D6" w:rsidRPr="00953F95">
              <w:t xml:space="preserve">Elevated temperatures </w:t>
            </w:r>
            <w:r w:rsidR="006623D6">
              <w:t>may</w:t>
            </w:r>
            <w:r w:rsidR="006623D6" w:rsidRPr="00953F95">
              <w:t xml:space="preserve"> increase metabolism, phenology, population dynamics, and host plant quality (Dyer et al. 2013), </w:t>
            </w:r>
            <w:r w:rsidR="006623D6">
              <w:t xml:space="preserve">which may result in a positive </w:t>
            </w:r>
            <w:r w:rsidR="006623D6" w:rsidRPr="00953F95">
              <w:t>correlation between temperature and herbivory for both generalists and specialists.</w:t>
            </w:r>
          </w:p>
          <w:p w14:paraId="3A4ECAB8" w14:textId="77777777" w:rsidR="00D76EAC" w:rsidRPr="00D76EAC" w:rsidRDefault="00D76EAC" w:rsidP="00D76EAC"/>
          <w:p w14:paraId="5D6F3B85" w14:textId="3A319145" w:rsidR="00D76EAC" w:rsidRPr="00D76EAC" w:rsidRDefault="00D76EAC" w:rsidP="00D76EAC">
            <w:r w:rsidRPr="00D76EAC">
              <w:t xml:space="preserve">Prediction:  The mean and skew of herbivory </w:t>
            </w:r>
            <w:r w:rsidR="006623D6">
              <w:t>will</w:t>
            </w:r>
            <w:r w:rsidRPr="00D76EAC">
              <w:t xml:space="preserve"> increase with temperature</w:t>
            </w:r>
            <w:r w:rsidR="006623D6">
              <w:t xml:space="preserve">, but as </w:t>
            </w:r>
            <w:r w:rsidR="006623D6" w:rsidRPr="00953F95">
              <w:t xml:space="preserve">specialists are more locally abundant than generalists, the distribution of generalist herbivory </w:t>
            </w:r>
            <w:r w:rsidR="006623D6">
              <w:t>will</w:t>
            </w:r>
            <w:r w:rsidR="006623D6" w:rsidRPr="00953F95">
              <w:t xml:space="preserve"> be more susceptible to outliers, yielding higher variance and positive skew for generalists across the ranges of temperature (</w:t>
            </w:r>
            <w:proofErr w:type="spellStart"/>
            <w:r w:rsidR="006623D6" w:rsidRPr="00953F95">
              <w:t>Sudta</w:t>
            </w:r>
            <w:proofErr w:type="spellEnd"/>
            <w:r w:rsidR="006623D6" w:rsidRPr="00953F95">
              <w:t xml:space="preserve"> et al. 2022).</w:t>
            </w:r>
          </w:p>
          <w:p w14:paraId="0F4B52E2" w14:textId="77777777" w:rsidR="00D76EAC" w:rsidRPr="00D76EAC" w:rsidRDefault="00D76EAC" w:rsidP="00D76EAC">
            <w:pPr>
              <w:rPr>
                <w:b/>
                <w:bCs/>
                <w:i/>
                <w:iCs/>
              </w:rPr>
            </w:pPr>
          </w:p>
        </w:tc>
      </w:tr>
      <w:tr w:rsidR="00D76EAC" w:rsidRPr="00D76EAC" w14:paraId="4BD9E170" w14:textId="77777777" w:rsidTr="00D35110">
        <w:trPr>
          <w:jc w:val="center"/>
        </w:trPr>
        <w:tc>
          <w:tcPr>
            <w:tcW w:w="2610" w:type="dxa"/>
            <w:tcBorders>
              <w:top w:val="single" w:sz="8" w:space="0" w:color="auto"/>
              <w:bottom w:val="single" w:sz="4" w:space="0" w:color="auto"/>
            </w:tcBorders>
            <w:vAlign w:val="center"/>
          </w:tcPr>
          <w:p w14:paraId="30386ED4" w14:textId="77777777" w:rsidR="00D76EAC" w:rsidRPr="00D76EAC" w:rsidRDefault="00D76EAC" w:rsidP="00D76EAC">
            <w:r w:rsidRPr="00D76EAC">
              <w:t>Latitude</w:t>
            </w:r>
          </w:p>
        </w:tc>
        <w:tc>
          <w:tcPr>
            <w:tcW w:w="7200" w:type="dxa"/>
            <w:tcBorders>
              <w:top w:val="single" w:sz="8" w:space="0" w:color="auto"/>
              <w:bottom w:val="single" w:sz="4" w:space="0" w:color="auto"/>
            </w:tcBorders>
            <w:vAlign w:val="center"/>
          </w:tcPr>
          <w:p w14:paraId="00007A69" w14:textId="77777777" w:rsidR="00D76EAC" w:rsidRPr="00D76EAC" w:rsidRDefault="00D76EAC" w:rsidP="00D76EAC"/>
          <w:p w14:paraId="2D64B4E2" w14:textId="77777777" w:rsidR="00D76EAC" w:rsidRDefault="00D76EAC" w:rsidP="00D76EAC">
            <w:r w:rsidRPr="00D76EAC">
              <w:t xml:space="preserve">H4:  Generalist and specialist herbivory may be higher at lower latitudes as herbivory is greater in the tropics (Coley and Barone 1996), negative density dependence is stronger in the tropics (LaManna et al. 2017), and generalist herbivore richness decreases with latitude (Salazar and Marquis 2012). </w:t>
            </w:r>
          </w:p>
          <w:p w14:paraId="2E6E8D61" w14:textId="77777777" w:rsidR="00D76EAC" w:rsidRPr="00D76EAC" w:rsidRDefault="00D76EAC" w:rsidP="00D76EAC"/>
          <w:p w14:paraId="0B7C186D" w14:textId="77777777" w:rsidR="00D76EAC" w:rsidRPr="00D76EAC" w:rsidRDefault="00D76EAC" w:rsidP="00D76EAC">
            <w:r w:rsidRPr="00D76EAC">
              <w:t>Prediction:  The mean and skew of herbivory may increase toward the equator, particularly for generalists.</w:t>
            </w:r>
          </w:p>
          <w:p w14:paraId="32C1B217" w14:textId="77777777" w:rsidR="00D76EAC" w:rsidRPr="00D76EAC" w:rsidRDefault="00D76EAC" w:rsidP="00D76EAC"/>
        </w:tc>
      </w:tr>
      <w:tr w:rsidR="00D76EAC" w:rsidRPr="00D76EAC" w14:paraId="25D7306B" w14:textId="77777777" w:rsidTr="00D35110">
        <w:trPr>
          <w:jc w:val="center"/>
        </w:trPr>
        <w:tc>
          <w:tcPr>
            <w:tcW w:w="9810" w:type="dxa"/>
            <w:gridSpan w:val="2"/>
            <w:tcBorders>
              <w:top w:val="single" w:sz="8" w:space="0" w:color="auto"/>
              <w:bottom w:val="single" w:sz="4" w:space="0" w:color="auto"/>
            </w:tcBorders>
            <w:vAlign w:val="center"/>
          </w:tcPr>
          <w:p w14:paraId="00AA71AA" w14:textId="77777777" w:rsidR="00D76EAC" w:rsidRPr="00D76EAC" w:rsidRDefault="00D76EAC" w:rsidP="00D76EAC">
            <w:pPr>
              <w:rPr>
                <w:i/>
                <w:iCs/>
              </w:rPr>
            </w:pPr>
            <w:r w:rsidRPr="00D76EAC">
              <w:rPr>
                <w:b/>
                <w:bCs/>
                <w:i/>
                <w:iCs/>
              </w:rPr>
              <w:lastRenderedPageBreak/>
              <w:t>Local scale</w:t>
            </w:r>
          </w:p>
        </w:tc>
      </w:tr>
      <w:tr w:rsidR="00D76EAC" w:rsidRPr="00D76EAC" w14:paraId="168BADDC" w14:textId="77777777" w:rsidTr="00D35110">
        <w:trPr>
          <w:jc w:val="center"/>
        </w:trPr>
        <w:tc>
          <w:tcPr>
            <w:tcW w:w="2610" w:type="dxa"/>
            <w:tcBorders>
              <w:top w:val="single" w:sz="4" w:space="0" w:color="auto"/>
              <w:bottom w:val="single" w:sz="4" w:space="0" w:color="auto"/>
            </w:tcBorders>
            <w:vAlign w:val="center"/>
          </w:tcPr>
          <w:p w14:paraId="4B695269" w14:textId="77777777" w:rsidR="00D76EAC" w:rsidRPr="00D76EAC" w:rsidRDefault="00D76EAC" w:rsidP="00D76EAC"/>
          <w:p w14:paraId="228B6DCF" w14:textId="77777777" w:rsidR="00D76EAC" w:rsidRPr="00D76EAC" w:rsidRDefault="00D76EAC" w:rsidP="00D76EAC">
            <w:pPr>
              <w:rPr>
                <w:b/>
                <w:bCs/>
              </w:rPr>
            </w:pPr>
            <w:r w:rsidRPr="00D76EAC">
              <w:t>Resource availability</w:t>
            </w:r>
          </w:p>
        </w:tc>
        <w:tc>
          <w:tcPr>
            <w:tcW w:w="7200" w:type="dxa"/>
            <w:tcBorders>
              <w:top w:val="single" w:sz="4" w:space="0" w:color="auto"/>
              <w:bottom w:val="single" w:sz="4" w:space="0" w:color="auto"/>
            </w:tcBorders>
            <w:vAlign w:val="center"/>
          </w:tcPr>
          <w:p w14:paraId="5A007052" w14:textId="77777777" w:rsidR="00D76EAC" w:rsidRPr="00D76EAC" w:rsidRDefault="00D76EAC" w:rsidP="00D76EAC"/>
          <w:p w14:paraId="5DE1D6A0" w14:textId="77777777" w:rsidR="00D76EAC" w:rsidRDefault="00D76EAC" w:rsidP="00D76EAC">
            <w:r w:rsidRPr="00D76EAC">
              <w:t xml:space="preserve">H5:  The resource concentration hypothesis (Root 1973) suggests herbivory should increase in plots where host plants are relatively more abundant. Specialist damage may be especially affected by associational resistance.  </w:t>
            </w:r>
          </w:p>
          <w:p w14:paraId="2F2B34FD" w14:textId="77777777" w:rsidR="00D76EAC" w:rsidRPr="00D76EAC" w:rsidRDefault="00D76EAC" w:rsidP="00D76EAC"/>
          <w:p w14:paraId="3BF393FD" w14:textId="77777777" w:rsidR="00D76EAC" w:rsidRPr="00D76EAC" w:rsidRDefault="00D76EAC" w:rsidP="00D76EAC">
            <w:r w:rsidRPr="00D76EAC">
              <w:t>Prediction:  The mean, dispersion, and skew of herbivory will increase in plots where resources are more concentrated, especially for specialists.</w:t>
            </w:r>
          </w:p>
          <w:p w14:paraId="0A811EEA" w14:textId="77777777" w:rsidR="00D76EAC" w:rsidRPr="00D76EAC" w:rsidRDefault="00D76EAC" w:rsidP="00D76EAC">
            <w:pPr>
              <w:rPr>
                <w:b/>
                <w:bCs/>
              </w:rPr>
            </w:pPr>
          </w:p>
        </w:tc>
      </w:tr>
      <w:tr w:rsidR="00D76EAC" w:rsidRPr="00D76EAC" w14:paraId="052A0151" w14:textId="77777777" w:rsidTr="00D35110">
        <w:trPr>
          <w:jc w:val="center"/>
        </w:trPr>
        <w:tc>
          <w:tcPr>
            <w:tcW w:w="2610" w:type="dxa"/>
            <w:tcBorders>
              <w:top w:val="single" w:sz="4" w:space="0" w:color="auto"/>
              <w:bottom w:val="single" w:sz="4" w:space="0" w:color="auto"/>
            </w:tcBorders>
            <w:vAlign w:val="center"/>
          </w:tcPr>
          <w:p w14:paraId="079982E7" w14:textId="77777777" w:rsidR="00D76EAC" w:rsidRPr="00D76EAC" w:rsidRDefault="00D76EAC" w:rsidP="00D76EAC">
            <w:pPr>
              <w:rPr>
                <w:b/>
                <w:bCs/>
              </w:rPr>
            </w:pPr>
          </w:p>
          <w:p w14:paraId="273F9151" w14:textId="77777777" w:rsidR="00D76EAC" w:rsidRPr="00D76EAC" w:rsidRDefault="00D76EAC" w:rsidP="00D76EAC">
            <w:r w:rsidRPr="00D76EAC">
              <w:t>Species richness</w:t>
            </w:r>
          </w:p>
          <w:p w14:paraId="4CB68925" w14:textId="77777777" w:rsidR="00D76EAC" w:rsidRPr="00D76EAC" w:rsidRDefault="00D76EAC" w:rsidP="00D76EAC"/>
        </w:tc>
        <w:tc>
          <w:tcPr>
            <w:tcW w:w="7200" w:type="dxa"/>
            <w:tcBorders>
              <w:top w:val="single" w:sz="4" w:space="0" w:color="auto"/>
              <w:bottom w:val="single" w:sz="4" w:space="0" w:color="auto"/>
            </w:tcBorders>
            <w:vAlign w:val="center"/>
          </w:tcPr>
          <w:p w14:paraId="11B83D8A" w14:textId="77777777" w:rsidR="00D76EAC" w:rsidRPr="00D76EAC" w:rsidRDefault="00D76EAC" w:rsidP="00D76EAC"/>
          <w:p w14:paraId="641D9C97" w14:textId="77777777" w:rsidR="00D76EAC" w:rsidRDefault="00D76EAC" w:rsidP="00D76EAC">
            <w:r w:rsidRPr="00D76EAC">
              <w:t>H6:  The Janzen-Connell hypothesis (Janzen 1970; Connell 1971) predicts specialist herbivory is greater where plant richness is lower.  Generalist herbivory should also be greater where richness is lower (Massad et al. 2022).</w:t>
            </w:r>
          </w:p>
          <w:p w14:paraId="3E3FEFDE" w14:textId="77777777" w:rsidR="00D76EAC" w:rsidRPr="00D76EAC" w:rsidRDefault="00D76EAC" w:rsidP="00D76EAC"/>
          <w:p w14:paraId="5F0D354E" w14:textId="77777777" w:rsidR="00D76EAC" w:rsidRPr="00D76EAC" w:rsidRDefault="00D76EAC" w:rsidP="00D76EAC">
            <w:r w:rsidRPr="00D76EAC">
              <w:t>Prediction:  The mean and skew of herbivory will increase where species richness is lower, particularly for specialists.</w:t>
            </w:r>
          </w:p>
          <w:p w14:paraId="18C2D31F" w14:textId="77777777" w:rsidR="00D76EAC" w:rsidRPr="00D76EAC" w:rsidRDefault="00D76EAC" w:rsidP="00D76EAC"/>
        </w:tc>
      </w:tr>
      <w:tr w:rsidR="00D76EAC" w:rsidRPr="00D76EAC" w14:paraId="3CE8DFE2" w14:textId="77777777" w:rsidTr="00D35110">
        <w:trPr>
          <w:jc w:val="center"/>
        </w:trPr>
        <w:tc>
          <w:tcPr>
            <w:tcW w:w="2610" w:type="dxa"/>
            <w:tcBorders>
              <w:top w:val="single" w:sz="4" w:space="0" w:color="auto"/>
              <w:bottom w:val="single" w:sz="12" w:space="0" w:color="auto"/>
            </w:tcBorders>
            <w:vAlign w:val="center"/>
          </w:tcPr>
          <w:p w14:paraId="3781249E" w14:textId="77777777" w:rsidR="00D76EAC" w:rsidRPr="00D76EAC" w:rsidRDefault="00D76EAC" w:rsidP="00D76EAC">
            <w:r w:rsidRPr="00D76EAC">
              <w:t>Canopy openness</w:t>
            </w:r>
          </w:p>
        </w:tc>
        <w:tc>
          <w:tcPr>
            <w:tcW w:w="7200" w:type="dxa"/>
            <w:tcBorders>
              <w:top w:val="single" w:sz="4" w:space="0" w:color="auto"/>
              <w:bottom w:val="single" w:sz="12" w:space="0" w:color="auto"/>
            </w:tcBorders>
            <w:vAlign w:val="center"/>
          </w:tcPr>
          <w:p w14:paraId="706690F8" w14:textId="77777777" w:rsidR="00D76EAC" w:rsidRPr="00D76EAC" w:rsidRDefault="00D76EAC" w:rsidP="00D76EAC"/>
          <w:p w14:paraId="29D4768D" w14:textId="77777777" w:rsidR="00D76EAC" w:rsidRDefault="00D76EAC" w:rsidP="00D76EAC">
            <w:r w:rsidRPr="00D76EAC">
              <w:t>H7:  Herbivory may be less positively skewed in plots with more light as herbivores decrease in gaps during the dry season (Richards and Windsor 2007).</w:t>
            </w:r>
          </w:p>
          <w:p w14:paraId="11C8032A" w14:textId="77777777" w:rsidR="00D76EAC" w:rsidRPr="00D76EAC" w:rsidRDefault="00D76EAC" w:rsidP="00D76EAC"/>
          <w:p w14:paraId="56D4CDD2" w14:textId="77777777" w:rsidR="00D76EAC" w:rsidRPr="00D76EAC" w:rsidRDefault="00D76EAC" w:rsidP="00D76EAC">
            <w:r w:rsidRPr="00D76EAC">
              <w:t>Prediction:  The dispersion and skew of herbivory will decrease in high light environments.</w:t>
            </w:r>
          </w:p>
        </w:tc>
      </w:tr>
    </w:tbl>
    <w:p w14:paraId="47568156" w14:textId="03BDC001" w:rsidR="00D76EAC" w:rsidRDefault="00D76EAC" w:rsidP="00372985">
      <w:pPr>
        <w:rPr>
          <w:b/>
          <w:bCs/>
        </w:rPr>
        <w:sectPr w:rsidR="00D76EAC" w:rsidSect="00313792">
          <w:pgSz w:w="12240" w:h="15840"/>
          <w:pgMar w:top="1440" w:right="1440" w:bottom="1440" w:left="1440" w:header="720" w:footer="720" w:gutter="0"/>
          <w:lnNumType w:countBy="1" w:restart="continuous"/>
          <w:cols w:space="720"/>
          <w:docGrid w:linePitch="360"/>
        </w:sectPr>
      </w:pPr>
    </w:p>
    <w:p w14:paraId="1374D747" w14:textId="77777777" w:rsidR="000D1BBE" w:rsidRDefault="000D1BBE">
      <w:pPr>
        <w:rPr>
          <w:b/>
          <w:bCs/>
        </w:rPr>
      </w:pPr>
      <w:r>
        <w:rPr>
          <w:b/>
          <w:bCs/>
        </w:rPr>
        <w:br w:type="page"/>
      </w:r>
    </w:p>
    <w:p w14:paraId="7773F8A3" w14:textId="1984B733" w:rsidR="00B9111C" w:rsidRDefault="00B9111C" w:rsidP="00B9111C">
      <w:pPr>
        <w:spacing w:line="480" w:lineRule="auto"/>
      </w:pPr>
      <w:r w:rsidRPr="00E15ED5">
        <w:rPr>
          <w:b/>
          <w:bCs/>
        </w:rPr>
        <w:lastRenderedPageBreak/>
        <w:t xml:space="preserve">Table </w:t>
      </w:r>
      <w:r w:rsidR="00372985">
        <w:rPr>
          <w:b/>
          <w:bCs/>
        </w:rPr>
        <w:t>2</w:t>
      </w:r>
      <w:r w:rsidRPr="00E15ED5">
        <w:rPr>
          <w:b/>
          <w:bCs/>
        </w:rPr>
        <w:t xml:space="preserve">.  </w:t>
      </w:r>
      <w:r>
        <w:t>Linear regression results of 80</w:t>
      </w:r>
      <w:r w:rsidRPr="005960C6">
        <w:rPr>
          <w:vertAlign w:val="superscript"/>
        </w:rPr>
        <w:t>th</w:t>
      </w:r>
      <w:r>
        <w:t xml:space="preserve"> quantiles of herbivory calculated at the community (</w:t>
      </w:r>
      <w:r w:rsidR="007412DD">
        <w:rPr>
          <w:i/>
          <w:iCs/>
        </w:rPr>
        <w:t xml:space="preserve">Piper </w:t>
      </w:r>
      <w:r w:rsidR="007412DD">
        <w:t xml:space="preserve">congeners </w:t>
      </w:r>
      <w:r>
        <w:t>in a plot) and population (</w:t>
      </w:r>
      <w:r w:rsidR="007412DD">
        <w:rPr>
          <w:i/>
          <w:iCs/>
        </w:rPr>
        <w:t xml:space="preserve">Piper </w:t>
      </w:r>
      <w:r w:rsidR="007412DD">
        <w:t xml:space="preserve">conspecifics </w:t>
      </w:r>
      <w:r>
        <w:t xml:space="preserve">per plot) levels.  Latitude is the absolute value of </w:t>
      </w:r>
      <w:proofErr w:type="gramStart"/>
      <w:r>
        <w:t>latitude,</w:t>
      </w:r>
      <w:proofErr w:type="gramEnd"/>
      <w:r>
        <w:t xml:space="preserve"> </w:t>
      </w:r>
      <w:r w:rsidRPr="005960C6">
        <w:rPr>
          <w:i/>
          <w:iCs/>
        </w:rPr>
        <w:t>Piper</w:t>
      </w:r>
      <w:r>
        <w:t xml:space="preserve"> richness is the maximum richness recorded at each site.  Values are parameter estimates (</w:t>
      </w:r>
      <w:r w:rsidR="00647CB2">
        <w:t xml:space="preserve">PE; </w:t>
      </w:r>
      <w:r>
        <w:t xml:space="preserve">±SE) and </w:t>
      </w:r>
      <w:r w:rsidRPr="00C04A75">
        <w:rPr>
          <w:i/>
          <w:iCs/>
        </w:rPr>
        <w:t>P</w:t>
      </w:r>
      <w:r>
        <w:t>-values.  Adjusted r</w:t>
      </w:r>
      <w:r w:rsidRPr="005960C6">
        <w:rPr>
          <w:vertAlign w:val="superscript"/>
        </w:rPr>
        <w:t>2</w:t>
      </w:r>
      <w:r w:rsidRPr="00F42913">
        <w:t xml:space="preserve"> values are presented</w:t>
      </w:r>
    </w:p>
    <w:tbl>
      <w:tblPr>
        <w:tblStyle w:val="TableGrid"/>
        <w:tblW w:w="882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1260"/>
        <w:gridCol w:w="1440"/>
        <w:gridCol w:w="1350"/>
        <w:gridCol w:w="1530"/>
        <w:gridCol w:w="1800"/>
      </w:tblGrid>
      <w:tr w:rsidR="00B9111C" w14:paraId="775A72D7" w14:textId="77777777" w:rsidTr="00640239">
        <w:tc>
          <w:tcPr>
            <w:tcW w:w="2700" w:type="dxa"/>
            <w:gridSpan w:val="2"/>
            <w:tcBorders>
              <w:top w:val="single" w:sz="12" w:space="0" w:color="auto"/>
              <w:bottom w:val="single" w:sz="8" w:space="0" w:color="auto"/>
            </w:tcBorders>
            <w:vAlign w:val="bottom"/>
          </w:tcPr>
          <w:p w14:paraId="37167D07" w14:textId="77777777" w:rsidR="00B9111C" w:rsidRPr="00F92422" w:rsidRDefault="00B9111C" w:rsidP="00640239">
            <w:pPr>
              <w:rPr>
                <w:b/>
                <w:bCs/>
              </w:rPr>
            </w:pPr>
            <w:r w:rsidRPr="00F92422">
              <w:rPr>
                <w:b/>
                <w:bCs/>
              </w:rPr>
              <w:t>Response variable</w:t>
            </w:r>
          </w:p>
        </w:tc>
        <w:tc>
          <w:tcPr>
            <w:tcW w:w="1440" w:type="dxa"/>
            <w:tcBorders>
              <w:top w:val="single" w:sz="12" w:space="0" w:color="auto"/>
              <w:bottom w:val="single" w:sz="8" w:space="0" w:color="auto"/>
            </w:tcBorders>
            <w:vAlign w:val="bottom"/>
          </w:tcPr>
          <w:p w14:paraId="74C73A19" w14:textId="77777777" w:rsidR="00B9111C" w:rsidRPr="00F92422" w:rsidRDefault="00B9111C" w:rsidP="00640239">
            <w:pPr>
              <w:ind w:left="68"/>
              <w:rPr>
                <w:b/>
                <w:bCs/>
              </w:rPr>
            </w:pPr>
            <w:r w:rsidRPr="00F92422">
              <w:rPr>
                <w:b/>
                <w:bCs/>
              </w:rPr>
              <w:t xml:space="preserve">Latitude </w:t>
            </w:r>
          </w:p>
        </w:tc>
        <w:tc>
          <w:tcPr>
            <w:tcW w:w="1350" w:type="dxa"/>
            <w:tcBorders>
              <w:top w:val="single" w:sz="12" w:space="0" w:color="auto"/>
              <w:bottom w:val="single" w:sz="8" w:space="0" w:color="auto"/>
            </w:tcBorders>
            <w:vAlign w:val="bottom"/>
          </w:tcPr>
          <w:p w14:paraId="1A0CD901" w14:textId="77777777" w:rsidR="00B9111C" w:rsidRPr="00F92422" w:rsidRDefault="00B9111C" w:rsidP="00640239">
            <w:pPr>
              <w:rPr>
                <w:b/>
                <w:bCs/>
              </w:rPr>
            </w:pPr>
            <w:r w:rsidRPr="00F92422">
              <w:rPr>
                <w:b/>
                <w:bCs/>
                <w:i/>
                <w:iCs/>
              </w:rPr>
              <w:t>Piper</w:t>
            </w:r>
            <w:r w:rsidRPr="00F92422">
              <w:rPr>
                <w:b/>
                <w:bCs/>
              </w:rPr>
              <w:t xml:space="preserve"> richness</w:t>
            </w:r>
          </w:p>
        </w:tc>
        <w:tc>
          <w:tcPr>
            <w:tcW w:w="1530" w:type="dxa"/>
            <w:tcBorders>
              <w:top w:val="single" w:sz="12" w:space="0" w:color="auto"/>
              <w:bottom w:val="single" w:sz="8" w:space="0" w:color="auto"/>
            </w:tcBorders>
            <w:vAlign w:val="bottom"/>
          </w:tcPr>
          <w:p w14:paraId="79EDC204" w14:textId="77777777" w:rsidR="00B9111C" w:rsidRPr="00F92422" w:rsidRDefault="00B9111C" w:rsidP="00640239">
            <w:pPr>
              <w:rPr>
                <w:b/>
                <w:bCs/>
              </w:rPr>
            </w:pPr>
            <w:r>
              <w:rPr>
                <w:b/>
                <w:bCs/>
              </w:rPr>
              <w:t>S</w:t>
            </w:r>
            <w:r w:rsidRPr="00F92422">
              <w:rPr>
                <w:b/>
                <w:bCs/>
              </w:rPr>
              <w:t>easonality</w:t>
            </w:r>
          </w:p>
        </w:tc>
        <w:tc>
          <w:tcPr>
            <w:tcW w:w="1800" w:type="dxa"/>
            <w:tcBorders>
              <w:top w:val="single" w:sz="12" w:space="0" w:color="auto"/>
              <w:bottom w:val="single" w:sz="8" w:space="0" w:color="auto"/>
            </w:tcBorders>
            <w:vAlign w:val="bottom"/>
          </w:tcPr>
          <w:p w14:paraId="31391EAC" w14:textId="77777777" w:rsidR="00B9111C" w:rsidRPr="00F92422" w:rsidRDefault="00B9111C" w:rsidP="00640239">
            <w:pPr>
              <w:rPr>
                <w:b/>
                <w:bCs/>
              </w:rPr>
            </w:pPr>
            <w:r w:rsidRPr="00F92422">
              <w:rPr>
                <w:b/>
                <w:bCs/>
              </w:rPr>
              <w:t>Overall model</w:t>
            </w:r>
          </w:p>
        </w:tc>
      </w:tr>
      <w:tr w:rsidR="00B9111C" w14:paraId="13AD2A1E" w14:textId="77777777" w:rsidTr="00640239">
        <w:tc>
          <w:tcPr>
            <w:tcW w:w="1440" w:type="dxa"/>
            <w:vMerge w:val="restart"/>
            <w:tcBorders>
              <w:top w:val="single" w:sz="8" w:space="0" w:color="auto"/>
            </w:tcBorders>
            <w:vAlign w:val="center"/>
          </w:tcPr>
          <w:p w14:paraId="63F49172" w14:textId="77777777" w:rsidR="00B9111C" w:rsidRPr="00516EC8" w:rsidRDefault="00B9111C" w:rsidP="00640239">
            <w:r>
              <w:t>Community</w:t>
            </w:r>
            <w:r w:rsidRPr="00516EC8">
              <w:t xml:space="preserve"> level 80</w:t>
            </w:r>
            <w:r w:rsidRPr="00516EC8">
              <w:rPr>
                <w:vertAlign w:val="superscript"/>
              </w:rPr>
              <w:t>th</w:t>
            </w:r>
            <w:r w:rsidRPr="00516EC8">
              <w:t xml:space="preserve"> quantile</w:t>
            </w:r>
          </w:p>
          <w:p w14:paraId="387CBF9F" w14:textId="77777777" w:rsidR="00B9111C" w:rsidRPr="00516EC8" w:rsidRDefault="00B9111C" w:rsidP="00640239"/>
          <w:p w14:paraId="24CFFE3F" w14:textId="77777777" w:rsidR="00B9111C" w:rsidRPr="00516EC8" w:rsidRDefault="00B9111C" w:rsidP="00640239"/>
        </w:tc>
        <w:tc>
          <w:tcPr>
            <w:tcW w:w="1260" w:type="dxa"/>
            <w:tcBorders>
              <w:top w:val="single" w:sz="8" w:space="0" w:color="auto"/>
              <w:bottom w:val="nil"/>
              <w:right w:val="single" w:sz="8" w:space="0" w:color="auto"/>
            </w:tcBorders>
          </w:tcPr>
          <w:p w14:paraId="5A59754D" w14:textId="77777777" w:rsidR="00B9111C" w:rsidRPr="00516EC8" w:rsidRDefault="00B9111C" w:rsidP="00640239">
            <w:r w:rsidRPr="00516EC8">
              <w:t>Generalist herbivory</w:t>
            </w:r>
          </w:p>
        </w:tc>
        <w:tc>
          <w:tcPr>
            <w:tcW w:w="1440" w:type="dxa"/>
            <w:tcBorders>
              <w:top w:val="single" w:sz="8" w:space="0" w:color="auto"/>
            </w:tcBorders>
          </w:tcPr>
          <w:p w14:paraId="34F5F094" w14:textId="77777777" w:rsidR="00B9111C" w:rsidRDefault="00B9111C" w:rsidP="00640239">
            <w:pPr>
              <w:ind w:left="67"/>
            </w:pPr>
            <w:r>
              <w:t xml:space="preserve">PE = 0.12 ±0.05 </w:t>
            </w:r>
          </w:p>
          <w:p w14:paraId="5A1B1CEE" w14:textId="77777777" w:rsidR="00B9111C" w:rsidRDefault="00B9111C" w:rsidP="00640239">
            <w:pPr>
              <w:ind w:left="67"/>
            </w:pPr>
            <w:r>
              <w:rPr>
                <w:i/>
                <w:iCs/>
              </w:rPr>
              <w:t xml:space="preserve">P </w:t>
            </w:r>
            <w:r w:rsidRPr="00317390">
              <w:t>=</w:t>
            </w:r>
            <w:r>
              <w:rPr>
                <w:i/>
                <w:iCs/>
              </w:rPr>
              <w:t xml:space="preserve"> </w:t>
            </w:r>
            <w:r>
              <w:t>0.01</w:t>
            </w:r>
          </w:p>
        </w:tc>
        <w:tc>
          <w:tcPr>
            <w:tcW w:w="1350" w:type="dxa"/>
            <w:tcBorders>
              <w:top w:val="single" w:sz="8" w:space="0" w:color="auto"/>
            </w:tcBorders>
          </w:tcPr>
          <w:p w14:paraId="5D31B505" w14:textId="77777777" w:rsidR="00B9111C" w:rsidRDefault="00B9111C" w:rsidP="00640239">
            <w:pPr>
              <w:ind w:left="45"/>
            </w:pPr>
            <w:r>
              <w:t xml:space="preserve">PE = 0.82 ±0.12 </w:t>
            </w:r>
          </w:p>
          <w:p w14:paraId="56FA637F" w14:textId="77777777" w:rsidR="00B9111C" w:rsidRDefault="00B9111C" w:rsidP="00640239">
            <w:pPr>
              <w:ind w:left="45"/>
            </w:pPr>
            <w:r>
              <w:rPr>
                <w:i/>
                <w:iCs/>
              </w:rPr>
              <w:t xml:space="preserve">P </w:t>
            </w:r>
            <w:r w:rsidRPr="00317390">
              <w:t>&lt; 0.001</w:t>
            </w:r>
          </w:p>
        </w:tc>
        <w:tc>
          <w:tcPr>
            <w:tcW w:w="1530" w:type="dxa"/>
            <w:tcBorders>
              <w:top w:val="single" w:sz="8" w:space="0" w:color="auto"/>
            </w:tcBorders>
          </w:tcPr>
          <w:p w14:paraId="5EC7E171" w14:textId="77777777" w:rsidR="00B9111C" w:rsidRDefault="00B9111C" w:rsidP="00640239">
            <w:pPr>
              <w:ind w:left="45"/>
            </w:pPr>
            <w:r>
              <w:t xml:space="preserve">PE = -9.04 ±2.45 </w:t>
            </w:r>
          </w:p>
          <w:p w14:paraId="352091E1" w14:textId="77777777" w:rsidR="00B9111C" w:rsidRDefault="00B9111C" w:rsidP="00640239">
            <w:pPr>
              <w:ind w:left="45"/>
            </w:pPr>
            <w:r>
              <w:rPr>
                <w:i/>
                <w:iCs/>
              </w:rPr>
              <w:t xml:space="preserve">P </w:t>
            </w:r>
            <w:r>
              <w:t>&lt; 0.001</w:t>
            </w:r>
          </w:p>
        </w:tc>
        <w:tc>
          <w:tcPr>
            <w:tcW w:w="1800" w:type="dxa"/>
            <w:tcBorders>
              <w:top w:val="single" w:sz="8" w:space="0" w:color="auto"/>
            </w:tcBorders>
          </w:tcPr>
          <w:p w14:paraId="3D8938CF" w14:textId="77777777" w:rsidR="00B9111C" w:rsidRDefault="00B9111C" w:rsidP="00640239">
            <w:pPr>
              <w:ind w:left="45"/>
            </w:pPr>
            <w:r>
              <w:t>F</w:t>
            </w:r>
            <w:r w:rsidRPr="00434842">
              <w:rPr>
                <w:vertAlign w:val="subscript"/>
              </w:rPr>
              <w:t>3,160</w:t>
            </w:r>
            <w:r>
              <w:t xml:space="preserve"> = 21.61 </w:t>
            </w:r>
          </w:p>
          <w:p w14:paraId="54552F65" w14:textId="77777777" w:rsidR="00B9111C" w:rsidRDefault="00B9111C" w:rsidP="00640239">
            <w:pPr>
              <w:ind w:left="45"/>
            </w:pPr>
            <w:r w:rsidRPr="005960C6">
              <w:rPr>
                <w:i/>
                <w:iCs/>
              </w:rPr>
              <w:t>P</w:t>
            </w:r>
            <w:r>
              <w:t xml:space="preserve"> &lt; 0.001</w:t>
            </w:r>
          </w:p>
          <w:p w14:paraId="6308197E" w14:textId="77777777" w:rsidR="00B9111C" w:rsidRDefault="00B9111C" w:rsidP="00640239">
            <w:pPr>
              <w:ind w:left="45"/>
            </w:pPr>
            <w:r>
              <w:t>r</w:t>
            </w:r>
            <w:r w:rsidRPr="005960C6">
              <w:rPr>
                <w:vertAlign w:val="superscript"/>
              </w:rPr>
              <w:t>2</w:t>
            </w:r>
            <w:r>
              <w:t xml:space="preserve"> = 0.28</w:t>
            </w:r>
          </w:p>
          <w:p w14:paraId="48C6F4E1" w14:textId="77777777" w:rsidR="00B9111C" w:rsidRPr="00030308" w:rsidRDefault="00B9111C" w:rsidP="00640239">
            <w:pPr>
              <w:ind w:left="45"/>
              <w:rPr>
                <w:sz w:val="10"/>
                <w:szCs w:val="10"/>
              </w:rPr>
            </w:pPr>
          </w:p>
        </w:tc>
      </w:tr>
      <w:tr w:rsidR="00B9111C" w14:paraId="392BF7E0" w14:textId="77777777" w:rsidTr="00640239">
        <w:tc>
          <w:tcPr>
            <w:tcW w:w="1440" w:type="dxa"/>
            <w:vMerge/>
            <w:vAlign w:val="center"/>
          </w:tcPr>
          <w:p w14:paraId="75357439" w14:textId="77777777" w:rsidR="00B9111C" w:rsidRPr="00516EC8" w:rsidRDefault="00B9111C" w:rsidP="00640239"/>
        </w:tc>
        <w:tc>
          <w:tcPr>
            <w:tcW w:w="1260" w:type="dxa"/>
            <w:tcBorders>
              <w:top w:val="nil"/>
              <w:bottom w:val="nil"/>
              <w:right w:val="single" w:sz="8" w:space="0" w:color="auto"/>
            </w:tcBorders>
          </w:tcPr>
          <w:p w14:paraId="1EB898CF" w14:textId="77777777" w:rsidR="00B9111C" w:rsidRPr="00516EC8" w:rsidRDefault="00B9111C" w:rsidP="00640239">
            <w:r w:rsidRPr="00516EC8">
              <w:t>Specialist herbivory</w:t>
            </w:r>
          </w:p>
        </w:tc>
        <w:tc>
          <w:tcPr>
            <w:tcW w:w="1440" w:type="dxa"/>
          </w:tcPr>
          <w:p w14:paraId="2ACAF878" w14:textId="77777777" w:rsidR="00B9111C" w:rsidRDefault="00B9111C" w:rsidP="00640239">
            <w:pPr>
              <w:ind w:left="67"/>
            </w:pPr>
            <w:r>
              <w:t xml:space="preserve">PE = -0.03 ±0.05 </w:t>
            </w:r>
          </w:p>
          <w:p w14:paraId="47AAE112" w14:textId="77777777" w:rsidR="00B9111C" w:rsidRDefault="00B9111C" w:rsidP="00640239">
            <w:pPr>
              <w:ind w:left="67"/>
            </w:pPr>
            <w:r>
              <w:rPr>
                <w:i/>
                <w:iCs/>
              </w:rPr>
              <w:t xml:space="preserve">P </w:t>
            </w:r>
            <w:r w:rsidRPr="00317390">
              <w:t>=</w:t>
            </w:r>
            <w:r>
              <w:rPr>
                <w:i/>
                <w:iCs/>
              </w:rPr>
              <w:t xml:space="preserve"> </w:t>
            </w:r>
            <w:r>
              <w:t>0.53</w:t>
            </w:r>
          </w:p>
          <w:p w14:paraId="01894257" w14:textId="77777777" w:rsidR="00B9111C" w:rsidRPr="002868AD" w:rsidRDefault="00B9111C" w:rsidP="00640239">
            <w:pPr>
              <w:ind w:left="67"/>
              <w:rPr>
                <w:sz w:val="10"/>
                <w:szCs w:val="10"/>
              </w:rPr>
            </w:pPr>
          </w:p>
        </w:tc>
        <w:tc>
          <w:tcPr>
            <w:tcW w:w="1350" w:type="dxa"/>
          </w:tcPr>
          <w:p w14:paraId="09C2AC12" w14:textId="77777777" w:rsidR="00B9111C" w:rsidRDefault="00B9111C" w:rsidP="00640239">
            <w:pPr>
              <w:ind w:left="45"/>
            </w:pPr>
            <w:r>
              <w:t xml:space="preserve">PE = 0.13 ±0.12 </w:t>
            </w:r>
          </w:p>
          <w:p w14:paraId="0C4FE551" w14:textId="77777777" w:rsidR="00B9111C" w:rsidRDefault="00B9111C" w:rsidP="00640239">
            <w:pPr>
              <w:ind w:left="45"/>
            </w:pPr>
            <w:r>
              <w:rPr>
                <w:i/>
                <w:iCs/>
              </w:rPr>
              <w:t xml:space="preserve">P </w:t>
            </w:r>
            <w:r>
              <w:t>=</w:t>
            </w:r>
            <w:r w:rsidRPr="00317390">
              <w:t xml:space="preserve"> 0.</w:t>
            </w:r>
            <w:r>
              <w:t>30</w:t>
            </w:r>
          </w:p>
        </w:tc>
        <w:tc>
          <w:tcPr>
            <w:tcW w:w="1530" w:type="dxa"/>
          </w:tcPr>
          <w:p w14:paraId="701D0AEF" w14:textId="77777777" w:rsidR="00B9111C" w:rsidRDefault="00B9111C" w:rsidP="00640239">
            <w:pPr>
              <w:ind w:left="45"/>
            </w:pPr>
            <w:r>
              <w:t xml:space="preserve">PE = -6.09 ±2.60 </w:t>
            </w:r>
          </w:p>
          <w:p w14:paraId="2539655B" w14:textId="77777777" w:rsidR="00B9111C" w:rsidRDefault="00B9111C" w:rsidP="00640239">
            <w:pPr>
              <w:ind w:left="45"/>
            </w:pPr>
            <w:r>
              <w:rPr>
                <w:i/>
                <w:iCs/>
              </w:rPr>
              <w:t xml:space="preserve">P </w:t>
            </w:r>
            <w:r>
              <w:t>= 0.02</w:t>
            </w:r>
          </w:p>
        </w:tc>
        <w:tc>
          <w:tcPr>
            <w:tcW w:w="1800" w:type="dxa"/>
          </w:tcPr>
          <w:p w14:paraId="25F20CEE" w14:textId="77777777" w:rsidR="00B9111C" w:rsidRDefault="00B9111C" w:rsidP="00640239">
            <w:pPr>
              <w:ind w:left="45"/>
            </w:pPr>
            <w:r>
              <w:t>F</w:t>
            </w:r>
            <w:r w:rsidRPr="00434842">
              <w:rPr>
                <w:vertAlign w:val="subscript"/>
              </w:rPr>
              <w:t>3,160</w:t>
            </w:r>
            <w:r>
              <w:t xml:space="preserve"> = 5.26 </w:t>
            </w:r>
          </w:p>
          <w:p w14:paraId="51E6DB21" w14:textId="77777777" w:rsidR="00B9111C" w:rsidRDefault="00B9111C" w:rsidP="00640239">
            <w:pPr>
              <w:ind w:left="45"/>
            </w:pPr>
            <w:r w:rsidRPr="005960C6">
              <w:rPr>
                <w:i/>
                <w:iCs/>
              </w:rPr>
              <w:t>P</w:t>
            </w:r>
            <w:r>
              <w:t xml:space="preserve"> = 0.002</w:t>
            </w:r>
          </w:p>
          <w:p w14:paraId="20716492" w14:textId="77777777" w:rsidR="00B9111C" w:rsidRDefault="00B9111C" w:rsidP="00640239">
            <w:pPr>
              <w:ind w:left="45"/>
            </w:pPr>
            <w:r>
              <w:t>r</w:t>
            </w:r>
            <w:r w:rsidRPr="005960C6">
              <w:rPr>
                <w:vertAlign w:val="superscript"/>
              </w:rPr>
              <w:t>2</w:t>
            </w:r>
            <w:r>
              <w:t xml:space="preserve"> = 0.07</w:t>
            </w:r>
          </w:p>
        </w:tc>
      </w:tr>
      <w:tr w:rsidR="00B9111C" w14:paraId="5A643B61" w14:textId="77777777" w:rsidTr="00640239">
        <w:tc>
          <w:tcPr>
            <w:tcW w:w="1440" w:type="dxa"/>
            <w:vMerge w:val="restart"/>
            <w:vAlign w:val="center"/>
          </w:tcPr>
          <w:p w14:paraId="66D1271C" w14:textId="77777777" w:rsidR="00B9111C" w:rsidRPr="00516EC8" w:rsidRDefault="00B9111C" w:rsidP="00640239">
            <w:r>
              <w:t>Population level</w:t>
            </w:r>
            <w:r w:rsidRPr="00516EC8">
              <w:t xml:space="preserve"> 80</w:t>
            </w:r>
            <w:r w:rsidRPr="00516EC8">
              <w:rPr>
                <w:vertAlign w:val="superscript"/>
              </w:rPr>
              <w:t>th</w:t>
            </w:r>
            <w:r w:rsidRPr="00516EC8">
              <w:t xml:space="preserve"> quantile</w:t>
            </w:r>
          </w:p>
          <w:p w14:paraId="00D65C1B" w14:textId="77777777" w:rsidR="00B9111C" w:rsidRPr="00516EC8" w:rsidRDefault="00B9111C" w:rsidP="00640239">
            <w:r w:rsidRPr="00516EC8">
              <w:t xml:space="preserve"> </w:t>
            </w:r>
          </w:p>
        </w:tc>
        <w:tc>
          <w:tcPr>
            <w:tcW w:w="1260" w:type="dxa"/>
            <w:tcBorders>
              <w:top w:val="nil"/>
              <w:bottom w:val="nil"/>
              <w:right w:val="single" w:sz="8" w:space="0" w:color="auto"/>
            </w:tcBorders>
          </w:tcPr>
          <w:p w14:paraId="3A981FBF" w14:textId="77777777" w:rsidR="00B9111C" w:rsidRPr="00516EC8" w:rsidRDefault="00B9111C" w:rsidP="00640239">
            <w:r w:rsidRPr="00516EC8">
              <w:t>Generalist herbivory</w:t>
            </w:r>
          </w:p>
        </w:tc>
        <w:tc>
          <w:tcPr>
            <w:tcW w:w="1440" w:type="dxa"/>
          </w:tcPr>
          <w:p w14:paraId="7906B51B" w14:textId="77777777" w:rsidR="00B9111C" w:rsidRDefault="00B9111C" w:rsidP="00640239">
            <w:pPr>
              <w:ind w:left="67"/>
            </w:pPr>
            <w:r>
              <w:t xml:space="preserve">PE = 0.04 ±0.009 </w:t>
            </w:r>
          </w:p>
          <w:p w14:paraId="115EC67F" w14:textId="77777777" w:rsidR="00B9111C" w:rsidRDefault="00B9111C" w:rsidP="00640239">
            <w:pPr>
              <w:ind w:left="67"/>
            </w:pPr>
            <w:r>
              <w:rPr>
                <w:i/>
                <w:iCs/>
              </w:rPr>
              <w:t xml:space="preserve">P </w:t>
            </w:r>
            <w:r>
              <w:t>&lt; 0.001</w:t>
            </w:r>
          </w:p>
        </w:tc>
        <w:tc>
          <w:tcPr>
            <w:tcW w:w="1350" w:type="dxa"/>
          </w:tcPr>
          <w:p w14:paraId="7BF1A902" w14:textId="77777777" w:rsidR="00B9111C" w:rsidRDefault="00B9111C" w:rsidP="00640239">
            <w:pPr>
              <w:ind w:left="45"/>
            </w:pPr>
            <w:r>
              <w:t xml:space="preserve">PE = 0.11 ±0.02 </w:t>
            </w:r>
          </w:p>
          <w:p w14:paraId="00EDBEBF" w14:textId="77777777" w:rsidR="00B9111C" w:rsidRDefault="00B9111C" w:rsidP="00640239">
            <w:pPr>
              <w:ind w:left="45"/>
            </w:pPr>
            <w:r>
              <w:rPr>
                <w:i/>
                <w:iCs/>
              </w:rPr>
              <w:t xml:space="preserve">P </w:t>
            </w:r>
            <w:r>
              <w:t>&lt; 0.001</w:t>
            </w:r>
          </w:p>
        </w:tc>
        <w:tc>
          <w:tcPr>
            <w:tcW w:w="1530" w:type="dxa"/>
          </w:tcPr>
          <w:p w14:paraId="3BBB532B" w14:textId="77777777" w:rsidR="00B9111C" w:rsidRDefault="00B9111C" w:rsidP="00640239">
            <w:pPr>
              <w:ind w:left="45"/>
            </w:pPr>
            <w:r>
              <w:t xml:space="preserve">PE = -2.42 ±0.44 </w:t>
            </w:r>
          </w:p>
          <w:p w14:paraId="1C7271CA" w14:textId="77777777" w:rsidR="00B9111C" w:rsidRDefault="00B9111C" w:rsidP="00640239">
            <w:pPr>
              <w:ind w:left="45"/>
            </w:pPr>
            <w:r>
              <w:rPr>
                <w:i/>
                <w:iCs/>
              </w:rPr>
              <w:t xml:space="preserve">P </w:t>
            </w:r>
            <w:r>
              <w:t>&lt; 0.001</w:t>
            </w:r>
          </w:p>
        </w:tc>
        <w:tc>
          <w:tcPr>
            <w:tcW w:w="1800" w:type="dxa"/>
          </w:tcPr>
          <w:p w14:paraId="6D84172A" w14:textId="77777777" w:rsidR="00B9111C" w:rsidRDefault="00B9111C" w:rsidP="00640239">
            <w:pPr>
              <w:ind w:left="45"/>
            </w:pPr>
            <w:r>
              <w:t>F</w:t>
            </w:r>
            <w:r w:rsidRPr="00434842">
              <w:rPr>
                <w:vertAlign w:val="subscript"/>
              </w:rPr>
              <w:t>3,</w:t>
            </w:r>
            <w:r>
              <w:rPr>
                <w:vertAlign w:val="subscript"/>
              </w:rPr>
              <w:t>495</w:t>
            </w:r>
            <w:r>
              <w:t xml:space="preserve"> = 19.71</w:t>
            </w:r>
          </w:p>
          <w:p w14:paraId="7F799CB7" w14:textId="77777777" w:rsidR="00B9111C" w:rsidRDefault="00B9111C" w:rsidP="00640239">
            <w:pPr>
              <w:ind w:left="45"/>
            </w:pPr>
            <w:r>
              <w:rPr>
                <w:i/>
                <w:iCs/>
              </w:rPr>
              <w:t xml:space="preserve">P </w:t>
            </w:r>
            <w:r>
              <w:t>&lt; 0.001</w:t>
            </w:r>
          </w:p>
          <w:p w14:paraId="777E1F6C" w14:textId="77777777" w:rsidR="00B9111C" w:rsidRDefault="00B9111C" w:rsidP="00640239">
            <w:pPr>
              <w:ind w:left="45"/>
            </w:pPr>
            <w:r>
              <w:t>r</w:t>
            </w:r>
            <w:r w:rsidRPr="005960C6">
              <w:rPr>
                <w:vertAlign w:val="superscript"/>
              </w:rPr>
              <w:t>2</w:t>
            </w:r>
            <w:r>
              <w:t xml:space="preserve"> = 0.10</w:t>
            </w:r>
          </w:p>
          <w:p w14:paraId="3C8877AF" w14:textId="77777777" w:rsidR="00B9111C" w:rsidRPr="00030308" w:rsidRDefault="00B9111C" w:rsidP="00640239">
            <w:pPr>
              <w:ind w:left="45"/>
              <w:rPr>
                <w:sz w:val="10"/>
                <w:szCs w:val="10"/>
              </w:rPr>
            </w:pPr>
          </w:p>
        </w:tc>
      </w:tr>
      <w:tr w:rsidR="00B9111C" w14:paraId="1197C319" w14:textId="77777777" w:rsidTr="00640239">
        <w:tc>
          <w:tcPr>
            <w:tcW w:w="1440" w:type="dxa"/>
            <w:vMerge/>
          </w:tcPr>
          <w:p w14:paraId="5246EB07" w14:textId="77777777" w:rsidR="00B9111C" w:rsidRPr="00516EC8" w:rsidRDefault="00B9111C" w:rsidP="00640239"/>
        </w:tc>
        <w:tc>
          <w:tcPr>
            <w:tcW w:w="1260" w:type="dxa"/>
            <w:tcBorders>
              <w:top w:val="nil"/>
              <w:bottom w:val="single" w:sz="12" w:space="0" w:color="auto"/>
              <w:right w:val="single" w:sz="8" w:space="0" w:color="auto"/>
            </w:tcBorders>
          </w:tcPr>
          <w:p w14:paraId="05B34FE0" w14:textId="77777777" w:rsidR="00B9111C" w:rsidRPr="00516EC8" w:rsidRDefault="00B9111C" w:rsidP="00640239">
            <w:r w:rsidRPr="00516EC8">
              <w:t>Specialist herbivory</w:t>
            </w:r>
          </w:p>
        </w:tc>
        <w:tc>
          <w:tcPr>
            <w:tcW w:w="1440" w:type="dxa"/>
          </w:tcPr>
          <w:p w14:paraId="4B0C002B" w14:textId="77777777" w:rsidR="00B9111C" w:rsidRDefault="00B9111C" w:rsidP="00640239">
            <w:pPr>
              <w:ind w:left="67"/>
            </w:pPr>
            <w:r>
              <w:t xml:space="preserve">PE = -0.08 ±0.05 </w:t>
            </w:r>
          </w:p>
          <w:p w14:paraId="266F4984" w14:textId="77777777" w:rsidR="00B9111C" w:rsidRDefault="00B9111C" w:rsidP="00640239">
            <w:pPr>
              <w:ind w:left="67"/>
            </w:pPr>
            <w:r>
              <w:rPr>
                <w:i/>
                <w:iCs/>
              </w:rPr>
              <w:t xml:space="preserve">P </w:t>
            </w:r>
            <w:r w:rsidRPr="00317390">
              <w:t>=</w:t>
            </w:r>
            <w:r>
              <w:rPr>
                <w:i/>
                <w:iCs/>
              </w:rPr>
              <w:t xml:space="preserve"> </w:t>
            </w:r>
            <w:r>
              <w:t>0.11</w:t>
            </w:r>
          </w:p>
        </w:tc>
        <w:tc>
          <w:tcPr>
            <w:tcW w:w="1350" w:type="dxa"/>
          </w:tcPr>
          <w:p w14:paraId="166402E8" w14:textId="77777777" w:rsidR="00B9111C" w:rsidRDefault="00B9111C" w:rsidP="00640239">
            <w:pPr>
              <w:ind w:left="45"/>
            </w:pPr>
            <w:r>
              <w:t xml:space="preserve">PE = 0.10 ±0.11 </w:t>
            </w:r>
          </w:p>
          <w:p w14:paraId="15D0295E" w14:textId="77777777" w:rsidR="00B9111C" w:rsidRDefault="00B9111C" w:rsidP="00640239">
            <w:pPr>
              <w:ind w:left="45"/>
            </w:pPr>
            <w:r>
              <w:rPr>
                <w:i/>
                <w:iCs/>
              </w:rPr>
              <w:t xml:space="preserve">P </w:t>
            </w:r>
            <w:r>
              <w:t>= 0.40</w:t>
            </w:r>
          </w:p>
        </w:tc>
        <w:tc>
          <w:tcPr>
            <w:tcW w:w="1530" w:type="dxa"/>
          </w:tcPr>
          <w:p w14:paraId="6DCFBFA1" w14:textId="77777777" w:rsidR="00B9111C" w:rsidRDefault="00B9111C" w:rsidP="00640239">
            <w:pPr>
              <w:ind w:left="45"/>
            </w:pPr>
            <w:r>
              <w:t xml:space="preserve">PE = -2.38 ±2.44 </w:t>
            </w:r>
          </w:p>
          <w:p w14:paraId="55F78470" w14:textId="77777777" w:rsidR="00B9111C" w:rsidRDefault="00B9111C" w:rsidP="00640239">
            <w:pPr>
              <w:ind w:left="45"/>
            </w:pPr>
            <w:r>
              <w:rPr>
                <w:i/>
                <w:iCs/>
              </w:rPr>
              <w:t xml:space="preserve">P </w:t>
            </w:r>
            <w:r>
              <w:t>= 0.33</w:t>
            </w:r>
          </w:p>
        </w:tc>
        <w:tc>
          <w:tcPr>
            <w:tcW w:w="1800" w:type="dxa"/>
          </w:tcPr>
          <w:p w14:paraId="13A0ADC2" w14:textId="77777777" w:rsidR="00B9111C" w:rsidRDefault="00B9111C" w:rsidP="00640239">
            <w:pPr>
              <w:ind w:left="45"/>
            </w:pPr>
            <w:r>
              <w:t>F</w:t>
            </w:r>
            <w:r w:rsidRPr="00434842">
              <w:rPr>
                <w:vertAlign w:val="subscript"/>
              </w:rPr>
              <w:t>3,</w:t>
            </w:r>
            <w:r>
              <w:rPr>
                <w:vertAlign w:val="subscript"/>
              </w:rPr>
              <w:t>495</w:t>
            </w:r>
            <w:r>
              <w:t xml:space="preserve"> = 3.44 </w:t>
            </w:r>
          </w:p>
          <w:p w14:paraId="1636A2A0" w14:textId="77777777" w:rsidR="00B9111C" w:rsidRDefault="00B9111C" w:rsidP="00640239">
            <w:pPr>
              <w:ind w:left="45"/>
            </w:pPr>
            <w:r w:rsidRPr="005960C6">
              <w:rPr>
                <w:i/>
                <w:iCs/>
              </w:rPr>
              <w:t>P</w:t>
            </w:r>
            <w:r>
              <w:t xml:space="preserve"> = 0.02</w:t>
            </w:r>
          </w:p>
          <w:p w14:paraId="4909A1FA" w14:textId="77777777" w:rsidR="00B9111C" w:rsidRDefault="00B9111C" w:rsidP="00640239">
            <w:pPr>
              <w:ind w:left="45"/>
            </w:pPr>
            <w:r>
              <w:t>r</w:t>
            </w:r>
            <w:r w:rsidRPr="005960C6">
              <w:rPr>
                <w:vertAlign w:val="superscript"/>
              </w:rPr>
              <w:t>2</w:t>
            </w:r>
            <w:r>
              <w:t xml:space="preserve"> = 0.01</w:t>
            </w:r>
          </w:p>
        </w:tc>
      </w:tr>
    </w:tbl>
    <w:p w14:paraId="68AAB1CD" w14:textId="05C00C95" w:rsidR="00EC2317" w:rsidRDefault="00B9111C">
      <w:pPr>
        <w:rPr>
          <w:b/>
          <w:bCs/>
        </w:rPr>
      </w:pPr>
      <w:r>
        <w:rPr>
          <w:b/>
          <w:bCs/>
        </w:rPr>
        <w:br w:type="page"/>
      </w:r>
    </w:p>
    <w:p w14:paraId="36567C5D" w14:textId="542A4198" w:rsidR="00E27AF9" w:rsidRDefault="00E27AF9" w:rsidP="00E27AF9">
      <w:pPr>
        <w:spacing w:line="480" w:lineRule="auto"/>
      </w:pPr>
      <w:r w:rsidRPr="00E27AF9">
        <w:rPr>
          <w:b/>
          <w:bCs/>
        </w:rPr>
        <w:lastRenderedPageBreak/>
        <w:t>Fig. 1.</w:t>
      </w:r>
      <w:r w:rsidRPr="00E27AF9">
        <w:t xml:space="preserve">  Map of 1</w:t>
      </w:r>
      <w:r w:rsidR="00755DA1">
        <w:t>6</w:t>
      </w:r>
      <w:r w:rsidRPr="00E27AF9">
        <w:t xml:space="preserve"> study sites spanning 44° latitude from 20 °N in México to 24 °S</w:t>
      </w:r>
      <w:r w:rsidR="00841DAB">
        <w:t xml:space="preserve"> and examples of two study plots from the </w:t>
      </w:r>
      <w:proofErr w:type="spellStart"/>
      <w:r w:rsidR="00841DAB">
        <w:t>Reserva</w:t>
      </w:r>
      <w:proofErr w:type="spellEnd"/>
      <w:r w:rsidR="00841DAB">
        <w:t xml:space="preserve"> Adolfo </w:t>
      </w:r>
      <w:proofErr w:type="spellStart"/>
      <w:r w:rsidR="00841DAB">
        <w:t>Ducke</w:t>
      </w:r>
      <w:proofErr w:type="spellEnd"/>
    </w:p>
    <w:p w14:paraId="5C13D583" w14:textId="6C26CD79" w:rsidR="00EC2317" w:rsidRDefault="00EC2317" w:rsidP="00EC2317">
      <w:pPr>
        <w:pStyle w:val="NoSpacing"/>
        <w:spacing w:line="480" w:lineRule="auto"/>
      </w:pPr>
      <w:r w:rsidRPr="000F6929">
        <w:rPr>
          <w:b/>
          <w:bCs/>
        </w:rPr>
        <w:t xml:space="preserve">Fig. </w:t>
      </w:r>
      <w:r w:rsidR="00E27AF9">
        <w:rPr>
          <w:b/>
          <w:bCs/>
        </w:rPr>
        <w:t>2</w:t>
      </w:r>
      <w:r w:rsidRPr="000F6929">
        <w:rPr>
          <w:b/>
          <w:bCs/>
        </w:rPr>
        <w:t>.</w:t>
      </w:r>
      <w:r>
        <w:t xml:space="preserve">  </w:t>
      </w:r>
      <w:r w:rsidR="00D64FAE">
        <w:t>Bayesian s</w:t>
      </w:r>
      <w:r>
        <w:t>tructural equation model describing the distribution of generalist and specialist herbivory across 164 plots in 16 forests.  Blue arrow</w:t>
      </w:r>
      <w:r w:rsidR="00454658">
        <w:t>s</w:t>
      </w:r>
      <w:r>
        <w:t xml:space="preserve"> </w:t>
      </w:r>
      <w:r w:rsidR="00454658">
        <w:t>indicate</w:t>
      </w:r>
      <w:r>
        <w:t xml:space="preserve"> positive causal relationships; red circles </w:t>
      </w:r>
      <w:r w:rsidR="00454658">
        <w:t>show</w:t>
      </w:r>
      <w:r>
        <w:t xml:space="preserve"> negative causal relationships</w:t>
      </w:r>
      <w:r w:rsidR="00D64FAE">
        <w:t>; none of the Bayesian 95% equal-tailed credible intervals included zero.</w:t>
      </w:r>
      <w:r>
        <w:t xml:space="preserve">  Black double</w:t>
      </w:r>
      <w:r w:rsidR="00454658">
        <w:t>-</w:t>
      </w:r>
      <w:r>
        <w:t>headed arrows indicate a positive correlation, and grey double</w:t>
      </w:r>
      <w:r w:rsidR="00454658">
        <w:t>-</w:t>
      </w:r>
      <w:r>
        <w:t xml:space="preserve">headed arrows indicate a correlation in which the Bayesian 95% equal-tailed credible intervals </w:t>
      </w:r>
      <w:r w:rsidR="00D64FAE">
        <w:t>included</w:t>
      </w:r>
      <w:r>
        <w:t xml:space="preserve"> zero.  </w:t>
      </w:r>
      <w:r w:rsidRPr="00FC3FDF">
        <w:t>Values shown are Bayesian posteriors</w:t>
      </w:r>
      <w:r>
        <w:t>.  The thickness of the lines indicates the relative strength of the relationships</w:t>
      </w:r>
    </w:p>
    <w:p w14:paraId="3EF0558A" w14:textId="3E16D2DD" w:rsidR="00C93C40" w:rsidRPr="00BF4499" w:rsidRDefault="00EC2317" w:rsidP="002214EA">
      <w:pPr>
        <w:spacing w:line="480" w:lineRule="auto"/>
        <w:rPr>
          <w:b/>
          <w:bCs/>
        </w:rPr>
      </w:pPr>
      <w:r>
        <w:rPr>
          <w:b/>
          <w:bCs/>
        </w:rPr>
        <w:t xml:space="preserve">Fig. </w:t>
      </w:r>
      <w:r w:rsidR="00E27AF9">
        <w:rPr>
          <w:b/>
          <w:bCs/>
        </w:rPr>
        <w:t>3</w:t>
      </w:r>
      <w:r>
        <w:rPr>
          <w:b/>
          <w:bCs/>
        </w:rPr>
        <w:t>.</w:t>
      </w:r>
      <w:r>
        <w:t xml:space="preserve">  </w:t>
      </w:r>
      <w:r w:rsidRPr="00E37C06">
        <w:t xml:space="preserve">Site level SEM </w:t>
      </w:r>
      <w:r>
        <w:t>path coefficients</w:t>
      </w:r>
      <w:r w:rsidRPr="00E37C06">
        <w:t xml:space="preserve"> describing th</w:t>
      </w:r>
      <w:r>
        <w:t>e 80</w:t>
      </w:r>
      <w:r w:rsidRPr="00E37C06">
        <w:rPr>
          <w:vertAlign w:val="superscript"/>
        </w:rPr>
        <w:t>th</w:t>
      </w:r>
      <w:r>
        <w:t xml:space="preserve"> quantiles of specialist and generalist herbivory.  Distributions of variables are shown in the table margins </w:t>
      </w:r>
      <w:r w:rsidRPr="00E273B9">
        <w:t>across sites from N to S (</w:t>
      </w:r>
      <w:r>
        <w:t>México</w:t>
      </w:r>
      <w:r w:rsidRPr="00E273B9">
        <w:t>, Costa Rica, Ecuador, Perú, Amazonas, Serra Bonita, Mogi</w:t>
      </w:r>
      <w:r w:rsidRPr="00BB44D9">
        <w:t>-</w:t>
      </w:r>
      <w:proofErr w:type="spellStart"/>
      <w:r w:rsidRPr="00BB44D9">
        <w:t>Guaçu</w:t>
      </w:r>
      <w:proofErr w:type="spellEnd"/>
      <w:r w:rsidRPr="00BB44D9">
        <w:t>, and the central-southern Mata Atlântica)</w:t>
      </w:r>
      <w:r>
        <w:t>.  R</w:t>
      </w:r>
      <w:r w:rsidRPr="00E37C06">
        <w:rPr>
          <w:vertAlign w:val="superscript"/>
        </w:rPr>
        <w:t>2</w:t>
      </w:r>
      <w:r>
        <w:t xml:space="preserve"> values are the amount of herbivory explained by the models.  Grey values were non-significant but were included in the best fit models.  Relationships between other variables in the models are in Supporting Information Table 2</w:t>
      </w:r>
      <w:r w:rsidR="00C93C40">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6"/>
        <w:gridCol w:w="3319"/>
      </w:tblGrid>
      <w:tr w:rsidR="00841DAB" w14:paraId="5467E6E1" w14:textId="77777777" w:rsidTr="00841DAB">
        <w:trPr>
          <w:jc w:val="center"/>
        </w:trPr>
        <w:tc>
          <w:tcPr>
            <w:tcW w:w="5496" w:type="dxa"/>
          </w:tcPr>
          <w:p w14:paraId="59A9E7A9" w14:textId="544B523A" w:rsidR="00841DAB" w:rsidRDefault="00841DAB" w:rsidP="00E27AF9">
            <w:pPr>
              <w:spacing w:line="480" w:lineRule="auto"/>
              <w:rPr>
                <w:b/>
                <w:bCs/>
              </w:rPr>
            </w:pPr>
            <w:r w:rsidRPr="00E27AF9">
              <w:rPr>
                <w:noProof/>
              </w:rPr>
              <w:lastRenderedPageBreak/>
              <w:drawing>
                <wp:inline distT="0" distB="0" distL="0" distR="0" wp14:anchorId="197CE2CC" wp14:editId="67157C95">
                  <wp:extent cx="3353023" cy="2981325"/>
                  <wp:effectExtent l="0" t="0" r="0" b="0"/>
                  <wp:docPr id="13" name="Picture 12">
                    <a:extLst xmlns:a="http://schemas.openxmlformats.org/drawingml/2006/main">
                      <a:ext uri="{FF2B5EF4-FFF2-40B4-BE49-F238E27FC236}">
                        <a16:creationId xmlns:a16="http://schemas.microsoft.com/office/drawing/2014/main" id="{09E7D45B-AFF4-4C6E-85DB-F49B0E1ECE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09E7D45B-AFF4-4C6E-85DB-F49B0E1ECE90}"/>
                              </a:ext>
                            </a:extLst>
                          </pic:cNvPr>
                          <pic:cNvPicPr>
                            <a:picLocks noChangeAspect="1"/>
                          </pic:cNvPicPr>
                        </pic:nvPicPr>
                        <pic:blipFill rotWithShape="1">
                          <a:blip r:embed="rId66" cstate="screen">
                            <a:extLst>
                              <a:ext uri="{28A0092B-C50C-407E-A947-70E740481C1C}">
                                <a14:useLocalDpi xmlns:a14="http://schemas.microsoft.com/office/drawing/2010/main"/>
                              </a:ext>
                            </a:extLst>
                          </a:blip>
                          <a:srcRect/>
                          <a:stretch/>
                        </pic:blipFill>
                        <pic:spPr>
                          <a:xfrm>
                            <a:off x="0" y="0"/>
                            <a:ext cx="3361808" cy="2989136"/>
                          </a:xfrm>
                          <a:prstGeom prst="rect">
                            <a:avLst/>
                          </a:prstGeom>
                        </pic:spPr>
                      </pic:pic>
                    </a:graphicData>
                  </a:graphic>
                </wp:inline>
              </w:drawing>
            </w:r>
          </w:p>
        </w:tc>
        <w:tc>
          <w:tcPr>
            <w:tcW w:w="3319" w:type="dxa"/>
          </w:tcPr>
          <w:p w14:paraId="2B80A9AF" w14:textId="77777777" w:rsidR="00841DAB" w:rsidRDefault="00841DAB" w:rsidP="00841DAB">
            <w:pPr>
              <w:rPr>
                <w:b/>
                <w:bCs/>
              </w:rPr>
            </w:pPr>
            <w:r>
              <w:rPr>
                <w:noProof/>
              </w:rPr>
              <w:drawing>
                <wp:inline distT="0" distB="0" distL="0" distR="0" wp14:anchorId="35BDAB55" wp14:editId="734BD3B8">
                  <wp:extent cx="1892300" cy="1419225"/>
                  <wp:effectExtent l="0" t="0" r="0" b="9525"/>
                  <wp:docPr id="17093682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368216" name=""/>
                          <pic:cNvPicPr/>
                        </pic:nvPicPr>
                        <pic:blipFill>
                          <a:blip r:embed="rId67" cstate="print">
                            <a:extLst>
                              <a:ext uri="{28A0092B-C50C-407E-A947-70E740481C1C}">
                                <a14:useLocalDpi xmlns:a14="http://schemas.microsoft.com/office/drawing/2010/main"/>
                              </a:ext>
                            </a:extLst>
                          </a:blip>
                          <a:stretch>
                            <a:fillRect/>
                          </a:stretch>
                        </pic:blipFill>
                        <pic:spPr>
                          <a:xfrm>
                            <a:off x="0" y="0"/>
                            <a:ext cx="1893372" cy="1420029"/>
                          </a:xfrm>
                          <a:prstGeom prst="rect">
                            <a:avLst/>
                          </a:prstGeom>
                        </pic:spPr>
                      </pic:pic>
                    </a:graphicData>
                  </a:graphic>
                </wp:inline>
              </w:drawing>
            </w:r>
          </w:p>
          <w:p w14:paraId="369C0ECF" w14:textId="77777777" w:rsidR="00841DAB" w:rsidRPr="00841DAB" w:rsidRDefault="00841DAB" w:rsidP="00841DAB">
            <w:pPr>
              <w:jc w:val="center"/>
              <w:rPr>
                <w:b/>
                <w:bCs/>
                <w:sz w:val="18"/>
                <w:szCs w:val="18"/>
              </w:rPr>
            </w:pPr>
          </w:p>
          <w:p w14:paraId="66292B1D" w14:textId="65A932C6" w:rsidR="00841DAB" w:rsidRDefault="00841DAB" w:rsidP="00E27AF9">
            <w:pPr>
              <w:spacing w:line="480" w:lineRule="auto"/>
              <w:rPr>
                <w:b/>
                <w:bCs/>
              </w:rPr>
            </w:pPr>
            <w:r>
              <w:rPr>
                <w:noProof/>
              </w:rPr>
              <w:drawing>
                <wp:inline distT="0" distB="0" distL="0" distR="0" wp14:anchorId="270DC773" wp14:editId="42F0E433">
                  <wp:extent cx="1892300" cy="1419225"/>
                  <wp:effectExtent l="0" t="0" r="0" b="9525"/>
                  <wp:docPr id="385272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272102" name=""/>
                          <pic:cNvPicPr/>
                        </pic:nvPicPr>
                        <pic:blipFill>
                          <a:blip r:embed="rId68" cstate="print">
                            <a:extLst>
                              <a:ext uri="{28A0092B-C50C-407E-A947-70E740481C1C}">
                                <a14:useLocalDpi xmlns:a14="http://schemas.microsoft.com/office/drawing/2010/main"/>
                              </a:ext>
                            </a:extLst>
                          </a:blip>
                          <a:stretch>
                            <a:fillRect/>
                          </a:stretch>
                        </pic:blipFill>
                        <pic:spPr>
                          <a:xfrm>
                            <a:off x="0" y="0"/>
                            <a:ext cx="1894917" cy="1421188"/>
                          </a:xfrm>
                          <a:prstGeom prst="rect">
                            <a:avLst/>
                          </a:prstGeom>
                        </pic:spPr>
                      </pic:pic>
                    </a:graphicData>
                  </a:graphic>
                </wp:inline>
              </w:drawing>
            </w:r>
          </w:p>
        </w:tc>
      </w:tr>
    </w:tbl>
    <w:p w14:paraId="433BDAA2" w14:textId="77777777" w:rsidR="00841DAB" w:rsidRDefault="00841DAB" w:rsidP="00E27AF9">
      <w:pPr>
        <w:spacing w:line="480" w:lineRule="auto"/>
        <w:rPr>
          <w:b/>
          <w:bCs/>
        </w:rPr>
      </w:pPr>
    </w:p>
    <w:p w14:paraId="762D78CD" w14:textId="5D9F4C38" w:rsidR="00E27AF9" w:rsidRDefault="00E27AF9" w:rsidP="00E27AF9">
      <w:pPr>
        <w:spacing w:line="480" w:lineRule="auto"/>
      </w:pPr>
      <w:r w:rsidRPr="00E27AF9">
        <w:rPr>
          <w:b/>
          <w:bCs/>
        </w:rPr>
        <w:t>Fig. 1.</w:t>
      </w:r>
      <w:r w:rsidRPr="00E27AF9">
        <w:t xml:space="preserve">  </w:t>
      </w:r>
    </w:p>
    <w:p w14:paraId="4DE97B43" w14:textId="77777777" w:rsidR="00E27AF9" w:rsidRDefault="00E27AF9">
      <w:r>
        <w:br w:type="page"/>
      </w:r>
    </w:p>
    <w:p w14:paraId="57D1BAF7" w14:textId="7D8D4D4A" w:rsidR="000F6929" w:rsidRDefault="00745C7D" w:rsidP="002214EA">
      <w:pPr>
        <w:spacing w:line="480" w:lineRule="auto"/>
      </w:pPr>
      <w:r w:rsidRPr="00745C7D">
        <w:lastRenderedPageBreak/>
        <w:drawing>
          <wp:inline distT="0" distB="0" distL="0" distR="0" wp14:anchorId="100B1680" wp14:editId="27DE4DA0">
            <wp:extent cx="5943600" cy="29013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943600" cy="2901315"/>
                    </a:xfrm>
                    <a:prstGeom prst="rect">
                      <a:avLst/>
                    </a:prstGeom>
                    <a:noFill/>
                    <a:ln>
                      <a:noFill/>
                    </a:ln>
                  </pic:spPr>
                </pic:pic>
              </a:graphicData>
            </a:graphic>
          </wp:inline>
        </w:drawing>
      </w:r>
    </w:p>
    <w:p w14:paraId="6059A317" w14:textId="1078FC86" w:rsidR="00EC2317" w:rsidRDefault="000F6929" w:rsidP="00EC2317">
      <w:pPr>
        <w:spacing w:line="480" w:lineRule="auto"/>
      </w:pPr>
      <w:r w:rsidRPr="000F6929">
        <w:rPr>
          <w:b/>
          <w:bCs/>
        </w:rPr>
        <w:t xml:space="preserve">Fig. </w:t>
      </w:r>
      <w:r w:rsidR="00E27AF9">
        <w:rPr>
          <w:b/>
          <w:bCs/>
        </w:rPr>
        <w:t>2</w:t>
      </w:r>
      <w:r w:rsidRPr="000F6929">
        <w:rPr>
          <w:b/>
          <w:bCs/>
        </w:rPr>
        <w:t>.</w:t>
      </w:r>
      <w:r>
        <w:t xml:space="preserve">  </w:t>
      </w:r>
    </w:p>
    <w:p w14:paraId="0F1C118B" w14:textId="77777777" w:rsidR="00EC2317" w:rsidRDefault="00EC2317">
      <w:r>
        <w:br w:type="page"/>
      </w:r>
    </w:p>
    <w:p w14:paraId="53CEE18C" w14:textId="734B52CB" w:rsidR="00372985" w:rsidRDefault="00372985" w:rsidP="005A53BF">
      <w:pPr>
        <w:sectPr w:rsidR="00372985" w:rsidSect="00AC0A03">
          <w:type w:val="continuous"/>
          <w:pgSz w:w="12240" w:h="15840"/>
          <w:pgMar w:top="1440" w:right="1440" w:bottom="1440" w:left="1440" w:header="720" w:footer="720" w:gutter="0"/>
          <w:lnNumType w:countBy="1" w:restart="continuous"/>
          <w:cols w:space="720"/>
          <w:docGrid w:linePitch="360"/>
        </w:sectPr>
      </w:pPr>
    </w:p>
    <w:p w14:paraId="6C8517B1" w14:textId="77777777" w:rsidR="00372985" w:rsidRPr="00E37C06" w:rsidRDefault="00372985" w:rsidP="00372985">
      <w:pPr>
        <w:spacing w:line="480" w:lineRule="auto"/>
      </w:pPr>
      <w:r w:rsidRPr="000C6659">
        <w:rPr>
          <w:noProof/>
        </w:rPr>
        <w:lastRenderedPageBreak/>
        <w:drawing>
          <wp:inline distT="0" distB="0" distL="0" distR="0" wp14:anchorId="73338221" wp14:editId="1A1419D6">
            <wp:extent cx="8229600" cy="50558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229600" cy="5055870"/>
                    </a:xfrm>
                    <a:prstGeom prst="rect">
                      <a:avLst/>
                    </a:prstGeom>
                    <a:noFill/>
                    <a:ln>
                      <a:noFill/>
                    </a:ln>
                  </pic:spPr>
                </pic:pic>
              </a:graphicData>
            </a:graphic>
          </wp:inline>
        </w:drawing>
      </w:r>
    </w:p>
    <w:p w14:paraId="184C778D" w14:textId="6DE3F369" w:rsidR="00791F81" w:rsidRPr="002125F2" w:rsidRDefault="00372985" w:rsidP="003D23CE">
      <w:pPr>
        <w:spacing w:line="480" w:lineRule="auto"/>
        <w:rPr>
          <w:b/>
          <w:bCs/>
        </w:rPr>
      </w:pPr>
      <w:r>
        <w:rPr>
          <w:b/>
          <w:bCs/>
        </w:rPr>
        <w:t xml:space="preserve">Fig. </w:t>
      </w:r>
      <w:r w:rsidR="00E27AF9">
        <w:rPr>
          <w:b/>
          <w:bCs/>
        </w:rPr>
        <w:t>3</w:t>
      </w:r>
      <w:r>
        <w:rPr>
          <w:b/>
          <w:bCs/>
        </w:rPr>
        <w:t>.</w:t>
      </w:r>
      <w:r>
        <w:t xml:space="preserve">  </w:t>
      </w:r>
    </w:p>
    <w:sectPr w:rsidR="00791F81" w:rsidRPr="002125F2" w:rsidSect="00AC0A03">
      <w:type w:val="continuous"/>
      <w:pgSz w:w="15840" w:h="12240" w:orient="landscape"/>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3050" w14:textId="77777777" w:rsidR="00951E07" w:rsidRDefault="00951E07" w:rsidP="003F0404">
      <w:pPr>
        <w:spacing w:after="0" w:line="240" w:lineRule="auto"/>
      </w:pPr>
      <w:r>
        <w:separator/>
      </w:r>
    </w:p>
  </w:endnote>
  <w:endnote w:type="continuationSeparator" w:id="0">
    <w:p w14:paraId="175088A4" w14:textId="77777777" w:rsidR="00951E07" w:rsidRDefault="00951E07" w:rsidP="003F0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6118965"/>
      <w:docPartObj>
        <w:docPartGallery w:val="Page Numbers (Bottom of Page)"/>
        <w:docPartUnique/>
      </w:docPartObj>
    </w:sdtPr>
    <w:sdtEndPr>
      <w:rPr>
        <w:noProof/>
      </w:rPr>
    </w:sdtEndPr>
    <w:sdtContent>
      <w:p w14:paraId="46B1706D" w14:textId="5244737B" w:rsidR="00830A1B" w:rsidRDefault="00830A1B">
        <w:pPr>
          <w:pStyle w:val="Footer"/>
          <w:jc w:val="right"/>
        </w:pPr>
        <w:r>
          <w:fldChar w:fldCharType="begin"/>
        </w:r>
        <w:r>
          <w:instrText xml:space="preserve"> PAGE   \* MERGEFORMAT </w:instrText>
        </w:r>
        <w:r>
          <w:fldChar w:fldCharType="separate"/>
        </w:r>
        <w:r>
          <w:rPr>
            <w:noProof/>
          </w:rPr>
          <w:t>31</w:t>
        </w:r>
        <w:r>
          <w:rPr>
            <w:noProof/>
          </w:rPr>
          <w:fldChar w:fldCharType="end"/>
        </w:r>
      </w:p>
    </w:sdtContent>
  </w:sdt>
  <w:p w14:paraId="60EC9CD8" w14:textId="77777777" w:rsidR="00830A1B" w:rsidRDefault="00830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F9B94" w14:textId="77777777" w:rsidR="00951E07" w:rsidRDefault="00951E07" w:rsidP="003F0404">
      <w:pPr>
        <w:spacing w:after="0" w:line="240" w:lineRule="auto"/>
      </w:pPr>
      <w:r>
        <w:separator/>
      </w:r>
    </w:p>
  </w:footnote>
  <w:footnote w:type="continuationSeparator" w:id="0">
    <w:p w14:paraId="41E1AB59" w14:textId="77777777" w:rsidR="00951E07" w:rsidRDefault="00951E07" w:rsidP="003F04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65F34"/>
    <w:multiLevelType w:val="hybridMultilevel"/>
    <w:tmpl w:val="9AF2DFC2"/>
    <w:lvl w:ilvl="0" w:tplc="127A20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C636F97"/>
    <w:multiLevelType w:val="hybridMultilevel"/>
    <w:tmpl w:val="602CE876"/>
    <w:lvl w:ilvl="0" w:tplc="C7C67B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247DD"/>
    <w:multiLevelType w:val="hybridMultilevel"/>
    <w:tmpl w:val="631ED1A2"/>
    <w:lvl w:ilvl="0" w:tplc="81A413B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02EC0"/>
    <w:multiLevelType w:val="hybridMultilevel"/>
    <w:tmpl w:val="3876960A"/>
    <w:lvl w:ilvl="0" w:tplc="938A7A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6E87405"/>
    <w:multiLevelType w:val="hybridMultilevel"/>
    <w:tmpl w:val="86F4DFDA"/>
    <w:lvl w:ilvl="0" w:tplc="F23449B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8BE6291"/>
    <w:multiLevelType w:val="hybridMultilevel"/>
    <w:tmpl w:val="E8D28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840C4"/>
    <w:multiLevelType w:val="hybridMultilevel"/>
    <w:tmpl w:val="1D187FB2"/>
    <w:lvl w:ilvl="0" w:tplc="8EBC34D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7AD2406"/>
    <w:multiLevelType w:val="hybridMultilevel"/>
    <w:tmpl w:val="1E3C3D94"/>
    <w:lvl w:ilvl="0" w:tplc="E7BE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A305431"/>
    <w:multiLevelType w:val="hybridMultilevel"/>
    <w:tmpl w:val="42D2F020"/>
    <w:lvl w:ilvl="0" w:tplc="305A4D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244F14"/>
    <w:multiLevelType w:val="hybridMultilevel"/>
    <w:tmpl w:val="3768EB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32586C"/>
    <w:multiLevelType w:val="hybridMultilevel"/>
    <w:tmpl w:val="3768EB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202643"/>
    <w:multiLevelType w:val="hybridMultilevel"/>
    <w:tmpl w:val="3768EB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DE4F2A"/>
    <w:multiLevelType w:val="hybridMultilevel"/>
    <w:tmpl w:val="FE7EAD24"/>
    <w:lvl w:ilvl="0" w:tplc="61161E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91549997">
    <w:abstractNumId w:val="1"/>
  </w:num>
  <w:num w:numId="2" w16cid:durableId="815688747">
    <w:abstractNumId w:val="3"/>
  </w:num>
  <w:num w:numId="3" w16cid:durableId="445927386">
    <w:abstractNumId w:val="12"/>
  </w:num>
  <w:num w:numId="4" w16cid:durableId="1228805857">
    <w:abstractNumId w:val="0"/>
  </w:num>
  <w:num w:numId="5" w16cid:durableId="1598829190">
    <w:abstractNumId w:val="10"/>
  </w:num>
  <w:num w:numId="6" w16cid:durableId="988051524">
    <w:abstractNumId w:val="8"/>
  </w:num>
  <w:num w:numId="7" w16cid:durableId="1753427572">
    <w:abstractNumId w:val="4"/>
  </w:num>
  <w:num w:numId="8" w16cid:durableId="1965387718">
    <w:abstractNumId w:val="6"/>
  </w:num>
  <w:num w:numId="9" w16cid:durableId="263156368">
    <w:abstractNumId w:val="5"/>
  </w:num>
  <w:num w:numId="10" w16cid:durableId="862862838">
    <w:abstractNumId w:val="7"/>
  </w:num>
  <w:num w:numId="11" w16cid:durableId="1006057588">
    <w:abstractNumId w:val="9"/>
  </w:num>
  <w:num w:numId="12" w16cid:durableId="169567922">
    <w:abstractNumId w:val="11"/>
  </w:num>
  <w:num w:numId="13" w16cid:durableId="21147392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ra Massad">
    <w15:presenceInfo w15:providerId="None" w15:userId="Tara Mass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MX" w:vendorID="64" w:dllVersion="6" w:nlCheck="1" w:checkStyle="1"/>
  <w:activeWritingStyle w:appName="MSWord" w:lang="en-US" w:vendorID="64" w:dllVersion="6" w:nlCheck="1" w:checkStyle="1"/>
  <w:activeWritingStyle w:appName="MSWord" w:lang="en-US" w:vendorID="64" w:dllVersion="4096" w:nlCheck="1" w:checkStyle="0"/>
  <w:activeWritingStyle w:appName="MSWord" w:lang="es-MX" w:vendorID="64" w:dllVersion="4096" w:nlCheck="1" w:checkStyle="0"/>
  <w:activeWritingStyle w:appName="MSWord" w:lang="en-US" w:vendorID="64" w:dllVersion="0" w:nlCheck="1" w:checkStyle="0"/>
  <w:activeWritingStyle w:appName="MSWord" w:lang="es-MX" w:vendorID="64" w:dllVersion="0" w:nlCheck="1" w:checkStyle="0"/>
  <w:activeWritingStyle w:appName="MSWord" w:lang="es-419" w:vendorID="64" w:dllVersion="4096" w:nlCheck="1" w:checkStyle="0"/>
  <w:activeWritingStyle w:appName="MSWord" w:lang="pt-BR" w:vendorID="64" w:dllVersion="4096" w:nlCheck="1" w:checkStyle="0"/>
  <w:activeWritingStyle w:appName="MSWord" w:lang="pt-BR" w:vendorID="64" w:dllVersion="6" w:nlCheck="1" w:checkStyle="0"/>
  <w:activeWritingStyle w:appName="MSWord" w:lang="pt-BR" w:vendorID="64" w:dllVersion="0" w:nlCheck="1" w:checkStyle="0"/>
  <w:activeWritingStyle w:appName="MSWord" w:lang="es-EC" w:vendorID="64" w:dllVersion="4096" w:nlCheck="1" w:checkStyle="0"/>
  <w:activeWritingStyle w:appName="MSWord" w:lang="es-EC" w:vendorID="64" w:dllVersion="0" w:nlCheck="1" w:checkStyle="0"/>
  <w:activeWritingStyle w:appName="MSWord" w:lang="es-EC" w:vendorID="64" w:dllVersion="6" w:nlCheck="1" w:checkStyle="1"/>
  <w:activeWritingStyle w:appName="MSWord" w:lang="es-419" w:vendorID="64" w:dllVersion="0" w:nlCheck="1" w:checkStyle="0"/>
  <w:activeWritingStyle w:appName="MSWord" w:lang="fr-FR"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776"/>
    <w:rsid w:val="00000759"/>
    <w:rsid w:val="000015A2"/>
    <w:rsid w:val="0000240B"/>
    <w:rsid w:val="00003BBE"/>
    <w:rsid w:val="000050E1"/>
    <w:rsid w:val="00005588"/>
    <w:rsid w:val="000055D2"/>
    <w:rsid w:val="00006044"/>
    <w:rsid w:val="000065CE"/>
    <w:rsid w:val="00010C85"/>
    <w:rsid w:val="00010E94"/>
    <w:rsid w:val="000144CD"/>
    <w:rsid w:val="000154ED"/>
    <w:rsid w:val="00015B44"/>
    <w:rsid w:val="00020C7B"/>
    <w:rsid w:val="000215AA"/>
    <w:rsid w:val="000223BF"/>
    <w:rsid w:val="0002326A"/>
    <w:rsid w:val="000244FF"/>
    <w:rsid w:val="000255DB"/>
    <w:rsid w:val="00030308"/>
    <w:rsid w:val="00030DF6"/>
    <w:rsid w:val="00031A32"/>
    <w:rsid w:val="0003212D"/>
    <w:rsid w:val="000329C4"/>
    <w:rsid w:val="00033896"/>
    <w:rsid w:val="00033A3E"/>
    <w:rsid w:val="000351E8"/>
    <w:rsid w:val="00036187"/>
    <w:rsid w:val="00036298"/>
    <w:rsid w:val="00037F61"/>
    <w:rsid w:val="00040EC4"/>
    <w:rsid w:val="00042237"/>
    <w:rsid w:val="0004363F"/>
    <w:rsid w:val="00043798"/>
    <w:rsid w:val="00044CA9"/>
    <w:rsid w:val="0004583E"/>
    <w:rsid w:val="000468F9"/>
    <w:rsid w:val="000472D8"/>
    <w:rsid w:val="00047902"/>
    <w:rsid w:val="00050619"/>
    <w:rsid w:val="0005282E"/>
    <w:rsid w:val="0005505B"/>
    <w:rsid w:val="00056FC7"/>
    <w:rsid w:val="00061602"/>
    <w:rsid w:val="000626ED"/>
    <w:rsid w:val="00062D2A"/>
    <w:rsid w:val="000631BF"/>
    <w:rsid w:val="00063FC5"/>
    <w:rsid w:val="00064DD0"/>
    <w:rsid w:val="00064EC1"/>
    <w:rsid w:val="0006652C"/>
    <w:rsid w:val="0006688B"/>
    <w:rsid w:val="00066FBB"/>
    <w:rsid w:val="0006750A"/>
    <w:rsid w:val="000676D3"/>
    <w:rsid w:val="00070857"/>
    <w:rsid w:val="000722F8"/>
    <w:rsid w:val="00073190"/>
    <w:rsid w:val="00073B47"/>
    <w:rsid w:val="00074EA1"/>
    <w:rsid w:val="00075039"/>
    <w:rsid w:val="00075C9A"/>
    <w:rsid w:val="0007621A"/>
    <w:rsid w:val="00077C8F"/>
    <w:rsid w:val="000803EA"/>
    <w:rsid w:val="000835AB"/>
    <w:rsid w:val="00083B46"/>
    <w:rsid w:val="00084090"/>
    <w:rsid w:val="00084A2C"/>
    <w:rsid w:val="00086D21"/>
    <w:rsid w:val="0009048C"/>
    <w:rsid w:val="0009089B"/>
    <w:rsid w:val="00090FAF"/>
    <w:rsid w:val="000937E1"/>
    <w:rsid w:val="0009639C"/>
    <w:rsid w:val="000A1062"/>
    <w:rsid w:val="000A2D97"/>
    <w:rsid w:val="000A40C9"/>
    <w:rsid w:val="000A50F6"/>
    <w:rsid w:val="000A7B04"/>
    <w:rsid w:val="000B1F8B"/>
    <w:rsid w:val="000B3395"/>
    <w:rsid w:val="000B420C"/>
    <w:rsid w:val="000B4E0B"/>
    <w:rsid w:val="000B5A11"/>
    <w:rsid w:val="000B79EA"/>
    <w:rsid w:val="000C13C9"/>
    <w:rsid w:val="000C1954"/>
    <w:rsid w:val="000C2E63"/>
    <w:rsid w:val="000C3375"/>
    <w:rsid w:val="000C5C04"/>
    <w:rsid w:val="000C5F55"/>
    <w:rsid w:val="000C6659"/>
    <w:rsid w:val="000D04E9"/>
    <w:rsid w:val="000D1BBE"/>
    <w:rsid w:val="000D44B3"/>
    <w:rsid w:val="000D77E1"/>
    <w:rsid w:val="000E259B"/>
    <w:rsid w:val="000E2B06"/>
    <w:rsid w:val="000E4361"/>
    <w:rsid w:val="000E4689"/>
    <w:rsid w:val="000E4C9E"/>
    <w:rsid w:val="000E6CBC"/>
    <w:rsid w:val="000E7E33"/>
    <w:rsid w:val="000F161E"/>
    <w:rsid w:val="000F4070"/>
    <w:rsid w:val="000F480B"/>
    <w:rsid w:val="000F4BED"/>
    <w:rsid w:val="000F595F"/>
    <w:rsid w:val="000F6929"/>
    <w:rsid w:val="00101EA1"/>
    <w:rsid w:val="00103BE6"/>
    <w:rsid w:val="00106A0F"/>
    <w:rsid w:val="001074FF"/>
    <w:rsid w:val="0010773A"/>
    <w:rsid w:val="00110176"/>
    <w:rsid w:val="00110E55"/>
    <w:rsid w:val="001115E0"/>
    <w:rsid w:val="00113056"/>
    <w:rsid w:val="00114220"/>
    <w:rsid w:val="001144FA"/>
    <w:rsid w:val="00117949"/>
    <w:rsid w:val="001179DB"/>
    <w:rsid w:val="00121840"/>
    <w:rsid w:val="00123F52"/>
    <w:rsid w:val="00127C6B"/>
    <w:rsid w:val="001319D3"/>
    <w:rsid w:val="00131A8B"/>
    <w:rsid w:val="00134E92"/>
    <w:rsid w:val="00135CD7"/>
    <w:rsid w:val="001371D3"/>
    <w:rsid w:val="00141F8C"/>
    <w:rsid w:val="00143277"/>
    <w:rsid w:val="00153B0C"/>
    <w:rsid w:val="00156BF7"/>
    <w:rsid w:val="00156F80"/>
    <w:rsid w:val="00160471"/>
    <w:rsid w:val="0016088E"/>
    <w:rsid w:val="00160D63"/>
    <w:rsid w:val="001649E7"/>
    <w:rsid w:val="001651F4"/>
    <w:rsid w:val="00166D05"/>
    <w:rsid w:val="00171251"/>
    <w:rsid w:val="0017144D"/>
    <w:rsid w:val="00175E2D"/>
    <w:rsid w:val="001765BD"/>
    <w:rsid w:val="001765EB"/>
    <w:rsid w:val="001804E8"/>
    <w:rsid w:val="00180C14"/>
    <w:rsid w:val="00182A6D"/>
    <w:rsid w:val="00183360"/>
    <w:rsid w:val="001862AB"/>
    <w:rsid w:val="001877F9"/>
    <w:rsid w:val="0019256A"/>
    <w:rsid w:val="00194073"/>
    <w:rsid w:val="00194F59"/>
    <w:rsid w:val="00196974"/>
    <w:rsid w:val="001A0740"/>
    <w:rsid w:val="001A3183"/>
    <w:rsid w:val="001A4190"/>
    <w:rsid w:val="001A49C0"/>
    <w:rsid w:val="001A7F52"/>
    <w:rsid w:val="001B06A0"/>
    <w:rsid w:val="001B20B8"/>
    <w:rsid w:val="001B3CBF"/>
    <w:rsid w:val="001B656E"/>
    <w:rsid w:val="001B7614"/>
    <w:rsid w:val="001B7756"/>
    <w:rsid w:val="001C196F"/>
    <w:rsid w:val="001C2091"/>
    <w:rsid w:val="001C3716"/>
    <w:rsid w:val="001C37D0"/>
    <w:rsid w:val="001C624C"/>
    <w:rsid w:val="001C7CA5"/>
    <w:rsid w:val="001D06CA"/>
    <w:rsid w:val="001D13B4"/>
    <w:rsid w:val="001D21DF"/>
    <w:rsid w:val="001D2C5A"/>
    <w:rsid w:val="001D3773"/>
    <w:rsid w:val="001D44D4"/>
    <w:rsid w:val="001D6D8D"/>
    <w:rsid w:val="001D7F35"/>
    <w:rsid w:val="001E0BA6"/>
    <w:rsid w:val="001E0FBB"/>
    <w:rsid w:val="001E1985"/>
    <w:rsid w:val="001E7C89"/>
    <w:rsid w:val="001F0FC3"/>
    <w:rsid w:val="001F2F5D"/>
    <w:rsid w:val="001F55A1"/>
    <w:rsid w:val="001F68C5"/>
    <w:rsid w:val="00202547"/>
    <w:rsid w:val="00202901"/>
    <w:rsid w:val="0020302C"/>
    <w:rsid w:val="00204BD3"/>
    <w:rsid w:val="00205606"/>
    <w:rsid w:val="00205828"/>
    <w:rsid w:val="00206944"/>
    <w:rsid w:val="002111E1"/>
    <w:rsid w:val="002125F2"/>
    <w:rsid w:val="00213494"/>
    <w:rsid w:val="00215703"/>
    <w:rsid w:val="00216403"/>
    <w:rsid w:val="0021673E"/>
    <w:rsid w:val="0022102F"/>
    <w:rsid w:val="002214EA"/>
    <w:rsid w:val="0022409F"/>
    <w:rsid w:val="002242DF"/>
    <w:rsid w:val="00224CC1"/>
    <w:rsid w:val="00231E37"/>
    <w:rsid w:val="00237B03"/>
    <w:rsid w:val="00237E69"/>
    <w:rsid w:val="0024043D"/>
    <w:rsid w:val="00242135"/>
    <w:rsid w:val="00242218"/>
    <w:rsid w:val="00244A6B"/>
    <w:rsid w:val="00245DA3"/>
    <w:rsid w:val="00246684"/>
    <w:rsid w:val="00246686"/>
    <w:rsid w:val="002467D0"/>
    <w:rsid w:val="00246E99"/>
    <w:rsid w:val="002474A1"/>
    <w:rsid w:val="002474F6"/>
    <w:rsid w:val="0025045F"/>
    <w:rsid w:val="00251137"/>
    <w:rsid w:val="00251EE7"/>
    <w:rsid w:val="00252F9F"/>
    <w:rsid w:val="00253C1D"/>
    <w:rsid w:val="002547A5"/>
    <w:rsid w:val="00256EF4"/>
    <w:rsid w:val="002570B3"/>
    <w:rsid w:val="002610A8"/>
    <w:rsid w:val="002615C3"/>
    <w:rsid w:val="0026196B"/>
    <w:rsid w:val="002621A1"/>
    <w:rsid w:val="00262B4F"/>
    <w:rsid w:val="00262B77"/>
    <w:rsid w:val="00262BB0"/>
    <w:rsid w:val="002638FB"/>
    <w:rsid w:val="00267169"/>
    <w:rsid w:val="00267932"/>
    <w:rsid w:val="00270597"/>
    <w:rsid w:val="00270C4D"/>
    <w:rsid w:val="00270FC7"/>
    <w:rsid w:val="00272452"/>
    <w:rsid w:val="002771B1"/>
    <w:rsid w:val="00282F9D"/>
    <w:rsid w:val="00285780"/>
    <w:rsid w:val="002866AC"/>
    <w:rsid w:val="002868AD"/>
    <w:rsid w:val="00286D2A"/>
    <w:rsid w:val="0029103E"/>
    <w:rsid w:val="00292D3D"/>
    <w:rsid w:val="002941C0"/>
    <w:rsid w:val="0029473B"/>
    <w:rsid w:val="00294C4C"/>
    <w:rsid w:val="0029676B"/>
    <w:rsid w:val="002A06F2"/>
    <w:rsid w:val="002A1513"/>
    <w:rsid w:val="002A21B2"/>
    <w:rsid w:val="002A2F76"/>
    <w:rsid w:val="002A4423"/>
    <w:rsid w:val="002A7BDD"/>
    <w:rsid w:val="002B1F6E"/>
    <w:rsid w:val="002B2FB8"/>
    <w:rsid w:val="002B3360"/>
    <w:rsid w:val="002B463F"/>
    <w:rsid w:val="002C0721"/>
    <w:rsid w:val="002C70FF"/>
    <w:rsid w:val="002D1C47"/>
    <w:rsid w:val="002D3C80"/>
    <w:rsid w:val="002D40FA"/>
    <w:rsid w:val="002D53D8"/>
    <w:rsid w:val="002D666A"/>
    <w:rsid w:val="002E3254"/>
    <w:rsid w:val="002E408D"/>
    <w:rsid w:val="002E70C4"/>
    <w:rsid w:val="002E71E5"/>
    <w:rsid w:val="002E7C58"/>
    <w:rsid w:val="002F0407"/>
    <w:rsid w:val="002F0B26"/>
    <w:rsid w:val="002F1AB3"/>
    <w:rsid w:val="002F1D2E"/>
    <w:rsid w:val="002F1ED9"/>
    <w:rsid w:val="002F21A6"/>
    <w:rsid w:val="002F4204"/>
    <w:rsid w:val="002F661C"/>
    <w:rsid w:val="002F6E4D"/>
    <w:rsid w:val="002F70D0"/>
    <w:rsid w:val="002F7C64"/>
    <w:rsid w:val="00300CD4"/>
    <w:rsid w:val="00301360"/>
    <w:rsid w:val="00303781"/>
    <w:rsid w:val="0030478C"/>
    <w:rsid w:val="00304A41"/>
    <w:rsid w:val="0030508C"/>
    <w:rsid w:val="00305A50"/>
    <w:rsid w:val="00306AA3"/>
    <w:rsid w:val="00310C35"/>
    <w:rsid w:val="00310F5A"/>
    <w:rsid w:val="00311D77"/>
    <w:rsid w:val="00313792"/>
    <w:rsid w:val="00314429"/>
    <w:rsid w:val="00314A44"/>
    <w:rsid w:val="00314BF4"/>
    <w:rsid w:val="00315B84"/>
    <w:rsid w:val="00317390"/>
    <w:rsid w:val="00317CC4"/>
    <w:rsid w:val="0032007A"/>
    <w:rsid w:val="003216B7"/>
    <w:rsid w:val="00323CE7"/>
    <w:rsid w:val="003320B7"/>
    <w:rsid w:val="003334B3"/>
    <w:rsid w:val="0033422A"/>
    <w:rsid w:val="00334F1C"/>
    <w:rsid w:val="00340F3B"/>
    <w:rsid w:val="00341523"/>
    <w:rsid w:val="0034428A"/>
    <w:rsid w:val="00344E81"/>
    <w:rsid w:val="00347206"/>
    <w:rsid w:val="00347CA4"/>
    <w:rsid w:val="00350FA6"/>
    <w:rsid w:val="003519BA"/>
    <w:rsid w:val="00354816"/>
    <w:rsid w:val="00356A8C"/>
    <w:rsid w:val="00356B01"/>
    <w:rsid w:val="0035785E"/>
    <w:rsid w:val="00360B39"/>
    <w:rsid w:val="0036182F"/>
    <w:rsid w:val="00363DDA"/>
    <w:rsid w:val="00363FF1"/>
    <w:rsid w:val="00364092"/>
    <w:rsid w:val="00364920"/>
    <w:rsid w:val="003651CC"/>
    <w:rsid w:val="0036542B"/>
    <w:rsid w:val="0036744B"/>
    <w:rsid w:val="003704B2"/>
    <w:rsid w:val="00371CEC"/>
    <w:rsid w:val="00372985"/>
    <w:rsid w:val="00373449"/>
    <w:rsid w:val="003736D8"/>
    <w:rsid w:val="00373CB6"/>
    <w:rsid w:val="00377B1C"/>
    <w:rsid w:val="00380644"/>
    <w:rsid w:val="00381464"/>
    <w:rsid w:val="00382790"/>
    <w:rsid w:val="00382E7B"/>
    <w:rsid w:val="003831CF"/>
    <w:rsid w:val="003857B1"/>
    <w:rsid w:val="00385B83"/>
    <w:rsid w:val="00387785"/>
    <w:rsid w:val="00390AB9"/>
    <w:rsid w:val="00391826"/>
    <w:rsid w:val="00392330"/>
    <w:rsid w:val="00392AE6"/>
    <w:rsid w:val="00393198"/>
    <w:rsid w:val="00393247"/>
    <w:rsid w:val="00397C1C"/>
    <w:rsid w:val="003A0BA9"/>
    <w:rsid w:val="003A216F"/>
    <w:rsid w:val="003A3404"/>
    <w:rsid w:val="003A3AD4"/>
    <w:rsid w:val="003A4466"/>
    <w:rsid w:val="003A4A3B"/>
    <w:rsid w:val="003A4CAB"/>
    <w:rsid w:val="003A5F8C"/>
    <w:rsid w:val="003A64D6"/>
    <w:rsid w:val="003A73D1"/>
    <w:rsid w:val="003B2275"/>
    <w:rsid w:val="003B2638"/>
    <w:rsid w:val="003B4B6D"/>
    <w:rsid w:val="003B5F94"/>
    <w:rsid w:val="003C1A68"/>
    <w:rsid w:val="003C259F"/>
    <w:rsid w:val="003C2F75"/>
    <w:rsid w:val="003C43D6"/>
    <w:rsid w:val="003C6FEF"/>
    <w:rsid w:val="003D0378"/>
    <w:rsid w:val="003D1027"/>
    <w:rsid w:val="003D210A"/>
    <w:rsid w:val="003D23CE"/>
    <w:rsid w:val="003D25DB"/>
    <w:rsid w:val="003D2C47"/>
    <w:rsid w:val="003D37E7"/>
    <w:rsid w:val="003D40F1"/>
    <w:rsid w:val="003D4FD9"/>
    <w:rsid w:val="003D56FC"/>
    <w:rsid w:val="003D66F0"/>
    <w:rsid w:val="003D6FE2"/>
    <w:rsid w:val="003D7B3A"/>
    <w:rsid w:val="003D7C95"/>
    <w:rsid w:val="003E2E67"/>
    <w:rsid w:val="003E53F7"/>
    <w:rsid w:val="003E5664"/>
    <w:rsid w:val="003E5DAC"/>
    <w:rsid w:val="003E69B6"/>
    <w:rsid w:val="003E7D51"/>
    <w:rsid w:val="003F0404"/>
    <w:rsid w:val="003F0E3A"/>
    <w:rsid w:val="003F1545"/>
    <w:rsid w:val="003F2864"/>
    <w:rsid w:val="003F323D"/>
    <w:rsid w:val="003F47A2"/>
    <w:rsid w:val="003F4CF7"/>
    <w:rsid w:val="003F4E45"/>
    <w:rsid w:val="003F5297"/>
    <w:rsid w:val="003F54B5"/>
    <w:rsid w:val="003F5F18"/>
    <w:rsid w:val="003F6851"/>
    <w:rsid w:val="003F68E8"/>
    <w:rsid w:val="003F6DF8"/>
    <w:rsid w:val="003F723D"/>
    <w:rsid w:val="003F7A9C"/>
    <w:rsid w:val="00400E20"/>
    <w:rsid w:val="00401115"/>
    <w:rsid w:val="00401122"/>
    <w:rsid w:val="00401281"/>
    <w:rsid w:val="00401CC1"/>
    <w:rsid w:val="00402503"/>
    <w:rsid w:val="004034F6"/>
    <w:rsid w:val="00403C3D"/>
    <w:rsid w:val="00404A95"/>
    <w:rsid w:val="00405ED9"/>
    <w:rsid w:val="00406298"/>
    <w:rsid w:val="00406A08"/>
    <w:rsid w:val="00406BC7"/>
    <w:rsid w:val="00410C4A"/>
    <w:rsid w:val="004114D2"/>
    <w:rsid w:val="00412259"/>
    <w:rsid w:val="00412EBA"/>
    <w:rsid w:val="00416042"/>
    <w:rsid w:val="00416D05"/>
    <w:rsid w:val="00420176"/>
    <w:rsid w:val="00420B18"/>
    <w:rsid w:val="004217F6"/>
    <w:rsid w:val="00422565"/>
    <w:rsid w:val="00422A73"/>
    <w:rsid w:val="00423D22"/>
    <w:rsid w:val="004243C0"/>
    <w:rsid w:val="0042606A"/>
    <w:rsid w:val="00426698"/>
    <w:rsid w:val="004279E6"/>
    <w:rsid w:val="004315E3"/>
    <w:rsid w:val="00431D0D"/>
    <w:rsid w:val="0043200A"/>
    <w:rsid w:val="00432702"/>
    <w:rsid w:val="0043343B"/>
    <w:rsid w:val="00434842"/>
    <w:rsid w:val="00436907"/>
    <w:rsid w:val="00437211"/>
    <w:rsid w:val="00440113"/>
    <w:rsid w:val="004406EF"/>
    <w:rsid w:val="0044104F"/>
    <w:rsid w:val="004439A5"/>
    <w:rsid w:val="00445C99"/>
    <w:rsid w:val="00446D1A"/>
    <w:rsid w:val="004475C6"/>
    <w:rsid w:val="00447CD9"/>
    <w:rsid w:val="00452939"/>
    <w:rsid w:val="00453256"/>
    <w:rsid w:val="004536D2"/>
    <w:rsid w:val="00453751"/>
    <w:rsid w:val="00454031"/>
    <w:rsid w:val="00454658"/>
    <w:rsid w:val="00455328"/>
    <w:rsid w:val="00460696"/>
    <w:rsid w:val="0046142F"/>
    <w:rsid w:val="004619FD"/>
    <w:rsid w:val="004628EE"/>
    <w:rsid w:val="0046475F"/>
    <w:rsid w:val="00464C54"/>
    <w:rsid w:val="0046574A"/>
    <w:rsid w:val="00467562"/>
    <w:rsid w:val="00467696"/>
    <w:rsid w:val="0047235E"/>
    <w:rsid w:val="00472DD2"/>
    <w:rsid w:val="004742A8"/>
    <w:rsid w:val="00474A70"/>
    <w:rsid w:val="00475F43"/>
    <w:rsid w:val="00476FE3"/>
    <w:rsid w:val="00483FDE"/>
    <w:rsid w:val="00484461"/>
    <w:rsid w:val="00487336"/>
    <w:rsid w:val="00487E01"/>
    <w:rsid w:val="00487F23"/>
    <w:rsid w:val="0049336C"/>
    <w:rsid w:val="0049556C"/>
    <w:rsid w:val="00496639"/>
    <w:rsid w:val="0049700F"/>
    <w:rsid w:val="004A0DAF"/>
    <w:rsid w:val="004A11EA"/>
    <w:rsid w:val="004A178F"/>
    <w:rsid w:val="004A1A90"/>
    <w:rsid w:val="004A2120"/>
    <w:rsid w:val="004A2416"/>
    <w:rsid w:val="004A2DF0"/>
    <w:rsid w:val="004A35A1"/>
    <w:rsid w:val="004A70FF"/>
    <w:rsid w:val="004B0A72"/>
    <w:rsid w:val="004B1FD1"/>
    <w:rsid w:val="004B22A6"/>
    <w:rsid w:val="004B24FD"/>
    <w:rsid w:val="004B2B4F"/>
    <w:rsid w:val="004B30CA"/>
    <w:rsid w:val="004B3245"/>
    <w:rsid w:val="004B4795"/>
    <w:rsid w:val="004B4955"/>
    <w:rsid w:val="004B4E63"/>
    <w:rsid w:val="004B6BCC"/>
    <w:rsid w:val="004C0131"/>
    <w:rsid w:val="004C05BC"/>
    <w:rsid w:val="004C0CE7"/>
    <w:rsid w:val="004C172E"/>
    <w:rsid w:val="004C1AC4"/>
    <w:rsid w:val="004C24DB"/>
    <w:rsid w:val="004C2B88"/>
    <w:rsid w:val="004C3E33"/>
    <w:rsid w:val="004C4D2A"/>
    <w:rsid w:val="004C7C82"/>
    <w:rsid w:val="004D0049"/>
    <w:rsid w:val="004D06FE"/>
    <w:rsid w:val="004D1DCF"/>
    <w:rsid w:val="004D1E15"/>
    <w:rsid w:val="004D334F"/>
    <w:rsid w:val="004D3D81"/>
    <w:rsid w:val="004D52AD"/>
    <w:rsid w:val="004D69A1"/>
    <w:rsid w:val="004E1CB5"/>
    <w:rsid w:val="004E203F"/>
    <w:rsid w:val="004E4484"/>
    <w:rsid w:val="004F0691"/>
    <w:rsid w:val="004F1FC5"/>
    <w:rsid w:val="004F4B41"/>
    <w:rsid w:val="004F4FE8"/>
    <w:rsid w:val="004F5919"/>
    <w:rsid w:val="004F67E3"/>
    <w:rsid w:val="004F7916"/>
    <w:rsid w:val="005000DC"/>
    <w:rsid w:val="005012C4"/>
    <w:rsid w:val="00502F5F"/>
    <w:rsid w:val="0050419A"/>
    <w:rsid w:val="00504FB0"/>
    <w:rsid w:val="005063CD"/>
    <w:rsid w:val="005134A7"/>
    <w:rsid w:val="00514DAC"/>
    <w:rsid w:val="0051582E"/>
    <w:rsid w:val="005159D7"/>
    <w:rsid w:val="005164FA"/>
    <w:rsid w:val="00516EC8"/>
    <w:rsid w:val="005172B1"/>
    <w:rsid w:val="00517C06"/>
    <w:rsid w:val="005251F9"/>
    <w:rsid w:val="00531BE0"/>
    <w:rsid w:val="00535499"/>
    <w:rsid w:val="00541475"/>
    <w:rsid w:val="00544F78"/>
    <w:rsid w:val="00551A71"/>
    <w:rsid w:val="00553347"/>
    <w:rsid w:val="00553E3E"/>
    <w:rsid w:val="00555183"/>
    <w:rsid w:val="00555E8A"/>
    <w:rsid w:val="00556AD7"/>
    <w:rsid w:val="00556F89"/>
    <w:rsid w:val="005614F5"/>
    <w:rsid w:val="005619DF"/>
    <w:rsid w:val="00562AEB"/>
    <w:rsid w:val="005641BB"/>
    <w:rsid w:val="00567EE6"/>
    <w:rsid w:val="00572698"/>
    <w:rsid w:val="005726E4"/>
    <w:rsid w:val="005729AF"/>
    <w:rsid w:val="00573DE8"/>
    <w:rsid w:val="005742C6"/>
    <w:rsid w:val="00576C70"/>
    <w:rsid w:val="00576CA6"/>
    <w:rsid w:val="0058060F"/>
    <w:rsid w:val="0058120C"/>
    <w:rsid w:val="005815FF"/>
    <w:rsid w:val="0058178E"/>
    <w:rsid w:val="005829DD"/>
    <w:rsid w:val="005842E5"/>
    <w:rsid w:val="00584339"/>
    <w:rsid w:val="005844FE"/>
    <w:rsid w:val="00584672"/>
    <w:rsid w:val="00585DAF"/>
    <w:rsid w:val="00585EBE"/>
    <w:rsid w:val="00586247"/>
    <w:rsid w:val="00590130"/>
    <w:rsid w:val="005902CF"/>
    <w:rsid w:val="0059091C"/>
    <w:rsid w:val="00591B11"/>
    <w:rsid w:val="00592810"/>
    <w:rsid w:val="00592CFD"/>
    <w:rsid w:val="005960C6"/>
    <w:rsid w:val="005973AB"/>
    <w:rsid w:val="005A029C"/>
    <w:rsid w:val="005A1882"/>
    <w:rsid w:val="005A5106"/>
    <w:rsid w:val="005A53BF"/>
    <w:rsid w:val="005A5482"/>
    <w:rsid w:val="005A6631"/>
    <w:rsid w:val="005B3893"/>
    <w:rsid w:val="005B487D"/>
    <w:rsid w:val="005B64E1"/>
    <w:rsid w:val="005B69A3"/>
    <w:rsid w:val="005C0552"/>
    <w:rsid w:val="005C2CA4"/>
    <w:rsid w:val="005C3523"/>
    <w:rsid w:val="005C54A1"/>
    <w:rsid w:val="005C5787"/>
    <w:rsid w:val="005C6FA6"/>
    <w:rsid w:val="005C794A"/>
    <w:rsid w:val="005D26CD"/>
    <w:rsid w:val="005D2E5B"/>
    <w:rsid w:val="005D40D4"/>
    <w:rsid w:val="005D5695"/>
    <w:rsid w:val="005D5FDF"/>
    <w:rsid w:val="005D655E"/>
    <w:rsid w:val="005D7CF8"/>
    <w:rsid w:val="005E0A8A"/>
    <w:rsid w:val="005E1724"/>
    <w:rsid w:val="005E2529"/>
    <w:rsid w:val="005E3DC4"/>
    <w:rsid w:val="005F0A50"/>
    <w:rsid w:val="005F4EFA"/>
    <w:rsid w:val="005F7031"/>
    <w:rsid w:val="005F761A"/>
    <w:rsid w:val="0060023F"/>
    <w:rsid w:val="006007C6"/>
    <w:rsid w:val="00603F66"/>
    <w:rsid w:val="006067BC"/>
    <w:rsid w:val="00607282"/>
    <w:rsid w:val="0060757F"/>
    <w:rsid w:val="00607C9D"/>
    <w:rsid w:val="00610A3E"/>
    <w:rsid w:val="00611437"/>
    <w:rsid w:val="00612004"/>
    <w:rsid w:val="006126B9"/>
    <w:rsid w:val="006128E4"/>
    <w:rsid w:val="00612D0E"/>
    <w:rsid w:val="00612D9F"/>
    <w:rsid w:val="006148E8"/>
    <w:rsid w:val="0061496D"/>
    <w:rsid w:val="00615798"/>
    <w:rsid w:val="00616FCD"/>
    <w:rsid w:val="006218E1"/>
    <w:rsid w:val="00622C92"/>
    <w:rsid w:val="00624822"/>
    <w:rsid w:val="00627C29"/>
    <w:rsid w:val="00630C66"/>
    <w:rsid w:val="006311E0"/>
    <w:rsid w:val="00633547"/>
    <w:rsid w:val="00634026"/>
    <w:rsid w:val="00634AE8"/>
    <w:rsid w:val="00636A56"/>
    <w:rsid w:val="00640239"/>
    <w:rsid w:val="00641EF6"/>
    <w:rsid w:val="0064254F"/>
    <w:rsid w:val="00647CB2"/>
    <w:rsid w:val="00647D0C"/>
    <w:rsid w:val="00652DE4"/>
    <w:rsid w:val="00654B01"/>
    <w:rsid w:val="00657E56"/>
    <w:rsid w:val="006623D6"/>
    <w:rsid w:val="00662992"/>
    <w:rsid w:val="00665A12"/>
    <w:rsid w:val="006706F5"/>
    <w:rsid w:val="0067214F"/>
    <w:rsid w:val="0067284A"/>
    <w:rsid w:val="006728DB"/>
    <w:rsid w:val="00672A45"/>
    <w:rsid w:val="00672D37"/>
    <w:rsid w:val="00673CD1"/>
    <w:rsid w:val="00676154"/>
    <w:rsid w:val="00676380"/>
    <w:rsid w:val="006772BD"/>
    <w:rsid w:val="00677CD1"/>
    <w:rsid w:val="00681A2A"/>
    <w:rsid w:val="006830B9"/>
    <w:rsid w:val="0068429F"/>
    <w:rsid w:val="006854AF"/>
    <w:rsid w:val="006879FE"/>
    <w:rsid w:val="00691D2E"/>
    <w:rsid w:val="00692EEA"/>
    <w:rsid w:val="006950F1"/>
    <w:rsid w:val="00696841"/>
    <w:rsid w:val="006977F8"/>
    <w:rsid w:val="006A0C97"/>
    <w:rsid w:val="006A39A2"/>
    <w:rsid w:val="006A4B34"/>
    <w:rsid w:val="006A7A23"/>
    <w:rsid w:val="006B0FAF"/>
    <w:rsid w:val="006B4E77"/>
    <w:rsid w:val="006B5634"/>
    <w:rsid w:val="006B6342"/>
    <w:rsid w:val="006B6EB1"/>
    <w:rsid w:val="006C005E"/>
    <w:rsid w:val="006C1B1D"/>
    <w:rsid w:val="006C1E46"/>
    <w:rsid w:val="006C2808"/>
    <w:rsid w:val="006C3781"/>
    <w:rsid w:val="006C4D7A"/>
    <w:rsid w:val="006C5BE3"/>
    <w:rsid w:val="006C6E05"/>
    <w:rsid w:val="006D0C80"/>
    <w:rsid w:val="006D128A"/>
    <w:rsid w:val="006D1BBC"/>
    <w:rsid w:val="006D2475"/>
    <w:rsid w:val="006D33F1"/>
    <w:rsid w:val="006D3826"/>
    <w:rsid w:val="006D4052"/>
    <w:rsid w:val="006D5484"/>
    <w:rsid w:val="006D611E"/>
    <w:rsid w:val="006D7810"/>
    <w:rsid w:val="006D7B7B"/>
    <w:rsid w:val="006E0821"/>
    <w:rsid w:val="006E0D54"/>
    <w:rsid w:val="006E0F3E"/>
    <w:rsid w:val="006E3537"/>
    <w:rsid w:val="006E3D9F"/>
    <w:rsid w:val="006E690F"/>
    <w:rsid w:val="006E6A5C"/>
    <w:rsid w:val="006E7C21"/>
    <w:rsid w:val="006F0A9F"/>
    <w:rsid w:val="006F56FA"/>
    <w:rsid w:val="006F5E4C"/>
    <w:rsid w:val="006F631D"/>
    <w:rsid w:val="006F6D0A"/>
    <w:rsid w:val="006F79CE"/>
    <w:rsid w:val="00700105"/>
    <w:rsid w:val="00700128"/>
    <w:rsid w:val="0070082F"/>
    <w:rsid w:val="00701E52"/>
    <w:rsid w:val="0070553A"/>
    <w:rsid w:val="0070753C"/>
    <w:rsid w:val="00711198"/>
    <w:rsid w:val="00711355"/>
    <w:rsid w:val="00711A46"/>
    <w:rsid w:val="00711F94"/>
    <w:rsid w:val="007159D4"/>
    <w:rsid w:val="00716C89"/>
    <w:rsid w:val="00720099"/>
    <w:rsid w:val="007214C9"/>
    <w:rsid w:val="00721A27"/>
    <w:rsid w:val="00723490"/>
    <w:rsid w:val="00724205"/>
    <w:rsid w:val="00724E44"/>
    <w:rsid w:val="007258F9"/>
    <w:rsid w:val="00725E7F"/>
    <w:rsid w:val="00726CBC"/>
    <w:rsid w:val="007305B0"/>
    <w:rsid w:val="00732B17"/>
    <w:rsid w:val="007359E6"/>
    <w:rsid w:val="007372B1"/>
    <w:rsid w:val="007376DE"/>
    <w:rsid w:val="0073776F"/>
    <w:rsid w:val="00737AE1"/>
    <w:rsid w:val="007412DD"/>
    <w:rsid w:val="00741809"/>
    <w:rsid w:val="007422A0"/>
    <w:rsid w:val="007430E6"/>
    <w:rsid w:val="00744879"/>
    <w:rsid w:val="00744C92"/>
    <w:rsid w:val="00745C7D"/>
    <w:rsid w:val="00746A91"/>
    <w:rsid w:val="00747221"/>
    <w:rsid w:val="0075166C"/>
    <w:rsid w:val="007522D2"/>
    <w:rsid w:val="00752419"/>
    <w:rsid w:val="00754DB7"/>
    <w:rsid w:val="00755DA1"/>
    <w:rsid w:val="007614FD"/>
    <w:rsid w:val="007617EC"/>
    <w:rsid w:val="00762A4E"/>
    <w:rsid w:val="007650DF"/>
    <w:rsid w:val="00767968"/>
    <w:rsid w:val="00767D0E"/>
    <w:rsid w:val="00770510"/>
    <w:rsid w:val="00770FA3"/>
    <w:rsid w:val="007711A1"/>
    <w:rsid w:val="007715DF"/>
    <w:rsid w:val="0077215E"/>
    <w:rsid w:val="007736E1"/>
    <w:rsid w:val="007746C5"/>
    <w:rsid w:val="00776B41"/>
    <w:rsid w:val="007770AA"/>
    <w:rsid w:val="00782D9E"/>
    <w:rsid w:val="007867D3"/>
    <w:rsid w:val="00786879"/>
    <w:rsid w:val="00786974"/>
    <w:rsid w:val="00786F8E"/>
    <w:rsid w:val="00786FBC"/>
    <w:rsid w:val="00791F81"/>
    <w:rsid w:val="0079768A"/>
    <w:rsid w:val="00797DEF"/>
    <w:rsid w:val="007A1461"/>
    <w:rsid w:val="007A1879"/>
    <w:rsid w:val="007A4C51"/>
    <w:rsid w:val="007A589C"/>
    <w:rsid w:val="007A6182"/>
    <w:rsid w:val="007B059C"/>
    <w:rsid w:val="007B21F5"/>
    <w:rsid w:val="007B3C34"/>
    <w:rsid w:val="007B44B9"/>
    <w:rsid w:val="007B6EB9"/>
    <w:rsid w:val="007B7915"/>
    <w:rsid w:val="007C0585"/>
    <w:rsid w:val="007C2069"/>
    <w:rsid w:val="007C39AF"/>
    <w:rsid w:val="007C47DB"/>
    <w:rsid w:val="007C5F71"/>
    <w:rsid w:val="007D02FD"/>
    <w:rsid w:val="007D2E72"/>
    <w:rsid w:val="007D447A"/>
    <w:rsid w:val="007D4D95"/>
    <w:rsid w:val="007D5B7D"/>
    <w:rsid w:val="007D6341"/>
    <w:rsid w:val="007D67C9"/>
    <w:rsid w:val="007E0A66"/>
    <w:rsid w:val="007E1411"/>
    <w:rsid w:val="007E659F"/>
    <w:rsid w:val="007F0176"/>
    <w:rsid w:val="007F0A12"/>
    <w:rsid w:val="007F0FE9"/>
    <w:rsid w:val="007F6351"/>
    <w:rsid w:val="007F7752"/>
    <w:rsid w:val="008026FF"/>
    <w:rsid w:val="0080541F"/>
    <w:rsid w:val="00805BB9"/>
    <w:rsid w:val="008155D2"/>
    <w:rsid w:val="0081656B"/>
    <w:rsid w:val="0081702C"/>
    <w:rsid w:val="00817282"/>
    <w:rsid w:val="008175A9"/>
    <w:rsid w:val="00820385"/>
    <w:rsid w:val="00820B7F"/>
    <w:rsid w:val="0082114D"/>
    <w:rsid w:val="0082116C"/>
    <w:rsid w:val="008213D6"/>
    <w:rsid w:val="00822C9F"/>
    <w:rsid w:val="00824B7F"/>
    <w:rsid w:val="00825AA2"/>
    <w:rsid w:val="00826AE5"/>
    <w:rsid w:val="008271F9"/>
    <w:rsid w:val="00830687"/>
    <w:rsid w:val="00830702"/>
    <w:rsid w:val="00830A1B"/>
    <w:rsid w:val="00830E96"/>
    <w:rsid w:val="00832C27"/>
    <w:rsid w:val="00833548"/>
    <w:rsid w:val="00836E46"/>
    <w:rsid w:val="00840747"/>
    <w:rsid w:val="00841DAB"/>
    <w:rsid w:val="008427E8"/>
    <w:rsid w:val="008441EE"/>
    <w:rsid w:val="00845C67"/>
    <w:rsid w:val="00846D84"/>
    <w:rsid w:val="0085049C"/>
    <w:rsid w:val="0085080B"/>
    <w:rsid w:val="00852BAC"/>
    <w:rsid w:val="00853195"/>
    <w:rsid w:val="008543CF"/>
    <w:rsid w:val="008548DC"/>
    <w:rsid w:val="00854B3B"/>
    <w:rsid w:val="00856E10"/>
    <w:rsid w:val="0085718E"/>
    <w:rsid w:val="00857566"/>
    <w:rsid w:val="00860BEF"/>
    <w:rsid w:val="00861220"/>
    <w:rsid w:val="0086157C"/>
    <w:rsid w:val="008616B0"/>
    <w:rsid w:val="00861FE6"/>
    <w:rsid w:val="0086292B"/>
    <w:rsid w:val="00864041"/>
    <w:rsid w:val="00867F67"/>
    <w:rsid w:val="0087219A"/>
    <w:rsid w:val="00874D36"/>
    <w:rsid w:val="0087530B"/>
    <w:rsid w:val="00875B7C"/>
    <w:rsid w:val="008777F4"/>
    <w:rsid w:val="008809A3"/>
    <w:rsid w:val="008847B9"/>
    <w:rsid w:val="008853FC"/>
    <w:rsid w:val="00886D7A"/>
    <w:rsid w:val="008904CF"/>
    <w:rsid w:val="0089116C"/>
    <w:rsid w:val="00892D58"/>
    <w:rsid w:val="00894F96"/>
    <w:rsid w:val="00896F5C"/>
    <w:rsid w:val="008A08E3"/>
    <w:rsid w:val="008A090A"/>
    <w:rsid w:val="008A0BA2"/>
    <w:rsid w:val="008A1EEA"/>
    <w:rsid w:val="008A287F"/>
    <w:rsid w:val="008A3494"/>
    <w:rsid w:val="008A512C"/>
    <w:rsid w:val="008A73C9"/>
    <w:rsid w:val="008A7732"/>
    <w:rsid w:val="008B1B22"/>
    <w:rsid w:val="008B2651"/>
    <w:rsid w:val="008B2B17"/>
    <w:rsid w:val="008B323C"/>
    <w:rsid w:val="008B348F"/>
    <w:rsid w:val="008B378A"/>
    <w:rsid w:val="008B5833"/>
    <w:rsid w:val="008B5ACB"/>
    <w:rsid w:val="008B6819"/>
    <w:rsid w:val="008B6E69"/>
    <w:rsid w:val="008B712F"/>
    <w:rsid w:val="008C3F54"/>
    <w:rsid w:val="008C62CB"/>
    <w:rsid w:val="008C6E68"/>
    <w:rsid w:val="008C7814"/>
    <w:rsid w:val="008D0081"/>
    <w:rsid w:val="008D29C7"/>
    <w:rsid w:val="008D375E"/>
    <w:rsid w:val="008D4071"/>
    <w:rsid w:val="008D59F8"/>
    <w:rsid w:val="008D621E"/>
    <w:rsid w:val="008E1980"/>
    <w:rsid w:val="008E1A96"/>
    <w:rsid w:val="008E1AB2"/>
    <w:rsid w:val="008E1EB3"/>
    <w:rsid w:val="008E3D5B"/>
    <w:rsid w:val="008E4F8F"/>
    <w:rsid w:val="008E641D"/>
    <w:rsid w:val="008F010E"/>
    <w:rsid w:val="008F3245"/>
    <w:rsid w:val="008F5B37"/>
    <w:rsid w:val="008F7E2A"/>
    <w:rsid w:val="00900420"/>
    <w:rsid w:val="00900D25"/>
    <w:rsid w:val="00903799"/>
    <w:rsid w:val="00903E29"/>
    <w:rsid w:val="009040ED"/>
    <w:rsid w:val="0090413A"/>
    <w:rsid w:val="00906004"/>
    <w:rsid w:val="00907329"/>
    <w:rsid w:val="00907CFA"/>
    <w:rsid w:val="0091026B"/>
    <w:rsid w:val="00911813"/>
    <w:rsid w:val="00911834"/>
    <w:rsid w:val="009125BB"/>
    <w:rsid w:val="00915073"/>
    <w:rsid w:val="009202F0"/>
    <w:rsid w:val="00920841"/>
    <w:rsid w:val="00920869"/>
    <w:rsid w:val="00923643"/>
    <w:rsid w:val="00923903"/>
    <w:rsid w:val="0093019A"/>
    <w:rsid w:val="0093149B"/>
    <w:rsid w:val="009325F7"/>
    <w:rsid w:val="009330B6"/>
    <w:rsid w:val="00933A42"/>
    <w:rsid w:val="0093613A"/>
    <w:rsid w:val="0093626F"/>
    <w:rsid w:val="00936A44"/>
    <w:rsid w:val="009378C8"/>
    <w:rsid w:val="0094144B"/>
    <w:rsid w:val="0094408F"/>
    <w:rsid w:val="00944331"/>
    <w:rsid w:val="009446C2"/>
    <w:rsid w:val="009446EE"/>
    <w:rsid w:val="00946A89"/>
    <w:rsid w:val="00946F3F"/>
    <w:rsid w:val="00950678"/>
    <w:rsid w:val="00950F33"/>
    <w:rsid w:val="00951E07"/>
    <w:rsid w:val="00952EA4"/>
    <w:rsid w:val="009532E7"/>
    <w:rsid w:val="00953F95"/>
    <w:rsid w:val="009542C7"/>
    <w:rsid w:val="00955386"/>
    <w:rsid w:val="00964330"/>
    <w:rsid w:val="00965000"/>
    <w:rsid w:val="00965399"/>
    <w:rsid w:val="00966CC4"/>
    <w:rsid w:val="00967293"/>
    <w:rsid w:val="009704CC"/>
    <w:rsid w:val="00972D48"/>
    <w:rsid w:val="00973A54"/>
    <w:rsid w:val="009812B1"/>
    <w:rsid w:val="009822DA"/>
    <w:rsid w:val="009830AF"/>
    <w:rsid w:val="00984EB1"/>
    <w:rsid w:val="00985901"/>
    <w:rsid w:val="00985DFA"/>
    <w:rsid w:val="0098616E"/>
    <w:rsid w:val="009861A6"/>
    <w:rsid w:val="009861C1"/>
    <w:rsid w:val="009902F4"/>
    <w:rsid w:val="0099137C"/>
    <w:rsid w:val="0099459B"/>
    <w:rsid w:val="00994FB8"/>
    <w:rsid w:val="0099508F"/>
    <w:rsid w:val="009958BA"/>
    <w:rsid w:val="00997DBF"/>
    <w:rsid w:val="009A0574"/>
    <w:rsid w:val="009A1001"/>
    <w:rsid w:val="009A13FD"/>
    <w:rsid w:val="009A228C"/>
    <w:rsid w:val="009A4C78"/>
    <w:rsid w:val="009A4FFF"/>
    <w:rsid w:val="009A7486"/>
    <w:rsid w:val="009B1C4C"/>
    <w:rsid w:val="009B21D1"/>
    <w:rsid w:val="009B252C"/>
    <w:rsid w:val="009B50D2"/>
    <w:rsid w:val="009B617E"/>
    <w:rsid w:val="009B6A82"/>
    <w:rsid w:val="009B7A1F"/>
    <w:rsid w:val="009B7AAA"/>
    <w:rsid w:val="009B7E61"/>
    <w:rsid w:val="009C291C"/>
    <w:rsid w:val="009C2D8E"/>
    <w:rsid w:val="009C316F"/>
    <w:rsid w:val="009C602E"/>
    <w:rsid w:val="009C687E"/>
    <w:rsid w:val="009C6E5B"/>
    <w:rsid w:val="009C7B28"/>
    <w:rsid w:val="009D2D15"/>
    <w:rsid w:val="009D4FC5"/>
    <w:rsid w:val="009D5C01"/>
    <w:rsid w:val="009D72B4"/>
    <w:rsid w:val="009D7300"/>
    <w:rsid w:val="009E0A1E"/>
    <w:rsid w:val="009E19EA"/>
    <w:rsid w:val="009E1E20"/>
    <w:rsid w:val="009E270A"/>
    <w:rsid w:val="009E4D6F"/>
    <w:rsid w:val="009E51C1"/>
    <w:rsid w:val="009E57A5"/>
    <w:rsid w:val="009E7D9D"/>
    <w:rsid w:val="009F0751"/>
    <w:rsid w:val="009F0981"/>
    <w:rsid w:val="009F17FB"/>
    <w:rsid w:val="009F1C45"/>
    <w:rsid w:val="009F3833"/>
    <w:rsid w:val="009F438B"/>
    <w:rsid w:val="009F5EE3"/>
    <w:rsid w:val="009F5FB5"/>
    <w:rsid w:val="009F7D46"/>
    <w:rsid w:val="00A03173"/>
    <w:rsid w:val="00A034AC"/>
    <w:rsid w:val="00A03E79"/>
    <w:rsid w:val="00A043CC"/>
    <w:rsid w:val="00A04FCF"/>
    <w:rsid w:val="00A05FCD"/>
    <w:rsid w:val="00A0786B"/>
    <w:rsid w:val="00A11971"/>
    <w:rsid w:val="00A141C4"/>
    <w:rsid w:val="00A14519"/>
    <w:rsid w:val="00A17F56"/>
    <w:rsid w:val="00A201DB"/>
    <w:rsid w:val="00A20322"/>
    <w:rsid w:val="00A20488"/>
    <w:rsid w:val="00A20682"/>
    <w:rsid w:val="00A209CD"/>
    <w:rsid w:val="00A21C28"/>
    <w:rsid w:val="00A23725"/>
    <w:rsid w:val="00A240FE"/>
    <w:rsid w:val="00A30160"/>
    <w:rsid w:val="00A301DC"/>
    <w:rsid w:val="00A30CAF"/>
    <w:rsid w:val="00A32CCF"/>
    <w:rsid w:val="00A347ED"/>
    <w:rsid w:val="00A365D2"/>
    <w:rsid w:val="00A3746A"/>
    <w:rsid w:val="00A378DF"/>
    <w:rsid w:val="00A41450"/>
    <w:rsid w:val="00A41EE0"/>
    <w:rsid w:val="00A44606"/>
    <w:rsid w:val="00A446A1"/>
    <w:rsid w:val="00A44CAC"/>
    <w:rsid w:val="00A461A1"/>
    <w:rsid w:val="00A46789"/>
    <w:rsid w:val="00A47D2E"/>
    <w:rsid w:val="00A50AEB"/>
    <w:rsid w:val="00A51669"/>
    <w:rsid w:val="00A51C11"/>
    <w:rsid w:val="00A546BC"/>
    <w:rsid w:val="00A56491"/>
    <w:rsid w:val="00A57260"/>
    <w:rsid w:val="00A607B2"/>
    <w:rsid w:val="00A61BE9"/>
    <w:rsid w:val="00A6547C"/>
    <w:rsid w:val="00A70093"/>
    <w:rsid w:val="00A701EA"/>
    <w:rsid w:val="00A71F05"/>
    <w:rsid w:val="00A72198"/>
    <w:rsid w:val="00A73ADA"/>
    <w:rsid w:val="00A743A2"/>
    <w:rsid w:val="00A74706"/>
    <w:rsid w:val="00A74C7B"/>
    <w:rsid w:val="00A75C5E"/>
    <w:rsid w:val="00A75F93"/>
    <w:rsid w:val="00A82959"/>
    <w:rsid w:val="00A8523B"/>
    <w:rsid w:val="00A8656D"/>
    <w:rsid w:val="00A90051"/>
    <w:rsid w:val="00A949A0"/>
    <w:rsid w:val="00A955E0"/>
    <w:rsid w:val="00A9676D"/>
    <w:rsid w:val="00A97903"/>
    <w:rsid w:val="00AA0FDE"/>
    <w:rsid w:val="00AA4579"/>
    <w:rsid w:val="00AA469E"/>
    <w:rsid w:val="00AA47B9"/>
    <w:rsid w:val="00AA485C"/>
    <w:rsid w:val="00AA57A2"/>
    <w:rsid w:val="00AA6290"/>
    <w:rsid w:val="00AB654B"/>
    <w:rsid w:val="00AB77E9"/>
    <w:rsid w:val="00AB7C18"/>
    <w:rsid w:val="00AC0538"/>
    <w:rsid w:val="00AC0A03"/>
    <w:rsid w:val="00AC3FA5"/>
    <w:rsid w:val="00AC516E"/>
    <w:rsid w:val="00AC5799"/>
    <w:rsid w:val="00AC6323"/>
    <w:rsid w:val="00AC7523"/>
    <w:rsid w:val="00AD0F35"/>
    <w:rsid w:val="00AD3ADC"/>
    <w:rsid w:val="00AD45DC"/>
    <w:rsid w:val="00AD70CB"/>
    <w:rsid w:val="00AD7366"/>
    <w:rsid w:val="00AD7674"/>
    <w:rsid w:val="00AE17FC"/>
    <w:rsid w:val="00AE2766"/>
    <w:rsid w:val="00AE2932"/>
    <w:rsid w:val="00AE30B7"/>
    <w:rsid w:val="00AE533C"/>
    <w:rsid w:val="00AE5445"/>
    <w:rsid w:val="00AE6FAF"/>
    <w:rsid w:val="00AF1B56"/>
    <w:rsid w:val="00AF4CEA"/>
    <w:rsid w:val="00AF5DCC"/>
    <w:rsid w:val="00B02195"/>
    <w:rsid w:val="00B03B10"/>
    <w:rsid w:val="00B07788"/>
    <w:rsid w:val="00B10FC7"/>
    <w:rsid w:val="00B12F09"/>
    <w:rsid w:val="00B131E1"/>
    <w:rsid w:val="00B13E49"/>
    <w:rsid w:val="00B14C4B"/>
    <w:rsid w:val="00B15804"/>
    <w:rsid w:val="00B16910"/>
    <w:rsid w:val="00B20187"/>
    <w:rsid w:val="00B20F7D"/>
    <w:rsid w:val="00B229E8"/>
    <w:rsid w:val="00B24ADF"/>
    <w:rsid w:val="00B24FAA"/>
    <w:rsid w:val="00B26912"/>
    <w:rsid w:val="00B30DC7"/>
    <w:rsid w:val="00B313DE"/>
    <w:rsid w:val="00B33EDD"/>
    <w:rsid w:val="00B3461A"/>
    <w:rsid w:val="00B35000"/>
    <w:rsid w:val="00B360D7"/>
    <w:rsid w:val="00B37199"/>
    <w:rsid w:val="00B37731"/>
    <w:rsid w:val="00B40955"/>
    <w:rsid w:val="00B4119B"/>
    <w:rsid w:val="00B41630"/>
    <w:rsid w:val="00B42D4C"/>
    <w:rsid w:val="00B4644C"/>
    <w:rsid w:val="00B51636"/>
    <w:rsid w:val="00B5187D"/>
    <w:rsid w:val="00B52638"/>
    <w:rsid w:val="00B53AEA"/>
    <w:rsid w:val="00B55045"/>
    <w:rsid w:val="00B556F0"/>
    <w:rsid w:val="00B5654C"/>
    <w:rsid w:val="00B565C0"/>
    <w:rsid w:val="00B56CDB"/>
    <w:rsid w:val="00B618C3"/>
    <w:rsid w:val="00B62F9E"/>
    <w:rsid w:val="00B6578F"/>
    <w:rsid w:val="00B66326"/>
    <w:rsid w:val="00B66E89"/>
    <w:rsid w:val="00B67222"/>
    <w:rsid w:val="00B7085F"/>
    <w:rsid w:val="00B71207"/>
    <w:rsid w:val="00B7394D"/>
    <w:rsid w:val="00B73C66"/>
    <w:rsid w:val="00B74EFE"/>
    <w:rsid w:val="00B80CE9"/>
    <w:rsid w:val="00B820A5"/>
    <w:rsid w:val="00B828F4"/>
    <w:rsid w:val="00B835C3"/>
    <w:rsid w:val="00B83730"/>
    <w:rsid w:val="00B840DF"/>
    <w:rsid w:val="00B86DE3"/>
    <w:rsid w:val="00B8749A"/>
    <w:rsid w:val="00B9111C"/>
    <w:rsid w:val="00B928C7"/>
    <w:rsid w:val="00B9413C"/>
    <w:rsid w:val="00B95010"/>
    <w:rsid w:val="00B95C5D"/>
    <w:rsid w:val="00B97B52"/>
    <w:rsid w:val="00BA0637"/>
    <w:rsid w:val="00BA175A"/>
    <w:rsid w:val="00BA1B65"/>
    <w:rsid w:val="00BA2DD6"/>
    <w:rsid w:val="00BA3122"/>
    <w:rsid w:val="00BA5664"/>
    <w:rsid w:val="00BB1711"/>
    <w:rsid w:val="00BB1FB5"/>
    <w:rsid w:val="00BB29AF"/>
    <w:rsid w:val="00BB419D"/>
    <w:rsid w:val="00BB44D9"/>
    <w:rsid w:val="00BB5093"/>
    <w:rsid w:val="00BB5C93"/>
    <w:rsid w:val="00BB5F9E"/>
    <w:rsid w:val="00BC0072"/>
    <w:rsid w:val="00BC2030"/>
    <w:rsid w:val="00BC264F"/>
    <w:rsid w:val="00BC270B"/>
    <w:rsid w:val="00BC3E84"/>
    <w:rsid w:val="00BC51C2"/>
    <w:rsid w:val="00BC574D"/>
    <w:rsid w:val="00BC57B9"/>
    <w:rsid w:val="00BC6A2A"/>
    <w:rsid w:val="00BC7A09"/>
    <w:rsid w:val="00BD0A2F"/>
    <w:rsid w:val="00BD0EA8"/>
    <w:rsid w:val="00BD16E4"/>
    <w:rsid w:val="00BD1D44"/>
    <w:rsid w:val="00BD332E"/>
    <w:rsid w:val="00BD39D4"/>
    <w:rsid w:val="00BD3B5B"/>
    <w:rsid w:val="00BD491F"/>
    <w:rsid w:val="00BD5861"/>
    <w:rsid w:val="00BE092A"/>
    <w:rsid w:val="00BE3352"/>
    <w:rsid w:val="00BE4526"/>
    <w:rsid w:val="00BE6A1E"/>
    <w:rsid w:val="00BE7FB7"/>
    <w:rsid w:val="00BF4499"/>
    <w:rsid w:val="00BF54C3"/>
    <w:rsid w:val="00BF65B4"/>
    <w:rsid w:val="00BF7BAA"/>
    <w:rsid w:val="00C008E9"/>
    <w:rsid w:val="00C0246E"/>
    <w:rsid w:val="00C04A75"/>
    <w:rsid w:val="00C04D7E"/>
    <w:rsid w:val="00C05553"/>
    <w:rsid w:val="00C059E9"/>
    <w:rsid w:val="00C07B5C"/>
    <w:rsid w:val="00C1063D"/>
    <w:rsid w:val="00C116C3"/>
    <w:rsid w:val="00C12068"/>
    <w:rsid w:val="00C14C05"/>
    <w:rsid w:val="00C15BAA"/>
    <w:rsid w:val="00C164EF"/>
    <w:rsid w:val="00C1667B"/>
    <w:rsid w:val="00C166F4"/>
    <w:rsid w:val="00C169F5"/>
    <w:rsid w:val="00C177FF"/>
    <w:rsid w:val="00C21476"/>
    <w:rsid w:val="00C22624"/>
    <w:rsid w:val="00C236EF"/>
    <w:rsid w:val="00C254D2"/>
    <w:rsid w:val="00C26846"/>
    <w:rsid w:val="00C27F48"/>
    <w:rsid w:val="00C30FAC"/>
    <w:rsid w:val="00C32E03"/>
    <w:rsid w:val="00C35DDE"/>
    <w:rsid w:val="00C35EDE"/>
    <w:rsid w:val="00C378D3"/>
    <w:rsid w:val="00C37EBA"/>
    <w:rsid w:val="00C40759"/>
    <w:rsid w:val="00C40B17"/>
    <w:rsid w:val="00C40B62"/>
    <w:rsid w:val="00C41EE7"/>
    <w:rsid w:val="00C4331E"/>
    <w:rsid w:val="00C43D4A"/>
    <w:rsid w:val="00C4697F"/>
    <w:rsid w:val="00C50406"/>
    <w:rsid w:val="00C50A02"/>
    <w:rsid w:val="00C528F9"/>
    <w:rsid w:val="00C544E5"/>
    <w:rsid w:val="00C55D97"/>
    <w:rsid w:val="00C609C6"/>
    <w:rsid w:val="00C6379C"/>
    <w:rsid w:val="00C63854"/>
    <w:rsid w:val="00C664F6"/>
    <w:rsid w:val="00C6651D"/>
    <w:rsid w:val="00C6675B"/>
    <w:rsid w:val="00C679E1"/>
    <w:rsid w:val="00C70404"/>
    <w:rsid w:val="00C708C0"/>
    <w:rsid w:val="00C714E9"/>
    <w:rsid w:val="00C716B3"/>
    <w:rsid w:val="00C71A1F"/>
    <w:rsid w:val="00C723C2"/>
    <w:rsid w:val="00C73603"/>
    <w:rsid w:val="00C737B3"/>
    <w:rsid w:val="00C73D88"/>
    <w:rsid w:val="00C73ED4"/>
    <w:rsid w:val="00C74BE9"/>
    <w:rsid w:val="00C74DE0"/>
    <w:rsid w:val="00C76218"/>
    <w:rsid w:val="00C8009C"/>
    <w:rsid w:val="00C82481"/>
    <w:rsid w:val="00C83CE1"/>
    <w:rsid w:val="00C85F2D"/>
    <w:rsid w:val="00C86436"/>
    <w:rsid w:val="00C87EF6"/>
    <w:rsid w:val="00C9072B"/>
    <w:rsid w:val="00C9239F"/>
    <w:rsid w:val="00C93C40"/>
    <w:rsid w:val="00CA0FDB"/>
    <w:rsid w:val="00CA14B4"/>
    <w:rsid w:val="00CA15B3"/>
    <w:rsid w:val="00CA1D7D"/>
    <w:rsid w:val="00CA2C80"/>
    <w:rsid w:val="00CA37B9"/>
    <w:rsid w:val="00CA486F"/>
    <w:rsid w:val="00CA7018"/>
    <w:rsid w:val="00CA72CF"/>
    <w:rsid w:val="00CA7CC3"/>
    <w:rsid w:val="00CA7F94"/>
    <w:rsid w:val="00CB0546"/>
    <w:rsid w:val="00CB0FE0"/>
    <w:rsid w:val="00CB1756"/>
    <w:rsid w:val="00CB2AEC"/>
    <w:rsid w:val="00CB3617"/>
    <w:rsid w:val="00CB3E30"/>
    <w:rsid w:val="00CB5C89"/>
    <w:rsid w:val="00CB5DA9"/>
    <w:rsid w:val="00CC12F2"/>
    <w:rsid w:val="00CC152B"/>
    <w:rsid w:val="00CC2389"/>
    <w:rsid w:val="00CC4C12"/>
    <w:rsid w:val="00CC6CA7"/>
    <w:rsid w:val="00CC74B7"/>
    <w:rsid w:val="00CD135C"/>
    <w:rsid w:val="00CD2177"/>
    <w:rsid w:val="00CD224E"/>
    <w:rsid w:val="00CD3660"/>
    <w:rsid w:val="00CD36FD"/>
    <w:rsid w:val="00CD40E0"/>
    <w:rsid w:val="00CD4371"/>
    <w:rsid w:val="00CD6276"/>
    <w:rsid w:val="00CE0C49"/>
    <w:rsid w:val="00CE381B"/>
    <w:rsid w:val="00CE4A70"/>
    <w:rsid w:val="00CE5487"/>
    <w:rsid w:val="00CE78C3"/>
    <w:rsid w:val="00CF0D04"/>
    <w:rsid w:val="00CF217F"/>
    <w:rsid w:val="00CF294C"/>
    <w:rsid w:val="00CF3B28"/>
    <w:rsid w:val="00CF592E"/>
    <w:rsid w:val="00CF5967"/>
    <w:rsid w:val="00D00550"/>
    <w:rsid w:val="00D013D8"/>
    <w:rsid w:val="00D01C32"/>
    <w:rsid w:val="00D03325"/>
    <w:rsid w:val="00D0343A"/>
    <w:rsid w:val="00D03C6C"/>
    <w:rsid w:val="00D06770"/>
    <w:rsid w:val="00D06D0E"/>
    <w:rsid w:val="00D07CDA"/>
    <w:rsid w:val="00D118D8"/>
    <w:rsid w:val="00D11FD4"/>
    <w:rsid w:val="00D12AF3"/>
    <w:rsid w:val="00D12BE7"/>
    <w:rsid w:val="00D134B3"/>
    <w:rsid w:val="00D173FE"/>
    <w:rsid w:val="00D208DB"/>
    <w:rsid w:val="00D20CE3"/>
    <w:rsid w:val="00D21535"/>
    <w:rsid w:val="00D21C52"/>
    <w:rsid w:val="00D23E0C"/>
    <w:rsid w:val="00D2476D"/>
    <w:rsid w:val="00D25CBD"/>
    <w:rsid w:val="00D26597"/>
    <w:rsid w:val="00D26A63"/>
    <w:rsid w:val="00D2751C"/>
    <w:rsid w:val="00D27FE1"/>
    <w:rsid w:val="00D308C7"/>
    <w:rsid w:val="00D30D2E"/>
    <w:rsid w:val="00D33CDF"/>
    <w:rsid w:val="00D37BD5"/>
    <w:rsid w:val="00D40FA1"/>
    <w:rsid w:val="00D43335"/>
    <w:rsid w:val="00D50D9D"/>
    <w:rsid w:val="00D51809"/>
    <w:rsid w:val="00D51D4C"/>
    <w:rsid w:val="00D51E9F"/>
    <w:rsid w:val="00D521C7"/>
    <w:rsid w:val="00D5494F"/>
    <w:rsid w:val="00D563CA"/>
    <w:rsid w:val="00D565E9"/>
    <w:rsid w:val="00D60FCA"/>
    <w:rsid w:val="00D61478"/>
    <w:rsid w:val="00D64FAE"/>
    <w:rsid w:val="00D70FF0"/>
    <w:rsid w:val="00D71407"/>
    <w:rsid w:val="00D71844"/>
    <w:rsid w:val="00D7191E"/>
    <w:rsid w:val="00D72307"/>
    <w:rsid w:val="00D73D3A"/>
    <w:rsid w:val="00D73F7D"/>
    <w:rsid w:val="00D740B7"/>
    <w:rsid w:val="00D7425E"/>
    <w:rsid w:val="00D74CEB"/>
    <w:rsid w:val="00D76EAC"/>
    <w:rsid w:val="00D8198A"/>
    <w:rsid w:val="00D823A0"/>
    <w:rsid w:val="00D85D76"/>
    <w:rsid w:val="00D8767F"/>
    <w:rsid w:val="00D911E8"/>
    <w:rsid w:val="00D9128B"/>
    <w:rsid w:val="00D926D5"/>
    <w:rsid w:val="00D9306C"/>
    <w:rsid w:val="00D9582F"/>
    <w:rsid w:val="00D96FF8"/>
    <w:rsid w:val="00D972B3"/>
    <w:rsid w:val="00D97676"/>
    <w:rsid w:val="00DA0776"/>
    <w:rsid w:val="00DA0D78"/>
    <w:rsid w:val="00DA323A"/>
    <w:rsid w:val="00DA572D"/>
    <w:rsid w:val="00DA603B"/>
    <w:rsid w:val="00DA66AC"/>
    <w:rsid w:val="00DB04BA"/>
    <w:rsid w:val="00DB3185"/>
    <w:rsid w:val="00DB5458"/>
    <w:rsid w:val="00DB5DE0"/>
    <w:rsid w:val="00DB64CB"/>
    <w:rsid w:val="00DB69DA"/>
    <w:rsid w:val="00DC2182"/>
    <w:rsid w:val="00DC2294"/>
    <w:rsid w:val="00DC249E"/>
    <w:rsid w:val="00DC2883"/>
    <w:rsid w:val="00DC4E5D"/>
    <w:rsid w:val="00DC57DD"/>
    <w:rsid w:val="00DD0999"/>
    <w:rsid w:val="00DD0D04"/>
    <w:rsid w:val="00DD15FD"/>
    <w:rsid w:val="00DD1EAC"/>
    <w:rsid w:val="00DD22D7"/>
    <w:rsid w:val="00DD2378"/>
    <w:rsid w:val="00DD2C90"/>
    <w:rsid w:val="00DD2D19"/>
    <w:rsid w:val="00DD40AF"/>
    <w:rsid w:val="00DD40E8"/>
    <w:rsid w:val="00DE0FAC"/>
    <w:rsid w:val="00DE33EB"/>
    <w:rsid w:val="00DE344A"/>
    <w:rsid w:val="00DE49AA"/>
    <w:rsid w:val="00DE5A5A"/>
    <w:rsid w:val="00DE5B31"/>
    <w:rsid w:val="00DE626E"/>
    <w:rsid w:val="00DE70BD"/>
    <w:rsid w:val="00DF0473"/>
    <w:rsid w:val="00DF20F8"/>
    <w:rsid w:val="00DF3152"/>
    <w:rsid w:val="00DF46DB"/>
    <w:rsid w:val="00DF5C9E"/>
    <w:rsid w:val="00DF74F7"/>
    <w:rsid w:val="00E00D9D"/>
    <w:rsid w:val="00E0211B"/>
    <w:rsid w:val="00E0355A"/>
    <w:rsid w:val="00E03FD7"/>
    <w:rsid w:val="00E04E11"/>
    <w:rsid w:val="00E06637"/>
    <w:rsid w:val="00E06A10"/>
    <w:rsid w:val="00E06E92"/>
    <w:rsid w:val="00E07138"/>
    <w:rsid w:val="00E07FA0"/>
    <w:rsid w:val="00E1013D"/>
    <w:rsid w:val="00E116AA"/>
    <w:rsid w:val="00E13799"/>
    <w:rsid w:val="00E15548"/>
    <w:rsid w:val="00E15ED5"/>
    <w:rsid w:val="00E166B0"/>
    <w:rsid w:val="00E175B2"/>
    <w:rsid w:val="00E17A99"/>
    <w:rsid w:val="00E17B38"/>
    <w:rsid w:val="00E20766"/>
    <w:rsid w:val="00E21A77"/>
    <w:rsid w:val="00E2347D"/>
    <w:rsid w:val="00E2408B"/>
    <w:rsid w:val="00E240A0"/>
    <w:rsid w:val="00E243F0"/>
    <w:rsid w:val="00E249C6"/>
    <w:rsid w:val="00E24C02"/>
    <w:rsid w:val="00E25ADC"/>
    <w:rsid w:val="00E25CED"/>
    <w:rsid w:val="00E2640C"/>
    <w:rsid w:val="00E266D5"/>
    <w:rsid w:val="00E26A6B"/>
    <w:rsid w:val="00E273B8"/>
    <w:rsid w:val="00E273B9"/>
    <w:rsid w:val="00E27AF9"/>
    <w:rsid w:val="00E31243"/>
    <w:rsid w:val="00E337BC"/>
    <w:rsid w:val="00E37C06"/>
    <w:rsid w:val="00E37C0F"/>
    <w:rsid w:val="00E37D8F"/>
    <w:rsid w:val="00E4051D"/>
    <w:rsid w:val="00E416E9"/>
    <w:rsid w:val="00E42532"/>
    <w:rsid w:val="00E42F0A"/>
    <w:rsid w:val="00E44EFC"/>
    <w:rsid w:val="00E4683D"/>
    <w:rsid w:val="00E501BC"/>
    <w:rsid w:val="00E50656"/>
    <w:rsid w:val="00E51A9F"/>
    <w:rsid w:val="00E53F17"/>
    <w:rsid w:val="00E5533D"/>
    <w:rsid w:val="00E5577C"/>
    <w:rsid w:val="00E55D7F"/>
    <w:rsid w:val="00E565D1"/>
    <w:rsid w:val="00E6044F"/>
    <w:rsid w:val="00E60671"/>
    <w:rsid w:val="00E60CCE"/>
    <w:rsid w:val="00E61CA8"/>
    <w:rsid w:val="00E63798"/>
    <w:rsid w:val="00E643A2"/>
    <w:rsid w:val="00E6458F"/>
    <w:rsid w:val="00E649FD"/>
    <w:rsid w:val="00E70A3C"/>
    <w:rsid w:val="00E71BA0"/>
    <w:rsid w:val="00E72056"/>
    <w:rsid w:val="00E72186"/>
    <w:rsid w:val="00E746BF"/>
    <w:rsid w:val="00E747DA"/>
    <w:rsid w:val="00E7545B"/>
    <w:rsid w:val="00E76525"/>
    <w:rsid w:val="00E81060"/>
    <w:rsid w:val="00E81A2C"/>
    <w:rsid w:val="00E81D4D"/>
    <w:rsid w:val="00E822B5"/>
    <w:rsid w:val="00E82326"/>
    <w:rsid w:val="00E82A31"/>
    <w:rsid w:val="00E83230"/>
    <w:rsid w:val="00E84FED"/>
    <w:rsid w:val="00E86FE3"/>
    <w:rsid w:val="00E87350"/>
    <w:rsid w:val="00E9115C"/>
    <w:rsid w:val="00E91243"/>
    <w:rsid w:val="00E915AD"/>
    <w:rsid w:val="00E92F26"/>
    <w:rsid w:val="00E9388D"/>
    <w:rsid w:val="00E94AD0"/>
    <w:rsid w:val="00E958C4"/>
    <w:rsid w:val="00E96CBA"/>
    <w:rsid w:val="00E975C4"/>
    <w:rsid w:val="00EA0204"/>
    <w:rsid w:val="00EA0D0C"/>
    <w:rsid w:val="00EA1922"/>
    <w:rsid w:val="00EA43BC"/>
    <w:rsid w:val="00EA4AA3"/>
    <w:rsid w:val="00EA6F42"/>
    <w:rsid w:val="00EB0EF6"/>
    <w:rsid w:val="00EB315F"/>
    <w:rsid w:val="00EB3B79"/>
    <w:rsid w:val="00EB3E7B"/>
    <w:rsid w:val="00EB4389"/>
    <w:rsid w:val="00EB4DE3"/>
    <w:rsid w:val="00EC212A"/>
    <w:rsid w:val="00EC2317"/>
    <w:rsid w:val="00EC4E8B"/>
    <w:rsid w:val="00EC532D"/>
    <w:rsid w:val="00EC57FE"/>
    <w:rsid w:val="00EC6EE4"/>
    <w:rsid w:val="00ED06AB"/>
    <w:rsid w:val="00ED3CFF"/>
    <w:rsid w:val="00ED442F"/>
    <w:rsid w:val="00ED48A2"/>
    <w:rsid w:val="00ED7BF8"/>
    <w:rsid w:val="00EE1301"/>
    <w:rsid w:val="00EE41DC"/>
    <w:rsid w:val="00EE4D40"/>
    <w:rsid w:val="00EF048C"/>
    <w:rsid w:val="00EF1839"/>
    <w:rsid w:val="00EF2462"/>
    <w:rsid w:val="00EF49B9"/>
    <w:rsid w:val="00EF616D"/>
    <w:rsid w:val="00EF66D1"/>
    <w:rsid w:val="00EF796B"/>
    <w:rsid w:val="00F03D68"/>
    <w:rsid w:val="00F07611"/>
    <w:rsid w:val="00F109D5"/>
    <w:rsid w:val="00F10F59"/>
    <w:rsid w:val="00F113C5"/>
    <w:rsid w:val="00F129C9"/>
    <w:rsid w:val="00F1480F"/>
    <w:rsid w:val="00F15E20"/>
    <w:rsid w:val="00F171F1"/>
    <w:rsid w:val="00F1757E"/>
    <w:rsid w:val="00F20A3E"/>
    <w:rsid w:val="00F21E53"/>
    <w:rsid w:val="00F22263"/>
    <w:rsid w:val="00F224DE"/>
    <w:rsid w:val="00F23F49"/>
    <w:rsid w:val="00F25CA6"/>
    <w:rsid w:val="00F30C1D"/>
    <w:rsid w:val="00F315C3"/>
    <w:rsid w:val="00F34203"/>
    <w:rsid w:val="00F34880"/>
    <w:rsid w:val="00F36726"/>
    <w:rsid w:val="00F4141E"/>
    <w:rsid w:val="00F42913"/>
    <w:rsid w:val="00F42F76"/>
    <w:rsid w:val="00F43CCF"/>
    <w:rsid w:val="00F443C1"/>
    <w:rsid w:val="00F44E38"/>
    <w:rsid w:val="00F45405"/>
    <w:rsid w:val="00F47281"/>
    <w:rsid w:val="00F51E89"/>
    <w:rsid w:val="00F52B62"/>
    <w:rsid w:val="00F5391D"/>
    <w:rsid w:val="00F559FD"/>
    <w:rsid w:val="00F56076"/>
    <w:rsid w:val="00F56EBD"/>
    <w:rsid w:val="00F57634"/>
    <w:rsid w:val="00F605C3"/>
    <w:rsid w:val="00F62923"/>
    <w:rsid w:val="00F6688C"/>
    <w:rsid w:val="00F66DA8"/>
    <w:rsid w:val="00F674B9"/>
    <w:rsid w:val="00F70C2C"/>
    <w:rsid w:val="00F7130A"/>
    <w:rsid w:val="00F7352B"/>
    <w:rsid w:val="00F740A9"/>
    <w:rsid w:val="00F7424F"/>
    <w:rsid w:val="00F7451E"/>
    <w:rsid w:val="00F7460C"/>
    <w:rsid w:val="00F74CB6"/>
    <w:rsid w:val="00F76226"/>
    <w:rsid w:val="00F7772B"/>
    <w:rsid w:val="00F8117E"/>
    <w:rsid w:val="00F82353"/>
    <w:rsid w:val="00F838F0"/>
    <w:rsid w:val="00F84D13"/>
    <w:rsid w:val="00F85C9E"/>
    <w:rsid w:val="00F86852"/>
    <w:rsid w:val="00F87156"/>
    <w:rsid w:val="00F875D3"/>
    <w:rsid w:val="00F902A1"/>
    <w:rsid w:val="00F90C09"/>
    <w:rsid w:val="00F90D66"/>
    <w:rsid w:val="00F91BBD"/>
    <w:rsid w:val="00F91D41"/>
    <w:rsid w:val="00F92422"/>
    <w:rsid w:val="00F9303A"/>
    <w:rsid w:val="00F9410C"/>
    <w:rsid w:val="00F95169"/>
    <w:rsid w:val="00FA0367"/>
    <w:rsid w:val="00FA24A5"/>
    <w:rsid w:val="00FA2EA4"/>
    <w:rsid w:val="00FA3E43"/>
    <w:rsid w:val="00FA4E11"/>
    <w:rsid w:val="00FA71FE"/>
    <w:rsid w:val="00FA7583"/>
    <w:rsid w:val="00FA7C5E"/>
    <w:rsid w:val="00FB18D8"/>
    <w:rsid w:val="00FB218C"/>
    <w:rsid w:val="00FB4B82"/>
    <w:rsid w:val="00FB4DA7"/>
    <w:rsid w:val="00FB7973"/>
    <w:rsid w:val="00FC22B3"/>
    <w:rsid w:val="00FC22FA"/>
    <w:rsid w:val="00FC22FB"/>
    <w:rsid w:val="00FC2C24"/>
    <w:rsid w:val="00FC31E9"/>
    <w:rsid w:val="00FC3B49"/>
    <w:rsid w:val="00FC3BB7"/>
    <w:rsid w:val="00FC3FDF"/>
    <w:rsid w:val="00FC47A5"/>
    <w:rsid w:val="00FC5199"/>
    <w:rsid w:val="00FC5CDB"/>
    <w:rsid w:val="00FC6F9A"/>
    <w:rsid w:val="00FC7714"/>
    <w:rsid w:val="00FC77AC"/>
    <w:rsid w:val="00FD478F"/>
    <w:rsid w:val="00FD4D80"/>
    <w:rsid w:val="00FD69A0"/>
    <w:rsid w:val="00FE07F9"/>
    <w:rsid w:val="00FE0EA3"/>
    <w:rsid w:val="00FE0F95"/>
    <w:rsid w:val="00FE30DF"/>
    <w:rsid w:val="00FE386E"/>
    <w:rsid w:val="00FE423C"/>
    <w:rsid w:val="00FE4C5D"/>
    <w:rsid w:val="00FE77C0"/>
    <w:rsid w:val="00FF0F21"/>
    <w:rsid w:val="00FF30BA"/>
    <w:rsid w:val="00FF3B88"/>
    <w:rsid w:val="00FF47D4"/>
    <w:rsid w:val="00FF49B4"/>
    <w:rsid w:val="00FF5600"/>
    <w:rsid w:val="00FF64E0"/>
    <w:rsid w:val="00FF6919"/>
    <w:rsid w:val="00FF6CA5"/>
    <w:rsid w:val="00FF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9E9D"/>
  <w15:chartTrackingRefBased/>
  <w15:docId w15:val="{3EE10167-2789-4CB8-B5F3-E649A4A0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776"/>
    <w:pPr>
      <w:ind w:left="720"/>
      <w:contextualSpacing/>
    </w:pPr>
  </w:style>
  <w:style w:type="paragraph" w:styleId="NoSpacing">
    <w:name w:val="No Spacing"/>
    <w:uiPriority w:val="1"/>
    <w:qFormat/>
    <w:rsid w:val="00C12068"/>
    <w:pPr>
      <w:spacing w:after="0" w:line="240" w:lineRule="auto"/>
    </w:pPr>
  </w:style>
  <w:style w:type="paragraph" w:styleId="BalloonText">
    <w:name w:val="Balloon Text"/>
    <w:basedOn w:val="Normal"/>
    <w:link w:val="BalloonTextChar"/>
    <w:uiPriority w:val="99"/>
    <w:semiHidden/>
    <w:unhideWhenUsed/>
    <w:rsid w:val="00852B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2BAC"/>
    <w:rPr>
      <w:rFonts w:ascii="Segoe UI" w:hAnsi="Segoe UI" w:cs="Segoe UI"/>
      <w:sz w:val="18"/>
      <w:szCs w:val="18"/>
    </w:rPr>
  </w:style>
  <w:style w:type="character" w:styleId="CommentReference">
    <w:name w:val="annotation reference"/>
    <w:basedOn w:val="DefaultParagraphFont"/>
    <w:uiPriority w:val="99"/>
    <w:semiHidden/>
    <w:unhideWhenUsed/>
    <w:rsid w:val="00D06D0E"/>
    <w:rPr>
      <w:sz w:val="16"/>
      <w:szCs w:val="16"/>
    </w:rPr>
  </w:style>
  <w:style w:type="paragraph" w:styleId="CommentText">
    <w:name w:val="annotation text"/>
    <w:basedOn w:val="Normal"/>
    <w:link w:val="CommentTextChar"/>
    <w:uiPriority w:val="99"/>
    <w:unhideWhenUsed/>
    <w:rsid w:val="00D06D0E"/>
    <w:pPr>
      <w:spacing w:line="240" w:lineRule="auto"/>
    </w:pPr>
    <w:rPr>
      <w:sz w:val="20"/>
      <w:szCs w:val="20"/>
    </w:rPr>
  </w:style>
  <w:style w:type="character" w:customStyle="1" w:styleId="CommentTextChar">
    <w:name w:val="Comment Text Char"/>
    <w:basedOn w:val="DefaultParagraphFont"/>
    <w:link w:val="CommentText"/>
    <w:uiPriority w:val="99"/>
    <w:rsid w:val="00D06D0E"/>
    <w:rPr>
      <w:sz w:val="20"/>
      <w:szCs w:val="20"/>
    </w:rPr>
  </w:style>
  <w:style w:type="paragraph" w:styleId="CommentSubject">
    <w:name w:val="annotation subject"/>
    <w:basedOn w:val="CommentText"/>
    <w:next w:val="CommentText"/>
    <w:link w:val="CommentSubjectChar"/>
    <w:uiPriority w:val="99"/>
    <w:semiHidden/>
    <w:unhideWhenUsed/>
    <w:rsid w:val="00D06D0E"/>
    <w:rPr>
      <w:b/>
      <w:bCs/>
    </w:rPr>
  </w:style>
  <w:style w:type="character" w:customStyle="1" w:styleId="CommentSubjectChar">
    <w:name w:val="Comment Subject Char"/>
    <w:basedOn w:val="CommentTextChar"/>
    <w:link w:val="CommentSubject"/>
    <w:uiPriority w:val="99"/>
    <w:semiHidden/>
    <w:rsid w:val="00D06D0E"/>
    <w:rPr>
      <w:b/>
      <w:bCs/>
      <w:sz w:val="20"/>
      <w:szCs w:val="20"/>
    </w:rPr>
  </w:style>
  <w:style w:type="character" w:styleId="Hyperlink">
    <w:name w:val="Hyperlink"/>
    <w:basedOn w:val="DefaultParagraphFont"/>
    <w:uiPriority w:val="99"/>
    <w:unhideWhenUsed/>
    <w:rsid w:val="00DF5C9E"/>
    <w:rPr>
      <w:color w:val="0000FF"/>
      <w:u w:val="single"/>
    </w:rPr>
  </w:style>
  <w:style w:type="character" w:customStyle="1" w:styleId="UnresolvedMention1">
    <w:name w:val="Unresolved Mention1"/>
    <w:basedOn w:val="DefaultParagraphFont"/>
    <w:uiPriority w:val="99"/>
    <w:semiHidden/>
    <w:unhideWhenUsed/>
    <w:rsid w:val="00DF5C9E"/>
    <w:rPr>
      <w:color w:val="605E5C"/>
      <w:shd w:val="clear" w:color="auto" w:fill="E1DFDD"/>
    </w:rPr>
  </w:style>
  <w:style w:type="table" w:styleId="TableGrid">
    <w:name w:val="Table Grid"/>
    <w:basedOn w:val="TableNormal"/>
    <w:uiPriority w:val="39"/>
    <w:rsid w:val="007D2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40A0"/>
    <w:pPr>
      <w:spacing w:before="100" w:beforeAutospacing="1" w:after="100" w:afterAutospacing="1" w:line="240" w:lineRule="auto"/>
    </w:pPr>
    <w:rPr>
      <w:rFonts w:eastAsia="Times New Roman"/>
    </w:rPr>
  </w:style>
  <w:style w:type="paragraph" w:styleId="Revision">
    <w:name w:val="Revision"/>
    <w:hidden/>
    <w:uiPriority w:val="99"/>
    <w:semiHidden/>
    <w:rsid w:val="00BB44D9"/>
    <w:pPr>
      <w:spacing w:after="0" w:line="240" w:lineRule="auto"/>
    </w:pPr>
  </w:style>
  <w:style w:type="character" w:customStyle="1" w:styleId="UnresolvedMention2">
    <w:name w:val="Unresolved Mention2"/>
    <w:basedOn w:val="DefaultParagraphFont"/>
    <w:uiPriority w:val="99"/>
    <w:semiHidden/>
    <w:unhideWhenUsed/>
    <w:rsid w:val="00E44EFC"/>
    <w:rPr>
      <w:color w:val="605E5C"/>
      <w:shd w:val="clear" w:color="auto" w:fill="E1DFDD"/>
    </w:rPr>
  </w:style>
  <w:style w:type="character" w:customStyle="1" w:styleId="UnresolvedMention3">
    <w:name w:val="Unresolved Mention3"/>
    <w:basedOn w:val="DefaultParagraphFont"/>
    <w:uiPriority w:val="99"/>
    <w:semiHidden/>
    <w:unhideWhenUsed/>
    <w:rsid w:val="009B7E61"/>
    <w:rPr>
      <w:color w:val="605E5C"/>
      <w:shd w:val="clear" w:color="auto" w:fill="E1DFDD"/>
    </w:rPr>
  </w:style>
  <w:style w:type="character" w:customStyle="1" w:styleId="UnresolvedMention4">
    <w:name w:val="Unresolved Mention4"/>
    <w:basedOn w:val="DefaultParagraphFont"/>
    <w:uiPriority w:val="99"/>
    <w:semiHidden/>
    <w:unhideWhenUsed/>
    <w:rsid w:val="00C6379C"/>
    <w:rPr>
      <w:color w:val="605E5C"/>
      <w:shd w:val="clear" w:color="auto" w:fill="E1DFDD"/>
    </w:rPr>
  </w:style>
  <w:style w:type="character" w:styleId="LineNumber">
    <w:name w:val="line number"/>
    <w:basedOn w:val="DefaultParagraphFont"/>
    <w:uiPriority w:val="99"/>
    <w:semiHidden/>
    <w:unhideWhenUsed/>
    <w:rsid w:val="00C6379C"/>
  </w:style>
  <w:style w:type="character" w:styleId="FollowedHyperlink">
    <w:name w:val="FollowedHyperlink"/>
    <w:basedOn w:val="DefaultParagraphFont"/>
    <w:uiPriority w:val="99"/>
    <w:semiHidden/>
    <w:unhideWhenUsed/>
    <w:rsid w:val="000A1062"/>
    <w:rPr>
      <w:color w:val="954F72" w:themeColor="followedHyperlink"/>
      <w:u w:val="single"/>
    </w:rPr>
  </w:style>
  <w:style w:type="paragraph" w:styleId="HTMLPreformatted">
    <w:name w:val="HTML Preformatted"/>
    <w:basedOn w:val="Normal"/>
    <w:link w:val="HTMLPreformattedChar"/>
    <w:uiPriority w:val="99"/>
    <w:semiHidden/>
    <w:unhideWhenUsed/>
    <w:rsid w:val="00033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33896"/>
    <w:rPr>
      <w:rFonts w:ascii="Courier New" w:eastAsia="Times New Roman" w:hAnsi="Courier New" w:cs="Courier New"/>
      <w:sz w:val="20"/>
      <w:szCs w:val="20"/>
    </w:rPr>
  </w:style>
  <w:style w:type="character" w:customStyle="1" w:styleId="gnkrckgcgsb">
    <w:name w:val="gnkrckgcgsb"/>
    <w:basedOn w:val="DefaultParagraphFont"/>
    <w:rsid w:val="00033896"/>
  </w:style>
  <w:style w:type="character" w:customStyle="1" w:styleId="UnresolvedMention5">
    <w:name w:val="Unresolved Mention5"/>
    <w:basedOn w:val="DefaultParagraphFont"/>
    <w:uiPriority w:val="99"/>
    <w:semiHidden/>
    <w:unhideWhenUsed/>
    <w:rsid w:val="00C73ED4"/>
    <w:rPr>
      <w:color w:val="605E5C"/>
      <w:shd w:val="clear" w:color="auto" w:fill="E1DFDD"/>
    </w:rPr>
  </w:style>
  <w:style w:type="paragraph" w:styleId="Header">
    <w:name w:val="header"/>
    <w:basedOn w:val="Normal"/>
    <w:link w:val="HeaderChar"/>
    <w:uiPriority w:val="99"/>
    <w:unhideWhenUsed/>
    <w:rsid w:val="003F04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404"/>
  </w:style>
  <w:style w:type="paragraph" w:styleId="Footer">
    <w:name w:val="footer"/>
    <w:basedOn w:val="Normal"/>
    <w:link w:val="FooterChar"/>
    <w:uiPriority w:val="99"/>
    <w:unhideWhenUsed/>
    <w:rsid w:val="003F04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404"/>
  </w:style>
  <w:style w:type="character" w:styleId="HTMLCite">
    <w:name w:val="HTML Cite"/>
    <w:basedOn w:val="DefaultParagraphFont"/>
    <w:uiPriority w:val="99"/>
    <w:semiHidden/>
    <w:unhideWhenUsed/>
    <w:rsid w:val="00E60671"/>
    <w:rPr>
      <w:i/>
      <w:iCs/>
    </w:rPr>
  </w:style>
  <w:style w:type="character" w:customStyle="1" w:styleId="author">
    <w:name w:val="author"/>
    <w:basedOn w:val="DefaultParagraphFont"/>
    <w:rsid w:val="00E60671"/>
  </w:style>
  <w:style w:type="character" w:customStyle="1" w:styleId="pubyear">
    <w:name w:val="pubyear"/>
    <w:basedOn w:val="DefaultParagraphFont"/>
    <w:rsid w:val="00E60671"/>
  </w:style>
  <w:style w:type="character" w:customStyle="1" w:styleId="articletitle">
    <w:name w:val="articletitle"/>
    <w:basedOn w:val="DefaultParagraphFont"/>
    <w:rsid w:val="00E60671"/>
  </w:style>
  <w:style w:type="character" w:customStyle="1" w:styleId="journaltitle">
    <w:name w:val="journaltitle"/>
    <w:basedOn w:val="DefaultParagraphFont"/>
    <w:rsid w:val="00E60671"/>
  </w:style>
  <w:style w:type="character" w:customStyle="1" w:styleId="vol">
    <w:name w:val="vol"/>
    <w:basedOn w:val="DefaultParagraphFont"/>
    <w:rsid w:val="00E60671"/>
  </w:style>
  <w:style w:type="character" w:customStyle="1" w:styleId="pagefirst">
    <w:name w:val="pagefirst"/>
    <w:basedOn w:val="DefaultParagraphFont"/>
    <w:rsid w:val="00E60671"/>
  </w:style>
  <w:style w:type="character" w:customStyle="1" w:styleId="pagelast">
    <w:name w:val="pagelast"/>
    <w:basedOn w:val="DefaultParagraphFont"/>
    <w:rsid w:val="00E60671"/>
  </w:style>
  <w:style w:type="character" w:customStyle="1" w:styleId="nlmstring-name">
    <w:name w:val="nlm_string-name"/>
    <w:basedOn w:val="DefaultParagraphFont"/>
    <w:rsid w:val="00F7460C"/>
  </w:style>
  <w:style w:type="character" w:customStyle="1" w:styleId="journalname">
    <w:name w:val="journalname"/>
    <w:basedOn w:val="DefaultParagraphFont"/>
    <w:rsid w:val="00F7460C"/>
  </w:style>
  <w:style w:type="character" w:customStyle="1" w:styleId="year">
    <w:name w:val="year"/>
    <w:basedOn w:val="DefaultParagraphFont"/>
    <w:rsid w:val="00F7460C"/>
  </w:style>
  <w:style w:type="character" w:customStyle="1" w:styleId="volume">
    <w:name w:val="volume"/>
    <w:basedOn w:val="DefaultParagraphFont"/>
    <w:rsid w:val="00F7460C"/>
  </w:style>
  <w:style w:type="character" w:customStyle="1" w:styleId="issue">
    <w:name w:val="issue"/>
    <w:basedOn w:val="DefaultParagraphFont"/>
    <w:rsid w:val="00F7460C"/>
  </w:style>
  <w:style w:type="character" w:customStyle="1" w:styleId="page">
    <w:name w:val="page"/>
    <w:basedOn w:val="DefaultParagraphFont"/>
    <w:rsid w:val="00F7460C"/>
  </w:style>
  <w:style w:type="character" w:styleId="UnresolvedMention">
    <w:name w:val="Unresolved Mention"/>
    <w:basedOn w:val="DefaultParagraphFont"/>
    <w:uiPriority w:val="99"/>
    <w:semiHidden/>
    <w:unhideWhenUsed/>
    <w:rsid w:val="00830702"/>
    <w:rPr>
      <w:color w:val="605E5C"/>
      <w:shd w:val="clear" w:color="auto" w:fill="E1DFDD"/>
    </w:rPr>
  </w:style>
  <w:style w:type="table" w:customStyle="1" w:styleId="TableGrid1">
    <w:name w:val="Table Grid1"/>
    <w:basedOn w:val="TableNormal"/>
    <w:next w:val="TableGrid"/>
    <w:uiPriority w:val="39"/>
    <w:rsid w:val="00D76EA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07040">
      <w:bodyDiv w:val="1"/>
      <w:marLeft w:val="0"/>
      <w:marRight w:val="0"/>
      <w:marTop w:val="0"/>
      <w:marBottom w:val="0"/>
      <w:divBdr>
        <w:top w:val="none" w:sz="0" w:space="0" w:color="auto"/>
        <w:left w:val="none" w:sz="0" w:space="0" w:color="auto"/>
        <w:bottom w:val="none" w:sz="0" w:space="0" w:color="auto"/>
        <w:right w:val="none" w:sz="0" w:space="0" w:color="auto"/>
      </w:divBdr>
      <w:divsChild>
        <w:div w:id="1448890674">
          <w:marLeft w:val="480"/>
          <w:marRight w:val="0"/>
          <w:marTop w:val="0"/>
          <w:marBottom w:val="0"/>
          <w:divBdr>
            <w:top w:val="none" w:sz="0" w:space="0" w:color="auto"/>
            <w:left w:val="none" w:sz="0" w:space="0" w:color="auto"/>
            <w:bottom w:val="none" w:sz="0" w:space="0" w:color="auto"/>
            <w:right w:val="none" w:sz="0" w:space="0" w:color="auto"/>
          </w:divBdr>
          <w:divsChild>
            <w:div w:id="61664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2511">
      <w:bodyDiv w:val="1"/>
      <w:marLeft w:val="0"/>
      <w:marRight w:val="0"/>
      <w:marTop w:val="0"/>
      <w:marBottom w:val="0"/>
      <w:divBdr>
        <w:top w:val="none" w:sz="0" w:space="0" w:color="auto"/>
        <w:left w:val="none" w:sz="0" w:space="0" w:color="auto"/>
        <w:bottom w:val="none" w:sz="0" w:space="0" w:color="auto"/>
        <w:right w:val="none" w:sz="0" w:space="0" w:color="auto"/>
      </w:divBdr>
      <w:divsChild>
        <w:div w:id="1048337849">
          <w:marLeft w:val="0"/>
          <w:marRight w:val="0"/>
          <w:marTop w:val="0"/>
          <w:marBottom w:val="0"/>
          <w:divBdr>
            <w:top w:val="none" w:sz="0" w:space="0" w:color="auto"/>
            <w:left w:val="none" w:sz="0" w:space="0" w:color="auto"/>
            <w:bottom w:val="none" w:sz="0" w:space="0" w:color="auto"/>
            <w:right w:val="none" w:sz="0" w:space="0" w:color="auto"/>
          </w:divBdr>
        </w:div>
        <w:div w:id="954753635">
          <w:marLeft w:val="0"/>
          <w:marRight w:val="0"/>
          <w:marTop w:val="0"/>
          <w:marBottom w:val="0"/>
          <w:divBdr>
            <w:top w:val="none" w:sz="0" w:space="0" w:color="auto"/>
            <w:left w:val="none" w:sz="0" w:space="0" w:color="auto"/>
            <w:bottom w:val="none" w:sz="0" w:space="0" w:color="auto"/>
            <w:right w:val="none" w:sz="0" w:space="0" w:color="auto"/>
          </w:divBdr>
        </w:div>
      </w:divsChild>
    </w:div>
    <w:div w:id="238246481">
      <w:bodyDiv w:val="1"/>
      <w:marLeft w:val="0"/>
      <w:marRight w:val="0"/>
      <w:marTop w:val="0"/>
      <w:marBottom w:val="0"/>
      <w:divBdr>
        <w:top w:val="none" w:sz="0" w:space="0" w:color="auto"/>
        <w:left w:val="none" w:sz="0" w:space="0" w:color="auto"/>
        <w:bottom w:val="none" w:sz="0" w:space="0" w:color="auto"/>
        <w:right w:val="none" w:sz="0" w:space="0" w:color="auto"/>
      </w:divBdr>
      <w:divsChild>
        <w:div w:id="217402687">
          <w:marLeft w:val="480"/>
          <w:marRight w:val="0"/>
          <w:marTop w:val="0"/>
          <w:marBottom w:val="0"/>
          <w:divBdr>
            <w:top w:val="none" w:sz="0" w:space="0" w:color="auto"/>
            <w:left w:val="none" w:sz="0" w:space="0" w:color="auto"/>
            <w:bottom w:val="none" w:sz="0" w:space="0" w:color="auto"/>
            <w:right w:val="none" w:sz="0" w:space="0" w:color="auto"/>
          </w:divBdr>
          <w:divsChild>
            <w:div w:id="76253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6644">
      <w:bodyDiv w:val="1"/>
      <w:marLeft w:val="0"/>
      <w:marRight w:val="0"/>
      <w:marTop w:val="0"/>
      <w:marBottom w:val="0"/>
      <w:divBdr>
        <w:top w:val="none" w:sz="0" w:space="0" w:color="auto"/>
        <w:left w:val="none" w:sz="0" w:space="0" w:color="auto"/>
        <w:bottom w:val="none" w:sz="0" w:space="0" w:color="auto"/>
        <w:right w:val="none" w:sz="0" w:space="0" w:color="auto"/>
      </w:divBdr>
      <w:divsChild>
        <w:div w:id="1222866416">
          <w:marLeft w:val="480"/>
          <w:marRight w:val="0"/>
          <w:marTop w:val="0"/>
          <w:marBottom w:val="0"/>
          <w:divBdr>
            <w:top w:val="none" w:sz="0" w:space="0" w:color="auto"/>
            <w:left w:val="none" w:sz="0" w:space="0" w:color="auto"/>
            <w:bottom w:val="none" w:sz="0" w:space="0" w:color="auto"/>
            <w:right w:val="none" w:sz="0" w:space="0" w:color="auto"/>
          </w:divBdr>
          <w:divsChild>
            <w:div w:id="11586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950057">
      <w:bodyDiv w:val="1"/>
      <w:marLeft w:val="0"/>
      <w:marRight w:val="0"/>
      <w:marTop w:val="0"/>
      <w:marBottom w:val="0"/>
      <w:divBdr>
        <w:top w:val="none" w:sz="0" w:space="0" w:color="auto"/>
        <w:left w:val="none" w:sz="0" w:space="0" w:color="auto"/>
        <w:bottom w:val="none" w:sz="0" w:space="0" w:color="auto"/>
        <w:right w:val="none" w:sz="0" w:space="0" w:color="auto"/>
      </w:divBdr>
    </w:div>
    <w:div w:id="423186697">
      <w:bodyDiv w:val="1"/>
      <w:marLeft w:val="0"/>
      <w:marRight w:val="0"/>
      <w:marTop w:val="0"/>
      <w:marBottom w:val="0"/>
      <w:divBdr>
        <w:top w:val="none" w:sz="0" w:space="0" w:color="auto"/>
        <w:left w:val="none" w:sz="0" w:space="0" w:color="auto"/>
        <w:bottom w:val="none" w:sz="0" w:space="0" w:color="auto"/>
        <w:right w:val="none" w:sz="0" w:space="0" w:color="auto"/>
      </w:divBdr>
      <w:divsChild>
        <w:div w:id="174537055">
          <w:marLeft w:val="480"/>
          <w:marRight w:val="0"/>
          <w:marTop w:val="0"/>
          <w:marBottom w:val="0"/>
          <w:divBdr>
            <w:top w:val="none" w:sz="0" w:space="0" w:color="auto"/>
            <w:left w:val="none" w:sz="0" w:space="0" w:color="auto"/>
            <w:bottom w:val="none" w:sz="0" w:space="0" w:color="auto"/>
            <w:right w:val="none" w:sz="0" w:space="0" w:color="auto"/>
          </w:divBdr>
          <w:divsChild>
            <w:div w:id="15049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79412">
      <w:bodyDiv w:val="1"/>
      <w:marLeft w:val="0"/>
      <w:marRight w:val="0"/>
      <w:marTop w:val="0"/>
      <w:marBottom w:val="0"/>
      <w:divBdr>
        <w:top w:val="none" w:sz="0" w:space="0" w:color="auto"/>
        <w:left w:val="none" w:sz="0" w:space="0" w:color="auto"/>
        <w:bottom w:val="none" w:sz="0" w:space="0" w:color="auto"/>
        <w:right w:val="none" w:sz="0" w:space="0" w:color="auto"/>
      </w:divBdr>
    </w:div>
    <w:div w:id="598416192">
      <w:bodyDiv w:val="1"/>
      <w:marLeft w:val="0"/>
      <w:marRight w:val="0"/>
      <w:marTop w:val="0"/>
      <w:marBottom w:val="0"/>
      <w:divBdr>
        <w:top w:val="none" w:sz="0" w:space="0" w:color="auto"/>
        <w:left w:val="none" w:sz="0" w:space="0" w:color="auto"/>
        <w:bottom w:val="none" w:sz="0" w:space="0" w:color="auto"/>
        <w:right w:val="none" w:sz="0" w:space="0" w:color="auto"/>
      </w:divBdr>
      <w:divsChild>
        <w:div w:id="288125888">
          <w:marLeft w:val="0"/>
          <w:marRight w:val="0"/>
          <w:marTop w:val="0"/>
          <w:marBottom w:val="0"/>
          <w:divBdr>
            <w:top w:val="none" w:sz="0" w:space="0" w:color="auto"/>
            <w:left w:val="none" w:sz="0" w:space="0" w:color="auto"/>
            <w:bottom w:val="none" w:sz="0" w:space="0" w:color="auto"/>
            <w:right w:val="none" w:sz="0" w:space="0" w:color="auto"/>
          </w:divBdr>
        </w:div>
        <w:div w:id="804203247">
          <w:marLeft w:val="0"/>
          <w:marRight w:val="0"/>
          <w:marTop w:val="0"/>
          <w:marBottom w:val="0"/>
          <w:divBdr>
            <w:top w:val="none" w:sz="0" w:space="0" w:color="auto"/>
            <w:left w:val="none" w:sz="0" w:space="0" w:color="auto"/>
            <w:bottom w:val="none" w:sz="0" w:space="0" w:color="auto"/>
            <w:right w:val="none" w:sz="0" w:space="0" w:color="auto"/>
          </w:divBdr>
        </w:div>
      </w:divsChild>
    </w:div>
    <w:div w:id="627854806">
      <w:bodyDiv w:val="1"/>
      <w:marLeft w:val="0"/>
      <w:marRight w:val="0"/>
      <w:marTop w:val="0"/>
      <w:marBottom w:val="0"/>
      <w:divBdr>
        <w:top w:val="none" w:sz="0" w:space="0" w:color="auto"/>
        <w:left w:val="none" w:sz="0" w:space="0" w:color="auto"/>
        <w:bottom w:val="none" w:sz="0" w:space="0" w:color="auto"/>
        <w:right w:val="none" w:sz="0" w:space="0" w:color="auto"/>
      </w:divBdr>
      <w:divsChild>
        <w:div w:id="1585143128">
          <w:marLeft w:val="480"/>
          <w:marRight w:val="0"/>
          <w:marTop w:val="0"/>
          <w:marBottom w:val="0"/>
          <w:divBdr>
            <w:top w:val="none" w:sz="0" w:space="0" w:color="auto"/>
            <w:left w:val="none" w:sz="0" w:space="0" w:color="auto"/>
            <w:bottom w:val="none" w:sz="0" w:space="0" w:color="auto"/>
            <w:right w:val="none" w:sz="0" w:space="0" w:color="auto"/>
          </w:divBdr>
          <w:divsChild>
            <w:div w:id="18868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17470">
      <w:bodyDiv w:val="1"/>
      <w:marLeft w:val="0"/>
      <w:marRight w:val="0"/>
      <w:marTop w:val="0"/>
      <w:marBottom w:val="0"/>
      <w:divBdr>
        <w:top w:val="none" w:sz="0" w:space="0" w:color="auto"/>
        <w:left w:val="none" w:sz="0" w:space="0" w:color="auto"/>
        <w:bottom w:val="none" w:sz="0" w:space="0" w:color="auto"/>
        <w:right w:val="none" w:sz="0" w:space="0" w:color="auto"/>
      </w:divBdr>
      <w:divsChild>
        <w:div w:id="354384896">
          <w:marLeft w:val="480"/>
          <w:marRight w:val="0"/>
          <w:marTop w:val="0"/>
          <w:marBottom w:val="0"/>
          <w:divBdr>
            <w:top w:val="none" w:sz="0" w:space="0" w:color="auto"/>
            <w:left w:val="none" w:sz="0" w:space="0" w:color="auto"/>
            <w:bottom w:val="none" w:sz="0" w:space="0" w:color="auto"/>
            <w:right w:val="none" w:sz="0" w:space="0" w:color="auto"/>
          </w:divBdr>
          <w:divsChild>
            <w:div w:id="292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78071">
      <w:bodyDiv w:val="1"/>
      <w:marLeft w:val="0"/>
      <w:marRight w:val="0"/>
      <w:marTop w:val="0"/>
      <w:marBottom w:val="0"/>
      <w:divBdr>
        <w:top w:val="none" w:sz="0" w:space="0" w:color="auto"/>
        <w:left w:val="none" w:sz="0" w:space="0" w:color="auto"/>
        <w:bottom w:val="none" w:sz="0" w:space="0" w:color="auto"/>
        <w:right w:val="none" w:sz="0" w:space="0" w:color="auto"/>
      </w:divBdr>
    </w:div>
    <w:div w:id="823858041">
      <w:bodyDiv w:val="1"/>
      <w:marLeft w:val="0"/>
      <w:marRight w:val="0"/>
      <w:marTop w:val="0"/>
      <w:marBottom w:val="0"/>
      <w:divBdr>
        <w:top w:val="none" w:sz="0" w:space="0" w:color="auto"/>
        <w:left w:val="none" w:sz="0" w:space="0" w:color="auto"/>
        <w:bottom w:val="none" w:sz="0" w:space="0" w:color="auto"/>
        <w:right w:val="none" w:sz="0" w:space="0" w:color="auto"/>
      </w:divBdr>
      <w:divsChild>
        <w:div w:id="58553287">
          <w:marLeft w:val="480"/>
          <w:marRight w:val="0"/>
          <w:marTop w:val="0"/>
          <w:marBottom w:val="0"/>
          <w:divBdr>
            <w:top w:val="none" w:sz="0" w:space="0" w:color="auto"/>
            <w:left w:val="none" w:sz="0" w:space="0" w:color="auto"/>
            <w:bottom w:val="none" w:sz="0" w:space="0" w:color="auto"/>
            <w:right w:val="none" w:sz="0" w:space="0" w:color="auto"/>
          </w:divBdr>
          <w:divsChild>
            <w:div w:id="5053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7249">
      <w:bodyDiv w:val="1"/>
      <w:marLeft w:val="0"/>
      <w:marRight w:val="0"/>
      <w:marTop w:val="0"/>
      <w:marBottom w:val="0"/>
      <w:divBdr>
        <w:top w:val="none" w:sz="0" w:space="0" w:color="auto"/>
        <w:left w:val="none" w:sz="0" w:space="0" w:color="auto"/>
        <w:bottom w:val="none" w:sz="0" w:space="0" w:color="auto"/>
        <w:right w:val="none" w:sz="0" w:space="0" w:color="auto"/>
      </w:divBdr>
      <w:divsChild>
        <w:div w:id="634989482">
          <w:marLeft w:val="480"/>
          <w:marRight w:val="0"/>
          <w:marTop w:val="0"/>
          <w:marBottom w:val="0"/>
          <w:divBdr>
            <w:top w:val="none" w:sz="0" w:space="0" w:color="auto"/>
            <w:left w:val="none" w:sz="0" w:space="0" w:color="auto"/>
            <w:bottom w:val="none" w:sz="0" w:space="0" w:color="auto"/>
            <w:right w:val="none" w:sz="0" w:space="0" w:color="auto"/>
          </w:divBdr>
          <w:divsChild>
            <w:div w:id="12532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727461">
      <w:bodyDiv w:val="1"/>
      <w:marLeft w:val="0"/>
      <w:marRight w:val="0"/>
      <w:marTop w:val="0"/>
      <w:marBottom w:val="0"/>
      <w:divBdr>
        <w:top w:val="none" w:sz="0" w:space="0" w:color="auto"/>
        <w:left w:val="none" w:sz="0" w:space="0" w:color="auto"/>
        <w:bottom w:val="none" w:sz="0" w:space="0" w:color="auto"/>
        <w:right w:val="none" w:sz="0" w:space="0" w:color="auto"/>
      </w:divBdr>
    </w:div>
    <w:div w:id="1070807372">
      <w:bodyDiv w:val="1"/>
      <w:marLeft w:val="0"/>
      <w:marRight w:val="0"/>
      <w:marTop w:val="0"/>
      <w:marBottom w:val="0"/>
      <w:divBdr>
        <w:top w:val="none" w:sz="0" w:space="0" w:color="auto"/>
        <w:left w:val="none" w:sz="0" w:space="0" w:color="auto"/>
        <w:bottom w:val="none" w:sz="0" w:space="0" w:color="auto"/>
        <w:right w:val="none" w:sz="0" w:space="0" w:color="auto"/>
      </w:divBdr>
      <w:divsChild>
        <w:div w:id="339816900">
          <w:marLeft w:val="480"/>
          <w:marRight w:val="0"/>
          <w:marTop w:val="0"/>
          <w:marBottom w:val="0"/>
          <w:divBdr>
            <w:top w:val="none" w:sz="0" w:space="0" w:color="auto"/>
            <w:left w:val="none" w:sz="0" w:space="0" w:color="auto"/>
            <w:bottom w:val="none" w:sz="0" w:space="0" w:color="auto"/>
            <w:right w:val="none" w:sz="0" w:space="0" w:color="auto"/>
          </w:divBdr>
          <w:divsChild>
            <w:div w:id="186890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481">
      <w:bodyDiv w:val="1"/>
      <w:marLeft w:val="0"/>
      <w:marRight w:val="0"/>
      <w:marTop w:val="0"/>
      <w:marBottom w:val="0"/>
      <w:divBdr>
        <w:top w:val="none" w:sz="0" w:space="0" w:color="auto"/>
        <w:left w:val="none" w:sz="0" w:space="0" w:color="auto"/>
        <w:bottom w:val="none" w:sz="0" w:space="0" w:color="auto"/>
        <w:right w:val="none" w:sz="0" w:space="0" w:color="auto"/>
      </w:divBdr>
      <w:divsChild>
        <w:div w:id="959535579">
          <w:marLeft w:val="480"/>
          <w:marRight w:val="0"/>
          <w:marTop w:val="0"/>
          <w:marBottom w:val="0"/>
          <w:divBdr>
            <w:top w:val="none" w:sz="0" w:space="0" w:color="auto"/>
            <w:left w:val="none" w:sz="0" w:space="0" w:color="auto"/>
            <w:bottom w:val="none" w:sz="0" w:space="0" w:color="auto"/>
            <w:right w:val="none" w:sz="0" w:space="0" w:color="auto"/>
          </w:divBdr>
          <w:divsChild>
            <w:div w:id="6641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17196">
      <w:bodyDiv w:val="1"/>
      <w:marLeft w:val="0"/>
      <w:marRight w:val="0"/>
      <w:marTop w:val="0"/>
      <w:marBottom w:val="0"/>
      <w:divBdr>
        <w:top w:val="none" w:sz="0" w:space="0" w:color="auto"/>
        <w:left w:val="none" w:sz="0" w:space="0" w:color="auto"/>
        <w:bottom w:val="none" w:sz="0" w:space="0" w:color="auto"/>
        <w:right w:val="none" w:sz="0" w:space="0" w:color="auto"/>
      </w:divBdr>
      <w:divsChild>
        <w:div w:id="681662822">
          <w:marLeft w:val="480"/>
          <w:marRight w:val="0"/>
          <w:marTop w:val="0"/>
          <w:marBottom w:val="0"/>
          <w:divBdr>
            <w:top w:val="none" w:sz="0" w:space="0" w:color="auto"/>
            <w:left w:val="none" w:sz="0" w:space="0" w:color="auto"/>
            <w:bottom w:val="none" w:sz="0" w:space="0" w:color="auto"/>
            <w:right w:val="none" w:sz="0" w:space="0" w:color="auto"/>
          </w:divBdr>
          <w:divsChild>
            <w:div w:id="37821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571118">
      <w:bodyDiv w:val="1"/>
      <w:marLeft w:val="0"/>
      <w:marRight w:val="0"/>
      <w:marTop w:val="0"/>
      <w:marBottom w:val="0"/>
      <w:divBdr>
        <w:top w:val="none" w:sz="0" w:space="0" w:color="auto"/>
        <w:left w:val="none" w:sz="0" w:space="0" w:color="auto"/>
        <w:bottom w:val="none" w:sz="0" w:space="0" w:color="auto"/>
        <w:right w:val="none" w:sz="0" w:space="0" w:color="auto"/>
      </w:divBdr>
      <w:divsChild>
        <w:div w:id="1022316535">
          <w:marLeft w:val="0"/>
          <w:marRight w:val="0"/>
          <w:marTop w:val="225"/>
          <w:marBottom w:val="225"/>
          <w:divBdr>
            <w:top w:val="none" w:sz="0" w:space="0" w:color="auto"/>
            <w:left w:val="none" w:sz="0" w:space="0" w:color="auto"/>
            <w:bottom w:val="none" w:sz="0" w:space="0" w:color="auto"/>
            <w:right w:val="none" w:sz="0" w:space="0" w:color="auto"/>
          </w:divBdr>
          <w:divsChild>
            <w:div w:id="1718123337">
              <w:marLeft w:val="0"/>
              <w:marRight w:val="0"/>
              <w:marTop w:val="0"/>
              <w:marBottom w:val="0"/>
              <w:divBdr>
                <w:top w:val="none" w:sz="0" w:space="0" w:color="auto"/>
                <w:left w:val="none" w:sz="0" w:space="0" w:color="auto"/>
                <w:bottom w:val="none" w:sz="0" w:space="0" w:color="auto"/>
                <w:right w:val="none" w:sz="0" w:space="0" w:color="auto"/>
              </w:divBdr>
              <w:divsChild>
                <w:div w:id="1813450302">
                  <w:marLeft w:val="0"/>
                  <w:marRight w:val="0"/>
                  <w:marTop w:val="0"/>
                  <w:marBottom w:val="0"/>
                  <w:divBdr>
                    <w:top w:val="none" w:sz="0" w:space="0" w:color="auto"/>
                    <w:left w:val="none" w:sz="0" w:space="0" w:color="auto"/>
                    <w:bottom w:val="none" w:sz="0" w:space="0" w:color="auto"/>
                    <w:right w:val="none" w:sz="0" w:space="0" w:color="auto"/>
                  </w:divBdr>
                  <w:divsChild>
                    <w:div w:id="11592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985868">
      <w:bodyDiv w:val="1"/>
      <w:marLeft w:val="0"/>
      <w:marRight w:val="0"/>
      <w:marTop w:val="0"/>
      <w:marBottom w:val="0"/>
      <w:divBdr>
        <w:top w:val="none" w:sz="0" w:space="0" w:color="auto"/>
        <w:left w:val="none" w:sz="0" w:space="0" w:color="auto"/>
        <w:bottom w:val="none" w:sz="0" w:space="0" w:color="auto"/>
        <w:right w:val="none" w:sz="0" w:space="0" w:color="auto"/>
      </w:divBdr>
      <w:divsChild>
        <w:div w:id="38021352">
          <w:marLeft w:val="480"/>
          <w:marRight w:val="0"/>
          <w:marTop w:val="0"/>
          <w:marBottom w:val="0"/>
          <w:divBdr>
            <w:top w:val="none" w:sz="0" w:space="0" w:color="auto"/>
            <w:left w:val="none" w:sz="0" w:space="0" w:color="auto"/>
            <w:bottom w:val="none" w:sz="0" w:space="0" w:color="auto"/>
            <w:right w:val="none" w:sz="0" w:space="0" w:color="auto"/>
          </w:divBdr>
          <w:divsChild>
            <w:div w:id="13851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232341">
      <w:bodyDiv w:val="1"/>
      <w:marLeft w:val="0"/>
      <w:marRight w:val="0"/>
      <w:marTop w:val="0"/>
      <w:marBottom w:val="0"/>
      <w:divBdr>
        <w:top w:val="none" w:sz="0" w:space="0" w:color="auto"/>
        <w:left w:val="none" w:sz="0" w:space="0" w:color="auto"/>
        <w:bottom w:val="none" w:sz="0" w:space="0" w:color="auto"/>
        <w:right w:val="none" w:sz="0" w:space="0" w:color="auto"/>
      </w:divBdr>
      <w:divsChild>
        <w:div w:id="1673408438">
          <w:marLeft w:val="480"/>
          <w:marRight w:val="0"/>
          <w:marTop w:val="0"/>
          <w:marBottom w:val="0"/>
          <w:divBdr>
            <w:top w:val="none" w:sz="0" w:space="0" w:color="auto"/>
            <w:left w:val="none" w:sz="0" w:space="0" w:color="auto"/>
            <w:bottom w:val="none" w:sz="0" w:space="0" w:color="auto"/>
            <w:right w:val="none" w:sz="0" w:space="0" w:color="auto"/>
          </w:divBdr>
          <w:divsChild>
            <w:div w:id="19509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88668">
      <w:bodyDiv w:val="1"/>
      <w:marLeft w:val="0"/>
      <w:marRight w:val="0"/>
      <w:marTop w:val="0"/>
      <w:marBottom w:val="0"/>
      <w:divBdr>
        <w:top w:val="none" w:sz="0" w:space="0" w:color="auto"/>
        <w:left w:val="none" w:sz="0" w:space="0" w:color="auto"/>
        <w:bottom w:val="none" w:sz="0" w:space="0" w:color="auto"/>
        <w:right w:val="none" w:sz="0" w:space="0" w:color="auto"/>
      </w:divBdr>
    </w:div>
    <w:div w:id="1596748939">
      <w:bodyDiv w:val="1"/>
      <w:marLeft w:val="0"/>
      <w:marRight w:val="0"/>
      <w:marTop w:val="0"/>
      <w:marBottom w:val="0"/>
      <w:divBdr>
        <w:top w:val="none" w:sz="0" w:space="0" w:color="auto"/>
        <w:left w:val="none" w:sz="0" w:space="0" w:color="auto"/>
        <w:bottom w:val="none" w:sz="0" w:space="0" w:color="auto"/>
        <w:right w:val="none" w:sz="0" w:space="0" w:color="auto"/>
      </w:divBdr>
      <w:divsChild>
        <w:div w:id="406342393">
          <w:marLeft w:val="480"/>
          <w:marRight w:val="0"/>
          <w:marTop w:val="0"/>
          <w:marBottom w:val="0"/>
          <w:divBdr>
            <w:top w:val="none" w:sz="0" w:space="0" w:color="auto"/>
            <w:left w:val="none" w:sz="0" w:space="0" w:color="auto"/>
            <w:bottom w:val="none" w:sz="0" w:space="0" w:color="auto"/>
            <w:right w:val="none" w:sz="0" w:space="0" w:color="auto"/>
          </w:divBdr>
          <w:divsChild>
            <w:div w:id="7673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6650">
      <w:bodyDiv w:val="1"/>
      <w:marLeft w:val="0"/>
      <w:marRight w:val="0"/>
      <w:marTop w:val="0"/>
      <w:marBottom w:val="0"/>
      <w:divBdr>
        <w:top w:val="none" w:sz="0" w:space="0" w:color="auto"/>
        <w:left w:val="none" w:sz="0" w:space="0" w:color="auto"/>
        <w:bottom w:val="none" w:sz="0" w:space="0" w:color="auto"/>
        <w:right w:val="none" w:sz="0" w:space="0" w:color="auto"/>
      </w:divBdr>
      <w:divsChild>
        <w:div w:id="1853645637">
          <w:marLeft w:val="480"/>
          <w:marRight w:val="0"/>
          <w:marTop w:val="0"/>
          <w:marBottom w:val="0"/>
          <w:divBdr>
            <w:top w:val="none" w:sz="0" w:space="0" w:color="auto"/>
            <w:left w:val="none" w:sz="0" w:space="0" w:color="auto"/>
            <w:bottom w:val="none" w:sz="0" w:space="0" w:color="auto"/>
            <w:right w:val="none" w:sz="0" w:space="0" w:color="auto"/>
          </w:divBdr>
          <w:divsChild>
            <w:div w:id="17753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71781">
      <w:bodyDiv w:val="1"/>
      <w:marLeft w:val="0"/>
      <w:marRight w:val="0"/>
      <w:marTop w:val="0"/>
      <w:marBottom w:val="0"/>
      <w:divBdr>
        <w:top w:val="none" w:sz="0" w:space="0" w:color="auto"/>
        <w:left w:val="none" w:sz="0" w:space="0" w:color="auto"/>
        <w:bottom w:val="none" w:sz="0" w:space="0" w:color="auto"/>
        <w:right w:val="none" w:sz="0" w:space="0" w:color="auto"/>
      </w:divBdr>
    </w:div>
    <w:div w:id="1721703861">
      <w:bodyDiv w:val="1"/>
      <w:marLeft w:val="0"/>
      <w:marRight w:val="0"/>
      <w:marTop w:val="0"/>
      <w:marBottom w:val="0"/>
      <w:divBdr>
        <w:top w:val="none" w:sz="0" w:space="0" w:color="auto"/>
        <w:left w:val="none" w:sz="0" w:space="0" w:color="auto"/>
        <w:bottom w:val="none" w:sz="0" w:space="0" w:color="auto"/>
        <w:right w:val="none" w:sz="0" w:space="0" w:color="auto"/>
      </w:divBdr>
      <w:divsChild>
        <w:div w:id="2076052343">
          <w:marLeft w:val="480"/>
          <w:marRight w:val="0"/>
          <w:marTop w:val="0"/>
          <w:marBottom w:val="0"/>
          <w:divBdr>
            <w:top w:val="none" w:sz="0" w:space="0" w:color="auto"/>
            <w:left w:val="none" w:sz="0" w:space="0" w:color="auto"/>
            <w:bottom w:val="none" w:sz="0" w:space="0" w:color="auto"/>
            <w:right w:val="none" w:sz="0" w:space="0" w:color="auto"/>
          </w:divBdr>
          <w:divsChild>
            <w:div w:id="142511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0875">
      <w:bodyDiv w:val="1"/>
      <w:marLeft w:val="0"/>
      <w:marRight w:val="0"/>
      <w:marTop w:val="0"/>
      <w:marBottom w:val="0"/>
      <w:divBdr>
        <w:top w:val="none" w:sz="0" w:space="0" w:color="auto"/>
        <w:left w:val="none" w:sz="0" w:space="0" w:color="auto"/>
        <w:bottom w:val="none" w:sz="0" w:space="0" w:color="auto"/>
        <w:right w:val="none" w:sz="0" w:space="0" w:color="auto"/>
      </w:divBdr>
      <w:divsChild>
        <w:div w:id="934170439">
          <w:marLeft w:val="480"/>
          <w:marRight w:val="0"/>
          <w:marTop w:val="0"/>
          <w:marBottom w:val="0"/>
          <w:divBdr>
            <w:top w:val="none" w:sz="0" w:space="0" w:color="auto"/>
            <w:left w:val="none" w:sz="0" w:space="0" w:color="auto"/>
            <w:bottom w:val="none" w:sz="0" w:space="0" w:color="auto"/>
            <w:right w:val="none" w:sz="0" w:space="0" w:color="auto"/>
          </w:divBdr>
          <w:divsChild>
            <w:div w:id="78751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47386">
      <w:bodyDiv w:val="1"/>
      <w:marLeft w:val="0"/>
      <w:marRight w:val="0"/>
      <w:marTop w:val="0"/>
      <w:marBottom w:val="0"/>
      <w:divBdr>
        <w:top w:val="none" w:sz="0" w:space="0" w:color="auto"/>
        <w:left w:val="none" w:sz="0" w:space="0" w:color="auto"/>
        <w:bottom w:val="none" w:sz="0" w:space="0" w:color="auto"/>
        <w:right w:val="none" w:sz="0" w:space="0" w:color="auto"/>
      </w:divBdr>
    </w:div>
    <w:div w:id="1799301997">
      <w:bodyDiv w:val="1"/>
      <w:marLeft w:val="0"/>
      <w:marRight w:val="0"/>
      <w:marTop w:val="0"/>
      <w:marBottom w:val="0"/>
      <w:divBdr>
        <w:top w:val="none" w:sz="0" w:space="0" w:color="auto"/>
        <w:left w:val="none" w:sz="0" w:space="0" w:color="auto"/>
        <w:bottom w:val="none" w:sz="0" w:space="0" w:color="auto"/>
        <w:right w:val="none" w:sz="0" w:space="0" w:color="auto"/>
      </w:divBdr>
      <w:divsChild>
        <w:div w:id="1913805750">
          <w:marLeft w:val="480"/>
          <w:marRight w:val="0"/>
          <w:marTop w:val="0"/>
          <w:marBottom w:val="0"/>
          <w:divBdr>
            <w:top w:val="none" w:sz="0" w:space="0" w:color="auto"/>
            <w:left w:val="none" w:sz="0" w:space="0" w:color="auto"/>
            <w:bottom w:val="none" w:sz="0" w:space="0" w:color="auto"/>
            <w:right w:val="none" w:sz="0" w:space="0" w:color="auto"/>
          </w:divBdr>
          <w:divsChild>
            <w:div w:id="146277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29619">
      <w:bodyDiv w:val="1"/>
      <w:marLeft w:val="0"/>
      <w:marRight w:val="0"/>
      <w:marTop w:val="0"/>
      <w:marBottom w:val="0"/>
      <w:divBdr>
        <w:top w:val="none" w:sz="0" w:space="0" w:color="auto"/>
        <w:left w:val="none" w:sz="0" w:space="0" w:color="auto"/>
        <w:bottom w:val="none" w:sz="0" w:space="0" w:color="auto"/>
        <w:right w:val="none" w:sz="0" w:space="0" w:color="auto"/>
      </w:divBdr>
      <w:divsChild>
        <w:div w:id="1495223274">
          <w:marLeft w:val="480"/>
          <w:marRight w:val="0"/>
          <w:marTop w:val="0"/>
          <w:marBottom w:val="0"/>
          <w:divBdr>
            <w:top w:val="none" w:sz="0" w:space="0" w:color="auto"/>
            <w:left w:val="none" w:sz="0" w:space="0" w:color="auto"/>
            <w:bottom w:val="none" w:sz="0" w:space="0" w:color="auto"/>
            <w:right w:val="none" w:sz="0" w:space="0" w:color="auto"/>
          </w:divBdr>
          <w:divsChild>
            <w:div w:id="105539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81355">
      <w:bodyDiv w:val="1"/>
      <w:marLeft w:val="0"/>
      <w:marRight w:val="0"/>
      <w:marTop w:val="0"/>
      <w:marBottom w:val="0"/>
      <w:divBdr>
        <w:top w:val="none" w:sz="0" w:space="0" w:color="auto"/>
        <w:left w:val="none" w:sz="0" w:space="0" w:color="auto"/>
        <w:bottom w:val="none" w:sz="0" w:space="0" w:color="auto"/>
        <w:right w:val="none" w:sz="0" w:space="0" w:color="auto"/>
      </w:divBdr>
      <w:divsChild>
        <w:div w:id="167914685">
          <w:marLeft w:val="480"/>
          <w:marRight w:val="0"/>
          <w:marTop w:val="0"/>
          <w:marBottom w:val="0"/>
          <w:divBdr>
            <w:top w:val="none" w:sz="0" w:space="0" w:color="auto"/>
            <w:left w:val="none" w:sz="0" w:space="0" w:color="auto"/>
            <w:bottom w:val="none" w:sz="0" w:space="0" w:color="auto"/>
            <w:right w:val="none" w:sz="0" w:space="0" w:color="auto"/>
          </w:divBdr>
          <w:divsChild>
            <w:div w:id="114658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22552">
      <w:bodyDiv w:val="1"/>
      <w:marLeft w:val="0"/>
      <w:marRight w:val="0"/>
      <w:marTop w:val="0"/>
      <w:marBottom w:val="0"/>
      <w:divBdr>
        <w:top w:val="none" w:sz="0" w:space="0" w:color="auto"/>
        <w:left w:val="none" w:sz="0" w:space="0" w:color="auto"/>
        <w:bottom w:val="none" w:sz="0" w:space="0" w:color="auto"/>
        <w:right w:val="none" w:sz="0" w:space="0" w:color="auto"/>
      </w:divBdr>
      <w:divsChild>
        <w:div w:id="916017791">
          <w:marLeft w:val="480"/>
          <w:marRight w:val="0"/>
          <w:marTop w:val="0"/>
          <w:marBottom w:val="0"/>
          <w:divBdr>
            <w:top w:val="none" w:sz="0" w:space="0" w:color="auto"/>
            <w:left w:val="none" w:sz="0" w:space="0" w:color="auto"/>
            <w:bottom w:val="none" w:sz="0" w:space="0" w:color="auto"/>
            <w:right w:val="none" w:sz="0" w:space="0" w:color="auto"/>
          </w:divBdr>
          <w:divsChild>
            <w:div w:id="138290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1265">
      <w:bodyDiv w:val="1"/>
      <w:marLeft w:val="0"/>
      <w:marRight w:val="0"/>
      <w:marTop w:val="0"/>
      <w:marBottom w:val="0"/>
      <w:divBdr>
        <w:top w:val="none" w:sz="0" w:space="0" w:color="auto"/>
        <w:left w:val="none" w:sz="0" w:space="0" w:color="auto"/>
        <w:bottom w:val="none" w:sz="0" w:space="0" w:color="auto"/>
        <w:right w:val="none" w:sz="0" w:space="0" w:color="auto"/>
      </w:divBdr>
      <w:divsChild>
        <w:div w:id="1227572342">
          <w:marLeft w:val="480"/>
          <w:marRight w:val="0"/>
          <w:marTop w:val="0"/>
          <w:marBottom w:val="0"/>
          <w:divBdr>
            <w:top w:val="none" w:sz="0" w:space="0" w:color="auto"/>
            <w:left w:val="none" w:sz="0" w:space="0" w:color="auto"/>
            <w:bottom w:val="none" w:sz="0" w:space="0" w:color="auto"/>
            <w:right w:val="none" w:sz="0" w:space="0" w:color="auto"/>
          </w:divBdr>
          <w:divsChild>
            <w:div w:id="146060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11/1365-2745.12431" TargetMode="External"/><Relationship Id="rId21" Type="http://schemas.openxmlformats.org/officeDocument/2006/relationships/hyperlink" Target="https://doi.org/10.1002/ecy.2397" TargetMode="External"/><Relationship Id="rId42" Type="http://schemas.openxmlformats.org/officeDocument/2006/relationships/hyperlink" Target="https://doi.org/10.1111/geb.12336" TargetMode="External"/><Relationship Id="rId47" Type="http://schemas.openxmlformats.org/officeDocument/2006/relationships/hyperlink" Target="https://doi.org/10.1111/j.1365-2435.2010.01814.x" TargetMode="External"/><Relationship Id="rId63" Type="http://schemas.openxmlformats.org/officeDocument/2006/relationships/hyperlink" Target="https://doi.org/10.1890/11-0503.1" TargetMode="External"/><Relationship Id="rId68"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doi.org/10.1111/btp.12946" TargetMode="External"/><Relationship Id="rId29" Type="http://schemas.openxmlformats.org/officeDocument/2006/relationships/hyperlink" Target="https://doi.org/10.1073/pnas.0704301104" TargetMode="External"/><Relationship Id="rId11" Type="http://schemas.openxmlformats.org/officeDocument/2006/relationships/hyperlink" Target="https://doi.org/10.1016/j.tree.2016.07.011" TargetMode="External"/><Relationship Id="rId24" Type="http://schemas.openxmlformats.org/officeDocument/2006/relationships/hyperlink" Target="https://doi.org/10.1890/08-1634.1" TargetMode="External"/><Relationship Id="rId32" Type="http://schemas.openxmlformats.org/officeDocument/2006/relationships/hyperlink" Target="https://doi.org/10.1111/1365-2745.12866" TargetMode="External"/><Relationship Id="rId37" Type="http://schemas.openxmlformats.org/officeDocument/2006/relationships/hyperlink" Target="https://doi.org/10.1111/j.1461-0248.2007.01073.x" TargetMode="External"/><Relationship Id="rId40" Type="http://schemas.openxmlformats.org/officeDocument/2006/relationships/hyperlink" Target="https://doi.org/10.1007/s00442-016-3602-9" TargetMode="External"/><Relationship Id="rId45" Type="http://schemas.openxmlformats.org/officeDocument/2006/relationships/hyperlink" Target="https://doi.org/10.1007/s00442-012-2482-x" TargetMode="External"/><Relationship Id="rId53" Type="http://schemas.openxmlformats.org/officeDocument/2006/relationships/hyperlink" Target="https://doi.org/10.1016/0169-5347(94)90180-5" TargetMode="External"/><Relationship Id="rId58" Type="http://schemas.openxmlformats.org/officeDocument/2006/relationships/hyperlink" Target="https://doi.org/10.1086/423152" TargetMode="External"/><Relationship Id="rId66" Type="http://schemas.openxmlformats.org/officeDocument/2006/relationships/image" Target="media/image1.jpeg"/><Relationship Id="rId5" Type="http://schemas.openxmlformats.org/officeDocument/2006/relationships/webSettings" Target="webSettings.xml"/><Relationship Id="rId61" Type="http://schemas.openxmlformats.org/officeDocument/2006/relationships/hyperlink" Target="https://doi.org/10.1098/rspb.2014.0555" TargetMode="External"/><Relationship Id="rId19" Type="http://schemas.openxmlformats.org/officeDocument/2006/relationships/hyperlink" Target="https://doi.org/10.1007/s004420050098" TargetMode="External"/><Relationship Id="rId14" Type="http://schemas.openxmlformats.org/officeDocument/2006/relationships/hyperlink" Target="http://dx.doi.org/10.1002/ece3.2208" TargetMode="External"/><Relationship Id="rId22" Type="http://schemas.openxmlformats.org/officeDocument/2006/relationships/hyperlink" Target="https://www.jstor.org/stable/27826306" TargetMode="External"/><Relationship Id="rId27" Type="http://schemas.openxmlformats.org/officeDocument/2006/relationships/hyperlink" Target="https://doi.org/10.1073/pnas.1707727114" TargetMode="External"/><Relationship Id="rId30" Type="http://schemas.openxmlformats.org/officeDocument/2006/relationships/hyperlink" Target="https://doi.org/10.2307/2388905" TargetMode="External"/><Relationship Id="rId35" Type="http://schemas.openxmlformats.org/officeDocument/2006/relationships/hyperlink" Target="https://www.jstor.org/stable/2458808" TargetMode="External"/><Relationship Id="rId43" Type="http://schemas.openxmlformats.org/officeDocument/2006/relationships/hyperlink" Target="https://doi.org/10.1111/1365-2745.13065" TargetMode="External"/><Relationship Id="rId48" Type="http://schemas.openxmlformats.org/officeDocument/2006/relationships/hyperlink" Target="https://doi.org/10.1046/j.1365-2745.2003.00803.x" TargetMode="External"/><Relationship Id="rId56" Type="http://schemas.openxmlformats.org/officeDocument/2006/relationships/hyperlink" Target="https://doi.org/10.1007/s00442-016-3629-y" TargetMode="External"/><Relationship Id="rId64" Type="http://schemas.openxmlformats.org/officeDocument/2006/relationships/hyperlink" Target="https://doi.org/10.1111/1365-2745.12588" TargetMode="External"/><Relationship Id="rId69" Type="http://schemas.openxmlformats.org/officeDocument/2006/relationships/image" Target="media/image4.emf"/><Relationship Id="rId8" Type="http://schemas.openxmlformats.org/officeDocument/2006/relationships/hyperlink" Target="https://herbvar.org" TargetMode="External"/><Relationship Id="rId51" Type="http://schemas.openxmlformats.org/officeDocument/2006/relationships/hyperlink" Target="https://doi.org/10.1111/j.1744-7429.2008.00438.x"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doi.org/10.1146/annurev.ecolsys.110308.120242" TargetMode="External"/><Relationship Id="rId17" Type="http://schemas.openxmlformats.org/officeDocument/2006/relationships/hyperlink" Target="https://doi.org/10.1371/journal.pone.0044247" TargetMode="External"/><Relationship Id="rId25" Type="http://schemas.openxmlformats.org/officeDocument/2006/relationships/hyperlink" Target="https://doi.org/10.1016/j.cois.2018.11.008" TargetMode="External"/><Relationship Id="rId33" Type="http://schemas.openxmlformats.org/officeDocument/2006/relationships/hyperlink" Target="https://doi.org/10.1002/ecy.2736" TargetMode="External"/><Relationship Id="rId38" Type="http://schemas.openxmlformats.org/officeDocument/2006/relationships/hyperlink" Target="https://doi.org/10.1146/annurev-ento-041720-075234" TargetMode="External"/><Relationship Id="rId46" Type="http://schemas.openxmlformats.org/officeDocument/2006/relationships/hyperlink" Target="https://arxiv.org/abs/1511.05604" TargetMode="External"/><Relationship Id="rId59" Type="http://schemas.openxmlformats.org/officeDocument/2006/relationships/hyperlink" Target="https://doi.org/10.1073/pnas.0508839102" TargetMode="External"/><Relationship Id="rId67" Type="http://schemas.openxmlformats.org/officeDocument/2006/relationships/image" Target="media/image2.jpeg"/><Relationship Id="rId20" Type="http://schemas.openxmlformats.org/officeDocument/2006/relationships/hyperlink" Target="https://doi.org/10.1007/s11829-019-09687-y" TargetMode="External"/><Relationship Id="rId41" Type="http://schemas.openxmlformats.org/officeDocument/2006/relationships/hyperlink" Target="https://doi.org/10.1073/pnas.1813211116" TargetMode="External"/><Relationship Id="rId54" Type="http://schemas.openxmlformats.org/officeDocument/2006/relationships/hyperlink" Target="http://www.jstatsoft.org/v48/i02/" TargetMode="External"/><Relationship Id="rId62" Type="http://schemas.openxmlformats.org/officeDocument/2006/relationships/hyperlink" Target="https://doi.org/10.1007/s00442-007-0673-7" TargetMode="External"/><Relationship Id="rId7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890/08-1271.1" TargetMode="External"/><Relationship Id="rId23" Type="http://schemas.openxmlformats.org/officeDocument/2006/relationships/hyperlink" Target="https://doi.org/10.1038/nature05884" TargetMode="External"/><Relationship Id="rId28" Type="http://schemas.openxmlformats.org/officeDocument/2006/relationships/hyperlink" Target="https://doi.org/10.3389/fpls.2018.01237" TargetMode="External"/><Relationship Id="rId36" Type="http://schemas.openxmlformats.org/officeDocument/2006/relationships/hyperlink" Target="https://doi.org/10.1890/0012-9658(1999)080%5b2676:HDIFPA%5d2.0.CO;2" TargetMode="External"/><Relationship Id="rId49" Type="http://schemas.openxmlformats.org/officeDocument/2006/relationships/hyperlink" Target="https://doi.org/10.1007/s00442-003-1361-x" TargetMode="External"/><Relationship Id="rId57" Type="http://schemas.openxmlformats.org/officeDocument/2006/relationships/hyperlink" Target="https://doi.org/10.1111/nph.12695" TargetMode="External"/><Relationship Id="rId10" Type="http://schemas.openxmlformats.org/officeDocument/2006/relationships/hyperlink" Target="https://www.jstor.org/stable/23027668" TargetMode="External"/><Relationship Id="rId31" Type="http://schemas.openxmlformats.org/officeDocument/2006/relationships/hyperlink" Target="https://doi.org/10.1073/pnas.1423042112" TargetMode="External"/><Relationship Id="rId44" Type="http://schemas.openxmlformats.org/officeDocument/2006/relationships/hyperlink" Target="https://doi.org/10.2307/1938727" TargetMode="External"/><Relationship Id="rId52" Type="http://schemas.openxmlformats.org/officeDocument/2006/relationships/hyperlink" Target="https://doi.org/10.2307/1942161" TargetMode="External"/><Relationship Id="rId60" Type="http://schemas.openxmlformats.org/officeDocument/2006/relationships/hyperlink" Target="https://doi.org/10.1016/S0169-5347(98)01576-6" TargetMode="External"/><Relationship Id="rId65" Type="http://schemas.openxmlformats.org/officeDocument/2006/relationships/footer" Target="footer1.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111/j.1469-8137.2011.04049.x" TargetMode="External"/><Relationship Id="rId13" Type="http://schemas.openxmlformats.org/officeDocument/2006/relationships/hyperlink" Target="https://doi.org/10.1007/s10886-008-9498-z" TargetMode="External"/><Relationship Id="rId18" Type="http://schemas.openxmlformats.org/officeDocument/2006/relationships/hyperlink" Target="https://doi.org/10.2307/2937384" TargetMode="External"/><Relationship Id="rId39" Type="http://schemas.openxmlformats.org/officeDocument/2006/relationships/hyperlink" Target="https://doi.org/10.1111/j.1469-8137.2011.03816.x" TargetMode="External"/><Relationship Id="rId34" Type="http://schemas.openxmlformats.org/officeDocument/2006/relationships/hyperlink" Target="https://doi.org/10.1086/700838" TargetMode="External"/><Relationship Id="rId50" Type="http://schemas.openxmlformats.org/officeDocument/2006/relationships/hyperlink" Target="https://doi.org/10.1017/S0266467406003907" TargetMode="External"/><Relationship Id="rId55" Type="http://schemas.openxmlformats.org/officeDocument/2006/relationships/hyperlink" Target="https://doi.org/10.1073/pnas.1202907109" TargetMode="External"/><Relationship Id="rId7" Type="http://schemas.openxmlformats.org/officeDocument/2006/relationships/endnotes" Target="endnote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3A88C-B2E5-4957-9F3C-32D6C420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11077</Words>
  <Characters>63140</Characters>
  <Application>Microsoft Office Word</Application>
  <DocSecurity>0</DocSecurity>
  <Lines>526</Lines>
  <Paragraphs>148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massad</dc:creator>
  <cp:keywords/>
  <dc:description/>
  <cp:lastModifiedBy>Massad, Tara J</cp:lastModifiedBy>
  <cp:revision>4</cp:revision>
  <cp:lastPrinted>2022-11-05T07:34:00Z</cp:lastPrinted>
  <dcterms:created xsi:type="dcterms:W3CDTF">2023-05-22T23:24:00Z</dcterms:created>
  <dcterms:modified xsi:type="dcterms:W3CDTF">2023-05-23T00:14:00Z</dcterms:modified>
</cp:coreProperties>
</file>