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E4B7D0F" w14:textId="77777777" w:rsidR="00A7791B" w:rsidRDefault="00A7791B" w:rsidP="00A7791B">
      <w:pPr>
        <w:jc w:val="both"/>
        <w:rPr>
          <w:rFonts w:ascii="Helvetica" w:hAnsi="Helvetica" w:cs="Helvetica"/>
          <w:b/>
          <w:bCs/>
          <w:color w:val="2E2B2B"/>
          <w:sz w:val="24"/>
          <w:szCs w:val="24"/>
          <w:shd w:val="clear" w:color="auto" w:fill="FFFFFF"/>
        </w:rPr>
      </w:pPr>
      <w:r w:rsidRPr="001A0B5E">
        <w:rPr>
          <w:rFonts w:ascii="Helvetica" w:hAnsi="Helvetica" w:cs="Helvetica"/>
          <w:b/>
          <w:bCs/>
          <w:color w:val="2E2B2B"/>
          <w:sz w:val="24"/>
          <w:szCs w:val="24"/>
          <w:shd w:val="clear" w:color="auto" w:fill="FFFFFF"/>
        </w:rPr>
        <w:t xml:space="preserve">Complete Form of </w:t>
      </w:r>
      <w:proofErr w:type="spellStart"/>
      <w:r w:rsidRPr="001A0B5E">
        <w:rPr>
          <w:rFonts w:ascii="Helvetica" w:hAnsi="Helvetica" w:cs="Helvetica"/>
          <w:b/>
          <w:bCs/>
          <w:color w:val="2E2B2B"/>
          <w:sz w:val="24"/>
          <w:szCs w:val="24"/>
          <w:shd w:val="clear" w:color="auto" w:fill="FFFFFF"/>
        </w:rPr>
        <w:t>Pachydermoperiostosis</w:t>
      </w:r>
      <w:proofErr w:type="spellEnd"/>
      <w:r w:rsidRPr="001A0B5E">
        <w:rPr>
          <w:rFonts w:ascii="Helvetica" w:hAnsi="Helvetica" w:cs="Helvetica"/>
          <w:b/>
          <w:bCs/>
          <w:color w:val="2E2B2B"/>
          <w:sz w:val="24"/>
          <w:szCs w:val="24"/>
          <w:shd w:val="clear" w:color="auto" w:fill="FFFFFF"/>
        </w:rPr>
        <w:t xml:space="preserve"> with Good Initial Response to Etoricoxib: A Case Report</w:t>
      </w:r>
    </w:p>
    <w:p w14:paraId="110996AC" w14:textId="288602FF" w:rsidR="00A7791B" w:rsidRDefault="001A19B9" w:rsidP="00A7791B">
      <w:pPr>
        <w:jc w:val="both"/>
        <w:rPr>
          <w:rFonts w:cstheme="minorHAnsi"/>
          <w:color w:val="2E2B2B"/>
          <w:sz w:val="24"/>
          <w:szCs w:val="24"/>
          <w:shd w:val="clear" w:color="auto" w:fill="FFFFFF"/>
        </w:rPr>
      </w:pPr>
      <w:r w:rsidRPr="001A19B9">
        <w:rPr>
          <w:rFonts w:cstheme="minorHAnsi"/>
          <w:color w:val="2E2B2B"/>
          <w:sz w:val="24"/>
          <w:szCs w:val="24"/>
          <w:shd w:val="clear" w:color="auto" w:fill="FFFFFF"/>
          <w:vertAlign w:val="superscript"/>
        </w:rPr>
        <w:t>1</w:t>
      </w:r>
      <w:r w:rsidR="00C56FC4" w:rsidRPr="001A19B9">
        <w:rPr>
          <w:rFonts w:cstheme="minorHAnsi"/>
          <w:color w:val="2E2B2B"/>
          <w:sz w:val="24"/>
          <w:szCs w:val="24"/>
          <w:shd w:val="clear" w:color="auto" w:fill="FFFFFF"/>
        </w:rPr>
        <w:t xml:space="preserve">Abinash Baniya, </w:t>
      </w:r>
      <w:r w:rsidRPr="001A19B9">
        <w:rPr>
          <w:rFonts w:cstheme="minorHAnsi"/>
          <w:color w:val="2E2B2B"/>
          <w:sz w:val="24"/>
          <w:szCs w:val="24"/>
          <w:shd w:val="clear" w:color="auto" w:fill="FFFFFF"/>
          <w:vertAlign w:val="superscript"/>
        </w:rPr>
        <w:t>1</w:t>
      </w:r>
      <w:r w:rsidR="00C56FC4" w:rsidRPr="001A19B9">
        <w:rPr>
          <w:rFonts w:cstheme="minorHAnsi"/>
          <w:color w:val="2E2B2B"/>
          <w:sz w:val="24"/>
          <w:szCs w:val="24"/>
          <w:shd w:val="clear" w:color="auto" w:fill="FFFFFF"/>
        </w:rPr>
        <w:t xml:space="preserve">Ayam Bhattarai, </w:t>
      </w:r>
      <w:r w:rsidRPr="001A19B9">
        <w:rPr>
          <w:rFonts w:cstheme="minorHAnsi"/>
          <w:color w:val="2E2B2B"/>
          <w:sz w:val="24"/>
          <w:szCs w:val="24"/>
          <w:shd w:val="clear" w:color="auto" w:fill="FFFFFF"/>
          <w:vertAlign w:val="superscript"/>
        </w:rPr>
        <w:t>1</w:t>
      </w:r>
      <w:r w:rsidRPr="001A19B9">
        <w:rPr>
          <w:rFonts w:cstheme="minorHAnsi"/>
          <w:color w:val="2E2B2B"/>
          <w:sz w:val="24"/>
          <w:szCs w:val="24"/>
          <w:shd w:val="clear" w:color="auto" w:fill="FFFFFF"/>
        </w:rPr>
        <w:t xml:space="preserve">Bibek </w:t>
      </w:r>
      <w:proofErr w:type="spellStart"/>
      <w:r w:rsidRPr="001A19B9">
        <w:rPr>
          <w:rFonts w:cstheme="minorHAnsi"/>
          <w:color w:val="2E2B2B"/>
          <w:sz w:val="24"/>
          <w:szCs w:val="24"/>
          <w:shd w:val="clear" w:color="auto" w:fill="FFFFFF"/>
        </w:rPr>
        <w:t>Devkota</w:t>
      </w:r>
      <w:proofErr w:type="spellEnd"/>
      <w:r w:rsidRPr="001A19B9">
        <w:rPr>
          <w:rFonts w:cstheme="minorHAnsi"/>
          <w:color w:val="2E2B2B"/>
          <w:sz w:val="24"/>
          <w:szCs w:val="24"/>
          <w:shd w:val="clear" w:color="auto" w:fill="FFFFFF"/>
        </w:rPr>
        <w:t xml:space="preserve">, </w:t>
      </w:r>
      <w:r w:rsidRPr="001A19B9">
        <w:rPr>
          <w:rFonts w:cstheme="minorHAnsi"/>
          <w:color w:val="2E2B2B"/>
          <w:sz w:val="24"/>
          <w:szCs w:val="24"/>
          <w:shd w:val="clear" w:color="auto" w:fill="FFFFFF"/>
          <w:vertAlign w:val="superscript"/>
        </w:rPr>
        <w:t>1</w:t>
      </w:r>
      <w:r w:rsidRPr="001A19B9">
        <w:rPr>
          <w:rFonts w:cstheme="minorHAnsi"/>
          <w:color w:val="2E2B2B"/>
          <w:sz w:val="24"/>
          <w:szCs w:val="24"/>
          <w:shd w:val="clear" w:color="auto" w:fill="FFFFFF"/>
        </w:rPr>
        <w:t xml:space="preserve">Saurav Khatiwada, </w:t>
      </w:r>
      <w:r w:rsidRPr="001A19B9">
        <w:rPr>
          <w:rFonts w:cstheme="minorHAnsi"/>
          <w:color w:val="2E2B2B"/>
          <w:sz w:val="24"/>
          <w:szCs w:val="24"/>
          <w:shd w:val="clear" w:color="auto" w:fill="FFFFFF"/>
          <w:vertAlign w:val="superscript"/>
        </w:rPr>
        <w:t>1</w:t>
      </w:r>
      <w:r w:rsidRPr="001A19B9">
        <w:rPr>
          <w:rFonts w:cstheme="minorHAnsi"/>
          <w:color w:val="2E2B2B"/>
          <w:sz w:val="24"/>
          <w:szCs w:val="24"/>
          <w:shd w:val="clear" w:color="auto" w:fill="FFFFFF"/>
        </w:rPr>
        <w:t xml:space="preserve">Pramod Kumar </w:t>
      </w:r>
      <w:proofErr w:type="spellStart"/>
      <w:r w:rsidRPr="001A19B9">
        <w:rPr>
          <w:rFonts w:cstheme="minorHAnsi"/>
          <w:color w:val="2E2B2B"/>
          <w:sz w:val="24"/>
          <w:szCs w:val="24"/>
          <w:shd w:val="clear" w:color="auto" w:fill="FFFFFF"/>
        </w:rPr>
        <w:t>Kafle</w:t>
      </w:r>
      <w:proofErr w:type="spellEnd"/>
      <w:r w:rsidRPr="001A19B9">
        <w:rPr>
          <w:rFonts w:cstheme="minorHAnsi"/>
          <w:color w:val="2E2B2B"/>
          <w:sz w:val="24"/>
          <w:szCs w:val="24"/>
          <w:shd w:val="clear" w:color="auto" w:fill="FFFFFF"/>
        </w:rPr>
        <w:t xml:space="preserve">, </w:t>
      </w:r>
      <w:r w:rsidRPr="001A19B9">
        <w:rPr>
          <w:rFonts w:cstheme="minorHAnsi"/>
          <w:color w:val="2E2B2B"/>
          <w:sz w:val="24"/>
          <w:szCs w:val="24"/>
          <w:shd w:val="clear" w:color="auto" w:fill="FFFFFF"/>
          <w:vertAlign w:val="superscript"/>
        </w:rPr>
        <w:t>1</w:t>
      </w:r>
      <w:r w:rsidRPr="001A19B9">
        <w:rPr>
          <w:rFonts w:cstheme="minorHAnsi"/>
          <w:color w:val="2E2B2B"/>
          <w:sz w:val="24"/>
          <w:szCs w:val="24"/>
          <w:shd w:val="clear" w:color="auto" w:fill="FFFFFF"/>
        </w:rPr>
        <w:t xml:space="preserve">Achyut Krishna </w:t>
      </w:r>
      <w:proofErr w:type="spellStart"/>
      <w:r w:rsidRPr="001A19B9">
        <w:rPr>
          <w:rFonts w:cstheme="minorHAnsi"/>
          <w:color w:val="2E2B2B"/>
          <w:sz w:val="24"/>
          <w:szCs w:val="24"/>
          <w:shd w:val="clear" w:color="auto" w:fill="FFFFFF"/>
        </w:rPr>
        <w:t>Phuyal</w:t>
      </w:r>
      <w:proofErr w:type="spellEnd"/>
      <w:r w:rsidRPr="001A19B9">
        <w:rPr>
          <w:rFonts w:cstheme="minorHAnsi"/>
          <w:color w:val="2E2B2B"/>
          <w:sz w:val="24"/>
          <w:szCs w:val="24"/>
          <w:shd w:val="clear" w:color="auto" w:fill="FFFFFF"/>
        </w:rPr>
        <w:t xml:space="preserve">, </w:t>
      </w:r>
      <w:r w:rsidRPr="001A19B9">
        <w:rPr>
          <w:rFonts w:cstheme="minorHAnsi"/>
          <w:color w:val="2E2B2B"/>
          <w:sz w:val="24"/>
          <w:szCs w:val="24"/>
          <w:shd w:val="clear" w:color="auto" w:fill="FFFFFF"/>
          <w:vertAlign w:val="superscript"/>
        </w:rPr>
        <w:t>1</w:t>
      </w:r>
      <w:r w:rsidRPr="001A19B9">
        <w:rPr>
          <w:rFonts w:cstheme="minorHAnsi"/>
          <w:color w:val="2E2B2B"/>
          <w:sz w:val="24"/>
          <w:szCs w:val="24"/>
          <w:shd w:val="clear" w:color="auto" w:fill="FFFFFF"/>
        </w:rPr>
        <w:t>Manoj Shahi</w:t>
      </w:r>
    </w:p>
    <w:p w14:paraId="7E29F9EB" w14:textId="77777777" w:rsidR="001A19B9" w:rsidRDefault="001A19B9" w:rsidP="00A7791B">
      <w:pPr>
        <w:jc w:val="both"/>
        <w:rPr>
          <w:rFonts w:cstheme="minorHAnsi"/>
          <w:color w:val="2E2B2B"/>
          <w:szCs w:val="22"/>
          <w:shd w:val="clear" w:color="auto" w:fill="FFFFFF"/>
        </w:rPr>
      </w:pPr>
      <w:r w:rsidRPr="001A19B9">
        <w:rPr>
          <w:rFonts w:cstheme="minorHAnsi"/>
          <w:color w:val="2E2B2B"/>
          <w:szCs w:val="22"/>
          <w:shd w:val="clear" w:color="auto" w:fill="FFFFFF"/>
          <w:vertAlign w:val="superscript"/>
        </w:rPr>
        <w:t>1</w:t>
      </w:r>
      <w:r>
        <w:rPr>
          <w:rFonts w:cstheme="minorHAnsi"/>
          <w:color w:val="2E2B2B"/>
          <w:szCs w:val="22"/>
          <w:shd w:val="clear" w:color="auto" w:fill="FFFFFF"/>
        </w:rPr>
        <w:t xml:space="preserve">Chitwan Medical College, </w:t>
      </w:r>
      <w:proofErr w:type="spellStart"/>
      <w:r>
        <w:rPr>
          <w:rFonts w:cstheme="minorHAnsi"/>
          <w:color w:val="2E2B2B"/>
          <w:szCs w:val="22"/>
          <w:shd w:val="clear" w:color="auto" w:fill="FFFFFF"/>
        </w:rPr>
        <w:t>Bharatpur</w:t>
      </w:r>
      <w:proofErr w:type="spellEnd"/>
      <w:r>
        <w:rPr>
          <w:rFonts w:cstheme="minorHAnsi"/>
          <w:color w:val="2E2B2B"/>
          <w:szCs w:val="22"/>
          <w:shd w:val="clear" w:color="auto" w:fill="FFFFFF"/>
        </w:rPr>
        <w:t>, Chitwan, Nepal</w:t>
      </w:r>
    </w:p>
    <w:p w14:paraId="51BD4188" w14:textId="379F87D0" w:rsidR="001A19B9" w:rsidRPr="001A19B9" w:rsidRDefault="001A19B9" w:rsidP="00A7791B">
      <w:pPr>
        <w:jc w:val="both"/>
        <w:rPr>
          <w:rFonts w:cstheme="minorHAnsi"/>
          <w:color w:val="2E2B2B"/>
          <w:szCs w:val="22"/>
          <w:shd w:val="clear" w:color="auto" w:fill="FFFFFF"/>
        </w:rPr>
      </w:pPr>
      <w:r>
        <w:rPr>
          <w:rFonts w:cstheme="minorHAnsi"/>
          <w:color w:val="2E2B2B"/>
          <w:szCs w:val="22"/>
          <w:shd w:val="clear" w:color="auto" w:fill="FFFFFF"/>
        </w:rPr>
        <w:t xml:space="preserve">Corresponding author: </w:t>
      </w:r>
      <w:proofErr w:type="spellStart"/>
      <w:r>
        <w:rPr>
          <w:rFonts w:cstheme="minorHAnsi"/>
          <w:color w:val="2E2B2B"/>
          <w:szCs w:val="22"/>
          <w:shd w:val="clear" w:color="auto" w:fill="FFFFFF"/>
        </w:rPr>
        <w:t>Abinash</w:t>
      </w:r>
      <w:proofErr w:type="spellEnd"/>
      <w:r>
        <w:rPr>
          <w:rFonts w:cstheme="minorHAnsi"/>
          <w:color w:val="2E2B2B"/>
          <w:szCs w:val="22"/>
          <w:shd w:val="clear" w:color="auto" w:fill="FFFFFF"/>
        </w:rPr>
        <w:t xml:space="preserve"> Baniya (</w:t>
      </w:r>
      <w:hyperlink r:id="rId5" w:history="1">
        <w:r w:rsidRPr="00C55573">
          <w:rPr>
            <w:rStyle w:val="Hyperlink"/>
            <w:rFonts w:cstheme="minorHAnsi"/>
            <w:szCs w:val="22"/>
            <w:shd w:val="clear" w:color="auto" w:fill="FFFFFF"/>
          </w:rPr>
          <w:t>abinashbaniya25@gmail.com</w:t>
        </w:r>
      </w:hyperlink>
      <w:r>
        <w:rPr>
          <w:rFonts w:cstheme="minorHAnsi"/>
          <w:color w:val="2E2B2B"/>
          <w:szCs w:val="22"/>
          <w:shd w:val="clear" w:color="auto" w:fill="FFFFFF"/>
        </w:rPr>
        <w:t>)</w:t>
      </w:r>
    </w:p>
    <w:p w14:paraId="37E5FF61" w14:textId="77777777" w:rsidR="00A7791B" w:rsidRPr="001A19B9" w:rsidRDefault="00A7791B" w:rsidP="00A7791B">
      <w:pPr>
        <w:jc w:val="both"/>
        <w:rPr>
          <w:rFonts w:cstheme="minorHAnsi"/>
          <w:b/>
          <w:bCs/>
          <w:color w:val="2E2B2B"/>
          <w:sz w:val="24"/>
          <w:szCs w:val="24"/>
          <w:u w:val="single"/>
          <w:shd w:val="clear" w:color="auto" w:fill="FFFFFF"/>
        </w:rPr>
      </w:pPr>
      <w:r w:rsidRPr="001A19B9">
        <w:rPr>
          <w:rFonts w:cstheme="minorHAnsi"/>
          <w:b/>
          <w:bCs/>
          <w:color w:val="2E2B2B"/>
          <w:sz w:val="24"/>
          <w:szCs w:val="24"/>
          <w:u w:val="single"/>
          <w:shd w:val="clear" w:color="auto" w:fill="FFFFFF"/>
        </w:rPr>
        <w:t>INTRODUCTION</w:t>
      </w:r>
    </w:p>
    <w:p w14:paraId="0D82FD3D" w14:textId="77777777" w:rsidR="00A7791B" w:rsidRPr="008C0CEA" w:rsidRDefault="00A7791B" w:rsidP="00A7791B">
      <w:pPr>
        <w:jc w:val="both"/>
        <w:rPr>
          <w:rFonts w:cstheme="minorHAnsi"/>
          <w:sz w:val="24"/>
          <w:szCs w:val="24"/>
        </w:rPr>
      </w:pPr>
      <w:proofErr w:type="spellStart"/>
      <w:r w:rsidRPr="008C0CEA">
        <w:rPr>
          <w:rFonts w:cstheme="minorHAnsi"/>
          <w:color w:val="2E2B2B"/>
          <w:sz w:val="24"/>
          <w:szCs w:val="24"/>
          <w:shd w:val="clear" w:color="auto" w:fill="FFFFFF"/>
        </w:rPr>
        <w:t>Pachydermoperiostosis</w:t>
      </w:r>
      <w:proofErr w:type="spellEnd"/>
      <w:r>
        <w:rPr>
          <w:rFonts w:cstheme="minorHAnsi"/>
          <w:color w:val="2E2B2B"/>
          <w:sz w:val="24"/>
          <w:szCs w:val="24"/>
          <w:shd w:val="clear" w:color="auto" w:fill="FFFFFF"/>
        </w:rPr>
        <w:t xml:space="preserve"> </w:t>
      </w:r>
      <w:r w:rsidRPr="008C0CEA">
        <w:rPr>
          <w:rFonts w:cstheme="minorHAnsi"/>
          <w:color w:val="2E2B2B"/>
          <w:sz w:val="24"/>
          <w:szCs w:val="24"/>
          <w:shd w:val="clear" w:color="auto" w:fill="FFFFFF"/>
        </w:rPr>
        <w:t xml:space="preserve">(PDP) also known as </w:t>
      </w:r>
      <w:r w:rsidRPr="008C0CEA">
        <w:rPr>
          <w:rFonts w:cstheme="minorHAnsi"/>
          <w:sz w:val="24"/>
          <w:szCs w:val="24"/>
        </w:rPr>
        <w:t>Touraine–</w:t>
      </w:r>
      <w:proofErr w:type="spellStart"/>
      <w:r w:rsidRPr="008C0CEA">
        <w:rPr>
          <w:rFonts w:cstheme="minorHAnsi"/>
          <w:sz w:val="24"/>
          <w:szCs w:val="24"/>
        </w:rPr>
        <w:t>Solente</w:t>
      </w:r>
      <w:proofErr w:type="spellEnd"/>
      <w:r w:rsidRPr="008C0CEA">
        <w:rPr>
          <w:rFonts w:cstheme="minorHAnsi"/>
          <w:sz w:val="24"/>
          <w:szCs w:val="24"/>
        </w:rPr>
        <w:t xml:space="preserve">– </w:t>
      </w:r>
      <w:proofErr w:type="spellStart"/>
      <w:r w:rsidRPr="008C0CEA">
        <w:rPr>
          <w:rFonts w:cstheme="minorHAnsi"/>
          <w:sz w:val="24"/>
          <w:szCs w:val="24"/>
        </w:rPr>
        <w:t>Gole</w:t>
      </w:r>
      <w:proofErr w:type="spellEnd"/>
      <w:r w:rsidRPr="008C0CEA">
        <w:rPr>
          <w:rFonts w:cstheme="minorHAnsi"/>
          <w:sz w:val="24"/>
          <w:szCs w:val="24"/>
        </w:rPr>
        <w:t xml:space="preserve"> syndrome, </w:t>
      </w:r>
      <w:r>
        <w:rPr>
          <w:rFonts w:cstheme="minorHAnsi"/>
          <w:sz w:val="24"/>
          <w:szCs w:val="24"/>
        </w:rPr>
        <w:t>the</w:t>
      </w:r>
      <w:r w:rsidRPr="008C0CEA">
        <w:rPr>
          <w:rFonts w:cstheme="minorHAnsi"/>
          <w:sz w:val="24"/>
          <w:szCs w:val="24"/>
        </w:rPr>
        <w:t xml:space="preserve"> primary form of hypertrophic osteoarthropathy is a rare genetic disorder </w:t>
      </w:r>
      <w:r>
        <w:rPr>
          <w:rFonts w:cstheme="minorHAnsi"/>
          <w:sz w:val="24"/>
          <w:szCs w:val="24"/>
        </w:rPr>
        <w:t>that</w:t>
      </w:r>
      <w:r w:rsidRPr="008C0CEA">
        <w:rPr>
          <w:rFonts w:cstheme="minorHAnsi"/>
          <w:sz w:val="24"/>
          <w:szCs w:val="24"/>
        </w:rPr>
        <w:t xml:space="preserve"> is characterized by clubbing of fingers or toes, </w:t>
      </w:r>
      <w:proofErr w:type="spellStart"/>
      <w:r w:rsidRPr="008C0CEA">
        <w:rPr>
          <w:rFonts w:cstheme="minorHAnsi"/>
          <w:sz w:val="24"/>
          <w:szCs w:val="24"/>
        </w:rPr>
        <w:t>pachyderma</w:t>
      </w:r>
      <w:proofErr w:type="spellEnd"/>
      <w:r w:rsidRPr="008C0CEA">
        <w:rPr>
          <w:rFonts w:cstheme="minorHAnsi"/>
          <w:sz w:val="24"/>
          <w:szCs w:val="24"/>
        </w:rPr>
        <w:t xml:space="preserve"> usually </w:t>
      </w:r>
      <w:r>
        <w:rPr>
          <w:rFonts w:cstheme="minorHAnsi"/>
          <w:sz w:val="24"/>
          <w:szCs w:val="24"/>
        </w:rPr>
        <w:t xml:space="preserve">involving the </w:t>
      </w:r>
      <w:r w:rsidRPr="008C0CEA">
        <w:rPr>
          <w:rFonts w:cstheme="minorHAnsi"/>
          <w:sz w:val="24"/>
          <w:szCs w:val="24"/>
        </w:rPr>
        <w:t>face and scalp and swelling of periarticular tissue, and subperiosteal new bone formation (</w:t>
      </w:r>
      <w:proofErr w:type="spellStart"/>
      <w:r w:rsidRPr="008C0CEA">
        <w:rPr>
          <w:rFonts w:cstheme="minorHAnsi"/>
          <w:sz w:val="24"/>
          <w:szCs w:val="24"/>
        </w:rPr>
        <w:t>periosteitis</w:t>
      </w:r>
      <w:proofErr w:type="spellEnd"/>
      <w:r w:rsidRPr="008C0CEA">
        <w:rPr>
          <w:rFonts w:cstheme="minorHAnsi"/>
          <w:sz w:val="24"/>
          <w:szCs w:val="24"/>
        </w:rPr>
        <w:t>)</w:t>
      </w:r>
      <w:r>
        <w:rPr>
          <w:rFonts w:cstheme="minorHAnsi"/>
          <w:sz w:val="24"/>
          <w:szCs w:val="24"/>
        </w:rPr>
        <w:t xml:space="preserve"> </w:t>
      </w:r>
      <w:r w:rsidRPr="008C0CEA">
        <w:rPr>
          <w:rFonts w:cstheme="minorHAnsi"/>
          <w:sz w:val="24"/>
          <w:szCs w:val="24"/>
        </w:rPr>
        <w:fldChar w:fldCharType="begin" w:fldLock="1"/>
      </w:r>
      <w:r w:rsidRPr="008C0CEA">
        <w:rPr>
          <w:rFonts w:cstheme="minorHAnsi"/>
          <w:sz w:val="24"/>
          <w:szCs w:val="24"/>
        </w:rPr>
        <w:instrText>ADDIN CSL_CITATION {"citationItems":[{"id":"ITEM-1","itemData":{"DOI":"10.1016/J.ABD.2019.04.009","ISSN":"1806-4841","PMID":"31889594","abstract":"Pachydermoperiostosis (PDP) or primary hypertrophic osteoarthropathy (PHO) is a rare hereditary disease characterized by digital clubbing, pachydermia, and periostosis. Its pathogenesis is uncertain and the diagnosis is based on clinical and radiological data. A complete form of the syndrome is reported in a male patient with disease onset in adolescence, with compatible clinical and radiological findings, presenting the three cardinal findings as well as other associated manifestations, such as hyperhidrosis and acne.","author":[{"dropping-particle":"","family":"Honório","given":"Mônica Larissa Padilha","non-dropping-particle":"","parse-names":false,"suffix":""},{"dropping-particle":"","family":"Bezerra","given":"Guilherme Holanda","non-dropping-particle":"","parse-names":false,"suffix":""},{"dropping-particle":"","family":"Costa","given":"Vivianne Lira da Câmara","non-dropping-particle":"","parse-names":false,"suffix":""}],"container-title":"Anais brasileiros de dermatologia","id":"ITEM-1","issue":"1","issued":{"date-parts":[["2020","1","1"]]},"page":"98-101","publisher":"An Bras Dermatol","title":"Complete form of pachydermoperiostosis","type":"article-journal","volume":"95"},"uris":["http://www.mendeley.com/documents/?uuid=0c7a9f4f-3a89-3d0a-80f8-baf9a21a9252"]}],"mendeley":{"formattedCitation":"(1)","plainTextFormattedCitation":"(1)","previouslyFormattedCitation":"(1)"},"properties":{"noteIndex":0},"schema":"https://github.com/citation-style-language/schema/raw/master/csl-citation.json"}</w:instrText>
      </w:r>
      <w:r w:rsidRPr="008C0CEA">
        <w:rPr>
          <w:rFonts w:cstheme="minorHAnsi"/>
          <w:sz w:val="24"/>
          <w:szCs w:val="24"/>
        </w:rPr>
        <w:fldChar w:fldCharType="separate"/>
      </w:r>
      <w:r w:rsidRPr="008C0CEA">
        <w:rPr>
          <w:rFonts w:cstheme="minorHAnsi"/>
          <w:noProof/>
          <w:sz w:val="24"/>
          <w:szCs w:val="24"/>
        </w:rPr>
        <w:t>(1)</w:t>
      </w:r>
      <w:r w:rsidRPr="008C0CEA">
        <w:rPr>
          <w:rFonts w:cstheme="minorHAnsi"/>
          <w:sz w:val="24"/>
          <w:szCs w:val="24"/>
        </w:rPr>
        <w:fldChar w:fldCharType="end"/>
      </w:r>
      <w:r>
        <w:rPr>
          <w:rFonts w:cstheme="minorHAnsi"/>
          <w:sz w:val="24"/>
          <w:szCs w:val="24"/>
        </w:rPr>
        <w:t xml:space="preserve">. </w:t>
      </w:r>
      <w:r w:rsidRPr="008C0CEA">
        <w:rPr>
          <w:rFonts w:cstheme="minorHAnsi"/>
          <w:sz w:val="24"/>
          <w:szCs w:val="24"/>
        </w:rPr>
        <w:t xml:space="preserve">Additional manifestations include </w:t>
      </w:r>
      <w:r>
        <w:rPr>
          <w:rFonts w:cstheme="minorHAnsi"/>
          <w:sz w:val="24"/>
          <w:szCs w:val="24"/>
        </w:rPr>
        <w:t>hyperhidrosis</w:t>
      </w:r>
      <w:r w:rsidRPr="008C0CEA">
        <w:rPr>
          <w:rFonts w:cstheme="minorHAnsi"/>
          <w:sz w:val="24"/>
          <w:szCs w:val="24"/>
        </w:rPr>
        <w:t xml:space="preserve">, acne, arthropathy, and acro-osteolysis of long bones </w:t>
      </w:r>
      <w:r w:rsidRPr="008C0CEA">
        <w:rPr>
          <w:rFonts w:cstheme="minorHAnsi"/>
          <w:sz w:val="24"/>
          <w:szCs w:val="24"/>
        </w:rPr>
        <w:fldChar w:fldCharType="begin" w:fldLock="1"/>
      </w:r>
      <w:r w:rsidRPr="008C0CEA">
        <w:rPr>
          <w:rFonts w:cstheme="minorHAnsi"/>
          <w:sz w:val="24"/>
          <w:szCs w:val="24"/>
        </w:rPr>
        <w:instrText>ADDIN CSL_CITATION {"citationItems":[{"id":"ITEM-1","itemData":{"DOI":"10.1111/J.1399-0004.2005.00533.X","ISSN":"1399-0004","PMID":"16283874","abstract":"Pachydermoperiostosis (PDP) is a rare genodermatosis, characterized by pachydermia, digital clubbing, periostosis and an excess of affected males. Although an autosomal dominant model with incomplete penetrance and variable expression has been proved, both autosomal recessive and X-linked inheritance have been suggested. However, at present, genetic heterogeneity is not fully supported. The aim of this study is to review the clinical and pedigree data of 68 published PDP families, including 204 patients. This analysis has confirmed an autosomal dominant mutation in 37 families and suggested the existence of an autosomal recessive form in the remaining families. The two forms may differ in clinical severity, intrafamilial variability and prevalence of some features. Additionally, the marked skewed sex ratio could not be easily explained by an X-linked mutation, but alternative explanations (i.e. testosterone promoting proliferation) are discussed. © Blackwell Munksgaard, 2005.","author":[{"dropping-particle":"","family":"Castori","given":"M.","non-dropping-particle":"","parse-names":false,"suffix":""},{"dropping-particle":"","family":"Sinibaldi","given":"L.","non-dropping-particle":"","parse-names":false,"suffix":""},{"dropping-particle":"","family":"Mingarelli","given":"R.","non-dropping-particle":"","parse-names":false,"suffix":""},{"dropping-particle":"","family":"Lachman","given":"R. S.","non-dropping-particle":"","parse-names":false,"suffix":""},{"dropping-particle":"","family":"Rimoin","given":"D. L.","non-dropping-particle":"","parse-names":false,"suffix":""},{"dropping-particle":"","family":"Dallapiccola","given":"Bruno","non-dropping-particle":"","parse-names":false,"suffix":""}],"container-title":"Clinical Genetics","id":"ITEM-1","issue":"6","issued":{"date-parts":[["2005","12","1"]]},"page":"477-486","publisher":"John Wiley &amp; Sons, Ltd","title":"Pachydermoperiostosis: an update","type":"article-journal","volume":"68"},"uris":["http://www.mendeley.com/documents/?uuid=f0a7a7d8-fc6e-346d-9443-e845d87843e9"]}],"mendeley":{"formattedCitation":"(2)","plainTextFormattedCitation":"(2)","previouslyFormattedCitation":"(2)"},"properties":{"noteIndex":0},"schema":"https://github.com/citation-style-language/schema/raw/master/csl-citation.json"}</w:instrText>
      </w:r>
      <w:r w:rsidRPr="008C0CEA">
        <w:rPr>
          <w:rFonts w:cstheme="minorHAnsi"/>
          <w:sz w:val="24"/>
          <w:szCs w:val="24"/>
        </w:rPr>
        <w:fldChar w:fldCharType="separate"/>
      </w:r>
      <w:r w:rsidRPr="008C0CEA">
        <w:rPr>
          <w:rFonts w:cstheme="minorHAnsi"/>
          <w:noProof/>
          <w:sz w:val="24"/>
          <w:szCs w:val="24"/>
        </w:rPr>
        <w:t>(2)</w:t>
      </w:r>
      <w:r w:rsidRPr="008C0CEA">
        <w:rPr>
          <w:rFonts w:cstheme="minorHAnsi"/>
          <w:sz w:val="24"/>
          <w:szCs w:val="24"/>
        </w:rPr>
        <w:fldChar w:fldCharType="end"/>
      </w:r>
      <w:r>
        <w:rPr>
          <w:rFonts w:cstheme="minorHAnsi"/>
          <w:sz w:val="24"/>
          <w:szCs w:val="24"/>
        </w:rPr>
        <w:t>.</w:t>
      </w:r>
    </w:p>
    <w:p w14:paraId="7539CE32" w14:textId="77777777" w:rsidR="00A7791B" w:rsidRPr="00215D67" w:rsidRDefault="00A7791B" w:rsidP="00A7791B">
      <w:pPr>
        <w:jc w:val="both"/>
        <w:rPr>
          <w:sz w:val="24"/>
          <w:szCs w:val="24"/>
        </w:rPr>
      </w:pPr>
      <w:r w:rsidRPr="00215D67">
        <w:rPr>
          <w:sz w:val="24"/>
          <w:szCs w:val="24"/>
        </w:rPr>
        <w:t xml:space="preserve">PDP closely resembles pulmonary hypertrophic osteoarthropathy, but it has not been demonstrated associating with various heart and lung diseases </w:t>
      </w:r>
      <w:r w:rsidRPr="00215D67">
        <w:rPr>
          <w:sz w:val="24"/>
          <w:szCs w:val="24"/>
        </w:rPr>
        <w:fldChar w:fldCharType="begin" w:fldLock="1"/>
      </w:r>
      <w:r w:rsidRPr="00215D67">
        <w:rPr>
          <w:sz w:val="24"/>
          <w:szCs w:val="24"/>
        </w:rPr>
        <w:instrText>ADDIN CSL_CITATION {"citationItems":[{"id":"ITEM-1","itemData":{"URL":"https://www.japi.org/w2e494/acromegaloidism-associated-with-pituitary-incidentaloma","accessed":{"date-parts":[["2022","1","30"]]},"id":"ITEM-1","issued":{"date-parts":[["0"]]},"title":"Journal of the Association of Physicians of India - JAPI","type":"webpage"},"uris":["http://www.mendeley.com/documents/?uuid=f44e4bfe-b60c-330a-bc58-048e2214a65c"]}],"mendeley":{"formattedCitation":"(3)","plainTextFormattedCitation":"(3)","previouslyFormattedCitation":"(3)"},"properties":{"noteIndex":0},"schema":"https://github.com/citation-style-language/schema/raw/master/csl-citation.json"}</w:instrText>
      </w:r>
      <w:r w:rsidRPr="00215D67">
        <w:rPr>
          <w:sz w:val="24"/>
          <w:szCs w:val="24"/>
        </w:rPr>
        <w:fldChar w:fldCharType="separate"/>
      </w:r>
      <w:r w:rsidRPr="00215D67">
        <w:rPr>
          <w:noProof/>
          <w:sz w:val="24"/>
          <w:szCs w:val="24"/>
        </w:rPr>
        <w:t>(3)</w:t>
      </w:r>
      <w:r w:rsidRPr="00215D67">
        <w:rPr>
          <w:sz w:val="24"/>
          <w:szCs w:val="24"/>
        </w:rPr>
        <w:fldChar w:fldCharType="end"/>
      </w:r>
      <w:r w:rsidRPr="00215D67">
        <w:rPr>
          <w:sz w:val="24"/>
          <w:szCs w:val="24"/>
        </w:rPr>
        <w:t xml:space="preserve">. </w:t>
      </w:r>
      <w:r>
        <w:rPr>
          <w:sz w:val="24"/>
          <w:szCs w:val="24"/>
        </w:rPr>
        <w:t>PDP</w:t>
      </w:r>
      <w:r w:rsidRPr="00215D67">
        <w:rPr>
          <w:sz w:val="24"/>
          <w:szCs w:val="24"/>
        </w:rPr>
        <w:t xml:space="preserve"> is a familial disorder inherited as an autosomal dominant trait with incomplete penetrance and variable expression. Three forms of PDP have been described: </w:t>
      </w:r>
      <w:r>
        <w:rPr>
          <w:sz w:val="24"/>
          <w:szCs w:val="24"/>
        </w:rPr>
        <w:t>C</w:t>
      </w:r>
      <w:r w:rsidRPr="00215D67">
        <w:rPr>
          <w:sz w:val="24"/>
          <w:szCs w:val="24"/>
        </w:rPr>
        <w:t xml:space="preserve">omplete form (clubbing, </w:t>
      </w:r>
      <w:proofErr w:type="spellStart"/>
      <w:r w:rsidRPr="00215D67">
        <w:rPr>
          <w:sz w:val="24"/>
          <w:szCs w:val="24"/>
        </w:rPr>
        <w:t>pachyderma</w:t>
      </w:r>
      <w:proofErr w:type="spellEnd"/>
      <w:r w:rsidRPr="00215D67">
        <w:rPr>
          <w:sz w:val="24"/>
          <w:szCs w:val="24"/>
        </w:rPr>
        <w:t xml:space="preserve"> and </w:t>
      </w:r>
      <w:r>
        <w:rPr>
          <w:sz w:val="24"/>
          <w:szCs w:val="24"/>
        </w:rPr>
        <w:t>periostitis</w:t>
      </w:r>
      <w:r w:rsidRPr="00215D67">
        <w:rPr>
          <w:sz w:val="24"/>
          <w:szCs w:val="24"/>
        </w:rPr>
        <w:t xml:space="preserve">), </w:t>
      </w:r>
      <w:r>
        <w:rPr>
          <w:sz w:val="24"/>
          <w:szCs w:val="24"/>
        </w:rPr>
        <w:t>I</w:t>
      </w:r>
      <w:r w:rsidRPr="00215D67">
        <w:rPr>
          <w:sz w:val="24"/>
          <w:szCs w:val="24"/>
        </w:rPr>
        <w:t xml:space="preserve">ncomplete form (clubbing and </w:t>
      </w:r>
      <w:r>
        <w:rPr>
          <w:sz w:val="24"/>
          <w:szCs w:val="24"/>
        </w:rPr>
        <w:t>periostitis</w:t>
      </w:r>
      <w:r w:rsidRPr="00215D67">
        <w:rPr>
          <w:sz w:val="24"/>
          <w:szCs w:val="24"/>
        </w:rPr>
        <w:t xml:space="preserve"> without </w:t>
      </w:r>
      <w:proofErr w:type="spellStart"/>
      <w:r w:rsidRPr="00215D67">
        <w:rPr>
          <w:sz w:val="24"/>
          <w:szCs w:val="24"/>
        </w:rPr>
        <w:t>pachyderma</w:t>
      </w:r>
      <w:proofErr w:type="spellEnd"/>
      <w:r w:rsidRPr="00215D67">
        <w:rPr>
          <w:sz w:val="24"/>
          <w:szCs w:val="24"/>
        </w:rPr>
        <w:t>)</w:t>
      </w:r>
      <w:r>
        <w:rPr>
          <w:sz w:val="24"/>
          <w:szCs w:val="24"/>
        </w:rPr>
        <w:t xml:space="preserve">, and </w:t>
      </w:r>
      <w:proofErr w:type="spellStart"/>
      <w:r>
        <w:rPr>
          <w:sz w:val="24"/>
          <w:szCs w:val="24"/>
        </w:rPr>
        <w:t>Forme</w:t>
      </w:r>
      <w:proofErr w:type="spellEnd"/>
      <w:r w:rsidRPr="00215D67">
        <w:rPr>
          <w:sz w:val="24"/>
          <w:szCs w:val="24"/>
        </w:rPr>
        <w:t xml:space="preserve"> </w:t>
      </w:r>
      <w:r>
        <w:rPr>
          <w:sz w:val="24"/>
          <w:szCs w:val="24"/>
        </w:rPr>
        <w:t>f</w:t>
      </w:r>
      <w:r w:rsidRPr="00215D67">
        <w:rPr>
          <w:sz w:val="24"/>
          <w:szCs w:val="24"/>
        </w:rPr>
        <w:t>ruste (</w:t>
      </w:r>
      <w:proofErr w:type="spellStart"/>
      <w:r w:rsidRPr="00215D67">
        <w:rPr>
          <w:sz w:val="24"/>
          <w:szCs w:val="24"/>
        </w:rPr>
        <w:t>pachyderma</w:t>
      </w:r>
      <w:proofErr w:type="spellEnd"/>
      <w:r w:rsidRPr="00215D67">
        <w:rPr>
          <w:sz w:val="24"/>
          <w:szCs w:val="24"/>
        </w:rPr>
        <w:t xml:space="preserve"> with minimal to absent skeletal changes) </w:t>
      </w:r>
      <w:r w:rsidRPr="00215D67">
        <w:rPr>
          <w:sz w:val="24"/>
          <w:szCs w:val="24"/>
        </w:rPr>
        <w:fldChar w:fldCharType="begin" w:fldLock="1"/>
      </w:r>
      <w:r w:rsidRPr="00215D67">
        <w:rPr>
          <w:sz w:val="24"/>
          <w:szCs w:val="24"/>
        </w:rPr>
        <w:instrText>ADDIN CSL_CITATION {"citationItems":[{"id":"ITEM-1","itemData":{"abstract":"Keywords Disease name and synonyms Definition/ Diagnosis criteria History Epidemiology Differential diagnosis Etiology Clinical description Physiopathology Diagnostic methods Genetic counselling Treatment References Abstract Pachydermoperiostosis (PDP) is a rare hereditary disorder that is characterized by digital clubbing and subperiosteal new bone formation associated with pain, polyarthritis, cutis verticis gyrata, seborrhea, hyperhidrosis. The precise incidence of the disease is unknown. PDP is often familial and occurs predominantly in men. It is believed to be inherited in an autosomal dominant pattern with variable penetrance; autosomal recessive forms have also been reported. Three forms of PDP are described: complete, incomplete and fruste form. PDP is manifested mainly by dermatological (pachydermia, thickening and furrowing of the facial feature, digital clubbing, cutis verticis gyrata, seborrhea, oedema, hyperhidrosis) and rheumatological symptoms (joint effusion, arthritis, acro-osteolysis, periosteal ossification). Rheumatologiac symptoms can be improved by nonsteroidal anti-inflammatory drugs or corticosteroids or colchicine. Clinical improvement of the dermatological symptoms was achieved by retinoids. Plastic surgery may be helpful for complications on the face. Finger clubbing surgical reduction has been tried with success.","author":[{"dropping-particle":"","family":"Auger","given":"Doctor M","non-dropping-particle":"","parse-names":false,"suffix":""},{"dropping-particle":"","family":"Stavrianeas","given":"N","non-dropping-particle":"","parse-names":false,"suffix":""}],"id":"ITEM-1","issued":{"date-parts":[["0"]]},"title":"Pachydermoperiostosis Member of The European Editorial Committee of Orphanet Encyclopedia","type":"article-journal"},"uris":["http://www.mendeley.com/documents/?uuid=263da4dd-9d56-3055-95d9-5ff2764ae520"]}],"mendeley":{"formattedCitation":"(4)","plainTextFormattedCitation":"(4)","previouslyFormattedCitation":"(4)"},"properties":{"noteIndex":0},"schema":"https://github.com/citation-style-language/schema/raw/master/csl-citation.json"}</w:instrText>
      </w:r>
      <w:r w:rsidRPr="00215D67">
        <w:rPr>
          <w:sz w:val="24"/>
          <w:szCs w:val="24"/>
        </w:rPr>
        <w:fldChar w:fldCharType="separate"/>
      </w:r>
      <w:r w:rsidRPr="00215D67">
        <w:rPr>
          <w:noProof/>
          <w:sz w:val="24"/>
          <w:szCs w:val="24"/>
        </w:rPr>
        <w:t>(4)</w:t>
      </w:r>
      <w:r w:rsidRPr="00215D67">
        <w:rPr>
          <w:sz w:val="24"/>
          <w:szCs w:val="24"/>
        </w:rPr>
        <w:fldChar w:fldCharType="end"/>
      </w:r>
      <w:r w:rsidRPr="00215D67">
        <w:rPr>
          <w:sz w:val="24"/>
          <w:szCs w:val="24"/>
        </w:rPr>
        <w:fldChar w:fldCharType="begin" w:fldLock="1"/>
      </w:r>
      <w:r w:rsidRPr="00215D67">
        <w:rPr>
          <w:sz w:val="24"/>
          <w:szCs w:val="24"/>
        </w:rPr>
        <w:instrText>ADDIN CSL_CITATION {"citationItems":[{"id":"ITEM-1","itemData":{"author":[{"dropping-particle":"","family":"TOURAINE","given":"","non-dropping-particle":"","parse-names":false,"suffix":""},{"dropping-particle":"","family":"A","given":"","non-dropping-particle":"","parse-names":false,"suffix":""}],"container-title":"Presse Med","id":"ITEM-1","issued":{"date-parts":[["1935"]]},"page":"1820-1824","title":"Un syndrome osteodermopathique : la pachydermie plicaturee avec pachyperiostose des extremites","type":"article-journal","volume":"43"},"uris":["http://www.mendeley.com/documents/?uuid=16658df9-c151-36e6-a5f9-76710c41a24c"]}],"mendeley":{"formattedCitation":"(5)","plainTextFormattedCitation":"(5)","previouslyFormattedCitation":"(5)"},"properties":{"noteIndex":0},"schema":"https://github.com/citation-style-language/schema/raw/master/csl-citation.json"}</w:instrText>
      </w:r>
      <w:r w:rsidRPr="00215D67">
        <w:rPr>
          <w:sz w:val="24"/>
          <w:szCs w:val="24"/>
        </w:rPr>
        <w:fldChar w:fldCharType="separate"/>
      </w:r>
      <w:r w:rsidRPr="00215D67">
        <w:rPr>
          <w:noProof/>
          <w:sz w:val="24"/>
          <w:szCs w:val="24"/>
        </w:rPr>
        <w:t>(5)</w:t>
      </w:r>
      <w:r w:rsidRPr="00215D67">
        <w:rPr>
          <w:sz w:val="24"/>
          <w:szCs w:val="24"/>
        </w:rPr>
        <w:fldChar w:fldCharType="end"/>
      </w:r>
      <w:r w:rsidRPr="00215D67">
        <w:rPr>
          <w:sz w:val="24"/>
          <w:szCs w:val="24"/>
        </w:rPr>
        <w:t xml:space="preserve">. Diagnosis of PDP is made clinically when at least two of the following features are present: positive family history, clubbing, hypertrophic skin changes, and bone pain/ radiographic changes </w:t>
      </w:r>
      <w:r w:rsidRPr="00215D67">
        <w:rPr>
          <w:sz w:val="24"/>
          <w:szCs w:val="24"/>
        </w:rPr>
        <w:fldChar w:fldCharType="begin" w:fldLock="1"/>
      </w:r>
      <w:r w:rsidRPr="00215D67">
        <w:rPr>
          <w:sz w:val="24"/>
          <w:szCs w:val="24"/>
        </w:rPr>
        <w:instrText>ADDIN CSL_CITATION {"citationItems":[{"id":"ITEM-1","itemData":{"URL":"https://www.google.com/search?q=Borochowitz+Z%2C+Rimoin+DL.+Pachydermoperiostosis.+Birth+Defects+Encycl.+1990%3A1349–50&amp;oq=Borochowitz+Z%2C+Rimoin+DL.+Pachydermoperiostosis.+Birth+Defects+Encycl.+1990%3A1349–50&amp;aqs=chrome..69i57.391j0j4&amp;sourceid=chrome&amp;ie=UTF-8","accessed":{"date-parts":[["2022","1","31"]]},"id":"ITEM-1","issued":{"date-parts":[["0"]]},"title":"Borochowitz Z, Rimoin DL. Pachydermoperiostosis. Birth Defects Encycl. 1990:1349–50 - Google Search","type":"webpage"},"uris":["http://www.mendeley.com/documents/?uuid=969aef63-fcc3-393a-845c-43a49f0eb4af"]}],"mendeley":{"formattedCitation":"(6)","plainTextFormattedCitation":"(6)","previouslyFormattedCitation":"(6)"},"properties":{"noteIndex":0},"schema":"https://github.com/citation-style-language/schema/raw/master/csl-citation.json"}</w:instrText>
      </w:r>
      <w:r w:rsidRPr="00215D67">
        <w:rPr>
          <w:sz w:val="24"/>
          <w:szCs w:val="24"/>
        </w:rPr>
        <w:fldChar w:fldCharType="separate"/>
      </w:r>
      <w:r w:rsidRPr="00215D67">
        <w:rPr>
          <w:noProof/>
          <w:sz w:val="24"/>
          <w:szCs w:val="24"/>
        </w:rPr>
        <w:t>(6)</w:t>
      </w:r>
      <w:r w:rsidRPr="00215D67">
        <w:rPr>
          <w:sz w:val="24"/>
          <w:szCs w:val="24"/>
        </w:rPr>
        <w:fldChar w:fldCharType="end"/>
      </w:r>
      <w:r w:rsidRPr="00215D67">
        <w:rPr>
          <w:sz w:val="24"/>
          <w:szCs w:val="24"/>
        </w:rPr>
        <w:t>. Manifestations of the disease usually occur in adolescence</w:t>
      </w:r>
      <w:r>
        <w:rPr>
          <w:sz w:val="24"/>
          <w:szCs w:val="24"/>
        </w:rPr>
        <w:t xml:space="preserve">, progress for 2 to 3 decades, remain stable thereafter and are </w:t>
      </w:r>
      <w:r w:rsidRPr="00215D67">
        <w:rPr>
          <w:sz w:val="24"/>
          <w:szCs w:val="24"/>
        </w:rPr>
        <w:t xml:space="preserve">associated with significant morbidity as age advances. Adolescent males are predominantly affected, with a male-to-female ratio of approximately 7:1 </w:t>
      </w:r>
      <w:r w:rsidRPr="00215D67">
        <w:rPr>
          <w:sz w:val="24"/>
          <w:szCs w:val="24"/>
        </w:rPr>
        <w:fldChar w:fldCharType="begin" w:fldLock="1"/>
      </w:r>
      <w:r w:rsidRPr="00215D67">
        <w:rPr>
          <w:sz w:val="24"/>
          <w:szCs w:val="24"/>
        </w:rPr>
        <w:instrText>ADDIN CSL_CITATION {"citationItems":[{"id":"ITEM-1","itemData":{"URL":"https://scholar.google.com/scholar_lookup?journal=J+Indian+Acad+Community+Med&amp;title=Touraine-Solente-Gole%27+syndrome&amp;author=VS+Sahasrabhojaney&amp;author=AV+Hinge&amp;author=SS+Ghodeswar&amp;author=AS+Machnurkar&amp;author=AM+Daware&amp;volume=6&amp;publication_year=2005&amp;pages=152-4&amp;","accessed":{"date-parts":[["2022","2","2"]]},"id":"ITEM-1","issued":{"date-parts":[["0"]]},"title":"Sahasrabhojaney: Touraine-Solente-Gole’syndrome - Google Scholar","type":"webpage"},"uris":["http://www.mendeley.com/documents/?uuid=093b63b4-c8e8-3f27-84f0-508791869ee1"]}],"mendeley":{"formattedCitation":"(7)","plainTextFormattedCitation":"(7)","previouslyFormattedCitation":"(7)"},"properties":{"noteIndex":0},"schema":"https://github.com/citation-style-language/schema/raw/master/csl-citation.json"}</w:instrText>
      </w:r>
      <w:r w:rsidRPr="00215D67">
        <w:rPr>
          <w:sz w:val="24"/>
          <w:szCs w:val="24"/>
        </w:rPr>
        <w:fldChar w:fldCharType="separate"/>
      </w:r>
      <w:r w:rsidRPr="00215D67">
        <w:rPr>
          <w:noProof/>
          <w:sz w:val="24"/>
          <w:szCs w:val="24"/>
        </w:rPr>
        <w:t>(7)</w:t>
      </w:r>
      <w:r w:rsidRPr="00215D67">
        <w:rPr>
          <w:sz w:val="24"/>
          <w:szCs w:val="24"/>
        </w:rPr>
        <w:fldChar w:fldCharType="end"/>
      </w:r>
      <w:r w:rsidRPr="00215D67">
        <w:rPr>
          <w:sz w:val="24"/>
          <w:szCs w:val="24"/>
        </w:rPr>
        <w:fldChar w:fldCharType="begin" w:fldLock="1"/>
      </w:r>
      <w:r>
        <w:rPr>
          <w:sz w:val="24"/>
          <w:szCs w:val="24"/>
        </w:rPr>
        <w:instrText>ADDIN CSL_CITATION {"citationItems":[{"id":"ITEM-1","itemData":{"DOI":"10.1016/0049-0172(88)90017-0","ISSN":"0049-0172","PMID":"3072678","abstract":"We describe seven patients with primary HOA and review 125 cases reported in the English, French, and German literature. The salient clinical features of primary HOA are: a bimodal distribution of disease onset with one peak during the first year of life and the other at age 15, a male predominance (nine to one), uncommon benign joint effusion, and a variety of skin abnormalities resulting from cutaneous hypertrophy or glandular dysfunction. We concluded that HOA is not a synovial disease. It is suggested that synovial effusions, when present, are perhaps a sympathetic reaction to the neighboring periostitis. Proposed diagnostic criteria for HOA, including digital clubbing and radiographic periostitis, appear 86% sensitive. The clinical features, age of onset, and sex distribution suggest that a genetically controlled growth promoting factor, different from growth hormone, plays a role in the pathogenesis of this syndrome. © 1988.","author":[{"dropping-particle":"","family":"Martínez-Lavín","given":"Manuel","non-dropping-particle":"","parse-names":false,"suffix":""},{"dropping-particle":"","family":"Pineda","given":"Carlos","non-dropping-particle":"","parse-names":false,"suffix":""},{"dropping-particle":"","family":"Valdez","given":"Tirso","non-dropping-particle":"","parse-names":false,"suffix":""},{"dropping-particle":"","family":"Cajigas","given":"Juan Carlos","non-dropping-particle":"","parse-names":false,"suffix":""},{"dropping-particle":"","family":"Weisman","given":"Michael","non-dropping-particle":"","parse-names":false,"suffix":""},{"dropping-particle":"","family":"Gerber","given":"Niklaus","non-dropping-particle":"","parse-names":false,"suffix":""},{"dropping-particle":"","family":"Steigler","given":"Daniel","non-dropping-particle":"","parse-names":false,"suffix":""}],"container-title":"Seminars in arthritis and rheumatism","id":"ITEM-1","issue":"3","issued":{"date-parts":[["1988"]]},"page":"156-162","publisher":"Semin Arthritis Rheum","title":"Primary hypertrophic osteoarthropathy","type":"article-journal","volume":"17"},"uris":["http://www.mendeley.com/documents/?uuid=621a8dfe-1b06-3857-92fb-4f886a9c01e2"]}],"mendeley":{"formattedCitation":"(8)","plainTextFormattedCitation":"(8)","previouslyFormattedCitation":"(8)"},"properties":{"noteIndex":0},"schema":"https://github.com/citation-style-language/schema/raw/master/csl-citation.json"}</w:instrText>
      </w:r>
      <w:r w:rsidRPr="00215D67">
        <w:rPr>
          <w:sz w:val="24"/>
          <w:szCs w:val="24"/>
        </w:rPr>
        <w:fldChar w:fldCharType="separate"/>
      </w:r>
      <w:r w:rsidRPr="00215D67">
        <w:rPr>
          <w:noProof/>
          <w:sz w:val="24"/>
          <w:szCs w:val="24"/>
        </w:rPr>
        <w:t>(8)</w:t>
      </w:r>
      <w:r w:rsidRPr="00215D67">
        <w:rPr>
          <w:sz w:val="24"/>
          <w:szCs w:val="24"/>
        </w:rPr>
        <w:fldChar w:fldCharType="end"/>
      </w:r>
      <w:r w:rsidRPr="00215D67">
        <w:rPr>
          <w:sz w:val="24"/>
          <w:szCs w:val="24"/>
        </w:rPr>
        <w:t xml:space="preserve">. </w:t>
      </w:r>
    </w:p>
    <w:p w14:paraId="3BBD1014" w14:textId="3467FC31" w:rsidR="001A19B9" w:rsidRDefault="00A7791B" w:rsidP="00A7791B">
      <w:pPr>
        <w:jc w:val="both"/>
        <w:rPr>
          <w:sz w:val="24"/>
          <w:szCs w:val="24"/>
        </w:rPr>
      </w:pPr>
      <w:r w:rsidRPr="00215D67">
        <w:rPr>
          <w:sz w:val="24"/>
          <w:szCs w:val="24"/>
        </w:rPr>
        <w:t xml:space="preserve">We report a case of an adult male </w:t>
      </w:r>
      <w:r>
        <w:rPr>
          <w:sz w:val="24"/>
          <w:szCs w:val="24"/>
        </w:rPr>
        <w:t xml:space="preserve">who had visited many health centers but was diagnosed as acromegaly and presented to our center </w:t>
      </w:r>
      <w:r w:rsidRPr="00215D67">
        <w:rPr>
          <w:sz w:val="24"/>
          <w:szCs w:val="24"/>
        </w:rPr>
        <w:t xml:space="preserve">with </w:t>
      </w:r>
      <w:r>
        <w:rPr>
          <w:sz w:val="24"/>
          <w:szCs w:val="24"/>
        </w:rPr>
        <w:t>non-resolving</w:t>
      </w:r>
      <w:r w:rsidRPr="00215D67">
        <w:rPr>
          <w:sz w:val="24"/>
          <w:szCs w:val="24"/>
        </w:rPr>
        <w:t xml:space="preserve"> complaints of </w:t>
      </w:r>
      <w:r>
        <w:rPr>
          <w:sz w:val="24"/>
          <w:szCs w:val="24"/>
        </w:rPr>
        <w:t xml:space="preserve">excessive sweating and </w:t>
      </w:r>
      <w:r w:rsidRPr="00215D67">
        <w:rPr>
          <w:sz w:val="24"/>
          <w:szCs w:val="24"/>
        </w:rPr>
        <w:t xml:space="preserve">progressive enlargement of hands and feet </w:t>
      </w:r>
      <w:r>
        <w:rPr>
          <w:sz w:val="24"/>
          <w:szCs w:val="24"/>
        </w:rPr>
        <w:t xml:space="preserve">with </w:t>
      </w:r>
      <w:r w:rsidRPr="00215D67">
        <w:rPr>
          <w:sz w:val="24"/>
          <w:szCs w:val="24"/>
        </w:rPr>
        <w:t xml:space="preserve">gradual coarsening of facial features. </w:t>
      </w:r>
      <w:r>
        <w:rPr>
          <w:sz w:val="24"/>
          <w:szCs w:val="24"/>
        </w:rPr>
        <w:t xml:space="preserve">From detailed examination and investigations, a diagnosis of </w:t>
      </w:r>
      <w:proofErr w:type="spellStart"/>
      <w:r>
        <w:rPr>
          <w:sz w:val="24"/>
          <w:szCs w:val="24"/>
        </w:rPr>
        <w:t>Pachydermoperiostosis</w:t>
      </w:r>
      <w:proofErr w:type="spellEnd"/>
      <w:r>
        <w:rPr>
          <w:sz w:val="24"/>
          <w:szCs w:val="24"/>
        </w:rPr>
        <w:t xml:space="preserve"> was made.</w:t>
      </w:r>
    </w:p>
    <w:p w14:paraId="6E0B42C1" w14:textId="77777777" w:rsidR="00A7791B" w:rsidRPr="001A19B9" w:rsidRDefault="00A7791B" w:rsidP="00A7791B">
      <w:pPr>
        <w:jc w:val="both"/>
        <w:rPr>
          <w:b/>
          <w:bCs/>
          <w:sz w:val="24"/>
          <w:szCs w:val="24"/>
          <w:u w:val="single"/>
        </w:rPr>
      </w:pPr>
      <w:r w:rsidRPr="001A19B9">
        <w:rPr>
          <w:b/>
          <w:bCs/>
          <w:sz w:val="24"/>
          <w:szCs w:val="24"/>
          <w:u w:val="single"/>
        </w:rPr>
        <w:t>HISTORY</w:t>
      </w:r>
    </w:p>
    <w:p w14:paraId="410CDD40" w14:textId="77777777" w:rsidR="00A7791B" w:rsidRPr="00622395" w:rsidRDefault="00A7791B" w:rsidP="00A7791B">
      <w:pPr>
        <w:jc w:val="both"/>
        <w:rPr>
          <w:sz w:val="24"/>
          <w:szCs w:val="24"/>
        </w:rPr>
      </w:pPr>
      <w:r w:rsidRPr="00622395">
        <w:rPr>
          <w:sz w:val="24"/>
          <w:szCs w:val="24"/>
        </w:rPr>
        <w:t>A 38-year</w:t>
      </w:r>
      <w:r>
        <w:rPr>
          <w:sz w:val="24"/>
          <w:szCs w:val="24"/>
        </w:rPr>
        <w:t>s</w:t>
      </w:r>
      <w:r w:rsidRPr="00622395">
        <w:rPr>
          <w:sz w:val="24"/>
          <w:szCs w:val="24"/>
        </w:rPr>
        <w:t xml:space="preserve">-old male, presented </w:t>
      </w:r>
      <w:r>
        <w:rPr>
          <w:sz w:val="24"/>
          <w:szCs w:val="24"/>
        </w:rPr>
        <w:t xml:space="preserve">to Endocrinology OPD </w:t>
      </w:r>
      <w:r w:rsidRPr="00622395">
        <w:rPr>
          <w:sz w:val="24"/>
          <w:szCs w:val="24"/>
        </w:rPr>
        <w:t>with the chief complaints of progressive enlargement of both hands and feet, excessive sweating</w:t>
      </w:r>
      <w:r>
        <w:rPr>
          <w:sz w:val="24"/>
          <w:szCs w:val="24"/>
        </w:rPr>
        <w:t>,</w:t>
      </w:r>
      <w:r w:rsidRPr="00622395">
        <w:rPr>
          <w:sz w:val="24"/>
          <w:szCs w:val="24"/>
        </w:rPr>
        <w:t xml:space="preserve"> and prominent folds of skin on the forehead and scalp for 10 years. He also complained of bilateral knee pain which was insidious on onset, mild in severity</w:t>
      </w:r>
      <w:r>
        <w:rPr>
          <w:sz w:val="24"/>
          <w:szCs w:val="24"/>
        </w:rPr>
        <w:t>,</w:t>
      </w:r>
      <w:r w:rsidRPr="00622395">
        <w:rPr>
          <w:sz w:val="24"/>
          <w:szCs w:val="24"/>
        </w:rPr>
        <w:t xml:space="preserve"> and relieved by over-the-counter medications. He had sought medical attention multiple times in the past with the same complaints. He consumes alcohol twice weekly </w:t>
      </w:r>
      <w:r w:rsidRPr="00622395">
        <w:rPr>
          <w:sz w:val="24"/>
          <w:szCs w:val="24"/>
        </w:rPr>
        <w:lastRenderedPageBreak/>
        <w:t xml:space="preserve">and smokes 3-4 cigarettes per day for 22 years. There is no history of consanguinity or similar illness in the family members. He gave </w:t>
      </w:r>
      <w:r>
        <w:rPr>
          <w:sz w:val="24"/>
          <w:szCs w:val="24"/>
        </w:rPr>
        <w:t xml:space="preserve">a </w:t>
      </w:r>
      <w:r w:rsidRPr="00622395">
        <w:rPr>
          <w:sz w:val="24"/>
          <w:szCs w:val="24"/>
        </w:rPr>
        <w:t xml:space="preserve">history of excessive mucoid discharge from bilateral eyelids which appeared swollen. He </w:t>
      </w:r>
      <w:r>
        <w:rPr>
          <w:sz w:val="24"/>
          <w:szCs w:val="24"/>
        </w:rPr>
        <w:t>also complained of</w:t>
      </w:r>
      <w:r w:rsidRPr="00622395">
        <w:rPr>
          <w:sz w:val="24"/>
          <w:szCs w:val="24"/>
        </w:rPr>
        <w:t xml:space="preserve"> profuse sweating</w:t>
      </w:r>
      <w:r>
        <w:rPr>
          <w:sz w:val="24"/>
          <w:szCs w:val="24"/>
        </w:rPr>
        <w:t xml:space="preserve"> (hyperhidrosis) requiring change of clothes multiple times every day. </w:t>
      </w:r>
      <w:r w:rsidRPr="00622395">
        <w:rPr>
          <w:sz w:val="24"/>
          <w:szCs w:val="24"/>
        </w:rPr>
        <w:t xml:space="preserve">There </w:t>
      </w:r>
      <w:r>
        <w:rPr>
          <w:sz w:val="24"/>
          <w:szCs w:val="24"/>
        </w:rPr>
        <w:t>wa</w:t>
      </w:r>
      <w:r w:rsidRPr="00622395">
        <w:rPr>
          <w:sz w:val="24"/>
          <w:szCs w:val="24"/>
        </w:rPr>
        <w:t>s no history of fever, chest pain, rashes, fatigue, tremors, changes in voice, headache, visual complaints, or urinary symptoms</w:t>
      </w:r>
      <w:r>
        <w:rPr>
          <w:sz w:val="24"/>
          <w:szCs w:val="24"/>
        </w:rPr>
        <w:t>,</w:t>
      </w:r>
      <w:r w:rsidRPr="00622395">
        <w:rPr>
          <w:sz w:val="24"/>
          <w:szCs w:val="24"/>
        </w:rPr>
        <w:t xml:space="preserve"> and no history of Diabetes mellitus, Thyroid disorders</w:t>
      </w:r>
      <w:r>
        <w:rPr>
          <w:sz w:val="24"/>
          <w:szCs w:val="24"/>
        </w:rPr>
        <w:t>,</w:t>
      </w:r>
      <w:r w:rsidRPr="00622395">
        <w:rPr>
          <w:sz w:val="24"/>
          <w:szCs w:val="24"/>
        </w:rPr>
        <w:t xml:space="preserve"> or Hypertension diagnosed in the patient.</w:t>
      </w:r>
    </w:p>
    <w:p w14:paraId="2590B2E6" w14:textId="5CFD701D" w:rsidR="00A7791B" w:rsidRPr="00622395" w:rsidRDefault="00A7791B" w:rsidP="00A7791B">
      <w:pPr>
        <w:jc w:val="both"/>
        <w:rPr>
          <w:sz w:val="24"/>
          <w:szCs w:val="24"/>
        </w:rPr>
      </w:pPr>
      <w:r w:rsidRPr="00622395">
        <w:rPr>
          <w:sz w:val="24"/>
          <w:szCs w:val="24"/>
        </w:rPr>
        <w:t>On examination</w:t>
      </w:r>
      <w:r>
        <w:rPr>
          <w:sz w:val="24"/>
          <w:szCs w:val="24"/>
        </w:rPr>
        <w:t>,</w:t>
      </w:r>
      <w:r w:rsidRPr="00622395">
        <w:rPr>
          <w:sz w:val="24"/>
          <w:szCs w:val="24"/>
        </w:rPr>
        <w:t xml:space="preserve"> </w:t>
      </w:r>
      <w:r>
        <w:rPr>
          <w:sz w:val="24"/>
          <w:szCs w:val="24"/>
        </w:rPr>
        <w:t xml:space="preserve">the </w:t>
      </w:r>
      <w:r w:rsidRPr="00622395">
        <w:rPr>
          <w:sz w:val="24"/>
          <w:szCs w:val="24"/>
        </w:rPr>
        <w:t xml:space="preserve">patient </w:t>
      </w:r>
      <w:r>
        <w:rPr>
          <w:sz w:val="24"/>
          <w:szCs w:val="24"/>
        </w:rPr>
        <w:t>was</w:t>
      </w:r>
      <w:r w:rsidRPr="00622395">
        <w:rPr>
          <w:sz w:val="24"/>
          <w:szCs w:val="24"/>
        </w:rPr>
        <w:t xml:space="preserve"> </w:t>
      </w:r>
      <w:r w:rsidR="00CE1C97">
        <w:rPr>
          <w:sz w:val="24"/>
          <w:szCs w:val="24"/>
        </w:rPr>
        <w:t>well-built</w:t>
      </w:r>
      <w:r w:rsidRPr="00622395">
        <w:rPr>
          <w:sz w:val="24"/>
          <w:szCs w:val="24"/>
        </w:rPr>
        <w:t>, alert, well oriented and hemodynamically stable. He ha</w:t>
      </w:r>
      <w:r>
        <w:rPr>
          <w:sz w:val="24"/>
          <w:szCs w:val="24"/>
        </w:rPr>
        <w:t>d</w:t>
      </w:r>
      <w:r w:rsidRPr="00622395">
        <w:rPr>
          <w:sz w:val="24"/>
          <w:szCs w:val="24"/>
        </w:rPr>
        <w:t xml:space="preserve"> prominent and multiple skin folds on the forehead and on the scalp</w:t>
      </w:r>
      <w:r>
        <w:rPr>
          <w:sz w:val="24"/>
          <w:szCs w:val="24"/>
        </w:rPr>
        <w:t xml:space="preserve"> (Figure 1 left, and Figure 2)</w:t>
      </w:r>
      <w:r w:rsidRPr="00622395">
        <w:rPr>
          <w:sz w:val="24"/>
          <w:szCs w:val="24"/>
        </w:rPr>
        <w:t xml:space="preserve">. Enlargement of bilateral hands, feet, distal forearm and swelling of the knee and ankles </w:t>
      </w:r>
      <w:r>
        <w:rPr>
          <w:sz w:val="24"/>
          <w:szCs w:val="24"/>
        </w:rPr>
        <w:t>was</w:t>
      </w:r>
      <w:r w:rsidRPr="00622395">
        <w:rPr>
          <w:sz w:val="24"/>
          <w:szCs w:val="24"/>
        </w:rPr>
        <w:t xml:space="preserve"> also noted.</w:t>
      </w:r>
      <w:r>
        <w:rPr>
          <w:sz w:val="24"/>
          <w:szCs w:val="24"/>
        </w:rPr>
        <w:t xml:space="preserve"> </w:t>
      </w:r>
      <w:r w:rsidRPr="00622395">
        <w:rPr>
          <w:sz w:val="24"/>
          <w:szCs w:val="24"/>
        </w:rPr>
        <w:t xml:space="preserve">There was </w:t>
      </w:r>
      <w:r>
        <w:rPr>
          <w:sz w:val="24"/>
          <w:szCs w:val="24"/>
        </w:rPr>
        <w:t xml:space="preserve">grade IV </w:t>
      </w:r>
      <w:r w:rsidRPr="00622395">
        <w:rPr>
          <w:sz w:val="24"/>
          <w:szCs w:val="24"/>
        </w:rPr>
        <w:t xml:space="preserve">clubbing of all the fingers </w:t>
      </w:r>
      <w:r>
        <w:rPr>
          <w:sz w:val="24"/>
          <w:szCs w:val="24"/>
        </w:rPr>
        <w:t>and toes (Figure 3)</w:t>
      </w:r>
      <w:r w:rsidRPr="00622395">
        <w:rPr>
          <w:sz w:val="24"/>
          <w:szCs w:val="24"/>
        </w:rPr>
        <w:t xml:space="preserve">. </w:t>
      </w:r>
      <w:r>
        <w:rPr>
          <w:sz w:val="24"/>
          <w:szCs w:val="24"/>
        </w:rPr>
        <w:t>Anthropometric measures were as follows: Height 165 cm, Weight 56 kg, BMI 20.57 kg/m</w:t>
      </w:r>
      <w:r w:rsidRPr="00875598">
        <w:rPr>
          <w:sz w:val="24"/>
          <w:szCs w:val="24"/>
          <w:vertAlign w:val="superscript"/>
        </w:rPr>
        <w:t>2</w:t>
      </w:r>
      <w:r>
        <w:rPr>
          <w:sz w:val="24"/>
          <w:szCs w:val="24"/>
        </w:rPr>
        <w:t xml:space="preserve">, Waist circumference </w:t>
      </w:r>
      <w:r w:rsidR="00CE1C97">
        <w:rPr>
          <w:sz w:val="24"/>
          <w:szCs w:val="24"/>
        </w:rPr>
        <w:t xml:space="preserve">of </w:t>
      </w:r>
      <w:r>
        <w:rPr>
          <w:sz w:val="24"/>
          <w:szCs w:val="24"/>
        </w:rPr>
        <w:t xml:space="preserve">74 cm, and </w:t>
      </w:r>
      <w:r w:rsidRPr="00622395">
        <w:rPr>
          <w:sz w:val="24"/>
          <w:szCs w:val="24"/>
        </w:rPr>
        <w:t>Arm circumference was only</w:t>
      </w:r>
      <w:r>
        <w:rPr>
          <w:sz w:val="24"/>
          <w:szCs w:val="24"/>
        </w:rPr>
        <w:t xml:space="preserve"> 24 c</w:t>
      </w:r>
      <w:r w:rsidRPr="00622395">
        <w:rPr>
          <w:sz w:val="24"/>
          <w:szCs w:val="24"/>
        </w:rPr>
        <w:t>m</w:t>
      </w:r>
      <w:r>
        <w:rPr>
          <w:sz w:val="24"/>
          <w:szCs w:val="24"/>
        </w:rPr>
        <w:t>,</w:t>
      </w:r>
      <w:r w:rsidRPr="00622395">
        <w:rPr>
          <w:sz w:val="24"/>
          <w:szCs w:val="24"/>
        </w:rPr>
        <w:t xml:space="preserve"> and symmetrically reduced muscle bulk was noted in bilateral arms and thighs which appeared small in contrast to the enlarged distal limbs (Hand and feet). </w:t>
      </w:r>
    </w:p>
    <w:p w14:paraId="3B2BE271" w14:textId="77777777" w:rsidR="00A7791B" w:rsidRPr="00622395" w:rsidRDefault="00A7791B" w:rsidP="00A7791B">
      <w:pPr>
        <w:jc w:val="both"/>
        <w:rPr>
          <w:sz w:val="24"/>
          <w:szCs w:val="24"/>
        </w:rPr>
      </w:pPr>
      <w:r w:rsidRPr="00622395">
        <w:rPr>
          <w:sz w:val="24"/>
          <w:szCs w:val="24"/>
        </w:rPr>
        <w:t xml:space="preserve">Laboratory </w:t>
      </w:r>
      <w:r>
        <w:rPr>
          <w:sz w:val="24"/>
          <w:szCs w:val="24"/>
        </w:rPr>
        <w:t>tests</w:t>
      </w:r>
      <w:r w:rsidRPr="00622395">
        <w:rPr>
          <w:sz w:val="24"/>
          <w:szCs w:val="24"/>
        </w:rPr>
        <w:t xml:space="preserve"> show</w:t>
      </w:r>
      <w:r>
        <w:rPr>
          <w:sz w:val="24"/>
          <w:szCs w:val="24"/>
        </w:rPr>
        <w:t>ed</w:t>
      </w:r>
      <w:r w:rsidRPr="00622395">
        <w:rPr>
          <w:sz w:val="24"/>
          <w:szCs w:val="24"/>
        </w:rPr>
        <w:t xml:space="preserve"> normal CBC, RFT, LFT, TFT, URIC ACID, CALCIUM, LIPID PROFILE, URINE R/M/E, ANA, RA FACTOR</w:t>
      </w:r>
      <w:r>
        <w:rPr>
          <w:sz w:val="24"/>
          <w:szCs w:val="24"/>
        </w:rPr>
        <w:t>,</w:t>
      </w:r>
      <w:r w:rsidRPr="00622395">
        <w:rPr>
          <w:sz w:val="24"/>
          <w:szCs w:val="24"/>
        </w:rPr>
        <w:t xml:space="preserve"> AND ANTI CCP.</w:t>
      </w:r>
      <w:r>
        <w:rPr>
          <w:sz w:val="24"/>
          <w:szCs w:val="24"/>
        </w:rPr>
        <w:t xml:space="preserve"> </w:t>
      </w:r>
      <w:r w:rsidRPr="00622395">
        <w:rPr>
          <w:sz w:val="24"/>
          <w:szCs w:val="24"/>
        </w:rPr>
        <w:t xml:space="preserve">A provisional diagnosis of </w:t>
      </w:r>
      <w:proofErr w:type="spellStart"/>
      <w:r w:rsidRPr="00622395">
        <w:rPr>
          <w:sz w:val="24"/>
          <w:szCs w:val="24"/>
        </w:rPr>
        <w:t>Pachydermoperiostosis</w:t>
      </w:r>
      <w:proofErr w:type="spellEnd"/>
      <w:r w:rsidRPr="00622395">
        <w:rPr>
          <w:sz w:val="24"/>
          <w:szCs w:val="24"/>
        </w:rPr>
        <w:t xml:space="preserve"> was </w:t>
      </w:r>
      <w:r>
        <w:rPr>
          <w:sz w:val="24"/>
          <w:szCs w:val="24"/>
        </w:rPr>
        <w:t>made</w:t>
      </w:r>
      <w:r w:rsidRPr="00622395">
        <w:rPr>
          <w:sz w:val="24"/>
          <w:szCs w:val="24"/>
        </w:rPr>
        <w:t xml:space="preserve"> and investigations were done to rule out secondary causes of osteoarthropathy </w:t>
      </w:r>
      <w:r>
        <w:rPr>
          <w:sz w:val="24"/>
          <w:szCs w:val="24"/>
        </w:rPr>
        <w:t xml:space="preserve">with CXR, ESR, and CRP. </w:t>
      </w:r>
      <w:r w:rsidRPr="00622395">
        <w:rPr>
          <w:sz w:val="24"/>
          <w:szCs w:val="24"/>
        </w:rPr>
        <w:t xml:space="preserve">Prior to </w:t>
      </w:r>
      <w:r>
        <w:rPr>
          <w:sz w:val="24"/>
          <w:szCs w:val="24"/>
        </w:rPr>
        <w:t xml:space="preserve">the </w:t>
      </w:r>
      <w:r w:rsidRPr="00622395">
        <w:rPr>
          <w:sz w:val="24"/>
          <w:szCs w:val="24"/>
        </w:rPr>
        <w:t xml:space="preserve">visit to Endocrine OPD at our Center, he had been evaluated for acromegaly and MRI </w:t>
      </w:r>
      <w:r>
        <w:rPr>
          <w:sz w:val="24"/>
          <w:szCs w:val="24"/>
        </w:rPr>
        <w:t>S</w:t>
      </w:r>
      <w:r w:rsidRPr="00622395">
        <w:rPr>
          <w:sz w:val="24"/>
          <w:szCs w:val="24"/>
        </w:rPr>
        <w:t xml:space="preserve">ella had been done </w:t>
      </w:r>
      <w:r>
        <w:rPr>
          <w:sz w:val="24"/>
          <w:szCs w:val="24"/>
        </w:rPr>
        <w:t xml:space="preserve">and </w:t>
      </w:r>
      <w:r w:rsidRPr="00622395">
        <w:rPr>
          <w:sz w:val="24"/>
          <w:szCs w:val="24"/>
        </w:rPr>
        <w:t xml:space="preserve">reported normal. IGF-1 level </w:t>
      </w:r>
      <w:r>
        <w:rPr>
          <w:sz w:val="24"/>
          <w:szCs w:val="24"/>
        </w:rPr>
        <w:t>was</w:t>
      </w:r>
      <w:r w:rsidRPr="00622395">
        <w:rPr>
          <w:sz w:val="24"/>
          <w:szCs w:val="24"/>
        </w:rPr>
        <w:t xml:space="preserve"> not done due to </w:t>
      </w:r>
      <w:r>
        <w:rPr>
          <w:sz w:val="24"/>
          <w:szCs w:val="24"/>
        </w:rPr>
        <w:t xml:space="preserve">the </w:t>
      </w:r>
      <w:r w:rsidRPr="00622395">
        <w:rPr>
          <w:sz w:val="24"/>
          <w:szCs w:val="24"/>
        </w:rPr>
        <w:t>absence of facial features of acromegaly as well as cost issues.</w:t>
      </w:r>
      <w:r>
        <w:rPr>
          <w:sz w:val="24"/>
          <w:szCs w:val="24"/>
        </w:rPr>
        <w:t xml:space="preserve"> </w:t>
      </w:r>
    </w:p>
    <w:p w14:paraId="1D9AEE6E" w14:textId="3A6D3DFF" w:rsidR="00A7791B" w:rsidRPr="00622395" w:rsidRDefault="00A7791B" w:rsidP="00A7791B">
      <w:pPr>
        <w:jc w:val="both"/>
        <w:rPr>
          <w:sz w:val="24"/>
          <w:szCs w:val="24"/>
        </w:rPr>
      </w:pPr>
      <w:r w:rsidRPr="00622395">
        <w:rPr>
          <w:sz w:val="24"/>
          <w:szCs w:val="24"/>
        </w:rPr>
        <w:t>Radiographs of bilateral knee joints Anteroposterior and Lateral view</w:t>
      </w:r>
      <w:r>
        <w:rPr>
          <w:sz w:val="24"/>
          <w:szCs w:val="24"/>
        </w:rPr>
        <w:t xml:space="preserve"> (Figure 4)</w:t>
      </w:r>
      <w:r w:rsidRPr="00622395">
        <w:rPr>
          <w:sz w:val="24"/>
          <w:szCs w:val="24"/>
        </w:rPr>
        <w:t xml:space="preserve"> </w:t>
      </w:r>
      <w:r>
        <w:rPr>
          <w:sz w:val="24"/>
          <w:szCs w:val="24"/>
        </w:rPr>
        <w:t>show</w:t>
      </w:r>
      <w:r w:rsidRPr="00622395">
        <w:rPr>
          <w:sz w:val="24"/>
          <w:szCs w:val="24"/>
        </w:rPr>
        <w:t xml:space="preserve"> diffuse cortical thickening involving bilateral distal femoral diaphysis and metaphysis with periosteal reaction more appreciated posteriorly, similar but milder changes in fibula and tibia also. Radiographs of </w:t>
      </w:r>
      <w:r w:rsidR="005B698F">
        <w:rPr>
          <w:sz w:val="24"/>
          <w:szCs w:val="24"/>
        </w:rPr>
        <w:t xml:space="preserve">the </w:t>
      </w:r>
      <w:r w:rsidRPr="00622395">
        <w:rPr>
          <w:sz w:val="24"/>
          <w:szCs w:val="24"/>
        </w:rPr>
        <w:t xml:space="preserve">bilateral ankle and foot </w:t>
      </w:r>
      <w:r>
        <w:rPr>
          <w:sz w:val="24"/>
          <w:szCs w:val="24"/>
        </w:rPr>
        <w:t>(Figure 5) show</w:t>
      </w:r>
      <w:r w:rsidRPr="00622395">
        <w:rPr>
          <w:sz w:val="24"/>
          <w:szCs w:val="24"/>
        </w:rPr>
        <w:t xml:space="preserve"> cortical thickening with fluffy periosteal reaction in </w:t>
      </w:r>
      <w:r>
        <w:rPr>
          <w:sz w:val="24"/>
          <w:szCs w:val="24"/>
        </w:rPr>
        <w:t xml:space="preserve">the </w:t>
      </w:r>
      <w:r w:rsidRPr="00622395">
        <w:rPr>
          <w:sz w:val="24"/>
          <w:szCs w:val="24"/>
        </w:rPr>
        <w:t xml:space="preserve">bilateral tibia, fibula, milder changes in </w:t>
      </w:r>
      <w:r w:rsidR="005B698F">
        <w:rPr>
          <w:sz w:val="24"/>
          <w:szCs w:val="24"/>
        </w:rPr>
        <w:t xml:space="preserve">the </w:t>
      </w:r>
      <w:r w:rsidRPr="00622395">
        <w:rPr>
          <w:sz w:val="24"/>
          <w:szCs w:val="24"/>
        </w:rPr>
        <w:t xml:space="preserve">talus and navicular in dorsal and medial </w:t>
      </w:r>
      <w:r>
        <w:rPr>
          <w:sz w:val="24"/>
          <w:szCs w:val="24"/>
        </w:rPr>
        <w:t>aspects</w:t>
      </w:r>
      <w:r w:rsidRPr="00622395">
        <w:rPr>
          <w:sz w:val="24"/>
          <w:szCs w:val="24"/>
        </w:rPr>
        <w:t xml:space="preserve">. Radiographs of </w:t>
      </w:r>
      <w:r>
        <w:rPr>
          <w:sz w:val="24"/>
          <w:szCs w:val="24"/>
        </w:rPr>
        <w:t xml:space="preserve">the </w:t>
      </w:r>
      <w:r w:rsidRPr="00622395">
        <w:rPr>
          <w:sz w:val="24"/>
          <w:szCs w:val="24"/>
        </w:rPr>
        <w:t xml:space="preserve">hand </w:t>
      </w:r>
      <w:r>
        <w:rPr>
          <w:sz w:val="24"/>
          <w:szCs w:val="24"/>
        </w:rPr>
        <w:t>(Figure 6) show</w:t>
      </w:r>
      <w:r w:rsidRPr="00622395">
        <w:rPr>
          <w:sz w:val="24"/>
          <w:szCs w:val="24"/>
        </w:rPr>
        <w:t xml:space="preserve"> cortical thickening and periosteal reaction in </w:t>
      </w:r>
      <w:r>
        <w:rPr>
          <w:sz w:val="24"/>
          <w:szCs w:val="24"/>
        </w:rPr>
        <w:t xml:space="preserve">the </w:t>
      </w:r>
      <w:r w:rsidRPr="00622395">
        <w:rPr>
          <w:sz w:val="24"/>
          <w:szCs w:val="24"/>
        </w:rPr>
        <w:t xml:space="preserve">dorsal radius and ulna, </w:t>
      </w:r>
      <w:r w:rsidR="005B698F">
        <w:rPr>
          <w:sz w:val="24"/>
          <w:szCs w:val="24"/>
        </w:rPr>
        <w:t xml:space="preserve">and </w:t>
      </w:r>
      <w:r w:rsidRPr="00622395">
        <w:rPr>
          <w:sz w:val="24"/>
          <w:szCs w:val="24"/>
        </w:rPr>
        <w:t xml:space="preserve">cortical thickening in </w:t>
      </w:r>
      <w:r>
        <w:rPr>
          <w:sz w:val="24"/>
          <w:szCs w:val="24"/>
        </w:rPr>
        <w:t xml:space="preserve">the </w:t>
      </w:r>
      <w:r w:rsidRPr="00622395">
        <w:rPr>
          <w:sz w:val="24"/>
          <w:szCs w:val="24"/>
        </w:rPr>
        <w:t xml:space="preserve">middle and proximal phalanx of all fingers. </w:t>
      </w:r>
      <w:r>
        <w:rPr>
          <w:sz w:val="24"/>
          <w:szCs w:val="24"/>
        </w:rPr>
        <w:t>The abovementioned</w:t>
      </w:r>
      <w:r w:rsidRPr="00622395">
        <w:rPr>
          <w:sz w:val="24"/>
          <w:szCs w:val="24"/>
        </w:rPr>
        <w:t xml:space="preserve"> radiographic features are consistent with </w:t>
      </w:r>
      <w:proofErr w:type="spellStart"/>
      <w:r w:rsidRPr="00622395">
        <w:rPr>
          <w:sz w:val="24"/>
          <w:szCs w:val="24"/>
        </w:rPr>
        <w:t>pachydermoperiostosis</w:t>
      </w:r>
      <w:proofErr w:type="spellEnd"/>
      <w:r w:rsidRPr="00622395">
        <w:rPr>
          <w:sz w:val="24"/>
          <w:szCs w:val="24"/>
        </w:rPr>
        <w:t xml:space="preserve">. Chest </w:t>
      </w:r>
      <w:r>
        <w:rPr>
          <w:sz w:val="24"/>
          <w:szCs w:val="24"/>
        </w:rPr>
        <w:t>X-ray</w:t>
      </w:r>
      <w:r w:rsidRPr="00622395">
        <w:rPr>
          <w:sz w:val="24"/>
          <w:szCs w:val="24"/>
        </w:rPr>
        <w:t xml:space="preserve"> PA view shows mild irregularity in the undersurface of scapula noted bilaterally, more in right than the left. MRI of </w:t>
      </w:r>
      <w:r>
        <w:rPr>
          <w:sz w:val="24"/>
          <w:szCs w:val="24"/>
        </w:rPr>
        <w:t xml:space="preserve">the </w:t>
      </w:r>
      <w:r w:rsidRPr="00622395">
        <w:rPr>
          <w:sz w:val="24"/>
          <w:szCs w:val="24"/>
        </w:rPr>
        <w:t>brain show</w:t>
      </w:r>
      <w:r>
        <w:rPr>
          <w:sz w:val="24"/>
          <w:szCs w:val="24"/>
        </w:rPr>
        <w:t>ed</w:t>
      </w:r>
      <w:r w:rsidRPr="00622395">
        <w:rPr>
          <w:sz w:val="24"/>
          <w:szCs w:val="24"/>
        </w:rPr>
        <w:t xml:space="preserve"> no abnormality.</w:t>
      </w:r>
    </w:p>
    <w:p w14:paraId="27E729A5" w14:textId="6487E97A" w:rsidR="00A7791B" w:rsidRDefault="00A7791B" w:rsidP="00A7791B">
      <w:pPr>
        <w:jc w:val="both"/>
        <w:rPr>
          <w:sz w:val="24"/>
          <w:szCs w:val="24"/>
        </w:rPr>
      </w:pPr>
      <w:r>
        <w:rPr>
          <w:sz w:val="24"/>
          <w:szCs w:val="24"/>
        </w:rPr>
        <w:t>The patient</w:t>
      </w:r>
      <w:r w:rsidRPr="00622395">
        <w:rPr>
          <w:sz w:val="24"/>
          <w:szCs w:val="24"/>
        </w:rPr>
        <w:t xml:space="preserve"> was treated as a case of PDP </w:t>
      </w:r>
      <w:r>
        <w:rPr>
          <w:sz w:val="24"/>
          <w:szCs w:val="24"/>
        </w:rPr>
        <w:t>on</w:t>
      </w:r>
      <w:r w:rsidRPr="00622395">
        <w:rPr>
          <w:sz w:val="24"/>
          <w:szCs w:val="24"/>
        </w:rPr>
        <w:t xml:space="preserve"> </w:t>
      </w:r>
      <w:r>
        <w:rPr>
          <w:sz w:val="24"/>
          <w:szCs w:val="24"/>
        </w:rPr>
        <w:t>an OPD</w:t>
      </w:r>
      <w:r w:rsidRPr="00622395">
        <w:rPr>
          <w:sz w:val="24"/>
          <w:szCs w:val="24"/>
        </w:rPr>
        <w:t xml:space="preserve"> basis and </w:t>
      </w:r>
      <w:r>
        <w:rPr>
          <w:sz w:val="24"/>
          <w:szCs w:val="24"/>
        </w:rPr>
        <w:t>T</w:t>
      </w:r>
      <w:r w:rsidRPr="00622395">
        <w:rPr>
          <w:sz w:val="24"/>
          <w:szCs w:val="24"/>
        </w:rPr>
        <w:t xml:space="preserve">ab </w:t>
      </w:r>
      <w:r>
        <w:rPr>
          <w:sz w:val="24"/>
          <w:szCs w:val="24"/>
        </w:rPr>
        <w:t>E</w:t>
      </w:r>
      <w:r w:rsidRPr="00622395">
        <w:rPr>
          <w:sz w:val="24"/>
          <w:szCs w:val="24"/>
        </w:rPr>
        <w:t>toricoxib (</w:t>
      </w:r>
      <w:r>
        <w:rPr>
          <w:sz w:val="24"/>
          <w:szCs w:val="24"/>
        </w:rPr>
        <w:t>A s</w:t>
      </w:r>
      <w:r w:rsidRPr="00622395">
        <w:rPr>
          <w:sz w:val="24"/>
          <w:szCs w:val="24"/>
        </w:rPr>
        <w:t xml:space="preserve">elective COX-2 inhibitor) 60 mg </w:t>
      </w:r>
      <w:r>
        <w:rPr>
          <w:sz w:val="24"/>
          <w:szCs w:val="24"/>
        </w:rPr>
        <w:t>once daily</w:t>
      </w:r>
      <w:r w:rsidRPr="00622395">
        <w:rPr>
          <w:sz w:val="24"/>
          <w:szCs w:val="24"/>
        </w:rPr>
        <w:t xml:space="preserve"> was given for initial </w:t>
      </w:r>
      <w:r>
        <w:rPr>
          <w:sz w:val="24"/>
          <w:szCs w:val="24"/>
        </w:rPr>
        <w:t>3</w:t>
      </w:r>
      <w:r w:rsidRPr="00622395">
        <w:rPr>
          <w:sz w:val="24"/>
          <w:szCs w:val="24"/>
        </w:rPr>
        <w:t xml:space="preserve"> months. He followed up at the end of </w:t>
      </w:r>
      <w:r>
        <w:rPr>
          <w:sz w:val="24"/>
          <w:szCs w:val="24"/>
        </w:rPr>
        <w:t>the third</w:t>
      </w:r>
      <w:r w:rsidRPr="00622395">
        <w:rPr>
          <w:sz w:val="24"/>
          <w:szCs w:val="24"/>
        </w:rPr>
        <w:t xml:space="preserve"> month and there </w:t>
      </w:r>
      <w:r>
        <w:rPr>
          <w:sz w:val="24"/>
          <w:szCs w:val="24"/>
        </w:rPr>
        <w:t>were</w:t>
      </w:r>
      <w:r w:rsidRPr="00622395">
        <w:rPr>
          <w:sz w:val="24"/>
          <w:szCs w:val="24"/>
        </w:rPr>
        <w:t xml:space="preserve"> marked changes seen in his forehead</w:t>
      </w:r>
      <w:r>
        <w:rPr>
          <w:sz w:val="24"/>
          <w:szCs w:val="24"/>
        </w:rPr>
        <w:t xml:space="preserve"> (Fig 1, right)</w:t>
      </w:r>
      <w:r w:rsidRPr="00622395">
        <w:rPr>
          <w:sz w:val="24"/>
          <w:szCs w:val="24"/>
        </w:rPr>
        <w:t xml:space="preserve">, </w:t>
      </w:r>
      <w:r>
        <w:rPr>
          <w:sz w:val="24"/>
          <w:szCs w:val="24"/>
        </w:rPr>
        <w:t xml:space="preserve">soft tissue </w:t>
      </w:r>
      <w:r w:rsidRPr="00622395">
        <w:rPr>
          <w:sz w:val="24"/>
          <w:szCs w:val="24"/>
        </w:rPr>
        <w:t>swelling ha</w:t>
      </w:r>
      <w:r>
        <w:rPr>
          <w:sz w:val="24"/>
          <w:szCs w:val="24"/>
        </w:rPr>
        <w:t>d</w:t>
      </w:r>
      <w:r w:rsidRPr="00622395">
        <w:rPr>
          <w:sz w:val="24"/>
          <w:szCs w:val="24"/>
        </w:rPr>
        <w:t xml:space="preserve"> markedly subsided at both feet as compared to his initial visit</w:t>
      </w:r>
      <w:r>
        <w:rPr>
          <w:sz w:val="24"/>
          <w:szCs w:val="24"/>
        </w:rPr>
        <w:t>, although h</w:t>
      </w:r>
      <w:r w:rsidRPr="00622395">
        <w:rPr>
          <w:sz w:val="24"/>
          <w:szCs w:val="24"/>
        </w:rPr>
        <w:t>e complained of non-resolving of hyperhidrosis and knee pain</w:t>
      </w:r>
      <w:r>
        <w:rPr>
          <w:sz w:val="24"/>
          <w:szCs w:val="24"/>
        </w:rPr>
        <w:t>.</w:t>
      </w:r>
    </w:p>
    <w:p w14:paraId="2C397EF2" w14:textId="77777777" w:rsidR="008653EC" w:rsidRDefault="008653EC" w:rsidP="008653EC">
      <w:pPr>
        <w:jc w:val="both"/>
        <w:rPr>
          <w:sz w:val="24"/>
          <w:szCs w:val="24"/>
        </w:rPr>
      </w:pPr>
      <w:r>
        <w:rPr>
          <w:sz w:val="24"/>
          <w:szCs w:val="24"/>
        </w:rPr>
        <w:lastRenderedPageBreak/>
        <w:t>.</w:t>
      </w:r>
      <w:r>
        <w:rPr>
          <w:noProof/>
          <w:sz w:val="24"/>
          <w:szCs w:val="24"/>
        </w:rPr>
        <mc:AlternateContent>
          <mc:Choice Requires="wps">
            <w:drawing>
              <wp:anchor distT="0" distB="0" distL="114300" distR="114300" simplePos="0" relativeHeight="251665408" behindDoc="0" locked="0" layoutInCell="1" allowOverlap="1" wp14:anchorId="046F78E0" wp14:editId="437CE252">
                <wp:simplePos x="0" y="0"/>
                <wp:positionH relativeFrom="column">
                  <wp:posOffset>0</wp:posOffset>
                </wp:positionH>
                <wp:positionV relativeFrom="paragraph">
                  <wp:posOffset>61698</wp:posOffset>
                </wp:positionV>
                <wp:extent cx="5927444" cy="3434317"/>
                <wp:effectExtent l="0" t="0" r="16510" b="7620"/>
                <wp:wrapNone/>
                <wp:docPr id="3" name="Text Box 3"/>
                <wp:cNvGraphicFramePr/>
                <a:graphic xmlns:a="http://schemas.openxmlformats.org/drawingml/2006/main">
                  <a:graphicData uri="http://schemas.microsoft.com/office/word/2010/wordprocessingShape">
                    <wps:wsp>
                      <wps:cNvSpPr txBox="1"/>
                      <wps:spPr>
                        <a:xfrm>
                          <a:off x="0" y="0"/>
                          <a:ext cx="5927444" cy="3434317"/>
                        </a:xfrm>
                        <a:prstGeom prst="rect">
                          <a:avLst/>
                        </a:prstGeom>
                        <a:solidFill>
                          <a:schemeClr val="lt1"/>
                        </a:solidFill>
                        <a:ln w="6350">
                          <a:solidFill>
                            <a:prstClr val="black"/>
                          </a:solidFill>
                        </a:ln>
                      </wps:spPr>
                      <wps:txbx>
                        <w:txbxContent>
                          <w:p w14:paraId="61F9C097" w14:textId="77777777" w:rsidR="008653EC" w:rsidRDefault="008653EC" w:rsidP="008653EC">
                            <w:r>
                              <w:rPr>
                                <w:noProof/>
                              </w:rPr>
                              <w:drawing>
                                <wp:inline distT="0" distB="0" distL="0" distR="0" wp14:anchorId="455E4D20" wp14:editId="4DC1B085">
                                  <wp:extent cx="2775098" cy="2794710"/>
                                  <wp:effectExtent l="0" t="0" r="635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6">
                                            <a:extLst>
                                              <a:ext uri="{28A0092B-C50C-407E-A947-70E740481C1C}">
                                                <a14:useLocalDpi xmlns:a14="http://schemas.microsoft.com/office/drawing/2010/main" val="0"/>
                                              </a:ext>
                                            </a:extLst>
                                          </a:blip>
                                          <a:stretch>
                                            <a:fillRect/>
                                          </a:stretch>
                                        </pic:blipFill>
                                        <pic:spPr>
                                          <a:xfrm>
                                            <a:off x="0" y="0"/>
                                            <a:ext cx="2884093" cy="2904475"/>
                                          </a:xfrm>
                                          <a:prstGeom prst="rect">
                                            <a:avLst/>
                                          </a:prstGeom>
                                        </pic:spPr>
                                      </pic:pic>
                                    </a:graphicData>
                                  </a:graphic>
                                </wp:inline>
                              </w:drawing>
                            </w:r>
                            <w:r>
                              <w:t xml:space="preserve">    </w:t>
                            </w:r>
                            <w:r>
                              <w:rPr>
                                <w:noProof/>
                              </w:rPr>
                              <w:drawing>
                                <wp:inline distT="0" distB="0" distL="0" distR="0" wp14:anchorId="1A9DCDBD" wp14:editId="32EA82F5">
                                  <wp:extent cx="2785731" cy="2816860"/>
                                  <wp:effectExtent l="0" t="0" r="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7">
                                            <a:extLst>
                                              <a:ext uri="{28A0092B-C50C-407E-A947-70E740481C1C}">
                                                <a14:useLocalDpi xmlns:a14="http://schemas.microsoft.com/office/drawing/2010/main" val="0"/>
                                              </a:ext>
                                            </a:extLst>
                                          </a:blip>
                                          <a:stretch>
                                            <a:fillRect/>
                                          </a:stretch>
                                        </pic:blipFill>
                                        <pic:spPr>
                                          <a:xfrm>
                                            <a:off x="0" y="0"/>
                                            <a:ext cx="2872587" cy="2904687"/>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46F78E0" id="_x0000_t202" coordsize="21600,21600" o:spt="202" path="m,l,21600r21600,l21600,xe">
                <v:stroke joinstyle="miter"/>
                <v:path gradientshapeok="t" o:connecttype="rect"/>
              </v:shapetype>
              <v:shape id="Text Box 3" o:spid="_x0000_s1026" type="#_x0000_t202" style="position:absolute;left:0;text-align:left;margin-left:0;margin-top:4.85pt;width:466.75pt;height:270.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" fillcolor="white [3201]" strokeweight=".5pt">
                <v:textbox>
                  <w:txbxContent>
                    <w:p w14:paraId="61F9C097" w14:textId="77777777" w:rsidR="008653EC" w:rsidRDefault="008653EC" w:rsidP="008653EC">
                      <w:r>
                        <w:rPr>
                          <w:noProof/>
                        </w:rPr>
                        <w:drawing>
                          <wp:inline distT="0" distB="0" distL="0" distR="0" wp14:anchorId="455E4D20" wp14:editId="4DC1B085">
                            <wp:extent cx="2775098" cy="2794710"/>
                            <wp:effectExtent l="0" t="0" r="635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6">
                                      <a:extLst>
                                        <a:ext uri="{28A0092B-C50C-407E-A947-70E740481C1C}">
                                          <a14:useLocalDpi xmlns:a14="http://schemas.microsoft.com/office/drawing/2010/main" val="0"/>
                                        </a:ext>
                                      </a:extLst>
                                    </a:blip>
                                    <a:stretch>
                                      <a:fillRect/>
                                    </a:stretch>
                                  </pic:blipFill>
                                  <pic:spPr>
                                    <a:xfrm>
                                      <a:off x="0" y="0"/>
                                      <a:ext cx="2884093" cy="2904475"/>
                                    </a:xfrm>
                                    <a:prstGeom prst="rect">
                                      <a:avLst/>
                                    </a:prstGeom>
                                  </pic:spPr>
                                </pic:pic>
                              </a:graphicData>
                            </a:graphic>
                          </wp:inline>
                        </w:drawing>
                      </w:r>
                      <w:r>
                        <w:t xml:space="preserve">    </w:t>
                      </w:r>
                      <w:r>
                        <w:rPr>
                          <w:noProof/>
                        </w:rPr>
                        <w:drawing>
                          <wp:inline distT="0" distB="0" distL="0" distR="0" wp14:anchorId="1A9DCDBD" wp14:editId="32EA82F5">
                            <wp:extent cx="2785731" cy="2816860"/>
                            <wp:effectExtent l="0" t="0" r="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7">
                                      <a:extLst>
                                        <a:ext uri="{28A0092B-C50C-407E-A947-70E740481C1C}">
                                          <a14:useLocalDpi xmlns:a14="http://schemas.microsoft.com/office/drawing/2010/main" val="0"/>
                                        </a:ext>
                                      </a:extLst>
                                    </a:blip>
                                    <a:stretch>
                                      <a:fillRect/>
                                    </a:stretch>
                                  </pic:blipFill>
                                  <pic:spPr>
                                    <a:xfrm>
                                      <a:off x="0" y="0"/>
                                      <a:ext cx="2872587" cy="2904687"/>
                                    </a:xfrm>
                                    <a:prstGeom prst="rect">
                                      <a:avLst/>
                                    </a:prstGeom>
                                  </pic:spPr>
                                </pic:pic>
                              </a:graphicData>
                            </a:graphic>
                          </wp:inline>
                        </w:drawing>
                      </w:r>
                    </w:p>
                  </w:txbxContent>
                </v:textbox>
              </v:shape>
            </w:pict>
          </mc:Fallback>
        </mc:AlternateContent>
      </w:r>
    </w:p>
    <w:p w14:paraId="34C7C9FB" w14:textId="77777777" w:rsidR="008653EC" w:rsidRDefault="008653EC" w:rsidP="008653EC">
      <w:pPr>
        <w:jc w:val="both"/>
        <w:rPr>
          <w:sz w:val="24"/>
          <w:szCs w:val="24"/>
        </w:rPr>
      </w:pPr>
    </w:p>
    <w:p w14:paraId="6F9C6145" w14:textId="77777777" w:rsidR="008653EC" w:rsidRDefault="008653EC" w:rsidP="008653EC">
      <w:pPr>
        <w:jc w:val="both"/>
        <w:rPr>
          <w:sz w:val="24"/>
          <w:szCs w:val="24"/>
        </w:rPr>
      </w:pPr>
    </w:p>
    <w:p w14:paraId="5D4C9205" w14:textId="77777777" w:rsidR="008653EC" w:rsidRDefault="008653EC" w:rsidP="008653EC">
      <w:pPr>
        <w:jc w:val="both"/>
        <w:rPr>
          <w:sz w:val="24"/>
          <w:szCs w:val="24"/>
        </w:rPr>
      </w:pPr>
    </w:p>
    <w:p w14:paraId="5D8AB0B1" w14:textId="77777777" w:rsidR="008653EC" w:rsidRDefault="008653EC" w:rsidP="008653EC">
      <w:pPr>
        <w:jc w:val="both"/>
        <w:rPr>
          <w:sz w:val="24"/>
          <w:szCs w:val="24"/>
        </w:rPr>
      </w:pPr>
    </w:p>
    <w:p w14:paraId="2CA95F34" w14:textId="77777777" w:rsidR="008653EC" w:rsidRDefault="008653EC" w:rsidP="008653EC">
      <w:pPr>
        <w:jc w:val="both"/>
        <w:rPr>
          <w:sz w:val="24"/>
          <w:szCs w:val="24"/>
        </w:rPr>
      </w:pPr>
    </w:p>
    <w:p w14:paraId="78B60CC1" w14:textId="77777777" w:rsidR="008653EC" w:rsidRDefault="008653EC" w:rsidP="008653EC">
      <w:pPr>
        <w:jc w:val="both"/>
        <w:rPr>
          <w:sz w:val="24"/>
          <w:szCs w:val="24"/>
        </w:rPr>
      </w:pPr>
    </w:p>
    <w:p w14:paraId="7B143129" w14:textId="77777777" w:rsidR="008653EC" w:rsidRDefault="008653EC" w:rsidP="008653EC">
      <w:pPr>
        <w:jc w:val="both"/>
        <w:rPr>
          <w:sz w:val="24"/>
          <w:szCs w:val="24"/>
        </w:rPr>
      </w:pPr>
    </w:p>
    <w:p w14:paraId="50AEE535" w14:textId="77777777" w:rsidR="008653EC" w:rsidRDefault="008653EC" w:rsidP="008653EC">
      <w:pPr>
        <w:jc w:val="both"/>
        <w:rPr>
          <w:sz w:val="24"/>
          <w:szCs w:val="24"/>
        </w:rPr>
      </w:pPr>
    </w:p>
    <w:p w14:paraId="609C1112" w14:textId="77777777" w:rsidR="008653EC" w:rsidRDefault="008653EC" w:rsidP="008653EC">
      <w:pPr>
        <w:jc w:val="both"/>
        <w:rPr>
          <w:sz w:val="24"/>
          <w:szCs w:val="24"/>
        </w:rPr>
      </w:pPr>
      <w:r>
        <w:rPr>
          <w:noProof/>
          <w:sz w:val="24"/>
          <w:szCs w:val="24"/>
        </w:rPr>
        <mc:AlternateContent>
          <mc:Choice Requires="wps">
            <w:drawing>
              <wp:anchor distT="0" distB="0" distL="114300" distR="114300" simplePos="0" relativeHeight="251670528" behindDoc="0" locked="0" layoutInCell="1" allowOverlap="1" wp14:anchorId="29033F6E" wp14:editId="7CA5180E">
                <wp:simplePos x="0" y="0"/>
                <wp:positionH relativeFrom="column">
                  <wp:posOffset>95693</wp:posOffset>
                </wp:positionH>
                <wp:positionV relativeFrom="paragraph">
                  <wp:posOffset>13025</wp:posOffset>
                </wp:positionV>
                <wp:extent cx="5687798" cy="308344"/>
                <wp:effectExtent l="0" t="0" r="14605" b="9525"/>
                <wp:wrapNone/>
                <wp:docPr id="13" name="Text Box 13"/>
                <wp:cNvGraphicFramePr/>
                <a:graphic xmlns:a="http://schemas.openxmlformats.org/drawingml/2006/main">
                  <a:graphicData uri="http://schemas.microsoft.com/office/word/2010/wordprocessingShape">
                    <wps:wsp>
                      <wps:cNvSpPr txBox="1"/>
                      <wps:spPr>
                        <a:xfrm>
                          <a:off x="0" y="0"/>
                          <a:ext cx="5687798" cy="308344"/>
                        </a:xfrm>
                        <a:prstGeom prst="rect">
                          <a:avLst/>
                        </a:prstGeom>
                        <a:solidFill>
                          <a:schemeClr val="lt1"/>
                        </a:solidFill>
                        <a:ln w="6350">
                          <a:solidFill>
                            <a:prstClr val="black"/>
                          </a:solidFill>
                        </a:ln>
                      </wps:spPr>
                      <wps:txbx>
                        <w:txbxContent>
                          <w:p w14:paraId="69AECCCA" w14:textId="77777777" w:rsidR="008653EC" w:rsidRDefault="008653EC" w:rsidP="008653EC">
                            <w:r>
                              <w:t>Fig 1: Coarse facial features, before (left) and after (right) 3 months of Etoricoxib therapy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29033F6E" id="Text Box 13" o:spid="_x0000_s1027" type="#_x0000_t202" style="position:absolute;left:0;text-align:left;margin-left:7.55pt;margin-top:1.05pt;width:447.85pt;height:24.3pt;z-index:2516705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" fillcolor="white [3201]" strokeweight=".5pt">
                <v:textbox>
                  <w:txbxContent>
                    <w:p w14:paraId="69AECCCA" w14:textId="77777777" w:rsidR="008653EC" w:rsidRDefault="008653EC" w:rsidP="008653EC">
                      <w:r>
                        <w:t>Fig 1: Coarse facial features, before (left) and after (right) 3 months of Etoricoxib therapy</w:t>
                      </w:r>
                    </w:p>
                  </w:txbxContent>
                </v:textbox>
              </v:shape>
            </w:pict>
          </mc:Fallback>
        </mc:AlternateContent>
      </w:r>
    </w:p>
    <w:p w14:paraId="5E47D22E" w14:textId="77777777" w:rsidR="008653EC" w:rsidRDefault="008653EC" w:rsidP="008653EC">
      <w:pPr>
        <w:jc w:val="both"/>
        <w:rPr>
          <w:sz w:val="24"/>
          <w:szCs w:val="24"/>
        </w:rPr>
      </w:pPr>
      <w:r>
        <w:rPr>
          <w:noProof/>
          <w:sz w:val="24"/>
          <w:szCs w:val="24"/>
        </w:rPr>
        <mc:AlternateContent>
          <mc:Choice Requires="wps">
            <w:drawing>
              <wp:anchor distT="0" distB="0" distL="114300" distR="114300" simplePos="0" relativeHeight="251666432" behindDoc="0" locked="0" layoutInCell="1" allowOverlap="1" wp14:anchorId="6498BAA8" wp14:editId="523DBCAF">
                <wp:simplePos x="0" y="0"/>
                <wp:positionH relativeFrom="column">
                  <wp:posOffset>3092450</wp:posOffset>
                </wp:positionH>
                <wp:positionV relativeFrom="paragraph">
                  <wp:posOffset>268767</wp:posOffset>
                </wp:positionV>
                <wp:extent cx="2833370" cy="3231515"/>
                <wp:effectExtent l="0" t="0" r="11430" b="6985"/>
                <wp:wrapNone/>
                <wp:docPr id="4" name="Text Box 4"/>
                <wp:cNvGraphicFramePr/>
                <a:graphic xmlns:a="http://schemas.openxmlformats.org/drawingml/2006/main">
                  <a:graphicData uri="http://schemas.microsoft.com/office/word/2010/wordprocessingShape">
                    <wps:wsp>
                      <wps:cNvSpPr txBox="1"/>
                      <wps:spPr>
                        <a:xfrm>
                          <a:off x="0" y="0"/>
                          <a:ext cx="2833370" cy="3231515"/>
                        </a:xfrm>
                        <a:prstGeom prst="rect">
                          <a:avLst/>
                        </a:prstGeom>
                        <a:solidFill>
                          <a:schemeClr val="lt1"/>
                        </a:solidFill>
                        <a:ln w="6350">
                          <a:solidFill>
                            <a:prstClr val="black"/>
                          </a:solidFill>
                        </a:ln>
                      </wps:spPr>
                      <wps:txbx>
                        <w:txbxContent>
                          <w:p w14:paraId="71F34EC7" w14:textId="77777777" w:rsidR="008653EC" w:rsidRDefault="008653EC" w:rsidP="008653EC">
                            <w:r>
                              <w:rPr>
                                <w:noProof/>
                              </w:rPr>
                              <w:drawing>
                                <wp:inline distT="0" distB="0" distL="0" distR="0" wp14:anchorId="1E2209A1" wp14:editId="1AD8172B">
                                  <wp:extent cx="2652200" cy="2687955"/>
                                  <wp:effectExtent l="0" t="0" r="2540" b="444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8">
                                            <a:extLst>
                                              <a:ext uri="{28A0092B-C50C-407E-A947-70E740481C1C}">
                                                <a14:useLocalDpi xmlns:a14="http://schemas.microsoft.com/office/drawing/2010/main" val="0"/>
                                              </a:ext>
                                            </a:extLst>
                                          </a:blip>
                                          <a:stretch>
                                            <a:fillRect/>
                                          </a:stretch>
                                        </pic:blipFill>
                                        <pic:spPr>
                                          <a:xfrm>
                                            <a:off x="0" y="0"/>
                                            <a:ext cx="2683690" cy="271987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98BAA8" id="Text Box 4" o:spid="_x0000_s1028" type="#_x0000_t202" style="position:absolute;left:0;text-align:left;margin-left:243.5pt;margin-top:21.15pt;width:223.1pt;height:254.4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" fillcolor="white [3201]" strokeweight=".5pt">
                <v:textbox>
                  <w:txbxContent>
                    <w:p w14:paraId="71F34EC7" w14:textId="77777777" w:rsidR="008653EC" w:rsidRDefault="008653EC" w:rsidP="008653EC">
                      <w:r>
                        <w:rPr>
                          <w:noProof/>
                        </w:rPr>
                        <w:drawing>
                          <wp:inline distT="0" distB="0" distL="0" distR="0" wp14:anchorId="1E2209A1" wp14:editId="1AD8172B">
                            <wp:extent cx="2652200" cy="2687955"/>
                            <wp:effectExtent l="0" t="0" r="2540" b="444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8">
                                      <a:extLst>
                                        <a:ext uri="{28A0092B-C50C-407E-A947-70E740481C1C}">
                                          <a14:useLocalDpi xmlns:a14="http://schemas.microsoft.com/office/drawing/2010/main" val="0"/>
                                        </a:ext>
                                      </a:extLst>
                                    </a:blip>
                                    <a:stretch>
                                      <a:fillRect/>
                                    </a:stretch>
                                  </pic:blipFill>
                                  <pic:spPr>
                                    <a:xfrm>
                                      <a:off x="0" y="0"/>
                                      <a:ext cx="2683690" cy="2719870"/>
                                    </a:xfrm>
                                    <a:prstGeom prst="rect">
                                      <a:avLst/>
                                    </a:prstGeom>
                                  </pic:spPr>
                                </pic:pic>
                              </a:graphicData>
                            </a:graphic>
                          </wp:inline>
                        </w:drawing>
                      </w:r>
                    </w:p>
                  </w:txbxContent>
                </v:textbox>
              </v:shape>
            </w:pict>
          </mc:Fallback>
        </mc:AlternateContent>
      </w:r>
      <w:r>
        <w:rPr>
          <w:noProof/>
          <w:sz w:val="24"/>
          <w:szCs w:val="24"/>
        </w:rPr>
        <mc:AlternateContent>
          <mc:Choice Requires="wps">
            <w:drawing>
              <wp:anchor distT="0" distB="0" distL="114300" distR="114300" simplePos="0" relativeHeight="251668480" behindDoc="0" locked="0" layoutInCell="1" allowOverlap="1" wp14:anchorId="257C76DE" wp14:editId="32E8EEB4">
                <wp:simplePos x="0" y="0"/>
                <wp:positionH relativeFrom="column">
                  <wp:posOffset>-54321</wp:posOffset>
                </wp:positionH>
                <wp:positionV relativeFrom="paragraph">
                  <wp:posOffset>269429</wp:posOffset>
                </wp:positionV>
                <wp:extent cx="2842260" cy="4218914"/>
                <wp:effectExtent l="0" t="0" r="15240" b="10795"/>
                <wp:wrapNone/>
                <wp:docPr id="23" name="Text Box 23"/>
                <wp:cNvGraphicFramePr/>
                <a:graphic xmlns:a="http://schemas.openxmlformats.org/drawingml/2006/main">
                  <a:graphicData uri="http://schemas.microsoft.com/office/word/2010/wordprocessingShape">
                    <wps:wsp>
                      <wps:cNvSpPr txBox="1"/>
                      <wps:spPr>
                        <a:xfrm>
                          <a:off x="0" y="0"/>
                          <a:ext cx="2842260" cy="4218914"/>
                        </a:xfrm>
                        <a:prstGeom prst="rect">
                          <a:avLst/>
                        </a:prstGeom>
                        <a:solidFill>
                          <a:schemeClr val="lt1"/>
                        </a:solidFill>
                        <a:ln w="6350">
                          <a:solidFill>
                            <a:prstClr val="black"/>
                          </a:solidFill>
                        </a:ln>
                      </wps:spPr>
                      <wps:txbx>
                        <w:txbxContent>
                          <w:p w14:paraId="6EFD9081" w14:textId="77777777" w:rsidR="008653EC" w:rsidRDefault="008653EC" w:rsidP="008653EC">
                            <w:r>
                              <w:rPr>
                                <w:noProof/>
                              </w:rPr>
                              <w:drawing>
                                <wp:inline distT="0" distB="0" distL="0" distR="0" wp14:anchorId="109D946F" wp14:editId="08542BA3">
                                  <wp:extent cx="1802010" cy="2652944"/>
                                  <wp:effectExtent l="0" t="635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pic:nvPicPr>
                                        <pic:blipFill>
                                          <a:blip r:embed="rId9">
                                            <a:extLst>
                                              <a:ext uri="{28A0092B-C50C-407E-A947-70E740481C1C}">
                                                <a14:useLocalDpi xmlns:a14="http://schemas.microsoft.com/office/drawing/2010/main" val="0"/>
                                              </a:ext>
                                            </a:extLst>
                                          </a:blip>
                                          <a:stretch>
                                            <a:fillRect/>
                                          </a:stretch>
                                        </pic:blipFill>
                                        <pic:spPr>
                                          <a:xfrm rot="5400000">
                                            <a:off x="0" y="0"/>
                                            <a:ext cx="1825922" cy="2688147"/>
                                          </a:xfrm>
                                          <a:prstGeom prst="rect">
                                            <a:avLst/>
                                          </a:prstGeom>
                                        </pic:spPr>
                                      </pic:pic>
                                    </a:graphicData>
                                  </a:graphic>
                                </wp:inline>
                              </w:drawing>
                            </w:r>
                            <w:r>
                              <w:rPr>
                                <w:noProof/>
                              </w:rPr>
                              <w:drawing>
                                <wp:inline distT="0" distB="0" distL="0" distR="0" wp14:anchorId="201AC05E" wp14:editId="3D5299CF">
                                  <wp:extent cx="2651022" cy="1964055"/>
                                  <wp:effectExtent l="0" t="0" r="3810" b="444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a:blip r:embed="rId10">
                                            <a:extLst>
                                              <a:ext uri="{28A0092B-C50C-407E-A947-70E740481C1C}">
                                                <a14:useLocalDpi xmlns:a14="http://schemas.microsoft.com/office/drawing/2010/main" val="0"/>
                                              </a:ext>
                                            </a:extLst>
                                          </a:blip>
                                          <a:stretch>
                                            <a:fillRect/>
                                          </a:stretch>
                                        </pic:blipFill>
                                        <pic:spPr>
                                          <a:xfrm>
                                            <a:off x="0" y="0"/>
                                            <a:ext cx="2724679" cy="2018625"/>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7C76DE" id="Text Box 23" o:spid="_x0000_s1029" type="#_x0000_t202" style="position:absolute;left:0;text-align:left;margin-left:-4.3pt;margin-top:21.2pt;width:223.8pt;height:332.2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" fillcolor="white [3201]" strokeweight=".5pt">
                <v:textbox>
                  <w:txbxContent>
                    <w:p w14:paraId="6EFD9081" w14:textId="77777777" w:rsidR="008653EC" w:rsidRDefault="008653EC" w:rsidP="008653EC">
                      <w:r>
                        <w:rPr>
                          <w:noProof/>
                        </w:rPr>
                        <w:drawing>
                          <wp:inline distT="0" distB="0" distL="0" distR="0" wp14:anchorId="109D946F" wp14:editId="08542BA3">
                            <wp:extent cx="1802010" cy="2652944"/>
                            <wp:effectExtent l="0" t="635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pic:nvPicPr>
                                  <pic:blipFill>
                                    <a:blip r:embed="rId9">
                                      <a:extLst>
                                        <a:ext uri="{28A0092B-C50C-407E-A947-70E740481C1C}">
                                          <a14:useLocalDpi xmlns:a14="http://schemas.microsoft.com/office/drawing/2010/main" val="0"/>
                                        </a:ext>
                                      </a:extLst>
                                    </a:blip>
                                    <a:stretch>
                                      <a:fillRect/>
                                    </a:stretch>
                                  </pic:blipFill>
                                  <pic:spPr>
                                    <a:xfrm rot="5400000">
                                      <a:off x="0" y="0"/>
                                      <a:ext cx="1825922" cy="2688147"/>
                                    </a:xfrm>
                                    <a:prstGeom prst="rect">
                                      <a:avLst/>
                                    </a:prstGeom>
                                  </pic:spPr>
                                </pic:pic>
                              </a:graphicData>
                            </a:graphic>
                          </wp:inline>
                        </w:drawing>
                      </w:r>
                      <w:r>
                        <w:rPr>
                          <w:noProof/>
                        </w:rPr>
                        <w:drawing>
                          <wp:inline distT="0" distB="0" distL="0" distR="0" wp14:anchorId="201AC05E" wp14:editId="3D5299CF">
                            <wp:extent cx="2651022" cy="1964055"/>
                            <wp:effectExtent l="0" t="0" r="3810" b="444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a:blip r:embed="rId10">
                                      <a:extLst>
                                        <a:ext uri="{28A0092B-C50C-407E-A947-70E740481C1C}">
                                          <a14:useLocalDpi xmlns:a14="http://schemas.microsoft.com/office/drawing/2010/main" val="0"/>
                                        </a:ext>
                                      </a:extLst>
                                    </a:blip>
                                    <a:stretch>
                                      <a:fillRect/>
                                    </a:stretch>
                                  </pic:blipFill>
                                  <pic:spPr>
                                    <a:xfrm>
                                      <a:off x="0" y="0"/>
                                      <a:ext cx="2724679" cy="2018625"/>
                                    </a:xfrm>
                                    <a:prstGeom prst="rect">
                                      <a:avLst/>
                                    </a:prstGeom>
                                  </pic:spPr>
                                </pic:pic>
                              </a:graphicData>
                            </a:graphic>
                          </wp:inline>
                        </w:drawing>
                      </w:r>
                    </w:p>
                  </w:txbxContent>
                </v:textbox>
              </v:shape>
            </w:pict>
          </mc:Fallback>
        </mc:AlternateContent>
      </w:r>
    </w:p>
    <w:p w14:paraId="0457051B" w14:textId="77777777" w:rsidR="008653EC" w:rsidRDefault="008653EC" w:rsidP="008653EC">
      <w:pPr>
        <w:jc w:val="both"/>
        <w:rPr>
          <w:sz w:val="24"/>
          <w:szCs w:val="24"/>
        </w:rPr>
      </w:pPr>
    </w:p>
    <w:p w14:paraId="196BA0D9" w14:textId="77777777" w:rsidR="008653EC" w:rsidRDefault="008653EC" w:rsidP="008653EC">
      <w:pPr>
        <w:jc w:val="both"/>
        <w:rPr>
          <w:sz w:val="24"/>
          <w:szCs w:val="24"/>
        </w:rPr>
      </w:pPr>
    </w:p>
    <w:p w14:paraId="5106559C" w14:textId="77777777" w:rsidR="008653EC" w:rsidRDefault="008653EC" w:rsidP="008653EC">
      <w:pPr>
        <w:jc w:val="both"/>
        <w:rPr>
          <w:sz w:val="24"/>
          <w:szCs w:val="24"/>
        </w:rPr>
      </w:pPr>
    </w:p>
    <w:p w14:paraId="7B0F2506" w14:textId="77777777" w:rsidR="008653EC" w:rsidRDefault="008653EC" w:rsidP="008653EC">
      <w:pPr>
        <w:jc w:val="both"/>
        <w:rPr>
          <w:sz w:val="24"/>
          <w:szCs w:val="24"/>
        </w:rPr>
      </w:pPr>
    </w:p>
    <w:p w14:paraId="0F0C51D7" w14:textId="77777777" w:rsidR="008653EC" w:rsidRDefault="008653EC" w:rsidP="008653EC">
      <w:pPr>
        <w:jc w:val="both"/>
        <w:rPr>
          <w:sz w:val="24"/>
          <w:szCs w:val="24"/>
        </w:rPr>
      </w:pPr>
    </w:p>
    <w:p w14:paraId="66AC65EB" w14:textId="77777777" w:rsidR="008653EC" w:rsidRDefault="008653EC" w:rsidP="008653EC">
      <w:pPr>
        <w:jc w:val="both"/>
        <w:rPr>
          <w:sz w:val="24"/>
          <w:szCs w:val="24"/>
        </w:rPr>
      </w:pPr>
    </w:p>
    <w:p w14:paraId="7ECEC6C7" w14:textId="77777777" w:rsidR="008653EC" w:rsidRDefault="008653EC" w:rsidP="008653EC">
      <w:pPr>
        <w:jc w:val="both"/>
        <w:rPr>
          <w:sz w:val="24"/>
          <w:szCs w:val="24"/>
        </w:rPr>
      </w:pPr>
    </w:p>
    <w:p w14:paraId="5DACBB66" w14:textId="77777777" w:rsidR="008653EC" w:rsidRDefault="008653EC" w:rsidP="008653EC">
      <w:pPr>
        <w:jc w:val="both"/>
        <w:rPr>
          <w:sz w:val="24"/>
          <w:szCs w:val="24"/>
        </w:rPr>
      </w:pPr>
    </w:p>
    <w:p w14:paraId="469E22AD" w14:textId="77777777" w:rsidR="008653EC" w:rsidRDefault="008653EC" w:rsidP="008653EC">
      <w:pPr>
        <w:jc w:val="both"/>
        <w:rPr>
          <w:sz w:val="24"/>
          <w:szCs w:val="24"/>
        </w:rPr>
      </w:pPr>
      <w:r>
        <w:rPr>
          <w:noProof/>
          <w:sz w:val="24"/>
          <w:szCs w:val="24"/>
        </w:rPr>
        <mc:AlternateContent>
          <mc:Choice Requires="wps">
            <w:drawing>
              <wp:anchor distT="0" distB="0" distL="114300" distR="114300" simplePos="0" relativeHeight="251667456" behindDoc="0" locked="0" layoutInCell="1" allowOverlap="1" wp14:anchorId="2D1A30E1" wp14:editId="60D1F822">
                <wp:simplePos x="0" y="0"/>
                <wp:positionH relativeFrom="column">
                  <wp:posOffset>3283940</wp:posOffset>
                </wp:positionH>
                <wp:positionV relativeFrom="paragraph">
                  <wp:posOffset>85415</wp:posOffset>
                </wp:positionV>
                <wp:extent cx="2416810" cy="262255"/>
                <wp:effectExtent l="0" t="0" r="8890" b="17145"/>
                <wp:wrapNone/>
                <wp:docPr id="8" name="Text Box 8"/>
                <wp:cNvGraphicFramePr/>
                <a:graphic xmlns:a="http://schemas.openxmlformats.org/drawingml/2006/main">
                  <a:graphicData uri="http://schemas.microsoft.com/office/word/2010/wordprocessingShape">
                    <wps:wsp>
                      <wps:cNvSpPr txBox="1"/>
                      <wps:spPr>
                        <a:xfrm>
                          <a:off x="0" y="0"/>
                          <a:ext cx="2416810" cy="262255"/>
                        </a:xfrm>
                        <a:prstGeom prst="rect">
                          <a:avLst/>
                        </a:prstGeom>
                        <a:solidFill>
                          <a:schemeClr val="lt1"/>
                        </a:solidFill>
                        <a:ln w="6350">
                          <a:solidFill>
                            <a:prstClr val="black"/>
                          </a:solidFill>
                        </a:ln>
                      </wps:spPr>
                      <wps:txbx>
                        <w:txbxContent>
                          <w:p w14:paraId="24E374DD" w14:textId="77777777" w:rsidR="008653EC" w:rsidRDefault="008653EC" w:rsidP="008653EC">
                            <w:r>
                              <w:t xml:space="preserve">Fig 2: Cutis </w:t>
                            </w:r>
                            <w:proofErr w:type="spellStart"/>
                            <w:r>
                              <w:t>verticis</w:t>
                            </w:r>
                            <w:proofErr w:type="spellEnd"/>
                            <w:r>
                              <w:t xml:space="preserve"> </w:t>
                            </w:r>
                            <w:proofErr w:type="spellStart"/>
                            <w:r>
                              <w:t>gyrata</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D1A30E1" id="Text Box 8" o:spid="_x0000_s1030" type="#_x0000_t202" style="position:absolute;left:0;text-align:left;margin-left:258.6pt;margin-top:6.75pt;width:190.3pt;height:20.65pt;z-index:2516674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" fillcolor="white [3201]" strokeweight=".5pt">
                <v:textbox>
                  <w:txbxContent>
                    <w:p w14:paraId="24E374DD" w14:textId="77777777" w:rsidR="008653EC" w:rsidRDefault="008653EC" w:rsidP="008653EC">
                      <w:r>
                        <w:t xml:space="preserve">Fig 2: Cutis </w:t>
                      </w:r>
                      <w:proofErr w:type="spellStart"/>
                      <w:r>
                        <w:t>verticis</w:t>
                      </w:r>
                      <w:proofErr w:type="spellEnd"/>
                      <w:r>
                        <w:t xml:space="preserve"> </w:t>
                      </w:r>
                      <w:proofErr w:type="spellStart"/>
                      <w:r>
                        <w:t>gyrata</w:t>
                      </w:r>
                      <w:proofErr w:type="spellEnd"/>
                    </w:p>
                  </w:txbxContent>
                </v:textbox>
              </v:shape>
            </w:pict>
          </mc:Fallback>
        </mc:AlternateContent>
      </w:r>
    </w:p>
    <w:p w14:paraId="3BA532E5" w14:textId="77777777" w:rsidR="008653EC" w:rsidRDefault="008653EC" w:rsidP="008653EC">
      <w:pPr>
        <w:jc w:val="both"/>
        <w:rPr>
          <w:sz w:val="24"/>
          <w:szCs w:val="24"/>
        </w:rPr>
      </w:pPr>
    </w:p>
    <w:p w14:paraId="4B9E522F" w14:textId="77777777" w:rsidR="008653EC" w:rsidRDefault="008653EC" w:rsidP="008653EC">
      <w:pPr>
        <w:jc w:val="both"/>
        <w:rPr>
          <w:sz w:val="24"/>
          <w:szCs w:val="24"/>
        </w:rPr>
      </w:pPr>
      <w:r>
        <w:rPr>
          <w:noProof/>
          <w:sz w:val="24"/>
          <w:szCs w:val="24"/>
        </w:rPr>
        <mc:AlternateContent>
          <mc:Choice Requires="wps">
            <w:drawing>
              <wp:anchor distT="0" distB="0" distL="114300" distR="114300" simplePos="0" relativeHeight="251669504" behindDoc="0" locked="0" layoutInCell="1" allowOverlap="1" wp14:anchorId="72292CBB" wp14:editId="30A5EFDB">
                <wp:simplePos x="0" y="0"/>
                <wp:positionH relativeFrom="column">
                  <wp:posOffset>81280</wp:posOffset>
                </wp:positionH>
                <wp:positionV relativeFrom="paragraph">
                  <wp:posOffset>379124</wp:posOffset>
                </wp:positionV>
                <wp:extent cx="2589530" cy="298450"/>
                <wp:effectExtent l="0" t="0" r="13970" b="19050"/>
                <wp:wrapNone/>
                <wp:docPr id="11" name="Text Box 11"/>
                <wp:cNvGraphicFramePr/>
                <a:graphic xmlns:a="http://schemas.openxmlformats.org/drawingml/2006/main">
                  <a:graphicData uri="http://schemas.microsoft.com/office/word/2010/wordprocessingShape">
                    <wps:wsp>
                      <wps:cNvSpPr txBox="1"/>
                      <wps:spPr>
                        <a:xfrm>
                          <a:off x="0" y="0"/>
                          <a:ext cx="2589530" cy="298450"/>
                        </a:xfrm>
                        <a:prstGeom prst="rect">
                          <a:avLst/>
                        </a:prstGeom>
                        <a:solidFill>
                          <a:schemeClr val="lt1"/>
                        </a:solidFill>
                        <a:ln w="6350">
                          <a:solidFill>
                            <a:prstClr val="black"/>
                          </a:solidFill>
                        </a:ln>
                      </wps:spPr>
                      <wps:txbx>
                        <w:txbxContent>
                          <w:p w14:paraId="450713E2" w14:textId="77777777" w:rsidR="008653EC" w:rsidRDefault="008653EC" w:rsidP="008653EC">
                            <w:r>
                              <w:t>Fig 3: Clubbing of fingers and toes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2292CBB" id="Text Box 11" o:spid="_x0000_s1031" type="#_x0000_t202" style="position:absolute;left:0;text-align:left;margin-left:6.4pt;margin-top:29.85pt;width:203.9pt;height:23.5pt;z-index:2516695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" fillcolor="white [3201]" strokeweight=".5pt">
                <v:textbox>
                  <w:txbxContent>
                    <w:p w14:paraId="450713E2" w14:textId="77777777" w:rsidR="008653EC" w:rsidRDefault="008653EC" w:rsidP="008653EC">
                      <w:r>
                        <w:t>Fig 3: Clubbing of fingers and toes</w:t>
                      </w:r>
                    </w:p>
                  </w:txbxContent>
                </v:textbox>
              </v:shape>
            </w:pict>
          </mc:Fallback>
        </mc:AlternateContent>
      </w:r>
    </w:p>
    <w:p w14:paraId="13C3AA7F" w14:textId="77777777" w:rsidR="008653EC" w:rsidRDefault="008653EC" w:rsidP="008653EC">
      <w:pPr>
        <w:jc w:val="both"/>
        <w:rPr>
          <w:sz w:val="24"/>
          <w:szCs w:val="24"/>
        </w:rPr>
      </w:pPr>
    </w:p>
    <w:p w14:paraId="5470804F" w14:textId="77777777" w:rsidR="008653EC" w:rsidRDefault="008653EC" w:rsidP="008653EC">
      <w:pPr>
        <w:jc w:val="both"/>
        <w:rPr>
          <w:sz w:val="24"/>
          <w:szCs w:val="24"/>
        </w:rPr>
      </w:pPr>
    </w:p>
    <w:p w14:paraId="7AF73D0C" w14:textId="77777777" w:rsidR="008653EC" w:rsidRDefault="008653EC" w:rsidP="008653EC">
      <w:pPr>
        <w:jc w:val="both"/>
        <w:rPr>
          <w:sz w:val="24"/>
          <w:szCs w:val="24"/>
          <w:u w:val="single"/>
        </w:rPr>
      </w:pPr>
      <w:r>
        <w:rPr>
          <w:noProof/>
          <w:sz w:val="24"/>
          <w:szCs w:val="24"/>
          <w:u w:val="single"/>
        </w:rPr>
        <w:lastRenderedPageBreak/>
        <mc:AlternateContent>
          <mc:Choice Requires="wps">
            <w:drawing>
              <wp:anchor distT="0" distB="0" distL="114300" distR="114300" simplePos="0" relativeHeight="251659264" behindDoc="0" locked="0" layoutInCell="1" allowOverlap="1" wp14:anchorId="68EF6A04" wp14:editId="43C303E7">
                <wp:simplePos x="0" y="0"/>
                <wp:positionH relativeFrom="column">
                  <wp:posOffset>-10048</wp:posOffset>
                </wp:positionH>
                <wp:positionV relativeFrom="paragraph">
                  <wp:posOffset>90436</wp:posOffset>
                </wp:positionV>
                <wp:extent cx="5938575" cy="3366198"/>
                <wp:effectExtent l="0" t="0" r="17780" b="12065"/>
                <wp:wrapNone/>
                <wp:docPr id="19" name="Text Box 19"/>
                <wp:cNvGraphicFramePr/>
                <a:graphic xmlns:a="http://schemas.openxmlformats.org/drawingml/2006/main">
                  <a:graphicData uri="http://schemas.microsoft.com/office/word/2010/wordprocessingShape">
                    <wps:wsp>
                      <wps:cNvSpPr txBox="1"/>
                      <wps:spPr>
                        <a:xfrm>
                          <a:off x="0" y="0"/>
                          <a:ext cx="5938575" cy="3366198"/>
                        </a:xfrm>
                        <a:prstGeom prst="rect">
                          <a:avLst/>
                        </a:prstGeom>
                        <a:solidFill>
                          <a:schemeClr val="lt1"/>
                        </a:solidFill>
                        <a:ln w="6350">
                          <a:solidFill>
                            <a:prstClr val="black"/>
                          </a:solidFill>
                        </a:ln>
                      </wps:spPr>
                      <wps:txbx>
                        <w:txbxContent>
                          <w:p w14:paraId="3B929786" w14:textId="77777777" w:rsidR="008653EC" w:rsidRDefault="008653EC" w:rsidP="008653EC">
                            <w:r>
                              <w:rPr>
                                <w:noProof/>
                              </w:rPr>
                              <w:drawing>
                                <wp:inline distT="0" distB="0" distL="0" distR="0" wp14:anchorId="01CBC208" wp14:editId="00DF51ED">
                                  <wp:extent cx="2773345" cy="2510790"/>
                                  <wp:effectExtent l="0" t="0" r="0" b="381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11">
                                            <a:extLst>
                                              <a:ext uri="{28A0092B-C50C-407E-A947-70E740481C1C}">
                                                <a14:useLocalDpi xmlns:a14="http://schemas.microsoft.com/office/drawing/2010/main" val="0"/>
                                              </a:ext>
                                            </a:extLst>
                                          </a:blip>
                                          <a:stretch>
                                            <a:fillRect/>
                                          </a:stretch>
                                        </pic:blipFill>
                                        <pic:spPr>
                                          <a:xfrm>
                                            <a:off x="0" y="0"/>
                                            <a:ext cx="2864282" cy="2593118"/>
                                          </a:xfrm>
                                          <a:prstGeom prst="rect">
                                            <a:avLst/>
                                          </a:prstGeom>
                                        </pic:spPr>
                                      </pic:pic>
                                    </a:graphicData>
                                  </a:graphic>
                                </wp:inline>
                              </w:drawing>
                            </w:r>
                            <w:r>
                              <w:rPr>
                                <w:noProof/>
                              </w:rPr>
                              <w:drawing>
                                <wp:inline distT="0" distB="0" distL="0" distR="0" wp14:anchorId="12569A3D" wp14:editId="1F67D5EC">
                                  <wp:extent cx="2941307" cy="2514460"/>
                                  <wp:effectExtent l="0" t="0" r="5715" b="63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pic:nvPicPr>
                                        <pic:blipFill>
                                          <a:blip r:embed="rId12">
                                            <a:extLst>
                                              <a:ext uri="{28A0092B-C50C-407E-A947-70E740481C1C}">
                                                <a14:useLocalDpi xmlns:a14="http://schemas.microsoft.com/office/drawing/2010/main" val="0"/>
                                              </a:ext>
                                            </a:extLst>
                                          </a:blip>
                                          <a:stretch>
                                            <a:fillRect/>
                                          </a:stretch>
                                        </pic:blipFill>
                                        <pic:spPr>
                                          <a:xfrm>
                                            <a:off x="0" y="0"/>
                                            <a:ext cx="2990261" cy="255631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EF6A04" id="Text Box 19" o:spid="_x0000_s1032" type="#_x0000_t202" style="position:absolute;left:0;text-align:left;margin-left:-.8pt;margin-top:7.1pt;width:467.6pt;height:265.0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" fillcolor="white [3201]" strokeweight=".5pt">
                <v:textbox>
                  <w:txbxContent>
                    <w:p w14:paraId="3B929786" w14:textId="77777777" w:rsidR="008653EC" w:rsidRDefault="008653EC" w:rsidP="008653EC">
                      <w:r>
                        <w:rPr>
                          <w:noProof/>
                        </w:rPr>
                        <w:drawing>
                          <wp:inline distT="0" distB="0" distL="0" distR="0" wp14:anchorId="01CBC208" wp14:editId="00DF51ED">
                            <wp:extent cx="2773345" cy="2510790"/>
                            <wp:effectExtent l="0" t="0" r="0" b="381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11">
                                      <a:extLst>
                                        <a:ext uri="{28A0092B-C50C-407E-A947-70E740481C1C}">
                                          <a14:useLocalDpi xmlns:a14="http://schemas.microsoft.com/office/drawing/2010/main" val="0"/>
                                        </a:ext>
                                      </a:extLst>
                                    </a:blip>
                                    <a:stretch>
                                      <a:fillRect/>
                                    </a:stretch>
                                  </pic:blipFill>
                                  <pic:spPr>
                                    <a:xfrm>
                                      <a:off x="0" y="0"/>
                                      <a:ext cx="2864282" cy="2593118"/>
                                    </a:xfrm>
                                    <a:prstGeom prst="rect">
                                      <a:avLst/>
                                    </a:prstGeom>
                                  </pic:spPr>
                                </pic:pic>
                              </a:graphicData>
                            </a:graphic>
                          </wp:inline>
                        </w:drawing>
                      </w:r>
                      <w:r>
                        <w:rPr>
                          <w:noProof/>
                        </w:rPr>
                        <w:drawing>
                          <wp:inline distT="0" distB="0" distL="0" distR="0" wp14:anchorId="12569A3D" wp14:editId="1F67D5EC">
                            <wp:extent cx="2941307" cy="2514460"/>
                            <wp:effectExtent l="0" t="0" r="5715" b="63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pic:nvPicPr>
                                  <pic:blipFill>
                                    <a:blip r:embed="rId12">
                                      <a:extLst>
                                        <a:ext uri="{28A0092B-C50C-407E-A947-70E740481C1C}">
                                          <a14:useLocalDpi xmlns:a14="http://schemas.microsoft.com/office/drawing/2010/main" val="0"/>
                                        </a:ext>
                                      </a:extLst>
                                    </a:blip>
                                    <a:stretch>
                                      <a:fillRect/>
                                    </a:stretch>
                                  </pic:blipFill>
                                  <pic:spPr>
                                    <a:xfrm>
                                      <a:off x="0" y="0"/>
                                      <a:ext cx="2990261" cy="2556310"/>
                                    </a:xfrm>
                                    <a:prstGeom prst="rect">
                                      <a:avLst/>
                                    </a:prstGeom>
                                  </pic:spPr>
                                </pic:pic>
                              </a:graphicData>
                            </a:graphic>
                          </wp:inline>
                        </w:drawing>
                      </w:r>
                    </w:p>
                  </w:txbxContent>
                </v:textbox>
              </v:shape>
            </w:pict>
          </mc:Fallback>
        </mc:AlternateContent>
      </w:r>
    </w:p>
    <w:p w14:paraId="79EDFA34" w14:textId="77777777" w:rsidR="008653EC" w:rsidRDefault="008653EC" w:rsidP="008653EC">
      <w:pPr>
        <w:jc w:val="both"/>
        <w:rPr>
          <w:sz w:val="24"/>
          <w:szCs w:val="24"/>
          <w:u w:val="single"/>
        </w:rPr>
      </w:pPr>
    </w:p>
    <w:p w14:paraId="39A49F0B" w14:textId="77777777" w:rsidR="008653EC" w:rsidRDefault="008653EC" w:rsidP="008653EC">
      <w:pPr>
        <w:jc w:val="both"/>
        <w:rPr>
          <w:sz w:val="24"/>
          <w:szCs w:val="24"/>
          <w:u w:val="single"/>
        </w:rPr>
      </w:pPr>
    </w:p>
    <w:p w14:paraId="7B76301A" w14:textId="77777777" w:rsidR="008653EC" w:rsidRDefault="008653EC" w:rsidP="008653EC">
      <w:pPr>
        <w:jc w:val="both"/>
        <w:rPr>
          <w:sz w:val="24"/>
          <w:szCs w:val="24"/>
          <w:u w:val="single"/>
        </w:rPr>
      </w:pPr>
    </w:p>
    <w:p w14:paraId="00203DC0" w14:textId="77777777" w:rsidR="008653EC" w:rsidRDefault="008653EC" w:rsidP="008653EC">
      <w:pPr>
        <w:jc w:val="both"/>
        <w:rPr>
          <w:sz w:val="24"/>
          <w:szCs w:val="24"/>
          <w:u w:val="single"/>
        </w:rPr>
      </w:pPr>
    </w:p>
    <w:p w14:paraId="6FED9C3B" w14:textId="77777777" w:rsidR="008653EC" w:rsidRDefault="008653EC" w:rsidP="008653EC">
      <w:pPr>
        <w:jc w:val="both"/>
        <w:rPr>
          <w:sz w:val="24"/>
          <w:szCs w:val="24"/>
          <w:u w:val="single"/>
        </w:rPr>
      </w:pPr>
    </w:p>
    <w:p w14:paraId="098F6718" w14:textId="77777777" w:rsidR="008653EC" w:rsidRDefault="008653EC" w:rsidP="008653EC">
      <w:pPr>
        <w:jc w:val="both"/>
        <w:rPr>
          <w:sz w:val="24"/>
          <w:szCs w:val="24"/>
          <w:u w:val="single"/>
        </w:rPr>
      </w:pPr>
    </w:p>
    <w:p w14:paraId="5D72B58B" w14:textId="77777777" w:rsidR="008653EC" w:rsidRDefault="008653EC" w:rsidP="008653EC">
      <w:pPr>
        <w:jc w:val="both"/>
        <w:rPr>
          <w:sz w:val="24"/>
          <w:szCs w:val="24"/>
          <w:u w:val="single"/>
        </w:rPr>
      </w:pPr>
    </w:p>
    <w:p w14:paraId="14AB8DAF" w14:textId="77777777" w:rsidR="008653EC" w:rsidRDefault="008653EC" w:rsidP="008653EC">
      <w:pPr>
        <w:jc w:val="both"/>
        <w:rPr>
          <w:sz w:val="24"/>
          <w:szCs w:val="24"/>
          <w:u w:val="single"/>
        </w:rPr>
      </w:pPr>
      <w:r>
        <w:rPr>
          <w:noProof/>
          <w:sz w:val="24"/>
          <w:szCs w:val="24"/>
          <w:u w:val="single"/>
        </w:rPr>
        <mc:AlternateContent>
          <mc:Choice Requires="wps">
            <w:drawing>
              <wp:anchor distT="0" distB="0" distL="114300" distR="114300" simplePos="0" relativeHeight="251660288" behindDoc="0" locked="0" layoutInCell="1" allowOverlap="1" wp14:anchorId="2B7996B3" wp14:editId="72972C70">
                <wp:simplePos x="0" y="0"/>
                <wp:positionH relativeFrom="column">
                  <wp:posOffset>80010</wp:posOffset>
                </wp:positionH>
                <wp:positionV relativeFrom="paragraph">
                  <wp:posOffset>66110</wp:posOffset>
                </wp:positionV>
                <wp:extent cx="5714030" cy="562708"/>
                <wp:effectExtent l="0" t="0" r="13970" b="8890"/>
                <wp:wrapNone/>
                <wp:docPr id="25" name="Text Box 25"/>
                <wp:cNvGraphicFramePr/>
                <a:graphic xmlns:a="http://schemas.openxmlformats.org/drawingml/2006/main">
                  <a:graphicData uri="http://schemas.microsoft.com/office/word/2010/wordprocessingShape">
                    <wps:wsp>
                      <wps:cNvSpPr txBox="1"/>
                      <wps:spPr>
                        <a:xfrm>
                          <a:off x="0" y="0"/>
                          <a:ext cx="5714030" cy="562708"/>
                        </a:xfrm>
                        <a:prstGeom prst="rect">
                          <a:avLst/>
                        </a:prstGeom>
                        <a:solidFill>
                          <a:schemeClr val="lt1"/>
                        </a:solidFill>
                        <a:ln w="6350">
                          <a:solidFill>
                            <a:prstClr val="black"/>
                          </a:solidFill>
                        </a:ln>
                      </wps:spPr>
                      <wps:txbx>
                        <w:txbxContent>
                          <w:p w14:paraId="6D867530" w14:textId="77777777" w:rsidR="008653EC" w:rsidRDefault="008653EC" w:rsidP="008653EC">
                            <w:pPr>
                              <w:jc w:val="center"/>
                            </w:pPr>
                            <w:r w:rsidRPr="00214B14">
                              <w:t>Fig</w:t>
                            </w:r>
                            <w:r>
                              <w:t xml:space="preserve"> 4</w:t>
                            </w:r>
                            <w:r w:rsidRPr="00214B14">
                              <w:t xml:space="preserve">: </w:t>
                            </w:r>
                            <w:r>
                              <w:t xml:space="preserve">X-ray </w:t>
                            </w:r>
                            <w:r w:rsidRPr="00214B14">
                              <w:t>AP and Lateral view of knee joint showing diffuse cortical thickening involving bilateral distal femoral diaphysis and metaphysis with periosteal reaction.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2B7996B3" id="Text Box 25" o:spid="_x0000_s1033" type="#_x0000_t202" style="position:absolute;left:0;text-align:left;margin-left:6.3pt;margin-top:5.2pt;width:449.9pt;height:44.3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" fillcolor="white [3201]" strokeweight=".5pt">
                <v:textbox>
                  <w:txbxContent>
                    <w:p w14:paraId="6D867530" w14:textId="77777777" w:rsidR="008653EC" w:rsidRDefault="008653EC" w:rsidP="008653EC">
                      <w:pPr>
                        <w:jc w:val="center"/>
                      </w:pPr>
                      <w:r w:rsidRPr="00214B14">
                        <w:t>Fig</w:t>
                      </w:r>
                      <w:r>
                        <w:t xml:space="preserve"> 4</w:t>
                      </w:r>
                      <w:r w:rsidRPr="00214B14">
                        <w:t xml:space="preserve">: </w:t>
                      </w:r>
                      <w:r>
                        <w:t xml:space="preserve">X-ray </w:t>
                      </w:r>
                      <w:r w:rsidRPr="00214B14">
                        <w:t>AP and Lateral view of knee joint showing diffuse cortical thickening involving bilateral distal femoral diaphysis and metaphysis with periosteal reaction.</w:t>
                      </w:r>
                    </w:p>
                  </w:txbxContent>
                </v:textbox>
              </v:shape>
            </w:pict>
          </mc:Fallback>
        </mc:AlternateContent>
      </w:r>
    </w:p>
    <w:p w14:paraId="1467338A" w14:textId="77777777" w:rsidR="008653EC" w:rsidRDefault="008653EC" w:rsidP="008653EC">
      <w:pPr>
        <w:jc w:val="both"/>
        <w:rPr>
          <w:sz w:val="24"/>
          <w:szCs w:val="24"/>
          <w:u w:val="single"/>
        </w:rPr>
      </w:pPr>
    </w:p>
    <w:p w14:paraId="5630FB1D" w14:textId="77777777" w:rsidR="008653EC" w:rsidRDefault="008653EC" w:rsidP="008653EC">
      <w:pPr>
        <w:jc w:val="both"/>
        <w:rPr>
          <w:sz w:val="24"/>
          <w:szCs w:val="24"/>
          <w:u w:val="single"/>
        </w:rPr>
      </w:pPr>
    </w:p>
    <w:p w14:paraId="301E7A67" w14:textId="77777777" w:rsidR="008653EC" w:rsidRDefault="008653EC" w:rsidP="008653EC">
      <w:pPr>
        <w:jc w:val="both"/>
        <w:rPr>
          <w:sz w:val="24"/>
          <w:szCs w:val="24"/>
          <w:u w:val="single"/>
        </w:rPr>
      </w:pPr>
      <w:r>
        <w:rPr>
          <w:noProof/>
          <w:sz w:val="24"/>
          <w:szCs w:val="24"/>
          <w:u w:val="single"/>
        </w:rPr>
        <mc:AlternateContent>
          <mc:Choice Requires="wps">
            <w:drawing>
              <wp:anchor distT="0" distB="0" distL="114300" distR="114300" simplePos="0" relativeHeight="251663360" behindDoc="0" locked="0" layoutInCell="1" allowOverlap="1" wp14:anchorId="2C90B59B" wp14:editId="4693CAF5">
                <wp:simplePos x="0" y="0"/>
                <wp:positionH relativeFrom="column">
                  <wp:posOffset>3315956</wp:posOffset>
                </wp:positionH>
                <wp:positionV relativeFrom="paragraph">
                  <wp:posOffset>47967</wp:posOffset>
                </wp:positionV>
                <wp:extent cx="2672457" cy="3526790"/>
                <wp:effectExtent l="0" t="0" r="7620" b="16510"/>
                <wp:wrapNone/>
                <wp:docPr id="30" name="Text Box 30"/>
                <wp:cNvGraphicFramePr/>
                <a:graphic xmlns:a="http://schemas.openxmlformats.org/drawingml/2006/main">
                  <a:graphicData uri="http://schemas.microsoft.com/office/word/2010/wordprocessingShape">
                    <wps:wsp>
                      <wps:cNvSpPr txBox="1"/>
                      <wps:spPr>
                        <a:xfrm>
                          <a:off x="0" y="0"/>
                          <a:ext cx="2672457" cy="3526790"/>
                        </a:xfrm>
                        <a:prstGeom prst="rect">
                          <a:avLst/>
                        </a:prstGeom>
                        <a:solidFill>
                          <a:schemeClr val="lt1"/>
                        </a:solidFill>
                        <a:ln w="6350">
                          <a:solidFill>
                            <a:prstClr val="black"/>
                          </a:solidFill>
                        </a:ln>
                      </wps:spPr>
                      <wps:txbx>
                        <w:txbxContent>
                          <w:p w14:paraId="5A4A962A" w14:textId="77777777" w:rsidR="008653EC" w:rsidRDefault="008653EC" w:rsidP="008653EC">
                            <w:r>
                              <w:rPr>
                                <w:noProof/>
                              </w:rPr>
                              <w:drawing>
                                <wp:inline distT="0" distB="0" distL="0" distR="0" wp14:anchorId="7A6FC077" wp14:editId="2C37950F">
                                  <wp:extent cx="2521192" cy="2501900"/>
                                  <wp:effectExtent l="0" t="0" r="635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pic:nvPicPr>
                                        <pic:blipFill>
                                          <a:blip r:embed="rId13">
                                            <a:extLst>
                                              <a:ext uri="{28A0092B-C50C-407E-A947-70E740481C1C}">
                                                <a14:useLocalDpi xmlns:a14="http://schemas.microsoft.com/office/drawing/2010/main" val="0"/>
                                              </a:ext>
                                            </a:extLst>
                                          </a:blip>
                                          <a:stretch>
                                            <a:fillRect/>
                                          </a:stretch>
                                        </pic:blipFill>
                                        <pic:spPr>
                                          <a:xfrm>
                                            <a:off x="0" y="0"/>
                                            <a:ext cx="2550600" cy="2531083"/>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90B59B" id="Text Box 30" o:spid="_x0000_s1034" type="#_x0000_t202" style="position:absolute;left:0;text-align:left;margin-left:261.1pt;margin-top:3.8pt;width:210.45pt;height:277.7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" fillcolor="white [3201]" strokeweight=".5pt">
                <v:textbox>
                  <w:txbxContent>
                    <w:p w14:paraId="5A4A962A" w14:textId="77777777" w:rsidR="008653EC" w:rsidRDefault="008653EC" w:rsidP="008653EC">
                      <w:r>
                        <w:rPr>
                          <w:noProof/>
                        </w:rPr>
                        <w:drawing>
                          <wp:inline distT="0" distB="0" distL="0" distR="0" wp14:anchorId="7A6FC077" wp14:editId="2C37950F">
                            <wp:extent cx="2521192" cy="2501900"/>
                            <wp:effectExtent l="0" t="0" r="635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pic:nvPicPr>
                                  <pic:blipFill>
                                    <a:blip r:embed="rId13">
                                      <a:extLst>
                                        <a:ext uri="{28A0092B-C50C-407E-A947-70E740481C1C}">
                                          <a14:useLocalDpi xmlns:a14="http://schemas.microsoft.com/office/drawing/2010/main" val="0"/>
                                        </a:ext>
                                      </a:extLst>
                                    </a:blip>
                                    <a:stretch>
                                      <a:fillRect/>
                                    </a:stretch>
                                  </pic:blipFill>
                                  <pic:spPr>
                                    <a:xfrm>
                                      <a:off x="0" y="0"/>
                                      <a:ext cx="2550600" cy="2531083"/>
                                    </a:xfrm>
                                    <a:prstGeom prst="rect">
                                      <a:avLst/>
                                    </a:prstGeom>
                                  </pic:spPr>
                                </pic:pic>
                              </a:graphicData>
                            </a:graphic>
                          </wp:inline>
                        </w:drawing>
                      </w:r>
                    </w:p>
                  </w:txbxContent>
                </v:textbox>
              </v:shape>
            </w:pict>
          </mc:Fallback>
        </mc:AlternateContent>
      </w:r>
      <w:r>
        <w:rPr>
          <w:noProof/>
          <w:sz w:val="24"/>
          <w:szCs w:val="24"/>
          <w:u w:val="single"/>
        </w:rPr>
        <mc:AlternateContent>
          <mc:Choice Requires="wps">
            <w:drawing>
              <wp:anchor distT="0" distB="0" distL="114300" distR="114300" simplePos="0" relativeHeight="251661312" behindDoc="0" locked="0" layoutInCell="1" allowOverlap="1" wp14:anchorId="2EDDF611" wp14:editId="1435B495">
                <wp:simplePos x="0" y="0"/>
                <wp:positionH relativeFrom="column">
                  <wp:posOffset>-10048</wp:posOffset>
                </wp:positionH>
                <wp:positionV relativeFrom="paragraph">
                  <wp:posOffset>47967</wp:posOffset>
                </wp:positionV>
                <wp:extent cx="3265714" cy="3526790"/>
                <wp:effectExtent l="0" t="0" r="11430" b="16510"/>
                <wp:wrapNone/>
                <wp:docPr id="26" name="Text Box 26"/>
                <wp:cNvGraphicFramePr/>
                <a:graphic xmlns:a="http://schemas.openxmlformats.org/drawingml/2006/main">
                  <a:graphicData uri="http://schemas.microsoft.com/office/word/2010/wordprocessingShape">
                    <wps:wsp>
                      <wps:cNvSpPr txBox="1"/>
                      <wps:spPr>
                        <a:xfrm>
                          <a:off x="0" y="0"/>
                          <a:ext cx="3265714" cy="3526790"/>
                        </a:xfrm>
                        <a:prstGeom prst="rect">
                          <a:avLst/>
                        </a:prstGeom>
                        <a:solidFill>
                          <a:schemeClr val="lt1"/>
                        </a:solidFill>
                        <a:ln w="6350">
                          <a:solidFill>
                            <a:prstClr val="black"/>
                          </a:solidFill>
                        </a:ln>
                      </wps:spPr>
                      <wps:txbx>
                        <w:txbxContent>
                          <w:p w14:paraId="6B5E35CA" w14:textId="77777777" w:rsidR="008653EC" w:rsidRDefault="008653EC" w:rsidP="008653EC">
                            <w:r>
                              <w:rPr>
                                <w:noProof/>
                              </w:rPr>
                              <w:drawing>
                                <wp:inline distT="0" distB="0" distL="0" distR="0" wp14:anchorId="18428251" wp14:editId="4A8E21AF">
                                  <wp:extent cx="3094183" cy="2501900"/>
                                  <wp:effectExtent l="0" t="0" r="508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pic:nvPicPr>
                                        <pic:blipFill>
                                          <a:blip r:embed="rId14">
                                            <a:extLst>
                                              <a:ext uri="{28A0092B-C50C-407E-A947-70E740481C1C}">
                                                <a14:useLocalDpi xmlns:a14="http://schemas.microsoft.com/office/drawing/2010/main" val="0"/>
                                              </a:ext>
                                            </a:extLst>
                                          </a:blip>
                                          <a:stretch>
                                            <a:fillRect/>
                                          </a:stretch>
                                        </pic:blipFill>
                                        <pic:spPr>
                                          <a:xfrm>
                                            <a:off x="0" y="0"/>
                                            <a:ext cx="3162204" cy="2556901"/>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DDF611" id="Text Box 26" o:spid="_x0000_s1035" type="#_x0000_t202" style="position:absolute;left:0;text-align:left;margin-left:-.8pt;margin-top:3.8pt;width:257.15pt;height:277.7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" fillcolor="white [3201]" strokeweight=".5pt">
                <v:textbox>
                  <w:txbxContent>
                    <w:p w14:paraId="6B5E35CA" w14:textId="77777777" w:rsidR="008653EC" w:rsidRDefault="008653EC" w:rsidP="008653EC">
                      <w:r>
                        <w:rPr>
                          <w:noProof/>
                        </w:rPr>
                        <w:drawing>
                          <wp:inline distT="0" distB="0" distL="0" distR="0" wp14:anchorId="18428251" wp14:editId="4A8E21AF">
                            <wp:extent cx="3094183" cy="2501900"/>
                            <wp:effectExtent l="0" t="0" r="508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pic:nvPicPr>
                                  <pic:blipFill>
                                    <a:blip r:embed="rId14">
                                      <a:extLst>
                                        <a:ext uri="{28A0092B-C50C-407E-A947-70E740481C1C}">
                                          <a14:useLocalDpi xmlns:a14="http://schemas.microsoft.com/office/drawing/2010/main" val="0"/>
                                        </a:ext>
                                      </a:extLst>
                                    </a:blip>
                                    <a:stretch>
                                      <a:fillRect/>
                                    </a:stretch>
                                  </pic:blipFill>
                                  <pic:spPr>
                                    <a:xfrm>
                                      <a:off x="0" y="0"/>
                                      <a:ext cx="3162204" cy="2556901"/>
                                    </a:xfrm>
                                    <a:prstGeom prst="rect">
                                      <a:avLst/>
                                    </a:prstGeom>
                                  </pic:spPr>
                                </pic:pic>
                              </a:graphicData>
                            </a:graphic>
                          </wp:inline>
                        </w:drawing>
                      </w:r>
                    </w:p>
                  </w:txbxContent>
                </v:textbox>
              </v:shape>
            </w:pict>
          </mc:Fallback>
        </mc:AlternateContent>
      </w:r>
    </w:p>
    <w:p w14:paraId="1C4A865B" w14:textId="77777777" w:rsidR="008653EC" w:rsidRDefault="008653EC" w:rsidP="008653EC">
      <w:pPr>
        <w:jc w:val="both"/>
        <w:rPr>
          <w:sz w:val="24"/>
          <w:szCs w:val="24"/>
          <w:u w:val="single"/>
        </w:rPr>
      </w:pPr>
    </w:p>
    <w:p w14:paraId="721108BA" w14:textId="77777777" w:rsidR="008653EC" w:rsidRDefault="008653EC" w:rsidP="008653EC">
      <w:pPr>
        <w:jc w:val="both"/>
        <w:rPr>
          <w:sz w:val="24"/>
          <w:szCs w:val="24"/>
          <w:u w:val="single"/>
        </w:rPr>
      </w:pPr>
    </w:p>
    <w:p w14:paraId="1288C634" w14:textId="77777777" w:rsidR="008653EC" w:rsidRDefault="008653EC" w:rsidP="008653EC">
      <w:pPr>
        <w:jc w:val="both"/>
        <w:rPr>
          <w:sz w:val="24"/>
          <w:szCs w:val="24"/>
          <w:u w:val="single"/>
        </w:rPr>
      </w:pPr>
    </w:p>
    <w:p w14:paraId="24286B78" w14:textId="77777777" w:rsidR="008653EC" w:rsidRDefault="008653EC" w:rsidP="008653EC">
      <w:pPr>
        <w:jc w:val="both"/>
        <w:rPr>
          <w:sz w:val="24"/>
          <w:szCs w:val="24"/>
          <w:u w:val="single"/>
        </w:rPr>
      </w:pPr>
    </w:p>
    <w:p w14:paraId="3DAFA55F" w14:textId="77777777" w:rsidR="008653EC" w:rsidRDefault="008653EC" w:rsidP="008653EC">
      <w:pPr>
        <w:jc w:val="both"/>
        <w:rPr>
          <w:sz w:val="24"/>
          <w:szCs w:val="24"/>
          <w:u w:val="single"/>
        </w:rPr>
      </w:pPr>
    </w:p>
    <w:p w14:paraId="166811FE" w14:textId="77777777" w:rsidR="008653EC" w:rsidRDefault="008653EC" w:rsidP="008653EC">
      <w:pPr>
        <w:jc w:val="both"/>
        <w:rPr>
          <w:sz w:val="24"/>
          <w:szCs w:val="24"/>
          <w:u w:val="single"/>
        </w:rPr>
      </w:pPr>
    </w:p>
    <w:p w14:paraId="31870701" w14:textId="77777777" w:rsidR="008653EC" w:rsidRDefault="008653EC" w:rsidP="008653EC">
      <w:pPr>
        <w:jc w:val="both"/>
        <w:rPr>
          <w:sz w:val="24"/>
          <w:szCs w:val="24"/>
          <w:u w:val="single"/>
        </w:rPr>
      </w:pPr>
      <w:r>
        <w:rPr>
          <w:noProof/>
          <w:sz w:val="24"/>
          <w:szCs w:val="24"/>
          <w:u w:val="single"/>
        </w:rPr>
        <mc:AlternateContent>
          <mc:Choice Requires="wps">
            <w:drawing>
              <wp:anchor distT="0" distB="0" distL="114300" distR="114300" simplePos="0" relativeHeight="251662336" behindDoc="0" locked="0" layoutInCell="1" allowOverlap="1" wp14:anchorId="6B5D79C4" wp14:editId="7C153289">
                <wp:simplePos x="0" y="0"/>
                <wp:positionH relativeFrom="column">
                  <wp:posOffset>80010</wp:posOffset>
                </wp:positionH>
                <wp:positionV relativeFrom="paragraph">
                  <wp:posOffset>260512</wp:posOffset>
                </wp:positionV>
                <wp:extent cx="3094355" cy="854075"/>
                <wp:effectExtent l="0" t="0" r="17145" b="9525"/>
                <wp:wrapNone/>
                <wp:docPr id="29" name="Text Box 29"/>
                <wp:cNvGraphicFramePr/>
                <a:graphic xmlns:a="http://schemas.openxmlformats.org/drawingml/2006/main">
                  <a:graphicData uri="http://schemas.microsoft.com/office/word/2010/wordprocessingShape">
                    <wps:wsp>
                      <wps:cNvSpPr txBox="1"/>
                      <wps:spPr>
                        <a:xfrm>
                          <a:off x="0" y="0"/>
                          <a:ext cx="3094355" cy="854075"/>
                        </a:xfrm>
                        <a:prstGeom prst="rect">
                          <a:avLst/>
                        </a:prstGeom>
                        <a:solidFill>
                          <a:schemeClr val="lt1"/>
                        </a:solidFill>
                        <a:ln w="6350">
                          <a:solidFill>
                            <a:prstClr val="black"/>
                          </a:solidFill>
                        </a:ln>
                      </wps:spPr>
                      <wps:txbx>
                        <w:txbxContent>
                          <w:p w14:paraId="49AF229F" w14:textId="77777777" w:rsidR="008653EC" w:rsidRDefault="008653EC" w:rsidP="008653EC">
                            <w:pPr>
                              <w:jc w:val="center"/>
                            </w:pPr>
                            <w:r>
                              <w:t>Fig 5: X-ray</w:t>
                            </w:r>
                            <w:r w:rsidRPr="001E5E69">
                              <w:t xml:space="preserve"> of ankle and foot show</w:t>
                            </w:r>
                            <w:r>
                              <w:t>ing</w:t>
                            </w:r>
                            <w:r w:rsidRPr="001E5E69">
                              <w:t xml:space="preserve"> cortical thickening with fluffy periosteal reaction in bilateral tibia, fibula, milder changes in talus and navicular in dorsal and medial aspect.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B5D79C4" id="Text Box 29" o:spid="_x0000_s1036" type="#_x0000_t202" style="position:absolute;left:0;text-align:left;margin-left:6.3pt;margin-top:20.5pt;width:243.65pt;height:67.25pt;z-index:2516623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" fillcolor="white [3201]" strokeweight=".5pt">
                <v:textbox>
                  <w:txbxContent>
                    <w:p w14:paraId="49AF229F" w14:textId="77777777" w:rsidR="008653EC" w:rsidRDefault="008653EC" w:rsidP="008653EC">
                      <w:pPr>
                        <w:jc w:val="center"/>
                      </w:pPr>
                      <w:r>
                        <w:t>Fig 5: X-ray</w:t>
                      </w:r>
                      <w:r w:rsidRPr="001E5E69">
                        <w:t xml:space="preserve"> of ankle and foot show</w:t>
                      </w:r>
                      <w:r>
                        <w:t>ing</w:t>
                      </w:r>
                      <w:r w:rsidRPr="001E5E69">
                        <w:t xml:space="preserve"> cortical thickening with fluffy periosteal reaction in bilateral tibia, fibula, milder changes in talus and navicular in dorsal and medial aspect.</w:t>
                      </w:r>
                    </w:p>
                  </w:txbxContent>
                </v:textbox>
              </v:shape>
            </w:pict>
          </mc:Fallback>
        </mc:AlternateContent>
      </w:r>
      <w:r>
        <w:rPr>
          <w:noProof/>
          <w:sz w:val="24"/>
          <w:szCs w:val="24"/>
          <w:u w:val="single"/>
        </w:rPr>
        <mc:AlternateContent>
          <mc:Choice Requires="wps">
            <w:drawing>
              <wp:anchor distT="0" distB="0" distL="114300" distR="114300" simplePos="0" relativeHeight="251664384" behindDoc="0" locked="0" layoutInCell="1" allowOverlap="1" wp14:anchorId="5440A5FB" wp14:editId="4F2C83E5">
                <wp:simplePos x="0" y="0"/>
                <wp:positionH relativeFrom="column">
                  <wp:posOffset>3426460</wp:posOffset>
                </wp:positionH>
                <wp:positionV relativeFrom="paragraph">
                  <wp:posOffset>243317</wp:posOffset>
                </wp:positionV>
                <wp:extent cx="2461846" cy="854075"/>
                <wp:effectExtent l="0" t="0" r="15240" b="9525"/>
                <wp:wrapNone/>
                <wp:docPr id="32" name="Text Box 32"/>
                <wp:cNvGraphicFramePr/>
                <a:graphic xmlns:a="http://schemas.openxmlformats.org/drawingml/2006/main">
                  <a:graphicData uri="http://schemas.microsoft.com/office/word/2010/wordprocessingShape">
                    <wps:wsp>
                      <wps:cNvSpPr txBox="1"/>
                      <wps:spPr>
                        <a:xfrm>
                          <a:off x="0" y="0"/>
                          <a:ext cx="2461846" cy="854075"/>
                        </a:xfrm>
                        <a:prstGeom prst="rect">
                          <a:avLst/>
                        </a:prstGeom>
                        <a:solidFill>
                          <a:schemeClr val="lt1"/>
                        </a:solidFill>
                        <a:ln w="6350">
                          <a:solidFill>
                            <a:prstClr val="black"/>
                          </a:solidFill>
                        </a:ln>
                      </wps:spPr>
                      <wps:txbx>
                        <w:txbxContent>
                          <w:p w14:paraId="5ED004C0" w14:textId="77777777" w:rsidR="008653EC" w:rsidRDefault="008653EC" w:rsidP="008653EC">
                            <w:pPr>
                              <w:jc w:val="center"/>
                            </w:pPr>
                            <w:r>
                              <w:t>Fig 6: X-ray</w:t>
                            </w:r>
                            <w:r w:rsidRPr="001E5E69">
                              <w:t xml:space="preserve"> of hand show</w:t>
                            </w:r>
                            <w:r>
                              <w:t>ing</w:t>
                            </w:r>
                            <w:r w:rsidRPr="001E5E69">
                              <w:t xml:space="preserve"> cortical thickening and periosteal reaction in dorsal radius and ulna</w:t>
                            </w:r>
                            <w:r>
                              <w:t xml:space="preserve"> and</w:t>
                            </w:r>
                            <w:r w:rsidRPr="001E5E69">
                              <w:t xml:space="preserve"> middle and proximal phalanx of all fingers.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440A5FB" id="Text Box 32" o:spid="_x0000_s1037" type="#_x0000_t202" style="position:absolute;left:0;text-align:left;margin-left:269.8pt;margin-top:19.15pt;width:193.85pt;height:67.25pt;z-index:2516643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" fillcolor="white [3201]" strokeweight=".5pt">
                <v:textbox>
                  <w:txbxContent>
                    <w:p w14:paraId="5ED004C0" w14:textId="77777777" w:rsidR="008653EC" w:rsidRDefault="008653EC" w:rsidP="008653EC">
                      <w:pPr>
                        <w:jc w:val="center"/>
                      </w:pPr>
                      <w:r>
                        <w:t>Fig 6: X-ray</w:t>
                      </w:r>
                      <w:r w:rsidRPr="001E5E69">
                        <w:t xml:space="preserve"> of hand show</w:t>
                      </w:r>
                      <w:r>
                        <w:t>ing</w:t>
                      </w:r>
                      <w:r w:rsidRPr="001E5E69">
                        <w:t xml:space="preserve"> cortical thickening and periosteal reaction in dorsal radius and ulna</w:t>
                      </w:r>
                      <w:r>
                        <w:t xml:space="preserve"> and</w:t>
                      </w:r>
                      <w:r w:rsidRPr="001E5E69">
                        <w:t xml:space="preserve"> middle and proximal phalanx of all fingers.</w:t>
                      </w:r>
                    </w:p>
                  </w:txbxContent>
                </v:textbox>
              </v:shape>
            </w:pict>
          </mc:Fallback>
        </mc:AlternateContent>
      </w:r>
    </w:p>
    <w:p w14:paraId="24248104" w14:textId="77777777" w:rsidR="008653EC" w:rsidRDefault="008653EC" w:rsidP="008653EC">
      <w:pPr>
        <w:jc w:val="both"/>
        <w:rPr>
          <w:sz w:val="24"/>
          <w:szCs w:val="24"/>
          <w:u w:val="single"/>
        </w:rPr>
      </w:pPr>
    </w:p>
    <w:p w14:paraId="27762D27" w14:textId="77777777" w:rsidR="008653EC" w:rsidRDefault="008653EC" w:rsidP="008653EC">
      <w:pPr>
        <w:jc w:val="both"/>
        <w:rPr>
          <w:sz w:val="24"/>
          <w:szCs w:val="24"/>
          <w:u w:val="single"/>
        </w:rPr>
      </w:pPr>
    </w:p>
    <w:p w14:paraId="7BAEFB92" w14:textId="77777777" w:rsidR="008653EC" w:rsidRDefault="008653EC" w:rsidP="008653EC">
      <w:pPr>
        <w:jc w:val="both"/>
        <w:rPr>
          <w:sz w:val="24"/>
          <w:szCs w:val="24"/>
          <w:u w:val="single"/>
        </w:rPr>
      </w:pPr>
    </w:p>
    <w:p w14:paraId="02F5F80B" w14:textId="77777777" w:rsidR="008653EC" w:rsidRDefault="008653EC" w:rsidP="008653EC">
      <w:pPr>
        <w:jc w:val="both"/>
        <w:rPr>
          <w:sz w:val="24"/>
          <w:szCs w:val="24"/>
          <w:u w:val="single"/>
        </w:rPr>
      </w:pPr>
    </w:p>
    <w:p w14:paraId="35D5B126" w14:textId="77777777" w:rsidR="008653EC" w:rsidRDefault="008653EC" w:rsidP="00A7791B">
      <w:pPr>
        <w:jc w:val="both"/>
        <w:rPr>
          <w:sz w:val="24"/>
          <w:szCs w:val="24"/>
        </w:rPr>
      </w:pPr>
    </w:p>
    <w:p w14:paraId="566CE525" w14:textId="77777777" w:rsidR="00A7791B" w:rsidRPr="001A19B9" w:rsidRDefault="00A7791B" w:rsidP="00A7791B">
      <w:pPr>
        <w:jc w:val="both"/>
        <w:rPr>
          <w:b/>
          <w:bCs/>
          <w:sz w:val="24"/>
          <w:szCs w:val="24"/>
          <w:u w:val="single"/>
        </w:rPr>
      </w:pPr>
      <w:r w:rsidRPr="001A19B9">
        <w:rPr>
          <w:b/>
          <w:bCs/>
          <w:sz w:val="24"/>
          <w:szCs w:val="24"/>
          <w:u w:val="single"/>
        </w:rPr>
        <w:lastRenderedPageBreak/>
        <w:t xml:space="preserve">DISCUSSION </w:t>
      </w:r>
    </w:p>
    <w:p w14:paraId="2A9F9947" w14:textId="77777777" w:rsidR="00A7791B" w:rsidRPr="000D4BDB" w:rsidRDefault="00A7791B" w:rsidP="00A7791B">
      <w:pPr>
        <w:jc w:val="both"/>
        <w:rPr>
          <w:sz w:val="24"/>
          <w:szCs w:val="24"/>
        </w:rPr>
      </w:pPr>
      <w:r w:rsidRPr="000D4BDB">
        <w:rPr>
          <w:sz w:val="24"/>
          <w:szCs w:val="24"/>
        </w:rPr>
        <w:t xml:space="preserve">Hypertrophic osteoarthropathy (HOA) can be broadly divided into primary and secondary HOA. </w:t>
      </w:r>
      <w:proofErr w:type="spellStart"/>
      <w:r w:rsidRPr="000D4BDB">
        <w:rPr>
          <w:sz w:val="24"/>
          <w:szCs w:val="24"/>
        </w:rPr>
        <w:t>Pachydermoperiosteosis</w:t>
      </w:r>
      <w:proofErr w:type="spellEnd"/>
      <w:r w:rsidRPr="000D4BDB">
        <w:rPr>
          <w:sz w:val="24"/>
          <w:szCs w:val="24"/>
        </w:rPr>
        <w:t xml:space="preserve">, a rare genetic disorder is a primary hypertrophic osteoarthropathy </w:t>
      </w:r>
      <w:r>
        <w:rPr>
          <w:sz w:val="24"/>
          <w:szCs w:val="24"/>
        </w:rPr>
        <w:t xml:space="preserve">that </w:t>
      </w:r>
      <w:r w:rsidRPr="000D4BDB">
        <w:rPr>
          <w:sz w:val="24"/>
          <w:szCs w:val="24"/>
        </w:rPr>
        <w:t>has 3 forms: complete form, incomplete form</w:t>
      </w:r>
      <w:r>
        <w:rPr>
          <w:sz w:val="24"/>
          <w:szCs w:val="24"/>
        </w:rPr>
        <w:t>,</w:t>
      </w:r>
      <w:r w:rsidRPr="000D4BDB">
        <w:rPr>
          <w:sz w:val="24"/>
          <w:szCs w:val="24"/>
        </w:rPr>
        <w:t xml:space="preserve"> and </w:t>
      </w:r>
      <w:proofErr w:type="spellStart"/>
      <w:r w:rsidRPr="000D4BDB">
        <w:rPr>
          <w:sz w:val="24"/>
          <w:szCs w:val="24"/>
        </w:rPr>
        <w:t>forme</w:t>
      </w:r>
      <w:proofErr w:type="spellEnd"/>
      <w:r w:rsidRPr="000D4BDB">
        <w:rPr>
          <w:sz w:val="24"/>
          <w:szCs w:val="24"/>
        </w:rPr>
        <w:t xml:space="preserve"> fruste. Hypertrophic osteoarthropathy was described</w:t>
      </w:r>
      <w:r>
        <w:rPr>
          <w:sz w:val="24"/>
          <w:szCs w:val="24"/>
        </w:rPr>
        <w:t xml:space="preserve"> </w:t>
      </w:r>
      <w:r w:rsidRPr="000D4BDB">
        <w:rPr>
          <w:sz w:val="24"/>
          <w:szCs w:val="24"/>
        </w:rPr>
        <w:t xml:space="preserve">as “hyperostosis” </w:t>
      </w:r>
      <w:r>
        <w:rPr>
          <w:sz w:val="24"/>
          <w:szCs w:val="24"/>
        </w:rPr>
        <w:t xml:space="preserve">by Friedreich, </w:t>
      </w:r>
      <w:r w:rsidRPr="000D4BDB">
        <w:rPr>
          <w:sz w:val="24"/>
          <w:szCs w:val="24"/>
        </w:rPr>
        <w:t xml:space="preserve">in 1868. In 1935, Touraine, </w:t>
      </w:r>
      <w:proofErr w:type="spellStart"/>
      <w:r w:rsidRPr="000D4BDB">
        <w:rPr>
          <w:sz w:val="24"/>
          <w:szCs w:val="24"/>
        </w:rPr>
        <w:t>Solente</w:t>
      </w:r>
      <w:proofErr w:type="spellEnd"/>
      <w:r w:rsidRPr="000D4BDB">
        <w:rPr>
          <w:sz w:val="24"/>
          <w:szCs w:val="24"/>
        </w:rPr>
        <w:t xml:space="preserve"> and </w:t>
      </w:r>
      <w:proofErr w:type="spellStart"/>
      <w:r w:rsidRPr="000D4BDB">
        <w:rPr>
          <w:sz w:val="24"/>
          <w:szCs w:val="24"/>
        </w:rPr>
        <w:t>Gole</w:t>
      </w:r>
      <w:proofErr w:type="spellEnd"/>
      <w:r w:rsidRPr="000D4BDB">
        <w:rPr>
          <w:sz w:val="24"/>
          <w:szCs w:val="24"/>
        </w:rPr>
        <w:t xml:space="preserve"> introduced </w:t>
      </w:r>
      <w:proofErr w:type="spellStart"/>
      <w:r w:rsidRPr="000D4BDB">
        <w:rPr>
          <w:sz w:val="24"/>
          <w:szCs w:val="24"/>
        </w:rPr>
        <w:t>pachydermoperiostosis</w:t>
      </w:r>
      <w:proofErr w:type="spellEnd"/>
      <w:r w:rsidRPr="000D4BDB">
        <w:rPr>
          <w:sz w:val="24"/>
          <w:szCs w:val="24"/>
        </w:rPr>
        <w:t xml:space="preserve"> as a primary entity of hypertrophic osteoarthropathy </w:t>
      </w:r>
      <w:r w:rsidRPr="000D4BDB">
        <w:rPr>
          <w:sz w:val="24"/>
          <w:szCs w:val="24"/>
        </w:rPr>
        <w:fldChar w:fldCharType="begin" w:fldLock="1"/>
      </w:r>
      <w:r>
        <w:rPr>
          <w:sz w:val="24"/>
          <w:szCs w:val="24"/>
        </w:rPr>
        <w:instrText>ADDIN CSL_CITATION {"citationItems":[{"id":"ITEM-1","itemData":{"author":[{"dropping-particle":"","family":"méd","given":"A Touraine - Presse","non-dropping-particle":"","parse-names":false,"suffix":""},{"dropping-particle":"","family":"1935","given":"undefined","non-dropping-particle":"","parse-names":false,"suffix":""}],"container-title":"ci.nii.ac.jpPaperpile","id":"ITEM-1","issued":{"date-parts":[["0"]]},"title":"Un syndrome osteodermopathique: la pachydermie plicaturee avec pachyperiostose des extremites","type":"article-journal"},"uris":["http://www.mendeley.com/documents/?uuid=cccd5f41-04fa-3668-bc2a-bfb63e8dccd8"]}],"mendeley":{"formattedCitation":"(9)","plainTextFormattedCitation":"(9)","previouslyFormattedCitation":"(9)"},"properties":{"noteIndex":0},"schema":"https://github.com/citation-style-language/schema/raw/master/csl-citation.json"}</w:instrText>
      </w:r>
      <w:r w:rsidRPr="000D4BDB">
        <w:rPr>
          <w:sz w:val="24"/>
          <w:szCs w:val="24"/>
        </w:rPr>
        <w:fldChar w:fldCharType="separate"/>
      </w:r>
      <w:r w:rsidRPr="00201C67">
        <w:rPr>
          <w:noProof/>
          <w:sz w:val="24"/>
          <w:szCs w:val="24"/>
        </w:rPr>
        <w:t>(9)</w:t>
      </w:r>
      <w:r w:rsidRPr="000D4BDB">
        <w:rPr>
          <w:sz w:val="24"/>
          <w:szCs w:val="24"/>
        </w:rPr>
        <w:fldChar w:fldCharType="end"/>
      </w:r>
      <w:r w:rsidRPr="000D4BDB">
        <w:rPr>
          <w:sz w:val="24"/>
          <w:szCs w:val="24"/>
        </w:rPr>
        <w:t xml:space="preserve">. </w:t>
      </w:r>
    </w:p>
    <w:p w14:paraId="47C814A8" w14:textId="77777777" w:rsidR="00A7791B" w:rsidRPr="000D4BDB" w:rsidRDefault="00A7791B" w:rsidP="00A7791B">
      <w:pPr>
        <w:jc w:val="both"/>
        <w:rPr>
          <w:sz w:val="24"/>
          <w:szCs w:val="24"/>
        </w:rPr>
      </w:pPr>
      <w:r w:rsidRPr="000D4BDB">
        <w:rPr>
          <w:sz w:val="24"/>
          <w:szCs w:val="24"/>
        </w:rPr>
        <w:t xml:space="preserve">The precise incidence of this syndrome is unknown. According to one study, it has an estimated prevalence of 0.16% </w:t>
      </w:r>
      <w:r w:rsidRPr="000D4BDB">
        <w:rPr>
          <w:sz w:val="24"/>
          <w:szCs w:val="24"/>
        </w:rPr>
        <w:fldChar w:fldCharType="begin" w:fldLock="1"/>
      </w:r>
      <w:r>
        <w:rPr>
          <w:sz w:val="24"/>
          <w:szCs w:val="24"/>
        </w:rPr>
        <w:instrText>ADDIN CSL_CITATION {"citationItems":[{"id":"ITEM-1","itemData":{"ISSN":"0392-856X","PMID":"1623665","author":[{"dropping-particle":"","family":"Jajic","given":"I.","non-dropping-particle":"","parse-names":false,"suffix":""}],"container-title":"Clinical and Experimental Rheumatology","id":"ITEM-1","issue":"SUPPL. 7","issued":{"date-parts":[["1992","5","1"]]},"page":"13-13","title":"Epidemiology of hypertrophic osteoarthropathy.","type":"article-journal","volume":"10 Suppl 7"},"uris":["http://www.mendeley.com/documents/?uuid=25af9a59-796a-3f73-8132-97e61442cda5"]}],"mendeley":{"formattedCitation":"(10)","plainTextFormattedCitation":"(10)","previouslyFormattedCitation":"(10)"},"properties":{"noteIndex":0},"schema":"https://github.com/citation-style-language/schema/raw/master/csl-citation.json"}</w:instrText>
      </w:r>
      <w:r w:rsidRPr="000D4BDB">
        <w:rPr>
          <w:sz w:val="24"/>
          <w:szCs w:val="24"/>
        </w:rPr>
        <w:fldChar w:fldCharType="separate"/>
      </w:r>
      <w:r w:rsidRPr="00201C67">
        <w:rPr>
          <w:noProof/>
          <w:sz w:val="24"/>
          <w:szCs w:val="24"/>
        </w:rPr>
        <w:t>(10)</w:t>
      </w:r>
      <w:r w:rsidRPr="000D4BDB">
        <w:rPr>
          <w:sz w:val="24"/>
          <w:szCs w:val="24"/>
        </w:rPr>
        <w:fldChar w:fldCharType="end"/>
      </w:r>
      <w:r w:rsidRPr="000D4BDB">
        <w:rPr>
          <w:sz w:val="24"/>
          <w:szCs w:val="24"/>
        </w:rPr>
        <w:t xml:space="preserve">. </w:t>
      </w:r>
      <w:r>
        <w:rPr>
          <w:sz w:val="24"/>
          <w:szCs w:val="24"/>
        </w:rPr>
        <w:t>M</w:t>
      </w:r>
      <w:r w:rsidRPr="000D4BDB">
        <w:rPr>
          <w:sz w:val="24"/>
          <w:szCs w:val="24"/>
        </w:rPr>
        <w:t xml:space="preserve">en are affected more severely than women. Women often have milder findings, and their disease may remain undetected </w:t>
      </w:r>
      <w:r w:rsidRPr="000D4BDB">
        <w:rPr>
          <w:sz w:val="24"/>
          <w:szCs w:val="24"/>
        </w:rPr>
        <w:fldChar w:fldCharType="begin" w:fldLock="1"/>
      </w:r>
      <w:r>
        <w:rPr>
          <w:sz w:val="24"/>
          <w:szCs w:val="24"/>
        </w:rPr>
        <w:instrText>ADDIN CSL_CITATION {"citationItems":[{"id":"ITEM-1","itemData":{"DOI":"10.1007/BF00349574","ISSN":"0364-2348","PMID":"7100937","abstract":"Three children with idiopathic hypertrophic osteoarthropathy and cranial suture defects are reported. The syndrome was recognized after birth and in the two oldest siblings, the cranial defects and subperiosteal bone formation resolved almost completely by age 4 and 6 years. The joint swelling and clubbing persisted and mild bone reabsorption of the distal phalanges became apparent at an older age. Two siblings and both parents had normal bone X-rays and no clubbing. This study confirms the association of cranial sutural defects and familial idiopathic hypertrophic osteoarthropathy. © 1982 International Skeletal Society.","author":[{"dropping-particle":"","family":"Reginato","given":"Antonio J.","non-dropping-particle":"","parse-names":false,"suffix":""},{"dropping-particle":"","family":"Schiapachasse","given":"Virgilio","non-dropping-particle":"","parse-names":false,"suffix":""},{"dropping-particle":"","family":"Guerrero","given":"Rosario","non-dropping-particle":"","parse-names":false,"suffix":""}],"container-title":"Skeletal radiology","id":"ITEM-1","issue":"2","issued":{"date-parts":[["1982","5"]]},"page":"105-109","publisher":"Skeletal Radiol","title":"Familial idiopathic hypertrophic osteoarthropathy and cranial suture defects in children","type":"article-journal","volume":"8"},"uris":["http://www.mendeley.com/documents/?uuid=84e8350c-b433-34ac-ac49-01b228e4b65b"]}],"mendeley":{"formattedCitation":"(11)","plainTextFormattedCitation":"(11)","previouslyFormattedCitation":"(11)"},"properties":{"noteIndex":0},"schema":"https://github.com/citation-style-language/schema/raw/master/csl-citation.json"}</w:instrText>
      </w:r>
      <w:r w:rsidRPr="000D4BDB">
        <w:rPr>
          <w:sz w:val="24"/>
          <w:szCs w:val="24"/>
        </w:rPr>
        <w:fldChar w:fldCharType="separate"/>
      </w:r>
      <w:r w:rsidRPr="00201C67">
        <w:rPr>
          <w:noProof/>
          <w:sz w:val="24"/>
          <w:szCs w:val="24"/>
        </w:rPr>
        <w:t>(11)</w:t>
      </w:r>
      <w:r w:rsidRPr="000D4BDB">
        <w:rPr>
          <w:sz w:val="24"/>
          <w:szCs w:val="24"/>
        </w:rPr>
        <w:fldChar w:fldCharType="end"/>
      </w:r>
      <w:r w:rsidRPr="000D4BDB">
        <w:rPr>
          <w:sz w:val="24"/>
          <w:szCs w:val="24"/>
        </w:rPr>
        <w:t xml:space="preserve">. The onset of PDP is bimodal. The first peak of incidence is during the childhood of life and the second at adolescence progresses gradually over the next 5-20 years </w:t>
      </w:r>
      <w:r w:rsidRPr="000D4BDB">
        <w:rPr>
          <w:sz w:val="24"/>
          <w:szCs w:val="24"/>
        </w:rPr>
        <w:fldChar w:fldCharType="begin" w:fldLock="1"/>
      </w:r>
      <w:r>
        <w:rPr>
          <w:sz w:val="24"/>
          <w:szCs w:val="24"/>
        </w:rPr>
        <w:instrText>ADDIN CSL_CITATION {"citationItems":[{"id":"ITEM-1","itemData":{"DOI":"10.1016/S0190-9622(94)70262-4","ISSN":"0190-9622","PMID":"7962775","abstract":"Background: Pachydermoperiostosis (PDP) is a rare hereditary disease characterized by hyperostosis, clubbing of fingers, coarse skin, and abnormalities in other organs, such as the gastrointestinal tract. Previous studies have disclosed several abnormalities in the connective tissue in these patients. Objective: The purpose of the study was to investigate connective tissue abnormalities in one family with PDP. Methods: Clinical features were evaluated; x-ray, immunohistochemical, and electronmicro-scopic studies were performed; and markers of collagen metabolism and lysosomal enzymes were determined. Results: Immunohistochemical and ultrastructural studies revealed accumulation of tenascin, glycosaminoglycans, and fibrillar material in apparently disorganized microfibrils of elastic fibers. Osteocalcin levels in the serum were increased, but synthesis and degradation markers of collagen in the serum were not altered. No evidence of a lysosomal enzyme deficiency was found. Conclusion: Acidic mucopolysaccharides and some fibrillar material accumulate in the dermis of patients with PDP. Increased levels of osteocalcin in serum indicate higher osteoblastic activity. Markers of synthesis and degradation of collagen were not altered. © 1994, American Academy of Dermatology, Inc.. All rights reserved.","author":[{"dropping-particle":"","family":"Oikarinen","given":"Aarne","non-dropping-particle":"","parse-names":false,"suffix":""},{"dropping-particle":"","family":"Palatsi","given":"Riitta","non-dropping-particle":"","parse-names":false,"suffix":""},{"dropping-particle":"","family":"Kylmäniemi","given":"Meeri","non-dropping-particle":"","parse-names":false,"suffix":""},{"dropping-particle":"","family":"Keski-Oja","given":"Jorma","non-dropping-particle":"","parse-names":false,"suffix":""},{"dropping-particle":"","family":"Risteli","given":"Juha","non-dropping-particle":"","parse-names":false,"suffix":""},{"dropping-particle":"","family":"Kallioinen","given":"Matti","non-dropping-particle":"","parse-names":false,"suffix":""}],"container-title":"Journal of the American Academy of Dermatology","id":"ITEM-1","issue":"6","issued":{"date-parts":[["1994"]]},"page":"947-953","publisher":"J Am Acad Dermatol","title":"Pachydermoperiostosis: analysis of the connective tissue abnormality in one family","type":"article-journal","volume":"31"},"uris":["http://www.mendeley.com/documents/?uuid=d208a86a-fd3b-34ef-bef0-1b26522f0649"]}],"mendeley":{"formattedCitation":"(12)","plainTextFormattedCitation":"(12)","previouslyFormattedCitation":"(12)"},"properties":{"noteIndex":0},"schema":"https://github.com/citation-style-language/schema/raw/master/csl-citation.json"}</w:instrText>
      </w:r>
      <w:r w:rsidRPr="000D4BDB">
        <w:rPr>
          <w:sz w:val="24"/>
          <w:szCs w:val="24"/>
        </w:rPr>
        <w:fldChar w:fldCharType="separate"/>
      </w:r>
      <w:r w:rsidRPr="00201C67">
        <w:rPr>
          <w:noProof/>
          <w:sz w:val="24"/>
          <w:szCs w:val="24"/>
        </w:rPr>
        <w:t>(12)</w:t>
      </w:r>
      <w:r w:rsidRPr="000D4BDB">
        <w:rPr>
          <w:sz w:val="24"/>
          <w:szCs w:val="24"/>
        </w:rPr>
        <w:fldChar w:fldCharType="end"/>
      </w:r>
      <w:r w:rsidRPr="000D4BDB">
        <w:rPr>
          <w:sz w:val="24"/>
          <w:szCs w:val="24"/>
        </w:rPr>
        <w:t>.</w:t>
      </w:r>
    </w:p>
    <w:p w14:paraId="61CD3F08" w14:textId="77777777" w:rsidR="00A7791B" w:rsidRPr="000D4BDB" w:rsidRDefault="00A7791B" w:rsidP="00A7791B">
      <w:pPr>
        <w:jc w:val="both"/>
        <w:rPr>
          <w:sz w:val="24"/>
          <w:szCs w:val="24"/>
        </w:rPr>
      </w:pPr>
      <w:r w:rsidRPr="000D4BDB">
        <w:rPr>
          <w:sz w:val="24"/>
          <w:szCs w:val="24"/>
        </w:rPr>
        <w:t>The pathogenesis of PDP is not clearly understood. However, various studies have been carried out and have postulated theories regarding its pathogenesis. Mutations in the SLCO2A1</w:t>
      </w:r>
      <w:r w:rsidRPr="000D4BDB">
        <w:rPr>
          <w:i/>
          <w:iCs/>
          <w:sz w:val="24"/>
          <w:szCs w:val="24"/>
        </w:rPr>
        <w:t xml:space="preserve"> </w:t>
      </w:r>
      <w:r w:rsidRPr="000D4BDB">
        <w:rPr>
          <w:sz w:val="24"/>
          <w:szCs w:val="24"/>
        </w:rPr>
        <w:t xml:space="preserve">gene and HPGD gene have been identified. SLCO2A1 gene encodes prostaglandin transporter protein which is responsible for cellular uptake of prostaglandin E2. HPGD gene encodes 15-hydroxyprostaglandin dehydrogenase, which is a responsible enzyme </w:t>
      </w:r>
      <w:r>
        <w:rPr>
          <w:sz w:val="24"/>
          <w:szCs w:val="24"/>
        </w:rPr>
        <w:t>for</w:t>
      </w:r>
      <w:r w:rsidRPr="000D4BDB">
        <w:rPr>
          <w:sz w:val="24"/>
          <w:szCs w:val="24"/>
        </w:rPr>
        <w:t xml:space="preserve"> prostaglandin catabolism. So, mutation of both above-mentioned genes results in an increased level of prostaglandin E2 which is responsible for skin and skeletal changes in PDP </w:t>
      </w:r>
      <w:r w:rsidRPr="000D4BDB">
        <w:rPr>
          <w:sz w:val="24"/>
          <w:szCs w:val="24"/>
        </w:rPr>
        <w:fldChar w:fldCharType="begin" w:fldLock="1"/>
      </w:r>
      <w:r>
        <w:rPr>
          <w:sz w:val="24"/>
          <w:szCs w:val="24"/>
        </w:rPr>
        <w:instrText>ADDIN CSL_CITATION {"citationItems":[{"id":"ITEM-1","itemData":{"DOI":"10.4103/IJDVL.IJDVL_911_17","ISSN":"0973-3922","PMID":"30880718","author":[{"dropping-particle":"","family":"Li","given":"Xiaoxue","non-dropping-particle":"","parse-names":false,"suffix":""},{"dropping-particle":"","family":"Hao","given":"Dan","non-dropping-particle":"","parse-names":false,"suffix":""},{"dropping-particle":"","family":"Li-Ling","given":"Jesse","non-dropping-particle":"","parse-names":false,"suffix":""},{"dropping-particle":"","family":"Jiang","given":"Xian","non-dropping-particle":"","parse-names":false,"suffix":""}],"container-title":"Indian journal of dermatology, venereology and leprology","id":"ITEM-1","issue":"6","issued":{"date-parts":[["2019"]]},"page":"681","publisher":"Indian J Dermatol Venereol Leprol","title":"Complete form of pachydermoperiostosis with cutis verticis gyrata resulting from the SLCO2A1 gene mutation","type":"article-journal","volume":"85"},"uris":["http://www.mendeley.com/documents/?uuid=359ab0ec-31c6-399f-aca4-35f8a22d3652"]}],"mendeley":{"formattedCitation":"(13)","plainTextFormattedCitation":"(13)","previouslyFormattedCitation":"(13)"},"properties":{"noteIndex":0},"schema":"https://github.com/citation-style-language/schema/raw/master/csl-citation.json"}</w:instrText>
      </w:r>
      <w:r w:rsidRPr="000D4BDB">
        <w:rPr>
          <w:sz w:val="24"/>
          <w:szCs w:val="24"/>
        </w:rPr>
        <w:fldChar w:fldCharType="separate"/>
      </w:r>
      <w:r w:rsidRPr="00201C67">
        <w:rPr>
          <w:noProof/>
          <w:sz w:val="24"/>
          <w:szCs w:val="24"/>
        </w:rPr>
        <w:t>(13)</w:t>
      </w:r>
      <w:r w:rsidRPr="000D4BDB">
        <w:rPr>
          <w:sz w:val="24"/>
          <w:szCs w:val="24"/>
        </w:rPr>
        <w:fldChar w:fldCharType="end"/>
      </w:r>
      <w:r w:rsidRPr="000D4BDB">
        <w:rPr>
          <w:sz w:val="24"/>
          <w:szCs w:val="24"/>
        </w:rPr>
        <w:t>.</w:t>
      </w:r>
      <w:r>
        <w:rPr>
          <w:sz w:val="24"/>
          <w:szCs w:val="24"/>
        </w:rPr>
        <w:t xml:space="preserve"> </w:t>
      </w:r>
      <w:r w:rsidRPr="000D4BDB">
        <w:rPr>
          <w:sz w:val="24"/>
          <w:szCs w:val="24"/>
        </w:rPr>
        <w:t xml:space="preserve">PGE2 is responsible for both stimulation and inhibition of bone resorption by stimulating </w:t>
      </w:r>
      <w:r>
        <w:rPr>
          <w:sz w:val="24"/>
          <w:szCs w:val="24"/>
        </w:rPr>
        <w:t xml:space="preserve">the </w:t>
      </w:r>
      <w:r w:rsidRPr="000D4BDB">
        <w:rPr>
          <w:sz w:val="24"/>
          <w:szCs w:val="24"/>
        </w:rPr>
        <w:t xml:space="preserve">cyclic AMP production </w:t>
      </w:r>
      <w:r w:rsidRPr="000D4BDB">
        <w:rPr>
          <w:sz w:val="24"/>
          <w:szCs w:val="24"/>
        </w:rPr>
        <w:fldChar w:fldCharType="begin" w:fldLock="1"/>
      </w:r>
      <w:r>
        <w:rPr>
          <w:sz w:val="24"/>
          <w:szCs w:val="24"/>
        </w:rPr>
        <w:instrText>ADDIN CSL_CITATION {"citationItems":[{"id":"ITEM-1","itemData":{"DOI":"10.1007/S00264-007-0406-X","ISSN":"03412695","PMID":"17593365","abstract":"Prostaglandins, PGE2 in particular, have diverse actions on various organs, including inflammation, bone healing, bone formation, embryo implantation, induction of labour and vasodilatation, among others. However, systemic side effects have limited their clinical utility. The pharmacological activities of PGE2 are mediated through four G protein-coupled receptor subtypes, EP1-EP4. Recent studies have shown that EP2 and EP4 receptors play important roles in regulating bone formation and resorption. EP2 and EP4 receptor-selective agonists have been shown to stimulate local or systemic bone formation, augment bone mass and accelerate the healing of fractures or bone defects in animal models upon local or systemic administration, thus, potentially offering new therapeutic options for enhancing bone formation and bone repair in humans. This review will focus on the studies related to bone formation and bone healing in the EP receptor knockout (KO) mice and the EP2 or EP4 receptor-selective agonist treated animal models. © 2007 Springer-Verlag.","author":[{"dropping-particle":"","family":"Li","given":"M.","non-dropping-particle":"","parse-names":false,"suffix":""},{"dropping-particle":"","family":"Thompson","given":"D. D.","non-dropping-particle":"","parse-names":false,"suffix":""},{"dropping-particle":"","family":"Paralkar","given":"V. M.","non-dropping-particle":"","parse-names":false,"suffix":""}],"container-title":"International Orthopaedics","id":"ITEM-1","issue":"6","issued":{"date-parts":[["2007","12"]]},"page":"767","publisher":"Springer","title":"Prostaglandin E2 receptors in bone formation","type":"article-journal","volume":"31"},"uris":["http://www.mendeley.com/documents/?uuid=7ae23727-64a8-3420-acb1-6bf1a9a9c973"]}],"mendeley":{"formattedCitation":"(14)","plainTextFormattedCitation":"(14)","previouslyFormattedCitation":"(14)"},"properties":{"noteIndex":0},"schema":"https://github.com/citation-style-language/schema/raw/master/csl-citation.json"}</w:instrText>
      </w:r>
      <w:r w:rsidRPr="000D4BDB">
        <w:rPr>
          <w:sz w:val="24"/>
          <w:szCs w:val="24"/>
        </w:rPr>
        <w:fldChar w:fldCharType="separate"/>
      </w:r>
      <w:r w:rsidRPr="00201C67">
        <w:rPr>
          <w:noProof/>
          <w:sz w:val="24"/>
          <w:szCs w:val="24"/>
        </w:rPr>
        <w:t>(14)</w:t>
      </w:r>
      <w:r w:rsidRPr="000D4BDB">
        <w:rPr>
          <w:sz w:val="24"/>
          <w:szCs w:val="24"/>
        </w:rPr>
        <w:fldChar w:fldCharType="end"/>
      </w:r>
      <w:r w:rsidRPr="000D4BDB">
        <w:rPr>
          <w:sz w:val="24"/>
          <w:szCs w:val="24"/>
        </w:rPr>
        <w:t xml:space="preserve">. There are </w:t>
      </w:r>
      <w:r>
        <w:rPr>
          <w:sz w:val="24"/>
          <w:szCs w:val="24"/>
        </w:rPr>
        <w:t>two</w:t>
      </w:r>
      <w:r w:rsidRPr="000D4BDB">
        <w:rPr>
          <w:sz w:val="24"/>
          <w:szCs w:val="24"/>
        </w:rPr>
        <w:t xml:space="preserve"> main receptors of PGE2 in bone cells that can increase cyclic AMP; namely EP2 and EP4 receptors </w:t>
      </w:r>
      <w:r w:rsidRPr="000D4BDB">
        <w:rPr>
          <w:sz w:val="24"/>
          <w:szCs w:val="24"/>
        </w:rPr>
        <w:fldChar w:fldCharType="begin" w:fldLock="1"/>
      </w:r>
      <w:r>
        <w:rPr>
          <w:sz w:val="24"/>
          <w:szCs w:val="24"/>
        </w:rPr>
        <w:instrText>ADDIN CSL_CITATION {"citationItems":[{"id":"ITEM-1","itemData":{"ISBN":"1998;13:1076","abstract":"Prostaglandins (PGs) are potent stimulators of bone formation and resorption and are produced by bone cells. PGs also have inhibitory effects on fully differentiated osteoblasts and osteoclasts. This complex, multifunctional regulation is probably mediated by different PG receptors. Endogenous PGs in bone are produced largely by induction of COX-2, which is highly regulated by hormones and local factors. The development of specific agonists and antagonists for PG receptors and for COX-2 should allow us to define the physiologic and pathophysiologic roles of PGs more precisely and develop new therapeutic approaches to metabolic and inflammatory disorders of the skeleton.","author":[{"dropping-particle":"","family":"Raisz","given":"L G","non-dropping-particle":"","parse-names":false,"suffix":""}],"container-title":"Osteoarthritis and Cartilage","id":"ITEM-1","issued":{"date-parts":[["1999"]]},"page":"419-421","title":"Prostaglandins and bone: physiology and pathophysiology","type":"article-journal","volume":"7"},"uris":["http://www.mendeley.com/documents/?uuid=d6e89331-a02d-36a5-b5df-0f7d6a09aea7"]}],"mendeley":{"formattedCitation":"(15)","plainTextFormattedCitation":"(15)","previouslyFormattedCitation":"(15)"},"properties":{"noteIndex":0},"schema":"https://github.com/citation-style-language/schema/raw/master/csl-citation.json"}</w:instrText>
      </w:r>
      <w:r w:rsidRPr="000D4BDB">
        <w:rPr>
          <w:sz w:val="24"/>
          <w:szCs w:val="24"/>
        </w:rPr>
        <w:fldChar w:fldCharType="separate"/>
      </w:r>
      <w:r w:rsidRPr="00201C67">
        <w:rPr>
          <w:noProof/>
          <w:sz w:val="24"/>
          <w:szCs w:val="24"/>
        </w:rPr>
        <w:t>(15)</w:t>
      </w:r>
      <w:r w:rsidRPr="000D4BDB">
        <w:rPr>
          <w:sz w:val="24"/>
          <w:szCs w:val="24"/>
        </w:rPr>
        <w:fldChar w:fldCharType="end"/>
      </w:r>
      <w:r w:rsidRPr="000D4BDB">
        <w:rPr>
          <w:sz w:val="24"/>
          <w:szCs w:val="24"/>
        </w:rPr>
        <w:t xml:space="preserve">. </w:t>
      </w:r>
    </w:p>
    <w:p w14:paraId="19F7F31F" w14:textId="0BF02EEA" w:rsidR="00A7791B" w:rsidRPr="000D4BDB" w:rsidRDefault="00A7791B" w:rsidP="00A7791B">
      <w:pPr>
        <w:jc w:val="both"/>
        <w:rPr>
          <w:sz w:val="24"/>
          <w:szCs w:val="24"/>
        </w:rPr>
      </w:pPr>
      <w:r w:rsidRPr="000D4BDB">
        <w:rPr>
          <w:sz w:val="24"/>
          <w:szCs w:val="24"/>
        </w:rPr>
        <w:t xml:space="preserve">The EP4 receptor is important in mediating the stimulation of bone resorption by increasing the activity of osteoclasts </w:t>
      </w:r>
      <w:r w:rsidRPr="000D4BDB">
        <w:rPr>
          <w:sz w:val="24"/>
          <w:szCs w:val="24"/>
        </w:rPr>
        <w:fldChar w:fldCharType="begin" w:fldLock="1"/>
      </w:r>
      <w:r>
        <w:rPr>
          <w:sz w:val="24"/>
          <w:szCs w:val="24"/>
        </w:rPr>
        <w:instrText>ADDIN CSL_CITATION {"citationItems":[{"id":"ITEM-1","itemData":{"DOI":"10.1677/JOE.0.158R001","ISSN":"0022-0795","PMID":"9846175","abstract":"Of various PGs, PGE1 and PGE2 are shown to be the most potent stimulators of osteoclastogenesis in vitro. PGE receptors have been classified into four subtypes, EP1-EP4. Little is known about PGE receptors functioning in bone cells. In this study, using mouse marrow culture, we investigated which PGE receptors are important in osteoclast-like cell (OCL) formation induced by PGE. 11-deoxy-PGE1 (EP2, EP3 and EP4 agonist) stimulated OCL formation potently. Butaprost (EP2 agonist) stimulated it slightly; while sulprostone (EP1 and EP3 agonist) and ONO-AP-324-01 (EP3 agonist) did not. AH23848B (EP4 antagonist) inhibited PGE2-induced OCL formation in a dose-dependent manner. The expression of EP4 mRNA in mouse bone marrow was confirmed by RT-PCR. The results indicate an important role of EP4 in PGE2-induced OCL formation in marrow cultures and suggest therapeutic potential of EP4 antagonists in some clinical conditions with accelerated bone resorption.","author":[{"dropping-particle":"","family":"Ono","given":"K.","non-dropping-particle":"","parse-names":false,"suffix":""},{"dropping-particle":"","family":"Akatsu","given":"T.","non-dropping-particle":"","parse-names":false,"suffix":""},{"dropping-particle":"","family":"Murakami","given":"T.","non-dropping-particle":"","parse-names":false,"suffix":""},{"dropping-particle":"","family":"Nishikawa","given":"M.","non-dropping-particle":"","parse-names":false,"suffix":""},{"dropping-particle":"","family":"Yamamoto","given":"M.","non-dropping-particle":"","parse-names":false,"suffix":""},{"dropping-particle":"","family":"Kugai","given":"N.","non-dropping-particle":"","parse-names":false,"suffix":""},{"dropping-particle":"","family":"Motoyoshi","given":"K.","non-dropping-particle":"","parse-names":false,"suffix":""},{"dropping-particle":"","family":"Nagata","given":"N.","non-dropping-particle":"","parse-names":false,"suffix":""}],"container-title":"The Journal of endocrinology","id":"ITEM-1","issue":"3","issued":{"date-parts":[["1998"]]},"publisher":"J Endocrinol","title":"Important role of EP4, a subtype of prostaglandin (PG) E receptor, in osteoclast-like cell formation from mouse bone marrow cells induced by PGE2","type":"article-journal","volume":"158"},"uris":["http://www.mendeley.com/documents/?uuid=6e1223f8-d919-3686-ab15-c9f2a8a6d6ed"]}],"mendeley":{"formattedCitation":"(16)","plainTextFormattedCitation":"(16)","previouslyFormattedCitation":"(16)"},"properties":{"noteIndex":0},"schema":"https://github.com/citation-style-language/schema/raw/master/csl-citation.json"}</w:instrText>
      </w:r>
      <w:r w:rsidRPr="000D4BDB">
        <w:rPr>
          <w:sz w:val="24"/>
          <w:szCs w:val="24"/>
        </w:rPr>
        <w:fldChar w:fldCharType="separate"/>
      </w:r>
      <w:r w:rsidRPr="00201C67">
        <w:rPr>
          <w:noProof/>
          <w:sz w:val="24"/>
          <w:szCs w:val="24"/>
        </w:rPr>
        <w:t>(16)</w:t>
      </w:r>
      <w:r w:rsidRPr="000D4BDB">
        <w:rPr>
          <w:sz w:val="24"/>
          <w:szCs w:val="24"/>
        </w:rPr>
        <w:fldChar w:fldCharType="end"/>
      </w:r>
      <w:r w:rsidRPr="000D4BDB">
        <w:rPr>
          <w:sz w:val="24"/>
          <w:szCs w:val="24"/>
        </w:rPr>
        <w:t xml:space="preserve">. PGE2 acts on </w:t>
      </w:r>
      <w:r>
        <w:rPr>
          <w:sz w:val="24"/>
          <w:szCs w:val="24"/>
        </w:rPr>
        <w:t xml:space="preserve">the </w:t>
      </w:r>
      <w:r w:rsidRPr="000D4BDB">
        <w:rPr>
          <w:sz w:val="24"/>
          <w:szCs w:val="24"/>
        </w:rPr>
        <w:t xml:space="preserve">EP2 receptor and stimulates bone formation by stimulation of osteoblast precursor cells </w:t>
      </w:r>
      <w:r w:rsidRPr="000D4BDB">
        <w:rPr>
          <w:sz w:val="24"/>
          <w:szCs w:val="24"/>
        </w:rPr>
        <w:fldChar w:fldCharType="begin" w:fldLock="1"/>
      </w:r>
      <w:r>
        <w:rPr>
          <w:sz w:val="24"/>
          <w:szCs w:val="24"/>
        </w:rPr>
        <w:instrText>ADDIN CSL_CITATION {"citationItems":[{"id":"ITEM-1","itemData":{"DOI":"10.1002/JBMR.5650110909","ISSN":"0884-0431","PMID":"8864899","abstract":"The structure-activity relations and signal transduction pathways for the anabolic effects of prostaglandins were examined in cultured fetal rat calvariae. In the presence of cortisol prostaglandins of the E and F series (10-9 to 10-5 M) produced a dose-related increase in [3H]thymidine incorporation up to 4-fold at 24 h. Prostaglandin E2 (PGE2) was also effective in the absence of cortisol. Butaprost (10-6 M), a selective EP-2 receptor agonist, produced partial stimulation. Prostaglandin D2, prostacyclin, sulprostone, an EP-1 and EP-3 receptor agonist, and fluprostenol, an FP receptor agonist, were ineffective. Forskolin (10-4 M) increased [3H]thymidine incorporation 3-fold, while phorbol myristate acetate (PMA) (10-6 M) produced a 1.8-fold increase. Isobutylmethylxanthine (IBMX) increased [3H]thymidine incorporation in control cultures, in the absence of cortisol, and increased the response to PGE2 in control and cortisol-treated cultures. [3H]proline incorporation into collagen and noncollagen protein was measured in the continuous presence of prostaglandins and cortisol for 72-96 h (continuous model) or when prostaglandins and cortisol were applied for 24 h, followed by culture for 48 h in control medium (on/off model). The effects on collagen were greater than on noncollagen proteins, so that the percent of collagen synthesis increased. The effects of prostaglandins and forskolin paralleled their mitogenic effects. PMA increased only noncollagen protein. Indomethacin did not diminish the anabolic response, while aphidicolin produced only partial inhibition. We conclude that the anabolic effects of prostaglandins on replication and differentiation of osteoblasts are likely to be mediated by an EP-2 receptor that stimulates adenylate cyclase.","author":[{"dropping-particle":"","family":"Woodiel","given":"Florence N.","non-dropping-particle":"","parse-names":false,"suffix":""},{"dropping-particle":"","family":"Fall","given":"Pamela M.","non-dropping-particle":"","parse-names":false,"suffix":""},{"dropping-particle":"","family":"Raisz","given":"Lawrence G.","non-dropping-particle":"","parse-names":false,"suffix":""}],"container-title":"Journal of bone and mineral research : the official journal of the American Society for Bone and Mineral Research","id":"ITEM-1","issue":"9","issued":{"date-parts":[["1996"]]},"page":"1249-1255","publisher":"J Bone Miner Res","title":"Anabolic effects of prostaglandins in cultured fetal rat calvariae: structure-activity relations and signal transduction pathway","type":"article-journal","volume":"11"},"uris":["http://www.mendeley.com/documents/?uuid=e59bf0ef-f9e8-34fd-8eeb-7b29060d8715"]},{"id":"ITEM-2","itemData":{"DOI":"10.1016/S0090-6980(97)00145-7","ISSN":"0090-6980","PMID":"9440134","abstract":"Prostaglandin E2 (PGE2) is a potent local mediator of cell growth and differentiation in various tissues. The receptors for PGE2 have been classified into four pharmacological subtypes, EP1, EP2, EP3, and EP4, based on the responses to selective agonists and antagonists. We have cloned a functional cDNA for the rat EP2 receptor subtype from a rat lung cDNA library. The rat EP2 receptor cDNA encodes 357 amino acid residues having high homology with the human and mouse EP2 receptors and containing seven putative transmembrane domains. In COS-7 cells transfected with rat EP2 cDNA, specific [3H]PGE2 binding was found with a dissociation constant of 14.9 nM, and this binding was inhibited by unlabeled PGE2 and PGF(2α). PGE2 and butaprost, an EP2 selective agonist, were effective in increasing the cAMP level in the COS-7 cell transfectants. Northern blot and RT-PCR analysis showed widespread distribution of the EP2 receptor in various tissues. Higher EP2 expression was found in fetal long bones and calvariae than in adult by RT-PCR and in situ hybridization, suggesting a role for this receptor in rapidly growing skeletal tissue.","author":[{"dropping-particle":"","family":"Nemoto","given":"Ken","non-dropping-particle":"","parse-names":false,"suffix":""},{"dropping-particle":"","family":"Pilbeam","given":"Carol C.","non-dropping-particle":"","parse-names":false,"suffix":""},{"dropping-particle":"","family":"Bilak","given":"Stephan R.","non-dropping-particle":"","parse-names":false,"suffix":""},{"dropping-particle":"","family":"Raisz","given":"Lawrence G.","non-dropping-particle":"","parse-names":false,"suffix":""}],"container-title":"Prostaglandins","id":"ITEM-2","issue":"4","issued":{"date-parts":[["1997","10"]]},"page":"713-725","publisher":"Prostaglandins","title":"Molecular cloning and expression of a rat prostaglandin E2 receptor of the EP2 subtype","type":"article-journal","volume":"54"},"uris":["http://www.mendeley.com/documents/?uuid=76901ffa-25d7-3fa4-9685-c9db9563a7b0"]}],"mendeley":{"formattedCitation":"(17,18)","plainTextFormattedCitation":"(17,18)","previouslyFormattedCitation":"(17,18)"},"properties":{"noteIndex":0},"schema":"https://github.com/citation-style-language/schema/raw/master/csl-citation.json"}</w:instrText>
      </w:r>
      <w:r w:rsidRPr="000D4BDB">
        <w:rPr>
          <w:sz w:val="24"/>
          <w:szCs w:val="24"/>
        </w:rPr>
        <w:fldChar w:fldCharType="separate"/>
      </w:r>
      <w:r w:rsidRPr="00201C67">
        <w:rPr>
          <w:noProof/>
          <w:sz w:val="24"/>
          <w:szCs w:val="24"/>
        </w:rPr>
        <w:t>(17,18)</w:t>
      </w:r>
      <w:r w:rsidRPr="000D4BDB">
        <w:rPr>
          <w:sz w:val="24"/>
          <w:szCs w:val="24"/>
        </w:rPr>
        <w:fldChar w:fldCharType="end"/>
      </w:r>
      <w:r w:rsidRPr="000D4BDB">
        <w:rPr>
          <w:sz w:val="24"/>
          <w:szCs w:val="24"/>
        </w:rPr>
        <w:t xml:space="preserve">. Hence, PGE2 can stimulate the activity of both osteoblasts and osteoclasts, which is thought to be responsible for osteolysis and also periosteal bone formation resulting in typical acral and other skeletal features of PDP </w:t>
      </w:r>
      <w:r w:rsidRPr="000D4BDB">
        <w:rPr>
          <w:sz w:val="24"/>
          <w:szCs w:val="24"/>
        </w:rPr>
        <w:fldChar w:fldCharType="begin" w:fldLock="1"/>
      </w:r>
      <w:r>
        <w:rPr>
          <w:sz w:val="24"/>
          <w:szCs w:val="24"/>
        </w:rPr>
        <w:instrText>ADDIN CSL_CITATION {"citationItems":[{"id":"ITEM-1","itemData":{"DOI":"10.1016/S0190-9622(94)70262-4","ISSN":"0190-9622","PMID":"7962775","abstract":"Background: Pachydermoperiostosis (PDP) is a rare hereditary disease characterized by hyperostosis, clubbing of fingers, coarse skin, and abnormalities in other organs, such as the gastrointestinal tract. Previous studies have disclosed several abnormalities in the connective tissue in these patients. Objective: The purpose of the study was to investigate connective tissue abnormalities in one family with PDP. Methods: Clinical features were evaluated; x-ray, immunohistochemical, and electronmicro-scopic studies were performed; and markers of collagen metabolism and lysosomal enzymes were determined. Results: Immunohistochemical and ultrastructural studies revealed accumulation of tenascin, glycosaminoglycans, and fibrillar material in apparently disorganized microfibrils of elastic fibers. Osteocalcin levels in the serum were increased, but synthesis and degradation markers of collagen in the serum were not altered. No evidence of a lysosomal enzyme deficiency was found. Conclusion: Acidic mucopolysaccharides and some fibrillar material accumulate in the dermis of patients with PDP. Increased levels of osteocalcin in serum indicate higher osteoblastic activity. Markers of synthesis and degradation of collagen were not altered. © 1994, American Academy of Dermatology, Inc.. All rights reserved.","author":[{"dropping-particle":"","family":"Oikarinen","given":"Aarne","non-dropping-particle":"","parse-names":false,"suffix":""},{"dropping-particle":"","family":"Palatsi","given":"Riitta","non-dropping-particle":"","parse-names":false,"suffix":""},{"dropping-particle":"","family":"Kylmäniemi","given":"Meeri","non-dropping-particle":"","parse-names":false,"suffix":""},{"dropping-particle":"","family":"Keski-Oja","given":"Jorma","non-dropping-particle":"","parse-names":false,"suffix":""},{"dropping-particle":"","family":"Risteli","given":"Juha","non-dropping-particle":"","parse-names":false,"suffix":""},{"dropping-particle":"","family":"Kallioinen","given":"Matti","non-dropping-particle":"","parse-names":false,"suffix":""}],"container-title":"Journal of the American Academy of Dermatology","id":"ITEM-1","issue":"6","issued":{"date-parts":[["1994"]]},"page":"947-953","publisher":"J Am Acad Dermatol","title":"Pachydermoperiostosis: analysis of the connective tissue abnormality in one family","type":"article-journal","volume":"31"},"uris":["http://www.mendeley.com/documents/?uuid=b842488b-f336-3b2e-a0a0-bbf8a406cbe5"]}],"mendeley":{"formattedCitation":"(12)","plainTextFormattedCitation":"(12)","previouslyFormattedCitation":"(12)"},"properties":{"noteIndex":0},"schema":"https://github.com/citation-style-language/schema/raw/master/csl-citation.json"}</w:instrText>
      </w:r>
      <w:r w:rsidRPr="000D4BDB">
        <w:rPr>
          <w:sz w:val="24"/>
          <w:szCs w:val="24"/>
        </w:rPr>
        <w:fldChar w:fldCharType="separate"/>
      </w:r>
      <w:r w:rsidRPr="00201C67">
        <w:rPr>
          <w:noProof/>
          <w:sz w:val="24"/>
          <w:szCs w:val="24"/>
        </w:rPr>
        <w:t>(12)</w:t>
      </w:r>
      <w:r w:rsidRPr="000D4BDB">
        <w:rPr>
          <w:sz w:val="24"/>
          <w:szCs w:val="24"/>
        </w:rPr>
        <w:fldChar w:fldCharType="end"/>
      </w:r>
      <w:r w:rsidRPr="000D4BDB">
        <w:rPr>
          <w:sz w:val="24"/>
          <w:szCs w:val="24"/>
        </w:rPr>
        <w:t>.</w:t>
      </w:r>
      <w:r>
        <w:rPr>
          <w:sz w:val="24"/>
          <w:szCs w:val="24"/>
        </w:rPr>
        <w:t xml:space="preserve"> Also, </w:t>
      </w:r>
      <w:r w:rsidRPr="000D4BDB">
        <w:rPr>
          <w:sz w:val="24"/>
          <w:szCs w:val="24"/>
        </w:rPr>
        <w:t xml:space="preserve">PGE2 causes prolonged vasodilation which may explain </w:t>
      </w:r>
      <w:r>
        <w:rPr>
          <w:sz w:val="24"/>
          <w:szCs w:val="24"/>
        </w:rPr>
        <w:t xml:space="preserve">the </w:t>
      </w:r>
      <w:r w:rsidRPr="000D4BDB">
        <w:rPr>
          <w:sz w:val="24"/>
          <w:szCs w:val="24"/>
        </w:rPr>
        <w:t xml:space="preserve">digital clubbing </w:t>
      </w:r>
      <w:r w:rsidRPr="000D4BDB">
        <w:rPr>
          <w:sz w:val="24"/>
          <w:szCs w:val="24"/>
        </w:rPr>
        <w:fldChar w:fldCharType="begin" w:fldLock="1"/>
      </w:r>
      <w:r>
        <w:rPr>
          <w:sz w:val="24"/>
          <w:szCs w:val="24"/>
        </w:rPr>
        <w:instrText>ADDIN CSL_CITATION {"citationItems":[{"id":"ITEM-1","itemData":{"DOI":"10.1111/1346-8138.12856","ISSN":"1346-8138","PMID":"25810087","author":[{"dropping-particle":"","family":"Kim","given":"Hee Joo","non-dropping-particle":"","parse-names":false,"suffix":""},{"dropping-particle":"","family":"Koo","given":"Kyo Yeon","non-dropping-particle":"","parse-names":false,"suffix":""},{"dropping-particle":"","family":"Shin","given":"Dong Youn","non-dropping-particle":"","parse-names":false,"suffix":""},{"dropping-particle":"","family":"Kim","given":"Do Young","non-dropping-particle":"","parse-names":false,"suffix":""},{"dropping-particle":"","family":"Lee","given":"Jin Sung","non-dropping-particle":"","parse-names":false,"suffix":""},{"dropping-particle":"","family":"Lee","given":"Min Geol","non-dropping-particle":"","parse-names":false,"suffix":""}],"container-title":"The Journal of dermatology","id":"ITEM-1","issue":"6","issued":{"date-parts":[["2015","6","1"]]},"page":"655-657","publisher":"J Dermatol","title":"Complete form of pachydermoperiostosis with SLCO2A1 gene mutation in a Korean family","type":"article-journal","volume":"42"},"uris":["http://www.mendeley.com/documents/?uuid=ad19f926-58d7-3c3b-8522-fbf4f732f120"]},{"id":"ITEM-2","itemData":{"DOI":"10.1038/NG0608-691","ISSN":"1546-1718","PMID":"18509311","abstract":"Digital clubbing has been recognized since the time of the ancient Greeks as a sign of systemic disease. Now, a new study identifies a role for prostaglandin E2 in the pathogenesis of digital clubbing observed in familial hypertrophic osteoarthropathy. © 2008 Nature Publishing Group.","author":[{"dropping-particle":"","family":"Coggins","given":"Kenneth G.","non-dropping-particle":"","parse-names":false,"suffix":""},{"dropping-particle":"","family":"Coffman","given":"Thomas M.","non-dropping-particle":"","parse-names":false,"suffix":""},{"dropping-particle":"","family":"Koller","given":"Beverly H.","non-dropping-particle":"","parse-names":false,"suffix":""}],"container-title":"Nature genetics","id":"ITEM-2","issue":"6","issued":{"date-parts":[["2008","6"]]},"page":"691-692","publisher":"Nat Genet","title":"The Hippocratic finger points the blame at PGE2","type":"article-journal","volume":"40"},"uris":["http://www.mendeley.com/documents/?uuid=8fb470fe-bb7c-3597-84da-f302e7721e8c"]}],"mendeley":{"formattedCitation":"(19,20)","plainTextFormattedCitation":"(19,20)","previouslyFormattedCitation":"(19,20)"},"properties":{"noteIndex":0},"schema":"https://github.com/citation-style-language/schema/raw/master/csl-citation.json"}</w:instrText>
      </w:r>
      <w:r w:rsidRPr="000D4BDB">
        <w:rPr>
          <w:sz w:val="24"/>
          <w:szCs w:val="24"/>
        </w:rPr>
        <w:fldChar w:fldCharType="separate"/>
      </w:r>
      <w:r w:rsidRPr="00201C67">
        <w:rPr>
          <w:noProof/>
          <w:sz w:val="24"/>
          <w:szCs w:val="24"/>
        </w:rPr>
        <w:t>(19,20)</w:t>
      </w:r>
      <w:r w:rsidRPr="000D4BDB">
        <w:rPr>
          <w:sz w:val="24"/>
          <w:szCs w:val="24"/>
        </w:rPr>
        <w:fldChar w:fldCharType="end"/>
      </w:r>
      <w:r w:rsidRPr="000D4BDB">
        <w:rPr>
          <w:sz w:val="24"/>
          <w:szCs w:val="24"/>
        </w:rPr>
        <w:t>.</w:t>
      </w:r>
      <w:r>
        <w:rPr>
          <w:sz w:val="24"/>
          <w:szCs w:val="24"/>
        </w:rPr>
        <w:t xml:space="preserve"> </w:t>
      </w:r>
      <w:r w:rsidRPr="000D4BDB">
        <w:rPr>
          <w:sz w:val="24"/>
          <w:szCs w:val="24"/>
        </w:rPr>
        <w:t>Novel </w:t>
      </w:r>
      <w:r w:rsidRPr="000D4BDB">
        <w:rPr>
          <w:i/>
          <w:iCs/>
          <w:sz w:val="24"/>
          <w:szCs w:val="24"/>
        </w:rPr>
        <w:t>SLCO2A1</w:t>
      </w:r>
      <w:r w:rsidRPr="000D4BDB">
        <w:rPr>
          <w:sz w:val="24"/>
          <w:szCs w:val="24"/>
        </w:rPr>
        <w:t xml:space="preserve"> mutations have been described in a Lebanese family </w:t>
      </w:r>
      <w:r w:rsidRPr="000D4BDB">
        <w:rPr>
          <w:sz w:val="24"/>
          <w:szCs w:val="24"/>
        </w:rPr>
        <w:fldChar w:fldCharType="begin" w:fldLock="1"/>
      </w:r>
      <w:r>
        <w:rPr>
          <w:sz w:val="24"/>
          <w:szCs w:val="24"/>
        </w:rPr>
        <w:instrText>ADDIN CSL_CITATION {"citationItems":[{"id":"ITEM-1","itemData":{"DOI":"10.1111/JDV.12584","ISSN":"14683083","PMID":"25059581","author":[{"dropping-particle":"","family":"Saadeh","given":"D.","non-dropping-particle":"","parse-names":false,"suffix":""},{"dropping-particle":"","family":"Kurban","given":"M.","non-dropping-particle":"","parse-names":false,"suffix":""},{"dropping-particle":"","family":"Ghosn","given":"S.","non-dropping-particle":"","parse-names":false,"suffix":""},{"dropping-particle":"","family":"Btadini","given":"W.","non-dropping-particle":"","parse-names":false,"suffix":""},{"dropping-particle":"","family":"Nemer","given":"G.","non-dropping-particle":"","parse-names":false,"suffix":""},{"dropping-particle":"","family":"Arayssi","given":"T.","non-dropping-particle":"","parse-names":false,"suffix":""},{"dropping-particle":"","family":"Uthman","given":"I.","non-dropping-particle":"","parse-names":false,"suffix":""},{"dropping-particle":"","family":"Badra","given":"R.","non-dropping-particle":"","parse-names":false,"suffix":""},{"dropping-particle":"","family":"Farra","given":"C.","non-dropping-particle":"","parse-names":false,"suffix":""}],"container-title":"Journal of the European Academy of Dermatology and Venereology","id":"ITEM-1","issue":"12","issued":{"date-parts":[["2015","12","1"]]},"page":"2489-2490","publisher":"Blackwell Publishing Ltd","title":"Pachydermoperiostosis genetic screening in Lebanese families uncovers a novel SLCO2A1mutation","type":"article-journal","volume":"29"},"uris":["http://www.mendeley.com/documents/?uuid=7d100068-9c4c-3871-be2a-e1d2d4fd722f"]}],"mendeley":{"formattedCitation":"(21)","plainTextFormattedCitation":"(21)","previouslyFormattedCitation":"(21)"},"properties":{"noteIndex":0},"schema":"https://github.com/citation-style-language/schema/raw/master/csl-citation.json"}</w:instrText>
      </w:r>
      <w:r w:rsidRPr="000D4BDB">
        <w:rPr>
          <w:sz w:val="24"/>
          <w:szCs w:val="24"/>
        </w:rPr>
        <w:fldChar w:fldCharType="separate"/>
      </w:r>
      <w:r w:rsidRPr="00201C67">
        <w:rPr>
          <w:noProof/>
          <w:sz w:val="24"/>
          <w:szCs w:val="24"/>
        </w:rPr>
        <w:t>(21)</w:t>
      </w:r>
      <w:r w:rsidRPr="000D4BDB">
        <w:rPr>
          <w:sz w:val="24"/>
          <w:szCs w:val="24"/>
        </w:rPr>
        <w:fldChar w:fldCharType="end"/>
      </w:r>
      <w:r w:rsidRPr="000D4BDB">
        <w:rPr>
          <w:sz w:val="24"/>
          <w:szCs w:val="24"/>
        </w:rPr>
        <w:t xml:space="preserve">, a Korean family </w:t>
      </w:r>
      <w:r w:rsidRPr="000D4BDB">
        <w:rPr>
          <w:sz w:val="24"/>
          <w:szCs w:val="24"/>
        </w:rPr>
        <w:fldChar w:fldCharType="begin" w:fldLock="1"/>
      </w:r>
      <w:r>
        <w:rPr>
          <w:sz w:val="24"/>
          <w:szCs w:val="24"/>
        </w:rPr>
        <w:instrText>ADDIN CSL_CITATION {"citationItems":[{"id":"ITEM-1","itemData":{"DOI":"10.1111/1346-8138.12856","ISSN":"1346-8138","PMID":"25810087","author":[{"dropping-particle":"","family":"Kim","given":"Hee Joo","non-dropping-particle":"","parse-names":false,"suffix":""},{"dropping-particle":"","family":"Koo","given":"Kyo Yeon","non-dropping-particle":"","parse-names":false,"suffix":""},{"dropping-particle":"","family":"Shin","given":"Dong Youn","non-dropping-particle":"","parse-names":false,"suffix":""},{"dropping-particle":"","family":"Kim","given":"Do Young","non-dropping-particle":"","parse-names":false,"suffix":""},{"dropping-particle":"","family":"Lee","given":"Jin Sung","non-dropping-particle":"","parse-names":false,"suffix":""},{"dropping-particle":"","family":"Lee","given":"Min Geol","non-dropping-particle":"","parse-names":false,"suffix":""}],"container-title":"The Journal of dermatology","id":"ITEM-1","issue":"6","issued":{"date-parts":[["2015","6","1"]]},"page":"655-657","publisher":"J Dermatol","title":"Complete form of pachydermoperiostosis with SLCO2A1 gene mutation in a Korean family","type":"article-journal","volume":"42"},"uris":["http://www.mendeley.com/documents/?uuid=ad19f926-58d7-3c3b-8522-fbf4f732f120"]}],"mendeley":{"formattedCitation":"(19)","plainTextFormattedCitation":"(19)","previouslyFormattedCitation":"(19)"},"properties":{"noteIndex":0},"schema":"https://github.com/citation-style-language/schema/raw/master/csl-citation.json"}</w:instrText>
      </w:r>
      <w:r w:rsidRPr="000D4BDB">
        <w:rPr>
          <w:sz w:val="24"/>
          <w:szCs w:val="24"/>
        </w:rPr>
        <w:fldChar w:fldCharType="separate"/>
      </w:r>
      <w:r w:rsidRPr="00201C67">
        <w:rPr>
          <w:noProof/>
          <w:sz w:val="24"/>
          <w:szCs w:val="24"/>
        </w:rPr>
        <w:t>(19)</w:t>
      </w:r>
      <w:r w:rsidRPr="000D4BDB">
        <w:rPr>
          <w:sz w:val="24"/>
          <w:szCs w:val="24"/>
        </w:rPr>
        <w:fldChar w:fldCharType="end"/>
      </w:r>
      <w:r w:rsidRPr="000D4BDB">
        <w:rPr>
          <w:sz w:val="24"/>
          <w:szCs w:val="24"/>
        </w:rPr>
        <w:t xml:space="preserve"> and a Chinese family </w:t>
      </w:r>
      <w:r w:rsidRPr="000D4BDB">
        <w:rPr>
          <w:sz w:val="24"/>
          <w:szCs w:val="24"/>
        </w:rPr>
        <w:fldChar w:fldCharType="begin" w:fldLock="1"/>
      </w:r>
      <w:r>
        <w:rPr>
          <w:sz w:val="24"/>
          <w:szCs w:val="24"/>
        </w:rPr>
        <w:instrText>ADDIN CSL_CITATION {"citationItems":[{"id":"ITEM-1","itemData":{"DOI":"10.3760/CMA.J.ISSN.1003-9406.2015.02.013","ISSN":"1003-9406","PMID":"25863089","abstract":"Objective To identify the genetic cause for a Chinese Han family affected with primary hypertrophic osteoarthropathy. Methods Whole blood and urine samples were collected from a patient and 7 unaffected relatives of the family. The coding sequences and intron/exon boundaries of HPGD and SLCO2A1 genes of the patient were amplified with polymerase chain reaction and sequenced. The genotypes of relatives were subsequently verified. Urinary prostaglandin level was measured with enzyme-linked immunosorbent assay (ELISA). Results A homozygous 2-bp deletion in HPGD gene (c. 310-311delCT, or p. L104AfsX3) was detected in the patient, and 5 heterozygous carriers were identified in the relatives. The urinary prostaglandin E2 (PGE2) level was significantly elevated (P&lt;0. 01), while PGE-M was significantly reduced (P&lt;0. 01) in the patient. Conclusion Primary hypertrophic osteoarthropathy in this family is caused by a homozygous mutation (c. 310-311delCT) in the HPGD gene.","author":[{"dropping-particle":"","family":"Wang","given":"Lei","non-dropping-particle":"","parse-names":false,"suffix":""},{"dropping-particle":"","family":"Yu","given":"Juan","non-dropping-particle":"","parse-names":false,"suffix":""},{"dropping-particle":"","family":"Li","given":"Yiming","non-dropping-particle":"","parse-names":false,"suffix":""},{"dropping-particle":"","family":"Liu","given":"Xiuping","non-dropping-particle":"","parse-names":false,"suffix":""},{"dropping-particle":"","family":"Zhang","given":"Zhaoyun","non-dropping-particle":"","parse-names":false,"suffix":""}],"container-title":"Zhonghua yi xue yi chuan xue za zhi = Zhonghua yixue yichuanxue zazhi = Chinese journal of medical genetics","id":"ITEM-1","issue":"2","issued":{"date-parts":[["2015","4","1"]]},"page":"213-217","publisher":"Zhonghua Yi Xue Yi Chuan Xue Za Zhi","title":"[Genetic diagnosis for a Chinese Han family with primary hypertrophic osteoarthropathy]","type":"article-journal","volume":"32"},"uris":["http://www.mendeley.com/documents/?uuid=bb1c2f68-528e-3eee-b8b6-de064de18576"]}],"mendeley":{"formattedCitation":"(22)","plainTextFormattedCitation":"(22)","previouslyFormattedCitation":"(22)"},"properties":{"noteIndex":0},"schema":"https://github.com/citation-style-language/schema/raw/master/csl-citation.json"}</w:instrText>
      </w:r>
      <w:r w:rsidRPr="000D4BDB">
        <w:rPr>
          <w:sz w:val="24"/>
          <w:szCs w:val="24"/>
        </w:rPr>
        <w:fldChar w:fldCharType="separate"/>
      </w:r>
      <w:r w:rsidRPr="00201C67">
        <w:rPr>
          <w:noProof/>
          <w:sz w:val="24"/>
          <w:szCs w:val="24"/>
        </w:rPr>
        <w:t>(22)</w:t>
      </w:r>
      <w:r w:rsidRPr="000D4BDB">
        <w:rPr>
          <w:sz w:val="24"/>
          <w:szCs w:val="24"/>
        </w:rPr>
        <w:fldChar w:fldCharType="end"/>
      </w:r>
      <w:r w:rsidRPr="000D4BDB">
        <w:rPr>
          <w:sz w:val="24"/>
          <w:szCs w:val="24"/>
        </w:rPr>
        <w:t xml:space="preserve">, as </w:t>
      </w:r>
      <w:r>
        <w:rPr>
          <w:sz w:val="24"/>
          <w:szCs w:val="24"/>
        </w:rPr>
        <w:t>having</w:t>
      </w:r>
      <w:r w:rsidRPr="000D4BDB">
        <w:rPr>
          <w:sz w:val="24"/>
          <w:szCs w:val="24"/>
        </w:rPr>
        <w:t xml:space="preserve"> a novel nonsense mutation p.E141* of the </w:t>
      </w:r>
      <w:r w:rsidRPr="000D4BDB">
        <w:rPr>
          <w:i/>
          <w:iCs/>
          <w:sz w:val="24"/>
          <w:szCs w:val="24"/>
        </w:rPr>
        <w:t>SLCO2A1</w:t>
      </w:r>
      <w:r w:rsidRPr="000D4BDB">
        <w:rPr>
          <w:sz w:val="24"/>
          <w:szCs w:val="24"/>
        </w:rPr>
        <w:t> gene in a Japanese one</w:t>
      </w:r>
      <w:r w:rsidRPr="000D4BDB">
        <w:rPr>
          <w:sz w:val="24"/>
          <w:szCs w:val="24"/>
          <w:vertAlign w:val="superscript"/>
        </w:rPr>
        <w:t xml:space="preserve"> </w:t>
      </w:r>
      <w:r w:rsidRPr="000D4BDB">
        <w:rPr>
          <w:sz w:val="24"/>
          <w:szCs w:val="24"/>
          <w:vertAlign w:val="superscript"/>
        </w:rPr>
        <w:fldChar w:fldCharType="begin" w:fldLock="1"/>
      </w:r>
      <w:r>
        <w:rPr>
          <w:sz w:val="24"/>
          <w:szCs w:val="24"/>
          <w:vertAlign w:val="superscript"/>
        </w:rPr>
        <w:instrText>ADDIN CSL_CITATION {"citationItems":[{"id":"ITEM-1","itemData":{"DOI":"10.1016/J.JDERMSCI.2014.05.008","ISSN":"1873-569X","PMID":"24929850","author":[{"dropping-particle":"","family":"Niizeki","given":"H.","non-dropping-particle":"","parse-names":false,"suffix":""},{"dropping-particle":"","family":"Shiohama","given":"A.","non-dropping-particle":"","parse-names":false,"suffix":""},{"dropping-particle":"","family":"Sasaki","given":"T.","non-dropping-particle":"","parse-names":false,"suffix":""},{"dropping-particle":"","family":"Seki","given":"A.","non-dropping-particle":"","parse-names":false,"suffix":""},{"dropping-particle":"","family":"Kabashima","given":"K.","non-dropping-particle":"","parse-names":false,"suffix":""},{"dropping-particle":"","family":"Otsuka","given":"A.","non-dropping-particle":"","parse-names":false,"suffix":""},{"dropping-particle":"","family":"Kosaki","given":"K.","non-dropping-particle":"","parse-names":false,"suffix":""},{"dropping-particle":"","family":"Ogo","given":"A.","non-dropping-particle":"","parse-names":false,"suffix":""},{"dropping-particle":"","family":"Yamada","given":"T.","non-dropping-particle":"","parse-names":false,"suffix":""},{"dropping-particle":"","family":"Miyasaka","given":"M.","non-dropping-particle":"","parse-names":false,"suffix":""},{"dropping-particle":"","family":"Matsuoka","given":"K.","non-dropping-particle":"","parse-names":false,"suffix":""},{"dropping-particle":"","family":"Hirakiyama","given":"A.","non-dropping-particle":"","parse-names":false,"suffix":""},{"dropping-particle":"","family":"Okuyama","given":"T.","non-dropping-particle":"","parse-names":false,"suffix":""},{"dropping-particle":"","family":"Matsuda","given":"M.","non-dropping-particle":"","parse-names":false,"suffix":""},{"dropping-particle":"","family":"Nakabayashi","given":"K.","non-dropping-particle":"","parse-names":false,"suffix":""},{"dropping-particle":"","family":"Tanese","given":"K.","non-dropping-particle":"","parse-names":false,"suffix":""},{"dropping-particle":"","family":"Ishiko","given":"A.","non-dropping-particle":"","parse-names":false,"suffix":""},{"dropping-particle":"","family":"Amagai","given":"M.","non-dropping-particle":"","parse-names":false,"suffix":""},{"dropping-particle":"","family":"Kudoh","given":"J.","non-dropping-particle":"","parse-names":false,"suffix":""}],"container-title":"Journal of dermatological science","id":"ITEM-1","issue":"3","issued":{"date-parts":[["2014"]]},"page":"193-195","publisher":"J Dermatol Sci","title":"The complete type of pachydermoperiostosis: a novel nonsense mutation p.E141* of the SLCO2A1 gene","type":"article-journal","volume":"75"},"uris":["http://www.mendeley.com/documents/?uuid=1a4cd2f3-12b6-346c-92af-013bcedcedbe"]}],"mendeley":{"formattedCitation":"(23)","plainTextFormattedCitation":"(23)","previouslyFormattedCitation":"(23)"},"properties":{"noteIndex":0},"schema":"https://github.com/citation-style-language/schema/raw/master/csl-citation.json"}</w:instrText>
      </w:r>
      <w:r w:rsidRPr="000D4BDB">
        <w:rPr>
          <w:sz w:val="24"/>
          <w:szCs w:val="24"/>
          <w:vertAlign w:val="superscript"/>
        </w:rPr>
        <w:fldChar w:fldCharType="separate"/>
      </w:r>
      <w:r w:rsidRPr="00201C67">
        <w:rPr>
          <w:noProof/>
          <w:sz w:val="24"/>
          <w:szCs w:val="24"/>
        </w:rPr>
        <w:t>(23)</w:t>
      </w:r>
      <w:r w:rsidRPr="000D4BDB">
        <w:rPr>
          <w:sz w:val="24"/>
          <w:szCs w:val="24"/>
        </w:rPr>
        <w:fldChar w:fldCharType="end"/>
      </w:r>
      <w:r w:rsidRPr="000D4BDB">
        <w:rPr>
          <w:sz w:val="24"/>
          <w:szCs w:val="24"/>
        </w:rPr>
        <w:t xml:space="preserve"> and a novel homozygous truncating mutation in HPGD gene has been described in Turkey </w:t>
      </w:r>
      <w:r w:rsidRPr="000D4BDB">
        <w:rPr>
          <w:sz w:val="24"/>
          <w:szCs w:val="24"/>
        </w:rPr>
        <w:fldChar w:fldCharType="begin" w:fldLock="1"/>
      </w:r>
      <w:r>
        <w:rPr>
          <w:sz w:val="24"/>
          <w:szCs w:val="24"/>
        </w:rPr>
        <w:instrText>ADDIN CSL_CITATION {"citationItems":[{"id":"ITEM-1","itemData":{"DOI":"10.3109/14397595.2013.874757","ISSN":"1439-7609","PMID":"24533558","abstract":"We present two PHO siblings having a novel homozygous truncating mutation in HPGD . The purpose of the study was to attempt medical treatment, and to find the HPGD mutation causing the disease, in a 22-year old Turkish male and his 23-year old sister afflicted with primary hypertrophic osteoarthropathy (PHO). In combination with NSAIDs and colchicine, treatment with sulfasalazine was started in both cases, and methotrexate was added to the treatment regimen of the female patient at the end of the first year. The patients were found to be typical PHO. Ultrasonographic examination of the joints revealed synovitis and inflammation by B mode and power Doppler ultrasonography. Joint symptoms responded to sulfasalazine treatment in both patients. However, after the addition of methotrexate, the female patient had better remission. All exons of HPGD , the known disease gene, were analyzed by Sanger sequencing. A homozygous 2-bp deletion (c.310_311delCT or p.L104AfsX3) was identified. Seven relatives carrying the mutation in the heterozygous state were examined and none was found affected. Although not specific for this disease, skin, soft tissue and joint ultrasonography can be helpful for evaluation of the musculoskeletal findings in the patients.","author":[{"dropping-particle":"","family":"Erken","given":"Eren","non-dropping-particle":"","parse-names":false,"suffix":""},{"dropping-particle":"","family":"Kö roğlu","given":"Çiğdem","non-dropping-particle":"","parse-names":false,"suffix":""},{"dropping-particle":"","family":"Yıldız","given":"Fatih","non-dropping-particle":"","parse-names":false,"suffix":""},{"dropping-particle":"","family":"Ö zer","given":"Hüseyin T.E.","non-dropping-particle":"","parse-names":false,"suffix":""},{"dropping-particle":"","family":"G Ü Lek","given":"Bozkurt","non-dropping-particle":"","parse-names":false,"suffix":""},{"dropping-particle":"","family":"Tolun","given":"Aslıhan","non-dropping-particle":"","parse-names":false,"suffix":""}],"container-title":"Modern rheumatology","id":"ITEM-1","issue":"2","issued":{"date-parts":[["2015"]]},"page":"315-321","publisher":"Mod Rheumatol","title":"A novel recessive 15-hydroxyprostaglandin dehydrogenase mutation in a family with primary hypertrophic osteoarthropathy","type":"article-journal","volume":"25"},"uris":["http://www.mendeley.com/documents/?uuid=552afa6d-7096-31c8-ad98-fec586bc14bf"]}],"mendeley":{"formattedCitation":"(24)","plainTextFormattedCitation":"(24)","previouslyFormattedCitation":"(24)"},"properties":{"noteIndex":0},"schema":"https://github.com/citation-style-language/schema/raw/master/csl-citation.json"}</w:instrText>
      </w:r>
      <w:r w:rsidRPr="000D4BDB">
        <w:rPr>
          <w:sz w:val="24"/>
          <w:szCs w:val="24"/>
        </w:rPr>
        <w:fldChar w:fldCharType="separate"/>
      </w:r>
      <w:r w:rsidRPr="00201C67">
        <w:rPr>
          <w:noProof/>
          <w:sz w:val="24"/>
          <w:szCs w:val="24"/>
        </w:rPr>
        <w:t>(24)</w:t>
      </w:r>
      <w:r w:rsidRPr="000D4BDB">
        <w:rPr>
          <w:sz w:val="24"/>
          <w:szCs w:val="24"/>
        </w:rPr>
        <w:fldChar w:fldCharType="end"/>
      </w:r>
      <w:r w:rsidRPr="000D4BDB">
        <w:rPr>
          <w:sz w:val="24"/>
          <w:szCs w:val="24"/>
        </w:rPr>
        <w:t xml:space="preserve">. </w:t>
      </w:r>
    </w:p>
    <w:p w14:paraId="58369E3D" w14:textId="77777777" w:rsidR="00A7791B" w:rsidRPr="009F29C1" w:rsidRDefault="00A7791B" w:rsidP="00A7791B">
      <w:pPr>
        <w:jc w:val="both"/>
        <w:rPr>
          <w:sz w:val="24"/>
          <w:szCs w:val="24"/>
          <w:lang w:bidi="en-US"/>
        </w:rPr>
      </w:pPr>
      <w:r w:rsidRPr="009F29C1">
        <w:rPr>
          <w:sz w:val="24"/>
          <w:szCs w:val="24"/>
          <w:lang w:bidi="en-US"/>
        </w:rPr>
        <w:t xml:space="preserve">The diagnostic criteria for </w:t>
      </w:r>
      <w:proofErr w:type="spellStart"/>
      <w:r w:rsidRPr="009F29C1">
        <w:rPr>
          <w:sz w:val="24"/>
          <w:szCs w:val="24"/>
          <w:lang w:bidi="en-US"/>
        </w:rPr>
        <w:t>Pachydermoperiostosis</w:t>
      </w:r>
      <w:proofErr w:type="spellEnd"/>
      <w:r w:rsidRPr="009F29C1">
        <w:rPr>
          <w:sz w:val="24"/>
          <w:szCs w:val="24"/>
          <w:lang w:bidi="en-US"/>
        </w:rPr>
        <w:t xml:space="preserve"> are</w:t>
      </w:r>
      <w:r>
        <w:rPr>
          <w:sz w:val="24"/>
          <w:szCs w:val="24"/>
          <w:lang w:bidi="en-US"/>
        </w:rPr>
        <w:t>,</w:t>
      </w:r>
      <w:r w:rsidRPr="009F29C1">
        <w:rPr>
          <w:sz w:val="24"/>
          <w:szCs w:val="24"/>
          <w:lang w:bidi="en-US"/>
        </w:rPr>
        <w:t xml:space="preserve"> Major criteria: </w:t>
      </w:r>
      <w:proofErr w:type="spellStart"/>
      <w:r w:rsidRPr="009F29C1">
        <w:rPr>
          <w:sz w:val="24"/>
          <w:szCs w:val="24"/>
          <w:lang w:bidi="en-US"/>
        </w:rPr>
        <w:t>Pachyderma</w:t>
      </w:r>
      <w:proofErr w:type="spellEnd"/>
      <w:r w:rsidRPr="009F29C1">
        <w:rPr>
          <w:sz w:val="24"/>
          <w:szCs w:val="24"/>
          <w:lang w:bidi="en-US"/>
        </w:rPr>
        <w:t xml:space="preserve">, </w:t>
      </w:r>
      <w:proofErr w:type="spellStart"/>
      <w:r w:rsidRPr="009F29C1">
        <w:rPr>
          <w:sz w:val="24"/>
          <w:szCs w:val="24"/>
          <w:lang w:bidi="en-US"/>
        </w:rPr>
        <w:t>Periostosis</w:t>
      </w:r>
      <w:proofErr w:type="spellEnd"/>
      <w:r w:rsidRPr="009F29C1">
        <w:rPr>
          <w:sz w:val="24"/>
          <w:szCs w:val="24"/>
          <w:lang w:bidi="en-US"/>
        </w:rPr>
        <w:t>, Finger clubbing</w:t>
      </w:r>
      <w:r>
        <w:rPr>
          <w:sz w:val="24"/>
          <w:szCs w:val="24"/>
          <w:lang w:bidi="en-US"/>
        </w:rPr>
        <w:t>, and</w:t>
      </w:r>
      <w:r w:rsidRPr="009F29C1">
        <w:rPr>
          <w:sz w:val="24"/>
          <w:szCs w:val="24"/>
          <w:lang w:bidi="en-US"/>
        </w:rPr>
        <w:t xml:space="preserve"> Minor criteria: Hyperhidrosis, Arthralgia, Gastric ulcer, Cutis </w:t>
      </w:r>
      <w:proofErr w:type="spellStart"/>
      <w:r w:rsidRPr="009F29C1">
        <w:rPr>
          <w:sz w:val="24"/>
          <w:szCs w:val="24"/>
          <w:lang w:bidi="en-US"/>
        </w:rPr>
        <w:t>verticis</w:t>
      </w:r>
      <w:proofErr w:type="spellEnd"/>
      <w:r w:rsidRPr="009F29C1">
        <w:rPr>
          <w:sz w:val="24"/>
          <w:szCs w:val="24"/>
          <w:lang w:bidi="en-US"/>
        </w:rPr>
        <w:t xml:space="preserve"> </w:t>
      </w:r>
      <w:proofErr w:type="spellStart"/>
      <w:r w:rsidRPr="009F29C1">
        <w:rPr>
          <w:sz w:val="24"/>
          <w:szCs w:val="24"/>
          <w:lang w:bidi="en-US"/>
        </w:rPr>
        <w:t>gyrat</w:t>
      </w:r>
      <w:r>
        <w:rPr>
          <w:sz w:val="24"/>
          <w:szCs w:val="24"/>
          <w:lang w:bidi="en-US"/>
        </w:rPr>
        <w:t>a</w:t>
      </w:r>
      <w:proofErr w:type="spellEnd"/>
      <w:r w:rsidRPr="009F29C1">
        <w:rPr>
          <w:sz w:val="24"/>
          <w:szCs w:val="24"/>
          <w:lang w:bidi="en-US"/>
        </w:rPr>
        <w:t xml:space="preserve">, Blepharoptosis, Joint effusion, Column-like legs, Edema, Flushing, Seborrhea </w:t>
      </w:r>
      <w:r w:rsidRPr="009F29C1">
        <w:rPr>
          <w:sz w:val="24"/>
          <w:szCs w:val="24"/>
          <w:lang w:bidi="en-US"/>
        </w:rPr>
        <w:fldChar w:fldCharType="begin" w:fldLock="1"/>
      </w:r>
      <w:r>
        <w:rPr>
          <w:sz w:val="24"/>
          <w:szCs w:val="24"/>
          <w:lang w:bidi="en-US"/>
        </w:rPr>
        <w:instrText>ADDIN CSL_CITATION {"citationItems":[{"id":"ITEM-1","itemData":{"DOI":"10.1097/00005792-199105000-00005","ISSN":"0025-7974","PMID":"2030644","author":[{"dropping-particle":"","family":"Matucci-Cerinic","given":"Marco","non-dropping-particle":"","parse-names":false,"suffix":""},{"dropping-particle":"","family":"Lotti","given":"Torello","non-dropping-particle":"","parse-names":false,"suffix":""},{"dropping-particle":"","family":"Jajic","given":"Ivo","non-dropping-particle":"","parse-names":false,"suffix":""},{"dropping-particle":"","family":"Pignone","given":"Alberto","non-dropping-particle":"","parse-names":false,"suffix":""},{"dropping-particle":"","family":"Bussani","given":"Cecilia","non-dropping-particle":"","parse-names":false,"suffix":""},{"dropping-particle":"","family":"Cagnoni","given":"Mario","non-dropping-particle":"","parse-names":false,"suffix":""}],"container-title":"Medicine","id":"ITEM-1","issue":"3","issued":{"date-parts":[["1991"]]},"page":"208-214","publisher":"Medicine (Baltimore)","title":"The clinical spectrum of pachydermoperiostosis (primary hypertrophic osteoarthropathy)","type":"article-journal","volume":"70"},"uris":["http://www.mendeley.com/documents/?uuid=de7d41ef-5684-3c20-82b3-81c5b52f5af1"]},{"id":"ITEM-2","itemData":{"DOI":"10.1016/0049-0172(88)90017-0","ISSN":"0049-0172","PMID":"3072678","abstract":"We describe seven patients with primary HOA and review 125 cases reported in the English, French, and German literature. The salient clinical features of primary HOA are: a bimodal distribution of disease onset with one peak during the first year of life and the other at age 15, a male predominance (nine to one), uncommon benign joint effusion, and a variety of skin abnormalities resulting from cutaneous hypertrophy or glandular dysfunction. We concluded that HOA is not a synovial disease. It is suggested that synovial effusions, when present, are perhaps a sympathetic reaction to the neighboring periostitis. Proposed diagnostic criteria for HOA, including digital clubbing and radiographic periostitis, appear 86% sensitive. The clinical features, age of onset, and sex distribution suggest that a genetically controlled growth promoting factor, different from growth hormone, plays a role in the pathogenesis of this syndrome. © 1988.","author":[{"dropping-particle":"","family":"Martínez-Lavín","given":"Manuel","non-dropping-particle":"","parse-names":false,"suffix":""},{"dropping-particle":"","family":"Pineda","given":"Carlos","non-dropping-particle":"","parse-names":false,"suffix":""},{"dropping-particle":"","family":"Valdez","given":"Tirso","non-dropping-particle":"","parse-names":false,"suffix":""},{"dropping-particle":"","family":"Cajigas","given":"Juan Carlos","non-dropping-particle":"","parse-names":false,"suffix":""},{"dropping-particle":"","family":"Weisman","given":"Michael","non-dropping-particle":"","parse-names":false,"suffix":""},{"dropping-particle":"","family":"Gerber","given":"Niklaus","non-dropping-particle":"","parse-names":false,"suffix":""},{"dropping-particle":"","family":"Steigler","given":"Daniel","non-dropping-particle":"","parse-names":false,"suffix":""}],"container-title":"Seminars in arthritis and rheumatism","id":"ITEM-2","issue":"3","issued":{"date-parts":[["1988"]]},"page":"156-162","publisher":"Semin Arthritis Rheum","title":"Primary hypertrophic osteoarthropathy","type":"article-journal","volume":"17"},"uris":["http://www.mendeley.com/documents/?uuid=621a8dfe-1b06-3857-92fb-4f886a9c01e2"]}],"mendeley":{"formattedCitation":"(8,25)","plainTextFormattedCitation":"(8,25)","previouslyFormattedCitation":"(8,25)"},"properties":{"noteIndex":0},"schema":"https://github.com/citation-style-language/schema/raw/master/csl-citation.json"}</w:instrText>
      </w:r>
      <w:r w:rsidRPr="009F29C1">
        <w:rPr>
          <w:sz w:val="24"/>
          <w:szCs w:val="24"/>
          <w:lang w:bidi="en-US"/>
        </w:rPr>
        <w:fldChar w:fldCharType="separate"/>
      </w:r>
      <w:r w:rsidRPr="009F29C1">
        <w:rPr>
          <w:noProof/>
          <w:sz w:val="24"/>
          <w:szCs w:val="24"/>
          <w:lang w:bidi="en-US"/>
        </w:rPr>
        <w:t>(8,25)</w:t>
      </w:r>
      <w:r w:rsidRPr="009F29C1">
        <w:rPr>
          <w:sz w:val="24"/>
          <w:szCs w:val="24"/>
        </w:rPr>
        <w:fldChar w:fldCharType="end"/>
      </w:r>
      <w:r w:rsidRPr="009F29C1">
        <w:rPr>
          <w:sz w:val="24"/>
          <w:szCs w:val="24"/>
          <w:lang w:bidi="en-US"/>
        </w:rPr>
        <w:t>.</w:t>
      </w:r>
    </w:p>
    <w:p w14:paraId="426169EB" w14:textId="77777777" w:rsidR="00A7791B" w:rsidRPr="009F29C1" w:rsidRDefault="00A7791B" w:rsidP="00A7791B">
      <w:pPr>
        <w:jc w:val="both"/>
        <w:rPr>
          <w:sz w:val="24"/>
          <w:szCs w:val="24"/>
          <w:lang w:bidi="en-US"/>
        </w:rPr>
      </w:pPr>
      <w:r w:rsidRPr="009F29C1">
        <w:rPr>
          <w:sz w:val="24"/>
          <w:szCs w:val="24"/>
          <w:lang w:bidi="en-US"/>
        </w:rPr>
        <w:lastRenderedPageBreak/>
        <w:t xml:space="preserve">Typical radiological features of </w:t>
      </w:r>
      <w:proofErr w:type="spellStart"/>
      <w:r w:rsidRPr="009F29C1">
        <w:rPr>
          <w:sz w:val="24"/>
          <w:szCs w:val="24"/>
          <w:lang w:bidi="en-US"/>
        </w:rPr>
        <w:t>pachydermoperiostosis</w:t>
      </w:r>
      <w:proofErr w:type="spellEnd"/>
      <w:r w:rsidRPr="009F29C1">
        <w:rPr>
          <w:sz w:val="24"/>
          <w:szCs w:val="24"/>
          <w:lang w:bidi="en-US"/>
        </w:rPr>
        <w:t xml:space="preserve"> are symmetrical Subperiosteal new bone formation in the long bones usually radio-ulna, Tibia and fibula (mostly involving the distal end of the bones) but not uncommon in metatarsals, metacarpals</w:t>
      </w:r>
      <w:r>
        <w:rPr>
          <w:sz w:val="24"/>
          <w:szCs w:val="24"/>
          <w:lang w:bidi="en-US"/>
        </w:rPr>
        <w:t>,</w:t>
      </w:r>
      <w:r w:rsidRPr="009F29C1">
        <w:rPr>
          <w:sz w:val="24"/>
          <w:szCs w:val="24"/>
          <w:lang w:bidi="en-US"/>
        </w:rPr>
        <w:t xml:space="preserve"> and phalanges.</w:t>
      </w:r>
    </w:p>
    <w:p w14:paraId="2E293B75" w14:textId="77777777" w:rsidR="00A7791B" w:rsidRPr="009F29C1" w:rsidRDefault="00A7791B" w:rsidP="00A7791B">
      <w:pPr>
        <w:jc w:val="both"/>
        <w:rPr>
          <w:sz w:val="24"/>
          <w:szCs w:val="24"/>
          <w:lang w:bidi="en-US"/>
        </w:rPr>
      </w:pPr>
      <w:r w:rsidRPr="009F29C1">
        <w:rPr>
          <w:sz w:val="24"/>
          <w:szCs w:val="24"/>
          <w:lang w:bidi="en-US"/>
        </w:rPr>
        <w:t xml:space="preserve">Our patient had all the three major criteria as well as most of the minor criteria like hyperhidrosis, arthralgia, cutis </w:t>
      </w:r>
      <w:proofErr w:type="spellStart"/>
      <w:r w:rsidRPr="009F29C1">
        <w:rPr>
          <w:sz w:val="24"/>
          <w:szCs w:val="24"/>
          <w:lang w:bidi="en-US"/>
        </w:rPr>
        <w:t>verticis</w:t>
      </w:r>
      <w:proofErr w:type="spellEnd"/>
      <w:r w:rsidRPr="009F29C1">
        <w:rPr>
          <w:sz w:val="24"/>
          <w:szCs w:val="24"/>
          <w:lang w:bidi="en-US"/>
        </w:rPr>
        <w:t xml:space="preserve"> gyrate, acne and seborrhea, rendering the case as </w:t>
      </w:r>
      <w:r>
        <w:rPr>
          <w:sz w:val="24"/>
          <w:szCs w:val="24"/>
          <w:lang w:bidi="en-US"/>
        </w:rPr>
        <w:t xml:space="preserve">a </w:t>
      </w:r>
      <w:r w:rsidRPr="009F29C1">
        <w:rPr>
          <w:sz w:val="24"/>
          <w:szCs w:val="24"/>
          <w:lang w:bidi="en-US"/>
        </w:rPr>
        <w:t xml:space="preserve">complete form of </w:t>
      </w:r>
      <w:proofErr w:type="spellStart"/>
      <w:r w:rsidRPr="009F29C1">
        <w:rPr>
          <w:sz w:val="24"/>
          <w:szCs w:val="24"/>
          <w:lang w:bidi="en-US"/>
        </w:rPr>
        <w:t>pachydermoperiostosis</w:t>
      </w:r>
      <w:proofErr w:type="spellEnd"/>
      <w:r w:rsidRPr="009F29C1">
        <w:rPr>
          <w:sz w:val="24"/>
          <w:szCs w:val="24"/>
          <w:lang w:bidi="en-US"/>
        </w:rPr>
        <w:t xml:space="preserve"> which </w:t>
      </w:r>
      <w:r>
        <w:rPr>
          <w:sz w:val="24"/>
          <w:szCs w:val="24"/>
          <w:lang w:bidi="en-US"/>
        </w:rPr>
        <w:t xml:space="preserve">was </w:t>
      </w:r>
      <w:r w:rsidRPr="009F29C1">
        <w:rPr>
          <w:sz w:val="24"/>
          <w:szCs w:val="24"/>
          <w:lang w:bidi="en-US"/>
        </w:rPr>
        <w:t xml:space="preserve">supported by relevant blood investigation and the radiological features completely resembling the picture of </w:t>
      </w:r>
      <w:proofErr w:type="spellStart"/>
      <w:r w:rsidRPr="009F29C1">
        <w:rPr>
          <w:sz w:val="24"/>
          <w:szCs w:val="24"/>
          <w:lang w:bidi="en-US"/>
        </w:rPr>
        <w:t>pachydermoperiostosis</w:t>
      </w:r>
      <w:proofErr w:type="spellEnd"/>
      <w:r w:rsidRPr="009F29C1">
        <w:rPr>
          <w:sz w:val="24"/>
          <w:szCs w:val="24"/>
          <w:lang w:bidi="en-US"/>
        </w:rPr>
        <w:t xml:space="preserve">. Along with the classical picture of </w:t>
      </w:r>
      <w:proofErr w:type="spellStart"/>
      <w:r w:rsidRPr="009F29C1">
        <w:rPr>
          <w:sz w:val="24"/>
          <w:szCs w:val="24"/>
          <w:lang w:bidi="en-US"/>
        </w:rPr>
        <w:t>pachydermoperiostosis</w:t>
      </w:r>
      <w:proofErr w:type="spellEnd"/>
      <w:r w:rsidRPr="009F29C1">
        <w:rPr>
          <w:sz w:val="24"/>
          <w:szCs w:val="24"/>
          <w:lang w:bidi="en-US"/>
        </w:rPr>
        <w:t xml:space="preserve">, our patient </w:t>
      </w:r>
      <w:r>
        <w:rPr>
          <w:sz w:val="24"/>
          <w:szCs w:val="24"/>
          <w:lang w:bidi="en-US"/>
        </w:rPr>
        <w:t>also had</w:t>
      </w:r>
      <w:r w:rsidRPr="009F29C1">
        <w:rPr>
          <w:sz w:val="24"/>
          <w:szCs w:val="24"/>
          <w:lang w:bidi="en-US"/>
        </w:rPr>
        <w:t xml:space="preserve"> ropy discharge from </w:t>
      </w:r>
      <w:r>
        <w:rPr>
          <w:sz w:val="24"/>
          <w:szCs w:val="24"/>
          <w:lang w:bidi="en-US"/>
        </w:rPr>
        <w:t>both eyes</w:t>
      </w:r>
      <w:r w:rsidRPr="009F29C1">
        <w:rPr>
          <w:sz w:val="24"/>
          <w:szCs w:val="24"/>
          <w:lang w:bidi="en-US"/>
        </w:rPr>
        <w:t xml:space="preserve"> (symptoms began along with </w:t>
      </w:r>
      <w:r>
        <w:rPr>
          <w:sz w:val="24"/>
          <w:szCs w:val="24"/>
          <w:lang w:bidi="en-US"/>
        </w:rPr>
        <w:t>other PDP features and</w:t>
      </w:r>
      <w:r w:rsidRPr="009F29C1">
        <w:rPr>
          <w:sz w:val="24"/>
          <w:szCs w:val="24"/>
          <w:lang w:bidi="en-US"/>
        </w:rPr>
        <w:t xml:space="preserve"> progressed with</w:t>
      </w:r>
      <w:r>
        <w:rPr>
          <w:sz w:val="24"/>
          <w:szCs w:val="24"/>
          <w:lang w:bidi="en-US"/>
        </w:rPr>
        <w:t xml:space="preserve"> </w:t>
      </w:r>
      <w:r w:rsidRPr="009F29C1">
        <w:rPr>
          <w:sz w:val="24"/>
          <w:szCs w:val="24"/>
          <w:lang w:bidi="en-US"/>
        </w:rPr>
        <w:t>time) for which he used various antibiotic eye drops but that could not help him to get rid of the condition.</w:t>
      </w:r>
      <w:r>
        <w:rPr>
          <w:sz w:val="24"/>
          <w:szCs w:val="24"/>
          <w:lang w:bidi="en-US"/>
        </w:rPr>
        <w:t xml:space="preserve"> He</w:t>
      </w:r>
      <w:r w:rsidRPr="009F29C1">
        <w:rPr>
          <w:sz w:val="24"/>
          <w:szCs w:val="24"/>
          <w:lang w:bidi="en-US"/>
        </w:rPr>
        <w:t xml:space="preserve"> had prominent skin folds on the scalp resembling sulci and gyri of </w:t>
      </w:r>
      <w:r>
        <w:rPr>
          <w:sz w:val="24"/>
          <w:szCs w:val="24"/>
          <w:lang w:bidi="en-US"/>
        </w:rPr>
        <w:t xml:space="preserve">the </w:t>
      </w:r>
      <w:r w:rsidRPr="009F29C1">
        <w:rPr>
          <w:sz w:val="24"/>
          <w:szCs w:val="24"/>
          <w:lang w:bidi="en-US"/>
        </w:rPr>
        <w:t>bra</w:t>
      </w:r>
      <w:r>
        <w:rPr>
          <w:sz w:val="24"/>
          <w:szCs w:val="24"/>
          <w:lang w:bidi="en-US"/>
        </w:rPr>
        <w:t>in,</w:t>
      </w:r>
      <w:r w:rsidRPr="009F29C1">
        <w:rPr>
          <w:sz w:val="24"/>
          <w:szCs w:val="24"/>
          <w:lang w:bidi="en-US"/>
        </w:rPr>
        <w:t xml:space="preserve"> </w:t>
      </w:r>
      <w:r>
        <w:rPr>
          <w:sz w:val="24"/>
          <w:szCs w:val="24"/>
          <w:lang w:bidi="en-US"/>
        </w:rPr>
        <w:t>referred</w:t>
      </w:r>
      <w:r w:rsidRPr="009F29C1">
        <w:rPr>
          <w:sz w:val="24"/>
          <w:szCs w:val="24"/>
          <w:lang w:bidi="en-US"/>
        </w:rPr>
        <w:t xml:space="preserve"> </w:t>
      </w:r>
      <w:proofErr w:type="spellStart"/>
      <w:proofErr w:type="gramStart"/>
      <w:r w:rsidRPr="009F29C1">
        <w:rPr>
          <w:sz w:val="24"/>
          <w:szCs w:val="24"/>
          <w:lang w:bidi="en-US"/>
        </w:rPr>
        <w:t>as</w:t>
      </w:r>
      <w:r w:rsidRPr="009F29C1">
        <w:rPr>
          <w:rFonts w:hint="eastAsia"/>
          <w:sz w:val="24"/>
          <w:szCs w:val="24"/>
          <w:lang w:bidi="en-US"/>
        </w:rPr>
        <w:t>“</w:t>
      </w:r>
      <w:proofErr w:type="gramEnd"/>
      <w:r w:rsidRPr="009F29C1">
        <w:rPr>
          <w:sz w:val="24"/>
          <w:szCs w:val="24"/>
          <w:lang w:bidi="en-US"/>
        </w:rPr>
        <w:t>cutis</w:t>
      </w:r>
      <w:proofErr w:type="spellEnd"/>
      <w:r w:rsidRPr="009F29C1">
        <w:rPr>
          <w:sz w:val="24"/>
          <w:szCs w:val="24"/>
          <w:lang w:bidi="en-US"/>
        </w:rPr>
        <w:t xml:space="preserve"> </w:t>
      </w:r>
      <w:proofErr w:type="spellStart"/>
      <w:r w:rsidRPr="009F29C1">
        <w:rPr>
          <w:sz w:val="24"/>
          <w:szCs w:val="24"/>
          <w:lang w:bidi="en-US"/>
        </w:rPr>
        <w:t>verticis</w:t>
      </w:r>
      <w:proofErr w:type="spellEnd"/>
      <w:r w:rsidRPr="009F29C1">
        <w:rPr>
          <w:sz w:val="24"/>
          <w:szCs w:val="24"/>
          <w:lang w:bidi="en-US"/>
        </w:rPr>
        <w:t xml:space="preserve"> </w:t>
      </w:r>
      <w:proofErr w:type="spellStart"/>
      <w:r w:rsidRPr="009F29C1">
        <w:rPr>
          <w:sz w:val="24"/>
          <w:szCs w:val="24"/>
          <w:lang w:bidi="en-US"/>
        </w:rPr>
        <w:t>gyrata</w:t>
      </w:r>
      <w:r w:rsidRPr="009F29C1">
        <w:rPr>
          <w:rFonts w:hint="eastAsia"/>
          <w:sz w:val="24"/>
          <w:szCs w:val="24"/>
          <w:lang w:bidi="en-US"/>
        </w:rPr>
        <w:t>”</w:t>
      </w:r>
      <w:r w:rsidRPr="009F29C1">
        <w:rPr>
          <w:sz w:val="24"/>
          <w:szCs w:val="24"/>
          <w:lang w:bidi="en-US"/>
        </w:rPr>
        <w:t>and</w:t>
      </w:r>
      <w:proofErr w:type="spellEnd"/>
      <w:r w:rsidRPr="009F29C1">
        <w:rPr>
          <w:sz w:val="24"/>
          <w:szCs w:val="24"/>
          <w:lang w:bidi="en-US"/>
        </w:rPr>
        <w:t xml:space="preserve"> prominent folds on the skin of the forehead resembling </w:t>
      </w:r>
      <w:r>
        <w:rPr>
          <w:sz w:val="24"/>
          <w:szCs w:val="24"/>
          <w:lang w:bidi="en-US"/>
        </w:rPr>
        <w:t>‘L</w:t>
      </w:r>
      <w:r w:rsidRPr="009F29C1">
        <w:rPr>
          <w:sz w:val="24"/>
          <w:szCs w:val="24"/>
          <w:lang w:bidi="en-US"/>
        </w:rPr>
        <w:t xml:space="preserve">eonine </w:t>
      </w:r>
      <w:r>
        <w:rPr>
          <w:sz w:val="24"/>
          <w:szCs w:val="24"/>
          <w:lang w:bidi="en-US"/>
        </w:rPr>
        <w:t>F</w:t>
      </w:r>
      <w:r w:rsidRPr="009F29C1">
        <w:rPr>
          <w:sz w:val="24"/>
          <w:szCs w:val="24"/>
          <w:lang w:bidi="en-US"/>
        </w:rPr>
        <w:t>acies</w:t>
      </w:r>
      <w:r>
        <w:rPr>
          <w:sz w:val="24"/>
          <w:szCs w:val="24"/>
          <w:lang w:bidi="en-US"/>
        </w:rPr>
        <w:t>’</w:t>
      </w:r>
      <w:r w:rsidRPr="009F29C1">
        <w:rPr>
          <w:sz w:val="24"/>
          <w:szCs w:val="24"/>
          <w:lang w:bidi="en-US"/>
        </w:rPr>
        <w:t xml:space="preserve"> which is usually a late feature of the disease.</w:t>
      </w:r>
    </w:p>
    <w:p w14:paraId="7EDABE3C" w14:textId="77777777" w:rsidR="00A7791B" w:rsidRPr="009F29C1" w:rsidRDefault="00A7791B" w:rsidP="00A7791B">
      <w:pPr>
        <w:jc w:val="both"/>
        <w:rPr>
          <w:sz w:val="24"/>
          <w:szCs w:val="24"/>
          <w:lang w:bidi="en-US"/>
        </w:rPr>
      </w:pPr>
      <w:r>
        <w:rPr>
          <w:sz w:val="24"/>
          <w:szCs w:val="24"/>
          <w:lang w:bidi="en-US"/>
        </w:rPr>
        <w:t>The clinical</w:t>
      </w:r>
      <w:r w:rsidRPr="009F29C1">
        <w:rPr>
          <w:sz w:val="24"/>
          <w:szCs w:val="24"/>
          <w:lang w:bidi="en-US"/>
        </w:rPr>
        <w:t xml:space="preserve"> picture is very important in distinguishing primary and secondary </w:t>
      </w:r>
      <w:r>
        <w:rPr>
          <w:sz w:val="24"/>
          <w:szCs w:val="24"/>
          <w:lang w:bidi="en-US"/>
        </w:rPr>
        <w:t>hypertrophic</w:t>
      </w:r>
      <w:r w:rsidRPr="009F29C1">
        <w:rPr>
          <w:sz w:val="24"/>
          <w:szCs w:val="24"/>
          <w:lang w:bidi="en-US"/>
        </w:rPr>
        <w:t xml:space="preserve"> osteoarthropathy supported by the radiological findings. </w:t>
      </w:r>
      <w:r>
        <w:rPr>
          <w:sz w:val="24"/>
          <w:szCs w:val="24"/>
          <w:lang w:bidi="en-US"/>
        </w:rPr>
        <w:t>The secondary</w:t>
      </w:r>
      <w:r w:rsidRPr="009F29C1">
        <w:rPr>
          <w:sz w:val="24"/>
          <w:szCs w:val="24"/>
          <w:lang w:bidi="en-US"/>
        </w:rPr>
        <w:t xml:space="preserve"> form </w:t>
      </w:r>
      <w:r>
        <w:rPr>
          <w:sz w:val="24"/>
          <w:szCs w:val="24"/>
          <w:lang w:bidi="en-US"/>
        </w:rPr>
        <w:t xml:space="preserve">is </w:t>
      </w:r>
      <w:r w:rsidRPr="009F29C1">
        <w:rPr>
          <w:sz w:val="24"/>
          <w:szCs w:val="24"/>
          <w:lang w:bidi="en-US"/>
        </w:rPr>
        <w:t xml:space="preserve">usually </w:t>
      </w:r>
      <w:r>
        <w:rPr>
          <w:sz w:val="24"/>
          <w:szCs w:val="24"/>
          <w:lang w:bidi="en-US"/>
        </w:rPr>
        <w:t>preceded</w:t>
      </w:r>
      <w:r w:rsidRPr="009F29C1">
        <w:rPr>
          <w:sz w:val="24"/>
          <w:szCs w:val="24"/>
          <w:lang w:bidi="en-US"/>
        </w:rPr>
        <w:t xml:space="preserve"> by lung </w:t>
      </w:r>
      <w:r>
        <w:rPr>
          <w:sz w:val="24"/>
          <w:szCs w:val="24"/>
          <w:lang w:bidi="en-US"/>
        </w:rPr>
        <w:t xml:space="preserve">disorders </w:t>
      </w:r>
      <w:r w:rsidRPr="009F29C1">
        <w:rPr>
          <w:sz w:val="24"/>
          <w:szCs w:val="24"/>
          <w:lang w:bidi="en-US"/>
        </w:rPr>
        <w:t xml:space="preserve">(carcinoma of </w:t>
      </w:r>
      <w:r>
        <w:rPr>
          <w:sz w:val="24"/>
          <w:szCs w:val="24"/>
          <w:lang w:bidi="en-US"/>
        </w:rPr>
        <w:t xml:space="preserve">the </w:t>
      </w:r>
      <w:r w:rsidRPr="009F29C1">
        <w:rPr>
          <w:sz w:val="24"/>
          <w:szCs w:val="24"/>
          <w:lang w:bidi="en-US"/>
        </w:rPr>
        <w:t>lung, cystic fibrosis</w:t>
      </w:r>
      <w:r>
        <w:rPr>
          <w:sz w:val="24"/>
          <w:szCs w:val="24"/>
          <w:lang w:bidi="en-US"/>
        </w:rPr>
        <w:t xml:space="preserve">, or </w:t>
      </w:r>
      <w:r w:rsidRPr="009F29C1">
        <w:rPr>
          <w:sz w:val="24"/>
          <w:szCs w:val="24"/>
          <w:lang w:bidi="en-US"/>
        </w:rPr>
        <w:t>any other form of chronic infectious conditions of lungs), cardiac disorders</w:t>
      </w:r>
      <w:r>
        <w:rPr>
          <w:sz w:val="24"/>
          <w:szCs w:val="24"/>
          <w:lang w:bidi="en-US"/>
        </w:rPr>
        <w:t xml:space="preserve">, and </w:t>
      </w:r>
      <w:r w:rsidRPr="009F29C1">
        <w:rPr>
          <w:sz w:val="24"/>
          <w:szCs w:val="24"/>
          <w:lang w:bidi="en-US"/>
        </w:rPr>
        <w:t>gastrointestinal</w:t>
      </w:r>
      <w:r>
        <w:rPr>
          <w:sz w:val="24"/>
          <w:szCs w:val="24"/>
          <w:lang w:bidi="en-US"/>
        </w:rPr>
        <w:t xml:space="preserve"> or </w:t>
      </w:r>
      <w:r w:rsidRPr="009F29C1">
        <w:rPr>
          <w:sz w:val="24"/>
          <w:szCs w:val="24"/>
          <w:lang w:bidi="en-US"/>
        </w:rPr>
        <w:t>hepatobiliary disorders like inflammatory bowel disease, carcinoma</w:t>
      </w:r>
      <w:r>
        <w:rPr>
          <w:sz w:val="24"/>
          <w:szCs w:val="24"/>
          <w:lang w:bidi="en-US"/>
        </w:rPr>
        <w:t>, and</w:t>
      </w:r>
      <w:r w:rsidRPr="009F29C1">
        <w:rPr>
          <w:sz w:val="24"/>
          <w:szCs w:val="24"/>
          <w:lang w:bidi="en-US"/>
        </w:rPr>
        <w:t xml:space="preserve"> cirrhosis </w:t>
      </w:r>
      <w:r w:rsidRPr="009F29C1">
        <w:rPr>
          <w:sz w:val="24"/>
          <w:szCs w:val="24"/>
          <w:lang w:bidi="en-US"/>
        </w:rPr>
        <w:fldChar w:fldCharType="begin" w:fldLock="1"/>
      </w:r>
      <w:r>
        <w:rPr>
          <w:sz w:val="24"/>
          <w:szCs w:val="24"/>
          <w:lang w:bidi="en-US"/>
        </w:rPr>
        <w:instrText>ADDIN CSL_CITATION {"citationItems":[{"id":"ITEM-1","itemData":{"DOI":"10.7326/0003-4819-66-1-130","ISSN":"00034819","PMID":"6015584","author":[{"dropping-particle":"","family":"Buchan","given":"D. J.","non-dropping-particle":"","parse-names":false,"suffix":""},{"dropping-particle":"","family":"Mitchell","given":"D. M.","non-dropping-particle":"","parse-names":false,"suffix":""}],"container-title":"Annals of internal medicine","id":"ITEM-1","issue":"1","issued":{"date-parts":[["1967"]]},"page":"130-135","title":"Hypertrophic osteoarthropathy in portal cirrhosis.","type":"article-journal","volume":"66"},"uris":["http://www.mendeley.com/documents/?uuid=d4252521-50b1-3910-9d65-fddb34490e9e"]},{"id":"ITEM-2","itemData":{"DOI":"10.7326/0003-4819-66-1-125","ISSN":"0003-4819","PMID":"6015583","author":[{"dropping-particle":"","family":"Hollis","given":"W. C.","non-dropping-particle":"","parse-names":false,"suffix":""}],"container-title":"Annals of internal medicine","id":"ITEM-2","issue":"1","issued":{"date-parts":[["1967"]]},"page":"125-130","publisher":"Ann Intern Med","title":"Hypertrophic osteoarthropathy secondary to upper-gastrointestinal-tract neoplasm. Case report and review","type":"article-journal","volume":"66"},"uris":["http://www.mendeley.com/documents/?uuid=c29ddc11-2737-3210-ac2a-3309f1020357"]}],"mendeley":{"formattedCitation":"(26,27)","plainTextFormattedCitation":"(26,27)","previouslyFormattedCitation":"(26,27)"},"properties":{"noteIndex":0},"schema":"https://github.com/citation-style-language/schema/raw/master/csl-citation.json"}</w:instrText>
      </w:r>
      <w:r w:rsidRPr="009F29C1">
        <w:rPr>
          <w:sz w:val="24"/>
          <w:szCs w:val="24"/>
          <w:lang w:bidi="en-US"/>
        </w:rPr>
        <w:fldChar w:fldCharType="separate"/>
      </w:r>
      <w:r w:rsidRPr="009F29C1">
        <w:rPr>
          <w:noProof/>
          <w:sz w:val="24"/>
          <w:szCs w:val="24"/>
          <w:lang w:bidi="en-US"/>
        </w:rPr>
        <w:t>(26,27)</w:t>
      </w:r>
      <w:r w:rsidRPr="009F29C1">
        <w:rPr>
          <w:sz w:val="24"/>
          <w:szCs w:val="24"/>
        </w:rPr>
        <w:fldChar w:fldCharType="end"/>
      </w:r>
      <w:r w:rsidRPr="009F29C1">
        <w:rPr>
          <w:sz w:val="24"/>
          <w:szCs w:val="24"/>
          <w:lang w:bidi="en-US"/>
        </w:rPr>
        <w:t xml:space="preserve">. As none of any premorbid condition was present in our patient </w:t>
      </w:r>
      <w:r>
        <w:rPr>
          <w:sz w:val="24"/>
          <w:szCs w:val="24"/>
          <w:lang w:bidi="en-US"/>
        </w:rPr>
        <w:t xml:space="preserve">and </w:t>
      </w:r>
      <w:r w:rsidRPr="009F29C1">
        <w:rPr>
          <w:sz w:val="24"/>
          <w:szCs w:val="24"/>
          <w:lang w:bidi="en-US"/>
        </w:rPr>
        <w:t xml:space="preserve">also </w:t>
      </w:r>
      <w:r>
        <w:rPr>
          <w:sz w:val="24"/>
          <w:szCs w:val="24"/>
          <w:lang w:bidi="en-US"/>
        </w:rPr>
        <w:t xml:space="preserve">the </w:t>
      </w:r>
      <w:r w:rsidRPr="009F29C1">
        <w:rPr>
          <w:sz w:val="24"/>
          <w:szCs w:val="24"/>
          <w:lang w:bidi="en-US"/>
        </w:rPr>
        <w:t>involvement of epiphysis was evident from X</w:t>
      </w:r>
      <w:r>
        <w:rPr>
          <w:sz w:val="24"/>
          <w:szCs w:val="24"/>
          <w:lang w:bidi="en-US"/>
        </w:rPr>
        <w:t>-</w:t>
      </w:r>
      <w:r w:rsidRPr="009F29C1">
        <w:rPr>
          <w:sz w:val="24"/>
          <w:szCs w:val="24"/>
          <w:lang w:bidi="en-US"/>
        </w:rPr>
        <w:t xml:space="preserve">rays (secondary form </w:t>
      </w:r>
      <w:r>
        <w:rPr>
          <w:sz w:val="24"/>
          <w:szCs w:val="24"/>
          <w:lang w:bidi="en-US"/>
        </w:rPr>
        <w:t>typically spares epiphysis</w:t>
      </w:r>
      <w:r w:rsidRPr="009F29C1">
        <w:rPr>
          <w:sz w:val="24"/>
          <w:szCs w:val="24"/>
          <w:lang w:bidi="en-US"/>
        </w:rPr>
        <w:t>)</w:t>
      </w:r>
      <w:r>
        <w:rPr>
          <w:sz w:val="24"/>
          <w:szCs w:val="24"/>
          <w:lang w:bidi="en-US"/>
        </w:rPr>
        <w:t xml:space="preserve"> </w:t>
      </w:r>
      <w:r>
        <w:rPr>
          <w:sz w:val="24"/>
          <w:szCs w:val="24"/>
          <w:lang w:bidi="en-US"/>
        </w:rPr>
        <w:fldChar w:fldCharType="begin" w:fldLock="1"/>
      </w:r>
      <w:r>
        <w:rPr>
          <w:sz w:val="24"/>
          <w:szCs w:val="24"/>
          <w:lang w:bidi="en-US"/>
        </w:rPr>
        <w:instrText>ADDIN CSL_CITATION {"citationItems":[{"id":"ITEM-1","itemData":{"author":[{"dropping-particle":"","family":"Kelley","given":"WN","non-dropping-particle":"","parse-names":false,"suffix":""},{"dropping-particle":"","family":"Harris","given":"ED","non-dropping-particle":"","parse-names":false,"suffix":""},{"dropping-particle":"","family":"…","given":"S Ruddy - Textbook of","non-dropping-particle":"","parse-names":false,"suffix":""},{"dropping-particle":"","family":"1989","given":"undefined","non-dropping-particle":"","parse-names":false,"suffix":""}],"container-title":"pesquisa.bvsalud.orgPaperpile","id":"ITEM-1","issued":{"date-parts":[["0"]]},"title":"Textbook of rheumatology","type":"article-journal"},"uris":["http://www.mendeley.com/documents/?uuid=4aadb377-922d-37e4-946c-69d3bc74cbe5"]}],"mendeley":{"formattedCitation":"(28)","plainTextFormattedCitation":"(28)"},"properties":{"noteIndex":0},"schema":"https://github.com/citation-style-language/schema/raw/master/csl-citation.json"}</w:instrText>
      </w:r>
      <w:r>
        <w:rPr>
          <w:sz w:val="24"/>
          <w:szCs w:val="24"/>
          <w:lang w:bidi="en-US"/>
        </w:rPr>
        <w:fldChar w:fldCharType="separate"/>
      </w:r>
      <w:r w:rsidRPr="0002412E">
        <w:rPr>
          <w:noProof/>
          <w:sz w:val="24"/>
          <w:szCs w:val="24"/>
          <w:lang w:bidi="en-US"/>
        </w:rPr>
        <w:t>(28)</w:t>
      </w:r>
      <w:r>
        <w:rPr>
          <w:sz w:val="24"/>
          <w:szCs w:val="24"/>
          <w:lang w:bidi="en-US"/>
        </w:rPr>
        <w:fldChar w:fldCharType="end"/>
      </w:r>
      <w:r>
        <w:rPr>
          <w:sz w:val="24"/>
          <w:szCs w:val="24"/>
          <w:lang w:bidi="en-US"/>
        </w:rPr>
        <w:t>,</w:t>
      </w:r>
      <w:r w:rsidRPr="009F29C1">
        <w:rPr>
          <w:sz w:val="24"/>
          <w:szCs w:val="24"/>
          <w:lang w:bidi="en-US"/>
        </w:rPr>
        <w:t xml:space="preserve"> secondary </w:t>
      </w:r>
      <w:r>
        <w:rPr>
          <w:sz w:val="24"/>
          <w:szCs w:val="24"/>
          <w:lang w:bidi="en-US"/>
        </w:rPr>
        <w:t xml:space="preserve">hypertrophic </w:t>
      </w:r>
      <w:r w:rsidRPr="009F29C1">
        <w:rPr>
          <w:sz w:val="24"/>
          <w:szCs w:val="24"/>
          <w:lang w:bidi="en-US"/>
        </w:rPr>
        <w:t>osteoarthropathy can be ruled out.</w:t>
      </w:r>
    </w:p>
    <w:p w14:paraId="28C0EF9F" w14:textId="77777777" w:rsidR="00A7791B" w:rsidRPr="009F29C1" w:rsidRDefault="00A7791B" w:rsidP="00A7791B">
      <w:pPr>
        <w:jc w:val="both"/>
        <w:rPr>
          <w:sz w:val="24"/>
          <w:szCs w:val="24"/>
          <w:lang w:bidi="en-US"/>
        </w:rPr>
      </w:pPr>
      <w:proofErr w:type="spellStart"/>
      <w:r w:rsidRPr="009F29C1">
        <w:rPr>
          <w:sz w:val="24"/>
          <w:szCs w:val="24"/>
          <w:lang w:bidi="en-US"/>
        </w:rPr>
        <w:t>Pachydermoperiostosis</w:t>
      </w:r>
      <w:proofErr w:type="spellEnd"/>
      <w:r w:rsidRPr="009F29C1">
        <w:rPr>
          <w:sz w:val="24"/>
          <w:szCs w:val="24"/>
          <w:lang w:bidi="en-US"/>
        </w:rPr>
        <w:t xml:space="preserve"> closely resembles acromegaly on the basis of clinical and radiological pictures but contrary to </w:t>
      </w:r>
      <w:proofErr w:type="spellStart"/>
      <w:r w:rsidRPr="009F29C1">
        <w:rPr>
          <w:sz w:val="24"/>
          <w:szCs w:val="24"/>
          <w:lang w:bidi="en-US"/>
        </w:rPr>
        <w:t>pachydermoperiostosis</w:t>
      </w:r>
      <w:proofErr w:type="spellEnd"/>
      <w:r w:rsidRPr="009F29C1">
        <w:rPr>
          <w:sz w:val="24"/>
          <w:szCs w:val="24"/>
          <w:lang w:bidi="en-US"/>
        </w:rPr>
        <w:t>, there is facial bone enlargement, jaw prognathism, nose enlargement, zygomatic-arch prominence, blow ridge,</w:t>
      </w:r>
      <w:r>
        <w:rPr>
          <w:sz w:val="24"/>
          <w:szCs w:val="24"/>
          <w:lang w:bidi="en-US"/>
        </w:rPr>
        <w:t xml:space="preserve"> </w:t>
      </w:r>
      <w:r w:rsidRPr="009F29C1">
        <w:rPr>
          <w:sz w:val="24"/>
          <w:szCs w:val="24"/>
          <w:lang w:bidi="en-US"/>
        </w:rPr>
        <w:t>forehead protrusion, swelling of lips</w:t>
      </w:r>
      <w:r>
        <w:rPr>
          <w:sz w:val="24"/>
          <w:szCs w:val="24"/>
          <w:lang w:bidi="en-US"/>
        </w:rPr>
        <w:t xml:space="preserve"> and</w:t>
      </w:r>
      <w:r w:rsidRPr="009F29C1">
        <w:rPr>
          <w:sz w:val="24"/>
          <w:szCs w:val="24"/>
          <w:lang w:bidi="en-US"/>
        </w:rPr>
        <w:t xml:space="preserve"> tongue</w:t>
      </w:r>
      <w:r>
        <w:rPr>
          <w:sz w:val="24"/>
          <w:szCs w:val="24"/>
          <w:lang w:bidi="en-US"/>
        </w:rPr>
        <w:t xml:space="preserve">, </w:t>
      </w:r>
      <w:r w:rsidRPr="009F29C1">
        <w:rPr>
          <w:sz w:val="24"/>
          <w:szCs w:val="24"/>
          <w:lang w:bidi="en-US"/>
        </w:rPr>
        <w:t>in acromegaly. Elevation of insulin-like growth factor 1</w:t>
      </w:r>
      <w:r>
        <w:rPr>
          <w:sz w:val="24"/>
          <w:szCs w:val="24"/>
          <w:lang w:bidi="en-US"/>
        </w:rPr>
        <w:t xml:space="preserve"> </w:t>
      </w:r>
      <w:r w:rsidRPr="009F29C1">
        <w:rPr>
          <w:sz w:val="24"/>
          <w:szCs w:val="24"/>
          <w:lang w:bidi="en-US"/>
        </w:rPr>
        <w:t xml:space="preserve">(IGF-1) level is diagnostic for acromegaly. We could not perform this test due to the inconvenience </w:t>
      </w:r>
      <w:r>
        <w:rPr>
          <w:sz w:val="24"/>
          <w:szCs w:val="24"/>
          <w:lang w:bidi="en-US"/>
        </w:rPr>
        <w:t>to</w:t>
      </w:r>
      <w:r w:rsidRPr="009F29C1">
        <w:rPr>
          <w:sz w:val="24"/>
          <w:szCs w:val="24"/>
          <w:lang w:bidi="en-US"/>
        </w:rPr>
        <w:t xml:space="preserve"> the patient but he had </w:t>
      </w:r>
      <w:r>
        <w:rPr>
          <w:sz w:val="24"/>
          <w:szCs w:val="24"/>
          <w:lang w:bidi="en-US"/>
        </w:rPr>
        <w:t xml:space="preserve">an </w:t>
      </w:r>
      <w:r w:rsidRPr="009F29C1">
        <w:rPr>
          <w:sz w:val="24"/>
          <w:szCs w:val="24"/>
          <w:lang w:bidi="en-US"/>
        </w:rPr>
        <w:t>MRI head which supported ruling out acromegaly.</w:t>
      </w:r>
      <w:r>
        <w:rPr>
          <w:sz w:val="24"/>
          <w:szCs w:val="24"/>
          <w:lang w:bidi="en-US"/>
        </w:rPr>
        <w:t xml:space="preserve"> Also, the absence of typical acro-facial enlargement made acromegaly less likely in our patient. </w:t>
      </w:r>
    </w:p>
    <w:p w14:paraId="0CB568ED" w14:textId="77777777" w:rsidR="00A7791B" w:rsidRPr="00CD4DF6" w:rsidRDefault="00A7791B" w:rsidP="00A7791B">
      <w:pPr>
        <w:jc w:val="both"/>
        <w:rPr>
          <w:sz w:val="24"/>
          <w:szCs w:val="24"/>
          <w:lang w:bidi="en-US"/>
        </w:rPr>
      </w:pPr>
      <w:r w:rsidRPr="009F29C1">
        <w:rPr>
          <w:sz w:val="24"/>
          <w:szCs w:val="24"/>
          <w:lang w:bidi="en-US"/>
        </w:rPr>
        <w:t xml:space="preserve">Less common entities like thyroid acropachy (a complication of autoimmune thyroid disease), </w:t>
      </w:r>
      <w:r>
        <w:rPr>
          <w:sz w:val="24"/>
          <w:szCs w:val="24"/>
          <w:lang w:bidi="en-US"/>
        </w:rPr>
        <w:t>P</w:t>
      </w:r>
      <w:r w:rsidRPr="009F29C1">
        <w:rPr>
          <w:sz w:val="24"/>
          <w:szCs w:val="24"/>
          <w:lang w:bidi="en-US"/>
        </w:rPr>
        <w:t>soriatic</w:t>
      </w:r>
      <w:r>
        <w:rPr>
          <w:sz w:val="24"/>
          <w:szCs w:val="24"/>
          <w:lang w:bidi="en-US"/>
        </w:rPr>
        <w:t xml:space="preserve"> O</w:t>
      </w:r>
      <w:r w:rsidRPr="009F29C1">
        <w:rPr>
          <w:sz w:val="24"/>
          <w:szCs w:val="24"/>
          <w:lang w:bidi="en-US"/>
        </w:rPr>
        <w:t>nycho-</w:t>
      </w:r>
      <w:proofErr w:type="spellStart"/>
      <w:r>
        <w:rPr>
          <w:sz w:val="24"/>
          <w:szCs w:val="24"/>
          <w:lang w:bidi="en-US"/>
        </w:rPr>
        <w:t>P</w:t>
      </w:r>
      <w:r w:rsidRPr="009F29C1">
        <w:rPr>
          <w:sz w:val="24"/>
          <w:szCs w:val="24"/>
          <w:lang w:bidi="en-US"/>
        </w:rPr>
        <w:t>achydermo</w:t>
      </w:r>
      <w:r>
        <w:rPr>
          <w:sz w:val="24"/>
          <w:szCs w:val="24"/>
          <w:lang w:bidi="en-US"/>
        </w:rPr>
        <w:t>p</w:t>
      </w:r>
      <w:r w:rsidRPr="009F29C1">
        <w:rPr>
          <w:sz w:val="24"/>
          <w:szCs w:val="24"/>
          <w:lang w:bidi="en-US"/>
        </w:rPr>
        <w:t>eriostitis</w:t>
      </w:r>
      <w:proofErr w:type="spellEnd"/>
      <w:r w:rsidRPr="009F29C1">
        <w:rPr>
          <w:sz w:val="24"/>
          <w:szCs w:val="24"/>
          <w:lang w:bidi="en-US"/>
        </w:rPr>
        <w:t>, hypervitaminosis</w:t>
      </w:r>
      <w:r>
        <w:rPr>
          <w:sz w:val="24"/>
          <w:szCs w:val="24"/>
          <w:lang w:bidi="en-US"/>
        </w:rPr>
        <w:t xml:space="preserve"> </w:t>
      </w:r>
      <w:r w:rsidRPr="009F29C1">
        <w:rPr>
          <w:sz w:val="24"/>
          <w:szCs w:val="24"/>
          <w:lang w:bidi="en-US"/>
        </w:rPr>
        <w:t>A</w:t>
      </w:r>
      <w:r>
        <w:rPr>
          <w:sz w:val="24"/>
          <w:szCs w:val="24"/>
          <w:lang w:bidi="en-US"/>
        </w:rPr>
        <w:t xml:space="preserve"> and </w:t>
      </w:r>
      <w:r w:rsidRPr="009F29C1">
        <w:rPr>
          <w:sz w:val="24"/>
          <w:szCs w:val="24"/>
          <w:lang w:bidi="en-US"/>
        </w:rPr>
        <w:t xml:space="preserve">Caffey disease are the differentials that should be kept in mind during workup with the symptomatology as we have discussed </w:t>
      </w:r>
      <w:r w:rsidRPr="009F29C1">
        <w:rPr>
          <w:sz w:val="24"/>
          <w:szCs w:val="24"/>
          <w:lang w:bidi="en-US"/>
        </w:rPr>
        <w:fldChar w:fldCharType="begin" w:fldLock="1"/>
      </w:r>
      <w:r>
        <w:rPr>
          <w:sz w:val="24"/>
          <w:szCs w:val="24"/>
          <w:lang w:bidi="en-US"/>
        </w:rPr>
        <w:instrText>ADDIN CSL_CITATION {"citationItems":[{"id":"ITEM-1","itemData":{"DOI":"10.7326/0003-4819-66-1-125","ISSN":"0003-4819","PMID":"6015583","author":[{"dropping-particle":"","family":"Hollis","given":"W. C.","non-dropping-particle":"","parse-names":false,"suffix":""}],"container-title":"Annals of internal medicine","id":"ITEM-1","issue":"1","issued":{"date-parts":[["1967"]]},"page":"125-130","publisher":"Ann Intern Med","title":"Hypertrophic osteoarthropathy secondary to upper-gastrointestinal-tract neoplasm. Case report and review","type":"article-journal","volume":"66"},"uris":["http://www.mendeley.com/documents/?uuid=c29ddc11-2737-3210-ac2a-3309f1020357"]}],"mendeley":{"formattedCitation":"(27)","plainTextFormattedCitation":"(27)","previouslyFormattedCitation":"(27)"},"properties":{"noteIndex":0},"schema":"https://github.com/citation-style-language/schema/raw/master/csl-citation.json"}</w:instrText>
      </w:r>
      <w:r w:rsidRPr="009F29C1">
        <w:rPr>
          <w:sz w:val="24"/>
          <w:szCs w:val="24"/>
          <w:lang w:bidi="en-US"/>
        </w:rPr>
        <w:fldChar w:fldCharType="separate"/>
      </w:r>
      <w:r w:rsidRPr="009F29C1">
        <w:rPr>
          <w:noProof/>
          <w:sz w:val="24"/>
          <w:szCs w:val="24"/>
          <w:lang w:bidi="en-US"/>
        </w:rPr>
        <w:t>(27)</w:t>
      </w:r>
      <w:r w:rsidRPr="009F29C1">
        <w:rPr>
          <w:sz w:val="24"/>
          <w:szCs w:val="24"/>
        </w:rPr>
        <w:fldChar w:fldCharType="end"/>
      </w:r>
      <w:r w:rsidRPr="009F29C1">
        <w:rPr>
          <w:sz w:val="24"/>
          <w:szCs w:val="24"/>
          <w:lang w:bidi="en-US"/>
        </w:rPr>
        <w:fldChar w:fldCharType="begin" w:fldLock="1"/>
      </w:r>
      <w:r>
        <w:rPr>
          <w:sz w:val="24"/>
          <w:szCs w:val="24"/>
          <w:lang w:bidi="en-US"/>
        </w:rPr>
        <w:instrText>ADDIN CSL_CITATION {"citationItems":[{"id":"ITEM-1","itemData":{"DOI":"10.1016/0049-0172(88)90017-0","ISSN":"0049-0172","PMID":"3072678","abstract":"We describe seven patients with primary HOA and review 125 cases reported in the English, French, and German literature. The salient clinical features of primary HOA are: a bimodal distribution of disease onset with one peak during the first year of life and the other at age 15, a male predominance (nine to one), uncommon benign joint effusion, and a variety of skin abnormalities resulting from cutaneous hypertrophy or glandular dysfunction. We concluded that HOA is not a synovial disease. It is suggested that synovial effusions, when present, are perhaps a sympathetic reaction to the neighboring periostitis. Proposed diagnostic criteria for HOA, including digital clubbing and radiographic periostitis, appear 86% sensitive. The clinical features, age of onset, and sex distribution suggest that a genetically controlled growth promoting factor, different from growth hormone, plays a role in the pathogenesis of this syndrome. © 1988.","author":[{"dropping-particle":"","family":"Martínez-Lavín","given":"Manuel","non-dropping-particle":"","parse-names":false,"suffix":""},{"dropping-particle":"","family":"Pineda","given":"Carlos","non-dropping-particle":"","parse-names":false,"suffix":""},{"dropping-particle":"","family":"Valdez","given":"Tirso","non-dropping-particle":"","parse-names":false,"suffix":""},{"dropping-particle":"","family":"Cajigas","given":"Juan Carlos","non-dropping-particle":"","parse-names":false,"suffix":""},{"dropping-particle":"","family":"Weisman","given":"Michael","non-dropping-particle":"","parse-names":false,"suffix":""},{"dropping-particle":"","family":"Gerber","given":"Niklaus","non-dropping-particle":"","parse-names":false,"suffix":""},{"dropping-particle":"","family":"Steigler","given":"Daniel","non-dropping-particle":"","parse-names":false,"suffix":""}],"container-title":"Seminars in arthritis and rheumatism","id":"ITEM-1","issue":"3","issued":{"date-parts":[["1988"]]},"page":"156-162","publisher":"Semin Arthritis Rheum","title":"Primary hypertrophic osteoarthropathy","type":"article-journal","volume":"17"},"uris":["http://www.mendeley.com/documents/?uuid=621a8dfe-1b06-3857-92fb-4f886a9c01e2"]}],"mendeley":{"formattedCitation":"(8)","plainTextFormattedCitation":"(8)","previouslyFormattedCitation":"(8)"},"properties":{"noteIndex":0},"schema":"https://github.com/citation-style-language/schema/raw/master/csl-citation.json"}</w:instrText>
      </w:r>
      <w:r w:rsidRPr="009F29C1">
        <w:rPr>
          <w:sz w:val="24"/>
          <w:szCs w:val="24"/>
          <w:lang w:bidi="en-US"/>
        </w:rPr>
        <w:fldChar w:fldCharType="separate"/>
      </w:r>
      <w:r w:rsidRPr="009F29C1">
        <w:rPr>
          <w:noProof/>
          <w:sz w:val="24"/>
          <w:szCs w:val="24"/>
          <w:lang w:bidi="en-US"/>
        </w:rPr>
        <w:t>(8)</w:t>
      </w:r>
      <w:r w:rsidRPr="009F29C1">
        <w:rPr>
          <w:sz w:val="24"/>
          <w:szCs w:val="24"/>
        </w:rPr>
        <w:fldChar w:fldCharType="end"/>
      </w:r>
      <w:r w:rsidRPr="009F29C1">
        <w:rPr>
          <w:sz w:val="24"/>
          <w:szCs w:val="24"/>
          <w:lang w:bidi="en-US"/>
        </w:rPr>
        <w:fldChar w:fldCharType="begin" w:fldLock="1"/>
      </w:r>
      <w:r>
        <w:rPr>
          <w:sz w:val="24"/>
          <w:szCs w:val="24"/>
          <w:lang w:bidi="en-US"/>
        </w:rPr>
        <w:instrText>ADDIN CSL_CITATION {"citationItems":[{"id":"ITEM-1","itemData":{"DOI":"10.1016/J.JOMS.2007.09.007","ISSN":"1531-5053","PMID":"18848116","abstract":"Purpose: Face swelling in infants may have several causes including infantile cortical hyperostosis (Caffey disease), an inflammatory process with swelling of soft tissues and periosteal hyperostosis of some bones. New insights show that this self-limited condition is collagen I-related. Patients and Methods: Collagen I is the most important component of bone and dentine. We reviewed literature to lighten this new collagenopathy, the first one with a self-regressive course. Results: After describing a typical case and the clinical and radiologic features of the disease, we discuss the pathogenic pathways and management care for oral professionals. Conclusions: Oral practitioners could be asked for differential diagnosis. Surgeons could be queried for surgical correction of the bony deformity, especially of facial and mandibular asymmetry. © 2008 American Association of Oral and Maxillofacial Surgeons.","author":[{"dropping-particle":"","family":"Kamoun-Goldrat","given":"Agnès","non-dropping-particle":"","parse-names":false,"suffix":""},{"dropping-particle":"","family":"Merrer","given":"Martine","non-dropping-particle":"le","parse-names":false,"suffix":""}],"container-title":"Journal of oral and maxillofacial surgery : official journal of the American Association of Oral and Maxillofacial Surgeons","id":"ITEM-1","issue":"10","issued":{"date-parts":[["2008","10"]]},"page":"2145-2150","publisher":"J Oral Maxillofac Surg","title":"Infantile cortical hyperostosis (Caffey disease): a review","type":"article-journal","volume":"66"},"uris":["http://www.mendeley.com/documents/?uuid=f2e3dd5c-bcda-3470-acd3-98de60f94ebf"]}],"mendeley":{"formattedCitation":"(29)","plainTextFormattedCitation":"(29)","previouslyFormattedCitation":"(28)"},"properties":{"noteIndex":0},"schema":"https://github.com/citation-style-language/schema/raw/master/csl-citation.json"}</w:instrText>
      </w:r>
      <w:r w:rsidRPr="009F29C1">
        <w:rPr>
          <w:sz w:val="24"/>
          <w:szCs w:val="24"/>
          <w:lang w:bidi="en-US"/>
        </w:rPr>
        <w:fldChar w:fldCharType="separate"/>
      </w:r>
      <w:r w:rsidRPr="0002412E">
        <w:rPr>
          <w:noProof/>
          <w:sz w:val="24"/>
          <w:szCs w:val="24"/>
          <w:lang w:bidi="en-US"/>
        </w:rPr>
        <w:t>(29)</w:t>
      </w:r>
      <w:r w:rsidRPr="009F29C1">
        <w:rPr>
          <w:sz w:val="24"/>
          <w:szCs w:val="24"/>
        </w:rPr>
        <w:fldChar w:fldCharType="end"/>
      </w:r>
      <w:r w:rsidRPr="009F29C1">
        <w:rPr>
          <w:sz w:val="24"/>
          <w:szCs w:val="24"/>
          <w:lang w:bidi="en-US"/>
        </w:rPr>
        <w:t>. But due to lack of clinical, laboratory, and radiological findings these differentials are less likely in our case.</w:t>
      </w:r>
    </w:p>
    <w:p w14:paraId="26870E7C" w14:textId="77777777" w:rsidR="00A7791B" w:rsidRDefault="00A7791B" w:rsidP="00A7791B">
      <w:pPr>
        <w:jc w:val="both"/>
        <w:rPr>
          <w:sz w:val="24"/>
          <w:szCs w:val="24"/>
        </w:rPr>
      </w:pPr>
      <w:r w:rsidRPr="00B07ECF">
        <w:rPr>
          <w:sz w:val="24"/>
          <w:szCs w:val="24"/>
        </w:rPr>
        <w:t xml:space="preserve">The definitive treatment for </w:t>
      </w:r>
      <w:proofErr w:type="spellStart"/>
      <w:r w:rsidRPr="00B07ECF">
        <w:rPr>
          <w:sz w:val="24"/>
          <w:szCs w:val="24"/>
        </w:rPr>
        <w:t>Pachydermoperiostosis</w:t>
      </w:r>
      <w:proofErr w:type="spellEnd"/>
      <w:r w:rsidRPr="00B07ECF">
        <w:rPr>
          <w:sz w:val="24"/>
          <w:szCs w:val="24"/>
        </w:rPr>
        <w:t xml:space="preserve"> </w:t>
      </w:r>
      <w:r>
        <w:rPr>
          <w:sz w:val="24"/>
          <w:szCs w:val="24"/>
        </w:rPr>
        <w:t xml:space="preserve">has </w:t>
      </w:r>
      <w:r w:rsidRPr="00B07ECF">
        <w:rPr>
          <w:sz w:val="24"/>
          <w:szCs w:val="24"/>
        </w:rPr>
        <w:t xml:space="preserve">not </w:t>
      </w:r>
      <w:r>
        <w:rPr>
          <w:sz w:val="24"/>
          <w:szCs w:val="24"/>
        </w:rPr>
        <w:t xml:space="preserve">been </w:t>
      </w:r>
      <w:r w:rsidRPr="00B07ECF">
        <w:rPr>
          <w:sz w:val="24"/>
          <w:szCs w:val="24"/>
        </w:rPr>
        <w:t>well established</w:t>
      </w:r>
      <w:r>
        <w:rPr>
          <w:sz w:val="24"/>
          <w:szCs w:val="24"/>
        </w:rPr>
        <w:t xml:space="preserve">. </w:t>
      </w:r>
      <w:r w:rsidRPr="00B67221">
        <w:rPr>
          <w:sz w:val="24"/>
          <w:szCs w:val="24"/>
          <w:lang w:val="en-NP"/>
        </w:rPr>
        <w:t xml:space="preserve">Treatment is mostly </w:t>
      </w:r>
      <w:r>
        <w:rPr>
          <w:sz w:val="24"/>
          <w:szCs w:val="24"/>
        </w:rPr>
        <w:t>targeted</w:t>
      </w:r>
      <w:r w:rsidRPr="00B67221">
        <w:rPr>
          <w:sz w:val="24"/>
          <w:szCs w:val="24"/>
          <w:lang w:val="en-NP"/>
        </w:rPr>
        <w:t xml:space="preserve"> </w:t>
      </w:r>
      <w:r>
        <w:rPr>
          <w:sz w:val="24"/>
          <w:szCs w:val="24"/>
          <w:lang w:val="en-NP"/>
        </w:rPr>
        <w:t>at</w:t>
      </w:r>
      <w:r w:rsidRPr="00B67221">
        <w:rPr>
          <w:sz w:val="24"/>
          <w:szCs w:val="24"/>
          <w:lang w:val="en-NP"/>
        </w:rPr>
        <w:t xml:space="preserve"> specific symptoms</w:t>
      </w:r>
      <w:r>
        <w:rPr>
          <w:sz w:val="24"/>
          <w:szCs w:val="24"/>
        </w:rPr>
        <w:t xml:space="preserve"> and </w:t>
      </w:r>
      <w:r w:rsidRPr="00B67221">
        <w:rPr>
          <w:sz w:val="24"/>
          <w:szCs w:val="24"/>
          <w:lang w:val="en-NP"/>
        </w:rPr>
        <w:t xml:space="preserve">is </w:t>
      </w:r>
      <w:r>
        <w:rPr>
          <w:sz w:val="24"/>
          <w:szCs w:val="24"/>
        </w:rPr>
        <w:t xml:space="preserve">usually </w:t>
      </w:r>
      <w:r w:rsidRPr="00B67221">
        <w:rPr>
          <w:sz w:val="24"/>
          <w:szCs w:val="24"/>
          <w:lang w:val="en-NP"/>
        </w:rPr>
        <w:t xml:space="preserve">supportive. Nonsteroidal anti-inflammatory </w:t>
      </w:r>
      <w:r w:rsidRPr="00B67221">
        <w:rPr>
          <w:sz w:val="24"/>
          <w:szCs w:val="24"/>
          <w:lang w:val="en-NP"/>
        </w:rPr>
        <w:lastRenderedPageBreak/>
        <w:t xml:space="preserve">drugs (NSAIDs), colchicine, or corticosteroids </w:t>
      </w:r>
      <w:r>
        <w:rPr>
          <w:sz w:val="24"/>
          <w:szCs w:val="24"/>
        </w:rPr>
        <w:t xml:space="preserve">are proved to be effective in alleviating arthralgia or arthritis-related symptoms </w:t>
      </w:r>
      <w:r>
        <w:rPr>
          <w:sz w:val="24"/>
          <w:szCs w:val="24"/>
        </w:rPr>
        <w:fldChar w:fldCharType="begin" w:fldLock="1"/>
      </w:r>
      <w:r>
        <w:rPr>
          <w:sz w:val="24"/>
          <w:szCs w:val="24"/>
        </w:rPr>
        <w:instrText>ADDIN CSL_CITATION {"citationItems":[{"id":"ITEM-1","itemData":{"URL":"https://read.qxmd.com/read/29305259/effectiveness-of-non-steroidal-anti-inflammatory-drugs-among-patients-with-primary-hypertrophic-osteoarthropathy-a-systematic-review","accessed":{"date-parts":[["2022","2","18"]]},"id":"ITEM-1","issued":{"date-parts":[["0"]]},"title":"Effectiveness of non-steroidal anti-inflammatory drugs among patients with primary hypertrophic osteoarthropathy: A systematic review | Read by QxMD","type":"webpage"},"uris":["http://www.mendeley.com/documents/?uuid=3c4361ee-42a0-3676-98fb-66c4eb8ca2a0"]}],"mendeley":{"formattedCitation":"(30)","plainTextFormattedCitation":"(30)","previouslyFormattedCitation":"(29)"},"properties":{"noteIndex":0},"schema":"https://github.com/citation-style-language/schema/raw/master/csl-citation.json"}</w:instrText>
      </w:r>
      <w:r>
        <w:rPr>
          <w:sz w:val="24"/>
          <w:szCs w:val="24"/>
        </w:rPr>
        <w:fldChar w:fldCharType="separate"/>
      </w:r>
      <w:r w:rsidRPr="0002412E">
        <w:rPr>
          <w:noProof/>
          <w:sz w:val="24"/>
          <w:szCs w:val="24"/>
        </w:rPr>
        <w:t>(30)</w:t>
      </w:r>
      <w:r>
        <w:rPr>
          <w:sz w:val="24"/>
          <w:szCs w:val="24"/>
        </w:rPr>
        <w:fldChar w:fldCharType="end"/>
      </w:r>
      <w:r>
        <w:rPr>
          <w:sz w:val="24"/>
          <w:szCs w:val="24"/>
        </w:rPr>
        <w:t xml:space="preserve">. </w:t>
      </w:r>
      <w:r w:rsidRPr="00796C97">
        <w:rPr>
          <w:sz w:val="24"/>
          <w:szCs w:val="24"/>
        </w:rPr>
        <w:t>Retinoids</w:t>
      </w:r>
      <w:r>
        <w:rPr>
          <w:sz w:val="24"/>
          <w:szCs w:val="24"/>
        </w:rPr>
        <w:t xml:space="preserve"> like </w:t>
      </w:r>
      <w:r w:rsidRPr="00796C97">
        <w:rPr>
          <w:sz w:val="24"/>
          <w:szCs w:val="24"/>
        </w:rPr>
        <w:t xml:space="preserve">Isotretinoin </w:t>
      </w:r>
      <w:r>
        <w:rPr>
          <w:sz w:val="24"/>
          <w:szCs w:val="24"/>
        </w:rPr>
        <w:t>improve</w:t>
      </w:r>
      <w:r w:rsidRPr="00796C97">
        <w:rPr>
          <w:sz w:val="24"/>
          <w:szCs w:val="24"/>
        </w:rPr>
        <w:t xml:space="preserve"> cosmetic features </w:t>
      </w:r>
      <w:r>
        <w:rPr>
          <w:sz w:val="24"/>
          <w:szCs w:val="24"/>
        </w:rPr>
        <w:t xml:space="preserve">of this disease </w:t>
      </w:r>
      <w:r w:rsidRPr="00796C97">
        <w:rPr>
          <w:sz w:val="24"/>
          <w:szCs w:val="24"/>
        </w:rPr>
        <w:t>by inducing apoptosis within</w:t>
      </w:r>
      <w:r>
        <w:rPr>
          <w:sz w:val="24"/>
          <w:szCs w:val="24"/>
        </w:rPr>
        <w:t xml:space="preserve"> </w:t>
      </w:r>
      <w:r w:rsidRPr="00796C97">
        <w:rPr>
          <w:sz w:val="24"/>
          <w:szCs w:val="24"/>
        </w:rPr>
        <w:t xml:space="preserve">sebaceous glands </w:t>
      </w:r>
      <w:r>
        <w:rPr>
          <w:sz w:val="24"/>
          <w:szCs w:val="24"/>
        </w:rPr>
        <w:t xml:space="preserve">and </w:t>
      </w:r>
      <w:r w:rsidRPr="00796C97">
        <w:rPr>
          <w:sz w:val="24"/>
          <w:szCs w:val="24"/>
        </w:rPr>
        <w:t>also decreas</w:t>
      </w:r>
      <w:r>
        <w:rPr>
          <w:sz w:val="24"/>
          <w:szCs w:val="24"/>
        </w:rPr>
        <w:t xml:space="preserve">ing </w:t>
      </w:r>
      <w:r w:rsidRPr="00796C97">
        <w:rPr>
          <w:sz w:val="24"/>
          <w:szCs w:val="24"/>
        </w:rPr>
        <w:t>procollagen mRNA in fibroblasts</w:t>
      </w:r>
      <w:r>
        <w:rPr>
          <w:sz w:val="24"/>
          <w:szCs w:val="24"/>
        </w:rPr>
        <w:t xml:space="preserve"> </w:t>
      </w:r>
      <w:r>
        <w:rPr>
          <w:sz w:val="24"/>
          <w:szCs w:val="24"/>
        </w:rPr>
        <w:fldChar w:fldCharType="begin" w:fldLock="1"/>
      </w:r>
      <w:r>
        <w:rPr>
          <w:sz w:val="24"/>
          <w:szCs w:val="24"/>
        </w:rPr>
        <w:instrText>ADDIN CSL_CITATION {"citationItems":[{"id":"ITEM-1","itemData":{"DOI":"10.1007/S00296-008-0798-Y","ISSN":"1437-160X","PMID":"19050893","abstract":"Touraine Solente Gole syndrome, a relatively rare inherited disorder is epitomized by finger clubbing, skeletal changes and pachyderma. We report a typical case of complete pachydermoperiostosis in addition to a thick fissured tongue, a yet unrecognized association and discuss the social cum clinical relevance of identifying this relatively uncommon disorder. © 2008 Springer-Verlag.","author":[{"dropping-particle":"","family":"Athappan","given":"Ganesh","non-dropping-particle":"","parse-names":false,"suffix":""},{"dropping-particle":"","family":"Unnikrishnan","given":"Athira","non-dropping-particle":"","parse-names":false,"suffix":""},{"dropping-particle":"","family":"Chengat","given":"Vipindas","non-dropping-particle":"","parse-names":false,"suffix":""},{"dropping-particle":"","family":"Chandraprakasam","given":"Satish","non-dropping-particle":"","parse-names":false,"suffix":""},{"dropping-particle":"","family":"Arthanareeswaran","given":"Vinodhkumaradithya","non-dropping-particle":"","parse-names":false,"suffix":""},{"dropping-particle":"","family":"Muthukrishnan","given":"Srinivasan","non-dropping-particle":"","parse-names":false,"suffix":""},{"dropping-particle":"","family":"Ponniyah","given":"Thirumalaikolundusubramanian","non-dropping-particle":"","parse-names":false,"suffix":""}],"container-title":"Rheumatology international","id":"ITEM-1","issue":"9","issued":{"date-parts":[["2009","6"]]},"page":"1091-1093","publisher":"Rheumatol Int","title":"Touraine Solente Gole syndrome: the disease and associated tongue fissuring","type":"article-journal","volume":"29"},"uris":["http://www.mendeley.com/documents/?uuid=5b6d4e0a-c0ec-362f-abd5-4fe06dcd75cd"]}],"mendeley":{"formattedCitation":"(31)","plainTextFormattedCitation":"(31)","previouslyFormattedCitation":"(30)"},"properties":{"noteIndex":0},"schema":"https://github.com/citation-style-language/schema/raw/master/csl-citation.json"}</w:instrText>
      </w:r>
      <w:r>
        <w:rPr>
          <w:sz w:val="24"/>
          <w:szCs w:val="24"/>
        </w:rPr>
        <w:fldChar w:fldCharType="separate"/>
      </w:r>
      <w:r w:rsidRPr="0002412E">
        <w:rPr>
          <w:noProof/>
          <w:sz w:val="24"/>
          <w:szCs w:val="24"/>
        </w:rPr>
        <w:t>(31)</w:t>
      </w:r>
      <w:r>
        <w:rPr>
          <w:sz w:val="24"/>
          <w:szCs w:val="24"/>
        </w:rPr>
        <w:fldChar w:fldCharType="end"/>
      </w:r>
      <w:r>
        <w:rPr>
          <w:sz w:val="24"/>
          <w:szCs w:val="24"/>
        </w:rPr>
        <w:fldChar w:fldCharType="begin" w:fldLock="1"/>
      </w:r>
      <w:r>
        <w:rPr>
          <w:sz w:val="24"/>
          <w:szCs w:val="24"/>
        </w:rPr>
        <w:instrText>ADDIN CSL_CITATION {"citationItems":[{"id":"ITEM-1","itemData":{"DOI":"10.3349/YMJ.1988.29.2.204","ISSN":"0513-5796","PMID":"3064439","abstract":"A 22-year-old male patient presented with typical features of pachydermoperiostosis. Thickening and oiliness of the facial skin, clubbing of the fingers, and hyperhidrosis of the palms and soles were the most prominent features. Osteosclerosis and hypertrophic osteoarthropathy were present in the bones of the hands, feet and tibia. We administered isotretinoin with the rationale that the drug inhibits sebum and collagen production. The patient was quite satisfied with the reduction of facial oiliness.","author":[{"dropping-particle":"","family":"Park","given":"Y. K.","non-dropping-particle":"","parse-names":false,"suffix":""},{"dropping-particle":"","family":"Kim","given":"H. J.","non-dropping-particle":"","parse-names":false,"suffix":""},{"dropping-particle":"","family":"Chung","given":"K. Y.","non-dropping-particle":"","parse-names":false,"suffix":""}],"container-title":"Yonsei medical journal","id":"ITEM-1","issue":"2","issued":{"date-parts":[["1988"]]},"page":"204-207","publisher":"Yonsei Med J","title":"Pachydermoperiostosis: trial with isotretinoin","type":"article-journal","volume":"29"},"uris":["http://www.mendeley.com/documents/?uuid=d319c609-52a9-35fa-bfac-0d0cd857b2bb"]}],"mendeley":{"formattedCitation":"(32)","plainTextFormattedCitation":"(32)","previouslyFormattedCitation":"(31)"},"properties":{"noteIndex":0},"schema":"https://github.com/citation-style-language/schema/raw/master/csl-citation.json"}</w:instrText>
      </w:r>
      <w:r>
        <w:rPr>
          <w:sz w:val="24"/>
          <w:szCs w:val="24"/>
        </w:rPr>
        <w:fldChar w:fldCharType="separate"/>
      </w:r>
      <w:r w:rsidRPr="0002412E">
        <w:rPr>
          <w:noProof/>
          <w:sz w:val="24"/>
          <w:szCs w:val="24"/>
        </w:rPr>
        <w:t>(32)</w:t>
      </w:r>
      <w:r>
        <w:rPr>
          <w:sz w:val="24"/>
          <w:szCs w:val="24"/>
        </w:rPr>
        <w:fldChar w:fldCharType="end"/>
      </w:r>
      <w:r>
        <w:rPr>
          <w:sz w:val="24"/>
          <w:szCs w:val="24"/>
        </w:rPr>
        <w:t xml:space="preserve">. Also, </w:t>
      </w:r>
      <w:r w:rsidRPr="00796C97">
        <w:rPr>
          <w:sz w:val="24"/>
          <w:szCs w:val="24"/>
        </w:rPr>
        <w:t>Colchicine</w:t>
      </w:r>
      <w:r>
        <w:rPr>
          <w:sz w:val="24"/>
          <w:szCs w:val="24"/>
        </w:rPr>
        <w:t xml:space="preserve"> gives a beneficial therapeutic response and improves</w:t>
      </w:r>
      <w:r w:rsidRPr="00796C97">
        <w:rPr>
          <w:sz w:val="24"/>
          <w:szCs w:val="24"/>
        </w:rPr>
        <w:t xml:space="preserve"> skin manifestations</w:t>
      </w:r>
      <w:r>
        <w:rPr>
          <w:sz w:val="24"/>
          <w:szCs w:val="24"/>
        </w:rPr>
        <w:t xml:space="preserve"> by reducing chemotactic activity and tissue edema </w:t>
      </w:r>
      <w:r>
        <w:rPr>
          <w:sz w:val="24"/>
          <w:szCs w:val="24"/>
        </w:rPr>
        <w:fldChar w:fldCharType="begin" w:fldLock="1"/>
      </w:r>
      <w:r>
        <w:rPr>
          <w:sz w:val="24"/>
          <w:szCs w:val="24"/>
        </w:rPr>
        <w:instrText>ADDIN CSL_CITATION {"citationItems":[{"id":"ITEM-1","itemData":{"DOI":"10.1007/BF00270458","ISSN":"0172-8172","PMID":"3187331","abstract":"We report a case of pachydermoperiostosis with arthralgia, acroosteolysis, and recurrent staphilococcal folliculitis of the face, treated with colchicine (0.5 mg once daily for the 1st week and 0.5 mg twice daily for the next 3 weeks). The evaluation of arthralgia, hyponchial angle, folliculitis, and pachyderma, performed at basal time and once weekly, showed improvement of symptoms and signs after 7-15 days of treatment. Neutrophilic chemotaxis, evaluated before starting the treatment and after 15 and 30 days of therapy, showed a progressive decrease of the initial very high index. Colchicine provided a beneficial therapeutic response in both inhibiting increased chemotactic activity and in reducing tissular oedema in our patient. © 1988 Springer-Verlag.","author":[{"dropping-particle":"","family":"Matucci-Cerinic","given":"M.","non-dropping-particle":"","parse-names":false,"suffix":""},{"dropping-particle":"","family":"Fattorini","given":"L.","non-dropping-particle":"","parse-names":false,"suffix":""},{"dropping-particle":"","family":"Gerini","given":"G.","non-dropping-particle":"","parse-names":false,"suffix":""},{"dropping-particle":"","family":"Lombardi","given":"A.","non-dropping-particle":"","parse-names":false,"suffix":""},{"dropping-particle":"","family":"Pignone","given":"A.","non-dropping-particle":"","parse-names":false,"suffix":""},{"dropping-particle":"","family":"Petrini","given":"N.","non-dropping-particle":"","parse-names":false,"suffix":""},{"dropping-particle":"","family":"Lotti","given":"T.","non-dropping-particle":"","parse-names":false,"suffix":""}],"container-title":"Rheumatology international","id":"ITEM-1","issue":"4","issued":{"date-parts":[["1988","8"]]},"page":"185-188","publisher":"Rheumatol Int","title":"Colchicine treatment in a case of pachydermoperiostosis with acroosteolysis","type":"article-journal","volume":"8"},"uris":["http://www.mendeley.com/documents/?uuid=2cd7828f-fb22-3355-a15c-d1a0b71bd307"]}],"mendeley":{"formattedCitation":"(33)","plainTextFormattedCitation":"(33)","previouslyFormattedCitation":"(32)"},"properties":{"noteIndex":0},"schema":"https://github.com/citation-style-language/schema/raw/master/csl-citation.json"}</w:instrText>
      </w:r>
      <w:r>
        <w:rPr>
          <w:sz w:val="24"/>
          <w:szCs w:val="24"/>
        </w:rPr>
        <w:fldChar w:fldCharType="separate"/>
      </w:r>
      <w:r w:rsidRPr="0002412E">
        <w:rPr>
          <w:noProof/>
          <w:sz w:val="24"/>
          <w:szCs w:val="24"/>
        </w:rPr>
        <w:t>(33)</w:t>
      </w:r>
      <w:r>
        <w:rPr>
          <w:sz w:val="24"/>
          <w:szCs w:val="24"/>
        </w:rPr>
        <w:fldChar w:fldCharType="end"/>
      </w:r>
      <w:r>
        <w:rPr>
          <w:sz w:val="24"/>
          <w:szCs w:val="24"/>
        </w:rPr>
        <w:t xml:space="preserve">, and injection of Botulinum toxin type A (BTX-A) may provide temporary cosmetic improvement for leonine facies </w:t>
      </w:r>
      <w:r>
        <w:rPr>
          <w:sz w:val="24"/>
          <w:szCs w:val="24"/>
        </w:rPr>
        <w:fldChar w:fldCharType="begin" w:fldLock="1"/>
      </w:r>
      <w:r>
        <w:rPr>
          <w:sz w:val="24"/>
          <w:szCs w:val="24"/>
        </w:rPr>
        <w:instrText>ADDIN CSL_CITATION {"citationItems":[{"id":"ITEM-1","itemData":{"URL":"https://read.qxmd.com/read/20933299/treatment-of-pachydermoperiostosis-pachydermia-with-botulinum-toxin-type-a","accessed":{"date-parts":[["2022","2","18"]]},"id":"ITEM-1","issued":{"date-parts":[["0"]]},"title":"Treatment of pachydermoperiostosis pachydermia with botulinum toxin type A | Read by QxMD","type":"webpage"},"uris":["http://www.mendeley.com/documents/?uuid=2d31705d-61c0-3e7a-b763-4876a5dfa6cb"]}],"mendeley":{"formattedCitation":"(34)","plainTextFormattedCitation":"(34)","previouslyFormattedCitation":"(33)"},"properties":{"noteIndex":0},"schema":"https://github.com/citation-style-language/schema/raw/master/csl-citation.json"}</w:instrText>
      </w:r>
      <w:r>
        <w:rPr>
          <w:sz w:val="24"/>
          <w:szCs w:val="24"/>
        </w:rPr>
        <w:fldChar w:fldCharType="separate"/>
      </w:r>
      <w:r w:rsidRPr="0002412E">
        <w:rPr>
          <w:noProof/>
          <w:sz w:val="24"/>
          <w:szCs w:val="24"/>
        </w:rPr>
        <w:t>(34)</w:t>
      </w:r>
      <w:r>
        <w:rPr>
          <w:sz w:val="24"/>
          <w:szCs w:val="24"/>
        </w:rPr>
        <w:fldChar w:fldCharType="end"/>
      </w:r>
      <w:r>
        <w:rPr>
          <w:sz w:val="24"/>
          <w:szCs w:val="24"/>
        </w:rPr>
        <w:t xml:space="preserve">. </w:t>
      </w:r>
    </w:p>
    <w:p w14:paraId="26438257" w14:textId="77777777" w:rsidR="00A7791B" w:rsidRPr="00571378" w:rsidRDefault="00A7791B" w:rsidP="00A7791B">
      <w:pPr>
        <w:jc w:val="both"/>
        <w:rPr>
          <w:sz w:val="24"/>
          <w:szCs w:val="24"/>
        </w:rPr>
      </w:pPr>
      <w:r>
        <w:rPr>
          <w:sz w:val="24"/>
          <w:szCs w:val="24"/>
        </w:rPr>
        <w:t xml:space="preserve">It has been experienced that arthroscopic synovectomy help to reduce the joint swelling in patients with marked joint effusion or recurrent arthritis symptoms </w:t>
      </w:r>
      <w:r>
        <w:rPr>
          <w:sz w:val="24"/>
          <w:szCs w:val="24"/>
        </w:rPr>
        <w:fldChar w:fldCharType="begin" w:fldLock="1"/>
      </w:r>
      <w:r>
        <w:rPr>
          <w:sz w:val="24"/>
          <w:szCs w:val="24"/>
        </w:rPr>
        <w:instrText>ADDIN CSL_CITATION {"citationItems":[{"id":"ITEM-1","itemData":{"DOI":"10.1007/S10165-007-0585-8","ISSN":"1439-7595","PMID":"17694269","abstract":"Pachydermoperiostosis (PDP) is a rare hereditary disorder characterized by pachydermia, digital clubbing, and periosteal hypertrophy. Here, we report a case of PDP showing symptoms consistent with arthritis, which was treated by oral administration of risedronate sodium and arthroscopic synovectomy. © Japan College of Rheumatology 2007.","author":[{"dropping-particle":"","family":"Jojima","given":"Hiroshi","non-dropping-particle":"","parse-names":false,"suffix":""},{"dropping-particle":"","family":"Kinoshita","given":"Koichi","non-dropping-particle":"","parse-names":false,"suffix":""},{"dropping-particle":"","family":"Naito","given":"Masatoshi","non-dropping-particle":"","parse-names":false,"suffix":""}],"container-title":"Modern rheumatology","id":"ITEM-1","issue":"4","issued":{"date-parts":[["2007","8"]]},"page":"330-332","publisher":"Mod Rheumatol","title":"A case of pachydermoperiostosis treated by oral administration of a bisphosphonate and arthroscopic synovectomy","type":"article-journal","volume":"17"},"uris":["http://www.mendeley.com/documents/?uuid=1ceb1773-2b2a-3be9-b2e0-2c19adf2b16f"]},{"id":"ITEM-2","itemData":{"DOI":"10.4081/reumatismo.2013.74","ISSN":"00487449","PMID":"23877413","abstract":"Pachydermoperiostosis as the primary form of hypertrophic osteoarthropathy is a rare hereditary disorder with a number of characteristic findings, e.g. periosteal hypertrophy, digital clubbing and pachydermia. Further typical symptoms include arthritic manifestations in all major joints. Literature review showed that therapeutical approaches usually focus on medical therapy alleviating chronic polyarthritis by controlling inflammation. In the case presented in this report anti-inflammatory therapy appeared to have been insufficient since knee arthritis persisted. Arthroscopic synovectomy and radiosynoviorthesis were performed consecutively. Postoperative and follow-up examinations indicate that this combined therapy reduces pain, increases range of motion and improves overall mobility, and is thus of lasting benefit to the patient.","author":[{"dropping-particle":"","family":"Warwas","given":"Sebastian","non-dropping-particle":"","parse-names":false,"suffix":""},{"dropping-particle":"","family":"Specker","given":"C.","non-dropping-particle":"","parse-names":false,"suffix":""},{"dropping-particle":"","family":"Jäger","given":"M.","non-dropping-particle":"","parse-names":false,"suffix":""},{"dropping-particle":"","family":"Landgraeber","given":"S.","non-dropping-particle":"","parse-names":false,"suffix":""}],"container-title":"Reumatismo","id":"ITEM-2","issue":"2","issued":{"date-parts":[["2013"]]},"page":"74-77","title":"Arthroscopic synovectomy and radiosynoviorthesis: A treatment option for recurrent arthritis symptoms in patients with pachydermoperiostosis","type":"article-journal","volume":"65"},"uris":["http://www.mendeley.com/documents/?uuid=d0804125-3347-3373-9512-cdbac40c5532"]}],"mendeley":{"formattedCitation":"(35,36)","plainTextFormattedCitation":"(35,36)","previouslyFormattedCitation":"(34,35)"},"properties":{"noteIndex":0},"schema":"https://github.com/citation-style-language/schema/raw/master/csl-citation.json"}</w:instrText>
      </w:r>
      <w:r>
        <w:rPr>
          <w:sz w:val="24"/>
          <w:szCs w:val="24"/>
        </w:rPr>
        <w:fldChar w:fldCharType="separate"/>
      </w:r>
      <w:r w:rsidRPr="0002412E">
        <w:rPr>
          <w:noProof/>
          <w:sz w:val="24"/>
          <w:szCs w:val="24"/>
        </w:rPr>
        <w:t>(35,36)</w:t>
      </w:r>
      <w:r>
        <w:rPr>
          <w:sz w:val="24"/>
          <w:szCs w:val="24"/>
        </w:rPr>
        <w:fldChar w:fldCharType="end"/>
      </w:r>
      <w:r>
        <w:rPr>
          <w:sz w:val="24"/>
          <w:szCs w:val="24"/>
        </w:rPr>
        <w:t xml:space="preserve">, but not much therapeutic benefit is experienced for arthralgia </w:t>
      </w:r>
      <w:r>
        <w:rPr>
          <w:sz w:val="24"/>
          <w:szCs w:val="24"/>
        </w:rPr>
        <w:fldChar w:fldCharType="begin" w:fldLock="1"/>
      </w:r>
      <w:r>
        <w:rPr>
          <w:sz w:val="24"/>
          <w:szCs w:val="24"/>
        </w:rPr>
        <w:instrText>ADDIN CSL_CITATION {"citationItems":[{"id":"ITEM-1","itemData":{"DOI":"10.1097/MD.0000000000008865","ISSN":"15365964","PMID":"29382005","abstract":"Rationale: Pachydermoperiostosis (PDP) is a rare hereditary disorder that affects the skin and bones. PDP is characterized by periostosis, digital clubbing, and pachydermia. Previous studies demonstrated that increased prostaglandin E2 (PGE2) levels resulting from defective protein degradation pathways play a crucial role in PDP pathogenesis, and males were more commonly and severely affected than females. Moreover, nearly all PDP patients suffer from refractory arthralgia. Although several different treatment modalities are used for PDP, therapy for this disease remains challenging. Patients concerns: Two cases of PDP showing symptoms consistent with polyarthritis and arthralgia that mainly affected the knees and ankles. Diagnoses: The diagnostic criteria for PDP include digital clubbing, periostosis, and pachydermia. The 2 patients were diagnosed as PDP based on the finger clubbing, facial cutis furrowing, knee and ankle arthritis, and radiographic evidence of periosteal proliferation. Interventions: Patient 1 had massive joint effusion that was treated by oral administration of etoricoxib and aescin combined with arthroscopic synovectomy, whereas Patient 2 had mild joint swelling and accepted only oral medication. Outcomes: Clinical symptoms of the 2 patients greatly improved after the treatment. During the 1-year follow-up, the patient experienced no adverse effects or recurrence. Lessons: The therapeutic results showed that oral etoricoxib could reduce inflammation and retard progression of pachydermia, or even relieve facial skin furrowing, but had limited efficacy for arthralgia. However, oral aescin had satisfactory efficacy for arthralgia. Thus, etoricoxib combined with aescin is a safe and effective treatment for PDP. Meanwhile, arthroscopic synovectomy can be used to treat joint effusion, but had no therapeutic effect on arthralgia. Therefore, postoperative oral medications would be needed as subsequent therapy for joint problems. In conclusion, this study proposes an effective and safe treatment plan to address symptoms experienced by PDP patients.","author":[{"dropping-particle":"","family":"Zhang","given":"Hengyan","non-dropping-particle":"","parse-names":false,"suffix":""},{"dropping-particle":"","family":"Yang","given":"Bo","non-dropping-particle":"","parse-names":false,"suffix":""}],"container-title":"Medicine (United States)","id":"ITEM-1","issue":"47","issued":{"date-parts":[["2017","11","1"]]},"publisher":"Lippincott Williams and Wilkins","title":"Successful treatment of pachydermoperiostosis patients with etoricoxib, aescin, and arthroscopic synovectomy","type":"article-journal","volume":"96"},"uris":["http://www.mendeley.com/documents/?uuid=c17cf600-8b55-36f3-96b9-98d7172fce38"]}],"mendeley":{"formattedCitation":"(37)","plainTextFormattedCitation":"(37)","previouslyFormattedCitation":"(36)"},"properties":{"noteIndex":0},"schema":"https://github.com/citation-style-language/schema/raw/master/csl-citation.json"}</w:instrText>
      </w:r>
      <w:r>
        <w:rPr>
          <w:sz w:val="24"/>
          <w:szCs w:val="24"/>
        </w:rPr>
        <w:fldChar w:fldCharType="separate"/>
      </w:r>
      <w:r w:rsidRPr="0002412E">
        <w:rPr>
          <w:noProof/>
          <w:sz w:val="24"/>
          <w:szCs w:val="24"/>
        </w:rPr>
        <w:t>(37)</w:t>
      </w:r>
      <w:r>
        <w:rPr>
          <w:sz w:val="24"/>
          <w:szCs w:val="24"/>
        </w:rPr>
        <w:fldChar w:fldCharType="end"/>
      </w:r>
      <w:r>
        <w:rPr>
          <w:sz w:val="24"/>
          <w:szCs w:val="24"/>
        </w:rPr>
        <w:t xml:space="preserve">. </w:t>
      </w:r>
      <w:r w:rsidRPr="00071EE4">
        <w:rPr>
          <w:sz w:val="24"/>
          <w:szCs w:val="24"/>
          <w:lang w:val="en-NP"/>
        </w:rPr>
        <w:t>Bisphosphonates</w:t>
      </w:r>
      <w:r>
        <w:rPr>
          <w:sz w:val="24"/>
          <w:szCs w:val="24"/>
        </w:rPr>
        <w:t xml:space="preserve"> </w:t>
      </w:r>
      <w:r w:rsidRPr="00071EE4">
        <w:rPr>
          <w:sz w:val="24"/>
          <w:szCs w:val="24"/>
          <w:lang w:val="en-NP"/>
        </w:rPr>
        <w:t>like</w:t>
      </w:r>
      <w:r>
        <w:rPr>
          <w:sz w:val="24"/>
          <w:szCs w:val="24"/>
        </w:rPr>
        <w:t xml:space="preserve"> </w:t>
      </w:r>
      <w:r w:rsidRPr="00071EE4">
        <w:rPr>
          <w:sz w:val="24"/>
          <w:szCs w:val="24"/>
          <w:lang w:val="en-NP"/>
        </w:rPr>
        <w:t>pamidronate</w:t>
      </w:r>
      <w:r>
        <w:rPr>
          <w:sz w:val="24"/>
          <w:szCs w:val="24"/>
        </w:rPr>
        <w:t xml:space="preserve"> </w:t>
      </w:r>
      <w:r w:rsidRPr="00071EE4">
        <w:rPr>
          <w:sz w:val="24"/>
          <w:szCs w:val="24"/>
          <w:lang w:val="en-NP"/>
        </w:rPr>
        <w:t>or</w:t>
      </w:r>
      <w:r>
        <w:rPr>
          <w:sz w:val="24"/>
          <w:szCs w:val="24"/>
        </w:rPr>
        <w:t xml:space="preserve"> </w:t>
      </w:r>
      <w:r w:rsidRPr="00071EE4">
        <w:rPr>
          <w:sz w:val="24"/>
          <w:szCs w:val="24"/>
          <w:lang w:val="en-NP"/>
        </w:rPr>
        <w:t>risedronate</w:t>
      </w:r>
      <w:r>
        <w:rPr>
          <w:sz w:val="24"/>
          <w:szCs w:val="24"/>
        </w:rPr>
        <w:t xml:space="preserve"> </w:t>
      </w:r>
      <w:r w:rsidRPr="00071EE4">
        <w:rPr>
          <w:sz w:val="24"/>
          <w:szCs w:val="24"/>
          <w:lang w:val="en-NP"/>
        </w:rPr>
        <w:t xml:space="preserve">have been </w:t>
      </w:r>
      <w:r>
        <w:rPr>
          <w:sz w:val="24"/>
          <w:szCs w:val="24"/>
        </w:rPr>
        <w:t xml:space="preserve">reported effective for joint symptoms </w:t>
      </w:r>
      <w:r w:rsidRPr="00071EE4">
        <w:rPr>
          <w:sz w:val="24"/>
          <w:szCs w:val="24"/>
          <w:lang w:val="en-NP"/>
        </w:rPr>
        <w:t xml:space="preserve">due to antiresorptive and osteoclast inhibitory </w:t>
      </w:r>
      <w:r>
        <w:rPr>
          <w:sz w:val="24"/>
          <w:szCs w:val="24"/>
          <w:lang w:val="en-NP"/>
        </w:rPr>
        <w:t>propert</w:t>
      </w:r>
      <w:proofErr w:type="spellStart"/>
      <w:r>
        <w:rPr>
          <w:sz w:val="24"/>
          <w:szCs w:val="24"/>
        </w:rPr>
        <w:t>ies</w:t>
      </w:r>
      <w:proofErr w:type="spellEnd"/>
      <w:r>
        <w:rPr>
          <w:sz w:val="24"/>
          <w:szCs w:val="24"/>
        </w:rPr>
        <w:t xml:space="preserve"> </w:t>
      </w:r>
      <w:r>
        <w:rPr>
          <w:sz w:val="24"/>
          <w:szCs w:val="24"/>
        </w:rPr>
        <w:fldChar w:fldCharType="begin" w:fldLock="1"/>
      </w:r>
      <w:r>
        <w:rPr>
          <w:sz w:val="24"/>
          <w:szCs w:val="24"/>
        </w:rPr>
        <w:instrText>ADDIN CSL_CITATION {"citationItems":[{"id":"ITEM-1","itemData":{"URL":"https://pubmed.ncbi.nlm.nih.gov/16944626/","accessed":{"date-parts":[["2022","2","18"]]},"id":"ITEM-1","issued":{"date-parts":[["0"]]},"title":"Pachydermoperiostitis and bisphosphonates - PubMed","type":"webpage"},"uris":["http://www.mendeley.com/documents/?uuid=fc73f496-d118-3959-bf6b-adaf9576239f"]},{"id":"ITEM-2","itemData":{"DOI":"10.1007/S10165-007-0585-8","ISSN":"1439-7595","PMID":"17694269","abstract":"Pachydermoperiostosis (PDP) is a rare hereditary disorder characterized by pachydermia, digital clubbing, and periosteal hypertrophy. Here, we report a case of PDP showing symptoms consistent with arthritis, which was treated by oral administration of risedronate sodium and arthroscopic synovectomy. © Japan College of Rheumatology 2007.","author":[{"dropping-particle":"","family":"Jojima","given":"Hiroshi","non-dropping-particle":"","parse-names":false,"suffix":""},{"dropping-particle":"","family":"Kinoshita","given":"Koichi","non-dropping-particle":"","parse-names":false,"suffix":""},{"dropping-particle":"","family":"Naito","given":"Masatoshi","non-dropping-particle":"","parse-names":false,"suffix":""}],"container-title":"Modern rheumatology","id":"ITEM-2","issue":"4","issued":{"date-parts":[["2007","8"]]},"page":"330-332","publisher":"Mod Rheumatol","title":"A case of pachydermoperiostosis treated by oral administration of a bisphosphonate and arthroscopic synovectomy","type":"article-journal","volume":"17"},"uris":["http://www.mendeley.com/documents/?uuid=1ceb1773-2b2a-3be9-b2e0-2c19adf2b16f"]}],"mendeley":{"formattedCitation":"(35,38)","plainTextFormattedCitation":"(35,38)","previouslyFormattedCitation":"(34,37)"},"properties":{"noteIndex":0},"schema":"https://github.com/citation-style-language/schema/raw/master/csl-citation.json"}</w:instrText>
      </w:r>
      <w:r>
        <w:rPr>
          <w:sz w:val="24"/>
          <w:szCs w:val="24"/>
        </w:rPr>
        <w:fldChar w:fldCharType="separate"/>
      </w:r>
      <w:r w:rsidRPr="0002412E">
        <w:rPr>
          <w:noProof/>
          <w:sz w:val="24"/>
          <w:szCs w:val="24"/>
        </w:rPr>
        <w:t>(35,38)</w:t>
      </w:r>
      <w:r>
        <w:rPr>
          <w:sz w:val="24"/>
          <w:szCs w:val="24"/>
        </w:rPr>
        <w:fldChar w:fldCharType="end"/>
      </w:r>
      <w:r>
        <w:rPr>
          <w:sz w:val="24"/>
          <w:szCs w:val="24"/>
        </w:rPr>
        <w:t xml:space="preserve">. Studies have reported the significant role of Etoricoxib, a selective cyclooxygenase-2 inhibitor,  in relieving or retarding pachydermia progression and also improvement of clubbing and joint swelling </w:t>
      </w:r>
      <w:r>
        <w:rPr>
          <w:sz w:val="24"/>
          <w:szCs w:val="24"/>
        </w:rPr>
        <w:fldChar w:fldCharType="begin" w:fldLock="1"/>
      </w:r>
      <w:r>
        <w:rPr>
          <w:sz w:val="24"/>
          <w:szCs w:val="24"/>
        </w:rPr>
        <w:instrText>ADDIN CSL_CITATION {"citationItems":[{"id":"ITEM-1","itemData":{"DOI":"10.1097/MD.0000000000008865","ISSN":"15365964","PMID":"29382005","abstract":"Rationale: Pachydermoperiostosis (PDP) is a rare hereditary disorder that affects the skin and bones. PDP is characterized by periostosis, digital clubbing, and pachydermia. Previous studies demonstrated that increased prostaglandin E2 (PGE2) levels resulting from defective protein degradation pathways play a crucial role in PDP pathogenesis, and males were more commonly and severely affected than females. Moreover, nearly all PDP patients suffer from refractory arthralgia. Although several different treatment modalities are used for PDP, therapy for this disease remains challenging. Patients concerns: Two cases of PDP showing symptoms consistent with polyarthritis and arthralgia that mainly affected the knees and ankles. Diagnoses: The diagnostic criteria for PDP include digital clubbing, periostosis, and pachydermia. The 2 patients were diagnosed as PDP based on the finger clubbing, facial cutis furrowing, knee and ankle arthritis, and radiographic evidence of periosteal proliferation. Interventions: Patient 1 had massive joint effusion that was treated by oral administration of etoricoxib and aescin combined with arthroscopic synovectomy, whereas Patient 2 had mild joint swelling and accepted only oral medication. Outcomes: Clinical symptoms of the 2 patients greatly improved after the treatment. During the 1-year follow-up, the patient experienced no adverse effects or recurrence. Lessons: The therapeutic results showed that oral etoricoxib could reduce inflammation and retard progression of pachydermia, or even relieve facial skin furrowing, but had limited efficacy for arthralgia. However, oral aescin had satisfactory efficacy for arthralgia. Thus, etoricoxib combined with aescin is a safe and effective treatment for PDP. Meanwhile, arthroscopic synovectomy can be used to treat joint effusion, but had no therapeutic effect on arthralgia. Therefore, postoperative oral medications would be needed as subsequent therapy for joint problems. In conclusion, this study proposes an effective and safe treatment plan to address symptoms experienced by PDP patients.","author":[{"dropping-particle":"","family":"Zhang","given":"Hengyan","non-dropping-particle":"","parse-names":false,"suffix":""},{"dropping-particle":"","family":"Yang","given":"Bo","non-dropping-particle":"","parse-names":false,"suffix":""}],"container-title":"Medicine (United States)","id":"ITEM-1","issue":"47","issued":{"date-parts":[["2017","11","1"]]},"publisher":"Lippincott Williams and Wilkins","title":"Successful treatment of pachydermoperiostosis patients with etoricoxib, aescin, and arthroscopic synovectomy","type":"article-journal","volume":"96"},"uris":["http://www.mendeley.com/documents/?uuid=c17cf600-8b55-36f3-96b9-98d7172fce38"]},{"id":"ITEM-2","itemData":{"DOI":"10.1002/jbmr.3157","abstract":"Primary hypertrophic osteoarthropathy (PHO) is a rare inherited disease caused by genetic defects in the prostaglandin metabolism pathway; disturbed prostaglandin E 2 (PGE 2) catabolism resulting in increased PGE 2 level is suggested in the pathogenesis. Forty-three Han Chinese patients with PHO were studied and 41 of them were treated. Mutations in the HPGD gene, causing hypertrophic osteoarthropathy, primary, autosomal recessive 1 (PHOAR1; OMIM 259100), were identified in seven patients, and mutations in the SLCO2A1 gene, causing hypertrophic osteoarthropathy, primary, autosomal recessive 2 (PHOAR2; OMIM 614441), were identified in 36 patients. Clinical phenotypes of PHO varied, ranging from mild isolated finger clubbing to severe pachydermia and disabling joint swelling, even within families. Circulating PGE 2 metabolism features of PHOAR2 were different from those of PHOAR1. Different frequency and severity of pachydermia between the subgroups were also indicated. A percentage of PHOAR2 patients suffered from gastrointestinal hemorrhage, but this symptom was not observed in the PHOAR1 subgroup. Clinical evidence highlighted the essential role of sex hormones in prostaglandin transporter regulation with respect to PHOAR2 onset, although no significant associations of urinary PGE 2 or PGE-M with sex hormones were identified. Treatment with etoricoxib, a selective cyclooxygenase-2 inhibitor, was proved to be beneficial and safe. We detected its notable efficacy in decreasing urinary PGE 2 levels in the majority of the enrolled patients during 6 months of intervention; clinical phenotypes assessed, including pachydermia, finger clubbing, and joint swelling, were improved. We found no visible evidence of a positive effect of etoricoxib on periostosis; however, significant links between urinary PGE 2 and serum bone turnover markers indicated a potential role of decreased PGE 2 in periostosis management. This is the largest reported cohort of subjects genetically diagnosed with PHO. For the first time, we systematically investigated the biochemical and clinical differences between PHOAR1 and PHOAR2, and prospectively showed the positive efficacy and safety of etoricoxib for PHO patients.","author":[{"dropping-particle":"","family":"Li","given":"Shan-Shan","non-dropping-particle":"","parse-names":false,"suffix":""},{"dropping-particle":"","family":"He","given":"Jin-We","non-dropping-particle":"","parse-names":false,"suffix":""},{"dropping-particle":"","family":"Fu","given":"Wen-Zhen","non-dropping-particle":"","parse-names":false,"suffix":""},{"dropping-particle":"","family":"Liu","given":"Yu-Juan","non-dropping-particle":"","parse-names":false,"suffix":""},{"dropping-particle":"","family":"Hu","given":"Yun-Qiu","non-dropping-particle":"","parse-names":false,"suffix":""},{"dropping-particle":"","family":"Zhang","given":"Zhen-Lin","non-dropping-particle":"","parse-names":false,"suffix":""}],"id":"ITEM-2","issued":{"date-parts":[["2017"]]},"title":"Clinical, Biochemical, and Genetic Features of 41 Han Chinese Families With Primary Hypertrophic Osteoarthropathy, and Their Therapeutic Response to Etoricoxib: Results From a Six-Month Prospective Clinical Intervention","type":"article-journal"},"uris":["http://www.mendeley.com/documents/?uuid=81248eaa-238e-3af3-8800-333f1b936eff"]}],"mendeley":{"formattedCitation":"(37,39)","plainTextFormattedCitation":"(37,39)","previouslyFormattedCitation":"(36,38)"},"properties":{"noteIndex":0},"schema":"https://github.com/citation-style-language/schema/raw/master/csl-citation.json"}</w:instrText>
      </w:r>
      <w:r>
        <w:rPr>
          <w:sz w:val="24"/>
          <w:szCs w:val="24"/>
        </w:rPr>
        <w:fldChar w:fldCharType="separate"/>
      </w:r>
      <w:r w:rsidRPr="0002412E">
        <w:rPr>
          <w:noProof/>
          <w:sz w:val="24"/>
          <w:szCs w:val="24"/>
        </w:rPr>
        <w:t>(37,39)</w:t>
      </w:r>
      <w:r>
        <w:rPr>
          <w:sz w:val="24"/>
          <w:szCs w:val="24"/>
        </w:rPr>
        <w:fldChar w:fldCharType="end"/>
      </w:r>
      <w:r>
        <w:rPr>
          <w:sz w:val="24"/>
          <w:szCs w:val="24"/>
        </w:rPr>
        <w:t xml:space="preserve">. In our patient, Etoricoxib 60 mg per oral once daily was started considering its safety and efficacy profile. Follow-up was done in 3 months. Eye symptom was completely resolved with a significant improvement of </w:t>
      </w:r>
      <w:proofErr w:type="spellStart"/>
      <w:r>
        <w:rPr>
          <w:sz w:val="24"/>
          <w:szCs w:val="24"/>
        </w:rPr>
        <w:t>pachyderma</w:t>
      </w:r>
      <w:proofErr w:type="spellEnd"/>
      <w:r>
        <w:rPr>
          <w:sz w:val="24"/>
          <w:szCs w:val="24"/>
        </w:rPr>
        <w:t xml:space="preserve"> in the face and scalp, however, hyperhidrosis and arthralgia still persist.</w:t>
      </w:r>
    </w:p>
    <w:p w14:paraId="06EC0E8A" w14:textId="77777777" w:rsidR="00A7791B" w:rsidRDefault="00A7791B" w:rsidP="00A7791B">
      <w:pPr>
        <w:jc w:val="both"/>
        <w:rPr>
          <w:sz w:val="24"/>
          <w:szCs w:val="24"/>
          <w:u w:val="single"/>
        </w:rPr>
      </w:pPr>
    </w:p>
    <w:p w14:paraId="28F669D3" w14:textId="71764DC6" w:rsidR="00A7791B" w:rsidRPr="001A19B9" w:rsidRDefault="00A117AB" w:rsidP="00A7791B">
      <w:pPr>
        <w:jc w:val="both"/>
        <w:rPr>
          <w:b/>
          <w:bCs/>
          <w:sz w:val="24"/>
          <w:szCs w:val="24"/>
        </w:rPr>
      </w:pPr>
      <w:r w:rsidRPr="001A19B9">
        <w:rPr>
          <w:b/>
          <w:bCs/>
          <w:sz w:val="24"/>
          <w:szCs w:val="24"/>
          <w:u w:val="single"/>
        </w:rPr>
        <w:t>CONCLUSION</w:t>
      </w:r>
      <w:r w:rsidRPr="001A19B9">
        <w:rPr>
          <w:b/>
          <w:bCs/>
          <w:sz w:val="24"/>
          <w:szCs w:val="24"/>
        </w:rPr>
        <w:t>:</w:t>
      </w:r>
    </w:p>
    <w:p w14:paraId="10468525" w14:textId="77777777" w:rsidR="00A7791B" w:rsidRPr="004D6972" w:rsidRDefault="00A7791B" w:rsidP="00A7791B">
      <w:pPr>
        <w:jc w:val="both"/>
        <w:rPr>
          <w:sz w:val="24"/>
          <w:szCs w:val="24"/>
        </w:rPr>
      </w:pPr>
      <w:proofErr w:type="spellStart"/>
      <w:r w:rsidRPr="004D6972">
        <w:rPr>
          <w:sz w:val="24"/>
          <w:szCs w:val="24"/>
        </w:rPr>
        <w:t>Pachydermoperiostosis</w:t>
      </w:r>
      <w:proofErr w:type="spellEnd"/>
      <w:r w:rsidRPr="004D6972">
        <w:rPr>
          <w:sz w:val="24"/>
          <w:szCs w:val="24"/>
        </w:rPr>
        <w:t xml:space="preserve"> is a rare genetic condition with unclear pathogenesis. Our patient had a complete form of </w:t>
      </w:r>
      <w:proofErr w:type="spellStart"/>
      <w:r w:rsidRPr="004D6972">
        <w:rPr>
          <w:sz w:val="24"/>
          <w:szCs w:val="24"/>
        </w:rPr>
        <w:t>pachydermoperiostosis</w:t>
      </w:r>
      <w:proofErr w:type="spellEnd"/>
      <w:r w:rsidRPr="004D6972">
        <w:rPr>
          <w:sz w:val="24"/>
          <w:szCs w:val="24"/>
        </w:rPr>
        <w:t>,</w:t>
      </w:r>
      <w:r>
        <w:rPr>
          <w:sz w:val="24"/>
          <w:szCs w:val="24"/>
        </w:rPr>
        <w:t xml:space="preserve"> </w:t>
      </w:r>
      <w:r w:rsidRPr="004D6972">
        <w:rPr>
          <w:sz w:val="24"/>
          <w:szCs w:val="24"/>
        </w:rPr>
        <w:t xml:space="preserve">with typical radio-clinical features. The patient responded well to Etoricoxib therapy with significant improvement in </w:t>
      </w:r>
      <w:r>
        <w:rPr>
          <w:sz w:val="24"/>
          <w:szCs w:val="24"/>
        </w:rPr>
        <w:t xml:space="preserve">the </w:t>
      </w:r>
      <w:proofErr w:type="spellStart"/>
      <w:r w:rsidRPr="004D6972">
        <w:rPr>
          <w:sz w:val="24"/>
          <w:szCs w:val="24"/>
        </w:rPr>
        <w:t>pachyderma</w:t>
      </w:r>
      <w:proofErr w:type="spellEnd"/>
      <w:r w:rsidRPr="004D6972">
        <w:rPr>
          <w:sz w:val="24"/>
          <w:szCs w:val="24"/>
        </w:rPr>
        <w:t xml:space="preserve"> of the face and scalp. </w:t>
      </w:r>
      <w:r>
        <w:rPr>
          <w:sz w:val="24"/>
          <w:szCs w:val="24"/>
        </w:rPr>
        <w:t xml:space="preserve">Safety and efficacy over long-term use are yet to be determined in further studies. </w:t>
      </w:r>
    </w:p>
    <w:p w14:paraId="432B4EC8" w14:textId="4989CBC5" w:rsidR="00A47F39" w:rsidRDefault="00A47F39"/>
    <w:p w14:paraId="465B27C5" w14:textId="32119D4A" w:rsidR="00EF12CA" w:rsidRDefault="00EF12CA"/>
    <w:p w14:paraId="68CBE8DC" w14:textId="71B13CF9" w:rsidR="00EF12CA" w:rsidRDefault="00EF12CA"/>
    <w:p w14:paraId="377D22BB" w14:textId="56AA2697" w:rsidR="00EF12CA" w:rsidRDefault="00EF12CA"/>
    <w:p w14:paraId="589753B5" w14:textId="40733353" w:rsidR="00EF12CA" w:rsidRDefault="00EF12CA"/>
    <w:p w14:paraId="1E84D890" w14:textId="6974C4E2" w:rsidR="00EF12CA" w:rsidRDefault="00EF12CA"/>
    <w:p w14:paraId="3FB1F143" w14:textId="2881650B" w:rsidR="00EF12CA" w:rsidRDefault="00EF12CA"/>
    <w:p w14:paraId="070E1856" w14:textId="77777777" w:rsidR="00EF12CA" w:rsidRDefault="00EF12CA"/>
    <w:p w14:paraId="1E620F5E" w14:textId="77777777" w:rsidR="00FF2830" w:rsidRPr="00055553" w:rsidRDefault="00FF2830" w:rsidP="00FF2830">
      <w:pPr>
        <w:jc w:val="both"/>
        <w:rPr>
          <w:sz w:val="24"/>
          <w:szCs w:val="24"/>
          <w:u w:val="single"/>
        </w:rPr>
      </w:pPr>
      <w:r w:rsidRPr="00055553">
        <w:rPr>
          <w:sz w:val="24"/>
          <w:szCs w:val="24"/>
          <w:u w:val="single"/>
        </w:rPr>
        <w:lastRenderedPageBreak/>
        <w:t>References:</w:t>
      </w:r>
    </w:p>
    <w:p w14:paraId="32F44504" w14:textId="77777777" w:rsidR="00FF2830" w:rsidRPr="0002412E" w:rsidRDefault="00FF2830" w:rsidP="00FF2830">
      <w:pPr>
        <w:widowControl w:val="0"/>
        <w:autoSpaceDE w:val="0"/>
        <w:autoSpaceDN w:val="0"/>
        <w:adjustRightInd w:val="0"/>
        <w:spacing w:line="240" w:lineRule="auto"/>
        <w:ind w:left="640" w:hanging="640"/>
        <w:rPr>
          <w:rFonts w:ascii="Calibri" w:hAnsi="Calibri" w:cs="Calibri"/>
          <w:noProof/>
          <w:sz w:val="24"/>
        </w:rPr>
      </w:pPr>
      <w:r>
        <w:rPr>
          <w:sz w:val="24"/>
          <w:szCs w:val="24"/>
        </w:rPr>
        <w:fldChar w:fldCharType="begin" w:fldLock="1"/>
      </w:r>
      <w:r>
        <w:rPr>
          <w:sz w:val="24"/>
          <w:szCs w:val="24"/>
        </w:rPr>
        <w:instrText xml:space="preserve">ADDIN Mendeley Bibliography CSL_BIBLIOGRAPHY </w:instrText>
      </w:r>
      <w:r>
        <w:rPr>
          <w:sz w:val="24"/>
          <w:szCs w:val="24"/>
        </w:rPr>
        <w:fldChar w:fldCharType="separate"/>
      </w:r>
      <w:r w:rsidRPr="0002412E">
        <w:rPr>
          <w:rFonts w:ascii="Calibri" w:hAnsi="Calibri" w:cs="Calibri"/>
          <w:noProof/>
          <w:sz w:val="24"/>
        </w:rPr>
        <w:t xml:space="preserve">1. </w:t>
      </w:r>
      <w:r w:rsidRPr="0002412E">
        <w:rPr>
          <w:rFonts w:ascii="Calibri" w:hAnsi="Calibri" w:cs="Calibri"/>
          <w:noProof/>
          <w:sz w:val="24"/>
        </w:rPr>
        <w:tab/>
        <w:t>Honório MLP, Bezerra GH, Costa VL da C. Complete form of pachydermoperiostosis. An Bras Dermatol [Internet]. 2020 Jan 1 [cited 2022 Jan 30];95(1):98–101. Available from: https://pubmed.ncbi.nlm.nih.gov/31889594/</w:t>
      </w:r>
    </w:p>
    <w:p w14:paraId="60088950" w14:textId="77777777" w:rsidR="00FF2830" w:rsidRPr="0002412E" w:rsidRDefault="00FF2830" w:rsidP="00FF2830">
      <w:pPr>
        <w:widowControl w:val="0"/>
        <w:autoSpaceDE w:val="0"/>
        <w:autoSpaceDN w:val="0"/>
        <w:adjustRightInd w:val="0"/>
        <w:spacing w:line="240" w:lineRule="auto"/>
        <w:ind w:left="640" w:hanging="640"/>
        <w:rPr>
          <w:rFonts w:ascii="Calibri" w:hAnsi="Calibri" w:cs="Calibri"/>
          <w:noProof/>
          <w:sz w:val="24"/>
        </w:rPr>
      </w:pPr>
      <w:r w:rsidRPr="0002412E">
        <w:rPr>
          <w:rFonts w:ascii="Calibri" w:hAnsi="Calibri" w:cs="Calibri"/>
          <w:noProof/>
          <w:sz w:val="24"/>
        </w:rPr>
        <w:t xml:space="preserve">2. </w:t>
      </w:r>
      <w:r w:rsidRPr="0002412E">
        <w:rPr>
          <w:rFonts w:ascii="Calibri" w:hAnsi="Calibri" w:cs="Calibri"/>
          <w:noProof/>
          <w:sz w:val="24"/>
        </w:rPr>
        <w:tab/>
        <w:t>Castori M, Sinibaldi L, Mingarelli R, Lachman RS, Rimoin DL, Dallapiccola B. Pachydermoperiostosis: an update. Clin Genet [Internet]. 2005 Dec 1 [cited 2022 Jan 30];68(6):477–86. Available from: https://onlinelibrary.wiley.com/doi/full/10.1111/j.1399-0004.2005.00533.x</w:t>
      </w:r>
    </w:p>
    <w:p w14:paraId="42889A41" w14:textId="77777777" w:rsidR="00FF2830" w:rsidRPr="0002412E" w:rsidRDefault="00FF2830" w:rsidP="00FF2830">
      <w:pPr>
        <w:widowControl w:val="0"/>
        <w:autoSpaceDE w:val="0"/>
        <w:autoSpaceDN w:val="0"/>
        <w:adjustRightInd w:val="0"/>
        <w:spacing w:line="240" w:lineRule="auto"/>
        <w:ind w:left="640" w:hanging="640"/>
        <w:rPr>
          <w:rFonts w:ascii="Calibri" w:hAnsi="Calibri" w:cs="Calibri"/>
          <w:noProof/>
          <w:sz w:val="24"/>
        </w:rPr>
      </w:pPr>
      <w:r w:rsidRPr="0002412E">
        <w:rPr>
          <w:rFonts w:ascii="Calibri" w:hAnsi="Calibri" w:cs="Calibri"/>
          <w:noProof/>
          <w:sz w:val="24"/>
        </w:rPr>
        <w:t xml:space="preserve">3. </w:t>
      </w:r>
      <w:r w:rsidRPr="0002412E">
        <w:rPr>
          <w:rFonts w:ascii="Calibri" w:hAnsi="Calibri" w:cs="Calibri"/>
          <w:noProof/>
          <w:sz w:val="24"/>
        </w:rPr>
        <w:tab/>
        <w:t>Journal of the Association of Physicians of India - JAPI [Internet]. [cited 2022 Jan 30]. Available from: https://www.japi.org/w2e494/acromegaloidism-associated-with-pituitary-incidentaloma</w:t>
      </w:r>
    </w:p>
    <w:p w14:paraId="0D928170" w14:textId="77777777" w:rsidR="00FF2830" w:rsidRPr="0002412E" w:rsidRDefault="00FF2830" w:rsidP="00FF2830">
      <w:pPr>
        <w:widowControl w:val="0"/>
        <w:autoSpaceDE w:val="0"/>
        <w:autoSpaceDN w:val="0"/>
        <w:adjustRightInd w:val="0"/>
        <w:spacing w:line="240" w:lineRule="auto"/>
        <w:ind w:left="640" w:hanging="640"/>
        <w:rPr>
          <w:rFonts w:ascii="Calibri" w:hAnsi="Calibri" w:cs="Calibri"/>
          <w:noProof/>
          <w:sz w:val="24"/>
        </w:rPr>
      </w:pPr>
      <w:r w:rsidRPr="0002412E">
        <w:rPr>
          <w:rFonts w:ascii="Calibri" w:hAnsi="Calibri" w:cs="Calibri"/>
          <w:noProof/>
          <w:sz w:val="24"/>
        </w:rPr>
        <w:t xml:space="preserve">4. </w:t>
      </w:r>
      <w:r w:rsidRPr="0002412E">
        <w:rPr>
          <w:rFonts w:ascii="Calibri" w:hAnsi="Calibri" w:cs="Calibri"/>
          <w:noProof/>
          <w:sz w:val="24"/>
        </w:rPr>
        <w:tab/>
        <w:t>Auger DM, Stavrianeas N. Pachydermoperiostosis Member of The European Editorial Committee of Orphanet Encyclopedia. [cited 2022 Jan 31]; Available from: http://www.orpha.net/data/patho/GB/uk-pachydermoperiostosis.pdf</w:t>
      </w:r>
    </w:p>
    <w:p w14:paraId="487C66A6" w14:textId="77777777" w:rsidR="00FF2830" w:rsidRPr="0002412E" w:rsidRDefault="00FF2830" w:rsidP="00FF2830">
      <w:pPr>
        <w:widowControl w:val="0"/>
        <w:autoSpaceDE w:val="0"/>
        <w:autoSpaceDN w:val="0"/>
        <w:adjustRightInd w:val="0"/>
        <w:spacing w:line="240" w:lineRule="auto"/>
        <w:ind w:left="640" w:hanging="640"/>
        <w:rPr>
          <w:rFonts w:ascii="Calibri" w:hAnsi="Calibri" w:cs="Calibri"/>
          <w:noProof/>
          <w:sz w:val="24"/>
        </w:rPr>
      </w:pPr>
      <w:r w:rsidRPr="0002412E">
        <w:rPr>
          <w:rFonts w:ascii="Calibri" w:hAnsi="Calibri" w:cs="Calibri"/>
          <w:noProof/>
          <w:sz w:val="24"/>
        </w:rPr>
        <w:t xml:space="preserve">5. </w:t>
      </w:r>
      <w:r w:rsidRPr="0002412E">
        <w:rPr>
          <w:rFonts w:ascii="Calibri" w:hAnsi="Calibri" w:cs="Calibri"/>
          <w:noProof/>
          <w:sz w:val="24"/>
        </w:rPr>
        <w:tab/>
        <w:t>TOURAINE, A. Un syndrome osteodermopathique : la pachydermie plicaturee avec pachyperiostose des extremites. Press Med [Internet]. 1935 [cited 2022 Jan 30];43:1820–4. Available from: https://ci.nii.ac.jp/naid/10015488448</w:t>
      </w:r>
    </w:p>
    <w:p w14:paraId="677ADAA6" w14:textId="77777777" w:rsidR="00FF2830" w:rsidRPr="0002412E" w:rsidRDefault="00FF2830" w:rsidP="00FF2830">
      <w:pPr>
        <w:widowControl w:val="0"/>
        <w:autoSpaceDE w:val="0"/>
        <w:autoSpaceDN w:val="0"/>
        <w:adjustRightInd w:val="0"/>
        <w:spacing w:line="240" w:lineRule="auto"/>
        <w:ind w:left="640" w:hanging="640"/>
        <w:rPr>
          <w:rFonts w:ascii="Calibri" w:hAnsi="Calibri" w:cs="Calibri"/>
          <w:noProof/>
          <w:sz w:val="24"/>
        </w:rPr>
      </w:pPr>
      <w:r w:rsidRPr="0002412E">
        <w:rPr>
          <w:rFonts w:ascii="Calibri" w:hAnsi="Calibri" w:cs="Calibri"/>
          <w:noProof/>
          <w:sz w:val="24"/>
        </w:rPr>
        <w:t xml:space="preserve">6. </w:t>
      </w:r>
      <w:r w:rsidRPr="0002412E">
        <w:rPr>
          <w:rFonts w:ascii="Calibri" w:hAnsi="Calibri" w:cs="Calibri"/>
          <w:noProof/>
          <w:sz w:val="24"/>
        </w:rPr>
        <w:tab/>
        <w:t>Borochowitz Z, Rimoin DL. Pachydermoperiostosis. Birth Defects Encycl. 1990:1349–50 - Google Search [Internet]. [cited 2022 Jan 31]. Available from: https://www.google.com/search?q=Borochowitz+Z%2C+Rimoin+DL.+Pachydermoperiostosis.+Birth+Defects+Encycl.+1990%3A1349–50&amp;oq=Borochowitz+Z%2C+Rimoin+DL.+Pachydermoperiostosis.+Birth+Defects+Encycl.+1990%3A1349–50&amp;aqs=chrome..69i57.391j0j4&amp;sourceid=chrome&amp;ie=UTF-8</w:t>
      </w:r>
    </w:p>
    <w:p w14:paraId="6F23052B" w14:textId="77777777" w:rsidR="00FF2830" w:rsidRPr="0002412E" w:rsidRDefault="00FF2830" w:rsidP="00FF2830">
      <w:pPr>
        <w:widowControl w:val="0"/>
        <w:autoSpaceDE w:val="0"/>
        <w:autoSpaceDN w:val="0"/>
        <w:adjustRightInd w:val="0"/>
        <w:spacing w:line="240" w:lineRule="auto"/>
        <w:ind w:left="640" w:hanging="640"/>
        <w:rPr>
          <w:rFonts w:ascii="Calibri" w:hAnsi="Calibri" w:cs="Calibri"/>
          <w:noProof/>
          <w:sz w:val="24"/>
        </w:rPr>
      </w:pPr>
      <w:r w:rsidRPr="0002412E">
        <w:rPr>
          <w:rFonts w:ascii="Calibri" w:hAnsi="Calibri" w:cs="Calibri"/>
          <w:noProof/>
          <w:sz w:val="24"/>
        </w:rPr>
        <w:t xml:space="preserve">7. </w:t>
      </w:r>
      <w:r w:rsidRPr="0002412E">
        <w:rPr>
          <w:rFonts w:ascii="Calibri" w:hAnsi="Calibri" w:cs="Calibri"/>
          <w:noProof/>
          <w:sz w:val="24"/>
        </w:rPr>
        <w:tab/>
        <w:t>Sahasrabhojaney: Touraine-Solente-Gole’syndrome - Google Scholar [Internet]. [cited 2022 Feb 2]. Available from: https://scholar.google.com/scholar_lookup?journal=J+Indian+Acad+Community+Med&amp;title=Touraine-Solente-Gole%27+syndrome&amp;author=VS+Sahasrabhojaney&amp;author=AV+Hinge&amp;author=SS+Ghodeswar&amp;author=AS+Machnurkar&amp;author=AM+Daware&amp;volume=6&amp;publication_year=2005&amp;pages=152-4&amp;</w:t>
      </w:r>
    </w:p>
    <w:p w14:paraId="2D8A2DEB" w14:textId="77777777" w:rsidR="00FF2830" w:rsidRPr="0002412E" w:rsidRDefault="00FF2830" w:rsidP="00FF2830">
      <w:pPr>
        <w:widowControl w:val="0"/>
        <w:autoSpaceDE w:val="0"/>
        <w:autoSpaceDN w:val="0"/>
        <w:adjustRightInd w:val="0"/>
        <w:spacing w:line="240" w:lineRule="auto"/>
        <w:ind w:left="640" w:hanging="640"/>
        <w:rPr>
          <w:rFonts w:ascii="Calibri" w:hAnsi="Calibri" w:cs="Calibri"/>
          <w:noProof/>
          <w:sz w:val="24"/>
        </w:rPr>
      </w:pPr>
      <w:r w:rsidRPr="0002412E">
        <w:rPr>
          <w:rFonts w:ascii="Calibri" w:hAnsi="Calibri" w:cs="Calibri"/>
          <w:noProof/>
          <w:sz w:val="24"/>
        </w:rPr>
        <w:t xml:space="preserve">8. </w:t>
      </w:r>
      <w:r w:rsidRPr="0002412E">
        <w:rPr>
          <w:rFonts w:ascii="Calibri" w:hAnsi="Calibri" w:cs="Calibri"/>
          <w:noProof/>
          <w:sz w:val="24"/>
        </w:rPr>
        <w:tab/>
        <w:t>Martínez-Lavín M, Pineda C, Valdez T, Cajigas JC, Weisman M, Gerber N, et al. Primary hypertrophic osteoarthropathy. Semin Arthritis Rheum [Internet]. 1988 [cited 2022 Feb 2];17(3):156–62. Available from: https://pubmed.ncbi.nlm.nih.gov/3072678/</w:t>
      </w:r>
    </w:p>
    <w:p w14:paraId="29106E68" w14:textId="77777777" w:rsidR="00FF2830" w:rsidRPr="0002412E" w:rsidRDefault="00FF2830" w:rsidP="00FF2830">
      <w:pPr>
        <w:widowControl w:val="0"/>
        <w:autoSpaceDE w:val="0"/>
        <w:autoSpaceDN w:val="0"/>
        <w:adjustRightInd w:val="0"/>
        <w:spacing w:line="240" w:lineRule="auto"/>
        <w:ind w:left="640" w:hanging="640"/>
        <w:rPr>
          <w:rFonts w:ascii="Calibri" w:hAnsi="Calibri" w:cs="Calibri"/>
          <w:noProof/>
          <w:sz w:val="24"/>
        </w:rPr>
      </w:pPr>
      <w:r w:rsidRPr="0002412E">
        <w:rPr>
          <w:rFonts w:ascii="Calibri" w:hAnsi="Calibri" w:cs="Calibri"/>
          <w:noProof/>
          <w:sz w:val="24"/>
        </w:rPr>
        <w:t xml:space="preserve">9. </w:t>
      </w:r>
      <w:r w:rsidRPr="0002412E">
        <w:rPr>
          <w:rFonts w:ascii="Calibri" w:hAnsi="Calibri" w:cs="Calibri"/>
          <w:noProof/>
          <w:sz w:val="24"/>
        </w:rPr>
        <w:tab/>
        <w:t>méd AT-P, 1935  undefined. Un syndrome osteodermopathique: la pachydermie plicaturee avec pachyperiostose des extremites. ci.nii.ac.jpPaperpile [Internet]. [cited 2022 Feb 26]; Available from: https://ci.nii.ac.jp/naid/10015488448/</w:t>
      </w:r>
    </w:p>
    <w:p w14:paraId="7668640B" w14:textId="77777777" w:rsidR="00FF2830" w:rsidRPr="0002412E" w:rsidRDefault="00FF2830" w:rsidP="00FF2830">
      <w:pPr>
        <w:widowControl w:val="0"/>
        <w:autoSpaceDE w:val="0"/>
        <w:autoSpaceDN w:val="0"/>
        <w:adjustRightInd w:val="0"/>
        <w:spacing w:line="240" w:lineRule="auto"/>
        <w:ind w:left="640" w:hanging="640"/>
        <w:rPr>
          <w:rFonts w:ascii="Calibri" w:hAnsi="Calibri" w:cs="Calibri"/>
          <w:noProof/>
          <w:sz w:val="24"/>
        </w:rPr>
      </w:pPr>
      <w:r w:rsidRPr="0002412E">
        <w:rPr>
          <w:rFonts w:ascii="Calibri" w:hAnsi="Calibri" w:cs="Calibri"/>
          <w:noProof/>
          <w:sz w:val="24"/>
        </w:rPr>
        <w:t xml:space="preserve">10. </w:t>
      </w:r>
      <w:r w:rsidRPr="0002412E">
        <w:rPr>
          <w:rFonts w:ascii="Calibri" w:hAnsi="Calibri" w:cs="Calibri"/>
          <w:noProof/>
          <w:sz w:val="24"/>
        </w:rPr>
        <w:tab/>
        <w:t xml:space="preserve">Jajic I. Epidemiology of hypertrophic osteoarthropathy. Clin Exp Rheumatol [Internet]. </w:t>
      </w:r>
      <w:r w:rsidRPr="0002412E">
        <w:rPr>
          <w:rFonts w:ascii="Calibri" w:hAnsi="Calibri" w:cs="Calibri"/>
          <w:noProof/>
          <w:sz w:val="24"/>
        </w:rPr>
        <w:lastRenderedPageBreak/>
        <w:t>1992 May 1 [cited 2022 Feb 26];10 Suppl 7(SUPPL. 7):13–13. Available from: https://europepmc.org/article/med/1623665</w:t>
      </w:r>
    </w:p>
    <w:p w14:paraId="1DD2F927" w14:textId="77777777" w:rsidR="00FF2830" w:rsidRPr="0002412E" w:rsidRDefault="00FF2830" w:rsidP="00FF2830">
      <w:pPr>
        <w:widowControl w:val="0"/>
        <w:autoSpaceDE w:val="0"/>
        <w:autoSpaceDN w:val="0"/>
        <w:adjustRightInd w:val="0"/>
        <w:spacing w:line="240" w:lineRule="auto"/>
        <w:ind w:left="640" w:hanging="640"/>
        <w:rPr>
          <w:rFonts w:ascii="Calibri" w:hAnsi="Calibri" w:cs="Calibri"/>
          <w:noProof/>
          <w:sz w:val="24"/>
        </w:rPr>
      </w:pPr>
      <w:r w:rsidRPr="0002412E">
        <w:rPr>
          <w:rFonts w:ascii="Calibri" w:hAnsi="Calibri" w:cs="Calibri"/>
          <w:noProof/>
          <w:sz w:val="24"/>
        </w:rPr>
        <w:t xml:space="preserve">11. </w:t>
      </w:r>
      <w:r w:rsidRPr="0002412E">
        <w:rPr>
          <w:rFonts w:ascii="Calibri" w:hAnsi="Calibri" w:cs="Calibri"/>
          <w:noProof/>
          <w:sz w:val="24"/>
        </w:rPr>
        <w:tab/>
        <w:t>Reginato AJ, Schiapachasse V, Guerrero R. Familial idiopathic hypertrophic osteoarthropathy and cranial suture defects in children. Skeletal Radiol [Internet]. 1982 May [cited 2022 Feb 26];8(2):105–9. Available from: https://pubmed.ncbi.nlm.nih.gov/7100937/</w:t>
      </w:r>
    </w:p>
    <w:p w14:paraId="41AD0A16" w14:textId="77777777" w:rsidR="00FF2830" w:rsidRPr="0002412E" w:rsidRDefault="00FF2830" w:rsidP="00FF2830">
      <w:pPr>
        <w:widowControl w:val="0"/>
        <w:autoSpaceDE w:val="0"/>
        <w:autoSpaceDN w:val="0"/>
        <w:adjustRightInd w:val="0"/>
        <w:spacing w:line="240" w:lineRule="auto"/>
        <w:ind w:left="640" w:hanging="640"/>
        <w:rPr>
          <w:rFonts w:ascii="Calibri" w:hAnsi="Calibri" w:cs="Calibri"/>
          <w:noProof/>
          <w:sz w:val="24"/>
        </w:rPr>
      </w:pPr>
      <w:r w:rsidRPr="0002412E">
        <w:rPr>
          <w:rFonts w:ascii="Calibri" w:hAnsi="Calibri" w:cs="Calibri"/>
          <w:noProof/>
          <w:sz w:val="24"/>
        </w:rPr>
        <w:t xml:space="preserve">12. </w:t>
      </w:r>
      <w:r w:rsidRPr="0002412E">
        <w:rPr>
          <w:rFonts w:ascii="Calibri" w:hAnsi="Calibri" w:cs="Calibri"/>
          <w:noProof/>
          <w:sz w:val="24"/>
        </w:rPr>
        <w:tab/>
        <w:t>Oikarinen A, Palatsi R, Kylmäniemi M, Keski-Oja J, Risteli J, Kallioinen M. Pachydermoperiostosis: analysis of the connective tissue abnormality in one family. J Am Acad Dermatol [Internet]. 1994 [cited 2022 Feb 26];31(6):947–53. Available from: https://pubmed.ncbi.nlm.nih.gov/7962775/</w:t>
      </w:r>
    </w:p>
    <w:p w14:paraId="2668BB52" w14:textId="77777777" w:rsidR="00FF2830" w:rsidRPr="0002412E" w:rsidRDefault="00FF2830" w:rsidP="00FF2830">
      <w:pPr>
        <w:widowControl w:val="0"/>
        <w:autoSpaceDE w:val="0"/>
        <w:autoSpaceDN w:val="0"/>
        <w:adjustRightInd w:val="0"/>
        <w:spacing w:line="240" w:lineRule="auto"/>
        <w:ind w:left="640" w:hanging="640"/>
        <w:rPr>
          <w:rFonts w:ascii="Calibri" w:hAnsi="Calibri" w:cs="Calibri"/>
          <w:noProof/>
          <w:sz w:val="24"/>
        </w:rPr>
      </w:pPr>
      <w:r w:rsidRPr="0002412E">
        <w:rPr>
          <w:rFonts w:ascii="Calibri" w:hAnsi="Calibri" w:cs="Calibri"/>
          <w:noProof/>
          <w:sz w:val="24"/>
        </w:rPr>
        <w:t xml:space="preserve">13. </w:t>
      </w:r>
      <w:r w:rsidRPr="0002412E">
        <w:rPr>
          <w:rFonts w:ascii="Calibri" w:hAnsi="Calibri" w:cs="Calibri"/>
          <w:noProof/>
          <w:sz w:val="24"/>
        </w:rPr>
        <w:tab/>
        <w:t>Li X, Hao D, Li-Ling J, Jiang X. Complete form of pachydermoperiostosis with cutis verticis gyrata resulting from the SLCO2A1 gene mutation. Indian J Dermatol Venereol Leprol [Internet]. 2019 [cited 2022 Feb 26];85(6):681. Available from: https://pubmed.ncbi.nlm.nih.gov/30880718/</w:t>
      </w:r>
    </w:p>
    <w:p w14:paraId="1AE6FDA7" w14:textId="77777777" w:rsidR="00FF2830" w:rsidRPr="0002412E" w:rsidRDefault="00FF2830" w:rsidP="00FF2830">
      <w:pPr>
        <w:widowControl w:val="0"/>
        <w:autoSpaceDE w:val="0"/>
        <w:autoSpaceDN w:val="0"/>
        <w:adjustRightInd w:val="0"/>
        <w:spacing w:line="240" w:lineRule="auto"/>
        <w:ind w:left="640" w:hanging="640"/>
        <w:rPr>
          <w:rFonts w:ascii="Calibri" w:hAnsi="Calibri" w:cs="Calibri"/>
          <w:noProof/>
          <w:sz w:val="24"/>
        </w:rPr>
      </w:pPr>
      <w:r w:rsidRPr="0002412E">
        <w:rPr>
          <w:rFonts w:ascii="Calibri" w:hAnsi="Calibri" w:cs="Calibri"/>
          <w:noProof/>
          <w:sz w:val="24"/>
        </w:rPr>
        <w:t xml:space="preserve">14. </w:t>
      </w:r>
      <w:r w:rsidRPr="0002412E">
        <w:rPr>
          <w:rFonts w:ascii="Calibri" w:hAnsi="Calibri" w:cs="Calibri"/>
          <w:noProof/>
          <w:sz w:val="24"/>
        </w:rPr>
        <w:tab/>
        <w:t>Li M, Thompson DD, Paralkar VM. Prostaglandin E2 receptors in bone formation. Int Orthop [Internet]. 2007 Dec [cited 2022 Feb 26];31(6):767. Available from: /pmc/articles/PMC2266676/</w:t>
      </w:r>
    </w:p>
    <w:p w14:paraId="2A9DA05F" w14:textId="77777777" w:rsidR="00FF2830" w:rsidRPr="0002412E" w:rsidRDefault="00FF2830" w:rsidP="00FF2830">
      <w:pPr>
        <w:widowControl w:val="0"/>
        <w:autoSpaceDE w:val="0"/>
        <w:autoSpaceDN w:val="0"/>
        <w:adjustRightInd w:val="0"/>
        <w:spacing w:line="240" w:lineRule="auto"/>
        <w:ind w:left="640" w:hanging="640"/>
        <w:rPr>
          <w:rFonts w:ascii="Calibri" w:hAnsi="Calibri" w:cs="Calibri"/>
          <w:noProof/>
          <w:sz w:val="24"/>
        </w:rPr>
      </w:pPr>
      <w:r w:rsidRPr="0002412E">
        <w:rPr>
          <w:rFonts w:ascii="Calibri" w:hAnsi="Calibri" w:cs="Calibri"/>
          <w:noProof/>
          <w:sz w:val="24"/>
        </w:rPr>
        <w:t xml:space="preserve">15. </w:t>
      </w:r>
      <w:r w:rsidRPr="0002412E">
        <w:rPr>
          <w:rFonts w:ascii="Calibri" w:hAnsi="Calibri" w:cs="Calibri"/>
          <w:noProof/>
          <w:sz w:val="24"/>
        </w:rPr>
        <w:tab/>
        <w:t xml:space="preserve">Raisz LG. Prostaglandins and bone: physiology and pathophysiology. Osteoarthr Cartil. 1999;7:419–21. </w:t>
      </w:r>
    </w:p>
    <w:p w14:paraId="7C1E38E5" w14:textId="77777777" w:rsidR="00FF2830" w:rsidRPr="0002412E" w:rsidRDefault="00FF2830" w:rsidP="00FF2830">
      <w:pPr>
        <w:widowControl w:val="0"/>
        <w:autoSpaceDE w:val="0"/>
        <w:autoSpaceDN w:val="0"/>
        <w:adjustRightInd w:val="0"/>
        <w:spacing w:line="240" w:lineRule="auto"/>
        <w:ind w:left="640" w:hanging="640"/>
        <w:rPr>
          <w:rFonts w:ascii="Calibri" w:hAnsi="Calibri" w:cs="Calibri"/>
          <w:noProof/>
          <w:sz w:val="24"/>
        </w:rPr>
      </w:pPr>
      <w:r w:rsidRPr="0002412E">
        <w:rPr>
          <w:rFonts w:ascii="Calibri" w:hAnsi="Calibri" w:cs="Calibri"/>
          <w:noProof/>
          <w:sz w:val="24"/>
        </w:rPr>
        <w:t xml:space="preserve">16. </w:t>
      </w:r>
      <w:r w:rsidRPr="0002412E">
        <w:rPr>
          <w:rFonts w:ascii="Calibri" w:hAnsi="Calibri" w:cs="Calibri"/>
          <w:noProof/>
          <w:sz w:val="24"/>
        </w:rPr>
        <w:tab/>
        <w:t>Ono K, Akatsu T, Murakami T, Nishikawa M, Yamamoto M, Kugai N, et al. Important role of EP4, a subtype of prostaglandin (PG) E receptor, in osteoclast-like cell formation from mouse bone marrow cells induced by PGE2. J Endocrinol [Internet]. 1998 [cited 2022 Feb 26];158(3). Available from: https://pubmed.ncbi.nlm.nih.gov/9846175/</w:t>
      </w:r>
    </w:p>
    <w:p w14:paraId="2E79A7F9" w14:textId="77777777" w:rsidR="00FF2830" w:rsidRPr="0002412E" w:rsidRDefault="00FF2830" w:rsidP="00FF2830">
      <w:pPr>
        <w:widowControl w:val="0"/>
        <w:autoSpaceDE w:val="0"/>
        <w:autoSpaceDN w:val="0"/>
        <w:adjustRightInd w:val="0"/>
        <w:spacing w:line="240" w:lineRule="auto"/>
        <w:ind w:left="640" w:hanging="640"/>
        <w:rPr>
          <w:rFonts w:ascii="Calibri" w:hAnsi="Calibri" w:cs="Calibri"/>
          <w:noProof/>
          <w:sz w:val="24"/>
        </w:rPr>
      </w:pPr>
      <w:r w:rsidRPr="0002412E">
        <w:rPr>
          <w:rFonts w:ascii="Calibri" w:hAnsi="Calibri" w:cs="Calibri"/>
          <w:noProof/>
          <w:sz w:val="24"/>
        </w:rPr>
        <w:t xml:space="preserve">17. </w:t>
      </w:r>
      <w:r w:rsidRPr="0002412E">
        <w:rPr>
          <w:rFonts w:ascii="Calibri" w:hAnsi="Calibri" w:cs="Calibri"/>
          <w:noProof/>
          <w:sz w:val="24"/>
        </w:rPr>
        <w:tab/>
        <w:t>Woodiel FN, Fall PM, Raisz LG. Anabolic effects of prostaglandins in cultured fetal rat calvariae: structure-activity relations and signal transduction pathway. J Bone Miner Res [Internet]. 1996 [cited 2022 Feb 26];11(9):1249–55. Available from: https://pubmed.ncbi.nlm.nih.gov/8864899/</w:t>
      </w:r>
    </w:p>
    <w:p w14:paraId="0C2DBBD3" w14:textId="77777777" w:rsidR="00FF2830" w:rsidRPr="0002412E" w:rsidRDefault="00FF2830" w:rsidP="00FF2830">
      <w:pPr>
        <w:widowControl w:val="0"/>
        <w:autoSpaceDE w:val="0"/>
        <w:autoSpaceDN w:val="0"/>
        <w:adjustRightInd w:val="0"/>
        <w:spacing w:line="240" w:lineRule="auto"/>
        <w:ind w:left="640" w:hanging="640"/>
        <w:rPr>
          <w:rFonts w:ascii="Calibri" w:hAnsi="Calibri" w:cs="Calibri"/>
          <w:noProof/>
          <w:sz w:val="24"/>
        </w:rPr>
      </w:pPr>
      <w:r w:rsidRPr="0002412E">
        <w:rPr>
          <w:rFonts w:ascii="Calibri" w:hAnsi="Calibri" w:cs="Calibri"/>
          <w:noProof/>
          <w:sz w:val="24"/>
        </w:rPr>
        <w:t xml:space="preserve">18. </w:t>
      </w:r>
      <w:r w:rsidRPr="0002412E">
        <w:rPr>
          <w:rFonts w:ascii="Calibri" w:hAnsi="Calibri" w:cs="Calibri"/>
          <w:noProof/>
          <w:sz w:val="24"/>
        </w:rPr>
        <w:tab/>
        <w:t>Nemoto K, Pilbeam CC, Bilak SR, Raisz LG. Molecular cloning and expression of a rat prostaglandin E2 receptor of the EP2 subtype. Prostaglandins [Internet]. 1997 Oct [cited 2022 Feb 26];54(4):713–25. Available from: https://pubmed.ncbi.nlm.nih.gov/9440134/</w:t>
      </w:r>
    </w:p>
    <w:p w14:paraId="518B4240" w14:textId="77777777" w:rsidR="00FF2830" w:rsidRPr="0002412E" w:rsidRDefault="00FF2830" w:rsidP="00FF2830">
      <w:pPr>
        <w:widowControl w:val="0"/>
        <w:autoSpaceDE w:val="0"/>
        <w:autoSpaceDN w:val="0"/>
        <w:adjustRightInd w:val="0"/>
        <w:spacing w:line="240" w:lineRule="auto"/>
        <w:ind w:left="640" w:hanging="640"/>
        <w:rPr>
          <w:rFonts w:ascii="Calibri" w:hAnsi="Calibri" w:cs="Calibri"/>
          <w:noProof/>
          <w:sz w:val="24"/>
        </w:rPr>
      </w:pPr>
      <w:r w:rsidRPr="0002412E">
        <w:rPr>
          <w:rFonts w:ascii="Calibri" w:hAnsi="Calibri" w:cs="Calibri"/>
          <w:noProof/>
          <w:sz w:val="24"/>
        </w:rPr>
        <w:t xml:space="preserve">19. </w:t>
      </w:r>
      <w:r w:rsidRPr="0002412E">
        <w:rPr>
          <w:rFonts w:ascii="Calibri" w:hAnsi="Calibri" w:cs="Calibri"/>
          <w:noProof/>
          <w:sz w:val="24"/>
        </w:rPr>
        <w:tab/>
        <w:t>Kim HJ, Koo KY, Shin DY, Kim DY, Lee JS, Lee MG. Complete form of pachydermoperiostosis with SLCO2A1 gene mutation in a Korean family. J Dermatol [Internet]. 2015 Jun 1 [cited 2022 Feb 26];42(6):655–7. Available from: https://pubmed.ncbi.nlm.nih.gov/25810087/</w:t>
      </w:r>
    </w:p>
    <w:p w14:paraId="66797EB8" w14:textId="77777777" w:rsidR="00FF2830" w:rsidRPr="0002412E" w:rsidRDefault="00FF2830" w:rsidP="00FF2830">
      <w:pPr>
        <w:widowControl w:val="0"/>
        <w:autoSpaceDE w:val="0"/>
        <w:autoSpaceDN w:val="0"/>
        <w:adjustRightInd w:val="0"/>
        <w:spacing w:line="240" w:lineRule="auto"/>
        <w:ind w:left="640" w:hanging="640"/>
        <w:rPr>
          <w:rFonts w:ascii="Calibri" w:hAnsi="Calibri" w:cs="Calibri"/>
          <w:noProof/>
          <w:sz w:val="24"/>
        </w:rPr>
      </w:pPr>
      <w:r w:rsidRPr="0002412E">
        <w:rPr>
          <w:rFonts w:ascii="Calibri" w:hAnsi="Calibri" w:cs="Calibri"/>
          <w:noProof/>
          <w:sz w:val="24"/>
        </w:rPr>
        <w:t xml:space="preserve">20. </w:t>
      </w:r>
      <w:r w:rsidRPr="0002412E">
        <w:rPr>
          <w:rFonts w:ascii="Calibri" w:hAnsi="Calibri" w:cs="Calibri"/>
          <w:noProof/>
          <w:sz w:val="24"/>
        </w:rPr>
        <w:tab/>
        <w:t>Coggins KG, Coffman TM, Koller BH. The Hippocratic finger points the blame at PGE2. Nat Genet [Internet]. 2008 Jun [cited 2022 Feb 26];40(6):691–2. Available from: https://pubmed.ncbi.nlm.nih.gov/18509311/</w:t>
      </w:r>
    </w:p>
    <w:p w14:paraId="5DFF4124" w14:textId="77777777" w:rsidR="00FF2830" w:rsidRPr="0002412E" w:rsidRDefault="00FF2830" w:rsidP="00FF2830">
      <w:pPr>
        <w:widowControl w:val="0"/>
        <w:autoSpaceDE w:val="0"/>
        <w:autoSpaceDN w:val="0"/>
        <w:adjustRightInd w:val="0"/>
        <w:spacing w:line="240" w:lineRule="auto"/>
        <w:ind w:left="640" w:hanging="640"/>
        <w:rPr>
          <w:rFonts w:ascii="Calibri" w:hAnsi="Calibri" w:cs="Calibri"/>
          <w:noProof/>
          <w:sz w:val="24"/>
        </w:rPr>
      </w:pPr>
      <w:r w:rsidRPr="0002412E">
        <w:rPr>
          <w:rFonts w:ascii="Calibri" w:hAnsi="Calibri" w:cs="Calibri"/>
          <w:noProof/>
          <w:sz w:val="24"/>
        </w:rPr>
        <w:lastRenderedPageBreak/>
        <w:t xml:space="preserve">21. </w:t>
      </w:r>
      <w:r w:rsidRPr="0002412E">
        <w:rPr>
          <w:rFonts w:ascii="Calibri" w:hAnsi="Calibri" w:cs="Calibri"/>
          <w:noProof/>
          <w:sz w:val="24"/>
        </w:rPr>
        <w:tab/>
        <w:t xml:space="preserve">Saadeh D, Kurban M, Ghosn S, Btadini W, Nemer G, Arayssi T, et al. Pachydermoperiostosis genetic screening in Lebanese families uncovers a novel SLCO2A1mutation. J Eur Acad Dermatology Venereol. 2015 Dec 1;29(12):2489–90. </w:t>
      </w:r>
    </w:p>
    <w:p w14:paraId="2472FC4A" w14:textId="77777777" w:rsidR="00FF2830" w:rsidRPr="0002412E" w:rsidRDefault="00FF2830" w:rsidP="00FF2830">
      <w:pPr>
        <w:widowControl w:val="0"/>
        <w:autoSpaceDE w:val="0"/>
        <w:autoSpaceDN w:val="0"/>
        <w:adjustRightInd w:val="0"/>
        <w:spacing w:line="240" w:lineRule="auto"/>
        <w:ind w:left="640" w:hanging="640"/>
        <w:rPr>
          <w:rFonts w:ascii="Calibri" w:hAnsi="Calibri" w:cs="Calibri"/>
          <w:noProof/>
          <w:sz w:val="24"/>
        </w:rPr>
      </w:pPr>
      <w:r w:rsidRPr="0002412E">
        <w:rPr>
          <w:rFonts w:ascii="Calibri" w:hAnsi="Calibri" w:cs="Calibri"/>
          <w:noProof/>
          <w:sz w:val="24"/>
        </w:rPr>
        <w:t xml:space="preserve">22. </w:t>
      </w:r>
      <w:r w:rsidRPr="0002412E">
        <w:rPr>
          <w:rFonts w:ascii="Calibri" w:hAnsi="Calibri" w:cs="Calibri"/>
          <w:noProof/>
          <w:sz w:val="24"/>
        </w:rPr>
        <w:tab/>
        <w:t>Wang L, Yu J, Li Y, Liu X, Zhang Z. [Genetic diagnosis for a Chinese Han family with primary hypertrophic osteoarthropathy]. Zhonghua Yi Xue Yi Chuan Xue Za Zhi [Internet]. 2015 Apr 1 [cited 2022 Feb 26];32(2):213–7. Available from: https://pubmed.ncbi.nlm.nih.gov/25863089/</w:t>
      </w:r>
    </w:p>
    <w:p w14:paraId="6A45602C" w14:textId="77777777" w:rsidR="00FF2830" w:rsidRPr="0002412E" w:rsidRDefault="00FF2830" w:rsidP="00FF2830">
      <w:pPr>
        <w:widowControl w:val="0"/>
        <w:autoSpaceDE w:val="0"/>
        <w:autoSpaceDN w:val="0"/>
        <w:adjustRightInd w:val="0"/>
        <w:spacing w:line="240" w:lineRule="auto"/>
        <w:ind w:left="640" w:hanging="640"/>
        <w:rPr>
          <w:rFonts w:ascii="Calibri" w:hAnsi="Calibri" w:cs="Calibri"/>
          <w:noProof/>
          <w:sz w:val="24"/>
        </w:rPr>
      </w:pPr>
      <w:r w:rsidRPr="0002412E">
        <w:rPr>
          <w:rFonts w:ascii="Calibri" w:hAnsi="Calibri" w:cs="Calibri"/>
          <w:noProof/>
          <w:sz w:val="24"/>
        </w:rPr>
        <w:t xml:space="preserve">23. </w:t>
      </w:r>
      <w:r w:rsidRPr="0002412E">
        <w:rPr>
          <w:rFonts w:ascii="Calibri" w:hAnsi="Calibri" w:cs="Calibri"/>
          <w:noProof/>
          <w:sz w:val="24"/>
        </w:rPr>
        <w:tab/>
        <w:t>Niizeki H, Shiohama A, Sasaki T, Seki A, Kabashima K, Otsuka A, et al. The complete type of pachydermoperiostosis: a novel nonsense mutation p.E141* of the SLCO2A1 gene. J Dermatol Sci [Internet]. 2014 [cited 2022 Feb 26];75(3):193–5. Available from: https://pubmed.ncbi.nlm.nih.gov/24929850/</w:t>
      </w:r>
    </w:p>
    <w:p w14:paraId="02876828" w14:textId="77777777" w:rsidR="00FF2830" w:rsidRPr="0002412E" w:rsidRDefault="00FF2830" w:rsidP="00FF2830">
      <w:pPr>
        <w:widowControl w:val="0"/>
        <w:autoSpaceDE w:val="0"/>
        <w:autoSpaceDN w:val="0"/>
        <w:adjustRightInd w:val="0"/>
        <w:spacing w:line="240" w:lineRule="auto"/>
        <w:ind w:left="640" w:hanging="640"/>
        <w:rPr>
          <w:rFonts w:ascii="Calibri" w:hAnsi="Calibri" w:cs="Calibri"/>
          <w:noProof/>
          <w:sz w:val="24"/>
        </w:rPr>
      </w:pPr>
      <w:r w:rsidRPr="0002412E">
        <w:rPr>
          <w:rFonts w:ascii="Calibri" w:hAnsi="Calibri" w:cs="Calibri"/>
          <w:noProof/>
          <w:sz w:val="24"/>
        </w:rPr>
        <w:t xml:space="preserve">24. </w:t>
      </w:r>
      <w:r w:rsidRPr="0002412E">
        <w:rPr>
          <w:rFonts w:ascii="Calibri" w:hAnsi="Calibri" w:cs="Calibri"/>
          <w:noProof/>
          <w:sz w:val="24"/>
        </w:rPr>
        <w:tab/>
        <w:t>Erken E, Kö roğlu Ç, Yıldız F, Ö zer HTE, G Ü Lek B, Tolun A. A novel recessive 15-hydroxyprostaglandin dehydrogenase mutation in a family with primary hypertrophic osteoarthropathy. Mod Rheumatol [Internet]. 2015 [cited 2022 Feb 26];25(2):315–21. Available from: https://pubmed.ncbi.nlm.nih.gov/24533558/</w:t>
      </w:r>
    </w:p>
    <w:p w14:paraId="1FB376CA" w14:textId="77777777" w:rsidR="00FF2830" w:rsidRPr="0002412E" w:rsidRDefault="00FF2830" w:rsidP="00FF2830">
      <w:pPr>
        <w:widowControl w:val="0"/>
        <w:autoSpaceDE w:val="0"/>
        <w:autoSpaceDN w:val="0"/>
        <w:adjustRightInd w:val="0"/>
        <w:spacing w:line="240" w:lineRule="auto"/>
        <w:ind w:left="640" w:hanging="640"/>
        <w:rPr>
          <w:rFonts w:ascii="Calibri" w:hAnsi="Calibri" w:cs="Calibri"/>
          <w:noProof/>
          <w:sz w:val="24"/>
        </w:rPr>
      </w:pPr>
      <w:r w:rsidRPr="0002412E">
        <w:rPr>
          <w:rFonts w:ascii="Calibri" w:hAnsi="Calibri" w:cs="Calibri"/>
          <w:noProof/>
          <w:sz w:val="24"/>
        </w:rPr>
        <w:t xml:space="preserve">25. </w:t>
      </w:r>
      <w:r w:rsidRPr="0002412E">
        <w:rPr>
          <w:rFonts w:ascii="Calibri" w:hAnsi="Calibri" w:cs="Calibri"/>
          <w:noProof/>
          <w:sz w:val="24"/>
        </w:rPr>
        <w:tab/>
        <w:t>Matucci-Cerinic M, Lotti T, Jajic I, Pignone A, Bussani C, Cagnoni M. The clinical spectrum of pachydermoperiostosis (primary hypertrophic osteoarthropathy). Medicine (Baltimore) [Internet]. 1991 [cited 2022 Mar 8];70(3):208–14. Available from: https://pubmed.ncbi.nlm.nih.gov/2030644/</w:t>
      </w:r>
    </w:p>
    <w:p w14:paraId="42E0D5F6" w14:textId="77777777" w:rsidR="00FF2830" w:rsidRPr="0002412E" w:rsidRDefault="00FF2830" w:rsidP="00FF2830">
      <w:pPr>
        <w:widowControl w:val="0"/>
        <w:autoSpaceDE w:val="0"/>
        <w:autoSpaceDN w:val="0"/>
        <w:adjustRightInd w:val="0"/>
        <w:spacing w:line="240" w:lineRule="auto"/>
        <w:ind w:left="640" w:hanging="640"/>
        <w:rPr>
          <w:rFonts w:ascii="Calibri" w:hAnsi="Calibri" w:cs="Calibri"/>
          <w:noProof/>
          <w:sz w:val="24"/>
        </w:rPr>
      </w:pPr>
      <w:r w:rsidRPr="0002412E">
        <w:rPr>
          <w:rFonts w:ascii="Calibri" w:hAnsi="Calibri" w:cs="Calibri"/>
          <w:noProof/>
          <w:sz w:val="24"/>
        </w:rPr>
        <w:t xml:space="preserve">26. </w:t>
      </w:r>
      <w:r w:rsidRPr="0002412E">
        <w:rPr>
          <w:rFonts w:ascii="Calibri" w:hAnsi="Calibri" w:cs="Calibri"/>
          <w:noProof/>
          <w:sz w:val="24"/>
        </w:rPr>
        <w:tab/>
        <w:t xml:space="preserve">Buchan DJ, Mitchell DM. Hypertrophic osteoarthropathy in portal cirrhosis. Ann Intern Med. 1967;66(1):130–5. </w:t>
      </w:r>
    </w:p>
    <w:p w14:paraId="467D2026" w14:textId="77777777" w:rsidR="00FF2830" w:rsidRPr="0002412E" w:rsidRDefault="00FF2830" w:rsidP="00FF2830">
      <w:pPr>
        <w:widowControl w:val="0"/>
        <w:autoSpaceDE w:val="0"/>
        <w:autoSpaceDN w:val="0"/>
        <w:adjustRightInd w:val="0"/>
        <w:spacing w:line="240" w:lineRule="auto"/>
        <w:ind w:left="640" w:hanging="640"/>
        <w:rPr>
          <w:rFonts w:ascii="Calibri" w:hAnsi="Calibri" w:cs="Calibri"/>
          <w:noProof/>
          <w:sz w:val="24"/>
        </w:rPr>
      </w:pPr>
      <w:r w:rsidRPr="0002412E">
        <w:rPr>
          <w:rFonts w:ascii="Calibri" w:hAnsi="Calibri" w:cs="Calibri"/>
          <w:noProof/>
          <w:sz w:val="24"/>
        </w:rPr>
        <w:t xml:space="preserve">27. </w:t>
      </w:r>
      <w:r w:rsidRPr="0002412E">
        <w:rPr>
          <w:rFonts w:ascii="Calibri" w:hAnsi="Calibri" w:cs="Calibri"/>
          <w:noProof/>
          <w:sz w:val="24"/>
        </w:rPr>
        <w:tab/>
        <w:t>Hollis WC. Hypertrophic osteoarthropathy secondary to upper-gastrointestinal-tract neoplasm. Case report and review. Ann Intern Med [Internet]. 1967 [cited 2022 Mar 8];66(1):125–30. Available from: https://pubmed.ncbi.nlm.nih.gov/6015583/</w:t>
      </w:r>
    </w:p>
    <w:p w14:paraId="49472D38" w14:textId="77777777" w:rsidR="00FF2830" w:rsidRPr="0002412E" w:rsidRDefault="00FF2830" w:rsidP="00FF2830">
      <w:pPr>
        <w:widowControl w:val="0"/>
        <w:autoSpaceDE w:val="0"/>
        <w:autoSpaceDN w:val="0"/>
        <w:adjustRightInd w:val="0"/>
        <w:spacing w:line="240" w:lineRule="auto"/>
        <w:ind w:left="640" w:hanging="640"/>
        <w:rPr>
          <w:rFonts w:ascii="Calibri" w:hAnsi="Calibri" w:cs="Calibri"/>
          <w:noProof/>
          <w:sz w:val="24"/>
        </w:rPr>
      </w:pPr>
      <w:r w:rsidRPr="0002412E">
        <w:rPr>
          <w:rFonts w:ascii="Calibri" w:hAnsi="Calibri" w:cs="Calibri"/>
          <w:noProof/>
          <w:sz w:val="24"/>
        </w:rPr>
        <w:t xml:space="preserve">28. </w:t>
      </w:r>
      <w:r w:rsidRPr="0002412E">
        <w:rPr>
          <w:rFonts w:ascii="Calibri" w:hAnsi="Calibri" w:cs="Calibri"/>
          <w:noProof/>
          <w:sz w:val="24"/>
        </w:rPr>
        <w:tab/>
        <w:t>Kelley W, Harris E, … SR-T of, 1989  undefined. Textbook of rheumatology. pesquisa.bvsalud.orgPaperpile [Internet]. [cited 2022 Mar 26]; Available from: https://pesquisa.bvsalud.org/portal/resource/pt/biblio-971445</w:t>
      </w:r>
    </w:p>
    <w:p w14:paraId="4A9E87E6" w14:textId="77777777" w:rsidR="00FF2830" w:rsidRPr="0002412E" w:rsidRDefault="00FF2830" w:rsidP="00FF2830">
      <w:pPr>
        <w:widowControl w:val="0"/>
        <w:autoSpaceDE w:val="0"/>
        <w:autoSpaceDN w:val="0"/>
        <w:adjustRightInd w:val="0"/>
        <w:spacing w:line="240" w:lineRule="auto"/>
        <w:ind w:left="640" w:hanging="640"/>
        <w:rPr>
          <w:rFonts w:ascii="Calibri" w:hAnsi="Calibri" w:cs="Calibri"/>
          <w:noProof/>
          <w:sz w:val="24"/>
        </w:rPr>
      </w:pPr>
      <w:r w:rsidRPr="0002412E">
        <w:rPr>
          <w:rFonts w:ascii="Calibri" w:hAnsi="Calibri" w:cs="Calibri"/>
          <w:noProof/>
          <w:sz w:val="24"/>
        </w:rPr>
        <w:t xml:space="preserve">29. </w:t>
      </w:r>
      <w:r w:rsidRPr="0002412E">
        <w:rPr>
          <w:rFonts w:ascii="Calibri" w:hAnsi="Calibri" w:cs="Calibri"/>
          <w:noProof/>
          <w:sz w:val="24"/>
        </w:rPr>
        <w:tab/>
        <w:t>Kamoun-Goldrat A, le Merrer M. Infantile cortical hyperostosis (Caffey disease): a review. J Oral Maxillofac Surg [Internet]. 2008 Oct [cited 2022 Mar 8];66(10):2145–50. Available from: https://pubmed.ncbi.nlm.nih.gov/18848116/</w:t>
      </w:r>
    </w:p>
    <w:p w14:paraId="3ED05221" w14:textId="77777777" w:rsidR="00FF2830" w:rsidRPr="0002412E" w:rsidRDefault="00FF2830" w:rsidP="00FF2830">
      <w:pPr>
        <w:widowControl w:val="0"/>
        <w:autoSpaceDE w:val="0"/>
        <w:autoSpaceDN w:val="0"/>
        <w:adjustRightInd w:val="0"/>
        <w:spacing w:line="240" w:lineRule="auto"/>
        <w:ind w:left="640" w:hanging="640"/>
        <w:rPr>
          <w:rFonts w:ascii="Calibri" w:hAnsi="Calibri" w:cs="Calibri"/>
          <w:noProof/>
          <w:sz w:val="24"/>
        </w:rPr>
      </w:pPr>
      <w:r w:rsidRPr="0002412E">
        <w:rPr>
          <w:rFonts w:ascii="Calibri" w:hAnsi="Calibri" w:cs="Calibri"/>
          <w:noProof/>
          <w:sz w:val="24"/>
        </w:rPr>
        <w:t xml:space="preserve">30. </w:t>
      </w:r>
      <w:r w:rsidRPr="0002412E">
        <w:rPr>
          <w:rFonts w:ascii="Calibri" w:hAnsi="Calibri" w:cs="Calibri"/>
          <w:noProof/>
          <w:sz w:val="24"/>
        </w:rPr>
        <w:tab/>
        <w:t>Effectiveness of non-steroidal anti-inflammatory drugs among patients with primary hypertrophic osteoarthropathy: A systematic review | Read by QxMD [Internet]. [cited 2022 Feb 18]. Available from: https://read.qxmd.com/read/29305259/effectiveness-of-non-steroidal-anti-inflammatory-drugs-among-patients-with-primary-hypertrophic-osteoarthropathy-a-systematic-review</w:t>
      </w:r>
    </w:p>
    <w:p w14:paraId="58EB9214" w14:textId="77777777" w:rsidR="00FF2830" w:rsidRPr="0002412E" w:rsidRDefault="00FF2830" w:rsidP="00FF2830">
      <w:pPr>
        <w:widowControl w:val="0"/>
        <w:autoSpaceDE w:val="0"/>
        <w:autoSpaceDN w:val="0"/>
        <w:adjustRightInd w:val="0"/>
        <w:spacing w:line="240" w:lineRule="auto"/>
        <w:ind w:left="640" w:hanging="640"/>
        <w:rPr>
          <w:rFonts w:ascii="Calibri" w:hAnsi="Calibri" w:cs="Calibri"/>
          <w:noProof/>
          <w:sz w:val="24"/>
        </w:rPr>
      </w:pPr>
      <w:r w:rsidRPr="0002412E">
        <w:rPr>
          <w:rFonts w:ascii="Calibri" w:hAnsi="Calibri" w:cs="Calibri"/>
          <w:noProof/>
          <w:sz w:val="24"/>
        </w:rPr>
        <w:t xml:space="preserve">31. </w:t>
      </w:r>
      <w:r w:rsidRPr="0002412E">
        <w:rPr>
          <w:rFonts w:ascii="Calibri" w:hAnsi="Calibri" w:cs="Calibri"/>
          <w:noProof/>
          <w:sz w:val="24"/>
        </w:rPr>
        <w:tab/>
        <w:t xml:space="preserve">Athappan G, Unnikrishnan A, Chengat V, Chandraprakasam S, Arthanareeswaran V, Muthukrishnan S, et al. Touraine Solente Gole syndrome: the disease and associated </w:t>
      </w:r>
      <w:r w:rsidRPr="0002412E">
        <w:rPr>
          <w:rFonts w:ascii="Calibri" w:hAnsi="Calibri" w:cs="Calibri"/>
          <w:noProof/>
          <w:sz w:val="24"/>
        </w:rPr>
        <w:lastRenderedPageBreak/>
        <w:t>tongue fissuring. Rheumatol Int [Internet]. 2009 Jun [cited 2022 Feb 18];29(9):1091–3. Available from: https://pubmed.ncbi.nlm.nih.gov/19050893/</w:t>
      </w:r>
    </w:p>
    <w:p w14:paraId="604FFE27" w14:textId="77777777" w:rsidR="00FF2830" w:rsidRPr="0002412E" w:rsidRDefault="00FF2830" w:rsidP="00FF2830">
      <w:pPr>
        <w:widowControl w:val="0"/>
        <w:autoSpaceDE w:val="0"/>
        <w:autoSpaceDN w:val="0"/>
        <w:adjustRightInd w:val="0"/>
        <w:spacing w:line="240" w:lineRule="auto"/>
        <w:ind w:left="640" w:hanging="640"/>
        <w:rPr>
          <w:rFonts w:ascii="Calibri" w:hAnsi="Calibri" w:cs="Calibri"/>
          <w:noProof/>
          <w:sz w:val="24"/>
        </w:rPr>
      </w:pPr>
      <w:r w:rsidRPr="0002412E">
        <w:rPr>
          <w:rFonts w:ascii="Calibri" w:hAnsi="Calibri" w:cs="Calibri"/>
          <w:noProof/>
          <w:sz w:val="24"/>
        </w:rPr>
        <w:t xml:space="preserve">32. </w:t>
      </w:r>
      <w:r w:rsidRPr="0002412E">
        <w:rPr>
          <w:rFonts w:ascii="Calibri" w:hAnsi="Calibri" w:cs="Calibri"/>
          <w:noProof/>
          <w:sz w:val="24"/>
        </w:rPr>
        <w:tab/>
        <w:t>Park YK, Kim HJ, Chung KY. Pachydermoperiostosis: trial with isotretinoin. Yonsei Med J [Internet]. 1988 [cited 2022 Feb 18];29(2):204–7. Available from: https://pubmed.ncbi.nlm.nih.gov/3064439/</w:t>
      </w:r>
    </w:p>
    <w:p w14:paraId="77D605CA" w14:textId="77777777" w:rsidR="00FF2830" w:rsidRPr="0002412E" w:rsidRDefault="00FF2830" w:rsidP="00FF2830">
      <w:pPr>
        <w:widowControl w:val="0"/>
        <w:autoSpaceDE w:val="0"/>
        <w:autoSpaceDN w:val="0"/>
        <w:adjustRightInd w:val="0"/>
        <w:spacing w:line="240" w:lineRule="auto"/>
        <w:ind w:left="640" w:hanging="640"/>
        <w:rPr>
          <w:rFonts w:ascii="Calibri" w:hAnsi="Calibri" w:cs="Calibri"/>
          <w:noProof/>
          <w:sz w:val="24"/>
        </w:rPr>
      </w:pPr>
      <w:r w:rsidRPr="0002412E">
        <w:rPr>
          <w:rFonts w:ascii="Calibri" w:hAnsi="Calibri" w:cs="Calibri"/>
          <w:noProof/>
          <w:sz w:val="24"/>
        </w:rPr>
        <w:t xml:space="preserve">33. </w:t>
      </w:r>
      <w:r w:rsidRPr="0002412E">
        <w:rPr>
          <w:rFonts w:ascii="Calibri" w:hAnsi="Calibri" w:cs="Calibri"/>
          <w:noProof/>
          <w:sz w:val="24"/>
        </w:rPr>
        <w:tab/>
        <w:t>Matucci-Cerinic M, Fattorini L, Gerini G, Lombardi A, Pignone A, Petrini N, et al. Colchicine treatment in a case of pachydermoperiostosis with acroosteolysis. Rheumatol Int [Internet]. 1988 Aug [cited 2022 Feb 18];8(4):185–8. Available from: https://pubmed.ncbi.nlm.nih.gov/3187331/</w:t>
      </w:r>
    </w:p>
    <w:p w14:paraId="68A91E9A" w14:textId="77777777" w:rsidR="00FF2830" w:rsidRPr="0002412E" w:rsidRDefault="00FF2830" w:rsidP="00FF2830">
      <w:pPr>
        <w:widowControl w:val="0"/>
        <w:autoSpaceDE w:val="0"/>
        <w:autoSpaceDN w:val="0"/>
        <w:adjustRightInd w:val="0"/>
        <w:spacing w:line="240" w:lineRule="auto"/>
        <w:ind w:left="640" w:hanging="640"/>
        <w:rPr>
          <w:rFonts w:ascii="Calibri" w:hAnsi="Calibri" w:cs="Calibri"/>
          <w:noProof/>
          <w:sz w:val="24"/>
        </w:rPr>
      </w:pPr>
      <w:r w:rsidRPr="0002412E">
        <w:rPr>
          <w:rFonts w:ascii="Calibri" w:hAnsi="Calibri" w:cs="Calibri"/>
          <w:noProof/>
          <w:sz w:val="24"/>
        </w:rPr>
        <w:t xml:space="preserve">34. </w:t>
      </w:r>
      <w:r w:rsidRPr="0002412E">
        <w:rPr>
          <w:rFonts w:ascii="Calibri" w:hAnsi="Calibri" w:cs="Calibri"/>
          <w:noProof/>
          <w:sz w:val="24"/>
        </w:rPr>
        <w:tab/>
        <w:t>Treatment of pachydermoperiostosis pachydermia with botulinum toxin type A | Read by QxMD [Internet]. [cited 2022 Feb 18]. Available from: https://read.qxmd.com/read/20933299/treatment-of-pachydermoperiostosis-pachydermia-with-botulinum-toxin-type-a</w:t>
      </w:r>
    </w:p>
    <w:p w14:paraId="3B07DC7A" w14:textId="77777777" w:rsidR="00FF2830" w:rsidRPr="0002412E" w:rsidRDefault="00FF2830" w:rsidP="00FF2830">
      <w:pPr>
        <w:widowControl w:val="0"/>
        <w:autoSpaceDE w:val="0"/>
        <w:autoSpaceDN w:val="0"/>
        <w:adjustRightInd w:val="0"/>
        <w:spacing w:line="240" w:lineRule="auto"/>
        <w:ind w:left="640" w:hanging="640"/>
        <w:rPr>
          <w:rFonts w:ascii="Calibri" w:hAnsi="Calibri" w:cs="Calibri"/>
          <w:noProof/>
          <w:sz w:val="24"/>
        </w:rPr>
      </w:pPr>
      <w:r w:rsidRPr="0002412E">
        <w:rPr>
          <w:rFonts w:ascii="Calibri" w:hAnsi="Calibri" w:cs="Calibri"/>
          <w:noProof/>
          <w:sz w:val="24"/>
        </w:rPr>
        <w:t xml:space="preserve">35. </w:t>
      </w:r>
      <w:r w:rsidRPr="0002412E">
        <w:rPr>
          <w:rFonts w:ascii="Calibri" w:hAnsi="Calibri" w:cs="Calibri"/>
          <w:noProof/>
          <w:sz w:val="24"/>
        </w:rPr>
        <w:tab/>
        <w:t>Jojima H, Kinoshita K, Naito M. A case of pachydermoperiostosis treated by oral administration of a bisphosphonate and arthroscopic synovectomy. Mod Rheumatol [Internet]. 2007 Aug [cited 2022 Feb 18];17(4):330–2. Available from: https://pubmed.ncbi.nlm.nih.gov/17694269/</w:t>
      </w:r>
    </w:p>
    <w:p w14:paraId="37A208B1" w14:textId="77777777" w:rsidR="00FF2830" w:rsidRPr="0002412E" w:rsidRDefault="00FF2830" w:rsidP="00FF2830">
      <w:pPr>
        <w:widowControl w:val="0"/>
        <w:autoSpaceDE w:val="0"/>
        <w:autoSpaceDN w:val="0"/>
        <w:adjustRightInd w:val="0"/>
        <w:spacing w:line="240" w:lineRule="auto"/>
        <w:ind w:left="640" w:hanging="640"/>
        <w:rPr>
          <w:rFonts w:ascii="Calibri" w:hAnsi="Calibri" w:cs="Calibri"/>
          <w:noProof/>
          <w:sz w:val="24"/>
        </w:rPr>
      </w:pPr>
      <w:r w:rsidRPr="0002412E">
        <w:rPr>
          <w:rFonts w:ascii="Calibri" w:hAnsi="Calibri" w:cs="Calibri"/>
          <w:noProof/>
          <w:sz w:val="24"/>
        </w:rPr>
        <w:t xml:space="preserve">36. </w:t>
      </w:r>
      <w:r w:rsidRPr="0002412E">
        <w:rPr>
          <w:rFonts w:ascii="Calibri" w:hAnsi="Calibri" w:cs="Calibri"/>
          <w:noProof/>
          <w:sz w:val="24"/>
        </w:rPr>
        <w:tab/>
        <w:t xml:space="preserve">Warwas S, Specker C, Jäger M, Landgraeber S. Arthroscopic synovectomy and radiosynoviorthesis: A treatment option for recurrent arthritis symptoms in patients with pachydermoperiostosis. Reumatismo. 2013;65(2):74–7. </w:t>
      </w:r>
    </w:p>
    <w:p w14:paraId="5E343601" w14:textId="77777777" w:rsidR="00FF2830" w:rsidRPr="0002412E" w:rsidRDefault="00FF2830" w:rsidP="00FF2830">
      <w:pPr>
        <w:widowControl w:val="0"/>
        <w:autoSpaceDE w:val="0"/>
        <w:autoSpaceDN w:val="0"/>
        <w:adjustRightInd w:val="0"/>
        <w:spacing w:line="240" w:lineRule="auto"/>
        <w:ind w:left="640" w:hanging="640"/>
        <w:rPr>
          <w:rFonts w:ascii="Calibri" w:hAnsi="Calibri" w:cs="Calibri"/>
          <w:noProof/>
          <w:sz w:val="24"/>
        </w:rPr>
      </w:pPr>
      <w:r w:rsidRPr="0002412E">
        <w:rPr>
          <w:rFonts w:ascii="Calibri" w:hAnsi="Calibri" w:cs="Calibri"/>
          <w:noProof/>
          <w:sz w:val="24"/>
        </w:rPr>
        <w:t xml:space="preserve">37. </w:t>
      </w:r>
      <w:r w:rsidRPr="0002412E">
        <w:rPr>
          <w:rFonts w:ascii="Calibri" w:hAnsi="Calibri" w:cs="Calibri"/>
          <w:noProof/>
          <w:sz w:val="24"/>
        </w:rPr>
        <w:tab/>
        <w:t xml:space="preserve">Zhang H, Yang B. Successful treatment of pachydermoperiostosis patients with etoricoxib, aescin, and arthroscopic synovectomy. Med (United States). 2017 Nov 1;96(47). </w:t>
      </w:r>
    </w:p>
    <w:p w14:paraId="1408BE0D" w14:textId="77777777" w:rsidR="00FF2830" w:rsidRPr="0002412E" w:rsidRDefault="00FF2830" w:rsidP="00FF2830">
      <w:pPr>
        <w:widowControl w:val="0"/>
        <w:autoSpaceDE w:val="0"/>
        <w:autoSpaceDN w:val="0"/>
        <w:adjustRightInd w:val="0"/>
        <w:spacing w:line="240" w:lineRule="auto"/>
        <w:ind w:left="640" w:hanging="640"/>
        <w:rPr>
          <w:rFonts w:ascii="Calibri" w:hAnsi="Calibri" w:cs="Calibri"/>
          <w:noProof/>
          <w:sz w:val="24"/>
        </w:rPr>
      </w:pPr>
      <w:r w:rsidRPr="0002412E">
        <w:rPr>
          <w:rFonts w:ascii="Calibri" w:hAnsi="Calibri" w:cs="Calibri"/>
          <w:noProof/>
          <w:sz w:val="24"/>
        </w:rPr>
        <w:t xml:space="preserve">38. </w:t>
      </w:r>
      <w:r w:rsidRPr="0002412E">
        <w:rPr>
          <w:rFonts w:ascii="Calibri" w:hAnsi="Calibri" w:cs="Calibri"/>
          <w:noProof/>
          <w:sz w:val="24"/>
        </w:rPr>
        <w:tab/>
        <w:t>Pachydermoperiostitis and bisphosphonates - PubMed [Internet]. [cited 2022 Feb 18]. Available from: https://pubmed.ncbi.nlm.nih.gov/16944626/</w:t>
      </w:r>
    </w:p>
    <w:p w14:paraId="2E6FAB9A" w14:textId="77777777" w:rsidR="00FF2830" w:rsidRPr="0002412E" w:rsidRDefault="00FF2830" w:rsidP="00FF2830">
      <w:pPr>
        <w:widowControl w:val="0"/>
        <w:autoSpaceDE w:val="0"/>
        <w:autoSpaceDN w:val="0"/>
        <w:adjustRightInd w:val="0"/>
        <w:spacing w:line="240" w:lineRule="auto"/>
        <w:ind w:left="640" w:hanging="640"/>
        <w:rPr>
          <w:rFonts w:ascii="Calibri" w:hAnsi="Calibri" w:cs="Calibri"/>
          <w:noProof/>
          <w:sz w:val="24"/>
        </w:rPr>
      </w:pPr>
      <w:r w:rsidRPr="0002412E">
        <w:rPr>
          <w:rFonts w:ascii="Calibri" w:hAnsi="Calibri" w:cs="Calibri"/>
          <w:noProof/>
          <w:sz w:val="24"/>
        </w:rPr>
        <w:t xml:space="preserve">39. </w:t>
      </w:r>
      <w:r w:rsidRPr="0002412E">
        <w:rPr>
          <w:rFonts w:ascii="Calibri" w:hAnsi="Calibri" w:cs="Calibri"/>
          <w:noProof/>
          <w:sz w:val="24"/>
        </w:rPr>
        <w:tab/>
        <w:t>Li S-S, He J-W, Fu W-Z, Liu Y-J, Hu Y-Q, Zhang Z-L. Clinical, Biochemical, and Genetic Features of 41 Han Chinese Families With Primary Hypertrophic Osteoarthropathy, and Their Therapeutic Response to Etoricoxib: Results From a Six-Month Prospective Clinical Intervention. 2017 [cited 2022 Feb 19]; Available from: http://www.chictr.org.cn</w:t>
      </w:r>
    </w:p>
    <w:p w14:paraId="0D16F33D" w14:textId="77777777" w:rsidR="00FF2830" w:rsidRPr="00215D67" w:rsidRDefault="00FF2830" w:rsidP="00FF2830">
      <w:pPr>
        <w:widowControl w:val="0"/>
        <w:autoSpaceDE w:val="0"/>
        <w:autoSpaceDN w:val="0"/>
        <w:adjustRightInd w:val="0"/>
        <w:spacing w:line="240" w:lineRule="auto"/>
        <w:ind w:left="640" w:hanging="640"/>
        <w:rPr>
          <w:sz w:val="24"/>
          <w:szCs w:val="24"/>
        </w:rPr>
      </w:pPr>
      <w:r>
        <w:rPr>
          <w:sz w:val="24"/>
          <w:szCs w:val="24"/>
        </w:rPr>
        <w:fldChar w:fldCharType="end"/>
      </w:r>
    </w:p>
    <w:p w14:paraId="17BBE58D" w14:textId="42C85DB4" w:rsidR="00FF2830" w:rsidRDefault="00FF2830"/>
    <w:p w14:paraId="1BBFA0A7" w14:textId="2182ED7A" w:rsidR="00EF12CA" w:rsidRDefault="00EF12CA"/>
    <w:p w14:paraId="36DD2DC0" w14:textId="5E30DCB7" w:rsidR="00EF12CA" w:rsidRDefault="00EF12CA"/>
    <w:p w14:paraId="13903AA4" w14:textId="1ADAA05B" w:rsidR="00EF12CA" w:rsidRDefault="00EF12CA"/>
    <w:p w14:paraId="50469661" w14:textId="12487457" w:rsidR="00166F6F" w:rsidRPr="00AD0C21" w:rsidRDefault="00166F6F">
      <w:pPr>
        <w:rPr>
          <w:b/>
          <w:bCs/>
          <w:sz w:val="24"/>
          <w:szCs w:val="24"/>
          <w:u w:val="single"/>
        </w:rPr>
      </w:pPr>
      <w:r w:rsidRPr="00AD0C21">
        <w:rPr>
          <w:b/>
          <w:bCs/>
          <w:sz w:val="24"/>
          <w:szCs w:val="24"/>
          <w:u w:val="single"/>
        </w:rPr>
        <w:lastRenderedPageBreak/>
        <w:t>Consent Statement:</w:t>
      </w:r>
    </w:p>
    <w:p w14:paraId="00A3DE77" w14:textId="3688F26B" w:rsidR="00166F6F" w:rsidRPr="00166F6F" w:rsidRDefault="00166F6F">
      <w:pPr>
        <w:rPr>
          <w:sz w:val="24"/>
          <w:szCs w:val="24"/>
        </w:rPr>
      </w:pPr>
      <w:r w:rsidRPr="00166F6F">
        <w:rPr>
          <w:sz w:val="24"/>
          <w:szCs w:val="24"/>
        </w:rPr>
        <w:t xml:space="preserve">Informed written consent was obtained from </w:t>
      </w:r>
      <w:r>
        <w:rPr>
          <w:sz w:val="24"/>
          <w:szCs w:val="24"/>
        </w:rPr>
        <w:t xml:space="preserve">the </w:t>
      </w:r>
      <w:r w:rsidRPr="00166F6F">
        <w:rPr>
          <w:sz w:val="24"/>
          <w:szCs w:val="24"/>
        </w:rPr>
        <w:t xml:space="preserve">patient to publish this case report in accordance with </w:t>
      </w:r>
      <w:r w:rsidR="008653EC">
        <w:rPr>
          <w:sz w:val="24"/>
          <w:szCs w:val="24"/>
        </w:rPr>
        <w:t xml:space="preserve">the </w:t>
      </w:r>
      <w:r w:rsidRPr="00166F6F">
        <w:rPr>
          <w:sz w:val="24"/>
          <w:szCs w:val="24"/>
        </w:rPr>
        <w:t>journal's patient consent policy.</w:t>
      </w:r>
    </w:p>
    <w:p w14:paraId="1CE8831F" w14:textId="0EBB3F7D" w:rsidR="00EF12CA" w:rsidRDefault="00EF12CA">
      <w:r>
        <w:rPr>
          <w:noProof/>
        </w:rPr>
        <w:drawing>
          <wp:inline distT="0" distB="0" distL="0" distR="0" wp14:anchorId="48E1C589" wp14:editId="2A425BAC">
            <wp:extent cx="5755536" cy="7123814"/>
            <wp:effectExtent l="0" t="0" r="0" b="127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771590" cy="7143685"/>
                    </a:xfrm>
                    <a:prstGeom prst="rect">
                      <a:avLst/>
                    </a:prstGeom>
                  </pic:spPr>
                </pic:pic>
              </a:graphicData>
            </a:graphic>
          </wp:inline>
        </w:drawing>
      </w:r>
    </w:p>
    <w:p w14:paraId="407F5C27" w14:textId="044C1A21" w:rsidR="00EF12CA" w:rsidRDefault="00EF12CA">
      <w:r>
        <w:rPr>
          <w:noProof/>
        </w:rPr>
        <w:lastRenderedPageBreak/>
        <w:drawing>
          <wp:inline distT="0" distB="0" distL="0" distR="0" wp14:anchorId="769318F6" wp14:editId="5058FF29">
            <wp:extent cx="5943600" cy="7791450"/>
            <wp:effectExtent l="0" t="0" r="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943600" cy="7791450"/>
                    </a:xfrm>
                    <a:prstGeom prst="rect">
                      <a:avLst/>
                    </a:prstGeom>
                  </pic:spPr>
                </pic:pic>
              </a:graphicData>
            </a:graphic>
          </wp:inline>
        </w:drawing>
      </w:r>
    </w:p>
    <w:sectPr w:rsidR="00EF12CA">
      <w:pgSz w:w="12240" w:h="15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Helvetica">
    <w:panose1 w:val="00000000000000000000"/>
    <w:charset w:val="00"/>
    <w:family w:val="auto"/>
    <w:pitch w:val="variable"/>
    <w:sig w:usb0="E00002FF" w:usb1="5000785B" w:usb2="00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7791B"/>
    <w:rsid w:val="00166F6F"/>
    <w:rsid w:val="001A19B9"/>
    <w:rsid w:val="005B698F"/>
    <w:rsid w:val="008653EC"/>
    <w:rsid w:val="0097422A"/>
    <w:rsid w:val="00A117AB"/>
    <w:rsid w:val="00A47F39"/>
    <w:rsid w:val="00A7791B"/>
    <w:rsid w:val="00AA6622"/>
    <w:rsid w:val="00AD0C21"/>
    <w:rsid w:val="00C56FC4"/>
    <w:rsid w:val="00CE1C97"/>
    <w:rsid w:val="00EF12CA"/>
    <w:rsid w:val="00FF2830"/>
  </w:rsids>
  <m:mathPr>
    <m:mathFont m:val="Cambria Math"/>
    <m:brkBin m:val="before"/>
    <m:brkBinSub m:val="--"/>
    <m:smallFrac m:val="0"/>
    <m:dispDef/>
    <m:lMargin m:val="0"/>
    <m:rMargin m:val="0"/>
    <m:defJc m:val="centerGroup"/>
    <m:wrapIndent m:val="1440"/>
    <m:intLim m:val="subSup"/>
    <m:naryLim m:val="undOvr"/>
  </m:mathPr>
  <w:themeFontLang w:val="en-NP"/>
  <w:clrSchemeMapping w:bg1="light1" w:t1="dark1" w:bg2="light2" w:t2="dark2" w:accent1="accent1" w:accent2="accent2" w:accent3="accent3" w:accent4="accent4" w:accent5="accent5" w:accent6="accent6" w:hyperlink="hyperlink" w:followedHyperlink="followedHyperlink"/>
  <w:decimalSymbol w:val="."/>
  <w:listSeparator w:val=","/>
  <w14:docId w14:val="3BC9A94F"/>
  <w15:chartTrackingRefBased/>
  <w15:docId w15:val="{18397A32-001F-204A-A9E7-E06CBEAB40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NP"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7791B"/>
    <w:pPr>
      <w:spacing w:after="200" w:line="276" w:lineRule="auto"/>
    </w:pPr>
    <w:rPr>
      <w:sz w:val="22"/>
      <w:szCs w:val="20"/>
      <w:lang w:val="en-US" w:bidi="ne-NP"/>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1A19B9"/>
    <w:rPr>
      <w:color w:val="0563C1" w:themeColor="hyperlink"/>
      <w:u w:val="single"/>
    </w:rPr>
  </w:style>
  <w:style w:type="character" w:styleId="UnresolvedMention">
    <w:name w:val="Unresolved Mention"/>
    <w:basedOn w:val="DefaultParagraphFont"/>
    <w:uiPriority w:val="99"/>
    <w:semiHidden/>
    <w:unhideWhenUsed/>
    <w:rsid w:val="001A19B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2.jpeg"/><Relationship Id="rId12" Type="http://schemas.openxmlformats.org/officeDocument/2006/relationships/image" Target="media/image7.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1.jpeg"/><Relationship Id="rId1" Type="http://schemas.openxmlformats.org/officeDocument/2006/relationships/customXml" Target="../customXml/item1.xml"/><Relationship Id="rId6" Type="http://schemas.openxmlformats.org/officeDocument/2006/relationships/image" Target="media/image1.jpg"/><Relationship Id="rId11" Type="http://schemas.openxmlformats.org/officeDocument/2006/relationships/image" Target="media/image6.png"/><Relationship Id="rId5" Type="http://schemas.openxmlformats.org/officeDocument/2006/relationships/hyperlink" Target="mailto:abinashbaniya25@gmail.com" TargetMode="External"/><Relationship Id="rId15" Type="http://schemas.openxmlformats.org/officeDocument/2006/relationships/image" Target="media/image10.jpeg"/><Relationship Id="rId10" Type="http://schemas.openxmlformats.org/officeDocument/2006/relationships/image" Target="media/image5.jpg"/><Relationship Id="rId4" Type="http://schemas.openxmlformats.org/officeDocument/2006/relationships/webSettings" Target="webSettings.xml"/><Relationship Id="rId9" Type="http://schemas.openxmlformats.org/officeDocument/2006/relationships/image" Target="media/image4.jpeg"/><Relationship Id="rId14"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D04BB4-83F0-3E4D-B303-698B44AED0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30</TotalTime>
  <Pages>13</Pages>
  <Words>15836</Words>
  <Characters>90267</Characters>
  <Application>Microsoft Office Word</Application>
  <DocSecurity>0</DocSecurity>
  <Lines>752</Lines>
  <Paragraphs>211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105892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abinashbaniya25@gmail.com</dc:creator>
  <cp:keywords/>
  <dc:description/>
  <cp:lastModifiedBy>abinashbaniya25@gmail.com</cp:lastModifiedBy>
  <cp:revision>11</cp:revision>
  <dcterms:created xsi:type="dcterms:W3CDTF">2022-11-06T06:01:00Z</dcterms:created>
  <dcterms:modified xsi:type="dcterms:W3CDTF">2022-11-20T05:16:00Z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Citation Style_1">
    <vt:lpwstr>http://www.zotero.org/styles/american-medical-association</vt:lpwstr>
  </property>
  <property fmtid="{D5CDD505-2E9C-101B-9397-08002B2CF9AE}" pid="4" name="Mendeley Unique User Id_1">
    <vt:lpwstr>12e3ca8b-ed0d-3168-996a-d6f024947e8d</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 11th edition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http://www.zotero.org/styles/american-sociological-association</vt:lpwstr>
  </property>
  <property fmtid="{D5CDD505-2E9C-101B-9397-08002B2CF9AE}" pid="10" name="Mendeley Recent Style Name 2_1">
    <vt:lpwstr>American Sociological Association 6th edition</vt:lpwstr>
  </property>
  <property fmtid="{D5CDD505-2E9C-101B-9397-08002B2CF9AE}" pid="11" name="Mendeley Recent Style Id 3_1">
    <vt:lpwstr>http://www.zotero.org/styles/chicago-author-date</vt:lpwstr>
  </property>
  <property fmtid="{D5CDD505-2E9C-101B-9397-08002B2CF9AE}" pid="12" name="Mendeley Recent Style Name 3_1">
    <vt:lpwstr>Chicago Manual of Style 17th edition (author-date)</vt:lpwstr>
  </property>
  <property fmtid="{D5CDD505-2E9C-101B-9397-08002B2CF9AE}" pid="13" name="Mendeley Recent Style Id 4_1">
    <vt:lpwstr>http://www.zotero.org/styles/harvard-cite-them-right</vt:lpwstr>
  </property>
  <property fmtid="{D5CDD505-2E9C-101B-9397-08002B2CF9AE}" pid="14" name="Mendeley Recent Style Name 4_1">
    <vt:lpwstr>Cite Them Right 10th edition - Harvard</vt:lpwstr>
  </property>
  <property fmtid="{D5CDD505-2E9C-101B-9397-08002B2CF9AE}" pid="15" name="Mendeley Recent Style Id 5_1">
    <vt:lpwstr>http://www.zotero.org/styles/ieee</vt:lpwstr>
  </property>
  <property fmtid="{D5CDD505-2E9C-101B-9397-08002B2CF9AE}" pid="16" name="Mendeley Recent Style Name 5_1">
    <vt:lpwstr>IEEE</vt:lpwstr>
  </property>
  <property fmtid="{D5CDD505-2E9C-101B-9397-08002B2CF9AE}" pid="17" name="Mendeley Recent Style Id 6_1">
    <vt:lpwstr>http://www.zotero.org/styles/journal-of-the-american-heart-association</vt:lpwstr>
  </property>
  <property fmtid="{D5CDD505-2E9C-101B-9397-08002B2CF9AE}" pid="18" name="Mendeley Recent Style Name 6_1">
    <vt:lpwstr>Journal of the American Heart Association</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8th edition</vt:lpwstr>
  </property>
  <property fmtid="{D5CDD505-2E9C-101B-9397-08002B2CF9AE}" pid="23" name="Mendeley Recent Style Id 9_1">
    <vt:lpwstr>http://www.zotero.org/styles/vancouver</vt:lpwstr>
  </property>
  <property fmtid="{D5CDD505-2E9C-101B-9397-08002B2CF9AE}" pid="24" name="Mendeley Recent Style Name 9_1">
    <vt:lpwstr>Vancouver</vt:lpwstr>
  </property>
</Properties>
</file>