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F8FCB1" w14:textId="77777777" w:rsidR="0006118D" w:rsidRPr="001F05AA" w:rsidRDefault="00000000">
      <w:pPr>
        <w:pBdr>
          <w:top w:val="nil"/>
          <w:left w:val="nil"/>
          <w:bottom w:val="nil"/>
          <w:right w:val="nil"/>
          <w:between w:val="nil"/>
        </w:pBdr>
        <w:spacing w:before="240" w:after="240"/>
        <w:jc w:val="center"/>
        <w:rPr>
          <w:rFonts w:eastAsia="Times New Roman"/>
          <w:b/>
          <w:color w:val="000000"/>
          <w:sz w:val="28"/>
          <w:szCs w:val="28"/>
        </w:rPr>
      </w:pPr>
      <w:r w:rsidRPr="001F05AA">
        <w:rPr>
          <w:rFonts w:eastAsia="Times New Roman"/>
          <w:b/>
          <w:color w:val="000000"/>
          <w:sz w:val="28"/>
          <w:szCs w:val="28"/>
        </w:rPr>
        <w:t>Reservoir Drawdown Highlights the Emergent Effects of Water Level Change on Reservoir Physics, Chemistry, and Biology</w:t>
      </w:r>
    </w:p>
    <w:p w14:paraId="60031007" w14:textId="77777777" w:rsidR="0006118D" w:rsidRPr="001F05AA" w:rsidRDefault="00000000">
      <w:pPr>
        <w:pBdr>
          <w:top w:val="nil"/>
          <w:left w:val="nil"/>
          <w:bottom w:val="nil"/>
          <w:right w:val="nil"/>
          <w:between w:val="nil"/>
        </w:pBdr>
        <w:spacing w:before="240" w:after="240"/>
        <w:rPr>
          <w:rFonts w:eastAsia="Times New Roman"/>
          <w:b/>
          <w:color w:val="000000"/>
          <w:sz w:val="24"/>
          <w:szCs w:val="24"/>
        </w:rPr>
      </w:pPr>
      <w:r w:rsidRPr="001F05AA">
        <w:rPr>
          <w:rFonts w:eastAsia="Times New Roman"/>
          <w:b/>
          <w:color w:val="000000"/>
          <w:sz w:val="24"/>
          <w:szCs w:val="24"/>
        </w:rPr>
        <w:t>Abigail S. L. Lewis</w:t>
      </w:r>
      <w:r w:rsidRPr="001F05AA">
        <w:rPr>
          <w:rFonts w:eastAsia="Times New Roman"/>
          <w:b/>
          <w:color w:val="000000"/>
          <w:sz w:val="24"/>
          <w:szCs w:val="24"/>
          <w:vertAlign w:val="superscript"/>
        </w:rPr>
        <w:t>1</w:t>
      </w:r>
      <w:r w:rsidRPr="001F05AA">
        <w:rPr>
          <w:rFonts w:eastAsia="Times New Roman"/>
          <w:b/>
          <w:color w:val="000000"/>
          <w:sz w:val="24"/>
          <w:szCs w:val="24"/>
        </w:rPr>
        <w:t>, Adrienne Breef-Pilz</w:t>
      </w:r>
      <w:r w:rsidRPr="001F05AA">
        <w:rPr>
          <w:rFonts w:eastAsia="Times New Roman"/>
          <w:b/>
          <w:color w:val="000000"/>
          <w:sz w:val="24"/>
          <w:szCs w:val="24"/>
          <w:vertAlign w:val="superscript"/>
        </w:rPr>
        <w:t>1</w:t>
      </w:r>
      <w:r w:rsidRPr="001F05AA">
        <w:rPr>
          <w:rFonts w:eastAsia="Times New Roman"/>
          <w:b/>
          <w:color w:val="000000"/>
          <w:sz w:val="24"/>
          <w:szCs w:val="24"/>
        </w:rPr>
        <w:t>, Dexter W. Howard</w:t>
      </w:r>
      <w:r w:rsidRPr="001F05AA">
        <w:rPr>
          <w:rFonts w:eastAsia="Times New Roman"/>
          <w:b/>
          <w:color w:val="000000"/>
          <w:sz w:val="24"/>
          <w:szCs w:val="24"/>
          <w:vertAlign w:val="superscript"/>
        </w:rPr>
        <w:t>1</w:t>
      </w:r>
      <w:r w:rsidRPr="001F05AA">
        <w:rPr>
          <w:rFonts w:eastAsia="Times New Roman"/>
          <w:b/>
          <w:color w:val="000000"/>
          <w:sz w:val="24"/>
          <w:szCs w:val="24"/>
        </w:rPr>
        <w:t>, Mary E. Lofton</w:t>
      </w:r>
      <w:r w:rsidRPr="001F05AA">
        <w:rPr>
          <w:rFonts w:eastAsia="Times New Roman"/>
          <w:b/>
          <w:color w:val="000000"/>
          <w:sz w:val="24"/>
          <w:szCs w:val="24"/>
          <w:vertAlign w:val="superscript"/>
        </w:rPr>
        <w:t>1</w:t>
      </w:r>
      <w:r w:rsidRPr="001F05AA">
        <w:rPr>
          <w:rFonts w:eastAsia="Times New Roman"/>
          <w:b/>
          <w:color w:val="000000"/>
          <w:sz w:val="24"/>
          <w:szCs w:val="24"/>
        </w:rPr>
        <w:t>, Freya Olsson</w:t>
      </w:r>
      <w:r w:rsidRPr="001F05AA">
        <w:rPr>
          <w:rFonts w:eastAsia="Times New Roman"/>
          <w:b/>
          <w:color w:val="000000"/>
          <w:sz w:val="24"/>
          <w:szCs w:val="24"/>
          <w:vertAlign w:val="superscript"/>
        </w:rPr>
        <w:t>1</w:t>
      </w:r>
      <w:r w:rsidRPr="001F05AA">
        <w:rPr>
          <w:rFonts w:eastAsia="Times New Roman"/>
          <w:b/>
          <w:color w:val="000000"/>
          <w:sz w:val="24"/>
          <w:szCs w:val="24"/>
        </w:rPr>
        <w:t>, Heather L. Wander</w:t>
      </w:r>
      <w:r w:rsidRPr="001F05AA">
        <w:rPr>
          <w:rFonts w:eastAsia="Times New Roman"/>
          <w:b/>
          <w:color w:val="000000"/>
          <w:sz w:val="24"/>
          <w:szCs w:val="24"/>
          <w:vertAlign w:val="superscript"/>
        </w:rPr>
        <w:t>1</w:t>
      </w:r>
      <w:r w:rsidRPr="001F05AA">
        <w:rPr>
          <w:rFonts w:eastAsia="Times New Roman"/>
          <w:b/>
          <w:color w:val="000000"/>
          <w:sz w:val="24"/>
          <w:szCs w:val="24"/>
        </w:rPr>
        <w:t>, Cecelia E. Wood</w:t>
      </w:r>
      <w:r w:rsidRPr="001F05AA">
        <w:rPr>
          <w:rFonts w:eastAsia="Times New Roman"/>
          <w:b/>
          <w:color w:val="000000"/>
          <w:sz w:val="24"/>
          <w:szCs w:val="24"/>
          <w:vertAlign w:val="superscript"/>
        </w:rPr>
        <w:t>2</w:t>
      </w:r>
      <w:r w:rsidRPr="001F05AA">
        <w:rPr>
          <w:rFonts w:eastAsia="Times New Roman"/>
          <w:b/>
          <w:color w:val="000000"/>
          <w:sz w:val="24"/>
          <w:szCs w:val="24"/>
        </w:rPr>
        <w:t>, Madeline E. Schreiber</w:t>
      </w:r>
      <w:r w:rsidRPr="001F05AA">
        <w:rPr>
          <w:rFonts w:eastAsia="Times New Roman"/>
          <w:b/>
          <w:color w:val="000000"/>
          <w:sz w:val="24"/>
          <w:szCs w:val="24"/>
          <w:vertAlign w:val="superscript"/>
        </w:rPr>
        <w:t>2</w:t>
      </w:r>
      <w:r w:rsidRPr="001F05AA">
        <w:rPr>
          <w:rFonts w:eastAsia="Times New Roman"/>
          <w:b/>
          <w:color w:val="000000"/>
          <w:sz w:val="24"/>
          <w:szCs w:val="24"/>
        </w:rPr>
        <w:t>, Cayelan C. Carey</w:t>
      </w:r>
      <w:r w:rsidRPr="001F05AA">
        <w:rPr>
          <w:rFonts w:eastAsia="Times New Roman"/>
          <w:b/>
          <w:color w:val="000000"/>
          <w:sz w:val="24"/>
          <w:szCs w:val="24"/>
          <w:vertAlign w:val="superscript"/>
        </w:rPr>
        <w:t xml:space="preserve">1 </w:t>
      </w:r>
    </w:p>
    <w:p w14:paraId="708AD4CD" w14:textId="77777777" w:rsidR="0006118D" w:rsidRPr="001F05AA" w:rsidRDefault="00000000">
      <w:pPr>
        <w:pBdr>
          <w:top w:val="nil"/>
          <w:left w:val="nil"/>
          <w:bottom w:val="nil"/>
          <w:right w:val="nil"/>
          <w:between w:val="nil"/>
        </w:pBdr>
        <w:spacing w:before="120"/>
        <w:rPr>
          <w:rFonts w:eastAsia="Times New Roman"/>
          <w:color w:val="000000"/>
          <w:sz w:val="24"/>
          <w:szCs w:val="24"/>
        </w:rPr>
      </w:pPr>
      <w:r w:rsidRPr="001F05AA">
        <w:rPr>
          <w:rFonts w:eastAsia="Times New Roman"/>
          <w:color w:val="000000"/>
          <w:sz w:val="24"/>
          <w:szCs w:val="24"/>
          <w:vertAlign w:val="superscript"/>
        </w:rPr>
        <w:t>1</w:t>
      </w:r>
      <w:r w:rsidRPr="001F05AA">
        <w:rPr>
          <w:rFonts w:eastAsia="Times New Roman"/>
          <w:color w:val="000000"/>
          <w:sz w:val="24"/>
          <w:szCs w:val="24"/>
        </w:rPr>
        <w:t xml:space="preserve"> Department of Biological Sciences, Virginia Tech, Blacksburg, VA USA 24061</w:t>
      </w:r>
    </w:p>
    <w:p w14:paraId="1912AAC5" w14:textId="77777777" w:rsidR="0006118D" w:rsidRPr="001F05AA" w:rsidRDefault="00000000">
      <w:pPr>
        <w:pBdr>
          <w:top w:val="nil"/>
          <w:left w:val="nil"/>
          <w:bottom w:val="nil"/>
          <w:right w:val="nil"/>
          <w:between w:val="nil"/>
        </w:pBdr>
        <w:spacing w:before="120"/>
        <w:rPr>
          <w:rFonts w:eastAsia="Times New Roman"/>
          <w:color w:val="000000"/>
          <w:sz w:val="24"/>
          <w:szCs w:val="24"/>
        </w:rPr>
      </w:pPr>
      <w:r w:rsidRPr="001F05AA">
        <w:rPr>
          <w:rFonts w:eastAsia="Times New Roman"/>
          <w:color w:val="000000"/>
          <w:sz w:val="24"/>
          <w:szCs w:val="24"/>
          <w:vertAlign w:val="superscript"/>
        </w:rPr>
        <w:t>2</w:t>
      </w:r>
      <w:r w:rsidRPr="001F05AA">
        <w:rPr>
          <w:rFonts w:eastAsia="Times New Roman"/>
          <w:color w:val="000000"/>
          <w:sz w:val="24"/>
          <w:szCs w:val="24"/>
        </w:rPr>
        <w:t xml:space="preserve"> Department of Geosciences, Virginia Tech, Blacksburg, VA USA 24061</w:t>
      </w:r>
    </w:p>
    <w:p w14:paraId="7C2E096D" w14:textId="77777777" w:rsidR="0006118D" w:rsidRPr="001F05AA" w:rsidRDefault="00000000">
      <w:pPr>
        <w:pBdr>
          <w:top w:val="nil"/>
          <w:left w:val="nil"/>
          <w:bottom w:val="nil"/>
          <w:right w:val="nil"/>
          <w:between w:val="nil"/>
        </w:pBdr>
        <w:spacing w:before="120"/>
        <w:rPr>
          <w:rFonts w:eastAsia="Times New Roman"/>
          <w:color w:val="000000"/>
          <w:sz w:val="24"/>
          <w:szCs w:val="24"/>
        </w:rPr>
      </w:pPr>
      <w:r w:rsidRPr="001F05AA">
        <w:rPr>
          <w:rFonts w:eastAsia="Times New Roman"/>
          <w:color w:val="000000"/>
          <w:sz w:val="24"/>
          <w:szCs w:val="24"/>
        </w:rPr>
        <w:t>Corresponding author: Abigail Lewis (aslewis@vt.edu)</w:t>
      </w:r>
    </w:p>
    <w:p w14:paraId="0D2C8DD7" w14:textId="77777777" w:rsidR="0006118D" w:rsidRPr="001F05AA" w:rsidRDefault="00000000">
      <w:pPr>
        <w:keepNext/>
        <w:pBdr>
          <w:top w:val="nil"/>
          <w:left w:val="nil"/>
          <w:bottom w:val="nil"/>
          <w:right w:val="nil"/>
          <w:between w:val="nil"/>
        </w:pBdr>
        <w:spacing w:before="240" w:after="120"/>
        <w:rPr>
          <w:rFonts w:eastAsia="Times New Roman"/>
          <w:b/>
          <w:color w:val="000000"/>
          <w:sz w:val="24"/>
          <w:szCs w:val="24"/>
        </w:rPr>
      </w:pPr>
      <w:r w:rsidRPr="001F05AA">
        <w:rPr>
          <w:rFonts w:eastAsia="Times New Roman"/>
          <w:b/>
          <w:color w:val="000000"/>
          <w:sz w:val="24"/>
          <w:szCs w:val="24"/>
        </w:rPr>
        <w:t>Key Points:</w:t>
      </w:r>
    </w:p>
    <w:p w14:paraId="014A3286" w14:textId="77777777" w:rsidR="0006118D" w:rsidRPr="001F05AA" w:rsidRDefault="00000000">
      <w:pPr>
        <w:numPr>
          <w:ilvl w:val="0"/>
          <w:numId w:val="1"/>
        </w:numPr>
        <w:pBdr>
          <w:top w:val="nil"/>
          <w:left w:val="nil"/>
          <w:bottom w:val="nil"/>
          <w:right w:val="nil"/>
          <w:between w:val="nil"/>
        </w:pBdr>
        <w:spacing w:before="120"/>
        <w:rPr>
          <w:sz w:val="24"/>
          <w:szCs w:val="24"/>
        </w:rPr>
      </w:pPr>
      <w:r w:rsidRPr="001F05AA">
        <w:rPr>
          <w:sz w:val="24"/>
          <w:szCs w:val="24"/>
        </w:rPr>
        <w:t>A month-long drawdown (36% volume reduction) in a eutrophic reservoir substantially changed water quality relative to a reference year</w:t>
      </w:r>
    </w:p>
    <w:p w14:paraId="1680E1C0" w14:textId="77777777" w:rsidR="0006118D" w:rsidRPr="001F05AA" w:rsidRDefault="00000000">
      <w:pPr>
        <w:numPr>
          <w:ilvl w:val="0"/>
          <w:numId w:val="1"/>
        </w:numPr>
        <w:pBdr>
          <w:top w:val="nil"/>
          <w:left w:val="nil"/>
          <w:bottom w:val="nil"/>
          <w:right w:val="nil"/>
          <w:between w:val="nil"/>
        </w:pBdr>
        <w:spacing w:before="120"/>
        <w:rPr>
          <w:rFonts w:eastAsia="Times New Roman"/>
          <w:sz w:val="24"/>
          <w:szCs w:val="24"/>
        </w:rPr>
      </w:pPr>
      <w:r w:rsidRPr="001F05AA">
        <w:rPr>
          <w:rFonts w:eastAsia="Times New Roman"/>
          <w:sz w:val="24"/>
          <w:szCs w:val="24"/>
        </w:rPr>
        <w:t>Coincident with drawdown, both stratification strength at the thermocline and epilimnetic nutrient concentrations increased</w:t>
      </w:r>
    </w:p>
    <w:p w14:paraId="69613686" w14:textId="77777777" w:rsidR="0006118D" w:rsidRPr="001F05AA" w:rsidRDefault="00000000">
      <w:pPr>
        <w:numPr>
          <w:ilvl w:val="0"/>
          <w:numId w:val="1"/>
        </w:numPr>
        <w:pBdr>
          <w:top w:val="nil"/>
          <w:left w:val="nil"/>
          <w:bottom w:val="nil"/>
          <w:right w:val="nil"/>
          <w:between w:val="nil"/>
        </w:pBdr>
        <w:spacing w:before="120"/>
        <w:rPr>
          <w:rFonts w:eastAsia="Times New Roman"/>
          <w:sz w:val="24"/>
          <w:szCs w:val="24"/>
        </w:rPr>
      </w:pPr>
      <w:r w:rsidRPr="001F05AA">
        <w:rPr>
          <w:rFonts w:eastAsia="Times New Roman"/>
          <w:sz w:val="24"/>
          <w:szCs w:val="24"/>
        </w:rPr>
        <w:t>A subsequent cyanobacterial bloom led to decreased surface dissolved oxygen and increases in solutes associated with bloom degradation</w:t>
      </w:r>
      <w:r w:rsidRPr="001F05AA">
        <w:br w:type="page"/>
      </w:r>
    </w:p>
    <w:p w14:paraId="5175ABBA" w14:textId="77777777" w:rsidR="0006118D" w:rsidRPr="001F05AA" w:rsidRDefault="00000000">
      <w:pPr>
        <w:keepNext/>
        <w:pBdr>
          <w:top w:val="nil"/>
          <w:left w:val="nil"/>
          <w:bottom w:val="nil"/>
          <w:right w:val="nil"/>
          <w:between w:val="nil"/>
        </w:pBdr>
        <w:spacing w:before="240" w:after="120"/>
        <w:rPr>
          <w:rFonts w:eastAsia="Times New Roman"/>
          <w:b/>
          <w:color w:val="000000"/>
          <w:sz w:val="24"/>
          <w:szCs w:val="24"/>
        </w:rPr>
      </w:pPr>
      <w:r w:rsidRPr="001F05AA">
        <w:rPr>
          <w:rFonts w:eastAsia="Times New Roman"/>
          <w:b/>
          <w:color w:val="000000"/>
          <w:sz w:val="24"/>
          <w:szCs w:val="24"/>
        </w:rPr>
        <w:lastRenderedPageBreak/>
        <w:t>Abstract</w:t>
      </w:r>
    </w:p>
    <w:p w14:paraId="2A49D62A" w14:textId="76B6AED4" w:rsidR="0006118D" w:rsidRPr="001F05AA" w:rsidRDefault="00000000">
      <w:pPr>
        <w:pBdr>
          <w:top w:val="nil"/>
          <w:left w:val="nil"/>
          <w:bottom w:val="nil"/>
          <w:right w:val="nil"/>
          <w:between w:val="nil"/>
        </w:pBdr>
        <w:spacing w:before="120"/>
        <w:rPr>
          <w:sz w:val="24"/>
          <w:szCs w:val="24"/>
        </w:rPr>
      </w:pPr>
      <w:r w:rsidRPr="001F05AA">
        <w:rPr>
          <w:rFonts w:eastAsia="Times New Roman"/>
          <w:color w:val="000000"/>
          <w:sz w:val="24"/>
          <w:szCs w:val="24"/>
        </w:rPr>
        <w:t xml:space="preserve">Water level drawdowns are increasingly common in lakes and reservoirs worldwide as a result of both climate change and water management. Drawdowns can have direct effects on physical properties of a waterbody (e.g., by altering stratification and light dynamics), </w:t>
      </w:r>
      <w:r w:rsidR="00155131">
        <w:rPr>
          <w:rFonts w:eastAsia="Times New Roman"/>
          <w:color w:val="000000"/>
          <w:sz w:val="24"/>
          <w:szCs w:val="24"/>
        </w:rPr>
        <w:t>which</w:t>
      </w:r>
      <w:r w:rsidRPr="001F05AA">
        <w:rPr>
          <w:sz w:val="24"/>
          <w:szCs w:val="24"/>
        </w:rPr>
        <w:t xml:space="preserve"> can interact to modify the</w:t>
      </w:r>
      <w:r w:rsidRPr="001F05AA">
        <w:rPr>
          <w:rFonts w:eastAsia="Times New Roman"/>
          <w:color w:val="000000"/>
          <w:sz w:val="24"/>
          <w:szCs w:val="24"/>
        </w:rPr>
        <w:t xml:space="preserve"> waterbody’s biology and chemistry. However, the ecosystem-</w:t>
      </w:r>
      <w:r w:rsidRPr="001F05AA">
        <w:rPr>
          <w:sz w:val="24"/>
          <w:szCs w:val="24"/>
        </w:rPr>
        <w:t>level</w:t>
      </w:r>
      <w:r w:rsidRPr="001F05AA">
        <w:rPr>
          <w:rFonts w:eastAsia="Times New Roman"/>
          <w:color w:val="000000"/>
          <w:sz w:val="24"/>
          <w:szCs w:val="24"/>
        </w:rPr>
        <w:t xml:space="preserve"> effects of drawdown remain poorly characterized in small, thermally-stratified reservoirs, which are common in </w:t>
      </w:r>
      <w:r w:rsidRPr="001F05AA">
        <w:rPr>
          <w:sz w:val="24"/>
          <w:szCs w:val="24"/>
        </w:rPr>
        <w:t xml:space="preserve">many </w:t>
      </w:r>
      <w:r w:rsidR="00155131">
        <w:rPr>
          <w:sz w:val="24"/>
          <w:szCs w:val="24"/>
        </w:rPr>
        <w:t>regions</w:t>
      </w:r>
      <w:r w:rsidRPr="001F05AA">
        <w:rPr>
          <w:sz w:val="24"/>
          <w:szCs w:val="24"/>
        </w:rPr>
        <w:t xml:space="preserve"> of the world</w:t>
      </w:r>
      <w:r w:rsidRPr="001F05AA">
        <w:rPr>
          <w:rFonts w:eastAsia="Times New Roman"/>
          <w:color w:val="000000"/>
          <w:sz w:val="24"/>
          <w:szCs w:val="24"/>
        </w:rPr>
        <w:t xml:space="preserve">. Here, we intensively monitored a small eutrophic reservoir for two years, including before, during, and after a month-long drawdown that reduced total reservoir volume by 36%. During drawdown, stratification strength (maximum buoyancy frequency) and surface phosphate concentrations both increased, contributing to a substantial surface phytoplankton bloom. The peak in phytoplankton biomass was followed by cascading changes in surface water chemistry </w:t>
      </w:r>
      <w:r w:rsidRPr="001F05AA">
        <w:rPr>
          <w:sz w:val="24"/>
          <w:szCs w:val="24"/>
        </w:rPr>
        <w:t>associated with bloom degradation</w:t>
      </w:r>
      <w:r w:rsidRPr="001F05AA">
        <w:rPr>
          <w:rFonts w:eastAsia="Times New Roman"/>
          <w:color w:val="000000"/>
          <w:sz w:val="24"/>
          <w:szCs w:val="24"/>
        </w:rPr>
        <w:t xml:space="preserve">, with sequential peaks in dissolved organic carbon, dissolved carbon dioxide, and ammonium concentrations that </w:t>
      </w:r>
      <w:r w:rsidRPr="001F05AA">
        <w:rPr>
          <w:sz w:val="24"/>
          <w:szCs w:val="24"/>
        </w:rPr>
        <w:t>were up to an order of magnitude higher than the previous year</w:t>
      </w:r>
      <w:r w:rsidRPr="001F05AA">
        <w:rPr>
          <w:rFonts w:eastAsia="Times New Roman"/>
          <w:color w:val="000000"/>
          <w:sz w:val="24"/>
          <w:szCs w:val="24"/>
        </w:rPr>
        <w:t xml:space="preserve">. Dissolved oxygen concentrations substantially decreased in the surface waters during drawdown (to 41% saturation), </w:t>
      </w:r>
      <w:r w:rsidR="00155131">
        <w:rPr>
          <w:sz w:val="24"/>
          <w:szCs w:val="24"/>
        </w:rPr>
        <w:t>which</w:t>
      </w:r>
      <w:r w:rsidRPr="001F05AA">
        <w:rPr>
          <w:rFonts w:eastAsia="Times New Roman"/>
          <w:color w:val="000000"/>
          <w:sz w:val="24"/>
          <w:szCs w:val="24"/>
        </w:rPr>
        <w:t xml:space="preserve"> was associated with increased total iron and manganese concentrations. Combined, our results illustrate how changes in water level can have </w:t>
      </w:r>
      <w:r w:rsidRPr="001F05AA">
        <w:rPr>
          <w:sz w:val="24"/>
          <w:szCs w:val="24"/>
        </w:rPr>
        <w:t>cascading</w:t>
      </w:r>
      <w:r w:rsidRPr="001F05AA">
        <w:rPr>
          <w:rFonts w:eastAsia="Times New Roman"/>
          <w:color w:val="000000"/>
          <w:sz w:val="24"/>
          <w:szCs w:val="24"/>
        </w:rPr>
        <w:t xml:space="preserve"> effects on coupled physical, chemical, and biological processes. As climate change and water management continue to increase the frequency of drawdowns in lakes worldwide, our results highlight the importance of characterizing how water level variability can alter complex in-lake ecosystem processes, thereby affecting water quality.</w:t>
      </w:r>
    </w:p>
    <w:p w14:paraId="6DA9C9B2" w14:textId="77777777" w:rsidR="0006118D" w:rsidRPr="001F05AA" w:rsidRDefault="00000000">
      <w:pPr>
        <w:keepNext/>
        <w:pBdr>
          <w:top w:val="nil"/>
          <w:left w:val="nil"/>
          <w:bottom w:val="nil"/>
          <w:right w:val="nil"/>
          <w:between w:val="nil"/>
        </w:pBdr>
        <w:spacing w:before="240" w:after="120"/>
        <w:rPr>
          <w:rFonts w:eastAsia="Times New Roman"/>
          <w:b/>
          <w:color w:val="000000"/>
          <w:sz w:val="24"/>
          <w:szCs w:val="24"/>
        </w:rPr>
      </w:pPr>
      <w:r w:rsidRPr="001F05AA">
        <w:rPr>
          <w:rFonts w:eastAsia="Times New Roman"/>
          <w:b/>
          <w:color w:val="000000"/>
          <w:sz w:val="24"/>
          <w:szCs w:val="24"/>
        </w:rPr>
        <w:t>Plain Language Summary</w:t>
      </w:r>
    </w:p>
    <w:p w14:paraId="25AB9399" w14:textId="77777777" w:rsidR="0006118D" w:rsidRPr="001F05AA" w:rsidRDefault="00000000">
      <w:pPr>
        <w:pBdr>
          <w:top w:val="nil"/>
          <w:left w:val="nil"/>
          <w:bottom w:val="nil"/>
          <w:right w:val="nil"/>
          <w:between w:val="nil"/>
        </w:pBdr>
        <w:spacing w:before="120"/>
        <w:rPr>
          <w:rFonts w:eastAsia="Times New Roman"/>
          <w:b/>
          <w:color w:val="000000"/>
          <w:sz w:val="24"/>
          <w:szCs w:val="24"/>
        </w:rPr>
      </w:pPr>
      <w:r w:rsidRPr="001F05AA">
        <w:rPr>
          <w:rFonts w:eastAsia="Times New Roman"/>
          <w:color w:val="000000"/>
          <w:sz w:val="24"/>
          <w:szCs w:val="24"/>
        </w:rPr>
        <w:t xml:space="preserve">Changes in climate and water management are having substantial effects on the water level of lakes and reservoirs around the world. In particular, the frequency with which waterbodies experience water level drawdowns is increasing worldwide. However, the effects of drawdown on aquatic physics, chemistry, and biology remain poorly understood. Here, we intensively monitored before, during, and after a drawdown in Beaverdam Reservoir, VA, USA, during which water volume decreased by 36% over the course of one month. Physical changes to the waterbody during drawdown led to increased nutrient concentrations in surface water, which contributed to the formation of a substantial phytoplankton bloom. Degradation of the phytoplankton bloom then resulted in decreased dissolved oxygen and increased dissolved carbon dioxide in surface waters, among other chemical changes. Combined, our results illustrate how changes in water level can have cascading effects on coupled physical, chemical, and biological processes in lakes. As drawdowns become increasingly common, our results highlight the effects that </w:t>
      </w:r>
      <w:r w:rsidRPr="001F05AA">
        <w:rPr>
          <w:sz w:val="24"/>
          <w:szCs w:val="24"/>
        </w:rPr>
        <w:t>drawdown</w:t>
      </w:r>
      <w:r w:rsidRPr="001F05AA">
        <w:rPr>
          <w:rFonts w:eastAsia="Times New Roman"/>
          <w:color w:val="000000"/>
          <w:sz w:val="24"/>
          <w:szCs w:val="24"/>
        </w:rPr>
        <w:t xml:space="preserve"> </w:t>
      </w:r>
      <w:r w:rsidRPr="001F05AA">
        <w:rPr>
          <w:sz w:val="24"/>
          <w:szCs w:val="24"/>
        </w:rPr>
        <w:t xml:space="preserve">can have </w:t>
      </w:r>
      <w:r w:rsidRPr="001F05AA">
        <w:rPr>
          <w:rFonts w:eastAsia="Times New Roman"/>
          <w:color w:val="000000"/>
          <w:sz w:val="24"/>
          <w:szCs w:val="24"/>
        </w:rPr>
        <w:t>on interconnected aquatic processes, with important implications for water quality worldwide.</w:t>
      </w:r>
    </w:p>
    <w:p w14:paraId="424A17A5" w14:textId="77777777" w:rsidR="0006118D" w:rsidRPr="001F05AA" w:rsidRDefault="00000000">
      <w:pPr>
        <w:keepNext/>
        <w:pBdr>
          <w:top w:val="nil"/>
          <w:left w:val="nil"/>
          <w:bottom w:val="nil"/>
          <w:right w:val="nil"/>
          <w:between w:val="nil"/>
        </w:pBdr>
        <w:spacing w:before="240" w:after="120"/>
        <w:rPr>
          <w:rFonts w:eastAsia="Times New Roman"/>
          <w:b/>
          <w:color w:val="000000"/>
          <w:sz w:val="24"/>
          <w:szCs w:val="24"/>
        </w:rPr>
      </w:pPr>
      <w:r w:rsidRPr="001F05AA">
        <w:rPr>
          <w:rFonts w:eastAsia="Times New Roman"/>
          <w:b/>
          <w:color w:val="000000"/>
          <w:sz w:val="24"/>
          <w:szCs w:val="24"/>
        </w:rPr>
        <w:t>1 Introduction</w:t>
      </w:r>
    </w:p>
    <w:p w14:paraId="2F79DE39"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Water levels in many lakes and reservoirs are changing due to altered climate and water management practices (Kraemer et al., 2020; Wada et al., 2014; Ye et al., 2017). While global climate change is driving a general trend of decreasing water levels in lakes and reservoirs (Fergus et al., 2022; Yao et al., 2023), local human activities also cause water level changes over multiple timescales (e.g., </w:t>
      </w:r>
      <w:proofErr w:type="spellStart"/>
      <w:r w:rsidRPr="001F05AA">
        <w:rPr>
          <w:rFonts w:eastAsia="Times New Roman"/>
          <w:color w:val="000000"/>
          <w:sz w:val="24"/>
          <w:szCs w:val="24"/>
        </w:rPr>
        <w:t>Furey</w:t>
      </w:r>
      <w:proofErr w:type="spellEnd"/>
      <w:r w:rsidRPr="001F05AA">
        <w:rPr>
          <w:rFonts w:eastAsia="Times New Roman"/>
          <w:color w:val="000000"/>
          <w:sz w:val="24"/>
          <w:szCs w:val="24"/>
        </w:rPr>
        <w:t xml:space="preserve"> et al., 2004; </w:t>
      </w:r>
      <w:proofErr w:type="spellStart"/>
      <w:r w:rsidRPr="001F05AA">
        <w:rPr>
          <w:rFonts w:eastAsia="Times New Roman"/>
          <w:color w:val="000000"/>
          <w:sz w:val="24"/>
          <w:szCs w:val="24"/>
        </w:rPr>
        <w:t>Hannoun</w:t>
      </w:r>
      <w:proofErr w:type="spellEnd"/>
      <w:r w:rsidRPr="001F05AA">
        <w:rPr>
          <w:rFonts w:eastAsia="Times New Roman"/>
          <w:color w:val="000000"/>
          <w:sz w:val="24"/>
          <w:szCs w:val="24"/>
        </w:rPr>
        <w:t xml:space="preserve"> &amp; </w:t>
      </w:r>
      <w:proofErr w:type="spellStart"/>
      <w:r w:rsidRPr="001F05AA">
        <w:rPr>
          <w:rFonts w:eastAsia="Times New Roman"/>
          <w:color w:val="000000"/>
          <w:sz w:val="24"/>
          <w:szCs w:val="24"/>
        </w:rPr>
        <w:t>Tietjen</w:t>
      </w:r>
      <w:proofErr w:type="spellEnd"/>
      <w:r w:rsidRPr="001F05AA">
        <w:rPr>
          <w:rFonts w:eastAsia="Times New Roman"/>
          <w:color w:val="000000"/>
          <w:sz w:val="24"/>
          <w:szCs w:val="24"/>
        </w:rPr>
        <w:t xml:space="preserve">, 2023; Liu et al., 2019; </w:t>
      </w:r>
      <w:proofErr w:type="spellStart"/>
      <w:r w:rsidRPr="001F05AA">
        <w:rPr>
          <w:rFonts w:eastAsia="Times New Roman"/>
          <w:color w:val="000000"/>
          <w:sz w:val="24"/>
          <w:szCs w:val="24"/>
        </w:rPr>
        <w:t>Rimmer</w:t>
      </w:r>
      <w:proofErr w:type="spellEnd"/>
      <w:r w:rsidRPr="001F05AA">
        <w:rPr>
          <w:rFonts w:eastAsia="Times New Roman"/>
          <w:color w:val="000000"/>
          <w:sz w:val="24"/>
          <w:szCs w:val="24"/>
        </w:rPr>
        <w:t xml:space="preserve"> et al., 2011). In particular, many human-made reservoirs experience large water level </w:t>
      </w:r>
      <w:r w:rsidRPr="001F05AA">
        <w:rPr>
          <w:rFonts w:eastAsia="Times New Roman"/>
          <w:color w:val="000000"/>
          <w:sz w:val="24"/>
          <w:szCs w:val="24"/>
        </w:rPr>
        <w:lastRenderedPageBreak/>
        <w:t>fluctuations on daily to annual timescales due to management for flood control, hydropower,</w:t>
      </w:r>
      <w:r w:rsidRPr="001F05AA">
        <w:rPr>
          <w:sz w:val="24"/>
          <w:szCs w:val="24"/>
        </w:rPr>
        <w:t xml:space="preserve"> fish passage,</w:t>
      </w:r>
      <w:r w:rsidRPr="001F05AA">
        <w:rPr>
          <w:rFonts w:eastAsia="Times New Roman"/>
          <w:color w:val="000000"/>
          <w:sz w:val="24"/>
          <w:szCs w:val="24"/>
        </w:rPr>
        <w:t xml:space="preserve"> irrigation, and drinking water provision (Fergus et al., 2022; Jiang et al., 2018; Keller et al., 2021; Wada et al., 2014; Hamilton et al. 2022). The seasonal variability of water level in managed reservoirs is, on average, more than four times greater than in natural waterbodies (Cooley et al., 2021), and extreme, non-seasonal water level fluctuations may also be more common in these managed systems. As just one example, water level fluctuated by ~50 m over two years in Lake Shasta, a reservoir in California, USA (</w:t>
      </w:r>
      <w:proofErr w:type="spellStart"/>
      <w:r w:rsidRPr="001F05AA">
        <w:rPr>
          <w:rFonts w:eastAsia="Times New Roman"/>
          <w:color w:val="000000"/>
          <w:sz w:val="24"/>
          <w:szCs w:val="24"/>
        </w:rPr>
        <w:t>Zohary</w:t>
      </w:r>
      <w:proofErr w:type="spellEnd"/>
      <w:r w:rsidRPr="001F05AA">
        <w:rPr>
          <w:rFonts w:eastAsia="Times New Roman"/>
          <w:color w:val="000000"/>
          <w:sz w:val="24"/>
          <w:szCs w:val="24"/>
        </w:rPr>
        <w:t xml:space="preserve"> and Ostrovsky 2011). As the frequency of water level drawdowns increases due to both climate change and water management (Cooley et al., 2021; Kraemer et al., 2020; Ye et al., 2017; Zhao et al., 2022), it is critical to determine the ecosystem-level effects of water level change on the interconnected biological, chemical, and physical processes that shape water quality.</w:t>
      </w:r>
    </w:p>
    <w:p w14:paraId="714EFCE8"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Decreases in water level can play an important role in structuring reservoir physical dynamics. Depending on the depth of water extraction, reservoirs may differentially lose volume from the epilimnion (the warmer surface water layer) or the hypolimnion (the colder bottom water layer), which could mediate the effects of drawdown on reservoir heat budgets, thermal stratification, and water quality (Nürnberg, 2007; </w:t>
      </w:r>
      <w:proofErr w:type="spellStart"/>
      <w:r w:rsidRPr="001F05AA">
        <w:rPr>
          <w:rFonts w:eastAsia="Times New Roman"/>
          <w:color w:val="000000"/>
          <w:sz w:val="24"/>
          <w:szCs w:val="24"/>
        </w:rPr>
        <w:t>Zohary</w:t>
      </w:r>
      <w:proofErr w:type="spellEnd"/>
      <w:r w:rsidRPr="001F05AA">
        <w:rPr>
          <w:rFonts w:eastAsia="Times New Roman"/>
          <w:color w:val="000000"/>
          <w:sz w:val="24"/>
          <w:szCs w:val="24"/>
        </w:rPr>
        <w:t xml:space="preserve"> &amp; Ostrovsky, 2011). Decreased hypolimnetic volume may result in a warmer overall waterbody, weaker thermal stratification, and a proportionally smaller anoxic (&lt;1 mg/L dissolved oxygen) volume in the reservoir (</w:t>
      </w:r>
      <w:proofErr w:type="spellStart"/>
      <w:r w:rsidRPr="001F05AA">
        <w:rPr>
          <w:rFonts w:eastAsia="Times New Roman"/>
          <w:color w:val="000000"/>
          <w:sz w:val="24"/>
          <w:szCs w:val="24"/>
        </w:rPr>
        <w:t>Barbiero</w:t>
      </w:r>
      <w:proofErr w:type="spellEnd"/>
      <w:r w:rsidRPr="001F05AA">
        <w:rPr>
          <w:rFonts w:eastAsia="Times New Roman"/>
          <w:color w:val="000000"/>
          <w:sz w:val="24"/>
          <w:szCs w:val="24"/>
        </w:rPr>
        <w:t xml:space="preserve"> et al., 1997; Li et al., 2017; Nürnberg, 2007, 2020), while decreased epilimnetic volume may result in a colder waterbody, stronger thermal stratification, and a proportionally greater volume of anoxic water (</w:t>
      </w:r>
      <w:proofErr w:type="spellStart"/>
      <w:r w:rsidRPr="001F05AA">
        <w:rPr>
          <w:rFonts w:eastAsia="Times New Roman"/>
          <w:color w:val="000000"/>
          <w:sz w:val="24"/>
          <w:szCs w:val="24"/>
        </w:rPr>
        <w:t>Barbiero</w:t>
      </w:r>
      <w:proofErr w:type="spellEnd"/>
      <w:r w:rsidRPr="001F05AA">
        <w:rPr>
          <w:rFonts w:eastAsia="Times New Roman"/>
          <w:color w:val="000000"/>
          <w:sz w:val="24"/>
          <w:szCs w:val="24"/>
        </w:rPr>
        <w:t xml:space="preserve"> et al., 1997; Li et al., 2017; Moreno-</w:t>
      </w:r>
      <w:proofErr w:type="spellStart"/>
      <w:r w:rsidRPr="001F05AA">
        <w:rPr>
          <w:rFonts w:eastAsia="Times New Roman"/>
          <w:color w:val="000000"/>
          <w:sz w:val="24"/>
          <w:szCs w:val="24"/>
        </w:rPr>
        <w:t>Ostos</w:t>
      </w:r>
      <w:proofErr w:type="spellEnd"/>
      <w:r w:rsidRPr="001F05AA">
        <w:rPr>
          <w:rFonts w:eastAsia="Times New Roman"/>
          <w:color w:val="000000"/>
          <w:sz w:val="24"/>
          <w:szCs w:val="24"/>
        </w:rPr>
        <w:t xml:space="preserve"> et al., 2008; Wang et al., 2012). Stratification strength may further be altered by changes in the light environment of a reservoir during drawdown. For example, increased light penetration to the sediments due to reduced water depth may result in increased hypolimnetic warming (</w:t>
      </w:r>
      <w:proofErr w:type="spellStart"/>
      <w:r w:rsidRPr="001F05AA">
        <w:rPr>
          <w:rFonts w:eastAsia="Times New Roman"/>
          <w:color w:val="000000"/>
          <w:sz w:val="24"/>
          <w:szCs w:val="24"/>
        </w:rPr>
        <w:t>Matsuzaki</w:t>
      </w:r>
      <w:proofErr w:type="spellEnd"/>
      <w:r w:rsidRPr="001F05AA">
        <w:rPr>
          <w:rFonts w:eastAsia="Times New Roman"/>
          <w:color w:val="000000"/>
          <w:sz w:val="24"/>
          <w:szCs w:val="24"/>
        </w:rPr>
        <w:t xml:space="preserve"> et al., 2023). Conversely, increased epilimnetic turbidity resulting from drawdown-induced littoral erosion may increase surface warming and decrease hypolimnetic temperatures (Jones et al., 2005; </w:t>
      </w:r>
      <w:proofErr w:type="spellStart"/>
      <w:r w:rsidRPr="001F05AA">
        <w:rPr>
          <w:rFonts w:eastAsia="Times New Roman"/>
          <w:color w:val="000000"/>
          <w:sz w:val="24"/>
          <w:szCs w:val="24"/>
        </w:rPr>
        <w:t>Kumagai</w:t>
      </w:r>
      <w:proofErr w:type="spellEnd"/>
      <w:r w:rsidRPr="001F05AA">
        <w:rPr>
          <w:rFonts w:eastAsia="Times New Roman"/>
          <w:color w:val="000000"/>
          <w:sz w:val="24"/>
          <w:szCs w:val="24"/>
        </w:rPr>
        <w:t xml:space="preserve"> et al., 2000). Across drawdowns, decreased water volume will be expected to decrease the resistance to full water column mixing (Wetzel, 2001), though the occurrence of mixing events and consequent effects on water quality will depend on the magnitude of drawdown and initial thermal stability of the reservoir. Ultimately, the responses of light conditions and thermal structure to drawdown is likely to differ in reservoirs of varying morphometry, which is a key driver of thermal stratification dynamics (Butcher et al., 2015; Kraemer et al., 2015; Magee &amp; Wu, 2017), making the net effect of drawdown on stratification strength challenging to predict (Figure 1a).</w:t>
      </w:r>
    </w:p>
    <w:p w14:paraId="7E494611"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Changes in reservoir physical properties due to drawdown may cascade to alter chemical and biological dynamics, but the net effects of multiple interacting ecosystem processes remain unresolved (Figure 1). If hypolimnetic water is withdrawn from the reservoir (e.g., for water quality management or downstream temperature regulation), nutrient and metal concentrations may decrease at the whole-ecosystem scale (Nürnberg, 2007, 2020). However, if epilimnetic water is withdrawn (e.g., for some drinking water, irrigation, and hydroelectric purposes), or if hypolimnetic withdrawal weakens thermal stratification, epilimnetic nutrients may increase as a result of increased entrainment from the hypolimnion (</w:t>
      </w:r>
      <w:proofErr w:type="spellStart"/>
      <w:r w:rsidRPr="001F05AA">
        <w:rPr>
          <w:rFonts w:eastAsia="Times New Roman"/>
          <w:color w:val="000000"/>
          <w:sz w:val="24"/>
          <w:szCs w:val="24"/>
        </w:rPr>
        <w:t>Zohary</w:t>
      </w:r>
      <w:proofErr w:type="spellEnd"/>
      <w:r w:rsidRPr="001F05AA">
        <w:rPr>
          <w:rFonts w:eastAsia="Times New Roman"/>
          <w:color w:val="000000"/>
          <w:sz w:val="24"/>
          <w:szCs w:val="24"/>
        </w:rPr>
        <w:t xml:space="preserve"> &amp; Ostrovsky, 2011). </w:t>
      </w:r>
      <w:r w:rsidRPr="001F05AA">
        <w:rPr>
          <w:sz w:val="24"/>
          <w:szCs w:val="24"/>
        </w:rPr>
        <w:t>L</w:t>
      </w:r>
      <w:r w:rsidRPr="001F05AA">
        <w:rPr>
          <w:rFonts w:eastAsia="Times New Roman"/>
          <w:color w:val="000000"/>
          <w:sz w:val="24"/>
          <w:szCs w:val="24"/>
        </w:rPr>
        <w:t>ittoral erosion and sediment drying due to water level fluctuations may lead to inputs of nitrogen (N), phosphorus (P), and carbon (C) from littoral sediments, further increasing surface concentrations during drawdown (Klotz &amp; Linn, 2001)</w:t>
      </w:r>
      <w:r w:rsidRPr="001F05AA">
        <w:rPr>
          <w:sz w:val="24"/>
          <w:szCs w:val="24"/>
        </w:rPr>
        <w:t>. Likewise, methane ebullition may i</w:t>
      </w:r>
      <w:r w:rsidRPr="001F05AA">
        <w:rPr>
          <w:rFonts w:eastAsia="Times New Roman"/>
          <w:color w:val="000000"/>
          <w:sz w:val="24"/>
          <w:szCs w:val="24"/>
        </w:rPr>
        <w:t xml:space="preserve">ncrease </w:t>
      </w:r>
      <w:r w:rsidRPr="001F05AA">
        <w:rPr>
          <w:sz w:val="24"/>
          <w:szCs w:val="24"/>
        </w:rPr>
        <w:t>during drawdown</w:t>
      </w:r>
      <w:r w:rsidRPr="001F05AA">
        <w:rPr>
          <w:rFonts w:eastAsia="Times New Roman"/>
          <w:color w:val="000000"/>
          <w:sz w:val="24"/>
          <w:szCs w:val="24"/>
        </w:rPr>
        <w:t xml:space="preserve"> due to decreased hydrostatic pressure </w:t>
      </w:r>
      <w:r w:rsidRPr="001F05AA">
        <w:rPr>
          <w:sz w:val="24"/>
          <w:szCs w:val="24"/>
        </w:rPr>
        <w:t xml:space="preserve">(Beaulieu et al., 2018; Harrison et al., 2017; </w:t>
      </w:r>
      <w:proofErr w:type="spellStart"/>
      <w:r w:rsidRPr="001F05AA">
        <w:rPr>
          <w:sz w:val="24"/>
          <w:szCs w:val="24"/>
        </w:rPr>
        <w:lastRenderedPageBreak/>
        <w:t>Deemer</w:t>
      </w:r>
      <w:proofErr w:type="spellEnd"/>
      <w:r w:rsidRPr="001F05AA">
        <w:rPr>
          <w:sz w:val="24"/>
          <w:szCs w:val="24"/>
        </w:rPr>
        <w:t xml:space="preserve"> and Harrison, 2019), potentially </w:t>
      </w:r>
      <w:r w:rsidRPr="001F05AA">
        <w:rPr>
          <w:rFonts w:eastAsia="Times New Roman"/>
          <w:color w:val="000000"/>
          <w:sz w:val="24"/>
          <w:szCs w:val="24"/>
        </w:rPr>
        <w:t>increas</w:t>
      </w:r>
      <w:r w:rsidRPr="001F05AA">
        <w:rPr>
          <w:sz w:val="24"/>
          <w:szCs w:val="24"/>
        </w:rPr>
        <w:t>ing</w:t>
      </w:r>
      <w:r w:rsidRPr="001F05AA">
        <w:rPr>
          <w:rFonts w:eastAsia="Times New Roman"/>
          <w:color w:val="000000"/>
          <w:sz w:val="24"/>
          <w:szCs w:val="24"/>
        </w:rPr>
        <w:t xml:space="preserve"> t</w:t>
      </w:r>
      <w:r w:rsidRPr="001F05AA">
        <w:rPr>
          <w:sz w:val="24"/>
          <w:szCs w:val="24"/>
        </w:rPr>
        <w:t>he suspension of bottom sediments and/or increasing cyanobacterial recruitment to the water column (</w:t>
      </w:r>
      <w:proofErr w:type="spellStart"/>
      <w:r w:rsidRPr="001F05AA">
        <w:rPr>
          <w:sz w:val="24"/>
          <w:szCs w:val="24"/>
        </w:rPr>
        <w:t>Delwiche</w:t>
      </w:r>
      <w:proofErr w:type="spellEnd"/>
      <w:r w:rsidRPr="001F05AA">
        <w:rPr>
          <w:sz w:val="24"/>
          <w:szCs w:val="24"/>
        </w:rPr>
        <w:t xml:space="preserve"> et al. 2020; Schwarz et al. 2023; </w:t>
      </w:r>
      <w:proofErr w:type="spellStart"/>
      <w:r w:rsidRPr="001F05AA">
        <w:rPr>
          <w:sz w:val="24"/>
          <w:szCs w:val="24"/>
        </w:rPr>
        <w:t>Deemer</w:t>
      </w:r>
      <w:proofErr w:type="spellEnd"/>
      <w:r w:rsidRPr="001F05AA">
        <w:rPr>
          <w:sz w:val="24"/>
          <w:szCs w:val="24"/>
        </w:rPr>
        <w:t xml:space="preserve"> and Harrison, 2019)</w:t>
      </w:r>
      <w:r w:rsidRPr="001F05AA">
        <w:rPr>
          <w:rFonts w:eastAsia="Times New Roman"/>
          <w:color w:val="000000"/>
          <w:sz w:val="24"/>
          <w:szCs w:val="24"/>
        </w:rPr>
        <w:t xml:space="preserve">. Increased nutrient concentrations can subsequently also lead to increased phytoplankton biomass (e.g., Baldwin et al., 2008; </w:t>
      </w:r>
      <w:proofErr w:type="spellStart"/>
      <w:r w:rsidRPr="001F05AA">
        <w:rPr>
          <w:rFonts w:eastAsia="Times New Roman"/>
          <w:color w:val="000000"/>
          <w:sz w:val="24"/>
          <w:szCs w:val="24"/>
        </w:rPr>
        <w:t>Naselli</w:t>
      </w:r>
      <w:proofErr w:type="spellEnd"/>
      <w:r w:rsidRPr="001F05AA">
        <w:rPr>
          <w:rFonts w:eastAsia="Times New Roman"/>
          <w:color w:val="000000"/>
          <w:sz w:val="24"/>
          <w:szCs w:val="24"/>
        </w:rPr>
        <w:t>-Flores &amp; Barone, 2005). However, the effect of increased nutrient concentrations could be tempered by expected declines in light availability resulting from increased turbidity (e.g., Perrin et al., 2000). Taken together, these divergent changes in nutrient and light availability could result in positive or negative net effects on total phytoplankton biomass (Ma et al., 2023; Figure 1b). Moreover, alteration of thermal stratification by drawdown could also alter the distribution of phytoplankton biomass throughout the water column (Leach et al., 2018; Lofton et al., 2020, 2022). Drawdown could alter biomass distributions either by inducing mixing, thereby homogenizing biomass across depths (</w:t>
      </w:r>
      <w:proofErr w:type="spellStart"/>
      <w:r w:rsidRPr="001F05AA">
        <w:rPr>
          <w:rFonts w:eastAsia="Times New Roman"/>
          <w:color w:val="000000"/>
          <w:sz w:val="24"/>
          <w:szCs w:val="24"/>
        </w:rPr>
        <w:t>Kasprzak</w:t>
      </w:r>
      <w:proofErr w:type="spellEnd"/>
      <w:r w:rsidRPr="001F05AA">
        <w:rPr>
          <w:rFonts w:eastAsia="Times New Roman"/>
          <w:color w:val="000000"/>
          <w:sz w:val="24"/>
          <w:szCs w:val="24"/>
        </w:rPr>
        <w:t xml:space="preserve"> et al., 2017; </w:t>
      </w:r>
      <w:proofErr w:type="spellStart"/>
      <w:r w:rsidRPr="001F05AA">
        <w:rPr>
          <w:rFonts w:eastAsia="Times New Roman"/>
          <w:color w:val="000000"/>
          <w:sz w:val="24"/>
          <w:szCs w:val="24"/>
        </w:rPr>
        <w:t>Planas</w:t>
      </w:r>
      <w:proofErr w:type="spellEnd"/>
      <w:r w:rsidRPr="001F05AA">
        <w:rPr>
          <w:rFonts w:eastAsia="Times New Roman"/>
          <w:color w:val="000000"/>
          <w:sz w:val="24"/>
          <w:szCs w:val="24"/>
        </w:rPr>
        <w:t xml:space="preserve"> &amp; Paquet, 2016; Rinke et al., 2009; Wu et al., 2015), or by facilitating the formation of deep maxima of biomass if thermal stratification increases post-drawdown (</w:t>
      </w:r>
      <w:proofErr w:type="spellStart"/>
      <w:r w:rsidRPr="001F05AA">
        <w:rPr>
          <w:rFonts w:eastAsia="Times New Roman"/>
          <w:color w:val="000000"/>
          <w:sz w:val="24"/>
          <w:szCs w:val="24"/>
        </w:rPr>
        <w:t>Alldredge</w:t>
      </w:r>
      <w:proofErr w:type="spellEnd"/>
      <w:r w:rsidRPr="001F05AA">
        <w:rPr>
          <w:rFonts w:eastAsia="Times New Roman"/>
          <w:color w:val="000000"/>
          <w:sz w:val="24"/>
          <w:szCs w:val="24"/>
        </w:rPr>
        <w:t xml:space="preserve"> et al., 2002; Cullen, 2015; Lewis et al., 2017).</w:t>
      </w:r>
    </w:p>
    <w:p w14:paraId="5C11E8B2"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Among freshwater ecosystem variables, the net effect of drawdown on dissolved oxygen (DO) concentrations is particularly difficult to predict, as DO is modulated by interacting physical (e.g., stratification dynamics), chemical (e.g., oxygen demand by reduced solutes), and biological conditions (e.g., production and respiration; Figure 1c). DO may increase in surface waters if primary productivity increases, or decrease if primary productivity decreases (</w:t>
      </w:r>
      <w:proofErr w:type="spellStart"/>
      <w:r w:rsidRPr="001F05AA">
        <w:rPr>
          <w:rFonts w:eastAsia="Times New Roman"/>
          <w:color w:val="000000"/>
          <w:sz w:val="24"/>
          <w:szCs w:val="24"/>
        </w:rPr>
        <w:t>Odum</w:t>
      </w:r>
      <w:proofErr w:type="spellEnd"/>
      <w:r w:rsidRPr="001F05AA">
        <w:rPr>
          <w:rFonts w:eastAsia="Times New Roman"/>
          <w:color w:val="000000"/>
          <w:sz w:val="24"/>
          <w:szCs w:val="24"/>
        </w:rPr>
        <w:t>, 1956). Likewise, decomposition of phytoplankton biomass and inputs of allochthonous organic carbon due to littoral erosion could potentially stimulate epilimnetic respiration, thereby decreasing DO concentrations and increasing the production of carbon dioxide (CO</w:t>
      </w:r>
      <w:r w:rsidRPr="001F05AA">
        <w:rPr>
          <w:rFonts w:eastAsia="Times New Roman"/>
          <w:color w:val="000000"/>
          <w:sz w:val="24"/>
          <w:szCs w:val="24"/>
          <w:vertAlign w:val="subscript"/>
        </w:rPr>
        <w:t>2</w:t>
      </w:r>
      <w:r w:rsidRPr="001F05AA">
        <w:rPr>
          <w:rFonts w:eastAsia="Times New Roman"/>
          <w:color w:val="000000"/>
          <w:sz w:val="24"/>
          <w:szCs w:val="24"/>
        </w:rPr>
        <w:t xml:space="preserve">) (e.g., McLaren et al. 2023; </w:t>
      </w:r>
      <w:proofErr w:type="spellStart"/>
      <w:r w:rsidRPr="001F05AA">
        <w:rPr>
          <w:rFonts w:eastAsia="Times New Roman"/>
          <w:color w:val="000000"/>
          <w:sz w:val="24"/>
          <w:szCs w:val="24"/>
        </w:rPr>
        <w:t>Naselli</w:t>
      </w:r>
      <w:proofErr w:type="spellEnd"/>
      <w:r w:rsidRPr="001F05AA">
        <w:rPr>
          <w:rFonts w:eastAsia="Times New Roman"/>
          <w:color w:val="000000"/>
          <w:sz w:val="24"/>
          <w:szCs w:val="24"/>
        </w:rPr>
        <w:t>-Flores 20</w:t>
      </w:r>
      <w:r w:rsidRPr="001F05AA">
        <w:rPr>
          <w:sz w:val="24"/>
          <w:szCs w:val="24"/>
        </w:rPr>
        <w:t>03)</w:t>
      </w:r>
      <w:r w:rsidRPr="001F05AA">
        <w:rPr>
          <w:rFonts w:eastAsia="Times New Roman"/>
          <w:color w:val="000000"/>
          <w:sz w:val="24"/>
          <w:szCs w:val="24"/>
        </w:rPr>
        <w:t xml:space="preserve">. Decreased stratification strength could cause whole-ecosystem DO concentrations to increase with mixing of well-oxygenated surface waters into the hypolimnion, or loss of </w:t>
      </w:r>
      <w:proofErr w:type="spellStart"/>
      <w:r w:rsidRPr="001F05AA">
        <w:rPr>
          <w:rFonts w:eastAsia="Times New Roman"/>
          <w:color w:val="000000"/>
          <w:sz w:val="24"/>
          <w:szCs w:val="24"/>
        </w:rPr>
        <w:t>oxic</w:t>
      </w:r>
      <w:proofErr w:type="spellEnd"/>
      <w:r w:rsidRPr="001F05AA">
        <w:rPr>
          <w:rFonts w:eastAsia="Times New Roman"/>
          <w:color w:val="000000"/>
          <w:sz w:val="24"/>
          <w:szCs w:val="24"/>
        </w:rPr>
        <w:t xml:space="preserve"> epilimnetic water from the reservoir could cause whole-ecosystem DO concentrations to decrease (e.g., </w:t>
      </w:r>
      <w:proofErr w:type="spellStart"/>
      <w:r w:rsidRPr="001F05AA">
        <w:rPr>
          <w:rFonts w:eastAsia="Times New Roman"/>
          <w:color w:val="000000"/>
          <w:sz w:val="24"/>
          <w:szCs w:val="24"/>
        </w:rPr>
        <w:t>Matsuzaki</w:t>
      </w:r>
      <w:proofErr w:type="spellEnd"/>
      <w:r w:rsidRPr="001F05AA">
        <w:rPr>
          <w:rFonts w:eastAsia="Times New Roman"/>
          <w:color w:val="000000"/>
          <w:sz w:val="24"/>
          <w:szCs w:val="24"/>
        </w:rPr>
        <w:t xml:space="preserve"> et al., 2023). Depending on the direction and magnitude of change in DO, further cascading effects on other ecosystem processes (e.g., dissolved metals concentrations, greenhouse gas production, etc.) may be expected. Overall, while the effects of drawdown on reservoir physics, chemistry, and biology are increasingly being examined (e.g., </w:t>
      </w:r>
      <w:proofErr w:type="spellStart"/>
      <w:r w:rsidRPr="001F05AA">
        <w:rPr>
          <w:rFonts w:eastAsia="Times New Roman"/>
          <w:color w:val="000000"/>
          <w:sz w:val="24"/>
          <w:szCs w:val="24"/>
        </w:rPr>
        <w:t>Deemer</w:t>
      </w:r>
      <w:proofErr w:type="spellEnd"/>
      <w:r w:rsidRPr="001F05AA">
        <w:rPr>
          <w:rFonts w:eastAsia="Times New Roman"/>
          <w:color w:val="000000"/>
          <w:sz w:val="24"/>
          <w:szCs w:val="24"/>
        </w:rPr>
        <w:t xml:space="preserve"> &amp; Harrison, 2019; </w:t>
      </w:r>
      <w:proofErr w:type="spellStart"/>
      <w:r w:rsidRPr="001F05AA">
        <w:rPr>
          <w:rFonts w:eastAsia="Times New Roman"/>
          <w:color w:val="000000"/>
          <w:sz w:val="24"/>
          <w:szCs w:val="24"/>
        </w:rPr>
        <w:t>Matsuzaki</w:t>
      </w:r>
      <w:proofErr w:type="spellEnd"/>
      <w:r w:rsidRPr="001F05AA">
        <w:rPr>
          <w:rFonts w:eastAsia="Times New Roman"/>
          <w:color w:val="000000"/>
          <w:sz w:val="24"/>
          <w:szCs w:val="24"/>
        </w:rPr>
        <w:t xml:space="preserve"> et al., 2023), less is known about the emergent responses to drawdown that arise from changes in multiple, interconnected ecosystem processes (Figure 1). Here, we adapt the definition of ‘emergent’ from the complex systems literature to refer to reservoir responses to drawdown that arise from multiple ecosystem interactions, which cannot be easily predicted from the dynamics of one response variable in isolation of the larger ecosystem (</w:t>
      </w:r>
      <w:proofErr w:type="spellStart"/>
      <w:r w:rsidRPr="001F05AA">
        <w:rPr>
          <w:rFonts w:eastAsia="Times New Roman"/>
          <w:i/>
          <w:color w:val="000000"/>
          <w:sz w:val="24"/>
          <w:szCs w:val="24"/>
        </w:rPr>
        <w:t>sensu</w:t>
      </w:r>
      <w:proofErr w:type="spellEnd"/>
      <w:r w:rsidRPr="001F05AA">
        <w:rPr>
          <w:rFonts w:eastAsia="Times New Roman"/>
          <w:color w:val="000000"/>
          <w:sz w:val="24"/>
          <w:szCs w:val="24"/>
        </w:rPr>
        <w:t xml:space="preserve"> </w:t>
      </w:r>
      <w:proofErr w:type="spellStart"/>
      <w:r w:rsidRPr="001F05AA">
        <w:rPr>
          <w:rFonts w:eastAsia="Times New Roman"/>
          <w:color w:val="000000"/>
          <w:sz w:val="24"/>
          <w:szCs w:val="24"/>
        </w:rPr>
        <w:t>Artime</w:t>
      </w:r>
      <w:proofErr w:type="spellEnd"/>
      <w:r w:rsidRPr="001F05AA">
        <w:rPr>
          <w:rFonts w:eastAsia="Times New Roman"/>
          <w:color w:val="000000"/>
          <w:sz w:val="24"/>
          <w:szCs w:val="24"/>
        </w:rPr>
        <w:t xml:space="preserve"> and De Domenico 2022).</w:t>
      </w:r>
    </w:p>
    <w:p w14:paraId="3618CB82" w14:textId="26D033AE"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sz w:val="24"/>
          <w:szCs w:val="24"/>
        </w:rPr>
        <w:t>Characterizing the effects of management-driven drawdown events may be particularly important in</w:t>
      </w:r>
      <w:r w:rsidRPr="001F05AA">
        <w:rPr>
          <w:rFonts w:eastAsia="Times New Roman"/>
          <w:color w:val="000000"/>
          <w:sz w:val="24"/>
          <w:szCs w:val="24"/>
        </w:rPr>
        <w:t xml:space="preserve"> small, thermally-stratified waterbodies, which are</w:t>
      </w:r>
      <w:r w:rsidRPr="001F05AA">
        <w:rPr>
          <w:sz w:val="24"/>
          <w:szCs w:val="24"/>
        </w:rPr>
        <w:t xml:space="preserve"> </w:t>
      </w:r>
      <w:r w:rsidR="00B34DE7">
        <w:rPr>
          <w:sz w:val="24"/>
          <w:szCs w:val="24"/>
        </w:rPr>
        <w:t>common in many regions of the world</w:t>
      </w:r>
      <w:r w:rsidRPr="001F05AA">
        <w:rPr>
          <w:rFonts w:eastAsia="Times New Roman"/>
          <w:color w:val="000000"/>
          <w:sz w:val="24"/>
          <w:szCs w:val="24"/>
        </w:rPr>
        <w:t xml:space="preserve"> (Downing et al., 2006). In the United States, over 90% of reservoirs are less than 1 km</w:t>
      </w:r>
      <w:r w:rsidRPr="001F05AA">
        <w:rPr>
          <w:rFonts w:eastAsia="Times New Roman"/>
          <w:color w:val="000000"/>
          <w:sz w:val="24"/>
          <w:szCs w:val="24"/>
          <w:vertAlign w:val="superscript"/>
        </w:rPr>
        <w:t>2</w:t>
      </w:r>
      <w:r w:rsidRPr="001F05AA">
        <w:rPr>
          <w:rFonts w:eastAsia="Times New Roman"/>
          <w:color w:val="000000"/>
          <w:sz w:val="24"/>
          <w:szCs w:val="24"/>
        </w:rPr>
        <w:t xml:space="preserve"> in surface area (Figure S1; U.S. Army Corps of Engineers, 2021). However, previous whole-ecosystem studies examining the effects of water level changes have often focused on large lakes and reservoirs (e.g., Nakanishi et al., 2022; Ouyang et al., 2021; Table S1) or very shallow, weakly-stratified or fully-mixed waterbodies (e.g., Coops et al., 2003; </w:t>
      </w:r>
      <w:proofErr w:type="spellStart"/>
      <w:r w:rsidRPr="001F05AA">
        <w:rPr>
          <w:rFonts w:eastAsia="Times New Roman"/>
          <w:color w:val="000000"/>
          <w:sz w:val="24"/>
          <w:szCs w:val="24"/>
        </w:rPr>
        <w:t>Matsuzaki</w:t>
      </w:r>
      <w:proofErr w:type="spellEnd"/>
      <w:r w:rsidRPr="001F05AA">
        <w:rPr>
          <w:rFonts w:eastAsia="Times New Roman"/>
          <w:color w:val="000000"/>
          <w:sz w:val="24"/>
          <w:szCs w:val="24"/>
        </w:rPr>
        <w:t xml:space="preserve"> et al., 2023; Table S1). Other studies have been conducted in mesocosms that cannot encompass all interacting factors occurring on a whole-ecosystem scale (e.g., </w:t>
      </w:r>
      <w:proofErr w:type="spellStart"/>
      <w:r w:rsidRPr="001F05AA">
        <w:rPr>
          <w:rFonts w:eastAsia="Times New Roman"/>
          <w:color w:val="000000"/>
          <w:sz w:val="24"/>
          <w:szCs w:val="24"/>
        </w:rPr>
        <w:t>Matsuzaki</w:t>
      </w:r>
      <w:proofErr w:type="spellEnd"/>
      <w:r w:rsidRPr="001F05AA">
        <w:rPr>
          <w:rFonts w:eastAsia="Times New Roman"/>
          <w:color w:val="000000"/>
          <w:sz w:val="24"/>
          <w:szCs w:val="24"/>
        </w:rPr>
        <w:t xml:space="preserve"> et al., 2023). Moreover, much of the existing literature examining the whole-ecosystem effects of water level drawdown has focused on seasonal or drought-induced changes (see Table S1), which co-occur </w:t>
      </w:r>
      <w:r w:rsidRPr="001F05AA">
        <w:rPr>
          <w:rFonts w:eastAsia="Times New Roman"/>
          <w:color w:val="000000"/>
          <w:sz w:val="24"/>
          <w:szCs w:val="24"/>
        </w:rPr>
        <w:lastRenderedPageBreak/>
        <w:t xml:space="preserve">with changes in temperature and precipitation. Thus, as opportunities to perturb whole ecosystems and examine the couplings between lake and reservoir physics, chemistry, and biology are rare (Barley &amp; </w:t>
      </w:r>
      <w:proofErr w:type="spellStart"/>
      <w:r w:rsidRPr="001F05AA">
        <w:rPr>
          <w:rFonts w:eastAsia="Times New Roman"/>
          <w:color w:val="000000"/>
          <w:sz w:val="24"/>
          <w:szCs w:val="24"/>
        </w:rPr>
        <w:t>Meeuwig</w:t>
      </w:r>
      <w:proofErr w:type="spellEnd"/>
      <w:r w:rsidRPr="001F05AA">
        <w:rPr>
          <w:rFonts w:eastAsia="Times New Roman"/>
          <w:color w:val="000000"/>
          <w:sz w:val="24"/>
          <w:szCs w:val="24"/>
        </w:rPr>
        <w:t>, 2017), management-driven drawdowns provide an excellent opportunity for whole-ecosystem experimentation.</w:t>
      </w:r>
    </w:p>
    <w:p w14:paraId="704401B5"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Here, we intensively monitored a month-long drawdown in a small eutrophic reservoir to analyze the emergent effects of water level change on reservoir physics, chemistry, and biology (Figure 1). Specifically, our study aimed to assess the effects of drawdown on three focal variables: thermal stratification strength, phytoplankton biomass and depth distribution, and DO concentrations. We expected that changes in these three focal variables would be mediated by concurrent changes in water temperature, light penetration, and nutrient concentrations that result from multiple ecosystem interactions during drawdown (Figure 1).</w:t>
      </w:r>
    </w:p>
    <w:p w14:paraId="7C026187" w14:textId="77777777" w:rsidR="0006118D" w:rsidRPr="001F05AA" w:rsidRDefault="0006118D">
      <w:pPr>
        <w:pBdr>
          <w:top w:val="nil"/>
          <w:left w:val="nil"/>
          <w:bottom w:val="nil"/>
          <w:right w:val="nil"/>
          <w:between w:val="nil"/>
        </w:pBdr>
        <w:spacing w:before="120"/>
        <w:rPr>
          <w:rFonts w:eastAsia="Times New Roman"/>
          <w:color w:val="000000"/>
          <w:sz w:val="24"/>
          <w:szCs w:val="24"/>
        </w:rPr>
      </w:pPr>
    </w:p>
    <w:p w14:paraId="02648417" w14:textId="77777777" w:rsidR="0006118D" w:rsidRPr="001F05AA" w:rsidRDefault="00000000">
      <w:r w:rsidRPr="001F05AA">
        <w:rPr>
          <w:noProof/>
        </w:rPr>
        <w:drawing>
          <wp:inline distT="114300" distB="114300" distL="114300" distR="114300" wp14:anchorId="6682BCDE" wp14:editId="409490B4">
            <wp:extent cx="5943600" cy="3937000"/>
            <wp:effectExtent l="0" t="0" r="0" b="0"/>
            <wp:docPr id="194126097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a:stretch>
                      <a:fillRect/>
                    </a:stretch>
                  </pic:blipFill>
                  <pic:spPr>
                    <a:xfrm>
                      <a:off x="0" y="0"/>
                      <a:ext cx="5943600" cy="3937000"/>
                    </a:xfrm>
                    <a:prstGeom prst="rect">
                      <a:avLst/>
                    </a:prstGeom>
                    <a:ln/>
                  </pic:spPr>
                </pic:pic>
              </a:graphicData>
            </a:graphic>
          </wp:inline>
        </w:drawing>
      </w:r>
    </w:p>
    <w:p w14:paraId="64F6B3EF" w14:textId="700D8A2A" w:rsidR="0006118D" w:rsidRPr="001F05AA" w:rsidRDefault="00000000" w:rsidP="0010627B">
      <w:pPr>
        <w:pBdr>
          <w:top w:val="nil"/>
          <w:left w:val="nil"/>
          <w:bottom w:val="nil"/>
          <w:right w:val="nil"/>
          <w:between w:val="nil"/>
        </w:pBdr>
        <w:spacing w:before="240"/>
        <w:rPr>
          <w:rFonts w:eastAsia="Times New Roman"/>
          <w:color w:val="000000"/>
          <w:sz w:val="24"/>
          <w:szCs w:val="24"/>
        </w:rPr>
      </w:pPr>
      <w:r w:rsidRPr="001F05AA">
        <w:rPr>
          <w:rFonts w:eastAsia="Times New Roman"/>
          <w:b/>
          <w:color w:val="000000"/>
          <w:sz w:val="24"/>
          <w:szCs w:val="24"/>
        </w:rPr>
        <w:t xml:space="preserve">Figure 1: </w:t>
      </w:r>
      <w:r w:rsidRPr="001F05AA">
        <w:rPr>
          <w:rFonts w:eastAsia="Times New Roman"/>
          <w:color w:val="000000"/>
          <w:sz w:val="24"/>
          <w:szCs w:val="24"/>
        </w:rPr>
        <w:t xml:space="preserve">Hypothesized emergent responses of (a) thermal stratification strength, (b) phytoplankton biomass and depth distribution, and (c) dissolved oxygen concentrations to water level drawdown, with predominant drivers that are expected to change as a result of water </w:t>
      </w:r>
      <w:r w:rsidRPr="001F05AA">
        <w:rPr>
          <w:sz w:val="24"/>
          <w:szCs w:val="24"/>
        </w:rPr>
        <w:t>level</w:t>
      </w:r>
      <w:r w:rsidR="001C1DBF">
        <w:rPr>
          <w:sz w:val="24"/>
          <w:szCs w:val="24"/>
        </w:rPr>
        <w:t xml:space="preserve"> </w:t>
      </w:r>
      <w:r w:rsidRPr="001F05AA">
        <w:rPr>
          <w:sz w:val="24"/>
          <w:szCs w:val="24"/>
        </w:rPr>
        <w:t>drawdown</w:t>
      </w:r>
      <w:r w:rsidRPr="001F05AA">
        <w:rPr>
          <w:rFonts w:eastAsia="Times New Roman"/>
          <w:color w:val="000000"/>
          <w:sz w:val="24"/>
          <w:szCs w:val="24"/>
        </w:rPr>
        <w:t xml:space="preserve">. </w:t>
      </w:r>
      <w:r w:rsidRPr="001F05AA">
        <w:rPr>
          <w:sz w:val="24"/>
          <w:szCs w:val="24"/>
        </w:rPr>
        <w:t>We n</w:t>
      </w:r>
      <w:r w:rsidRPr="001F05AA">
        <w:rPr>
          <w:rFonts w:eastAsia="Times New Roman"/>
          <w:color w:val="000000"/>
          <w:sz w:val="24"/>
          <w:szCs w:val="24"/>
        </w:rPr>
        <w:t>ote that the</w:t>
      </w:r>
      <w:r w:rsidRPr="001F05AA">
        <w:rPr>
          <w:sz w:val="24"/>
          <w:szCs w:val="24"/>
        </w:rPr>
        <w:t xml:space="preserve">se drivers are not comprehensive, and </w:t>
      </w:r>
      <w:r w:rsidRPr="001F05AA">
        <w:rPr>
          <w:rFonts w:eastAsia="Times New Roman"/>
          <w:color w:val="000000"/>
          <w:sz w:val="24"/>
          <w:szCs w:val="24"/>
        </w:rPr>
        <w:t>the timeline of responses is likely to differ among emergent responses.</w:t>
      </w:r>
    </w:p>
    <w:p w14:paraId="6761CDC2" w14:textId="63081145" w:rsidR="0006118D" w:rsidRPr="001F05AA" w:rsidRDefault="00000000">
      <w:pPr>
        <w:keepNext/>
        <w:pBdr>
          <w:top w:val="nil"/>
          <w:left w:val="nil"/>
          <w:bottom w:val="nil"/>
          <w:right w:val="nil"/>
          <w:between w:val="nil"/>
        </w:pBdr>
        <w:spacing w:before="240" w:after="120"/>
        <w:rPr>
          <w:rFonts w:eastAsia="Times New Roman"/>
          <w:b/>
          <w:color w:val="000000"/>
          <w:sz w:val="24"/>
          <w:szCs w:val="24"/>
        </w:rPr>
      </w:pPr>
      <w:r w:rsidRPr="001F05AA">
        <w:rPr>
          <w:rFonts w:eastAsia="Times New Roman"/>
          <w:b/>
          <w:color w:val="000000"/>
          <w:sz w:val="24"/>
          <w:szCs w:val="24"/>
        </w:rPr>
        <w:lastRenderedPageBreak/>
        <w:t>2 Methods</w:t>
      </w:r>
    </w:p>
    <w:p w14:paraId="2E1F87EF"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r w:rsidRPr="001F05AA">
        <w:rPr>
          <w:rFonts w:eastAsia="Times New Roman"/>
          <w:color w:val="000000"/>
          <w:sz w:val="24"/>
          <w:szCs w:val="24"/>
        </w:rPr>
        <w:t>2.1 Study site</w:t>
      </w:r>
    </w:p>
    <w:p w14:paraId="0AAEAA5A"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Beaverdam Reservoir is a small, dimictic reservoir located in Vinton, Virginia, USA (37.3128° N, 79.8160° W; Figure 2) that is owned and operated as a secondary drinking water source by the Western Virginia Water Authority. When the reservoir is at full pond it has a maximum depth of 13.4 m, surface area of 0.39 km</w:t>
      </w:r>
      <w:r w:rsidRPr="001F05AA">
        <w:rPr>
          <w:rFonts w:eastAsia="Times New Roman"/>
          <w:color w:val="000000"/>
          <w:sz w:val="24"/>
          <w:szCs w:val="24"/>
          <w:vertAlign w:val="superscript"/>
        </w:rPr>
        <w:t>2</w:t>
      </w:r>
      <w:r w:rsidRPr="001F05AA">
        <w:rPr>
          <w:rFonts w:eastAsia="Times New Roman"/>
          <w:color w:val="000000"/>
          <w:sz w:val="24"/>
          <w:szCs w:val="24"/>
        </w:rPr>
        <w:t>, and residence time of ~0.9 y (Hamre et al., 2018). The catchment area of the reservoir is 3.69 km</w:t>
      </w:r>
      <w:r w:rsidRPr="001F05AA">
        <w:rPr>
          <w:rFonts w:eastAsia="Times New Roman"/>
          <w:color w:val="000000"/>
          <w:sz w:val="24"/>
          <w:szCs w:val="24"/>
          <w:vertAlign w:val="superscript"/>
        </w:rPr>
        <w:t>2</w:t>
      </w:r>
      <w:r w:rsidRPr="001F05AA">
        <w:rPr>
          <w:rFonts w:eastAsia="Times New Roman"/>
          <w:color w:val="000000"/>
          <w:sz w:val="24"/>
          <w:szCs w:val="24"/>
        </w:rPr>
        <w:t>, and consists primarily of deciduous forest (Hamre et al., 2018). The reservoir is typically thermally stratified from May through October, and experiences hypolimnetic anoxia throughout the summer stratified period (</w:t>
      </w:r>
      <w:proofErr w:type="spellStart"/>
      <w:r w:rsidRPr="001F05AA">
        <w:rPr>
          <w:rFonts w:eastAsia="Times New Roman"/>
          <w:color w:val="000000"/>
          <w:sz w:val="24"/>
          <w:szCs w:val="24"/>
        </w:rPr>
        <w:t>Doubek</w:t>
      </w:r>
      <w:proofErr w:type="spellEnd"/>
      <w:r w:rsidRPr="001F05AA">
        <w:rPr>
          <w:rFonts w:eastAsia="Times New Roman"/>
          <w:color w:val="000000"/>
          <w:sz w:val="24"/>
          <w:szCs w:val="24"/>
        </w:rPr>
        <w:t xml:space="preserve"> et al., 2018). </w:t>
      </w:r>
    </w:p>
    <w:p w14:paraId="69C9FFF5" w14:textId="77777777" w:rsidR="0006118D" w:rsidRPr="001F05AA" w:rsidRDefault="0006118D" w:rsidP="00A1583E">
      <w:pPr>
        <w:pBdr>
          <w:top w:val="nil"/>
          <w:left w:val="nil"/>
          <w:bottom w:val="nil"/>
          <w:right w:val="nil"/>
          <w:between w:val="nil"/>
        </w:pBdr>
        <w:spacing w:before="120"/>
        <w:rPr>
          <w:rFonts w:eastAsia="Times New Roman"/>
          <w:color w:val="000000"/>
          <w:sz w:val="24"/>
          <w:szCs w:val="24"/>
        </w:rPr>
      </w:pPr>
    </w:p>
    <w:p w14:paraId="056D3BDD" w14:textId="77777777" w:rsidR="0006118D" w:rsidRPr="001F05AA" w:rsidRDefault="00000000">
      <w:pPr>
        <w:rPr>
          <w:i/>
        </w:rPr>
      </w:pPr>
      <w:r w:rsidRPr="001F05AA">
        <w:rPr>
          <w:noProof/>
        </w:rPr>
        <w:drawing>
          <wp:inline distT="0" distB="0" distL="0" distR="0" wp14:anchorId="1E800D21" wp14:editId="25CE8733">
            <wp:extent cx="4569651" cy="4599432"/>
            <wp:effectExtent l="0" t="0" r="0" b="0"/>
            <wp:docPr id="194126097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
                    <a:srcRect/>
                    <a:stretch>
                      <a:fillRect/>
                    </a:stretch>
                  </pic:blipFill>
                  <pic:spPr>
                    <a:xfrm>
                      <a:off x="0" y="0"/>
                      <a:ext cx="4569651" cy="4599432"/>
                    </a:xfrm>
                    <a:prstGeom prst="rect">
                      <a:avLst/>
                    </a:prstGeom>
                    <a:ln/>
                  </pic:spPr>
                </pic:pic>
              </a:graphicData>
            </a:graphic>
          </wp:inline>
        </w:drawing>
      </w:r>
    </w:p>
    <w:p w14:paraId="4A9E494D" w14:textId="77777777" w:rsidR="0006118D" w:rsidRPr="001F05AA" w:rsidRDefault="00000000" w:rsidP="00D168A0">
      <w:pPr>
        <w:pBdr>
          <w:top w:val="nil"/>
          <w:left w:val="nil"/>
          <w:bottom w:val="nil"/>
          <w:right w:val="nil"/>
          <w:between w:val="nil"/>
        </w:pBdr>
        <w:rPr>
          <w:rFonts w:eastAsia="Times New Roman"/>
          <w:color w:val="000000"/>
          <w:sz w:val="24"/>
          <w:szCs w:val="24"/>
        </w:rPr>
      </w:pPr>
      <w:r w:rsidRPr="001F05AA">
        <w:rPr>
          <w:rFonts w:eastAsia="Times New Roman"/>
          <w:b/>
          <w:color w:val="000000"/>
          <w:sz w:val="24"/>
          <w:szCs w:val="24"/>
        </w:rPr>
        <w:t xml:space="preserve">Figure 2: </w:t>
      </w:r>
      <w:r w:rsidRPr="001F05AA">
        <w:rPr>
          <w:rFonts w:eastAsia="Times New Roman"/>
          <w:color w:val="000000"/>
          <w:sz w:val="24"/>
          <w:szCs w:val="24"/>
        </w:rPr>
        <w:t>A drawdown in summer 2022 substantially decreased water level in Beaverdam Reservoir. (a) Photos of the reservoir before (top, 9 May 2022) and after (bottom, 5 July 2022) the month-long drawdown. (b) The spatial extent of the reservoir surface area change from pre-drawdown in May (orange) to post-drawdown in July (teal), traced from satellite imagery. The background map shows the location of the reservoir within North America. (c) Change in epilimnetic and hypolimnetic water volume in 2021 and 2022. Vertical lines indicate when the outtake pipe was opened and closed​​, with the shaded month noting the drawdown interval.</w:t>
      </w:r>
    </w:p>
    <w:p w14:paraId="356EFBC5"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r w:rsidRPr="001F05AA">
        <w:rPr>
          <w:rFonts w:eastAsia="Times New Roman"/>
          <w:color w:val="000000"/>
          <w:sz w:val="24"/>
          <w:szCs w:val="24"/>
        </w:rPr>
        <w:lastRenderedPageBreak/>
        <w:t>2.2 Water level drawdown (2022) and reference year (2021)</w:t>
      </w:r>
    </w:p>
    <w:p w14:paraId="7DBD8483"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We monitored water physics, chemistry, and biology in Beaverdam Reservoir for two years (2021–2022), which included a reference year prior to the drawdown in 2022. During the reference year (2021), water level was higher than in 2022 (µ = 10.7 ± 0.4 m SD) and relatively constant throughout the stratified period. On 19 May 2022, managers opened an outtake pipe (see Figure 2b) at Beaverdam Reservoir to lower water level for dam maintenance. At the time that the drawdown began, the maximum depth of the reservoir was 10.1 m. The outtake pipe</w:t>
      </w:r>
      <w:r w:rsidRPr="001F05AA">
        <w:rPr>
          <w:sz w:val="24"/>
          <w:szCs w:val="24"/>
        </w:rPr>
        <w:t xml:space="preserve"> is upstream of our sampling site and</w:t>
      </w:r>
      <w:r w:rsidRPr="001F05AA">
        <w:rPr>
          <w:rFonts w:eastAsia="Times New Roman"/>
          <w:color w:val="000000"/>
          <w:sz w:val="24"/>
          <w:szCs w:val="24"/>
        </w:rPr>
        <w:t xml:space="preserve"> was in the epilimnion throughout a majority of the drawdown period (Figure 3a). Due to precipitation in the days following 19 May, water level did not begin to decline until several days after the pipe was opened (approximately 28 May; Figure 2c). The outtake pipe was closed on 28 June 2022. Following 28 June 2022, water level stayed relatively constant throughout the remainder of the summer stratified period (µ = 7.9 ± 0.1 m), then increased gradually throughout the fall and winter. </w:t>
      </w:r>
    </w:p>
    <w:p w14:paraId="6A918E86"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r w:rsidRPr="001F05AA">
        <w:rPr>
          <w:rFonts w:eastAsia="Times New Roman"/>
          <w:color w:val="000000"/>
          <w:sz w:val="24"/>
          <w:szCs w:val="24"/>
        </w:rPr>
        <w:t>2.3 Monitoring program</w:t>
      </w:r>
    </w:p>
    <w:p w14:paraId="6D158AF6"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r w:rsidRPr="001F05AA">
        <w:rPr>
          <w:rFonts w:eastAsia="Times New Roman"/>
          <w:color w:val="000000"/>
          <w:sz w:val="24"/>
          <w:szCs w:val="24"/>
        </w:rPr>
        <w:t xml:space="preserve">2.3.1 </w:t>
      </w:r>
      <w:r w:rsidRPr="001F05AA">
        <w:rPr>
          <w:rFonts w:eastAsia="Times New Roman"/>
          <w:i/>
          <w:color w:val="000000"/>
          <w:sz w:val="24"/>
          <w:szCs w:val="24"/>
        </w:rPr>
        <w:t>In situ</w:t>
      </w:r>
      <w:r w:rsidRPr="001F05AA">
        <w:rPr>
          <w:rFonts w:eastAsia="Times New Roman"/>
          <w:color w:val="000000"/>
          <w:sz w:val="24"/>
          <w:szCs w:val="24"/>
        </w:rPr>
        <w:t xml:space="preserve"> sensors</w:t>
      </w:r>
    </w:p>
    <w:p w14:paraId="6E80E8DD"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We used a suite of high-frequency </w:t>
      </w:r>
      <w:r w:rsidRPr="001F05AA">
        <w:rPr>
          <w:rFonts w:eastAsia="Times New Roman"/>
          <w:i/>
          <w:color w:val="000000"/>
          <w:sz w:val="24"/>
          <w:szCs w:val="24"/>
        </w:rPr>
        <w:t>in situ</w:t>
      </w:r>
      <w:r w:rsidRPr="001F05AA">
        <w:rPr>
          <w:rFonts w:eastAsia="Times New Roman"/>
          <w:color w:val="000000"/>
          <w:sz w:val="24"/>
          <w:szCs w:val="24"/>
        </w:rPr>
        <w:t xml:space="preserve"> sensors to continuously monitor water level and water temperature at the deepest site of the reservoir near the dam (Figure 2b). A Campbell Scientific pressure transducer (Logan, UT, USA) was fixed at 0.2 m above the sediments, and </w:t>
      </w:r>
      <w:proofErr w:type="spellStart"/>
      <w:r w:rsidRPr="001F05AA">
        <w:rPr>
          <w:rFonts w:eastAsia="Times New Roman"/>
          <w:color w:val="000000"/>
          <w:sz w:val="24"/>
          <w:szCs w:val="24"/>
        </w:rPr>
        <w:t>NexSens</w:t>
      </w:r>
      <w:proofErr w:type="spellEnd"/>
      <w:r w:rsidRPr="001F05AA">
        <w:rPr>
          <w:rFonts w:eastAsia="Times New Roman"/>
          <w:color w:val="000000"/>
          <w:sz w:val="24"/>
          <w:szCs w:val="24"/>
        </w:rPr>
        <w:t xml:space="preserve"> T-Node FR Temperature Sensor thermistors (</w:t>
      </w:r>
      <w:proofErr w:type="spellStart"/>
      <w:r w:rsidRPr="001F05AA">
        <w:rPr>
          <w:rFonts w:eastAsia="Times New Roman"/>
          <w:color w:val="000000"/>
          <w:sz w:val="24"/>
          <w:szCs w:val="24"/>
        </w:rPr>
        <w:t>NexSens</w:t>
      </w:r>
      <w:proofErr w:type="spellEnd"/>
      <w:r w:rsidRPr="001F05AA">
        <w:rPr>
          <w:rFonts w:eastAsia="Times New Roman"/>
          <w:color w:val="000000"/>
          <w:sz w:val="24"/>
          <w:szCs w:val="24"/>
        </w:rPr>
        <w:t xml:space="preserve">, Fairborn, OH, USA) were deployed at 1 m intervals from 0.2 m above the sediments to 13.2 m above the sediments. Both the pressure transducer and temperature sensors were affixed to a metal platform and therefore did not move up or down in absolute elevation as the water level changed in the reservoir (see Carey et al., 2023c). </w:t>
      </w:r>
    </w:p>
    <w:p w14:paraId="62725CE5"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In addition to the in-water sensors, we also measured air temperature, wind speed, and precipitation using a research-grade Campbell Scientific meteorological station that collected data every minute (Carey &amp; </w:t>
      </w:r>
      <w:proofErr w:type="spellStart"/>
      <w:r w:rsidRPr="001F05AA">
        <w:rPr>
          <w:rFonts w:eastAsia="Times New Roman"/>
          <w:color w:val="000000"/>
          <w:sz w:val="24"/>
          <w:szCs w:val="24"/>
        </w:rPr>
        <w:t>Breef-Pilz</w:t>
      </w:r>
      <w:proofErr w:type="spellEnd"/>
      <w:r w:rsidRPr="001F05AA">
        <w:rPr>
          <w:rFonts w:eastAsia="Times New Roman"/>
          <w:color w:val="000000"/>
          <w:sz w:val="24"/>
          <w:szCs w:val="24"/>
        </w:rPr>
        <w:t xml:space="preserve">, 2023). The station was located at 37.3027º N, 79.8369º W, 2.17 km from the sampling site at Beaverdam Reservoir. Air temperature was measured using a HC2S3 Temperature and Relative Humidity probe by </w:t>
      </w:r>
      <w:proofErr w:type="spellStart"/>
      <w:r w:rsidRPr="001F05AA">
        <w:rPr>
          <w:rFonts w:eastAsia="Times New Roman"/>
          <w:color w:val="000000"/>
          <w:sz w:val="24"/>
          <w:szCs w:val="24"/>
        </w:rPr>
        <w:t>Rotronic</w:t>
      </w:r>
      <w:proofErr w:type="spellEnd"/>
      <w:r w:rsidRPr="001F05AA">
        <w:rPr>
          <w:rFonts w:eastAsia="Times New Roman"/>
          <w:color w:val="000000"/>
          <w:sz w:val="24"/>
          <w:szCs w:val="24"/>
        </w:rPr>
        <w:t xml:space="preserve"> Instrument Corp (Hauppauge, NY, USA). Wind speed was measured using a R.M. Young Wind Monitor Model 05103 (RM Young Company, Traverse City, MI, USA), which averaged wind speeds over the minute. Precipitation was measured using a TE525WS-L Rain Gage (Texas Electronics Inc., Dallas, TX, USA), which measures rainfall in 0.254 mm increments (Carey &amp; </w:t>
      </w:r>
      <w:proofErr w:type="spellStart"/>
      <w:r w:rsidRPr="001F05AA">
        <w:rPr>
          <w:rFonts w:eastAsia="Times New Roman"/>
          <w:color w:val="000000"/>
          <w:sz w:val="24"/>
          <w:szCs w:val="24"/>
        </w:rPr>
        <w:t>Breef-Pilz</w:t>
      </w:r>
      <w:proofErr w:type="spellEnd"/>
      <w:r w:rsidRPr="001F05AA">
        <w:rPr>
          <w:rFonts w:eastAsia="Times New Roman"/>
          <w:color w:val="000000"/>
          <w:sz w:val="24"/>
          <w:szCs w:val="24"/>
        </w:rPr>
        <w:t>, 2023).</w:t>
      </w:r>
    </w:p>
    <w:p w14:paraId="5862ABB6"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r w:rsidRPr="001F05AA">
        <w:rPr>
          <w:rFonts w:eastAsia="Times New Roman"/>
          <w:color w:val="000000"/>
          <w:sz w:val="24"/>
          <w:szCs w:val="24"/>
        </w:rPr>
        <w:t>2.3.2 Field sampling</w:t>
      </w:r>
    </w:p>
    <w:p w14:paraId="5C623BE2"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To complement </w:t>
      </w:r>
      <w:r w:rsidRPr="001F05AA">
        <w:rPr>
          <w:rFonts w:eastAsia="Times New Roman"/>
          <w:i/>
          <w:color w:val="000000"/>
          <w:sz w:val="24"/>
          <w:szCs w:val="24"/>
        </w:rPr>
        <w:t>in situ</w:t>
      </w:r>
      <w:r w:rsidRPr="001F05AA">
        <w:rPr>
          <w:rFonts w:eastAsia="Times New Roman"/>
          <w:color w:val="000000"/>
          <w:sz w:val="24"/>
          <w:szCs w:val="24"/>
        </w:rPr>
        <w:t xml:space="preserve"> sensor data, we measured a suite of water quality variables weekly or fortnightly throughout the duration of this two-year study. Field sampling methods involved both manual sensor profiles and grab samples at multiple depths. </w:t>
      </w:r>
    </w:p>
    <w:p w14:paraId="3FA033FA"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r w:rsidRPr="001F05AA">
        <w:rPr>
          <w:rFonts w:eastAsia="Times New Roman"/>
          <w:color w:val="000000"/>
          <w:sz w:val="24"/>
          <w:szCs w:val="24"/>
        </w:rPr>
        <w:t>2.3.2.1 Sensor profiles</w:t>
      </w:r>
    </w:p>
    <w:p w14:paraId="7FF6E6B7"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Full water-column profiles of DO (concentration and percent saturation), photosynthetically active radiation (PAR), and turbidity were collected using a </w:t>
      </w:r>
      <w:proofErr w:type="spellStart"/>
      <w:r w:rsidRPr="001F05AA">
        <w:rPr>
          <w:rFonts w:eastAsia="Times New Roman"/>
          <w:color w:val="000000"/>
          <w:sz w:val="24"/>
          <w:szCs w:val="24"/>
        </w:rPr>
        <w:t>SeaBird</w:t>
      </w:r>
      <w:proofErr w:type="spellEnd"/>
      <w:r w:rsidRPr="001F05AA">
        <w:rPr>
          <w:rFonts w:eastAsia="Times New Roman"/>
          <w:color w:val="000000"/>
          <w:sz w:val="24"/>
          <w:szCs w:val="24"/>
        </w:rPr>
        <w:t xml:space="preserve"> 19plus V2 </w:t>
      </w:r>
      <w:proofErr w:type="spellStart"/>
      <w:r w:rsidRPr="001F05AA">
        <w:rPr>
          <w:rFonts w:eastAsia="Times New Roman"/>
          <w:color w:val="000000"/>
          <w:sz w:val="24"/>
          <w:szCs w:val="24"/>
        </w:rPr>
        <w:t>SeaCAT</w:t>
      </w:r>
      <w:proofErr w:type="spellEnd"/>
      <w:r w:rsidRPr="001F05AA">
        <w:rPr>
          <w:rFonts w:eastAsia="Times New Roman"/>
          <w:color w:val="000000"/>
          <w:sz w:val="24"/>
          <w:szCs w:val="24"/>
        </w:rPr>
        <w:t xml:space="preserve"> Profiler Conductivity, Temperature, and Depth (CTD) profiler (Sea-Bird Scientific, Bellevue, WA, USA). These profiles were collected approximately weekly during the summer </w:t>
      </w:r>
      <w:r w:rsidRPr="001F05AA">
        <w:rPr>
          <w:rFonts w:eastAsia="Times New Roman"/>
          <w:color w:val="000000"/>
          <w:sz w:val="24"/>
          <w:szCs w:val="24"/>
        </w:rPr>
        <w:lastRenderedPageBreak/>
        <w:t xml:space="preserve">stratified periods of 2021 and 2022, and monthly during the fall, winter, and spring. A YSI </w:t>
      </w:r>
      <w:proofErr w:type="spellStart"/>
      <w:r w:rsidRPr="001F05AA">
        <w:rPr>
          <w:rFonts w:eastAsia="Times New Roman"/>
          <w:color w:val="000000"/>
          <w:sz w:val="24"/>
          <w:szCs w:val="24"/>
        </w:rPr>
        <w:t>ProODO</w:t>
      </w:r>
      <w:proofErr w:type="spellEnd"/>
      <w:r w:rsidRPr="001F05AA">
        <w:rPr>
          <w:rFonts w:eastAsia="Times New Roman"/>
          <w:color w:val="000000"/>
          <w:sz w:val="24"/>
          <w:szCs w:val="24"/>
        </w:rPr>
        <w:t xml:space="preserve"> Optical Dissolved Oxygen Instrument (YSI Inc., Yellow Springs, OH, USA) was used to record DO concentrations at 1 m depth intervals in the reservoir from July - December 2021 during CTD maintenance; a comparison of the CTD and YSI DO sensors shows very strong correspondence (Carey et al., 2022a). </w:t>
      </w:r>
    </w:p>
    <w:p w14:paraId="3DFE0613"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We used a </w:t>
      </w:r>
      <w:proofErr w:type="spellStart"/>
      <w:r w:rsidRPr="001F05AA">
        <w:rPr>
          <w:rFonts w:eastAsia="Times New Roman"/>
          <w:color w:val="000000"/>
          <w:sz w:val="24"/>
          <w:szCs w:val="24"/>
        </w:rPr>
        <w:t>FluoroProbe</w:t>
      </w:r>
      <w:proofErr w:type="spellEnd"/>
      <w:r w:rsidRPr="001F05AA">
        <w:rPr>
          <w:rFonts w:eastAsia="Times New Roman"/>
          <w:color w:val="000000"/>
          <w:sz w:val="24"/>
          <w:szCs w:val="24"/>
        </w:rPr>
        <w:t xml:space="preserve"> (</w:t>
      </w:r>
      <w:proofErr w:type="spellStart"/>
      <w:r w:rsidRPr="001F05AA">
        <w:rPr>
          <w:rFonts w:eastAsia="Times New Roman"/>
          <w:color w:val="000000"/>
          <w:sz w:val="24"/>
          <w:szCs w:val="24"/>
        </w:rPr>
        <w:t>bbe</w:t>
      </w:r>
      <w:proofErr w:type="spellEnd"/>
      <w:r w:rsidRPr="001F05AA">
        <w:rPr>
          <w:rFonts w:eastAsia="Times New Roman"/>
          <w:color w:val="000000"/>
          <w:sz w:val="24"/>
          <w:szCs w:val="24"/>
        </w:rPr>
        <w:t xml:space="preserve"> </w:t>
      </w:r>
      <w:proofErr w:type="spellStart"/>
      <w:r w:rsidRPr="001F05AA">
        <w:rPr>
          <w:rFonts w:eastAsia="Times New Roman"/>
          <w:color w:val="000000"/>
          <w:sz w:val="24"/>
          <w:szCs w:val="24"/>
        </w:rPr>
        <w:t>Moldaenke</w:t>
      </w:r>
      <w:proofErr w:type="spellEnd"/>
      <w:r w:rsidRPr="001F05AA">
        <w:rPr>
          <w:rFonts w:eastAsia="Times New Roman"/>
          <w:color w:val="000000"/>
          <w:sz w:val="24"/>
          <w:szCs w:val="24"/>
        </w:rPr>
        <w:t xml:space="preserve">, </w:t>
      </w:r>
      <w:proofErr w:type="spellStart"/>
      <w:r w:rsidRPr="001F05AA">
        <w:rPr>
          <w:rFonts w:eastAsia="Times New Roman"/>
          <w:color w:val="000000"/>
          <w:sz w:val="24"/>
          <w:szCs w:val="24"/>
        </w:rPr>
        <w:t>Schwentinental</w:t>
      </w:r>
      <w:proofErr w:type="spellEnd"/>
      <w:r w:rsidRPr="001F05AA">
        <w:rPr>
          <w:rFonts w:eastAsia="Times New Roman"/>
          <w:color w:val="000000"/>
          <w:sz w:val="24"/>
          <w:szCs w:val="24"/>
        </w:rPr>
        <w:t xml:space="preserve">, Germany) to measure phytoplankton biomass and depth distribution in the reservoir. </w:t>
      </w:r>
      <w:proofErr w:type="spellStart"/>
      <w:r w:rsidRPr="001F05AA">
        <w:rPr>
          <w:rFonts w:eastAsia="Times New Roman"/>
          <w:color w:val="000000"/>
          <w:sz w:val="24"/>
          <w:szCs w:val="24"/>
        </w:rPr>
        <w:t>FluoroProbes</w:t>
      </w:r>
      <w:proofErr w:type="spellEnd"/>
      <w:r w:rsidRPr="001F05AA">
        <w:rPr>
          <w:rFonts w:eastAsia="Times New Roman"/>
          <w:color w:val="000000"/>
          <w:sz w:val="24"/>
          <w:szCs w:val="24"/>
        </w:rPr>
        <w:t xml:space="preserve"> are submersible, </w:t>
      </w:r>
      <w:r w:rsidRPr="001F05AA">
        <w:rPr>
          <w:rFonts w:eastAsia="Times New Roman"/>
          <w:i/>
          <w:color w:val="000000"/>
          <w:sz w:val="24"/>
          <w:szCs w:val="24"/>
        </w:rPr>
        <w:t>in-situ</w:t>
      </w:r>
      <w:r w:rsidRPr="001F05AA">
        <w:rPr>
          <w:rFonts w:eastAsia="Times New Roman"/>
          <w:color w:val="000000"/>
          <w:sz w:val="24"/>
          <w:szCs w:val="24"/>
        </w:rPr>
        <w:t xml:space="preserve"> fluorometers that estimate biomass of four spectral groups using fluorescence of a suite of photosynthetic pigments (Catherine et al., 2012; </w:t>
      </w:r>
      <w:proofErr w:type="spellStart"/>
      <w:r w:rsidRPr="001F05AA">
        <w:rPr>
          <w:rFonts w:eastAsia="Times New Roman"/>
          <w:color w:val="000000"/>
          <w:sz w:val="24"/>
          <w:szCs w:val="24"/>
        </w:rPr>
        <w:t>Kring</w:t>
      </w:r>
      <w:proofErr w:type="spellEnd"/>
      <w:r w:rsidRPr="001F05AA">
        <w:rPr>
          <w:rFonts w:eastAsia="Times New Roman"/>
          <w:color w:val="000000"/>
          <w:sz w:val="24"/>
          <w:szCs w:val="24"/>
        </w:rPr>
        <w:t xml:space="preserve"> et al., 2014): (1) green algae, which is largely correlated with chlorophyll-</w:t>
      </w:r>
      <w:r w:rsidRPr="001F05AA">
        <w:rPr>
          <w:rFonts w:eastAsia="Times New Roman"/>
          <w:i/>
          <w:color w:val="000000"/>
          <w:sz w:val="24"/>
          <w:szCs w:val="24"/>
        </w:rPr>
        <w:t>a</w:t>
      </w:r>
      <w:r w:rsidRPr="001F05AA">
        <w:rPr>
          <w:rFonts w:eastAsia="Times New Roman"/>
          <w:color w:val="000000"/>
          <w:sz w:val="24"/>
          <w:szCs w:val="24"/>
        </w:rPr>
        <w:t xml:space="preserve"> and chlorophyll-</w:t>
      </w:r>
      <w:r w:rsidRPr="001F05AA">
        <w:rPr>
          <w:rFonts w:eastAsia="Times New Roman"/>
          <w:i/>
          <w:color w:val="000000"/>
          <w:sz w:val="24"/>
          <w:szCs w:val="24"/>
        </w:rPr>
        <w:t>b</w:t>
      </w:r>
      <w:r w:rsidRPr="001F05AA">
        <w:rPr>
          <w:rFonts w:eastAsia="Times New Roman"/>
          <w:color w:val="000000"/>
          <w:sz w:val="24"/>
          <w:szCs w:val="24"/>
        </w:rPr>
        <w:t xml:space="preserve"> fluorescence; (2) cyanobacteria (phycocyanin); (3) brown algae (xanthophyll, fucoxanthin, and peridinin); and (4) cryptophytes or mixed algae (phycoerythrin; </w:t>
      </w:r>
      <w:proofErr w:type="spellStart"/>
      <w:r w:rsidRPr="001F05AA">
        <w:rPr>
          <w:rFonts w:eastAsia="Times New Roman"/>
          <w:color w:val="000000"/>
          <w:sz w:val="24"/>
          <w:szCs w:val="24"/>
        </w:rPr>
        <w:t>Beutler</w:t>
      </w:r>
      <w:proofErr w:type="spellEnd"/>
      <w:r w:rsidRPr="001F05AA">
        <w:rPr>
          <w:rFonts w:eastAsia="Times New Roman"/>
          <w:color w:val="000000"/>
          <w:sz w:val="24"/>
          <w:szCs w:val="24"/>
        </w:rPr>
        <w:t xml:space="preserve"> et al., 2002). Biomass of the four spectral groups at each measured depth was then summed to produce depth-specific total phytoplankton biomass concentrations (Carey et al., 2023d).</w:t>
      </w:r>
    </w:p>
    <w:p w14:paraId="553BC9AA" w14:textId="77777777" w:rsidR="0006118D" w:rsidRPr="001F05AA" w:rsidRDefault="00000000">
      <w:pPr>
        <w:keepNext/>
        <w:pBdr>
          <w:top w:val="nil"/>
          <w:left w:val="nil"/>
          <w:bottom w:val="nil"/>
          <w:right w:val="nil"/>
          <w:between w:val="nil"/>
        </w:pBdr>
        <w:spacing w:before="240" w:after="120"/>
        <w:ind w:left="720"/>
        <w:rPr>
          <w:rFonts w:eastAsia="Times New Roman"/>
          <w:i/>
          <w:color w:val="000000"/>
          <w:sz w:val="24"/>
          <w:szCs w:val="24"/>
        </w:rPr>
      </w:pPr>
      <w:r w:rsidRPr="001F05AA">
        <w:rPr>
          <w:rFonts w:eastAsia="Times New Roman"/>
          <w:i/>
          <w:color w:val="000000"/>
          <w:sz w:val="24"/>
          <w:szCs w:val="24"/>
        </w:rPr>
        <w:t>2.3.2.2 Water chemistry grab samples</w:t>
      </w:r>
    </w:p>
    <w:p w14:paraId="71B45286"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We used a 4-L Van Dorn sampler (</w:t>
      </w:r>
      <w:proofErr w:type="spellStart"/>
      <w:r w:rsidRPr="001F05AA">
        <w:rPr>
          <w:rFonts w:eastAsia="Times New Roman"/>
          <w:color w:val="000000"/>
          <w:sz w:val="24"/>
          <w:szCs w:val="24"/>
        </w:rPr>
        <w:t>Wildco</w:t>
      </w:r>
      <w:proofErr w:type="spellEnd"/>
      <w:r w:rsidRPr="001F05AA">
        <w:rPr>
          <w:rFonts w:eastAsia="Times New Roman"/>
          <w:color w:val="000000"/>
          <w:sz w:val="24"/>
          <w:szCs w:val="24"/>
        </w:rPr>
        <w:t xml:space="preserve">, Yulee, FL, USA) to collect water chemistry samples at 0.1, 3, 6, 9, and 10 m. If the water level was too low to obtain a 9 m or 10 m sample, we collected samples to all of the routine monitoring depths possible and also from ~1 m above the sediments. At each depth, subsamples were taken for dissolved </w:t>
      </w:r>
      <w:r w:rsidRPr="001F05AA">
        <w:rPr>
          <w:sz w:val="24"/>
          <w:szCs w:val="24"/>
        </w:rPr>
        <w:t>CO</w:t>
      </w:r>
      <w:r w:rsidRPr="001F05AA">
        <w:rPr>
          <w:sz w:val="24"/>
          <w:szCs w:val="24"/>
          <w:vertAlign w:val="subscript"/>
        </w:rPr>
        <w:t>2</w:t>
      </w:r>
      <w:r w:rsidRPr="001F05AA">
        <w:rPr>
          <w:rFonts w:eastAsia="Times New Roman"/>
          <w:color w:val="000000"/>
          <w:sz w:val="24"/>
          <w:szCs w:val="24"/>
        </w:rPr>
        <w:t>, dissolved organic carbon (DOC), total and soluble N and P, and total and soluble iron (Fe) and manganese (Mn) concentrations.</w:t>
      </w:r>
    </w:p>
    <w:p w14:paraId="2DCEE1BB"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Water samples for dissolved CO</w:t>
      </w:r>
      <w:r w:rsidRPr="001F05AA">
        <w:rPr>
          <w:rFonts w:eastAsia="Times New Roman"/>
          <w:color w:val="000000"/>
          <w:sz w:val="24"/>
          <w:szCs w:val="24"/>
          <w:vertAlign w:val="subscript"/>
        </w:rPr>
        <w:t>2</w:t>
      </w:r>
      <w:r w:rsidRPr="001F05AA">
        <w:rPr>
          <w:rFonts w:eastAsia="Times New Roman"/>
          <w:color w:val="000000"/>
          <w:sz w:val="24"/>
          <w:szCs w:val="24"/>
        </w:rPr>
        <w:t xml:space="preserve"> were collected from the Van Dorn sampler and immediately sealed in 20-mL glass vials with crimped septum caps and no headspace. These samples were kept on ice, then refrigerated in the lab and analyzed within 24 </w:t>
      </w:r>
      <w:proofErr w:type="spellStart"/>
      <w:r w:rsidRPr="001F05AA">
        <w:rPr>
          <w:rFonts w:eastAsia="Times New Roman"/>
          <w:color w:val="000000"/>
          <w:sz w:val="24"/>
          <w:szCs w:val="24"/>
        </w:rPr>
        <w:t>hr</w:t>
      </w:r>
      <w:proofErr w:type="spellEnd"/>
      <w:r w:rsidRPr="001F05AA">
        <w:rPr>
          <w:rFonts w:eastAsia="Times New Roman"/>
          <w:color w:val="000000"/>
          <w:sz w:val="24"/>
          <w:szCs w:val="24"/>
        </w:rPr>
        <w:t xml:space="preserve"> (Carey et al., 2023b). </w:t>
      </w:r>
    </w:p>
    <w:p w14:paraId="74B690EE"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Samples for DOC and total and soluble N and P were collected in acid-washed polypropylene bottles. Unfiltered water samples were used for analysis of total nitrogen (TN) and total phosphorus (TP). Filtered water samples (Thomas Scientific GF/F 0.7 </w:t>
      </w:r>
      <w:proofErr w:type="spellStart"/>
      <w:r w:rsidRPr="001F05AA">
        <w:rPr>
          <w:rFonts w:eastAsia="Times New Roman"/>
          <w:color w:val="000000"/>
          <w:sz w:val="24"/>
          <w:szCs w:val="24"/>
        </w:rPr>
        <w:t>μm</w:t>
      </w:r>
      <w:proofErr w:type="spellEnd"/>
      <w:r w:rsidRPr="001F05AA">
        <w:rPr>
          <w:rFonts w:eastAsia="Times New Roman"/>
          <w:color w:val="000000"/>
          <w:sz w:val="24"/>
          <w:szCs w:val="24"/>
        </w:rPr>
        <w:t xml:space="preserve"> filters) were collected for analysis of DOC, ammonium (NH</w:t>
      </w:r>
      <w:r w:rsidRPr="001F05AA">
        <w:rPr>
          <w:rFonts w:eastAsia="Times New Roman"/>
          <w:color w:val="000000"/>
          <w:sz w:val="24"/>
          <w:szCs w:val="24"/>
          <w:vertAlign w:val="subscript"/>
        </w:rPr>
        <w:t>4</w:t>
      </w:r>
      <w:r w:rsidRPr="001F05AA">
        <w:rPr>
          <w:rFonts w:eastAsia="Times New Roman"/>
          <w:color w:val="000000"/>
          <w:sz w:val="24"/>
          <w:szCs w:val="24"/>
          <w:vertAlign w:val="superscript"/>
        </w:rPr>
        <w:t>+</w:t>
      </w:r>
      <w:r w:rsidRPr="001F05AA">
        <w:rPr>
          <w:rFonts w:eastAsia="Times New Roman"/>
          <w:color w:val="000000"/>
          <w:sz w:val="24"/>
          <w:szCs w:val="24"/>
        </w:rPr>
        <w:t>), nitrate (NO</w:t>
      </w:r>
      <w:r w:rsidRPr="001F05AA">
        <w:rPr>
          <w:rFonts w:eastAsia="Times New Roman"/>
          <w:color w:val="000000"/>
          <w:sz w:val="24"/>
          <w:szCs w:val="24"/>
          <w:vertAlign w:val="subscript"/>
        </w:rPr>
        <w:t>3</w:t>
      </w:r>
      <w:r w:rsidRPr="001F05AA">
        <w:rPr>
          <w:rFonts w:eastAsia="Times New Roman"/>
          <w:color w:val="000000"/>
          <w:sz w:val="24"/>
          <w:szCs w:val="24"/>
          <w:vertAlign w:val="superscript"/>
        </w:rPr>
        <w:t>-</w:t>
      </w:r>
      <w:r w:rsidRPr="001F05AA">
        <w:rPr>
          <w:rFonts w:eastAsia="Times New Roman"/>
          <w:color w:val="000000"/>
          <w:sz w:val="24"/>
          <w:szCs w:val="24"/>
        </w:rPr>
        <w:t>), and soluble reactive phosphorus (SRP). Both total and filtered nutrient and C samples were frozen for later analysis, as described below (Carey et al., 2023e).</w:t>
      </w:r>
    </w:p>
    <w:p w14:paraId="1AE2FE0A"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Water samples for analysis of Fe and Mn were collected in 15-mL centrifuge tubes. Unfiltered samples were analyzed for total Fe and Mn. A separate aliquot was filtered immediately upon collection with a 0.45-μm nylon membrane for analysis of soluble Fe and Mn. Samples for metals analysis were preserved with trace metal grade nitric acid in the field to pH &lt;2 (Schreiber et al., 2023). </w:t>
      </w:r>
    </w:p>
    <w:p w14:paraId="1138779D"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r w:rsidRPr="001F05AA">
        <w:rPr>
          <w:rFonts w:eastAsia="Times New Roman"/>
          <w:color w:val="000000"/>
          <w:sz w:val="24"/>
          <w:szCs w:val="24"/>
        </w:rPr>
        <w:t>2.4 Laboratory analysis</w:t>
      </w:r>
    </w:p>
    <w:p w14:paraId="3E517B6E"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r w:rsidRPr="001F05AA">
        <w:rPr>
          <w:rFonts w:eastAsia="Times New Roman"/>
          <w:color w:val="000000"/>
          <w:sz w:val="24"/>
          <w:szCs w:val="24"/>
        </w:rPr>
        <w:t xml:space="preserve">2.4.1 </w:t>
      </w:r>
      <w:r w:rsidRPr="001F05AA">
        <w:rPr>
          <w:sz w:val="24"/>
          <w:szCs w:val="24"/>
        </w:rPr>
        <w:t>Dissolved carbon dioxide</w:t>
      </w:r>
    </w:p>
    <w:p w14:paraId="56F90A0B"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Dissolved CO</w:t>
      </w:r>
      <w:r w:rsidRPr="001F05AA">
        <w:rPr>
          <w:rFonts w:eastAsia="Times New Roman"/>
          <w:color w:val="000000"/>
          <w:sz w:val="24"/>
          <w:szCs w:val="24"/>
          <w:vertAlign w:val="subscript"/>
        </w:rPr>
        <w:t>2</w:t>
      </w:r>
      <w:r w:rsidRPr="001F05AA">
        <w:rPr>
          <w:rFonts w:eastAsia="Times New Roman"/>
          <w:color w:val="000000"/>
          <w:sz w:val="24"/>
          <w:szCs w:val="24"/>
        </w:rPr>
        <w:t xml:space="preserve"> concentrations were measured on a Shimadzu Nexis GC-2030 Gas Chromatograph (GC; Shimadzu, Kyoto, Japan) with a Flame Ionization Detector (FID) and Thermal Conductivity Detector (TCD) following McClure et al. (2018). Prior to analysis, a 2-mL </w:t>
      </w:r>
      <w:r w:rsidRPr="001F05AA">
        <w:rPr>
          <w:rFonts w:eastAsia="Times New Roman"/>
          <w:color w:val="000000"/>
          <w:sz w:val="24"/>
          <w:szCs w:val="24"/>
        </w:rPr>
        <w:lastRenderedPageBreak/>
        <w:t>headspace was created with Helium (He) by displacing 2-mL of sample water and equilibrated by shaking each sample at 300 rpm for 15 minutes. The 2-mL headspace was then injected into the GC at a temperature of 35 degrees C and a carrier gas (He) flow rate of 15 mL/min. Dissolved concentrations of CO</w:t>
      </w:r>
      <w:r w:rsidRPr="001F05AA">
        <w:rPr>
          <w:rFonts w:eastAsia="Times New Roman"/>
          <w:color w:val="000000"/>
          <w:sz w:val="24"/>
          <w:szCs w:val="24"/>
          <w:vertAlign w:val="subscript"/>
        </w:rPr>
        <w:t>2</w:t>
      </w:r>
      <w:r w:rsidRPr="001F05AA">
        <w:rPr>
          <w:rFonts w:eastAsia="Times New Roman"/>
          <w:color w:val="000000"/>
          <w:sz w:val="24"/>
          <w:szCs w:val="24"/>
        </w:rPr>
        <w:t xml:space="preserve"> in water were calculated using the observed head-space concentrations and Henry's Law (Carey et al., 2023b; McClure et al., 2018).</w:t>
      </w:r>
    </w:p>
    <w:p w14:paraId="2B033518"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r w:rsidRPr="001F05AA">
        <w:rPr>
          <w:rFonts w:eastAsia="Times New Roman"/>
          <w:color w:val="000000"/>
          <w:sz w:val="24"/>
          <w:szCs w:val="24"/>
        </w:rPr>
        <w:t>2.4.2 Carbon, nitrogen, and phosphorus</w:t>
      </w:r>
    </w:p>
    <w:p w14:paraId="35189F2E"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Water column depth profiles of C, N, and P concentrations were measured following collection in the field. DOC samples were poured into glass vials which had been acid-washed and combusted at 550°C. These samples were analyzed on an </w:t>
      </w:r>
      <w:proofErr w:type="spellStart"/>
      <w:r w:rsidRPr="001F05AA">
        <w:rPr>
          <w:rFonts w:eastAsia="Times New Roman"/>
          <w:color w:val="000000"/>
          <w:sz w:val="24"/>
          <w:szCs w:val="24"/>
        </w:rPr>
        <w:t>Elementar</w:t>
      </w:r>
      <w:proofErr w:type="spellEnd"/>
      <w:r w:rsidRPr="001F05AA">
        <w:rPr>
          <w:rFonts w:eastAsia="Times New Roman"/>
          <w:color w:val="000000"/>
          <w:sz w:val="24"/>
          <w:szCs w:val="24"/>
        </w:rPr>
        <w:t xml:space="preserve"> </w:t>
      </w:r>
      <w:proofErr w:type="spellStart"/>
      <w:r w:rsidRPr="001F05AA">
        <w:rPr>
          <w:rFonts w:eastAsia="Times New Roman"/>
          <w:color w:val="000000"/>
          <w:sz w:val="24"/>
          <w:szCs w:val="24"/>
        </w:rPr>
        <w:t>vario</w:t>
      </w:r>
      <w:proofErr w:type="spellEnd"/>
      <w:r w:rsidRPr="001F05AA">
        <w:rPr>
          <w:rFonts w:eastAsia="Times New Roman"/>
          <w:color w:val="000000"/>
          <w:sz w:val="24"/>
          <w:szCs w:val="24"/>
        </w:rPr>
        <w:t xml:space="preserve"> TOC cube (</w:t>
      </w:r>
      <w:proofErr w:type="spellStart"/>
      <w:r w:rsidRPr="001F05AA">
        <w:rPr>
          <w:rFonts w:eastAsia="Times New Roman"/>
          <w:color w:val="000000"/>
          <w:sz w:val="24"/>
          <w:szCs w:val="24"/>
        </w:rPr>
        <w:t>Elementar</w:t>
      </w:r>
      <w:proofErr w:type="spellEnd"/>
      <w:r w:rsidRPr="001F05AA">
        <w:rPr>
          <w:rFonts w:eastAsia="Times New Roman"/>
          <w:color w:val="000000"/>
          <w:sz w:val="24"/>
          <w:szCs w:val="24"/>
        </w:rPr>
        <w:t xml:space="preserve"> </w:t>
      </w:r>
      <w:proofErr w:type="spellStart"/>
      <w:r w:rsidRPr="001F05AA">
        <w:rPr>
          <w:rFonts w:eastAsia="Times New Roman"/>
          <w:color w:val="000000"/>
          <w:sz w:val="24"/>
          <w:szCs w:val="24"/>
        </w:rPr>
        <w:t>Analysensysteme</w:t>
      </w:r>
      <w:proofErr w:type="spellEnd"/>
      <w:r w:rsidRPr="001F05AA">
        <w:rPr>
          <w:rFonts w:eastAsia="Times New Roman"/>
          <w:color w:val="000000"/>
          <w:sz w:val="24"/>
          <w:szCs w:val="24"/>
        </w:rPr>
        <w:t xml:space="preserve"> GmbH, Hanau, Germany) using the persulfate catalytic method (Brenton &amp; Arnett, 1993). The detection limit for DOC was 0.76 mg/L. Samples for NH</w:t>
      </w:r>
      <w:r w:rsidRPr="001F05AA">
        <w:rPr>
          <w:rFonts w:eastAsia="Times New Roman"/>
          <w:color w:val="000000"/>
          <w:sz w:val="24"/>
          <w:szCs w:val="24"/>
          <w:vertAlign w:val="subscript"/>
        </w:rPr>
        <w:t>4</w:t>
      </w:r>
      <w:r w:rsidRPr="001F05AA">
        <w:rPr>
          <w:rFonts w:eastAsia="Times New Roman"/>
          <w:color w:val="000000"/>
          <w:sz w:val="24"/>
          <w:szCs w:val="24"/>
          <w:vertAlign w:val="superscript"/>
        </w:rPr>
        <w:t>+</w:t>
      </w:r>
      <w:r w:rsidRPr="001F05AA">
        <w:rPr>
          <w:rFonts w:eastAsia="Times New Roman"/>
          <w:color w:val="000000"/>
          <w:sz w:val="24"/>
          <w:szCs w:val="24"/>
        </w:rPr>
        <w:t>, NO</w:t>
      </w:r>
      <w:r w:rsidRPr="001F05AA">
        <w:rPr>
          <w:rFonts w:eastAsia="Times New Roman"/>
          <w:color w:val="000000"/>
          <w:sz w:val="24"/>
          <w:szCs w:val="24"/>
          <w:vertAlign w:val="subscript"/>
        </w:rPr>
        <w:t>3</w:t>
      </w:r>
      <w:r w:rsidRPr="001F05AA">
        <w:rPr>
          <w:rFonts w:eastAsia="Times New Roman"/>
          <w:color w:val="000000"/>
          <w:sz w:val="24"/>
          <w:szCs w:val="24"/>
          <w:vertAlign w:val="superscript"/>
        </w:rPr>
        <w:t xml:space="preserve">- </w:t>
      </w:r>
      <w:r w:rsidRPr="001F05AA">
        <w:rPr>
          <w:rFonts w:eastAsia="Times New Roman"/>
          <w:color w:val="000000"/>
          <w:sz w:val="24"/>
          <w:szCs w:val="24"/>
        </w:rPr>
        <w:t xml:space="preserve">, and SRP were analyzed </w:t>
      </w:r>
      <w:proofErr w:type="spellStart"/>
      <w:r w:rsidRPr="001F05AA">
        <w:rPr>
          <w:rFonts w:eastAsia="Times New Roman"/>
          <w:color w:val="000000"/>
          <w:sz w:val="24"/>
          <w:szCs w:val="24"/>
        </w:rPr>
        <w:t>colorimetrically</w:t>
      </w:r>
      <w:proofErr w:type="spellEnd"/>
      <w:r w:rsidRPr="001F05AA">
        <w:rPr>
          <w:rFonts w:eastAsia="Times New Roman"/>
          <w:color w:val="000000"/>
          <w:sz w:val="24"/>
          <w:szCs w:val="24"/>
        </w:rPr>
        <w:t xml:space="preserve"> using flow injection analysis (APHA 2005) on a </w:t>
      </w:r>
      <w:proofErr w:type="spellStart"/>
      <w:r w:rsidRPr="001F05AA">
        <w:rPr>
          <w:rFonts w:eastAsia="Times New Roman"/>
          <w:color w:val="000000"/>
          <w:sz w:val="24"/>
          <w:szCs w:val="24"/>
        </w:rPr>
        <w:t>Lachat</w:t>
      </w:r>
      <w:proofErr w:type="spellEnd"/>
      <w:r w:rsidRPr="001F05AA">
        <w:rPr>
          <w:rFonts w:eastAsia="Times New Roman"/>
          <w:color w:val="000000"/>
          <w:sz w:val="24"/>
          <w:szCs w:val="24"/>
        </w:rPr>
        <w:t xml:space="preserve"> Instruments XYZ Autosampler ASX 520 Series and </w:t>
      </w:r>
      <w:proofErr w:type="spellStart"/>
      <w:r w:rsidRPr="001F05AA">
        <w:rPr>
          <w:rFonts w:eastAsia="Times New Roman"/>
          <w:color w:val="000000"/>
          <w:sz w:val="24"/>
          <w:szCs w:val="24"/>
        </w:rPr>
        <w:t>QuikChem</w:t>
      </w:r>
      <w:proofErr w:type="spellEnd"/>
      <w:r w:rsidRPr="001F05AA">
        <w:rPr>
          <w:rFonts w:eastAsia="Times New Roman"/>
          <w:color w:val="000000"/>
          <w:sz w:val="24"/>
          <w:szCs w:val="24"/>
        </w:rPr>
        <w:t xml:space="preserve"> Series 8500 (</w:t>
      </w:r>
      <w:proofErr w:type="spellStart"/>
      <w:r w:rsidRPr="001F05AA">
        <w:rPr>
          <w:rFonts w:eastAsia="Times New Roman"/>
          <w:color w:val="000000"/>
          <w:sz w:val="24"/>
          <w:szCs w:val="24"/>
        </w:rPr>
        <w:t>Lachat</w:t>
      </w:r>
      <w:proofErr w:type="spellEnd"/>
      <w:r w:rsidRPr="001F05AA">
        <w:rPr>
          <w:rFonts w:eastAsia="Times New Roman"/>
          <w:color w:val="000000"/>
          <w:sz w:val="24"/>
          <w:szCs w:val="24"/>
        </w:rPr>
        <w:t xml:space="preserve"> ASX 520 Series, </w:t>
      </w:r>
      <w:proofErr w:type="spellStart"/>
      <w:r w:rsidRPr="001F05AA">
        <w:rPr>
          <w:rFonts w:eastAsia="Times New Roman"/>
          <w:color w:val="000000"/>
          <w:sz w:val="24"/>
          <w:szCs w:val="24"/>
        </w:rPr>
        <w:t>Lachat</w:t>
      </w:r>
      <w:proofErr w:type="spellEnd"/>
      <w:r w:rsidRPr="001F05AA">
        <w:rPr>
          <w:rFonts w:eastAsia="Times New Roman"/>
          <w:color w:val="000000"/>
          <w:sz w:val="24"/>
          <w:szCs w:val="24"/>
        </w:rPr>
        <w:t xml:space="preserve"> Instruments, Loveland, Colorado, USA). Method detection limits were 4.3 µg/L (NH</w:t>
      </w:r>
      <w:r w:rsidRPr="001F05AA">
        <w:rPr>
          <w:rFonts w:eastAsia="Times New Roman"/>
          <w:color w:val="000000"/>
          <w:sz w:val="24"/>
          <w:szCs w:val="24"/>
          <w:vertAlign w:val="subscript"/>
        </w:rPr>
        <w:t>4</w:t>
      </w:r>
      <w:r w:rsidRPr="001F05AA">
        <w:rPr>
          <w:rFonts w:eastAsia="Times New Roman"/>
          <w:color w:val="000000"/>
          <w:sz w:val="24"/>
          <w:szCs w:val="24"/>
          <w:vertAlign w:val="superscript"/>
        </w:rPr>
        <w:t>+</w:t>
      </w:r>
      <w:r w:rsidRPr="001F05AA">
        <w:rPr>
          <w:rFonts w:eastAsia="Times New Roman"/>
          <w:color w:val="000000"/>
          <w:sz w:val="24"/>
          <w:szCs w:val="24"/>
        </w:rPr>
        <w:t>), 3.8 µg/L (NO</w:t>
      </w:r>
      <w:r w:rsidRPr="001F05AA">
        <w:rPr>
          <w:rFonts w:eastAsia="Times New Roman"/>
          <w:color w:val="000000"/>
          <w:sz w:val="24"/>
          <w:szCs w:val="24"/>
          <w:vertAlign w:val="subscript"/>
        </w:rPr>
        <w:t>3</w:t>
      </w:r>
      <w:r w:rsidRPr="001F05AA">
        <w:rPr>
          <w:rFonts w:eastAsia="Times New Roman"/>
          <w:color w:val="000000"/>
          <w:sz w:val="24"/>
          <w:szCs w:val="24"/>
          <w:vertAlign w:val="superscript"/>
        </w:rPr>
        <w:t xml:space="preserve">- </w:t>
      </w:r>
      <w:r w:rsidRPr="001F05AA">
        <w:rPr>
          <w:rFonts w:eastAsia="Times New Roman"/>
          <w:color w:val="000000"/>
          <w:sz w:val="24"/>
          <w:szCs w:val="24"/>
        </w:rPr>
        <w:t xml:space="preserve">), and 3.0 µg/L (SRP), determined following Carey et al. (2023e). Samples for TN and TP were digested with alkaline persulfate and then analyzed </w:t>
      </w:r>
      <w:proofErr w:type="spellStart"/>
      <w:r w:rsidRPr="001F05AA">
        <w:rPr>
          <w:rFonts w:eastAsia="Times New Roman"/>
          <w:color w:val="000000"/>
          <w:sz w:val="24"/>
          <w:szCs w:val="24"/>
        </w:rPr>
        <w:t>colorimetrically</w:t>
      </w:r>
      <w:proofErr w:type="spellEnd"/>
      <w:r w:rsidRPr="001F05AA">
        <w:rPr>
          <w:rFonts w:eastAsia="Times New Roman"/>
          <w:color w:val="000000"/>
          <w:sz w:val="24"/>
          <w:szCs w:val="24"/>
        </w:rPr>
        <w:t xml:space="preserve"> using flow injection analysis. Method detection limits were 56 µg/L (TN) and 3.5 µg/L (TP). Additional analytical methodology can be found in the data publication (Carey et al., 2023e). </w:t>
      </w:r>
    </w:p>
    <w:p w14:paraId="0C9F69CD"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bookmarkStart w:id="0" w:name="_heading=h.gjdgxs" w:colFirst="0" w:colLast="0"/>
      <w:bookmarkEnd w:id="0"/>
      <w:r w:rsidRPr="001F05AA">
        <w:rPr>
          <w:rFonts w:eastAsia="Times New Roman"/>
          <w:color w:val="000000"/>
          <w:sz w:val="24"/>
          <w:szCs w:val="24"/>
        </w:rPr>
        <w:t>2.4.3 Fe and Mn</w:t>
      </w:r>
    </w:p>
    <w:p w14:paraId="5AAA98E4"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Samples for total and soluble Fe and Mn were analyzed by ICPMS (inductively coupled plasma mass spectrometry; </w:t>
      </w:r>
      <w:proofErr w:type="spellStart"/>
      <w:r w:rsidRPr="001F05AA">
        <w:rPr>
          <w:rFonts w:eastAsia="Times New Roman"/>
          <w:color w:val="000000"/>
          <w:sz w:val="24"/>
          <w:szCs w:val="24"/>
        </w:rPr>
        <w:t>Thermo</w:t>
      </w:r>
      <w:proofErr w:type="spellEnd"/>
      <w:r w:rsidRPr="001F05AA">
        <w:rPr>
          <w:rFonts w:eastAsia="Times New Roman"/>
          <w:color w:val="000000"/>
          <w:sz w:val="24"/>
          <w:szCs w:val="24"/>
        </w:rPr>
        <w:t xml:space="preserve"> Electron </w:t>
      </w:r>
      <w:proofErr w:type="spellStart"/>
      <w:r w:rsidRPr="001F05AA">
        <w:rPr>
          <w:rFonts w:eastAsia="Times New Roman"/>
          <w:color w:val="000000"/>
          <w:sz w:val="24"/>
          <w:szCs w:val="24"/>
        </w:rPr>
        <w:t>iCAP</w:t>
      </w:r>
      <w:proofErr w:type="spellEnd"/>
      <w:r w:rsidRPr="001F05AA">
        <w:rPr>
          <w:rFonts w:eastAsia="Times New Roman"/>
          <w:color w:val="000000"/>
          <w:sz w:val="24"/>
          <w:szCs w:val="24"/>
        </w:rPr>
        <w:t xml:space="preserve"> RQ). Detection limits were 0.80 µg/L (Fe) and 0.004 µg/L (Mn).</w:t>
      </w:r>
    </w:p>
    <w:p w14:paraId="5DB83E3D"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r w:rsidRPr="001F05AA">
        <w:rPr>
          <w:rFonts w:eastAsia="Times New Roman"/>
          <w:color w:val="000000"/>
          <w:sz w:val="24"/>
          <w:szCs w:val="24"/>
        </w:rPr>
        <w:t>2.5 Data analysis</w:t>
      </w:r>
    </w:p>
    <w:p w14:paraId="00389B15"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r w:rsidRPr="001F05AA">
        <w:rPr>
          <w:rFonts w:eastAsia="Times New Roman"/>
          <w:color w:val="000000"/>
          <w:sz w:val="24"/>
          <w:szCs w:val="24"/>
        </w:rPr>
        <w:t>2.5.1 Thermal Stratification</w:t>
      </w:r>
    </w:p>
    <w:p w14:paraId="16A21DD8" w14:textId="29B0C4C5"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We calculated multiple metrics to quantify how thermal conditions changed in Beaverdam Reservoir following drawdown. Schmidt stability (Idso, 1973), a measure of total water column stability; maximum buoyancy frequency, a measure of local stability at the thermocline; and thermocline depth were calculated using the R package </w:t>
      </w:r>
      <w:proofErr w:type="spellStart"/>
      <w:r w:rsidRPr="001F05AA">
        <w:rPr>
          <w:rFonts w:eastAsia="Times New Roman"/>
          <w:i/>
          <w:color w:val="000000"/>
          <w:sz w:val="24"/>
          <w:szCs w:val="24"/>
        </w:rPr>
        <w:t>rLakeAnalyzer</w:t>
      </w:r>
      <w:proofErr w:type="spellEnd"/>
      <w:r w:rsidRPr="001F05AA">
        <w:rPr>
          <w:rFonts w:eastAsia="Times New Roman"/>
          <w:color w:val="000000"/>
          <w:sz w:val="24"/>
          <w:szCs w:val="24"/>
        </w:rPr>
        <w:t xml:space="preserve"> (Read et al., 2011) using </w:t>
      </w:r>
      <w:r w:rsidRPr="001F05AA">
        <w:rPr>
          <w:rFonts w:eastAsia="Times New Roman"/>
          <w:i/>
          <w:color w:val="000000"/>
          <w:sz w:val="24"/>
          <w:szCs w:val="24"/>
        </w:rPr>
        <w:t>in situ</w:t>
      </w:r>
      <w:r w:rsidRPr="001F05AA">
        <w:rPr>
          <w:rFonts w:eastAsia="Times New Roman"/>
          <w:color w:val="000000"/>
          <w:sz w:val="24"/>
          <w:szCs w:val="24"/>
        </w:rPr>
        <w:t xml:space="preserve"> high-frequency thermistor data. Thermocline depth was calculated using a minimum density difference of 0.1 kg/m</w:t>
      </w:r>
      <w:r w:rsidRPr="001F05AA">
        <w:rPr>
          <w:rFonts w:eastAsia="Times New Roman"/>
          <w:color w:val="000000"/>
          <w:sz w:val="24"/>
          <w:szCs w:val="24"/>
          <w:vertAlign w:val="superscript"/>
        </w:rPr>
        <w:t>3</w:t>
      </w:r>
      <w:r w:rsidRPr="001F05AA">
        <w:rPr>
          <w:rFonts w:eastAsia="Times New Roman"/>
          <w:color w:val="000000"/>
          <w:sz w:val="24"/>
          <w:szCs w:val="24"/>
        </w:rPr>
        <w:t xml:space="preserve"> (Lewis et al., 202</w:t>
      </w:r>
      <w:r w:rsidRPr="001F05AA">
        <w:rPr>
          <w:sz w:val="24"/>
          <w:szCs w:val="24"/>
        </w:rPr>
        <w:t>4b</w:t>
      </w:r>
      <w:r w:rsidRPr="001F05AA">
        <w:rPr>
          <w:rFonts w:eastAsia="Times New Roman"/>
          <w:color w:val="000000"/>
          <w:sz w:val="24"/>
          <w:szCs w:val="24"/>
        </w:rPr>
        <w:t>; following Wilson et al., 2020). For simplicity, we refer to all volume above the thermocline as the epilimnion and all volume below the thermocline as the hypolimnion. Schmidt stability was calculated with dynamic bathymetry as the reservoir volume changed during drawdown by updating the depth of each hypsometric layer of the reservoir with daily water level data (Lewis et al., 202</w:t>
      </w:r>
      <w:r w:rsidRPr="001F05AA">
        <w:rPr>
          <w:sz w:val="24"/>
          <w:szCs w:val="24"/>
        </w:rPr>
        <w:t>4</w:t>
      </w:r>
      <w:r w:rsidR="00F227FA">
        <w:rPr>
          <w:sz w:val="24"/>
          <w:szCs w:val="24"/>
        </w:rPr>
        <w:t>b</w:t>
      </w:r>
      <w:r w:rsidRPr="001F05AA">
        <w:rPr>
          <w:rFonts w:eastAsia="Times New Roman"/>
          <w:color w:val="000000"/>
          <w:sz w:val="24"/>
          <w:szCs w:val="24"/>
        </w:rPr>
        <w:t xml:space="preserve">). We determined the date of fall turnover as the first day surface and bottom temperatures were within 1 ºC, following McClure et al. (2020). </w:t>
      </w:r>
    </w:p>
    <w:p w14:paraId="645F9733"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r w:rsidRPr="001F05AA">
        <w:rPr>
          <w:rFonts w:eastAsia="Times New Roman"/>
          <w:color w:val="000000"/>
          <w:sz w:val="24"/>
          <w:szCs w:val="24"/>
        </w:rPr>
        <w:t>2.5.2 Phytoplankton depth distribution metrics</w:t>
      </w:r>
    </w:p>
    <w:p w14:paraId="42385C6B"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We calculated two metrics from the </w:t>
      </w:r>
      <w:proofErr w:type="spellStart"/>
      <w:r w:rsidRPr="001F05AA">
        <w:rPr>
          <w:rFonts w:eastAsia="Times New Roman"/>
          <w:color w:val="000000"/>
          <w:sz w:val="24"/>
          <w:szCs w:val="24"/>
        </w:rPr>
        <w:t>FluoroProbe</w:t>
      </w:r>
      <w:proofErr w:type="spellEnd"/>
      <w:r w:rsidRPr="001F05AA">
        <w:rPr>
          <w:rFonts w:eastAsia="Times New Roman"/>
          <w:color w:val="000000"/>
          <w:sz w:val="24"/>
          <w:szCs w:val="24"/>
        </w:rPr>
        <w:t xml:space="preserve"> data to characterize the depth distributions of fluorescence-based phytoplankton biomass in Beaverdam Reservoir following </w:t>
      </w:r>
      <w:r w:rsidRPr="001F05AA">
        <w:rPr>
          <w:rFonts w:eastAsia="Times New Roman"/>
          <w:color w:val="000000"/>
          <w:sz w:val="24"/>
          <w:szCs w:val="24"/>
        </w:rPr>
        <w:lastRenderedPageBreak/>
        <w:t>Lofton et al. (2020, 2022). First, we calculated the chlorophyll maximum (</w:t>
      </w:r>
      <w:proofErr w:type="spellStart"/>
      <w:r w:rsidRPr="001F05AA">
        <w:rPr>
          <w:rFonts w:eastAsia="Times New Roman"/>
          <w:color w:val="000000"/>
          <w:sz w:val="24"/>
          <w:szCs w:val="24"/>
        </w:rPr>
        <w:t>C</w:t>
      </w:r>
      <w:r w:rsidRPr="001F05AA">
        <w:rPr>
          <w:rFonts w:eastAsia="Times New Roman"/>
          <w:color w:val="000000"/>
          <w:sz w:val="24"/>
          <w:szCs w:val="24"/>
          <w:vertAlign w:val="subscript"/>
        </w:rPr>
        <w:t>max</w:t>
      </w:r>
      <w:proofErr w:type="spellEnd"/>
      <w:r w:rsidRPr="001F05AA">
        <w:rPr>
          <w:rFonts w:eastAsia="Times New Roman"/>
          <w:color w:val="000000"/>
          <w:sz w:val="24"/>
          <w:szCs w:val="24"/>
        </w:rPr>
        <w:t xml:space="preserve">) depth as the depth at which the maximum concentration of fluorescence-based biomass of each spectral group (green algae, brown algae, cyanobacteria, mixed algae, and total phytoplankton) was observed. Second, we calculated the width of the biomass peak (peak width) for each spectral group and for total phytoplankton biomass. To determine peak width, we identified the depths above and below the maximum observed biomass where observed biomass was nearest to the mean biomass concentration across the water column. The distance between these two depths in meters was assigned as the peak width (see Figure S2). While we calculated </w:t>
      </w:r>
      <w:proofErr w:type="spellStart"/>
      <w:r w:rsidRPr="001F05AA">
        <w:rPr>
          <w:rFonts w:eastAsia="Times New Roman"/>
          <w:color w:val="000000"/>
          <w:sz w:val="24"/>
          <w:szCs w:val="24"/>
        </w:rPr>
        <w:t>C</w:t>
      </w:r>
      <w:r w:rsidRPr="001F05AA">
        <w:rPr>
          <w:rFonts w:eastAsia="Times New Roman"/>
          <w:color w:val="000000"/>
          <w:sz w:val="24"/>
          <w:szCs w:val="24"/>
          <w:vertAlign w:val="subscript"/>
        </w:rPr>
        <w:t>max</w:t>
      </w:r>
      <w:proofErr w:type="spellEnd"/>
      <w:r w:rsidRPr="001F05AA">
        <w:rPr>
          <w:rFonts w:eastAsia="Times New Roman"/>
          <w:color w:val="000000"/>
          <w:sz w:val="24"/>
          <w:szCs w:val="24"/>
        </w:rPr>
        <w:t xml:space="preserve"> depth and peak width for all four spectral groups and total phytoplankton, we focus our reporting on fluorescence-based biomass of cyanobacteria and total phytoplankton, as cyanobacteria exhibited the highest biomass concentrations of any spectral group on 64% of </w:t>
      </w:r>
      <w:r w:rsidRPr="001F05AA">
        <w:rPr>
          <w:rFonts w:eastAsia="Times New Roman"/>
          <w:i/>
          <w:color w:val="000000"/>
          <w:sz w:val="24"/>
          <w:szCs w:val="24"/>
        </w:rPr>
        <w:t xml:space="preserve">n </w:t>
      </w:r>
      <w:r w:rsidRPr="001F05AA">
        <w:rPr>
          <w:rFonts w:eastAsia="Times New Roman"/>
          <w:color w:val="000000"/>
          <w:sz w:val="24"/>
          <w:szCs w:val="24"/>
        </w:rPr>
        <w:t>= 25 total sampling days between 1 May–1 September in 2021 and 2022.</w:t>
      </w:r>
    </w:p>
    <w:p w14:paraId="073E5F93" w14:textId="77777777" w:rsidR="0006118D" w:rsidRPr="001F05AA" w:rsidRDefault="00000000">
      <w:pPr>
        <w:keepNext/>
        <w:pBdr>
          <w:top w:val="nil"/>
          <w:left w:val="nil"/>
          <w:bottom w:val="nil"/>
          <w:right w:val="nil"/>
          <w:between w:val="nil"/>
        </w:pBdr>
        <w:spacing w:before="240" w:after="120"/>
        <w:ind w:left="720"/>
        <w:rPr>
          <w:sz w:val="24"/>
          <w:szCs w:val="24"/>
        </w:rPr>
      </w:pPr>
      <w:r w:rsidRPr="001F05AA">
        <w:rPr>
          <w:sz w:val="24"/>
          <w:szCs w:val="24"/>
        </w:rPr>
        <w:t>2.5.3 Temporal comparison</w:t>
      </w:r>
    </w:p>
    <w:p w14:paraId="7EE530B0" w14:textId="77777777" w:rsidR="0006118D" w:rsidRPr="001F05AA" w:rsidRDefault="00000000">
      <w:pPr>
        <w:spacing w:before="120"/>
        <w:ind w:firstLine="720"/>
        <w:rPr>
          <w:sz w:val="24"/>
          <w:szCs w:val="24"/>
        </w:rPr>
      </w:pPr>
      <w:r w:rsidRPr="001F05AA">
        <w:rPr>
          <w:sz w:val="24"/>
          <w:szCs w:val="24"/>
        </w:rPr>
        <w:t>Throughout this analysis, we describe observed changes in reservoir biogeochemistry that occurred in 2021 (a reference year) and 2022 (the year when drawdown occurred). While our observational analysis did not permit statistical comparison of conditions before and after drawdown, we report the percentage difference in biogeochemical state variables (e.g., Schmidt stability, dissolved nutrients, phytoplankton depth distribution) between 2021 and 2022. Additionally, we report the timing of minima and maxima in multiple biogeochemical variables coincident with drawdown in 2022.</w:t>
      </w:r>
    </w:p>
    <w:p w14:paraId="3989C92C" w14:textId="77777777" w:rsidR="0006118D" w:rsidRPr="001F05AA" w:rsidRDefault="00000000">
      <w:pPr>
        <w:keepNext/>
        <w:pBdr>
          <w:top w:val="nil"/>
          <w:left w:val="nil"/>
          <w:bottom w:val="nil"/>
          <w:right w:val="nil"/>
          <w:between w:val="nil"/>
        </w:pBdr>
        <w:spacing w:before="240" w:after="120"/>
        <w:rPr>
          <w:rFonts w:eastAsia="Times New Roman"/>
          <w:b/>
          <w:color w:val="000000"/>
          <w:sz w:val="24"/>
          <w:szCs w:val="24"/>
        </w:rPr>
      </w:pPr>
      <w:r w:rsidRPr="001F05AA">
        <w:rPr>
          <w:rFonts w:eastAsia="Times New Roman"/>
          <w:b/>
          <w:color w:val="000000"/>
          <w:sz w:val="24"/>
          <w:szCs w:val="24"/>
        </w:rPr>
        <w:t>3 Results</w:t>
      </w:r>
    </w:p>
    <w:p w14:paraId="75F772C6"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Water level changed substantially during drawdown, altering Beaverdam Reservoir’s physics, chemistry, and biology. From the beginning (19 May) to the end (28 June) of the 2022 drawdown, the total volume of Beaverdam Reservoir decreased by 36% (from 795,000 m</w:t>
      </w:r>
      <w:r w:rsidRPr="001F05AA">
        <w:rPr>
          <w:rFonts w:eastAsia="Times New Roman"/>
          <w:color w:val="000000"/>
          <w:sz w:val="24"/>
          <w:szCs w:val="24"/>
          <w:vertAlign w:val="superscript"/>
        </w:rPr>
        <w:t>3</w:t>
      </w:r>
      <w:r w:rsidRPr="001F05AA">
        <w:rPr>
          <w:rFonts w:eastAsia="Times New Roman"/>
          <w:color w:val="000000"/>
          <w:sz w:val="24"/>
          <w:szCs w:val="24"/>
        </w:rPr>
        <w:t xml:space="preserve"> to 508,000 m</w:t>
      </w:r>
      <w:r w:rsidRPr="001F05AA">
        <w:rPr>
          <w:rFonts w:eastAsia="Times New Roman"/>
          <w:color w:val="000000"/>
          <w:sz w:val="24"/>
          <w:szCs w:val="24"/>
          <w:vertAlign w:val="superscript"/>
        </w:rPr>
        <w:t>3</w:t>
      </w:r>
      <w:r w:rsidRPr="001F05AA">
        <w:rPr>
          <w:rFonts w:eastAsia="Times New Roman"/>
          <w:color w:val="000000"/>
          <w:sz w:val="24"/>
          <w:szCs w:val="24"/>
        </w:rPr>
        <w:t xml:space="preserve">; Figure 2c). In comparison, during the same time period in the reference year (2021), water volume </w:t>
      </w:r>
      <w:r w:rsidRPr="001F05AA">
        <w:rPr>
          <w:sz w:val="24"/>
          <w:szCs w:val="24"/>
        </w:rPr>
        <w:t>was relatively constant</w:t>
      </w:r>
      <w:r w:rsidRPr="001F05AA">
        <w:rPr>
          <w:rFonts w:eastAsia="Times New Roman"/>
          <w:color w:val="000000"/>
          <w:sz w:val="24"/>
          <w:szCs w:val="24"/>
        </w:rPr>
        <w:t xml:space="preserve"> (</w:t>
      </w:r>
      <w:r w:rsidRPr="001F05AA">
        <w:rPr>
          <w:sz w:val="24"/>
          <w:szCs w:val="24"/>
        </w:rPr>
        <w:t xml:space="preserve">0.2% increase </w:t>
      </w:r>
      <w:r w:rsidRPr="001F05AA">
        <w:rPr>
          <w:rFonts w:eastAsia="Times New Roman"/>
          <w:color w:val="000000"/>
          <w:sz w:val="24"/>
          <w:szCs w:val="24"/>
        </w:rPr>
        <w:t>from 989,000 m</w:t>
      </w:r>
      <w:r w:rsidRPr="001F05AA">
        <w:rPr>
          <w:rFonts w:eastAsia="Times New Roman"/>
          <w:color w:val="000000"/>
          <w:sz w:val="24"/>
          <w:szCs w:val="24"/>
          <w:vertAlign w:val="superscript"/>
        </w:rPr>
        <w:t>3</w:t>
      </w:r>
      <w:r w:rsidRPr="001F05AA">
        <w:rPr>
          <w:rFonts w:eastAsia="Times New Roman"/>
          <w:color w:val="000000"/>
          <w:sz w:val="24"/>
          <w:szCs w:val="24"/>
        </w:rPr>
        <w:t xml:space="preserve"> to 991,000 m</w:t>
      </w:r>
      <w:r w:rsidRPr="001F05AA">
        <w:rPr>
          <w:rFonts w:eastAsia="Times New Roman"/>
          <w:color w:val="000000"/>
          <w:sz w:val="24"/>
          <w:szCs w:val="24"/>
          <w:vertAlign w:val="superscript"/>
        </w:rPr>
        <w:t>3</w:t>
      </w:r>
      <w:r w:rsidRPr="001F05AA">
        <w:rPr>
          <w:rFonts w:eastAsia="Times New Roman"/>
          <w:color w:val="000000"/>
          <w:sz w:val="24"/>
          <w:szCs w:val="24"/>
        </w:rPr>
        <w:t xml:space="preserve">), </w:t>
      </w:r>
      <w:r w:rsidRPr="001F05AA">
        <w:rPr>
          <w:sz w:val="24"/>
          <w:szCs w:val="24"/>
        </w:rPr>
        <w:t>exhibiting typical</w:t>
      </w:r>
      <w:r w:rsidRPr="001F05AA">
        <w:rPr>
          <w:rFonts w:eastAsia="Times New Roman"/>
          <w:color w:val="000000"/>
          <w:sz w:val="24"/>
          <w:szCs w:val="24"/>
        </w:rPr>
        <w:t xml:space="preserve"> seasonal fluctuations in the reservoir’s water budget (Figure 2c). Drawdown in 2022 resulted in a loss of 69,000 m</w:t>
      </w:r>
      <w:r w:rsidRPr="001F05AA">
        <w:rPr>
          <w:rFonts w:eastAsia="Times New Roman"/>
          <w:color w:val="000000"/>
          <w:sz w:val="24"/>
          <w:szCs w:val="24"/>
          <w:vertAlign w:val="superscript"/>
        </w:rPr>
        <w:t>2</w:t>
      </w:r>
      <w:r w:rsidRPr="001F05AA">
        <w:rPr>
          <w:rFonts w:eastAsia="Times New Roman"/>
          <w:color w:val="000000"/>
          <w:sz w:val="24"/>
          <w:szCs w:val="24"/>
        </w:rPr>
        <w:t xml:space="preserve"> of reservoir surface area and reduced maximum reservoir depth by 1.7 m, from 10.4 m to 8.7 m (Figure 2a, 2b). </w:t>
      </w:r>
    </w:p>
    <w:p w14:paraId="30FB154F"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Due to epilimnetic water extraction, the majority (61%) of the observed change in the reservoir’s volume during the drawdown resulted from a loss of epilimnetic water (Figure 2c, Figure 3a). Total epilimnetic volume decreased by 37% (from 462,000 m</w:t>
      </w:r>
      <w:r w:rsidRPr="001F05AA">
        <w:rPr>
          <w:rFonts w:eastAsia="Times New Roman"/>
          <w:color w:val="000000"/>
          <w:sz w:val="24"/>
          <w:szCs w:val="24"/>
          <w:vertAlign w:val="superscript"/>
        </w:rPr>
        <w:t>3</w:t>
      </w:r>
      <w:r w:rsidRPr="001F05AA">
        <w:rPr>
          <w:rFonts w:eastAsia="Times New Roman"/>
          <w:color w:val="000000"/>
          <w:sz w:val="24"/>
          <w:szCs w:val="24"/>
        </w:rPr>
        <w:t xml:space="preserve"> to 290,000 m</w:t>
      </w:r>
      <w:r w:rsidRPr="001F05AA">
        <w:rPr>
          <w:rFonts w:eastAsia="Times New Roman"/>
          <w:color w:val="000000"/>
          <w:sz w:val="24"/>
          <w:szCs w:val="24"/>
          <w:vertAlign w:val="superscript"/>
        </w:rPr>
        <w:t>3</w:t>
      </w:r>
      <w:r w:rsidRPr="001F05AA">
        <w:rPr>
          <w:rFonts w:eastAsia="Times New Roman"/>
          <w:color w:val="000000"/>
          <w:sz w:val="24"/>
          <w:szCs w:val="24"/>
        </w:rPr>
        <w:t>). Disproportionate loss of warm epilimnetic water resulted in a 2.6 ºC decrease in mean volume-weighted temperature of the reservoir in 2022 compared to 2021 during the month following drawdown (July 2021: 23.1 ± 0.6 ºC; July 2022: 20.5 ± 0.8 ºC; Figure 4c). Con</w:t>
      </w:r>
      <w:r w:rsidRPr="001F05AA">
        <w:rPr>
          <w:sz w:val="24"/>
          <w:szCs w:val="24"/>
        </w:rPr>
        <w:t>versely, surface-water temperature was similar between the two years (July 2021: 28.3 ± 1.28 ºC; July 2022: 27.4 ± 1.37 ºC; Figure 4b).</w:t>
      </w:r>
    </w:p>
    <w:p w14:paraId="2B6D4973" w14:textId="77777777" w:rsidR="0006118D" w:rsidRPr="001F05AA" w:rsidRDefault="0006118D">
      <w:pPr>
        <w:pBdr>
          <w:top w:val="nil"/>
          <w:left w:val="nil"/>
          <w:bottom w:val="nil"/>
          <w:right w:val="nil"/>
          <w:between w:val="nil"/>
        </w:pBdr>
        <w:spacing w:before="120"/>
        <w:ind w:firstLine="720"/>
        <w:rPr>
          <w:rFonts w:eastAsia="Times New Roman"/>
          <w:color w:val="000000"/>
          <w:sz w:val="24"/>
          <w:szCs w:val="24"/>
        </w:rPr>
      </w:pPr>
    </w:p>
    <w:p w14:paraId="1AA77AC6" w14:textId="77777777" w:rsidR="0006118D" w:rsidRPr="001F05AA" w:rsidRDefault="00000000">
      <w:r w:rsidRPr="001F05AA">
        <w:rPr>
          <w:noProof/>
        </w:rPr>
        <w:lastRenderedPageBreak/>
        <w:drawing>
          <wp:inline distT="0" distB="0" distL="0" distR="0" wp14:anchorId="3F53BF74" wp14:editId="0AE497F1">
            <wp:extent cx="5486400" cy="5486400"/>
            <wp:effectExtent l="0" t="0" r="0" b="0"/>
            <wp:docPr id="1941260972" name="image4.jpg" descr="A diagram of different types of water temperatur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jpg" descr="A diagram of different types of water temperature&#10;&#10;Description automatically generated"/>
                    <pic:cNvPicPr preferRelativeResize="0"/>
                  </pic:nvPicPr>
                  <pic:blipFill>
                    <a:blip r:embed="rId10"/>
                    <a:srcRect/>
                    <a:stretch>
                      <a:fillRect/>
                    </a:stretch>
                  </pic:blipFill>
                  <pic:spPr>
                    <a:xfrm>
                      <a:off x="0" y="0"/>
                      <a:ext cx="5486400" cy="5486400"/>
                    </a:xfrm>
                    <a:prstGeom prst="rect">
                      <a:avLst/>
                    </a:prstGeom>
                    <a:ln/>
                  </pic:spPr>
                </pic:pic>
              </a:graphicData>
            </a:graphic>
          </wp:inline>
        </w:drawing>
      </w:r>
    </w:p>
    <w:p w14:paraId="261DC809" w14:textId="77777777" w:rsidR="0006118D" w:rsidRPr="001F05AA" w:rsidRDefault="00000000">
      <w:pPr>
        <w:pBdr>
          <w:top w:val="nil"/>
          <w:left w:val="nil"/>
          <w:bottom w:val="nil"/>
          <w:right w:val="nil"/>
          <w:between w:val="nil"/>
        </w:pBdr>
        <w:spacing w:before="120"/>
        <w:rPr>
          <w:rFonts w:eastAsia="Times New Roman"/>
          <w:color w:val="000000"/>
          <w:sz w:val="24"/>
          <w:szCs w:val="24"/>
        </w:rPr>
      </w:pPr>
      <w:r w:rsidRPr="001F05AA">
        <w:rPr>
          <w:rFonts w:eastAsia="Times New Roman"/>
          <w:b/>
          <w:color w:val="000000"/>
          <w:sz w:val="24"/>
          <w:szCs w:val="24"/>
        </w:rPr>
        <w:t xml:space="preserve">Figure 3: </w:t>
      </w:r>
      <w:r w:rsidRPr="001F05AA">
        <w:rPr>
          <w:rFonts w:eastAsia="Times New Roman"/>
          <w:color w:val="000000"/>
          <w:sz w:val="24"/>
          <w:szCs w:val="24"/>
        </w:rPr>
        <w:t xml:space="preserve">Drawdown decreased epilimnion thickness and increased the anoxic (i.e., dissolved oxygen concentration &lt;1 mg/L) proportion of the water column in 2022 at Beaverdam Reservoir. (a) </w:t>
      </w:r>
      <w:r w:rsidRPr="001F05AA">
        <w:rPr>
          <w:sz w:val="24"/>
          <w:szCs w:val="24"/>
        </w:rPr>
        <w:t>Contour plot</w:t>
      </w:r>
      <w:r w:rsidRPr="001F05AA">
        <w:rPr>
          <w:rFonts w:eastAsia="Times New Roman"/>
          <w:color w:val="000000"/>
          <w:sz w:val="24"/>
          <w:szCs w:val="24"/>
        </w:rPr>
        <w:t xml:space="preserve"> of water temperature measured with </w:t>
      </w:r>
      <w:r w:rsidRPr="001F05AA">
        <w:rPr>
          <w:rFonts w:eastAsia="Times New Roman"/>
          <w:i/>
          <w:color w:val="000000"/>
          <w:sz w:val="24"/>
          <w:szCs w:val="24"/>
        </w:rPr>
        <w:t>in-situ</w:t>
      </w:r>
      <w:r w:rsidRPr="001F05AA">
        <w:rPr>
          <w:rFonts w:eastAsia="Times New Roman"/>
          <w:color w:val="000000"/>
          <w:sz w:val="24"/>
          <w:szCs w:val="24"/>
        </w:rPr>
        <w:t xml:space="preserve"> thermistor sensors throughout 2021 and 2022, with the thermocline depth indicated by a solid black line. Ticks at the left of each panel indicate sensor depths. (b) </w:t>
      </w:r>
      <w:r w:rsidRPr="001F05AA">
        <w:rPr>
          <w:sz w:val="24"/>
          <w:szCs w:val="24"/>
        </w:rPr>
        <w:t>Contour plot</w:t>
      </w:r>
      <w:r w:rsidRPr="001F05AA">
        <w:rPr>
          <w:rFonts w:eastAsia="Times New Roman"/>
          <w:color w:val="000000"/>
          <w:sz w:val="24"/>
          <w:szCs w:val="24"/>
        </w:rPr>
        <w:t xml:space="preserve"> of dissolved oxygen concentrations sampled using CTD sensor profiles in 2021 and 2022. Ticks at the top of the figure indicate CTD sampling dates. We interpolated among sensor depths (panel a) and sampling dates (panel b) to create the </w:t>
      </w:r>
      <w:r w:rsidRPr="001F05AA">
        <w:rPr>
          <w:sz w:val="24"/>
          <w:szCs w:val="24"/>
        </w:rPr>
        <w:t>contour plots</w:t>
      </w:r>
      <w:r w:rsidRPr="001F05AA">
        <w:rPr>
          <w:rFonts w:eastAsia="Times New Roman"/>
          <w:color w:val="000000"/>
          <w:sz w:val="24"/>
          <w:szCs w:val="24"/>
        </w:rPr>
        <w:t>. Shaded interval indicates the 2022 drawdown period in both panels. The depth of the outtake pipe that was opened in 2022 is marked using a dashed line.</w:t>
      </w:r>
    </w:p>
    <w:p w14:paraId="5F8FCD65" w14:textId="77777777" w:rsidR="0006118D" w:rsidRPr="001F05AA" w:rsidRDefault="00000000">
      <w:r w:rsidRPr="001F05AA">
        <w:rPr>
          <w:noProof/>
        </w:rPr>
        <w:lastRenderedPageBreak/>
        <w:drawing>
          <wp:inline distT="114300" distB="114300" distL="114300" distR="114300" wp14:anchorId="7EA5A102" wp14:editId="331ECD3A">
            <wp:extent cx="5943600" cy="4462272"/>
            <wp:effectExtent l="0" t="0" r="0" b="0"/>
            <wp:docPr id="1941260975" name="image2.jpg" descr="A diagram of water temperatur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jpg" descr="A diagram of water temperature&#10;&#10;Description automatically generated"/>
                    <pic:cNvPicPr preferRelativeResize="0"/>
                  </pic:nvPicPr>
                  <pic:blipFill>
                    <a:blip r:embed="rId11"/>
                    <a:srcRect/>
                    <a:stretch>
                      <a:fillRect/>
                    </a:stretch>
                  </pic:blipFill>
                  <pic:spPr>
                    <a:xfrm>
                      <a:off x="0" y="0"/>
                      <a:ext cx="5943600" cy="4462272"/>
                    </a:xfrm>
                    <a:prstGeom prst="rect">
                      <a:avLst/>
                    </a:prstGeom>
                    <a:ln/>
                  </pic:spPr>
                </pic:pic>
              </a:graphicData>
            </a:graphic>
          </wp:inline>
        </w:drawing>
      </w:r>
    </w:p>
    <w:p w14:paraId="2AC78A83" w14:textId="77777777" w:rsidR="0006118D" w:rsidRPr="001F05AA" w:rsidRDefault="00000000">
      <w:pPr>
        <w:keepNext/>
        <w:pBdr>
          <w:top w:val="nil"/>
          <w:left w:val="nil"/>
          <w:bottom w:val="nil"/>
          <w:right w:val="nil"/>
          <w:between w:val="nil"/>
        </w:pBdr>
        <w:spacing w:before="240" w:after="240"/>
        <w:rPr>
          <w:rFonts w:eastAsia="Times New Roman"/>
          <w:color w:val="000000"/>
          <w:sz w:val="24"/>
          <w:szCs w:val="24"/>
        </w:rPr>
      </w:pPr>
      <w:r w:rsidRPr="001F05AA">
        <w:rPr>
          <w:rFonts w:eastAsia="Times New Roman"/>
          <w:b/>
          <w:color w:val="000000"/>
          <w:sz w:val="24"/>
          <w:szCs w:val="24"/>
        </w:rPr>
        <w:t>Figure 4</w:t>
      </w:r>
      <w:r w:rsidRPr="001F05AA">
        <w:rPr>
          <w:rFonts w:eastAsia="Times New Roman"/>
          <w:color w:val="000000"/>
          <w:sz w:val="24"/>
          <w:szCs w:val="24"/>
        </w:rPr>
        <w:t>: Air temperatures (a) and surface water temperatures (b) were similar between 2021 and 2022. Conversely, drawdown was associated with decreased volume-weighted water temperature of the entire reservoir (c), increased maximum buoyancy frequency (d), and decreased Schmidt stability (e) in 2022, compared to 2021. Shaded intervals indicate the 2022 drawdown period.</w:t>
      </w:r>
    </w:p>
    <w:p w14:paraId="44198FDE" w14:textId="77777777" w:rsidR="0006118D" w:rsidRPr="001F05AA" w:rsidRDefault="00000000">
      <w:pPr>
        <w:pBdr>
          <w:top w:val="nil"/>
          <w:left w:val="nil"/>
          <w:bottom w:val="nil"/>
          <w:right w:val="nil"/>
          <w:between w:val="nil"/>
        </w:pBdr>
        <w:spacing w:before="120" w:after="240"/>
        <w:ind w:firstLine="720"/>
        <w:rPr>
          <w:rFonts w:eastAsia="Times New Roman"/>
          <w:color w:val="000000"/>
          <w:sz w:val="24"/>
          <w:szCs w:val="24"/>
        </w:rPr>
      </w:pPr>
      <w:r w:rsidRPr="001F05AA">
        <w:rPr>
          <w:rFonts w:eastAsia="Times New Roman"/>
          <w:color w:val="000000"/>
          <w:sz w:val="24"/>
          <w:szCs w:val="24"/>
        </w:rPr>
        <w:t>Meteorological conditions were similar between the reference and drawdown years. Mean air temperature was 21.3 ± 4.2 ºC (±1 S.D.) between 19 May and 28 June in 2021 and 22.1 ± 4.9 ºC during the same interval in 2022 (Figure 4a). Likewise, wind speeds were similar between the two years, with a mean of 1.7 ± 1.1 m/s between 19 May and 28 June in 2021 and 1.9 ± 1.4 m/s during the same interval in 2022 (Figure S3b). Total precipitation was slightly greater in 2022 than in 2021, particularly during the first several days of drawdown (Figure S3a). Mean daily precipitation was 0.8 ± 2.9 mm between 19 May and 28 June in 2021 and 4.2 ± 8.7 mm during the same interval in 2022, though mean daily precipitation was similar between the two years (2.3 ± 7.1 mm/d in 2021, 3.4 ± 8.1 mm/d in 2022; Figure S3a).</w:t>
      </w:r>
    </w:p>
    <w:p w14:paraId="23B10E0B"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r w:rsidRPr="001F05AA">
        <w:rPr>
          <w:rFonts w:eastAsia="Times New Roman"/>
          <w:color w:val="000000"/>
          <w:sz w:val="24"/>
          <w:szCs w:val="24"/>
        </w:rPr>
        <w:t>3.1 Stratification strength</w:t>
      </w:r>
    </w:p>
    <w:p w14:paraId="5A748008"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Maximum buoyancy frequency and Schmidt stability responded in contrasting ways to reservoir drawdown. While July buoyancy frequency was 25% higher in 2022 (0.013 ± 0.002 1/s) than in 2021 (0.010 ± 0.001 1/s), Schmidt stability plateaued immediately after the start of </w:t>
      </w:r>
      <w:r w:rsidRPr="001F05AA">
        <w:rPr>
          <w:rFonts w:eastAsia="Times New Roman"/>
          <w:color w:val="000000"/>
          <w:sz w:val="24"/>
          <w:szCs w:val="24"/>
        </w:rPr>
        <w:lastRenderedPageBreak/>
        <w:t>drawdown, resulting in 44% lower Schmidt stability values in July 2022 (54 ± 5 J/m</w:t>
      </w:r>
      <w:r w:rsidRPr="001F05AA">
        <w:rPr>
          <w:rFonts w:eastAsia="Times New Roman"/>
          <w:color w:val="000000"/>
          <w:sz w:val="24"/>
          <w:szCs w:val="24"/>
          <w:vertAlign w:val="superscript"/>
        </w:rPr>
        <w:t>2</w:t>
      </w:r>
      <w:r w:rsidRPr="001F05AA">
        <w:rPr>
          <w:rFonts w:eastAsia="Times New Roman"/>
          <w:color w:val="000000"/>
          <w:sz w:val="24"/>
          <w:szCs w:val="24"/>
        </w:rPr>
        <w:t>) relative to July 2021 (97 ± 7 J/m</w:t>
      </w:r>
      <w:r w:rsidRPr="001F05AA">
        <w:rPr>
          <w:rFonts w:eastAsia="Times New Roman"/>
          <w:color w:val="000000"/>
          <w:sz w:val="24"/>
          <w:szCs w:val="24"/>
          <w:vertAlign w:val="superscript"/>
        </w:rPr>
        <w:t>2</w:t>
      </w:r>
      <w:r w:rsidRPr="001F05AA">
        <w:rPr>
          <w:rFonts w:eastAsia="Times New Roman"/>
          <w:color w:val="000000"/>
          <w:sz w:val="24"/>
          <w:szCs w:val="24"/>
        </w:rPr>
        <w:t>; Figure 4d, 4e). Correspondingly, fall turnover was 18 days earlier in 2022 (19 October) relative to 2021 (6 November).</w:t>
      </w:r>
    </w:p>
    <w:p w14:paraId="42608A0C"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r w:rsidRPr="001F05AA">
        <w:rPr>
          <w:rFonts w:eastAsia="Times New Roman"/>
          <w:color w:val="000000"/>
          <w:sz w:val="24"/>
          <w:szCs w:val="24"/>
        </w:rPr>
        <w:t>3.2 Phytoplankton and biogeochemical dynamics</w:t>
      </w:r>
    </w:p>
    <w:p w14:paraId="0C9CD1B8"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Water level drawdown was associated with substantial changes in the magnitude and timing of reservoir biogeochemistry and phytoplankton dynamics. In 2022, surface water TN, TP, phytoplankton biomass, DOC, dissolved CO</w:t>
      </w:r>
      <w:r w:rsidRPr="001F05AA">
        <w:rPr>
          <w:rFonts w:eastAsia="Times New Roman"/>
          <w:color w:val="000000"/>
          <w:sz w:val="24"/>
          <w:szCs w:val="24"/>
          <w:vertAlign w:val="subscript"/>
        </w:rPr>
        <w:t>2</w:t>
      </w:r>
      <w:r w:rsidRPr="001F05AA">
        <w:rPr>
          <w:rFonts w:eastAsia="Times New Roman"/>
          <w:color w:val="000000"/>
          <w:sz w:val="24"/>
          <w:szCs w:val="24"/>
        </w:rPr>
        <w:t>, and NH</w:t>
      </w:r>
      <w:r w:rsidRPr="001F05AA">
        <w:rPr>
          <w:rFonts w:eastAsia="Times New Roman"/>
          <w:color w:val="000000"/>
          <w:sz w:val="24"/>
          <w:szCs w:val="24"/>
          <w:vertAlign w:val="subscript"/>
        </w:rPr>
        <w:t>4</w:t>
      </w:r>
      <w:r w:rsidRPr="001F05AA">
        <w:rPr>
          <w:rFonts w:eastAsia="Times New Roman"/>
          <w:color w:val="000000"/>
          <w:sz w:val="24"/>
          <w:szCs w:val="24"/>
          <w:vertAlign w:val="superscript"/>
        </w:rPr>
        <w:t>+</w:t>
      </w:r>
      <w:r w:rsidRPr="001F05AA">
        <w:rPr>
          <w:rFonts w:eastAsia="Times New Roman"/>
          <w:color w:val="000000"/>
          <w:sz w:val="24"/>
          <w:szCs w:val="24"/>
        </w:rPr>
        <w:t xml:space="preserve"> all exhibited concentrations substantially higher than the range of conditions observed in 2021 (Figure 5). Peaks of TP, TN, and phytoplankton biomass on 27 June were preceded by a peak in SRP on 20 June. Surface water DOC concentrations peaked 8 days after phytoplankton (5 July), followed by peaks in dissolved CO</w:t>
      </w:r>
      <w:r w:rsidRPr="001F05AA">
        <w:rPr>
          <w:rFonts w:eastAsia="Times New Roman"/>
          <w:color w:val="000000"/>
          <w:sz w:val="24"/>
          <w:szCs w:val="24"/>
          <w:vertAlign w:val="subscript"/>
        </w:rPr>
        <w:t>2</w:t>
      </w:r>
      <w:r w:rsidRPr="001F05AA">
        <w:rPr>
          <w:rFonts w:eastAsia="Times New Roman"/>
          <w:color w:val="000000"/>
          <w:sz w:val="24"/>
          <w:szCs w:val="24"/>
        </w:rPr>
        <w:t xml:space="preserve"> (11 July) and NH</w:t>
      </w:r>
      <w:r w:rsidRPr="001F05AA">
        <w:rPr>
          <w:rFonts w:eastAsia="Times New Roman"/>
          <w:color w:val="000000"/>
          <w:sz w:val="24"/>
          <w:szCs w:val="24"/>
          <w:vertAlign w:val="subscript"/>
        </w:rPr>
        <w:t>4</w:t>
      </w:r>
      <w:r w:rsidRPr="001F05AA">
        <w:rPr>
          <w:rFonts w:eastAsia="Times New Roman"/>
          <w:color w:val="000000"/>
          <w:sz w:val="24"/>
          <w:szCs w:val="24"/>
          <w:vertAlign w:val="superscript"/>
        </w:rPr>
        <w:t>+</w:t>
      </w:r>
      <w:r w:rsidRPr="001F05AA">
        <w:rPr>
          <w:rFonts w:eastAsia="Times New Roman"/>
          <w:color w:val="000000"/>
          <w:sz w:val="24"/>
          <w:szCs w:val="24"/>
        </w:rPr>
        <w:t xml:space="preserve"> (18 July). A comparison of maximum concentrations between the two years reveals that in 2022 (vs. 2021), peak TP concentrations were 77% higher (by 15.1 µg/L), TN concentrations were 271% higher (by 1059 µg/L), phytoplankton concentrations were 147% higher (by 29.5 µg/L), DOC concentrations were 177% higher (by 6.9 µg/L), dissolved CO</w:t>
      </w:r>
      <w:r w:rsidRPr="001F05AA">
        <w:rPr>
          <w:rFonts w:eastAsia="Times New Roman"/>
          <w:color w:val="000000"/>
          <w:sz w:val="24"/>
          <w:szCs w:val="24"/>
          <w:vertAlign w:val="subscript"/>
        </w:rPr>
        <w:t>2</w:t>
      </w:r>
      <w:r w:rsidRPr="001F05AA">
        <w:rPr>
          <w:rFonts w:eastAsia="Times New Roman"/>
          <w:color w:val="000000"/>
          <w:sz w:val="24"/>
          <w:szCs w:val="24"/>
        </w:rPr>
        <w:t xml:space="preserve"> concentrations were 257% higher (by 43 µmol/L), and NH</w:t>
      </w:r>
      <w:r w:rsidRPr="001F05AA">
        <w:rPr>
          <w:rFonts w:eastAsia="Times New Roman"/>
          <w:color w:val="000000"/>
          <w:sz w:val="24"/>
          <w:szCs w:val="24"/>
          <w:vertAlign w:val="subscript"/>
        </w:rPr>
        <w:t>4</w:t>
      </w:r>
      <w:r w:rsidRPr="001F05AA">
        <w:rPr>
          <w:rFonts w:eastAsia="Times New Roman"/>
          <w:color w:val="000000"/>
          <w:sz w:val="24"/>
          <w:szCs w:val="24"/>
          <w:vertAlign w:val="superscript"/>
        </w:rPr>
        <w:t>+</w:t>
      </w:r>
      <w:r w:rsidRPr="001F05AA">
        <w:rPr>
          <w:rFonts w:eastAsia="Times New Roman"/>
          <w:color w:val="000000"/>
          <w:sz w:val="24"/>
          <w:szCs w:val="24"/>
        </w:rPr>
        <w:t xml:space="preserve"> concentrations were 2273% higher (by 250 µg/L) than in 2021 (Figure 5). </w:t>
      </w:r>
    </w:p>
    <w:p w14:paraId="77262DC6" w14:textId="77777777" w:rsidR="0006118D" w:rsidRPr="001F05AA" w:rsidRDefault="00000000">
      <w:r w:rsidRPr="001F05AA">
        <w:br w:type="page"/>
      </w:r>
      <w:r w:rsidRPr="001F05AA">
        <w:rPr>
          <w:noProof/>
        </w:rPr>
        <w:lastRenderedPageBreak/>
        <w:drawing>
          <wp:inline distT="0" distB="0" distL="0" distR="0" wp14:anchorId="3FB3FB85" wp14:editId="76C4E1CC">
            <wp:extent cx="5486400" cy="4572000"/>
            <wp:effectExtent l="0" t="0" r="0" b="0"/>
            <wp:docPr id="1941260974" name="image6.jpg" descr="A graph of different types of numbers&#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6.jpg" descr="A graph of different types of numbers&#10;&#10;Description automatically generated with medium confidence"/>
                    <pic:cNvPicPr preferRelativeResize="0"/>
                  </pic:nvPicPr>
                  <pic:blipFill>
                    <a:blip r:embed="rId12"/>
                    <a:srcRect/>
                    <a:stretch>
                      <a:fillRect/>
                    </a:stretch>
                  </pic:blipFill>
                  <pic:spPr>
                    <a:xfrm>
                      <a:off x="0" y="0"/>
                      <a:ext cx="5486400" cy="4572000"/>
                    </a:xfrm>
                    <a:prstGeom prst="rect">
                      <a:avLst/>
                    </a:prstGeom>
                    <a:ln/>
                  </pic:spPr>
                </pic:pic>
              </a:graphicData>
            </a:graphic>
          </wp:inline>
        </w:drawing>
      </w:r>
    </w:p>
    <w:p w14:paraId="0EB6EC09" w14:textId="77777777" w:rsidR="0006118D" w:rsidRPr="001F05AA" w:rsidRDefault="00000000">
      <w:pPr>
        <w:keepNext/>
        <w:pBdr>
          <w:top w:val="nil"/>
          <w:left w:val="nil"/>
          <w:bottom w:val="nil"/>
          <w:right w:val="nil"/>
          <w:between w:val="nil"/>
        </w:pBdr>
        <w:spacing w:before="240"/>
        <w:rPr>
          <w:rFonts w:eastAsia="Times New Roman"/>
          <w:color w:val="000000"/>
          <w:sz w:val="24"/>
          <w:szCs w:val="24"/>
        </w:rPr>
      </w:pPr>
      <w:r w:rsidRPr="001F05AA">
        <w:rPr>
          <w:rFonts w:eastAsia="Times New Roman"/>
          <w:b/>
          <w:color w:val="000000"/>
          <w:sz w:val="24"/>
          <w:szCs w:val="24"/>
        </w:rPr>
        <w:t xml:space="preserve">Figure 5: </w:t>
      </w:r>
      <w:r w:rsidRPr="001F05AA">
        <w:rPr>
          <w:rFonts w:eastAsia="Times New Roman"/>
          <w:color w:val="000000"/>
          <w:sz w:val="24"/>
          <w:szCs w:val="24"/>
        </w:rPr>
        <w:t>Time series of select water chemistry and biological variables at 0.1 m depth in Beaverdam Reservoir during summers 2021 (left panels) and 2022 (right panels). A June 2022 peak in surface soluble reactive phosphorus (SRP) was followed by peaks in total phosphorus, total nitrogen, phytoplankton, and cyanobacteria. Dissolved organic carbon (DOC) peaked 8 days later, followed by a peak in dissolved carbon dioxide (CO</w:t>
      </w:r>
      <w:r w:rsidRPr="001F05AA">
        <w:rPr>
          <w:rFonts w:eastAsia="Times New Roman"/>
          <w:color w:val="000000"/>
          <w:sz w:val="24"/>
          <w:szCs w:val="24"/>
          <w:vertAlign w:val="subscript"/>
        </w:rPr>
        <w:t>2</w:t>
      </w:r>
      <w:r w:rsidRPr="001F05AA">
        <w:rPr>
          <w:rFonts w:eastAsia="Times New Roman"/>
          <w:color w:val="000000"/>
          <w:sz w:val="24"/>
          <w:szCs w:val="24"/>
        </w:rPr>
        <w:t>), and finally a peak in ammonium. Colored vertical lines indicate the timing of the observed maximum concentration for each variable in 2022. Points represent discrete sampling visits. Grey shading indicates the drawdown period in 2022.</w:t>
      </w:r>
    </w:p>
    <w:p w14:paraId="1A89C65A"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Changes in the underwater light environment due to drawdown altered depth distributions of phytoplankton biomass across the water column. Turbidity increased sharply following the onset of drawdown in 2022, with a peak 1100% higher than the maximum observed turbidity in 2021 (24.7 NTU higher; Figure 6). Coincident with this peak, the euphotic zone depth (defined as 1% of surface light) reached a minimum value of 1.5 m, which was 2.9 m shallower than the shallowest euphotic zone depth observed in 2021. The depth of maximum phytoplankton biomass was shallower and peak widths were narrower for both total biomass and cyanobacteria during the drawdown in 2022 than in 2021. In 2022, the shallowest </w:t>
      </w:r>
      <w:proofErr w:type="spellStart"/>
      <w:r w:rsidRPr="001F05AA">
        <w:rPr>
          <w:rFonts w:eastAsia="Times New Roman"/>
          <w:color w:val="000000"/>
          <w:sz w:val="24"/>
          <w:szCs w:val="24"/>
        </w:rPr>
        <w:t>C</w:t>
      </w:r>
      <w:r w:rsidRPr="001F05AA">
        <w:rPr>
          <w:rFonts w:eastAsia="Times New Roman"/>
          <w:color w:val="000000"/>
          <w:sz w:val="24"/>
          <w:szCs w:val="24"/>
          <w:vertAlign w:val="subscript"/>
        </w:rPr>
        <w:t>max</w:t>
      </w:r>
      <w:proofErr w:type="spellEnd"/>
      <w:r w:rsidRPr="001F05AA">
        <w:rPr>
          <w:rFonts w:eastAsia="Times New Roman"/>
          <w:color w:val="000000"/>
          <w:sz w:val="24"/>
          <w:szCs w:val="24"/>
        </w:rPr>
        <w:t xml:space="preserve"> depth for cyanobacteria coincided with the date of maximum turbidity (5 July, just after the drawdown ended), while the shallowest </w:t>
      </w:r>
      <w:proofErr w:type="spellStart"/>
      <w:r w:rsidRPr="001F05AA">
        <w:rPr>
          <w:rFonts w:eastAsia="Times New Roman"/>
          <w:color w:val="000000"/>
          <w:sz w:val="24"/>
          <w:szCs w:val="24"/>
        </w:rPr>
        <w:t>C</w:t>
      </w:r>
      <w:r w:rsidRPr="001F05AA">
        <w:rPr>
          <w:rFonts w:eastAsia="Times New Roman"/>
          <w:color w:val="000000"/>
          <w:sz w:val="24"/>
          <w:szCs w:val="24"/>
          <w:vertAlign w:val="subscript"/>
        </w:rPr>
        <w:t>max</w:t>
      </w:r>
      <w:proofErr w:type="spellEnd"/>
      <w:r w:rsidRPr="001F05AA">
        <w:rPr>
          <w:rFonts w:eastAsia="Times New Roman"/>
          <w:color w:val="000000"/>
          <w:sz w:val="24"/>
          <w:szCs w:val="24"/>
        </w:rPr>
        <w:t xml:space="preserve"> depth for total phytoplankton and the narrowest peak width for both total phytoplankton and cyanobacteria occurred mid-drawdown, 2–3 weeks earlier (Figure 6).</w:t>
      </w:r>
    </w:p>
    <w:p w14:paraId="328B1D33" w14:textId="77777777" w:rsidR="0006118D" w:rsidRPr="001F05AA" w:rsidRDefault="0006118D">
      <w:pPr>
        <w:pBdr>
          <w:top w:val="nil"/>
          <w:left w:val="nil"/>
          <w:bottom w:val="nil"/>
          <w:right w:val="nil"/>
          <w:between w:val="nil"/>
        </w:pBdr>
        <w:spacing w:before="120"/>
        <w:ind w:firstLine="720"/>
        <w:rPr>
          <w:rFonts w:eastAsia="Times New Roman"/>
          <w:color w:val="000000"/>
          <w:sz w:val="24"/>
          <w:szCs w:val="24"/>
        </w:rPr>
      </w:pPr>
    </w:p>
    <w:p w14:paraId="1DEBF157" w14:textId="34A914A7" w:rsidR="0006118D" w:rsidRPr="001F05AA" w:rsidRDefault="00D82B10">
      <w:r>
        <w:rPr>
          <w:noProof/>
        </w:rPr>
        <w:drawing>
          <wp:inline distT="0" distB="0" distL="0" distR="0" wp14:anchorId="558A0F00" wp14:editId="2960FCE7">
            <wp:extent cx="5943600" cy="3962400"/>
            <wp:effectExtent l="0" t="0" r="0" b="0"/>
            <wp:docPr id="1032236289" name="Picture 1" descr="A graph of different types of bacteri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236289" name="Picture 1" descr="A graph of different types of bacteria&#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7F9658D7" w14:textId="77777777" w:rsidR="0006118D" w:rsidRPr="001F05AA" w:rsidRDefault="00000000">
      <w:pPr>
        <w:keepNext/>
        <w:widowControl w:val="0"/>
        <w:pBdr>
          <w:top w:val="nil"/>
          <w:left w:val="nil"/>
          <w:bottom w:val="nil"/>
          <w:right w:val="nil"/>
          <w:between w:val="nil"/>
        </w:pBdr>
        <w:spacing w:before="240"/>
        <w:rPr>
          <w:rFonts w:eastAsia="Times New Roman"/>
          <w:color w:val="000000"/>
          <w:sz w:val="24"/>
          <w:szCs w:val="24"/>
        </w:rPr>
      </w:pPr>
      <w:r w:rsidRPr="001F05AA">
        <w:rPr>
          <w:rFonts w:eastAsia="Times New Roman"/>
          <w:b/>
          <w:color w:val="000000"/>
          <w:sz w:val="24"/>
          <w:szCs w:val="24"/>
        </w:rPr>
        <w:t xml:space="preserve">Figure 6: </w:t>
      </w:r>
      <w:r w:rsidRPr="001F05AA">
        <w:rPr>
          <w:rFonts w:eastAsia="Times New Roman"/>
          <w:color w:val="000000"/>
          <w:sz w:val="24"/>
          <w:szCs w:val="24"/>
        </w:rPr>
        <w:t xml:space="preserve">Turbidity peaked and euphotic zone depth was shallowest just after the drawdown at Beaverdam Reservoir in 2022. </w:t>
      </w:r>
      <w:proofErr w:type="spellStart"/>
      <w:r w:rsidRPr="001F05AA">
        <w:rPr>
          <w:rFonts w:eastAsia="Times New Roman"/>
          <w:color w:val="000000"/>
          <w:sz w:val="24"/>
          <w:szCs w:val="24"/>
        </w:rPr>
        <w:t>C</w:t>
      </w:r>
      <w:r w:rsidRPr="001F05AA">
        <w:rPr>
          <w:rFonts w:eastAsia="Times New Roman"/>
          <w:color w:val="000000"/>
          <w:sz w:val="24"/>
          <w:szCs w:val="24"/>
          <w:vertAlign w:val="subscript"/>
        </w:rPr>
        <w:t>max</w:t>
      </w:r>
      <w:proofErr w:type="spellEnd"/>
      <w:r w:rsidRPr="001F05AA">
        <w:rPr>
          <w:rFonts w:eastAsia="Times New Roman"/>
          <w:color w:val="000000"/>
          <w:sz w:val="24"/>
          <w:szCs w:val="24"/>
        </w:rPr>
        <w:t xml:space="preserve"> depth and peak width of total phytoplankton (solid) and cyanobacteria (dotted) also reached a minimum on or before this date. Colored vertical lines indicate observed maxima (Turbidity) or minima (Euphotic zone depth, Total phytoplankton and Cyanobacteria </w:t>
      </w:r>
      <w:proofErr w:type="spellStart"/>
      <w:r w:rsidRPr="001F05AA">
        <w:rPr>
          <w:rFonts w:eastAsia="Times New Roman"/>
          <w:color w:val="000000"/>
          <w:sz w:val="24"/>
          <w:szCs w:val="24"/>
        </w:rPr>
        <w:t>C</w:t>
      </w:r>
      <w:r w:rsidRPr="001F05AA">
        <w:rPr>
          <w:rFonts w:eastAsia="Times New Roman"/>
          <w:color w:val="000000"/>
          <w:sz w:val="24"/>
          <w:szCs w:val="24"/>
          <w:vertAlign w:val="subscript"/>
        </w:rPr>
        <w:t>max</w:t>
      </w:r>
      <w:proofErr w:type="spellEnd"/>
      <w:r w:rsidRPr="001F05AA">
        <w:rPr>
          <w:rFonts w:eastAsia="Times New Roman"/>
          <w:color w:val="000000"/>
          <w:sz w:val="24"/>
          <w:szCs w:val="24"/>
        </w:rPr>
        <w:t xml:space="preserve"> depth and Peak width) for each variable in 2022. Points represent discrete sampling visits. Gray shading indicates the drawdown period in 2022. Note reversed y-axes for euphotic zone depth and </w:t>
      </w:r>
      <w:proofErr w:type="spellStart"/>
      <w:r w:rsidRPr="001F05AA">
        <w:rPr>
          <w:rFonts w:eastAsia="Times New Roman"/>
          <w:color w:val="000000"/>
          <w:sz w:val="24"/>
          <w:szCs w:val="24"/>
        </w:rPr>
        <w:t>C</w:t>
      </w:r>
      <w:r w:rsidRPr="001F05AA">
        <w:rPr>
          <w:rFonts w:eastAsia="Times New Roman"/>
          <w:color w:val="000000"/>
          <w:sz w:val="24"/>
          <w:szCs w:val="24"/>
          <w:vertAlign w:val="subscript"/>
        </w:rPr>
        <w:t>max</w:t>
      </w:r>
      <w:proofErr w:type="spellEnd"/>
      <w:r w:rsidRPr="001F05AA">
        <w:rPr>
          <w:rFonts w:eastAsia="Times New Roman"/>
          <w:color w:val="000000"/>
          <w:sz w:val="24"/>
          <w:szCs w:val="24"/>
        </w:rPr>
        <w:t xml:space="preserve"> depth, with 0 m corresponding to the reservoir surface.</w:t>
      </w:r>
    </w:p>
    <w:p w14:paraId="45DB1FD3"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r w:rsidRPr="001F05AA">
        <w:rPr>
          <w:rFonts w:eastAsia="Times New Roman"/>
          <w:color w:val="000000"/>
          <w:sz w:val="24"/>
          <w:szCs w:val="24"/>
        </w:rPr>
        <w:t xml:space="preserve">3.3 Dissolved oxygen </w:t>
      </w:r>
    </w:p>
    <w:p w14:paraId="0260B4E7"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Both surface DO concentrations and depth-resolved DO profiles differed substantially before and after drawdown, which was associated with changes in the concentrations of other redox-sensitive solutes in surface waters. Following drawdown, surface DO concentrations decreased to a minimum of 41% saturation (3.5 mg/L), 43% lower than in 2021 (Figure 3b, Figure 7). Loss of </w:t>
      </w:r>
      <w:proofErr w:type="spellStart"/>
      <w:r w:rsidRPr="001F05AA">
        <w:rPr>
          <w:rFonts w:eastAsia="Times New Roman"/>
          <w:color w:val="000000"/>
          <w:sz w:val="24"/>
          <w:szCs w:val="24"/>
        </w:rPr>
        <w:t>oxic</w:t>
      </w:r>
      <w:proofErr w:type="spellEnd"/>
      <w:r w:rsidRPr="001F05AA">
        <w:rPr>
          <w:rFonts w:eastAsia="Times New Roman"/>
          <w:color w:val="000000"/>
          <w:sz w:val="24"/>
          <w:szCs w:val="24"/>
        </w:rPr>
        <w:t xml:space="preserve"> epilimnetic water also resulted in increased anoxic extent as a proportion of the water column in 2022 (Figure 3b). Comparing between years, total Fe concentrations reached a peak 54% higher (by 0.34 µg/L) and 29 days earlier than in 2021, and soluble Fe concentrations reached a peak 144% higher (by 0.42 µg/L) and 49 days earlier than in 2021 (Figure 7). Percent changes in Mn concentrations from 2021 to 2022 were even more substantial than those of Fe. Total Mn concentrations reached a peak 201% higher (by 0.07 µg/L) and 29 days earlier than in 2021, and soluble Mn concentrations reached a peak 266% higher (by 0.02 µg/L) and 1 day earlier than in 2021 (Figure 7).</w:t>
      </w:r>
    </w:p>
    <w:p w14:paraId="5308ADD3" w14:textId="77777777" w:rsidR="0006118D" w:rsidRPr="001F05AA" w:rsidRDefault="0006118D">
      <w:pPr>
        <w:pBdr>
          <w:top w:val="nil"/>
          <w:left w:val="nil"/>
          <w:bottom w:val="nil"/>
          <w:right w:val="nil"/>
          <w:between w:val="nil"/>
        </w:pBdr>
        <w:spacing w:before="120"/>
        <w:ind w:firstLine="720"/>
        <w:rPr>
          <w:rFonts w:eastAsia="Times New Roman"/>
          <w:color w:val="000000"/>
          <w:sz w:val="24"/>
          <w:szCs w:val="24"/>
        </w:rPr>
      </w:pPr>
    </w:p>
    <w:p w14:paraId="0F01626E" w14:textId="7AC2EABB" w:rsidR="0006118D" w:rsidRPr="001F05AA" w:rsidRDefault="00D82B10">
      <w:r>
        <w:rPr>
          <w:noProof/>
        </w:rPr>
        <w:drawing>
          <wp:inline distT="0" distB="0" distL="0" distR="0" wp14:anchorId="22B40704" wp14:editId="48F2E5A6">
            <wp:extent cx="5943600" cy="3962400"/>
            <wp:effectExtent l="0" t="0" r="0" b="0"/>
            <wp:docPr id="289838555" name="Picture 2"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838555" name="Picture 2" descr="A graph of different types of data&#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4329DA39" w14:textId="77777777" w:rsidR="0006118D" w:rsidRPr="001F05AA" w:rsidRDefault="00000000">
      <w:pPr>
        <w:widowControl w:val="0"/>
        <w:pBdr>
          <w:top w:val="nil"/>
          <w:left w:val="nil"/>
          <w:bottom w:val="nil"/>
          <w:right w:val="nil"/>
          <w:between w:val="nil"/>
        </w:pBdr>
        <w:spacing w:before="240"/>
        <w:rPr>
          <w:rFonts w:eastAsia="Times New Roman"/>
          <w:color w:val="000000"/>
          <w:sz w:val="24"/>
          <w:szCs w:val="24"/>
        </w:rPr>
      </w:pPr>
      <w:r w:rsidRPr="001F05AA">
        <w:rPr>
          <w:rFonts w:eastAsia="Times New Roman"/>
          <w:b/>
          <w:color w:val="000000"/>
          <w:sz w:val="24"/>
          <w:szCs w:val="24"/>
        </w:rPr>
        <w:t xml:space="preserve">Figure 7: </w:t>
      </w:r>
      <w:r w:rsidRPr="001F05AA">
        <w:rPr>
          <w:rFonts w:eastAsia="Times New Roman"/>
          <w:color w:val="000000"/>
          <w:sz w:val="24"/>
          <w:szCs w:val="24"/>
        </w:rPr>
        <w:t xml:space="preserve">Time series of thermocline depth (m), surface dissolved oxygen (DO; % saturation), surface total Fe (mg/L) and surface total Mn (mg/L) at 0.1 m depth in Beaverdam Reservoir during summers 2021 and 2022. Gray shading indicates the drawdown period in 2022. Colored vertical lines indicate the observed maximum or minimum for each variable in 2022. Points represent discrete sampling visits, while the continuous line for thermocline depth was derived from high-frequency </w:t>
      </w:r>
      <w:r w:rsidRPr="001F05AA">
        <w:rPr>
          <w:rFonts w:eastAsia="Times New Roman"/>
          <w:i/>
          <w:color w:val="000000"/>
          <w:sz w:val="24"/>
          <w:szCs w:val="24"/>
        </w:rPr>
        <w:t>in situ</w:t>
      </w:r>
      <w:r w:rsidRPr="001F05AA">
        <w:rPr>
          <w:rFonts w:eastAsia="Times New Roman"/>
          <w:color w:val="000000"/>
          <w:sz w:val="24"/>
          <w:szCs w:val="24"/>
        </w:rPr>
        <w:t xml:space="preserve"> sensors. Note reversed y-axis scale for thermocline depth, with 0 m corresponding to the reservoir surface.</w:t>
      </w:r>
    </w:p>
    <w:p w14:paraId="37A58264" w14:textId="77777777" w:rsidR="0006118D" w:rsidRPr="001F05AA" w:rsidRDefault="00000000">
      <w:pPr>
        <w:keepNext/>
        <w:pBdr>
          <w:top w:val="nil"/>
          <w:left w:val="nil"/>
          <w:bottom w:val="nil"/>
          <w:right w:val="nil"/>
          <w:between w:val="nil"/>
        </w:pBdr>
        <w:spacing w:before="240" w:after="120"/>
        <w:rPr>
          <w:rFonts w:eastAsia="Times New Roman"/>
          <w:b/>
          <w:color w:val="000000"/>
          <w:sz w:val="24"/>
          <w:szCs w:val="24"/>
        </w:rPr>
      </w:pPr>
      <w:r w:rsidRPr="001F05AA">
        <w:rPr>
          <w:rFonts w:eastAsia="Times New Roman"/>
          <w:b/>
          <w:color w:val="000000"/>
          <w:sz w:val="24"/>
          <w:szCs w:val="24"/>
        </w:rPr>
        <w:t>4 Discussion</w:t>
      </w:r>
    </w:p>
    <w:p w14:paraId="63880D51"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The month-long drawdown at Beaverdam Reservoir provided a unique opportunity to investigate the emergent responses that arise from multiple, interconnected ecosystem changes during drawdown. Coincident with drawdown, both stratification strength at the thermocline and surface SRP concentrations increased. These initial changes were followed by a substantial surface cyanobacterial bloom and sequential peaks in several biogeochemical variables associated with degradation of the bloom (e.g., DOC, dissolved CO</w:t>
      </w:r>
      <w:r w:rsidRPr="001F05AA">
        <w:rPr>
          <w:rFonts w:eastAsia="Times New Roman"/>
          <w:color w:val="000000"/>
          <w:sz w:val="24"/>
          <w:szCs w:val="24"/>
          <w:vertAlign w:val="subscript"/>
        </w:rPr>
        <w:t>2</w:t>
      </w:r>
      <w:r w:rsidRPr="001F05AA">
        <w:rPr>
          <w:rFonts w:eastAsia="Times New Roman"/>
          <w:color w:val="000000"/>
          <w:sz w:val="24"/>
          <w:szCs w:val="24"/>
        </w:rPr>
        <w:t xml:space="preserve">). Our intensive monitoring during this management-driven drawdown provides an informative case study illustrating how changes in water level can have emergent effects on reservoir physics, chemistry, and biology in small, thermally-stratified reservoirs, which are </w:t>
      </w:r>
      <w:r w:rsidRPr="001F05AA">
        <w:rPr>
          <w:sz w:val="24"/>
          <w:szCs w:val="24"/>
        </w:rPr>
        <w:t>under-represented</w:t>
      </w:r>
      <w:r w:rsidRPr="001F05AA">
        <w:rPr>
          <w:rFonts w:eastAsia="Times New Roman"/>
          <w:color w:val="000000"/>
          <w:sz w:val="24"/>
          <w:szCs w:val="24"/>
        </w:rPr>
        <w:t xml:space="preserve"> in the drawdown literature (Table S1).</w:t>
      </w:r>
    </w:p>
    <w:p w14:paraId="7573D834"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r w:rsidRPr="001F05AA">
        <w:rPr>
          <w:rFonts w:eastAsia="Times New Roman"/>
          <w:color w:val="000000"/>
          <w:sz w:val="24"/>
          <w:szCs w:val="24"/>
        </w:rPr>
        <w:lastRenderedPageBreak/>
        <w:t>4.1 Drawdown increased thermocline strength</w:t>
      </w:r>
    </w:p>
    <w:p w14:paraId="783A45CA"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Drawdown in Beaverdam Reservoir altered multiple aspects of reservoir physics (e.g., buoyancy frequency, Schmidt stability, epilimnion depth), with important implications for biogeochemical processing. Interestingly, our work highlighted the potential for drawdown to increase the local strength of thermal stratification at the thermocline (i.e., maximum buoyancy frequency; Figure 4). Maximum buoyancy frequency characterizes the likelihood of mixing between surface and bottom layers in a stratified waterbody (e.g., Foley et al., 2012; Mackay et al., 2014), which will affect depth profiles of water chemistry (Bush et al., 2017; </w:t>
      </w:r>
      <w:proofErr w:type="spellStart"/>
      <w:r w:rsidRPr="001F05AA">
        <w:rPr>
          <w:rFonts w:eastAsia="Times New Roman"/>
          <w:color w:val="000000"/>
          <w:sz w:val="24"/>
          <w:szCs w:val="24"/>
        </w:rPr>
        <w:t>MacIntyre</w:t>
      </w:r>
      <w:proofErr w:type="spellEnd"/>
      <w:r w:rsidRPr="001F05AA">
        <w:rPr>
          <w:rFonts w:eastAsia="Times New Roman"/>
          <w:color w:val="000000"/>
          <w:sz w:val="24"/>
          <w:szCs w:val="24"/>
        </w:rPr>
        <w:t xml:space="preserve"> et al., 1999; Osborn, 1980) and phytoplankton (Cullen, 2015; Leach et al., 2018; Lofton et al., 2020, 2022). Consequently, changes in thermocline strength have the potential to play an important role in modulating the effect of drawdowns on reservoir chemistry and biology, particularly during smaller drawdowns (i.e., those that do not result in destratification), like in Beaverdam Reservoir. These smaller drawdowns are common worldwide as a result of changes in climate and land use (Cooley et al., 2021; Kraemer et al., 2020; Ye et al., 2017; Zhao et al., 2022), but are not well-characterized across existing literature (Table S1).</w:t>
      </w:r>
    </w:p>
    <w:p w14:paraId="6E943CCF"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The observed increase in buoyancy frequency at the thermocline during drawdown could have resulted from multiple mechanisms. Decreased residence time of water in the epilimnion during drawdown (due to increased outflow rates from this layer) could reduce thermal exchange between the epilimnion and hypolimnion, thereby steepening the temperature gradient at the thermocline (Wang et al., 2012). Additionally, decreased epilimnetic volume could also increase surface temperatures by allowing solar radiation and atmospheric heat to warm a smaller volume of water (e.g., </w:t>
      </w:r>
      <w:proofErr w:type="spellStart"/>
      <w:r w:rsidRPr="001F05AA">
        <w:rPr>
          <w:rFonts w:eastAsia="Times New Roman"/>
          <w:color w:val="000000"/>
          <w:sz w:val="24"/>
          <w:szCs w:val="24"/>
        </w:rPr>
        <w:t>Pilla</w:t>
      </w:r>
      <w:proofErr w:type="spellEnd"/>
      <w:r w:rsidRPr="001F05AA">
        <w:rPr>
          <w:rFonts w:eastAsia="Times New Roman"/>
          <w:color w:val="000000"/>
          <w:sz w:val="24"/>
          <w:szCs w:val="24"/>
        </w:rPr>
        <w:t xml:space="preserve"> et al., 2018), and this higher temperature differential between surface and bottom waters could increase maximum buoyancy frequency. </w:t>
      </w:r>
    </w:p>
    <w:p w14:paraId="47EDB6BA"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Across the drawdown literature, changes in local stratification strength at the thermocline have received less attention than the susceptibility to full water column mixing during drawdown (Table S1), despite the importance of thermocline strength for regulating reservoir chemistry and biology (e.g., </w:t>
      </w:r>
      <w:proofErr w:type="spellStart"/>
      <w:r w:rsidRPr="001F05AA">
        <w:rPr>
          <w:rFonts w:eastAsia="Times New Roman"/>
          <w:color w:val="000000"/>
          <w:sz w:val="24"/>
          <w:szCs w:val="24"/>
        </w:rPr>
        <w:t>MacIntyre</w:t>
      </w:r>
      <w:proofErr w:type="spellEnd"/>
      <w:r w:rsidRPr="001F05AA">
        <w:rPr>
          <w:rFonts w:eastAsia="Times New Roman"/>
          <w:color w:val="000000"/>
          <w:sz w:val="24"/>
          <w:szCs w:val="24"/>
        </w:rPr>
        <w:t xml:space="preserve"> et al., 1999; Leach et al., 2018). Importantly, changes in buoyancy frequency and Schmidt stability have different implications for biogeochemical processing. Increases in buoyancy frequency limit mixing of solutes between the epilimnion and hypolimnion, whereas decreases in Schmidt stability can (but do not always) lead to mixing events that homogenize solutes throughout the water column (Bush et al., 2017; </w:t>
      </w:r>
      <w:proofErr w:type="spellStart"/>
      <w:r w:rsidRPr="001F05AA">
        <w:rPr>
          <w:rFonts w:eastAsia="Times New Roman"/>
          <w:color w:val="000000"/>
          <w:sz w:val="24"/>
          <w:szCs w:val="24"/>
        </w:rPr>
        <w:t>MacIntyre</w:t>
      </w:r>
      <w:proofErr w:type="spellEnd"/>
      <w:r w:rsidRPr="001F05AA">
        <w:rPr>
          <w:rFonts w:eastAsia="Times New Roman"/>
          <w:color w:val="000000"/>
          <w:sz w:val="24"/>
          <w:szCs w:val="24"/>
        </w:rPr>
        <w:t xml:space="preserve"> et al., 1999; Osborn, 1980; Wetzel, 2001). Decreased water depth inherently reduces the amount of energy required to mix the full water column, thereby resulting in decreased Schmidt stability, documented here and elsewhere (see Table S1). </w:t>
      </w:r>
      <w:r w:rsidRPr="001F05AA">
        <w:rPr>
          <w:sz w:val="24"/>
          <w:szCs w:val="24"/>
        </w:rPr>
        <w:t>I</w:t>
      </w:r>
      <w:r w:rsidRPr="001F05AA">
        <w:rPr>
          <w:rFonts w:eastAsia="Times New Roman"/>
          <w:color w:val="000000"/>
          <w:sz w:val="24"/>
          <w:szCs w:val="24"/>
        </w:rPr>
        <w:t xml:space="preserve">n Beaverdam Reservoir, decreased Schmidt </w:t>
      </w:r>
      <w:r w:rsidRPr="001F05AA">
        <w:rPr>
          <w:sz w:val="24"/>
          <w:szCs w:val="24"/>
        </w:rPr>
        <w:t>stability</w:t>
      </w:r>
      <w:r w:rsidRPr="001F05AA">
        <w:rPr>
          <w:rFonts w:eastAsia="Times New Roman"/>
          <w:color w:val="000000"/>
          <w:sz w:val="24"/>
          <w:szCs w:val="24"/>
        </w:rPr>
        <w:t xml:space="preserve"> during drawdown did not result in full water column mixing or substantial hypolimnion deepening, though </w:t>
      </w:r>
      <w:r w:rsidRPr="001F05AA">
        <w:rPr>
          <w:sz w:val="24"/>
          <w:szCs w:val="24"/>
        </w:rPr>
        <w:t xml:space="preserve">it may have contributed to earlier fall turnover in 2022 relative to 2021. Conversely, increased buoyancy frequency was likely more relevant in controlling biogeochemical dynamics during the summer stratified period (Lewis et al., 2024a). Ultimately, </w:t>
      </w:r>
      <w:r w:rsidRPr="001F05AA">
        <w:rPr>
          <w:rFonts w:eastAsia="Times New Roman"/>
          <w:color w:val="000000"/>
          <w:sz w:val="24"/>
          <w:szCs w:val="24"/>
        </w:rPr>
        <w:t xml:space="preserve">our work highlights the importance of calculating multiple metrics of thermal stratification to understand the complex effects of drawdown on reservoir physical processes. </w:t>
      </w:r>
    </w:p>
    <w:p w14:paraId="0587DC35"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r w:rsidRPr="001F05AA">
        <w:rPr>
          <w:rFonts w:eastAsia="Times New Roman"/>
          <w:color w:val="000000"/>
          <w:sz w:val="24"/>
          <w:szCs w:val="24"/>
        </w:rPr>
        <w:t>4.1.1 Surface nutrient and metal concentrations increased, despite increased thermocline strength</w:t>
      </w:r>
    </w:p>
    <w:p w14:paraId="4817A08A" w14:textId="40962C7D"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Although drawdown increased maximum buoyancy frequency, surface SRP concentrations increased during drawdown, likely contributing to a substantial surface </w:t>
      </w:r>
      <w:r w:rsidRPr="001F05AA">
        <w:rPr>
          <w:rFonts w:eastAsia="Times New Roman"/>
          <w:color w:val="000000"/>
          <w:sz w:val="24"/>
          <w:szCs w:val="24"/>
        </w:rPr>
        <w:lastRenderedPageBreak/>
        <w:t xml:space="preserve">phytoplankton bloom shortly thereafter (Figure 5). We also observed peaks of total and soluble Fe and Mn in surface waters, which occurred several weeks after the increase in SRP and coincided with the minimum surface DO (41% saturation) observed during this period (Figure 7). These effects are somewhat counterintuitive, as higher maximum buoyancy frequency would be expected to decrease solute flux rates across the thermocline, thus resulting in lower solute concentrations in the epilimnion (Bush et al., 2017). Our results suggest that alternative mechanisms may be responsible for increased </w:t>
      </w:r>
      <w:r w:rsidRPr="001F05AA">
        <w:rPr>
          <w:sz w:val="24"/>
          <w:szCs w:val="24"/>
        </w:rPr>
        <w:t xml:space="preserve">nutrient concentrations during and after drawdown. These mechanisms could include </w:t>
      </w:r>
      <w:r w:rsidRPr="001F05AA">
        <w:rPr>
          <w:rFonts w:eastAsia="Times New Roman"/>
          <w:color w:val="000000"/>
          <w:sz w:val="24"/>
          <w:szCs w:val="24"/>
        </w:rPr>
        <w:t>shallowing of the epilimnion, which may concentrate nutrients in a smaller epilimnetic layer (</w:t>
      </w:r>
      <w:proofErr w:type="spellStart"/>
      <w:r w:rsidRPr="001F05AA">
        <w:rPr>
          <w:rFonts w:eastAsia="Times New Roman"/>
          <w:color w:val="000000"/>
          <w:sz w:val="24"/>
          <w:szCs w:val="24"/>
        </w:rPr>
        <w:t>Chapra</w:t>
      </w:r>
      <w:proofErr w:type="spellEnd"/>
      <w:r w:rsidRPr="001F05AA">
        <w:rPr>
          <w:rFonts w:eastAsia="Times New Roman"/>
          <w:color w:val="000000"/>
          <w:sz w:val="24"/>
          <w:szCs w:val="24"/>
        </w:rPr>
        <w:t xml:space="preserve"> &amp; </w:t>
      </w:r>
      <w:proofErr w:type="spellStart"/>
      <w:r w:rsidRPr="001F05AA">
        <w:rPr>
          <w:rFonts w:eastAsia="Times New Roman"/>
          <w:color w:val="000000"/>
          <w:sz w:val="24"/>
          <w:szCs w:val="24"/>
        </w:rPr>
        <w:t>Reckhow</w:t>
      </w:r>
      <w:proofErr w:type="spellEnd"/>
      <w:r w:rsidRPr="001F05AA">
        <w:rPr>
          <w:rFonts w:eastAsia="Times New Roman"/>
          <w:color w:val="000000"/>
          <w:sz w:val="24"/>
          <w:szCs w:val="24"/>
        </w:rPr>
        <w:t>, 1983; Snodgrass, 1977), increased ebullition</w:t>
      </w:r>
      <w:r w:rsidRPr="001F05AA">
        <w:rPr>
          <w:sz w:val="24"/>
          <w:szCs w:val="24"/>
        </w:rPr>
        <w:t>, which may allow for solute transport out of sediment (</w:t>
      </w:r>
      <w:proofErr w:type="spellStart"/>
      <w:r w:rsidRPr="001F05AA">
        <w:rPr>
          <w:sz w:val="24"/>
          <w:szCs w:val="24"/>
        </w:rPr>
        <w:t>Delwiche</w:t>
      </w:r>
      <w:proofErr w:type="spellEnd"/>
      <w:r w:rsidRPr="001F05AA">
        <w:rPr>
          <w:sz w:val="24"/>
          <w:szCs w:val="24"/>
        </w:rPr>
        <w:t xml:space="preserve"> et al. 2020; Schwarz et al. 2023; </w:t>
      </w:r>
      <w:proofErr w:type="spellStart"/>
      <w:r w:rsidRPr="001F05AA">
        <w:rPr>
          <w:sz w:val="24"/>
          <w:szCs w:val="24"/>
        </w:rPr>
        <w:t>Deemer</w:t>
      </w:r>
      <w:proofErr w:type="spellEnd"/>
      <w:r w:rsidRPr="001F05AA">
        <w:rPr>
          <w:sz w:val="24"/>
          <w:szCs w:val="24"/>
        </w:rPr>
        <w:t xml:space="preserve"> and Harrison, 2019), and enhanced </w:t>
      </w:r>
      <w:r w:rsidRPr="001F05AA">
        <w:rPr>
          <w:rFonts w:eastAsia="Times New Roman"/>
          <w:color w:val="000000"/>
          <w:sz w:val="24"/>
          <w:szCs w:val="24"/>
        </w:rPr>
        <w:t>wave action on newly exposed sediments during drawdown, which may contribut</w:t>
      </w:r>
      <w:r w:rsidRPr="001F05AA">
        <w:rPr>
          <w:sz w:val="24"/>
          <w:szCs w:val="24"/>
        </w:rPr>
        <w:t>e</w:t>
      </w:r>
      <w:r w:rsidRPr="001F05AA">
        <w:rPr>
          <w:rFonts w:eastAsia="Times New Roman"/>
          <w:color w:val="000000"/>
          <w:sz w:val="24"/>
          <w:szCs w:val="24"/>
        </w:rPr>
        <w:t xml:space="preserve"> to inputs of nutrients and metals from littoral areas (</w:t>
      </w:r>
      <w:proofErr w:type="spellStart"/>
      <w:r w:rsidRPr="001F05AA">
        <w:rPr>
          <w:rFonts w:eastAsia="Times New Roman"/>
          <w:color w:val="000000"/>
          <w:sz w:val="24"/>
          <w:szCs w:val="24"/>
        </w:rPr>
        <w:t>Furey</w:t>
      </w:r>
      <w:proofErr w:type="spellEnd"/>
      <w:r w:rsidRPr="001F05AA">
        <w:rPr>
          <w:rFonts w:eastAsia="Times New Roman"/>
          <w:color w:val="000000"/>
          <w:sz w:val="24"/>
          <w:szCs w:val="24"/>
        </w:rPr>
        <w:t xml:space="preserve"> et al., 2004). Because soluble Fe and Mn concentrations peaked earlier than total Fe and Mn concentrations (Figure 7), it seems likely that these metals were entrained from the anoxic hypolimnion in their reduced (soluble) state, before being oxidized in the epilimnion (Davison, 1993; Krueger et al., 2020; Munger et al., 2019; Lewis et al.</w:t>
      </w:r>
      <w:r w:rsidR="00F227FA">
        <w:rPr>
          <w:rFonts w:eastAsia="Times New Roman"/>
          <w:color w:val="000000"/>
          <w:sz w:val="24"/>
          <w:szCs w:val="24"/>
        </w:rPr>
        <w:t>,</w:t>
      </w:r>
      <w:r w:rsidRPr="001F05AA">
        <w:rPr>
          <w:rFonts w:eastAsia="Times New Roman"/>
          <w:color w:val="000000"/>
          <w:sz w:val="24"/>
          <w:szCs w:val="24"/>
        </w:rPr>
        <w:t xml:space="preserve"> 2023). In contrast, the earlier peak in SRP is more likely to have resulted from littoral sediment inputs or ebullition at the start of drawdown, though we note that direct attribution of </w:t>
      </w:r>
      <w:r w:rsidRPr="001F05AA">
        <w:rPr>
          <w:sz w:val="24"/>
          <w:szCs w:val="24"/>
        </w:rPr>
        <w:t xml:space="preserve">any </w:t>
      </w:r>
      <w:r w:rsidRPr="001F05AA">
        <w:rPr>
          <w:rFonts w:eastAsia="Times New Roman"/>
          <w:color w:val="000000"/>
          <w:sz w:val="24"/>
          <w:szCs w:val="24"/>
        </w:rPr>
        <w:t xml:space="preserve">mechanisms requires additional fine-scale measurements and/or mechanistic modeling in future studies. Importantly, our results highlight that increases in surface nutrients during drawdown, which are often documented in drawdowns that exhibit decreases in thermal stability (Baldwin et al., 2008; </w:t>
      </w:r>
      <w:proofErr w:type="spellStart"/>
      <w:r w:rsidRPr="001F05AA">
        <w:rPr>
          <w:rFonts w:eastAsia="Times New Roman"/>
          <w:color w:val="000000"/>
          <w:sz w:val="24"/>
          <w:szCs w:val="24"/>
        </w:rPr>
        <w:t>Geraldes</w:t>
      </w:r>
      <w:proofErr w:type="spellEnd"/>
      <w:r w:rsidRPr="001F05AA">
        <w:rPr>
          <w:rFonts w:eastAsia="Times New Roman"/>
          <w:color w:val="000000"/>
          <w:sz w:val="24"/>
          <w:szCs w:val="24"/>
        </w:rPr>
        <w:t xml:space="preserve"> &amp; </w:t>
      </w:r>
      <w:proofErr w:type="spellStart"/>
      <w:r w:rsidRPr="001F05AA">
        <w:rPr>
          <w:rFonts w:eastAsia="Times New Roman"/>
          <w:color w:val="000000"/>
          <w:sz w:val="24"/>
          <w:szCs w:val="24"/>
        </w:rPr>
        <w:t>Boavida</w:t>
      </w:r>
      <w:proofErr w:type="spellEnd"/>
      <w:r w:rsidRPr="001F05AA">
        <w:rPr>
          <w:rFonts w:eastAsia="Times New Roman"/>
          <w:color w:val="000000"/>
          <w:sz w:val="24"/>
          <w:szCs w:val="24"/>
        </w:rPr>
        <w:t xml:space="preserve">, 2005; </w:t>
      </w:r>
      <w:proofErr w:type="spellStart"/>
      <w:r w:rsidRPr="001F05AA">
        <w:rPr>
          <w:rFonts w:eastAsia="Times New Roman"/>
          <w:color w:val="000000"/>
          <w:sz w:val="24"/>
          <w:szCs w:val="24"/>
        </w:rPr>
        <w:t>Naselli</w:t>
      </w:r>
      <w:proofErr w:type="spellEnd"/>
      <w:r w:rsidRPr="001F05AA">
        <w:rPr>
          <w:rFonts w:eastAsia="Times New Roman"/>
          <w:color w:val="000000"/>
          <w:sz w:val="24"/>
          <w:szCs w:val="24"/>
        </w:rPr>
        <w:t>-Flores, 2003), can occur even when the local strength of stratification at the thermocline increases.</w:t>
      </w:r>
    </w:p>
    <w:p w14:paraId="4D76AC51"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r w:rsidRPr="001F05AA">
        <w:rPr>
          <w:rFonts w:eastAsia="Times New Roman"/>
          <w:color w:val="000000"/>
          <w:sz w:val="24"/>
          <w:szCs w:val="24"/>
        </w:rPr>
        <w:t>4.2 Phytoplankton biomass and distribution were altered by nutrient and light dynamics</w:t>
      </w:r>
    </w:p>
    <w:p w14:paraId="5CBD85A0"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Drawdown in Beaverdam Reservoir resulted in simultaneous decreases in euphotic depth (Figure 6) and increases in nutrient availability (Figure 5), with relatively consistent surface water </w:t>
      </w:r>
      <w:r w:rsidRPr="001F05AA">
        <w:rPr>
          <w:sz w:val="24"/>
          <w:szCs w:val="24"/>
        </w:rPr>
        <w:t>temperature</w:t>
      </w:r>
      <w:r w:rsidRPr="001F05AA">
        <w:rPr>
          <w:rFonts w:eastAsia="Times New Roman"/>
          <w:color w:val="000000"/>
          <w:sz w:val="24"/>
          <w:szCs w:val="24"/>
        </w:rPr>
        <w:t xml:space="preserve"> (Figure 4). Consequently, the net effect of drawdown on phytoplankton biomass was challenging to predict </w:t>
      </w:r>
      <w:r w:rsidRPr="001F05AA">
        <w:rPr>
          <w:rFonts w:eastAsia="Times New Roman"/>
          <w:i/>
          <w:color w:val="000000"/>
          <w:sz w:val="24"/>
          <w:szCs w:val="24"/>
        </w:rPr>
        <w:t>a priori</w:t>
      </w:r>
      <w:r w:rsidRPr="001F05AA">
        <w:rPr>
          <w:rFonts w:eastAsia="Times New Roman"/>
          <w:color w:val="000000"/>
          <w:sz w:val="24"/>
          <w:szCs w:val="24"/>
        </w:rPr>
        <w:t xml:space="preserve">, as decreased light can decrease phytoplankton growth, while increased nutrient availability can increase phytoplankton growth. Altogether, we observed a substantial </w:t>
      </w:r>
      <w:r w:rsidRPr="001F05AA">
        <w:rPr>
          <w:rFonts w:eastAsia="Times New Roman"/>
          <w:i/>
          <w:color w:val="000000"/>
          <w:sz w:val="24"/>
          <w:szCs w:val="24"/>
        </w:rPr>
        <w:t>increase</w:t>
      </w:r>
      <w:r w:rsidRPr="001F05AA">
        <w:rPr>
          <w:rFonts w:eastAsia="Times New Roman"/>
          <w:color w:val="000000"/>
          <w:sz w:val="24"/>
          <w:szCs w:val="24"/>
        </w:rPr>
        <w:t xml:space="preserve"> in surface phytoplankton biomass during the drawdown, with a peak in phytoplankton biomass occurring approximately seven days after a peak in SRP (Figure 5). Consequently, our work demonstrates that the nutrient increases associated with drawdown can offset decreased light availability to result in an emergent increase in phytoplankton biomass, at least in some cases. Additional studies are needed to test the robustness of this response to drawdown in other reservoirs. </w:t>
      </w:r>
    </w:p>
    <w:p w14:paraId="6DBC4209" w14:textId="1FEBB256" w:rsidR="0006118D" w:rsidRPr="001F05AA" w:rsidRDefault="00000000">
      <w:pPr>
        <w:pBdr>
          <w:top w:val="nil"/>
          <w:left w:val="nil"/>
          <w:bottom w:val="nil"/>
          <w:right w:val="nil"/>
          <w:between w:val="nil"/>
        </w:pBdr>
        <w:ind w:firstLine="720"/>
        <w:rPr>
          <w:rFonts w:eastAsia="Times New Roman"/>
          <w:color w:val="000000"/>
          <w:sz w:val="24"/>
          <w:szCs w:val="24"/>
        </w:rPr>
      </w:pPr>
      <w:r w:rsidRPr="001F05AA">
        <w:rPr>
          <w:rFonts w:eastAsia="Times New Roman"/>
          <w:color w:val="000000"/>
          <w:sz w:val="24"/>
          <w:szCs w:val="24"/>
        </w:rPr>
        <w:t xml:space="preserve">The vertical distribution of phytoplankton in the water column during the drawdown differed from the distribution exhibited in the previous year, potentially in response to the decreased light availability, shallowing of the thermocline, and increased surface nutrient concentrations that occurred during drawdown. Notably, the decrease in </w:t>
      </w:r>
      <w:proofErr w:type="spellStart"/>
      <w:r w:rsidRPr="001F05AA">
        <w:rPr>
          <w:rFonts w:eastAsia="Times New Roman"/>
          <w:color w:val="000000"/>
          <w:sz w:val="24"/>
          <w:szCs w:val="24"/>
        </w:rPr>
        <w:t>C</w:t>
      </w:r>
      <w:r w:rsidRPr="001F05AA">
        <w:rPr>
          <w:rFonts w:eastAsia="Times New Roman"/>
          <w:color w:val="000000"/>
          <w:sz w:val="24"/>
          <w:szCs w:val="24"/>
          <w:vertAlign w:val="subscript"/>
        </w:rPr>
        <w:t>max</w:t>
      </w:r>
      <w:proofErr w:type="spellEnd"/>
      <w:r w:rsidRPr="001F05AA">
        <w:rPr>
          <w:rFonts w:eastAsia="Gungsuh"/>
          <w:color w:val="000000"/>
          <w:sz w:val="24"/>
          <w:szCs w:val="24"/>
        </w:rPr>
        <w:t xml:space="preserve"> depth observed in this study (Figure 6) was correlated with the euphotic zone depth becoming shallower during drawdown (Figure S4). In previous summers, Beaverdam Reservoir has experienced cyanobacterial blooms in the hypolimnion at depths with ≤1% of surface light, resulting in </w:t>
      </w:r>
      <w:proofErr w:type="spellStart"/>
      <w:r w:rsidRPr="001F05AA">
        <w:rPr>
          <w:rFonts w:eastAsia="Gungsuh"/>
          <w:color w:val="000000"/>
          <w:sz w:val="24"/>
          <w:szCs w:val="24"/>
        </w:rPr>
        <w:t>C</w:t>
      </w:r>
      <w:r w:rsidRPr="001F05AA">
        <w:rPr>
          <w:rFonts w:eastAsia="Times New Roman"/>
          <w:color w:val="000000"/>
          <w:sz w:val="24"/>
          <w:szCs w:val="24"/>
          <w:vertAlign w:val="subscript"/>
        </w:rPr>
        <w:t>max</w:t>
      </w:r>
      <w:proofErr w:type="spellEnd"/>
      <w:r w:rsidRPr="001F05AA">
        <w:rPr>
          <w:rFonts w:eastAsia="Times New Roman"/>
          <w:color w:val="000000"/>
          <w:sz w:val="24"/>
          <w:szCs w:val="24"/>
        </w:rPr>
        <w:t xml:space="preserve"> depths deeper than 7 m (Hamre et al., 2018). The bloom that occurred after the 2022 drawdown was much closer to the surface than previous years, with maximum phytoplankton concentrations occurring at </w:t>
      </w:r>
      <w:proofErr w:type="spellStart"/>
      <w:r w:rsidRPr="001F05AA">
        <w:rPr>
          <w:rFonts w:eastAsia="Times New Roman"/>
          <w:color w:val="000000"/>
          <w:sz w:val="24"/>
          <w:szCs w:val="24"/>
        </w:rPr>
        <w:t>C</w:t>
      </w:r>
      <w:r w:rsidRPr="001F05AA">
        <w:rPr>
          <w:rFonts w:eastAsia="Times New Roman"/>
          <w:color w:val="000000"/>
          <w:sz w:val="24"/>
          <w:szCs w:val="24"/>
          <w:vertAlign w:val="subscript"/>
        </w:rPr>
        <w:t>max</w:t>
      </w:r>
      <w:proofErr w:type="spellEnd"/>
      <w:r w:rsidRPr="001F05AA">
        <w:rPr>
          <w:rFonts w:eastAsia="Gungsuh"/>
          <w:color w:val="000000"/>
          <w:sz w:val="24"/>
          <w:szCs w:val="24"/>
        </w:rPr>
        <w:t xml:space="preserve"> depths of  ≤3 m (Figure 6). Interestingly, due to the altered light </w:t>
      </w:r>
      <w:r w:rsidRPr="001F05AA">
        <w:rPr>
          <w:rFonts w:eastAsia="Gungsuh"/>
          <w:color w:val="000000"/>
          <w:sz w:val="24"/>
          <w:szCs w:val="24"/>
        </w:rPr>
        <w:lastRenderedPageBreak/>
        <w:t xml:space="preserve">environment (i.e., shallower euphotic zone depth) in the reservoir during drawdown, </w:t>
      </w:r>
      <w:proofErr w:type="spellStart"/>
      <w:r w:rsidRPr="001F05AA">
        <w:rPr>
          <w:rFonts w:eastAsia="Gungsuh"/>
          <w:color w:val="000000"/>
          <w:sz w:val="24"/>
          <w:szCs w:val="24"/>
        </w:rPr>
        <w:t>C</w:t>
      </w:r>
      <w:r w:rsidRPr="001F05AA">
        <w:rPr>
          <w:rFonts w:eastAsia="Times New Roman"/>
          <w:color w:val="000000"/>
          <w:sz w:val="24"/>
          <w:szCs w:val="24"/>
          <w:vertAlign w:val="subscript"/>
        </w:rPr>
        <w:t>max</w:t>
      </w:r>
      <w:proofErr w:type="spellEnd"/>
      <w:r w:rsidRPr="001F05AA">
        <w:rPr>
          <w:rFonts w:eastAsia="Times New Roman"/>
          <w:color w:val="000000"/>
          <w:sz w:val="24"/>
          <w:szCs w:val="24"/>
        </w:rPr>
        <w:t xml:space="preserve"> depth was associated with approximately the same light availability in 2022 as in previous years (~1% of surface light), though at much shallower depths (Figures 6, S4). Our results support previous work in a nearby reservoir that observed the reciprocal effect, in which thermocline deepening led to a deepening of </w:t>
      </w:r>
      <w:proofErr w:type="spellStart"/>
      <w:r w:rsidRPr="001F05AA">
        <w:rPr>
          <w:rFonts w:eastAsia="Times New Roman"/>
          <w:color w:val="000000"/>
          <w:sz w:val="24"/>
          <w:szCs w:val="24"/>
        </w:rPr>
        <w:t>C</w:t>
      </w:r>
      <w:r w:rsidRPr="001F05AA">
        <w:rPr>
          <w:rFonts w:eastAsia="Times New Roman"/>
          <w:color w:val="000000"/>
          <w:sz w:val="24"/>
          <w:szCs w:val="24"/>
          <w:vertAlign w:val="subscript"/>
        </w:rPr>
        <w:t>max</w:t>
      </w:r>
      <w:proofErr w:type="spellEnd"/>
      <w:r w:rsidRPr="001F05AA">
        <w:rPr>
          <w:rFonts w:eastAsia="Times New Roman"/>
          <w:color w:val="000000"/>
          <w:sz w:val="24"/>
          <w:szCs w:val="24"/>
        </w:rPr>
        <w:t xml:space="preserve"> depth (Lofton et al., 2022). Ultimately, these results highlight the substantial plasticity of phytoplankton to adapt to changing physical conditions, optimizing their location at the depth that best matches their nutrient and light requirements.</w:t>
      </w:r>
    </w:p>
    <w:p w14:paraId="6A3E3739" w14:textId="77777777" w:rsidR="0006118D" w:rsidRPr="001F05AA" w:rsidRDefault="00000000">
      <w:pPr>
        <w:pBdr>
          <w:top w:val="nil"/>
          <w:left w:val="nil"/>
          <w:bottom w:val="nil"/>
          <w:right w:val="nil"/>
          <w:between w:val="nil"/>
        </w:pBdr>
        <w:ind w:firstLine="720"/>
        <w:rPr>
          <w:rFonts w:eastAsia="Times New Roman"/>
          <w:color w:val="000000"/>
          <w:sz w:val="24"/>
          <w:szCs w:val="24"/>
        </w:rPr>
      </w:pPr>
      <w:r w:rsidRPr="001F05AA">
        <w:rPr>
          <w:rFonts w:eastAsia="Times New Roman"/>
          <w:color w:val="000000"/>
          <w:sz w:val="24"/>
          <w:szCs w:val="24"/>
        </w:rPr>
        <w:t xml:space="preserve">We observed that the peak width of phytoplankton biomass was approximately 2 m thinner during drawdown than during the same time period in the previous year (Figure 6). Declines in peak width could result from a number of factors, as phytoplankton exhibit higher growth rates in layers of the water column with optimal temperature, light, and nutrient conditions (Durham &amp; Stocker, 2012; Moll et al., 1984). The steeper temperature gradient at the thermocline during drawdown may have created a narrow range of depths where conditions were optimal for growth, leading to aggregation of phytoplankton in a thinner layer. Likewise, shallower euphotic zone depth and thermocline depth could have decreased suitable thermal and light habitat (Hamilton et al., 2010; Leach et al., 2018; Varela et al., 1994). Ultimately, it is likely that multiple factors collectively contributed to the development of thinner peak width of phytoplankton biomass during drawdown. Altered spatial distribution of phytoplankton (i.e., decreased peak width) could potentially lead to heterogeneity in phytoplankton-driven biogeochemical processing across the entire water column (e.g., Heini et al., 2014; Levine &amp; Lewis Jr., 1985) or affect zooplankton grazing dynamics (Moeller et al., 2019; </w:t>
      </w:r>
      <w:proofErr w:type="spellStart"/>
      <w:r w:rsidRPr="001F05AA">
        <w:rPr>
          <w:rFonts w:eastAsia="Times New Roman"/>
          <w:color w:val="000000"/>
          <w:sz w:val="24"/>
          <w:szCs w:val="24"/>
        </w:rPr>
        <w:t>Pilati</w:t>
      </w:r>
      <w:proofErr w:type="spellEnd"/>
      <w:r w:rsidRPr="001F05AA">
        <w:rPr>
          <w:rFonts w:eastAsia="Times New Roman"/>
          <w:color w:val="000000"/>
          <w:sz w:val="24"/>
          <w:szCs w:val="24"/>
        </w:rPr>
        <w:t xml:space="preserve"> &amp; </w:t>
      </w:r>
      <w:proofErr w:type="spellStart"/>
      <w:r w:rsidRPr="001F05AA">
        <w:rPr>
          <w:rFonts w:eastAsia="Times New Roman"/>
          <w:color w:val="000000"/>
          <w:sz w:val="24"/>
          <w:szCs w:val="24"/>
        </w:rPr>
        <w:t>Wurtsbaugh</w:t>
      </w:r>
      <w:proofErr w:type="spellEnd"/>
      <w:r w:rsidRPr="001F05AA">
        <w:rPr>
          <w:rFonts w:eastAsia="Times New Roman"/>
          <w:color w:val="000000"/>
          <w:sz w:val="24"/>
          <w:szCs w:val="24"/>
        </w:rPr>
        <w:t xml:space="preserve">, 2003; Wang et al., 2020). In addition, concentration of phytoplankton in a narrower layer of the water column could have potential water quality implications if these aggregations occur at a depth from which water is withdrawn for drinking water treatment. </w:t>
      </w:r>
    </w:p>
    <w:p w14:paraId="6FD96B62" w14:textId="77777777" w:rsidR="0006118D" w:rsidRPr="001F05AA" w:rsidRDefault="00000000">
      <w:pPr>
        <w:pBdr>
          <w:top w:val="nil"/>
          <w:left w:val="nil"/>
          <w:bottom w:val="nil"/>
          <w:right w:val="nil"/>
          <w:between w:val="nil"/>
        </w:pBdr>
        <w:ind w:firstLine="720"/>
        <w:rPr>
          <w:sz w:val="24"/>
          <w:szCs w:val="24"/>
        </w:rPr>
      </w:pPr>
      <w:r w:rsidRPr="001F05AA">
        <w:rPr>
          <w:sz w:val="24"/>
          <w:szCs w:val="24"/>
        </w:rPr>
        <w:t xml:space="preserve">High-frequency profiles of phytoplankton spectral groups were essential to our analysis of how changes in water column depth due to drawdown may alter the depth distribution of phytoplankton. However, without additional sampling and microscopy analyses, we were unable to assess the response of specific phytoplankton taxonomic groups to water level changes. While a lack of phytoplankton samples pre-drawdown precluded a more taxonomically resolved analysis of changes in phytoplankton community structure at Beaverdam Reservoir, future drawdown studies would benefit from such analyses. Importantly, the responses of specific taxa of cyanobacteria and other phytoplankton have substantial implications for the effect of drawdown on water quality, as taxa have varying potential to release toxins (Chorus &amp; Welker 2021), clog treatment plant filters (Henderson et al. 2008), and cause water taste and odor concerns (Watson 2004). </w:t>
      </w:r>
    </w:p>
    <w:p w14:paraId="02F97B1A"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r w:rsidRPr="001F05AA">
        <w:rPr>
          <w:rFonts w:eastAsia="Times New Roman"/>
          <w:color w:val="000000"/>
          <w:sz w:val="24"/>
          <w:szCs w:val="24"/>
        </w:rPr>
        <w:t>4.3.1 The phytoplankton bloom was associated with cascading effects on carbon and nutrient cycling</w:t>
      </w:r>
    </w:p>
    <w:p w14:paraId="37F44885"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The surface cyanobacterial bloom observed in 2022 was temporally associated with marked changes in the dynamics of multiple biogeochemical variables (Figure 5). TN and TP increased concurrently with phytoplankton, likely reflecting continuing nutrient inputs and incorporation of N and P into phytoplankton biomass (Li et al., 2012). The subsequent peak in DOC likely resulted from both leaching from live phytoplankton during the bloom and decomposition of senescing phytoplankton after the bloom collapsed (</w:t>
      </w:r>
      <w:proofErr w:type="spellStart"/>
      <w:r w:rsidRPr="001F05AA">
        <w:rPr>
          <w:rFonts w:eastAsia="Times New Roman"/>
          <w:color w:val="000000"/>
          <w:sz w:val="24"/>
          <w:szCs w:val="24"/>
        </w:rPr>
        <w:t>Bartosiewicz</w:t>
      </w:r>
      <w:proofErr w:type="spellEnd"/>
      <w:r w:rsidRPr="001F05AA">
        <w:rPr>
          <w:rFonts w:eastAsia="Times New Roman"/>
          <w:color w:val="000000"/>
          <w:sz w:val="24"/>
          <w:szCs w:val="24"/>
        </w:rPr>
        <w:t xml:space="preserve"> et al., 2021; </w:t>
      </w:r>
      <w:proofErr w:type="spellStart"/>
      <w:r w:rsidRPr="001F05AA">
        <w:rPr>
          <w:rFonts w:eastAsia="Times New Roman"/>
          <w:color w:val="000000"/>
          <w:sz w:val="24"/>
          <w:szCs w:val="24"/>
        </w:rPr>
        <w:t>Søndergaard</w:t>
      </w:r>
      <w:proofErr w:type="spellEnd"/>
      <w:r w:rsidRPr="001F05AA">
        <w:rPr>
          <w:rFonts w:eastAsia="Times New Roman"/>
          <w:color w:val="000000"/>
          <w:sz w:val="24"/>
          <w:szCs w:val="24"/>
        </w:rPr>
        <w:t xml:space="preserve"> et al., 2000). Dissolved CO</w:t>
      </w:r>
      <w:r w:rsidRPr="001F05AA">
        <w:rPr>
          <w:rFonts w:eastAsia="Times New Roman"/>
          <w:color w:val="000000"/>
          <w:sz w:val="24"/>
          <w:szCs w:val="24"/>
          <w:vertAlign w:val="subscript"/>
        </w:rPr>
        <w:t>2</w:t>
      </w:r>
      <w:r w:rsidRPr="001F05AA">
        <w:rPr>
          <w:rFonts w:eastAsia="Times New Roman"/>
          <w:color w:val="000000"/>
          <w:sz w:val="24"/>
          <w:szCs w:val="24"/>
        </w:rPr>
        <w:t xml:space="preserve"> concentrations remained very low while phytoplankton and DOC were at their highest—likely due to fixation into phytoplankton biomass—but peaked </w:t>
      </w:r>
      <w:r w:rsidRPr="001F05AA">
        <w:rPr>
          <w:rFonts w:eastAsia="Times New Roman"/>
          <w:color w:val="000000"/>
          <w:sz w:val="24"/>
          <w:szCs w:val="24"/>
        </w:rPr>
        <w:lastRenderedPageBreak/>
        <w:t>6 days after the peak in DOC, when respiration rates likely surpassed fixation rates. Finally, the peak in NH</w:t>
      </w:r>
      <w:r w:rsidRPr="001F05AA">
        <w:rPr>
          <w:rFonts w:eastAsia="Times New Roman"/>
          <w:color w:val="000000"/>
          <w:sz w:val="24"/>
          <w:szCs w:val="24"/>
          <w:vertAlign w:val="subscript"/>
        </w:rPr>
        <w:t>4</w:t>
      </w:r>
      <w:r w:rsidRPr="001F05AA">
        <w:rPr>
          <w:rFonts w:eastAsia="Times New Roman"/>
          <w:color w:val="000000"/>
          <w:sz w:val="24"/>
          <w:szCs w:val="24"/>
          <w:vertAlign w:val="superscript"/>
        </w:rPr>
        <w:t>+</w:t>
      </w:r>
      <w:r w:rsidRPr="001F05AA">
        <w:rPr>
          <w:rFonts w:eastAsia="Times New Roman"/>
          <w:color w:val="000000"/>
          <w:sz w:val="24"/>
          <w:szCs w:val="24"/>
        </w:rPr>
        <w:t xml:space="preserve"> three weeks after peak bloom conditions likely reflected ammonification from decomposing organic matter (Gardner et al., 2017; </w:t>
      </w:r>
      <w:proofErr w:type="spellStart"/>
      <w:r w:rsidRPr="001F05AA">
        <w:rPr>
          <w:rFonts w:eastAsia="Times New Roman"/>
          <w:color w:val="000000"/>
          <w:sz w:val="24"/>
          <w:szCs w:val="24"/>
        </w:rPr>
        <w:t>Tezuka</w:t>
      </w:r>
      <w:proofErr w:type="spellEnd"/>
      <w:r w:rsidRPr="001F05AA">
        <w:rPr>
          <w:rFonts w:eastAsia="Times New Roman"/>
          <w:color w:val="000000"/>
          <w:sz w:val="24"/>
          <w:szCs w:val="24"/>
        </w:rPr>
        <w:t>, 1986). In sum, the drawdown-associated cyanobacterial bloom was associated with multiple changes in water chemistry, substantially affecting coupled C, N, and P cycles in the reservoir.</w:t>
      </w:r>
    </w:p>
    <w:p w14:paraId="318EF960"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Our results follow the findings of other studies with respect to the effects of phytoplankton blooms on reservoir physics and biogeochemistry. Similar to our observations that DOC, dissolved CO</w:t>
      </w:r>
      <w:r w:rsidRPr="001F05AA">
        <w:rPr>
          <w:rFonts w:eastAsia="Times New Roman"/>
          <w:color w:val="000000"/>
          <w:sz w:val="24"/>
          <w:szCs w:val="24"/>
          <w:vertAlign w:val="subscript"/>
        </w:rPr>
        <w:t>2</w:t>
      </w:r>
      <w:r w:rsidRPr="001F05AA">
        <w:rPr>
          <w:rFonts w:eastAsia="Times New Roman"/>
          <w:color w:val="000000"/>
          <w:sz w:val="24"/>
          <w:szCs w:val="24"/>
        </w:rPr>
        <w:t>, and NH</w:t>
      </w:r>
      <w:r w:rsidRPr="001F05AA">
        <w:rPr>
          <w:rFonts w:eastAsia="Times New Roman"/>
          <w:color w:val="000000"/>
          <w:sz w:val="24"/>
          <w:szCs w:val="24"/>
          <w:vertAlign w:val="subscript"/>
        </w:rPr>
        <w:t>4</w:t>
      </w:r>
      <w:r w:rsidRPr="001F05AA">
        <w:rPr>
          <w:rFonts w:eastAsia="Times New Roman"/>
          <w:color w:val="000000"/>
          <w:sz w:val="24"/>
          <w:szCs w:val="24"/>
          <w:vertAlign w:val="superscript"/>
        </w:rPr>
        <w:t>+</w:t>
      </w:r>
      <w:r w:rsidRPr="001F05AA">
        <w:rPr>
          <w:rFonts w:eastAsia="Times New Roman"/>
          <w:color w:val="000000"/>
          <w:sz w:val="24"/>
          <w:szCs w:val="24"/>
        </w:rPr>
        <w:t xml:space="preserve"> peaked shortly (8–21 days) after peak cyanobacterial biomass occurred, other researchers have documented that phytoplankton cell degradation and subsequent leaching can occur rapidly, on the scale of hours to days (Hansen et al., 1986). Previous studies have also similarly found that bloom degradation is associated with increases in dissolved organic matter and dissolved CO</w:t>
      </w:r>
      <w:r w:rsidRPr="001F05AA">
        <w:rPr>
          <w:rFonts w:eastAsia="Times New Roman"/>
          <w:color w:val="000000"/>
          <w:sz w:val="24"/>
          <w:szCs w:val="24"/>
          <w:vertAlign w:val="subscript"/>
        </w:rPr>
        <w:t>2</w:t>
      </w:r>
      <w:r w:rsidRPr="001F05AA">
        <w:rPr>
          <w:rFonts w:eastAsia="Times New Roman"/>
          <w:color w:val="000000"/>
          <w:sz w:val="24"/>
          <w:szCs w:val="24"/>
        </w:rPr>
        <w:t xml:space="preserve"> (</w:t>
      </w:r>
      <w:proofErr w:type="spellStart"/>
      <w:r w:rsidRPr="001F05AA">
        <w:rPr>
          <w:rFonts w:eastAsia="Times New Roman"/>
          <w:color w:val="000000"/>
          <w:sz w:val="24"/>
          <w:szCs w:val="24"/>
        </w:rPr>
        <w:t>Bartosiewicz</w:t>
      </w:r>
      <w:proofErr w:type="spellEnd"/>
      <w:r w:rsidRPr="001F05AA">
        <w:rPr>
          <w:rFonts w:eastAsia="Times New Roman"/>
          <w:color w:val="000000"/>
          <w:sz w:val="24"/>
          <w:szCs w:val="24"/>
        </w:rPr>
        <w:t xml:space="preserve"> et al., 2021; </w:t>
      </w:r>
      <w:proofErr w:type="spellStart"/>
      <w:r w:rsidRPr="001F05AA">
        <w:rPr>
          <w:rFonts w:eastAsia="Times New Roman"/>
          <w:color w:val="000000"/>
          <w:sz w:val="24"/>
          <w:szCs w:val="24"/>
        </w:rPr>
        <w:t>Søndergaard</w:t>
      </w:r>
      <w:proofErr w:type="spellEnd"/>
      <w:r w:rsidRPr="001F05AA">
        <w:rPr>
          <w:rFonts w:eastAsia="Times New Roman"/>
          <w:color w:val="000000"/>
          <w:sz w:val="24"/>
          <w:szCs w:val="24"/>
        </w:rPr>
        <w:t xml:space="preserve"> et al., 2000; Zhang et al., 2022), as well as mineralization of both N (Gardner et al., 2017; </w:t>
      </w:r>
      <w:proofErr w:type="spellStart"/>
      <w:r w:rsidRPr="001F05AA">
        <w:rPr>
          <w:rFonts w:eastAsia="Times New Roman"/>
          <w:color w:val="000000"/>
          <w:sz w:val="24"/>
          <w:szCs w:val="24"/>
        </w:rPr>
        <w:t>Tezuka</w:t>
      </w:r>
      <w:proofErr w:type="spellEnd"/>
      <w:r w:rsidRPr="001F05AA">
        <w:rPr>
          <w:rFonts w:eastAsia="Times New Roman"/>
          <w:color w:val="000000"/>
          <w:sz w:val="24"/>
          <w:szCs w:val="24"/>
        </w:rPr>
        <w:t xml:space="preserve">, 1986) and P (Carey et al., 2014; </w:t>
      </w:r>
      <w:proofErr w:type="spellStart"/>
      <w:r w:rsidRPr="001F05AA">
        <w:rPr>
          <w:rFonts w:eastAsia="Times New Roman"/>
          <w:color w:val="000000"/>
          <w:sz w:val="24"/>
          <w:szCs w:val="24"/>
        </w:rPr>
        <w:t>Hałemejko</w:t>
      </w:r>
      <w:proofErr w:type="spellEnd"/>
      <w:r w:rsidRPr="001F05AA">
        <w:rPr>
          <w:rFonts w:eastAsia="Times New Roman"/>
          <w:color w:val="000000"/>
          <w:sz w:val="24"/>
          <w:szCs w:val="24"/>
        </w:rPr>
        <w:t xml:space="preserve"> &amp; </w:t>
      </w:r>
      <w:proofErr w:type="spellStart"/>
      <w:r w:rsidRPr="001F05AA">
        <w:rPr>
          <w:rFonts w:eastAsia="Times New Roman"/>
          <w:color w:val="000000"/>
          <w:sz w:val="24"/>
          <w:szCs w:val="24"/>
        </w:rPr>
        <w:t>Chrost</w:t>
      </w:r>
      <w:proofErr w:type="spellEnd"/>
      <w:r w:rsidRPr="001F05AA">
        <w:rPr>
          <w:rFonts w:eastAsia="Times New Roman"/>
          <w:color w:val="000000"/>
          <w:sz w:val="24"/>
          <w:szCs w:val="24"/>
        </w:rPr>
        <w:t>, 1984). While we did not collect microbial community data, degradation of phytoplankton blooms is also associated with substantial changes in microbial community structure as microbes decompose senescing phytoplankton cells (</w:t>
      </w:r>
      <w:proofErr w:type="spellStart"/>
      <w:r w:rsidRPr="001F05AA">
        <w:rPr>
          <w:rFonts w:eastAsia="Times New Roman"/>
          <w:color w:val="000000"/>
          <w:sz w:val="24"/>
          <w:szCs w:val="24"/>
        </w:rPr>
        <w:t>Fukami</w:t>
      </w:r>
      <w:proofErr w:type="spellEnd"/>
      <w:r w:rsidRPr="001F05AA">
        <w:rPr>
          <w:rFonts w:eastAsia="Times New Roman"/>
          <w:color w:val="000000"/>
          <w:sz w:val="24"/>
          <w:szCs w:val="24"/>
        </w:rPr>
        <w:t xml:space="preserve"> et al., 1983; </w:t>
      </w:r>
      <w:proofErr w:type="spellStart"/>
      <w:r w:rsidRPr="001F05AA">
        <w:rPr>
          <w:rFonts w:eastAsia="Times New Roman"/>
          <w:color w:val="000000"/>
          <w:sz w:val="24"/>
          <w:szCs w:val="24"/>
        </w:rPr>
        <w:t>Grossart</w:t>
      </w:r>
      <w:proofErr w:type="spellEnd"/>
      <w:r w:rsidRPr="001F05AA">
        <w:rPr>
          <w:rFonts w:eastAsia="Times New Roman"/>
          <w:color w:val="000000"/>
          <w:sz w:val="24"/>
          <w:szCs w:val="24"/>
        </w:rPr>
        <w:t xml:space="preserve"> &amp; Simon, 1998). Finally, dense growth of phytoplankton cells in surface water during blooms can lead to increased light attenuation and, while not quantified in this study, heat absorption, both affecting the underwater light environment and potentially prolonging or stabilizing thermal stratification (</w:t>
      </w:r>
      <w:proofErr w:type="spellStart"/>
      <w:r w:rsidRPr="001F05AA">
        <w:rPr>
          <w:rFonts w:eastAsia="Times New Roman"/>
          <w:color w:val="000000"/>
          <w:sz w:val="24"/>
          <w:szCs w:val="24"/>
        </w:rPr>
        <w:t>Mesman</w:t>
      </w:r>
      <w:proofErr w:type="spellEnd"/>
      <w:r w:rsidRPr="001F05AA">
        <w:rPr>
          <w:rFonts w:eastAsia="Times New Roman"/>
          <w:color w:val="000000"/>
          <w:sz w:val="24"/>
          <w:szCs w:val="24"/>
        </w:rPr>
        <w:t xml:space="preserve"> et al., 2021; Robarts &amp; </w:t>
      </w:r>
      <w:proofErr w:type="spellStart"/>
      <w:r w:rsidRPr="001F05AA">
        <w:rPr>
          <w:rFonts w:eastAsia="Times New Roman"/>
          <w:color w:val="000000"/>
          <w:sz w:val="24"/>
          <w:szCs w:val="24"/>
        </w:rPr>
        <w:t>Zohary</w:t>
      </w:r>
      <w:proofErr w:type="spellEnd"/>
      <w:r w:rsidRPr="001F05AA">
        <w:rPr>
          <w:rFonts w:eastAsia="Times New Roman"/>
          <w:color w:val="000000"/>
          <w:sz w:val="24"/>
          <w:szCs w:val="24"/>
        </w:rPr>
        <w:t>, 1984; Zhang et al., 2022). In sum, our work highlights that phytoplankton blooms due to reservoir drawdowns are likely to have cascading effects on multiple aspects of reservoir ecosystem functioning.</w:t>
      </w:r>
    </w:p>
    <w:p w14:paraId="5501A74C"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r w:rsidRPr="001F05AA">
        <w:rPr>
          <w:rFonts w:eastAsia="Times New Roman"/>
          <w:color w:val="000000"/>
          <w:sz w:val="24"/>
          <w:szCs w:val="24"/>
        </w:rPr>
        <w:t>4.3 Decreases in surface DO caused by bloom degradation and epilimnetic water loss</w:t>
      </w:r>
    </w:p>
    <w:p w14:paraId="3B7BFD21"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Despite atmospheric exchange, surface DO concentrations decreased substantially following drawdown, which can have important consequences for higher trophic levels in the reservoir. The magnitude of decline in surface water DO observed in our study (41% saturation at 0.1 m depth) is remarkable in comparison to other drawdowns (Table S1). This decrease was likely mediated in part by high oxygen demand due to decomposition of the decaying phytoplankton bloom in surface water and oxidation of reduced solutes within the epilimnion (see Section 4.1.1). Additionally, loss of epilimnetic water volume during drawdown decreased the total epilimnetic oxygen mass amidst this high oxygen demand. Consequently, we anticipate that low DO saturation may be particularly pronounced during the 2022 drawdown in Beaverdam Reservoir (i.e., compared to other drawdowns) due to the synergistic effects of bloom degradation and epilimnetic water loss (Figures 3, 5, 7). While zooplankton and fish dynamics were not monitored in this study, the depth at which DO dropped below 3 mg/L (a threshold below which many fish and zooplankton taxa cannot survive; e.g., </w:t>
      </w:r>
      <w:proofErr w:type="spellStart"/>
      <w:r w:rsidRPr="001F05AA">
        <w:rPr>
          <w:rFonts w:eastAsia="Times New Roman"/>
          <w:color w:val="000000"/>
          <w:sz w:val="24"/>
          <w:szCs w:val="24"/>
        </w:rPr>
        <w:t>Missaghi</w:t>
      </w:r>
      <w:proofErr w:type="spellEnd"/>
      <w:r w:rsidRPr="001F05AA">
        <w:rPr>
          <w:rFonts w:eastAsia="Times New Roman"/>
          <w:color w:val="000000"/>
          <w:sz w:val="24"/>
          <w:szCs w:val="24"/>
        </w:rPr>
        <w:t xml:space="preserve"> et al., 2017; Stefan et al., 2001) was 3 m shallower in the drawdown year than the non-drawdown year, and the temperature at which DO crossed this threshold was 7.5 ºC higher in 2022 than 2021 (Figure S5). Combined, these factors could force fish and zooplankton to congregate within a shallower surface layer (McLaren et al., 2023), increase habitat overlap between zooplankton and predatory fish (Dillon et al., 2021), and/or potentially eliminate habitat for </w:t>
      </w:r>
      <w:proofErr w:type="spellStart"/>
      <w:r w:rsidRPr="001F05AA">
        <w:rPr>
          <w:rFonts w:eastAsia="Times New Roman"/>
          <w:color w:val="000000"/>
          <w:sz w:val="24"/>
          <w:szCs w:val="24"/>
        </w:rPr>
        <w:t>coldwater</w:t>
      </w:r>
      <w:proofErr w:type="spellEnd"/>
      <w:r w:rsidRPr="001F05AA">
        <w:rPr>
          <w:rFonts w:eastAsia="Times New Roman"/>
          <w:color w:val="000000"/>
          <w:sz w:val="24"/>
          <w:szCs w:val="24"/>
        </w:rPr>
        <w:t xml:space="preserve"> fish species (</w:t>
      </w:r>
      <w:proofErr w:type="spellStart"/>
      <w:r w:rsidRPr="001F05AA">
        <w:rPr>
          <w:rFonts w:eastAsia="Times New Roman"/>
          <w:color w:val="000000"/>
          <w:sz w:val="24"/>
          <w:szCs w:val="24"/>
        </w:rPr>
        <w:t>Missaghi</w:t>
      </w:r>
      <w:proofErr w:type="spellEnd"/>
      <w:r w:rsidRPr="001F05AA">
        <w:rPr>
          <w:rFonts w:eastAsia="Times New Roman"/>
          <w:color w:val="000000"/>
          <w:sz w:val="24"/>
          <w:szCs w:val="24"/>
        </w:rPr>
        <w:t xml:space="preserve"> et al., 2017; Stefan et al., 2001). </w:t>
      </w:r>
    </w:p>
    <w:p w14:paraId="1EAAB1C2"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Interactions of physical, chemical, and biological variables make changes in surface DO concentrations difficult to predict </w:t>
      </w:r>
      <w:r w:rsidRPr="001F05AA">
        <w:rPr>
          <w:rFonts w:eastAsia="Times New Roman"/>
          <w:i/>
          <w:color w:val="000000"/>
          <w:sz w:val="24"/>
          <w:szCs w:val="24"/>
        </w:rPr>
        <w:t>a priori</w:t>
      </w:r>
      <w:r w:rsidRPr="001F05AA">
        <w:rPr>
          <w:rFonts w:eastAsia="Times New Roman"/>
          <w:color w:val="000000"/>
          <w:sz w:val="24"/>
          <w:szCs w:val="24"/>
        </w:rPr>
        <w:t xml:space="preserve"> as an emergent response of drawdown. A synthesis of </w:t>
      </w:r>
      <w:r w:rsidRPr="001F05AA">
        <w:rPr>
          <w:rFonts w:eastAsia="Times New Roman"/>
          <w:color w:val="000000"/>
          <w:sz w:val="24"/>
          <w:szCs w:val="24"/>
        </w:rPr>
        <w:lastRenderedPageBreak/>
        <w:t>the previous literature on drawdowns (Table S1) indicates that surface DO can sometimes decrease (</w:t>
      </w:r>
      <w:proofErr w:type="spellStart"/>
      <w:r w:rsidRPr="001F05AA">
        <w:rPr>
          <w:rFonts w:eastAsia="Times New Roman"/>
          <w:color w:val="000000"/>
          <w:sz w:val="24"/>
          <w:szCs w:val="24"/>
        </w:rPr>
        <w:t>Benejam</w:t>
      </w:r>
      <w:proofErr w:type="spellEnd"/>
      <w:r w:rsidRPr="001F05AA">
        <w:rPr>
          <w:rFonts w:eastAsia="Times New Roman"/>
          <w:color w:val="000000"/>
          <w:sz w:val="24"/>
          <w:szCs w:val="24"/>
        </w:rPr>
        <w:t xml:space="preserve"> et al., 2008; </w:t>
      </w:r>
      <w:proofErr w:type="spellStart"/>
      <w:r w:rsidRPr="001F05AA">
        <w:rPr>
          <w:rFonts w:eastAsia="Times New Roman"/>
          <w:color w:val="000000"/>
          <w:sz w:val="24"/>
          <w:szCs w:val="24"/>
        </w:rPr>
        <w:t>Cott</w:t>
      </w:r>
      <w:proofErr w:type="spellEnd"/>
      <w:r w:rsidRPr="001F05AA">
        <w:rPr>
          <w:rFonts w:eastAsia="Times New Roman"/>
          <w:color w:val="000000"/>
          <w:sz w:val="24"/>
          <w:szCs w:val="24"/>
        </w:rPr>
        <w:t xml:space="preserve"> et al., 2008; DeBoer et al., 2016; </w:t>
      </w:r>
      <w:proofErr w:type="spellStart"/>
      <w:r w:rsidRPr="001F05AA">
        <w:rPr>
          <w:rFonts w:eastAsia="Times New Roman"/>
          <w:color w:val="000000"/>
          <w:sz w:val="24"/>
          <w:szCs w:val="24"/>
        </w:rPr>
        <w:t>Naselli</w:t>
      </w:r>
      <w:proofErr w:type="spellEnd"/>
      <w:r w:rsidRPr="001F05AA">
        <w:rPr>
          <w:rFonts w:eastAsia="Times New Roman"/>
          <w:color w:val="000000"/>
          <w:sz w:val="24"/>
          <w:szCs w:val="24"/>
        </w:rPr>
        <w:t xml:space="preserve">-Flores, 2003; Saber et al., 2020), increase (Sánchez-Carrillo et al., 2007; Yang et al., 2016), or exhibit no change during drawdown (Baldwin et al., 2008; </w:t>
      </w:r>
      <w:proofErr w:type="spellStart"/>
      <w:r w:rsidRPr="001F05AA">
        <w:rPr>
          <w:rFonts w:eastAsia="Times New Roman"/>
          <w:color w:val="000000"/>
          <w:sz w:val="24"/>
          <w:szCs w:val="24"/>
        </w:rPr>
        <w:t>Brasil</w:t>
      </w:r>
      <w:proofErr w:type="spellEnd"/>
      <w:r w:rsidRPr="001F05AA">
        <w:rPr>
          <w:rFonts w:eastAsia="Times New Roman"/>
          <w:color w:val="000000"/>
          <w:sz w:val="24"/>
          <w:szCs w:val="24"/>
        </w:rPr>
        <w:t xml:space="preserve"> et al., 2016; </w:t>
      </w:r>
      <w:proofErr w:type="spellStart"/>
      <w:r w:rsidRPr="001F05AA">
        <w:rPr>
          <w:rFonts w:eastAsia="Times New Roman"/>
          <w:color w:val="000000"/>
          <w:sz w:val="24"/>
          <w:szCs w:val="24"/>
        </w:rPr>
        <w:t>Geraldes</w:t>
      </w:r>
      <w:proofErr w:type="spellEnd"/>
      <w:r w:rsidRPr="001F05AA">
        <w:rPr>
          <w:rFonts w:eastAsia="Times New Roman"/>
          <w:color w:val="000000"/>
          <w:sz w:val="24"/>
          <w:szCs w:val="24"/>
        </w:rPr>
        <w:t xml:space="preserve"> &amp; </w:t>
      </w:r>
      <w:proofErr w:type="spellStart"/>
      <w:r w:rsidRPr="001F05AA">
        <w:rPr>
          <w:rFonts w:eastAsia="Times New Roman"/>
          <w:color w:val="000000"/>
          <w:sz w:val="24"/>
          <w:szCs w:val="24"/>
        </w:rPr>
        <w:t>Boavida</w:t>
      </w:r>
      <w:proofErr w:type="spellEnd"/>
      <w:r w:rsidRPr="001F05AA">
        <w:rPr>
          <w:rFonts w:eastAsia="Times New Roman"/>
          <w:color w:val="000000"/>
          <w:sz w:val="24"/>
          <w:szCs w:val="24"/>
        </w:rPr>
        <w:t xml:space="preserve">, 2005; </w:t>
      </w:r>
      <w:proofErr w:type="spellStart"/>
      <w:r w:rsidRPr="001F05AA">
        <w:rPr>
          <w:rFonts w:eastAsia="Times New Roman"/>
          <w:color w:val="000000"/>
          <w:sz w:val="24"/>
          <w:szCs w:val="24"/>
        </w:rPr>
        <w:t>Magbanua</w:t>
      </w:r>
      <w:proofErr w:type="spellEnd"/>
      <w:r w:rsidRPr="001F05AA">
        <w:rPr>
          <w:rFonts w:eastAsia="Times New Roman"/>
          <w:color w:val="000000"/>
          <w:sz w:val="24"/>
          <w:szCs w:val="24"/>
        </w:rPr>
        <w:t xml:space="preserve"> et al., 2015), with potential downstream effects (Hamilton et al. 2</w:t>
      </w:r>
      <w:r w:rsidRPr="001F05AA">
        <w:rPr>
          <w:sz w:val="24"/>
          <w:szCs w:val="24"/>
        </w:rPr>
        <w:t>022, Schenk and Bragg 2021)</w:t>
      </w:r>
      <w:r w:rsidRPr="001F05AA">
        <w:rPr>
          <w:rFonts w:eastAsia="Times New Roman"/>
          <w:color w:val="000000"/>
          <w:sz w:val="24"/>
          <w:szCs w:val="24"/>
        </w:rPr>
        <w:t>. In general, surface water DO declines are more frequently reported for management or experimental drawdowns and less frequently reported for natural drawdowns, potentially due to correlated increases in surface primary production during many natural drawdowns (Table S1). Consequently, our investigation of the effects of a management drawdown in Beaverdam Reservoir provides a useful case study highlighting the emergent effects of simultaneous changes in reservoir physics and biology driving DO dynamics in surface water.</w:t>
      </w:r>
    </w:p>
    <w:p w14:paraId="15721FFE"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r w:rsidRPr="001F05AA">
        <w:rPr>
          <w:rFonts w:eastAsia="Times New Roman"/>
          <w:color w:val="000000"/>
          <w:sz w:val="24"/>
          <w:szCs w:val="24"/>
        </w:rPr>
        <w:t>4.4 Strengths and limitations of whole-ecosystem drawdown experiment</w:t>
      </w:r>
    </w:p>
    <w:p w14:paraId="564215CF"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Our intensive monitoring before, during, and after the management-driven drawdown in Beaverdam Reservoir allowed us to identify potential effects of water level change on reservoir physics, chemistry, and biology. Importantly, the substantial changes we observed in water quality were not associated with corresponding increases in air temperature or decreases in precipitation, as is typical of drought-driven drawdowns (Table S1), helping us to isolate the impacts of water level separate from these other drivers. Still, this analysis is limited to one drawdown and one waterbody, limiting inference into how time of year, lake type (e.g., dimictic vs. polymictic, oligotrophic vs. eutrophic), or legacy effects of previous drawdowns may have altered the results observed here. Without detailed mechanistic modeling, we are unable to conclusively identify the mechanisms responsible for the changes observed in this study. Furthermore, our data colle</w:t>
      </w:r>
      <w:r w:rsidRPr="001F05AA">
        <w:rPr>
          <w:sz w:val="24"/>
          <w:szCs w:val="24"/>
        </w:rPr>
        <w:t xml:space="preserve">ction program precluded analysis of alternative drivers of change during drawdown, including changes in fish populations, littoral plants, and littoral macroinvertebrates (e.g., see White et al. 2011, White et al. 2010, </w:t>
      </w:r>
      <w:proofErr w:type="spellStart"/>
      <w:r w:rsidRPr="001F05AA">
        <w:rPr>
          <w:sz w:val="24"/>
          <w:szCs w:val="24"/>
        </w:rPr>
        <w:t>Leira</w:t>
      </w:r>
      <w:proofErr w:type="spellEnd"/>
      <w:r w:rsidRPr="001F05AA">
        <w:rPr>
          <w:sz w:val="24"/>
          <w:szCs w:val="24"/>
        </w:rPr>
        <w:t xml:space="preserve"> and </w:t>
      </w:r>
      <w:proofErr w:type="spellStart"/>
      <w:r w:rsidRPr="001F05AA">
        <w:rPr>
          <w:sz w:val="24"/>
          <w:szCs w:val="24"/>
        </w:rPr>
        <w:t>Cantonati</w:t>
      </w:r>
      <w:proofErr w:type="spellEnd"/>
      <w:r w:rsidRPr="001F05AA">
        <w:rPr>
          <w:sz w:val="24"/>
          <w:szCs w:val="24"/>
        </w:rPr>
        <w:t xml:space="preserve"> 2008, McLaren et al. 2023, Hirsch et al. 2016), motivating the need for future studies that include both intensive littoral and pelagic monitoring. Ultimately</w:t>
      </w:r>
      <w:r w:rsidRPr="001F05AA">
        <w:rPr>
          <w:rFonts w:eastAsia="Times New Roman"/>
          <w:color w:val="000000"/>
          <w:sz w:val="24"/>
          <w:szCs w:val="24"/>
        </w:rPr>
        <w:t>, the magnitude of change observed during Beaverdam’s drawdown relative to the previous non-drawdown year (e.g., phytoplankton concentrations 147% higher, NH</w:t>
      </w:r>
      <w:r w:rsidRPr="001F05AA">
        <w:rPr>
          <w:rFonts w:eastAsia="Times New Roman"/>
          <w:color w:val="000000"/>
          <w:sz w:val="24"/>
          <w:szCs w:val="24"/>
          <w:vertAlign w:val="subscript"/>
        </w:rPr>
        <w:t>4</w:t>
      </w:r>
      <w:r w:rsidRPr="001F05AA">
        <w:rPr>
          <w:rFonts w:eastAsia="Times New Roman"/>
          <w:color w:val="000000"/>
          <w:sz w:val="24"/>
          <w:szCs w:val="24"/>
          <w:vertAlign w:val="superscript"/>
        </w:rPr>
        <w:t>+</w:t>
      </w:r>
      <w:r w:rsidRPr="001F05AA">
        <w:rPr>
          <w:rFonts w:eastAsia="Times New Roman"/>
          <w:color w:val="000000"/>
          <w:sz w:val="24"/>
          <w:szCs w:val="24"/>
        </w:rPr>
        <w:t xml:space="preserve"> concentrations 2273% higher) and intuitive mechanistic connections between the variables of interest (e.g., a DOC increase coincident with bloom senescence) provide support for substantial drawdown-driven effects on reservoir physics, chemistry, and biology. </w:t>
      </w:r>
      <w:r w:rsidRPr="001F05AA">
        <w:rPr>
          <w:sz w:val="24"/>
          <w:szCs w:val="24"/>
        </w:rPr>
        <w:t>O</w:t>
      </w:r>
      <w:r w:rsidRPr="001F05AA">
        <w:rPr>
          <w:rFonts w:eastAsia="Times New Roman"/>
          <w:color w:val="000000"/>
          <w:sz w:val="24"/>
          <w:szCs w:val="24"/>
        </w:rPr>
        <w:t>ur work contributes to an emerging body of research on the effects of drawdowns (Table S1) and motivates additional research to characterize these events across a broader range of environmental conditions.</w:t>
      </w:r>
    </w:p>
    <w:p w14:paraId="404B8B6D" w14:textId="77777777" w:rsidR="0006118D" w:rsidRPr="001F05AA" w:rsidRDefault="00000000">
      <w:pPr>
        <w:keepNext/>
        <w:pBdr>
          <w:top w:val="nil"/>
          <w:left w:val="nil"/>
          <w:bottom w:val="nil"/>
          <w:right w:val="nil"/>
          <w:between w:val="nil"/>
        </w:pBdr>
        <w:spacing w:before="240" w:after="120"/>
        <w:ind w:left="720"/>
        <w:rPr>
          <w:rFonts w:eastAsia="Times New Roman"/>
          <w:color w:val="000000"/>
          <w:sz w:val="24"/>
          <w:szCs w:val="24"/>
        </w:rPr>
      </w:pPr>
      <w:r w:rsidRPr="001F05AA">
        <w:rPr>
          <w:rFonts w:eastAsia="Times New Roman"/>
          <w:color w:val="000000"/>
          <w:sz w:val="24"/>
          <w:szCs w:val="24"/>
        </w:rPr>
        <w:t xml:space="preserve">4.5 Emergent effects of drawdown vary among reservoirs and drawdowns </w:t>
      </w:r>
    </w:p>
    <w:p w14:paraId="2D30BDA6"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Altogether, our study highlights how the emergent effects of drawdown are likely influenced by characteristics of an individual waterbody. At Beaverdam Reservoir, drawdown was insufficient to allow light penetration to hypolimnetic sediment, likely due to the depth and turbidity of the reservoir. However, if sufficient amounts of light did reach the sediments, we may have observed warmed hypolimnetic water and increased benthic algae and/or macrophyte growth, with consequent increases in whole-ecosystem DO, rather than the observed decrease (Figure 1a). As a eutrophic reservoir, Beaverdam Reservoir already had high phytoplankton biomass and hypolimnetic nutrient concentrations, which likely contributed to the observed </w:t>
      </w:r>
      <w:r w:rsidRPr="001F05AA">
        <w:rPr>
          <w:rFonts w:eastAsia="Times New Roman"/>
          <w:color w:val="000000"/>
          <w:sz w:val="24"/>
          <w:szCs w:val="24"/>
        </w:rPr>
        <w:lastRenderedPageBreak/>
        <w:t>phytoplankton bloom that occurred during drawdown (Figure 1b). Similarly, presence of an anoxic hypolimnion likely played a role in increasing nutrient fluxes to surface water and decreasing surface DO concentrations following drawdown (Figure 2c). Altogether, our findings and the results of previous research (Table S1) suggest that the volume of water lost during drawdown, waterbody depth, clarity, outflow depth, and trophic state are likely all critical factors for predicting the emergent effects of drawdown.</w:t>
      </w:r>
    </w:p>
    <w:p w14:paraId="41E8561B"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Our results provide a useful complement to previous research by demonstrating how loss of epilimnetic water has the potential to substantially worsen, rather than improve, water quality in some reservoirs. Previous management-driven drawdowns have often improved water quality, as indicated by decreased phytoplankton biomass (</w:t>
      </w:r>
      <w:proofErr w:type="spellStart"/>
      <w:r w:rsidRPr="001F05AA">
        <w:rPr>
          <w:rFonts w:eastAsia="Times New Roman"/>
          <w:color w:val="000000"/>
          <w:sz w:val="24"/>
          <w:szCs w:val="24"/>
        </w:rPr>
        <w:t>Ejankowski</w:t>
      </w:r>
      <w:proofErr w:type="spellEnd"/>
      <w:r w:rsidRPr="001F05AA">
        <w:rPr>
          <w:rFonts w:eastAsia="Times New Roman"/>
          <w:color w:val="000000"/>
          <w:sz w:val="24"/>
          <w:szCs w:val="24"/>
        </w:rPr>
        <w:t xml:space="preserve"> &amp; Solis, 2015; </w:t>
      </w:r>
      <w:proofErr w:type="spellStart"/>
      <w:r w:rsidRPr="001F05AA">
        <w:rPr>
          <w:rFonts w:eastAsia="Times New Roman"/>
          <w:color w:val="000000"/>
          <w:sz w:val="24"/>
          <w:szCs w:val="24"/>
        </w:rPr>
        <w:t>Matsuzaki</w:t>
      </w:r>
      <w:proofErr w:type="spellEnd"/>
      <w:r w:rsidRPr="001F05AA">
        <w:rPr>
          <w:rFonts w:eastAsia="Times New Roman"/>
          <w:color w:val="000000"/>
          <w:sz w:val="24"/>
          <w:szCs w:val="24"/>
        </w:rPr>
        <w:t xml:space="preserve"> et al., 2023; Table S1), likely because these management interventions have removed hypolimnetic water, increased light penetration to sediments, or </w:t>
      </w:r>
      <w:proofErr w:type="spellStart"/>
      <w:r w:rsidRPr="001F05AA">
        <w:rPr>
          <w:rFonts w:eastAsia="Times New Roman"/>
          <w:color w:val="000000"/>
          <w:sz w:val="24"/>
          <w:szCs w:val="24"/>
        </w:rPr>
        <w:t>destratified</w:t>
      </w:r>
      <w:proofErr w:type="spellEnd"/>
      <w:r w:rsidRPr="001F05AA">
        <w:rPr>
          <w:rFonts w:eastAsia="Times New Roman"/>
          <w:color w:val="000000"/>
          <w:sz w:val="24"/>
          <w:szCs w:val="24"/>
        </w:rPr>
        <w:t xml:space="preserve"> the waterbody. Removal of hypolimnetic water releases nutrients from the ecosystem, and increased light penetration and destratification can increase DO concentrations in bottom waters, thereby reducing internal nutrient loads (e.g., </w:t>
      </w:r>
      <w:proofErr w:type="spellStart"/>
      <w:r w:rsidRPr="001F05AA">
        <w:rPr>
          <w:rFonts w:eastAsia="Times New Roman"/>
          <w:color w:val="000000"/>
          <w:sz w:val="24"/>
          <w:szCs w:val="24"/>
        </w:rPr>
        <w:t>Matsuzaki</w:t>
      </w:r>
      <w:proofErr w:type="spellEnd"/>
      <w:r w:rsidRPr="001F05AA">
        <w:rPr>
          <w:rFonts w:eastAsia="Times New Roman"/>
          <w:color w:val="000000"/>
          <w:sz w:val="24"/>
          <w:szCs w:val="24"/>
        </w:rPr>
        <w:t xml:space="preserve"> et al., 2023; Nürnberg, 2020). Conversely, removal of epilimnetic water at Beaverdam Reservoir increased the surface concentrations of nutrients, contributing to increased phytoplankton growth. As such, our results at Beaverdam Reservoir align more closely with the effects of seasonal or drought-induced drawdowns than management-driven or experimental drawdowns across the published literature. Seasonal and drought-induced drawdowns have often resulted in increased phytoplankton biomass and worsening water quality, though these effects have been difficult to disentangle from correlated seasonal changes in temperature and hydrology (Table S1). Importantly, as climate change and water management continue to increase the frequency and intensity of all types of drawdowns across lakes and reservoirs worldwide, our results highlight the importance of characterizing how drawdown can alter complex in-lake processes, thus affecting water quality.</w:t>
      </w:r>
    </w:p>
    <w:p w14:paraId="093C2A9F" w14:textId="77777777" w:rsidR="0006118D" w:rsidRPr="001F05AA" w:rsidRDefault="00000000">
      <w:pPr>
        <w:keepNext/>
        <w:pBdr>
          <w:top w:val="nil"/>
          <w:left w:val="nil"/>
          <w:bottom w:val="nil"/>
          <w:right w:val="nil"/>
          <w:between w:val="nil"/>
        </w:pBdr>
        <w:spacing w:before="240" w:after="120"/>
        <w:rPr>
          <w:rFonts w:eastAsia="Times New Roman"/>
          <w:b/>
          <w:color w:val="000000"/>
          <w:sz w:val="24"/>
          <w:szCs w:val="24"/>
        </w:rPr>
      </w:pPr>
      <w:r w:rsidRPr="001F05AA">
        <w:rPr>
          <w:rFonts w:eastAsia="Times New Roman"/>
          <w:b/>
          <w:color w:val="000000"/>
          <w:sz w:val="24"/>
          <w:szCs w:val="24"/>
        </w:rPr>
        <w:t>Acknowledgments</w:t>
      </w:r>
    </w:p>
    <w:p w14:paraId="643BBCF3"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Many thanks to the Western Virginia Water Authority (WVWA) for their long-term partnership in this research. We also thank the Virginia Tech Reservoir Group, particularly Whitney Woelmer, Nicholas Hammond, Cissy Ming, George Haynie, and Beckett Geisler, for their help with the reservoir monitoring underlying this analysis. Thanks to B. R. Niederlehner and Jeff Parks, who led chemical analyses for this project</w:t>
      </w:r>
      <w:r w:rsidRPr="001F05AA">
        <w:rPr>
          <w:sz w:val="24"/>
          <w:szCs w:val="24"/>
        </w:rPr>
        <w:t xml:space="preserve">, and thanks to David C. Richardson and two anonymous reviewers for comments that improved the manuscript. </w:t>
      </w:r>
      <w:r w:rsidRPr="001F05AA">
        <w:rPr>
          <w:rFonts w:eastAsia="Times New Roman"/>
          <w:color w:val="000000"/>
          <w:sz w:val="24"/>
          <w:szCs w:val="24"/>
        </w:rPr>
        <w:t xml:space="preserve">This work was </w:t>
      </w:r>
      <w:r w:rsidRPr="001F05AA">
        <w:rPr>
          <w:sz w:val="24"/>
          <w:szCs w:val="24"/>
        </w:rPr>
        <w:t>financially</w:t>
      </w:r>
      <w:r w:rsidRPr="001F05AA">
        <w:rPr>
          <w:rFonts w:eastAsia="Times New Roman"/>
          <w:color w:val="000000"/>
          <w:sz w:val="24"/>
          <w:szCs w:val="24"/>
        </w:rPr>
        <w:t xml:space="preserve"> supported by the United States National Science Foundation (NSF) grants 1753639, 1737424, 1933016, and 1926050; and was enabled by the Virginia Reservoirs LTREB Ecosystem Monitoring Program at Beaverdam Reservoir (</w:t>
      </w:r>
      <w:r w:rsidRPr="001F05AA">
        <w:rPr>
          <w:sz w:val="24"/>
          <w:szCs w:val="24"/>
        </w:rPr>
        <w:t>LTREB-2327030)</w:t>
      </w:r>
      <w:r w:rsidRPr="001F05AA">
        <w:rPr>
          <w:rFonts w:eastAsia="Times New Roman"/>
          <w:color w:val="000000"/>
          <w:sz w:val="24"/>
          <w:szCs w:val="24"/>
        </w:rPr>
        <w:t>. Additional support comes from the Institute of Critical Technology and Applied Science at Virginia Tech (ASL, CEW), the College of Science Roundtable at Virginia Tech (ASL), the NSF Graduate Research Fellowship program (DGE-1840995; ASL), and the Dean's Discovery Program in the Virginia Tech College of Science (MES, CCC). </w:t>
      </w:r>
    </w:p>
    <w:p w14:paraId="62CC900A" w14:textId="77777777" w:rsidR="0006118D" w:rsidRPr="001F05AA" w:rsidRDefault="00000000">
      <w:pPr>
        <w:keepNext/>
        <w:pBdr>
          <w:top w:val="nil"/>
          <w:left w:val="nil"/>
          <w:bottom w:val="nil"/>
          <w:right w:val="nil"/>
          <w:between w:val="nil"/>
        </w:pBdr>
        <w:spacing w:before="240" w:after="120"/>
        <w:rPr>
          <w:rFonts w:eastAsia="Times New Roman"/>
          <w:b/>
          <w:color w:val="000000"/>
          <w:sz w:val="24"/>
          <w:szCs w:val="24"/>
        </w:rPr>
      </w:pPr>
      <w:r w:rsidRPr="001F05AA">
        <w:rPr>
          <w:rFonts w:eastAsia="Times New Roman"/>
          <w:b/>
          <w:color w:val="000000"/>
          <w:sz w:val="24"/>
          <w:szCs w:val="24"/>
        </w:rPr>
        <w:t>Open Research</w:t>
      </w:r>
    </w:p>
    <w:p w14:paraId="5CBEC0B3" w14:textId="77777777" w:rsidR="0006118D" w:rsidRPr="001F05AA" w:rsidRDefault="00000000">
      <w:pPr>
        <w:pBdr>
          <w:top w:val="nil"/>
          <w:left w:val="nil"/>
          <w:bottom w:val="nil"/>
          <w:right w:val="nil"/>
          <w:between w:val="nil"/>
        </w:pBdr>
        <w:spacing w:before="120"/>
        <w:ind w:firstLine="720"/>
        <w:rPr>
          <w:rFonts w:eastAsia="Times New Roman"/>
          <w:color w:val="000000"/>
          <w:sz w:val="24"/>
          <w:szCs w:val="24"/>
        </w:rPr>
      </w:pPr>
      <w:r w:rsidRPr="001F05AA">
        <w:rPr>
          <w:rFonts w:eastAsia="Times New Roman"/>
          <w:color w:val="000000"/>
          <w:sz w:val="24"/>
          <w:szCs w:val="24"/>
        </w:rPr>
        <w:t xml:space="preserve">All data analyzed for this study are published in the Environmental Data Initiative repository (Carey et al., 2022b, 2023a, 2023b, 2023c, 2023d, 2023e; Carey &amp; </w:t>
      </w:r>
      <w:proofErr w:type="spellStart"/>
      <w:r w:rsidRPr="001F05AA">
        <w:rPr>
          <w:rFonts w:eastAsia="Times New Roman"/>
          <w:color w:val="000000"/>
          <w:sz w:val="24"/>
          <w:szCs w:val="24"/>
        </w:rPr>
        <w:t>Breef-Pilz</w:t>
      </w:r>
      <w:proofErr w:type="spellEnd"/>
      <w:r w:rsidRPr="001F05AA">
        <w:rPr>
          <w:rFonts w:eastAsia="Times New Roman"/>
          <w:color w:val="000000"/>
          <w:sz w:val="24"/>
          <w:szCs w:val="24"/>
        </w:rPr>
        <w:t xml:space="preserve">, 2023; </w:t>
      </w:r>
      <w:r w:rsidRPr="001F05AA">
        <w:rPr>
          <w:rFonts w:eastAsia="Times New Roman"/>
          <w:color w:val="000000"/>
          <w:sz w:val="24"/>
          <w:szCs w:val="24"/>
        </w:rPr>
        <w:lastRenderedPageBreak/>
        <w:t xml:space="preserve">Schreiber et al., 2023). Analysis code to reproduce the results in this manuscript is available in a </w:t>
      </w:r>
      <w:proofErr w:type="spellStart"/>
      <w:r w:rsidRPr="001F05AA">
        <w:rPr>
          <w:rFonts w:eastAsia="Times New Roman"/>
          <w:color w:val="000000"/>
          <w:sz w:val="24"/>
          <w:szCs w:val="24"/>
        </w:rPr>
        <w:t>Zenodo</w:t>
      </w:r>
      <w:proofErr w:type="spellEnd"/>
      <w:r w:rsidRPr="001F05AA">
        <w:rPr>
          <w:rFonts w:eastAsia="Times New Roman"/>
          <w:color w:val="000000"/>
          <w:sz w:val="24"/>
          <w:szCs w:val="24"/>
        </w:rPr>
        <w:t xml:space="preserve"> repository (Lewis et al., 202</w:t>
      </w:r>
      <w:r w:rsidRPr="001F05AA">
        <w:rPr>
          <w:sz w:val="24"/>
          <w:szCs w:val="24"/>
        </w:rPr>
        <w:t>4b</w:t>
      </w:r>
      <w:r w:rsidRPr="001F05AA">
        <w:rPr>
          <w:rFonts w:eastAsia="Times New Roman"/>
          <w:color w:val="000000"/>
          <w:sz w:val="24"/>
          <w:szCs w:val="24"/>
        </w:rPr>
        <w:t>).</w:t>
      </w:r>
    </w:p>
    <w:p w14:paraId="1CF3708A" w14:textId="77777777" w:rsidR="0006118D" w:rsidRPr="001F05AA" w:rsidRDefault="00000000">
      <w:pPr>
        <w:keepNext/>
        <w:pBdr>
          <w:top w:val="nil"/>
          <w:left w:val="nil"/>
          <w:bottom w:val="nil"/>
          <w:right w:val="nil"/>
          <w:between w:val="nil"/>
        </w:pBdr>
        <w:spacing w:before="240" w:after="120"/>
        <w:rPr>
          <w:rFonts w:eastAsia="Times New Roman"/>
          <w:b/>
          <w:color w:val="000000"/>
          <w:sz w:val="24"/>
          <w:szCs w:val="24"/>
        </w:rPr>
      </w:pPr>
      <w:r w:rsidRPr="001F05AA">
        <w:rPr>
          <w:rFonts w:eastAsia="Times New Roman"/>
          <w:b/>
          <w:color w:val="000000"/>
          <w:sz w:val="24"/>
          <w:szCs w:val="24"/>
        </w:rPr>
        <w:t>References</w:t>
      </w:r>
    </w:p>
    <w:p w14:paraId="42312BFC"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Alldredge</w:t>
      </w:r>
      <w:proofErr w:type="spellEnd"/>
      <w:r w:rsidRPr="001F05AA">
        <w:rPr>
          <w:rFonts w:eastAsia="Times New Roman"/>
          <w:color w:val="000000"/>
          <w:sz w:val="24"/>
          <w:szCs w:val="24"/>
        </w:rPr>
        <w:t xml:space="preserve">, A., Cowles, T., Macintyre, S., </w:t>
      </w:r>
      <w:proofErr w:type="spellStart"/>
      <w:r w:rsidRPr="001F05AA">
        <w:rPr>
          <w:rFonts w:eastAsia="Times New Roman"/>
          <w:color w:val="000000"/>
          <w:sz w:val="24"/>
          <w:szCs w:val="24"/>
        </w:rPr>
        <w:t>Rines</w:t>
      </w:r>
      <w:proofErr w:type="spellEnd"/>
      <w:r w:rsidRPr="001F05AA">
        <w:rPr>
          <w:rFonts w:eastAsia="Times New Roman"/>
          <w:color w:val="000000"/>
          <w:sz w:val="24"/>
          <w:szCs w:val="24"/>
        </w:rPr>
        <w:t xml:space="preserve">, J., </w:t>
      </w:r>
      <w:proofErr w:type="spellStart"/>
      <w:r w:rsidRPr="001F05AA">
        <w:rPr>
          <w:rFonts w:eastAsia="Times New Roman"/>
          <w:color w:val="000000"/>
          <w:sz w:val="24"/>
          <w:szCs w:val="24"/>
        </w:rPr>
        <w:t>Donaghay</w:t>
      </w:r>
      <w:proofErr w:type="spellEnd"/>
      <w:r w:rsidRPr="001F05AA">
        <w:rPr>
          <w:rFonts w:eastAsia="Times New Roman"/>
          <w:color w:val="000000"/>
          <w:sz w:val="24"/>
          <w:szCs w:val="24"/>
        </w:rPr>
        <w:t xml:space="preserve">, P., </w:t>
      </w:r>
      <w:proofErr w:type="spellStart"/>
      <w:r w:rsidRPr="001F05AA">
        <w:rPr>
          <w:rFonts w:eastAsia="Times New Roman"/>
          <w:color w:val="000000"/>
          <w:sz w:val="24"/>
          <w:szCs w:val="24"/>
        </w:rPr>
        <w:t>Greenlaw</w:t>
      </w:r>
      <w:proofErr w:type="spellEnd"/>
      <w:r w:rsidRPr="001F05AA">
        <w:rPr>
          <w:rFonts w:eastAsia="Times New Roman"/>
          <w:color w:val="000000"/>
          <w:sz w:val="24"/>
          <w:szCs w:val="24"/>
        </w:rPr>
        <w:t xml:space="preserve">, C., et al. (2002). Occurrence and mechanics of formation of a dramatic thin layer of marine snow in a shallow Pacific fjord. </w:t>
      </w:r>
      <w:r w:rsidRPr="001F05AA">
        <w:rPr>
          <w:rFonts w:eastAsia="Times New Roman"/>
          <w:i/>
          <w:color w:val="000000"/>
          <w:sz w:val="24"/>
          <w:szCs w:val="24"/>
        </w:rPr>
        <w:t>Marine Ecology-Progress Series</w:t>
      </w:r>
      <w:r w:rsidRPr="001F05AA">
        <w:rPr>
          <w:rFonts w:eastAsia="Times New Roman"/>
          <w:color w:val="000000"/>
          <w:sz w:val="24"/>
          <w:szCs w:val="24"/>
        </w:rPr>
        <w:t xml:space="preserve">, </w:t>
      </w:r>
      <w:r w:rsidRPr="001F05AA">
        <w:rPr>
          <w:rFonts w:eastAsia="Times New Roman"/>
          <w:i/>
          <w:color w:val="000000"/>
          <w:sz w:val="24"/>
          <w:szCs w:val="24"/>
        </w:rPr>
        <w:t>233</w:t>
      </w:r>
      <w:r w:rsidRPr="001F05AA">
        <w:rPr>
          <w:rFonts w:eastAsia="Times New Roman"/>
          <w:color w:val="000000"/>
          <w:sz w:val="24"/>
          <w:szCs w:val="24"/>
        </w:rPr>
        <w:t>, 1–12. https://doi.org/10.3354/meps233001</w:t>
      </w:r>
    </w:p>
    <w:p w14:paraId="737131D1"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Amani, M., von Schiller, D., Suárez, I., </w:t>
      </w:r>
      <w:proofErr w:type="spellStart"/>
      <w:r w:rsidRPr="001F05AA">
        <w:rPr>
          <w:rFonts w:eastAsia="Times New Roman"/>
          <w:color w:val="000000"/>
          <w:sz w:val="24"/>
          <w:szCs w:val="24"/>
        </w:rPr>
        <w:t>Atristain</w:t>
      </w:r>
      <w:proofErr w:type="spellEnd"/>
      <w:r w:rsidRPr="001F05AA">
        <w:rPr>
          <w:rFonts w:eastAsia="Times New Roman"/>
          <w:color w:val="000000"/>
          <w:sz w:val="24"/>
          <w:szCs w:val="24"/>
        </w:rPr>
        <w:t xml:space="preserve">, M., </w:t>
      </w:r>
      <w:proofErr w:type="spellStart"/>
      <w:r w:rsidRPr="001F05AA">
        <w:rPr>
          <w:rFonts w:eastAsia="Times New Roman"/>
          <w:color w:val="000000"/>
          <w:sz w:val="24"/>
          <w:szCs w:val="24"/>
        </w:rPr>
        <w:t>Elosegi</w:t>
      </w:r>
      <w:proofErr w:type="spellEnd"/>
      <w:r w:rsidRPr="001F05AA">
        <w:rPr>
          <w:rFonts w:eastAsia="Times New Roman"/>
          <w:color w:val="000000"/>
          <w:sz w:val="24"/>
          <w:szCs w:val="24"/>
        </w:rPr>
        <w:t xml:space="preserve">, A., </w:t>
      </w:r>
      <w:proofErr w:type="spellStart"/>
      <w:r w:rsidRPr="001F05AA">
        <w:rPr>
          <w:rFonts w:eastAsia="Times New Roman"/>
          <w:color w:val="000000"/>
          <w:sz w:val="24"/>
          <w:szCs w:val="24"/>
        </w:rPr>
        <w:t>Marcé</w:t>
      </w:r>
      <w:proofErr w:type="spellEnd"/>
      <w:r w:rsidRPr="001F05AA">
        <w:rPr>
          <w:rFonts w:eastAsia="Times New Roman"/>
          <w:color w:val="000000"/>
          <w:sz w:val="24"/>
          <w:szCs w:val="24"/>
        </w:rPr>
        <w:t xml:space="preserve">, R., et al. (2022). The drawdown phase of dam decommissioning is a hot moment of gaseous carbon emissions from a temperate reservoir. </w:t>
      </w:r>
      <w:r w:rsidRPr="001F05AA">
        <w:rPr>
          <w:rFonts w:eastAsia="Times New Roman"/>
          <w:i/>
          <w:color w:val="000000"/>
          <w:sz w:val="24"/>
          <w:szCs w:val="24"/>
        </w:rPr>
        <w:t>Inland Waters</w:t>
      </w:r>
      <w:r w:rsidRPr="001F05AA">
        <w:rPr>
          <w:rFonts w:eastAsia="Times New Roman"/>
          <w:color w:val="000000"/>
          <w:sz w:val="24"/>
          <w:szCs w:val="24"/>
        </w:rPr>
        <w:t xml:space="preserve">, </w:t>
      </w:r>
      <w:r w:rsidRPr="001F05AA">
        <w:rPr>
          <w:rFonts w:eastAsia="Times New Roman"/>
          <w:i/>
          <w:color w:val="000000"/>
          <w:sz w:val="24"/>
          <w:szCs w:val="24"/>
        </w:rPr>
        <w:t>12</w:t>
      </w:r>
      <w:r w:rsidRPr="001F05AA">
        <w:rPr>
          <w:rFonts w:eastAsia="Times New Roman"/>
          <w:color w:val="000000"/>
          <w:sz w:val="24"/>
          <w:szCs w:val="24"/>
        </w:rPr>
        <w:t>(4), 451–462. https://doi.org/10.1080/20442041.2022.2096977</w:t>
      </w:r>
    </w:p>
    <w:p w14:paraId="07DD10C8" w14:textId="562262DC" w:rsidR="00AB42CD" w:rsidRPr="00AB42CD" w:rsidRDefault="00AB42CD" w:rsidP="00AB42CD">
      <w:pPr>
        <w:pBdr>
          <w:top w:val="nil"/>
          <w:left w:val="nil"/>
          <w:bottom w:val="nil"/>
          <w:right w:val="nil"/>
          <w:between w:val="nil"/>
        </w:pBdr>
        <w:spacing w:before="120"/>
        <w:ind w:left="720" w:hanging="720"/>
        <w:rPr>
          <w:rFonts w:eastAsia="Times New Roman"/>
          <w:color w:val="000000"/>
          <w:sz w:val="24"/>
          <w:szCs w:val="24"/>
          <w:lang w:val="en-US"/>
        </w:rPr>
      </w:pPr>
      <w:proofErr w:type="spellStart"/>
      <w:r w:rsidRPr="00AB42CD">
        <w:rPr>
          <w:rFonts w:eastAsia="Times New Roman"/>
          <w:color w:val="000000"/>
          <w:sz w:val="24"/>
          <w:szCs w:val="24"/>
          <w:lang w:val="en-US"/>
        </w:rPr>
        <w:t>Arfi</w:t>
      </w:r>
      <w:proofErr w:type="spellEnd"/>
      <w:r w:rsidRPr="00AB42CD">
        <w:rPr>
          <w:rFonts w:eastAsia="Times New Roman"/>
          <w:color w:val="000000"/>
          <w:sz w:val="24"/>
          <w:szCs w:val="24"/>
          <w:lang w:val="en-US"/>
        </w:rPr>
        <w:t xml:space="preserve">, R. (2005). Seasonal ecological changes and water level variations in the </w:t>
      </w:r>
      <w:proofErr w:type="spellStart"/>
      <w:r w:rsidRPr="00AB42CD">
        <w:rPr>
          <w:rFonts w:eastAsia="Times New Roman"/>
          <w:color w:val="000000"/>
          <w:sz w:val="24"/>
          <w:szCs w:val="24"/>
          <w:lang w:val="en-US"/>
        </w:rPr>
        <w:t>Sélingué</w:t>
      </w:r>
      <w:proofErr w:type="spellEnd"/>
      <w:r w:rsidRPr="00AB42CD">
        <w:rPr>
          <w:rFonts w:eastAsia="Times New Roman"/>
          <w:color w:val="000000"/>
          <w:sz w:val="24"/>
          <w:szCs w:val="24"/>
          <w:lang w:val="en-US"/>
        </w:rPr>
        <w:t xml:space="preserve"> Reservoir (Mali, West Africa). </w:t>
      </w:r>
      <w:r w:rsidRPr="00AB42CD">
        <w:rPr>
          <w:rFonts w:eastAsia="Times New Roman"/>
          <w:i/>
          <w:iCs/>
          <w:color w:val="000000"/>
          <w:sz w:val="24"/>
          <w:szCs w:val="24"/>
          <w:lang w:val="en-US"/>
        </w:rPr>
        <w:t>Physics and Chemistry of the Earth, Parts A/B/C</w:t>
      </w:r>
      <w:r w:rsidRPr="00AB42CD">
        <w:rPr>
          <w:rFonts w:eastAsia="Times New Roman"/>
          <w:color w:val="000000"/>
          <w:sz w:val="24"/>
          <w:szCs w:val="24"/>
          <w:lang w:val="en-US"/>
        </w:rPr>
        <w:t xml:space="preserve">, </w:t>
      </w:r>
      <w:r w:rsidRPr="00AB42CD">
        <w:rPr>
          <w:rFonts w:eastAsia="Times New Roman"/>
          <w:i/>
          <w:iCs/>
          <w:color w:val="000000"/>
          <w:sz w:val="24"/>
          <w:szCs w:val="24"/>
          <w:lang w:val="en-US"/>
        </w:rPr>
        <w:t>30</w:t>
      </w:r>
      <w:r w:rsidRPr="00AB42CD">
        <w:rPr>
          <w:rFonts w:eastAsia="Times New Roman"/>
          <w:color w:val="000000"/>
          <w:sz w:val="24"/>
          <w:szCs w:val="24"/>
          <w:lang w:val="en-US"/>
        </w:rPr>
        <w:t>(6), 432–441. https://doi.org/10.1016/j.pce.2005.06.010</w:t>
      </w:r>
    </w:p>
    <w:p w14:paraId="589125DF" w14:textId="2D2BE42B" w:rsidR="0006118D" w:rsidRPr="001F05AA" w:rsidRDefault="00000000" w:rsidP="00726BCB">
      <w:pPr>
        <w:pBdr>
          <w:top w:val="nil"/>
          <w:left w:val="nil"/>
          <w:bottom w:val="nil"/>
          <w:right w:val="nil"/>
          <w:between w:val="nil"/>
        </w:pBdr>
        <w:spacing w:before="120"/>
        <w:ind w:left="720" w:hanging="720"/>
        <w:rPr>
          <w:sz w:val="24"/>
          <w:szCs w:val="24"/>
        </w:rPr>
      </w:pPr>
      <w:proofErr w:type="spellStart"/>
      <w:r w:rsidRPr="00726BCB">
        <w:rPr>
          <w:rFonts w:eastAsia="Times New Roman"/>
          <w:color w:val="000000"/>
          <w:sz w:val="24"/>
          <w:szCs w:val="24"/>
        </w:rPr>
        <w:t>Artime</w:t>
      </w:r>
      <w:proofErr w:type="spellEnd"/>
      <w:r w:rsidRPr="001F05AA">
        <w:rPr>
          <w:sz w:val="24"/>
          <w:szCs w:val="24"/>
        </w:rPr>
        <w:t>, O., &amp; De Domenico, M. (2022). From the origin of life to pandemics: emergent phenomena in complex systems. Philosophical Transactions of the Royal Society A: Mathematical, Physical and Engineering Sciences, 380(2227), 20200410. https://doi.org/10.1098/rsta.2020.0410</w:t>
      </w:r>
    </w:p>
    <w:p w14:paraId="5366BB18"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Baldwin, D. S., </w:t>
      </w:r>
      <w:proofErr w:type="spellStart"/>
      <w:r w:rsidRPr="001F05AA">
        <w:rPr>
          <w:rFonts w:eastAsia="Times New Roman"/>
          <w:color w:val="000000"/>
          <w:sz w:val="24"/>
          <w:szCs w:val="24"/>
        </w:rPr>
        <w:t>Gigney</w:t>
      </w:r>
      <w:proofErr w:type="spellEnd"/>
      <w:r w:rsidRPr="001F05AA">
        <w:rPr>
          <w:rFonts w:eastAsia="Times New Roman"/>
          <w:color w:val="000000"/>
          <w:sz w:val="24"/>
          <w:szCs w:val="24"/>
        </w:rPr>
        <w:t xml:space="preserve">, H., Wilson, J. S., Watson, G., &amp; Boulding, A. N. (2008). Drivers of water quality in a large water storage reservoir during a period of extreme drawdown. </w:t>
      </w:r>
      <w:r w:rsidRPr="001F05AA">
        <w:rPr>
          <w:rFonts w:eastAsia="Times New Roman"/>
          <w:i/>
          <w:color w:val="000000"/>
          <w:sz w:val="24"/>
          <w:szCs w:val="24"/>
        </w:rPr>
        <w:t>Water Research</w:t>
      </w:r>
      <w:r w:rsidRPr="001F05AA">
        <w:rPr>
          <w:rFonts w:eastAsia="Times New Roman"/>
          <w:color w:val="000000"/>
          <w:sz w:val="24"/>
          <w:szCs w:val="24"/>
        </w:rPr>
        <w:t xml:space="preserve">, </w:t>
      </w:r>
      <w:r w:rsidRPr="001F05AA">
        <w:rPr>
          <w:rFonts w:eastAsia="Times New Roman"/>
          <w:i/>
          <w:color w:val="000000"/>
          <w:sz w:val="24"/>
          <w:szCs w:val="24"/>
        </w:rPr>
        <w:t>42</w:t>
      </w:r>
      <w:r w:rsidRPr="001F05AA">
        <w:rPr>
          <w:rFonts w:eastAsia="Times New Roman"/>
          <w:color w:val="000000"/>
          <w:sz w:val="24"/>
          <w:szCs w:val="24"/>
        </w:rPr>
        <w:t>(19), 4711–4724. https://doi.org/10.1016/j.watres.2008.08.020</w:t>
      </w:r>
    </w:p>
    <w:p w14:paraId="272474D1"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Barbiero</w:t>
      </w:r>
      <w:proofErr w:type="spellEnd"/>
      <w:r w:rsidRPr="001F05AA">
        <w:rPr>
          <w:rFonts w:eastAsia="Times New Roman"/>
          <w:color w:val="000000"/>
          <w:sz w:val="24"/>
          <w:szCs w:val="24"/>
        </w:rPr>
        <w:t xml:space="preserve">, R. P., James, W. F., &amp; </w:t>
      </w:r>
      <w:proofErr w:type="spellStart"/>
      <w:r w:rsidRPr="001F05AA">
        <w:rPr>
          <w:rFonts w:eastAsia="Times New Roman"/>
          <w:color w:val="000000"/>
          <w:sz w:val="24"/>
          <w:szCs w:val="24"/>
        </w:rPr>
        <w:t>Barko</w:t>
      </w:r>
      <w:proofErr w:type="spellEnd"/>
      <w:r w:rsidRPr="001F05AA">
        <w:rPr>
          <w:rFonts w:eastAsia="Times New Roman"/>
          <w:color w:val="000000"/>
          <w:sz w:val="24"/>
          <w:szCs w:val="24"/>
        </w:rPr>
        <w:t xml:space="preserve">, J. W. (1997). The effects of a change in withdrawal operations on phytoplankton and nutrient dynamics in </w:t>
      </w:r>
      <w:proofErr w:type="spellStart"/>
      <w:r w:rsidRPr="001F05AA">
        <w:rPr>
          <w:rFonts w:eastAsia="Times New Roman"/>
          <w:color w:val="000000"/>
          <w:sz w:val="24"/>
          <w:szCs w:val="24"/>
        </w:rPr>
        <w:t>eau</w:t>
      </w:r>
      <w:proofErr w:type="spellEnd"/>
      <w:r w:rsidRPr="001F05AA">
        <w:rPr>
          <w:rFonts w:eastAsia="Times New Roman"/>
          <w:color w:val="000000"/>
          <w:sz w:val="24"/>
          <w:szCs w:val="24"/>
        </w:rPr>
        <w:t xml:space="preserve"> </w:t>
      </w:r>
      <w:proofErr w:type="spellStart"/>
      <w:r w:rsidRPr="001F05AA">
        <w:rPr>
          <w:rFonts w:eastAsia="Times New Roman"/>
          <w:color w:val="000000"/>
          <w:sz w:val="24"/>
          <w:szCs w:val="24"/>
        </w:rPr>
        <w:t>galle</w:t>
      </w:r>
      <w:proofErr w:type="spellEnd"/>
      <w:r w:rsidRPr="001F05AA">
        <w:rPr>
          <w:rFonts w:eastAsia="Times New Roman"/>
          <w:color w:val="000000"/>
          <w:sz w:val="24"/>
          <w:szCs w:val="24"/>
        </w:rPr>
        <w:t xml:space="preserve"> reservoir, Wisconsin (USA). </w:t>
      </w:r>
      <w:proofErr w:type="spellStart"/>
      <w:r w:rsidRPr="001F05AA">
        <w:rPr>
          <w:rFonts w:eastAsia="Times New Roman"/>
          <w:i/>
          <w:color w:val="000000"/>
          <w:sz w:val="24"/>
          <w:szCs w:val="24"/>
        </w:rPr>
        <w:t>Internationale</w:t>
      </w:r>
      <w:proofErr w:type="spellEnd"/>
      <w:r w:rsidRPr="001F05AA">
        <w:rPr>
          <w:rFonts w:eastAsia="Times New Roman"/>
          <w:i/>
          <w:color w:val="000000"/>
          <w:sz w:val="24"/>
          <w:szCs w:val="24"/>
        </w:rPr>
        <w:t xml:space="preserve"> Revue Der </w:t>
      </w:r>
      <w:proofErr w:type="spellStart"/>
      <w:r w:rsidRPr="001F05AA">
        <w:rPr>
          <w:rFonts w:eastAsia="Times New Roman"/>
          <w:i/>
          <w:color w:val="000000"/>
          <w:sz w:val="24"/>
          <w:szCs w:val="24"/>
        </w:rPr>
        <w:t>Gesamten</w:t>
      </w:r>
      <w:proofErr w:type="spellEnd"/>
      <w:r w:rsidRPr="001F05AA">
        <w:rPr>
          <w:rFonts w:eastAsia="Times New Roman"/>
          <w:i/>
          <w:color w:val="000000"/>
          <w:sz w:val="24"/>
          <w:szCs w:val="24"/>
        </w:rPr>
        <w:t xml:space="preserve"> </w:t>
      </w:r>
      <w:proofErr w:type="spellStart"/>
      <w:r w:rsidRPr="001F05AA">
        <w:rPr>
          <w:rFonts w:eastAsia="Times New Roman"/>
          <w:i/>
          <w:color w:val="000000"/>
          <w:sz w:val="24"/>
          <w:szCs w:val="24"/>
        </w:rPr>
        <w:t>Hydrobiologie</w:t>
      </w:r>
      <w:proofErr w:type="spellEnd"/>
      <w:r w:rsidRPr="001F05AA">
        <w:rPr>
          <w:rFonts w:eastAsia="Times New Roman"/>
          <w:i/>
          <w:color w:val="000000"/>
          <w:sz w:val="24"/>
          <w:szCs w:val="24"/>
        </w:rPr>
        <w:t xml:space="preserve"> Und </w:t>
      </w:r>
      <w:proofErr w:type="spellStart"/>
      <w:r w:rsidRPr="001F05AA">
        <w:rPr>
          <w:rFonts w:eastAsia="Times New Roman"/>
          <w:i/>
          <w:color w:val="000000"/>
          <w:sz w:val="24"/>
          <w:szCs w:val="24"/>
        </w:rPr>
        <w:t>Hydrographie</w:t>
      </w:r>
      <w:proofErr w:type="spellEnd"/>
      <w:r w:rsidRPr="001F05AA">
        <w:rPr>
          <w:rFonts w:eastAsia="Times New Roman"/>
          <w:color w:val="000000"/>
          <w:sz w:val="24"/>
          <w:szCs w:val="24"/>
        </w:rPr>
        <w:t xml:space="preserve">, </w:t>
      </w:r>
      <w:r w:rsidRPr="001F05AA">
        <w:rPr>
          <w:rFonts w:eastAsia="Times New Roman"/>
          <w:i/>
          <w:color w:val="000000"/>
          <w:sz w:val="24"/>
          <w:szCs w:val="24"/>
        </w:rPr>
        <w:t>82</w:t>
      </w:r>
      <w:r w:rsidRPr="001F05AA">
        <w:rPr>
          <w:rFonts w:eastAsia="Times New Roman"/>
          <w:color w:val="000000"/>
          <w:sz w:val="24"/>
          <w:szCs w:val="24"/>
        </w:rPr>
        <w:t>(4), 531–543. https://doi.org/10.1002/iroh.19970820410</w:t>
      </w:r>
    </w:p>
    <w:p w14:paraId="3CA23B63"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Barley, S. C., &amp; </w:t>
      </w:r>
      <w:proofErr w:type="spellStart"/>
      <w:r w:rsidRPr="001F05AA">
        <w:rPr>
          <w:rFonts w:eastAsia="Times New Roman"/>
          <w:color w:val="000000"/>
          <w:sz w:val="24"/>
          <w:szCs w:val="24"/>
        </w:rPr>
        <w:t>Meeuwig</w:t>
      </w:r>
      <w:proofErr w:type="spellEnd"/>
      <w:r w:rsidRPr="001F05AA">
        <w:rPr>
          <w:rFonts w:eastAsia="Times New Roman"/>
          <w:color w:val="000000"/>
          <w:sz w:val="24"/>
          <w:szCs w:val="24"/>
        </w:rPr>
        <w:t xml:space="preserve">, J. J. (2017). The Power and the Pitfalls of Large-scale, </w:t>
      </w:r>
      <w:proofErr w:type="spellStart"/>
      <w:r w:rsidRPr="001F05AA">
        <w:rPr>
          <w:rFonts w:eastAsia="Times New Roman"/>
          <w:color w:val="000000"/>
          <w:sz w:val="24"/>
          <w:szCs w:val="24"/>
        </w:rPr>
        <w:t>Unreplicated</w:t>
      </w:r>
      <w:proofErr w:type="spellEnd"/>
      <w:r w:rsidRPr="001F05AA">
        <w:rPr>
          <w:rFonts w:eastAsia="Times New Roman"/>
          <w:color w:val="000000"/>
          <w:sz w:val="24"/>
          <w:szCs w:val="24"/>
        </w:rPr>
        <w:t xml:space="preserve"> Natural Experiments. </w:t>
      </w:r>
      <w:r w:rsidRPr="001F05AA">
        <w:rPr>
          <w:rFonts w:eastAsia="Times New Roman"/>
          <w:i/>
          <w:color w:val="000000"/>
          <w:sz w:val="24"/>
          <w:szCs w:val="24"/>
        </w:rPr>
        <w:t>Ecosystems</w:t>
      </w:r>
      <w:r w:rsidRPr="001F05AA">
        <w:rPr>
          <w:rFonts w:eastAsia="Times New Roman"/>
          <w:color w:val="000000"/>
          <w:sz w:val="24"/>
          <w:szCs w:val="24"/>
        </w:rPr>
        <w:t xml:space="preserve">, </w:t>
      </w:r>
      <w:r w:rsidRPr="001F05AA">
        <w:rPr>
          <w:rFonts w:eastAsia="Times New Roman"/>
          <w:i/>
          <w:color w:val="000000"/>
          <w:sz w:val="24"/>
          <w:szCs w:val="24"/>
        </w:rPr>
        <w:t>20</w:t>
      </w:r>
      <w:r w:rsidRPr="001F05AA">
        <w:rPr>
          <w:rFonts w:eastAsia="Times New Roman"/>
          <w:color w:val="000000"/>
          <w:sz w:val="24"/>
          <w:szCs w:val="24"/>
        </w:rPr>
        <w:t>(2), 331–339. https://doi.org/10.1007/s10021-016-0028-5</w:t>
      </w:r>
    </w:p>
    <w:p w14:paraId="36CD070D"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Bartosiewicz</w:t>
      </w:r>
      <w:proofErr w:type="spellEnd"/>
      <w:r w:rsidRPr="001F05AA">
        <w:rPr>
          <w:rFonts w:eastAsia="Times New Roman"/>
          <w:color w:val="000000"/>
          <w:sz w:val="24"/>
          <w:szCs w:val="24"/>
        </w:rPr>
        <w:t xml:space="preserve">, M., </w:t>
      </w:r>
      <w:proofErr w:type="spellStart"/>
      <w:r w:rsidRPr="001F05AA">
        <w:rPr>
          <w:rFonts w:eastAsia="Times New Roman"/>
          <w:color w:val="000000"/>
          <w:sz w:val="24"/>
          <w:szCs w:val="24"/>
        </w:rPr>
        <w:t>Maranger</w:t>
      </w:r>
      <w:proofErr w:type="spellEnd"/>
      <w:r w:rsidRPr="001F05AA">
        <w:rPr>
          <w:rFonts w:eastAsia="Times New Roman"/>
          <w:color w:val="000000"/>
          <w:sz w:val="24"/>
          <w:szCs w:val="24"/>
        </w:rPr>
        <w:t xml:space="preserve">, R., </w:t>
      </w:r>
      <w:proofErr w:type="spellStart"/>
      <w:r w:rsidRPr="001F05AA">
        <w:rPr>
          <w:rFonts w:eastAsia="Times New Roman"/>
          <w:color w:val="000000"/>
          <w:sz w:val="24"/>
          <w:szCs w:val="24"/>
        </w:rPr>
        <w:t>Przytulska</w:t>
      </w:r>
      <w:proofErr w:type="spellEnd"/>
      <w:r w:rsidRPr="001F05AA">
        <w:rPr>
          <w:rFonts w:eastAsia="Times New Roman"/>
          <w:color w:val="000000"/>
          <w:sz w:val="24"/>
          <w:szCs w:val="24"/>
        </w:rPr>
        <w:t xml:space="preserve">, A., &amp; </w:t>
      </w:r>
      <w:proofErr w:type="spellStart"/>
      <w:r w:rsidRPr="001F05AA">
        <w:rPr>
          <w:rFonts w:eastAsia="Times New Roman"/>
          <w:color w:val="000000"/>
          <w:sz w:val="24"/>
          <w:szCs w:val="24"/>
        </w:rPr>
        <w:t>Laurion</w:t>
      </w:r>
      <w:proofErr w:type="spellEnd"/>
      <w:r w:rsidRPr="001F05AA">
        <w:rPr>
          <w:rFonts w:eastAsia="Times New Roman"/>
          <w:color w:val="000000"/>
          <w:sz w:val="24"/>
          <w:szCs w:val="24"/>
        </w:rPr>
        <w:t xml:space="preserve">, I. (2021). Effects of phytoplankton blooms on fluxes and emissions of greenhouse gases in a eutrophic lake. </w:t>
      </w:r>
      <w:r w:rsidRPr="001F05AA">
        <w:rPr>
          <w:rFonts w:eastAsia="Times New Roman"/>
          <w:i/>
          <w:color w:val="000000"/>
          <w:sz w:val="24"/>
          <w:szCs w:val="24"/>
        </w:rPr>
        <w:t>Water Research</w:t>
      </w:r>
      <w:r w:rsidRPr="001F05AA">
        <w:rPr>
          <w:rFonts w:eastAsia="Times New Roman"/>
          <w:color w:val="000000"/>
          <w:sz w:val="24"/>
          <w:szCs w:val="24"/>
        </w:rPr>
        <w:t xml:space="preserve">, </w:t>
      </w:r>
      <w:r w:rsidRPr="001F05AA">
        <w:rPr>
          <w:rFonts w:eastAsia="Times New Roman"/>
          <w:i/>
          <w:color w:val="000000"/>
          <w:sz w:val="24"/>
          <w:szCs w:val="24"/>
        </w:rPr>
        <w:t>196</w:t>
      </w:r>
      <w:r w:rsidRPr="001F05AA">
        <w:rPr>
          <w:rFonts w:eastAsia="Times New Roman"/>
          <w:color w:val="000000"/>
          <w:sz w:val="24"/>
          <w:szCs w:val="24"/>
        </w:rPr>
        <w:t>, 116985. https://doi.org/10.1016/j.watres.2021.116985</w:t>
      </w:r>
    </w:p>
    <w:p w14:paraId="72945F80"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Beaulieu, J. J., </w:t>
      </w:r>
      <w:proofErr w:type="spellStart"/>
      <w:r w:rsidRPr="001F05AA">
        <w:rPr>
          <w:rFonts w:eastAsia="Times New Roman"/>
          <w:color w:val="000000"/>
          <w:sz w:val="24"/>
          <w:szCs w:val="24"/>
        </w:rPr>
        <w:t>Balz</w:t>
      </w:r>
      <w:proofErr w:type="spellEnd"/>
      <w:r w:rsidRPr="001F05AA">
        <w:rPr>
          <w:rFonts w:eastAsia="Times New Roman"/>
          <w:color w:val="000000"/>
          <w:sz w:val="24"/>
          <w:szCs w:val="24"/>
        </w:rPr>
        <w:t xml:space="preserve">, D. A., Birchfield, M. K., Harrison, J. A., </w:t>
      </w:r>
      <w:proofErr w:type="spellStart"/>
      <w:r w:rsidRPr="001F05AA">
        <w:rPr>
          <w:rFonts w:eastAsia="Times New Roman"/>
          <w:color w:val="000000"/>
          <w:sz w:val="24"/>
          <w:szCs w:val="24"/>
        </w:rPr>
        <w:t>Nietch</w:t>
      </w:r>
      <w:proofErr w:type="spellEnd"/>
      <w:r w:rsidRPr="001F05AA">
        <w:rPr>
          <w:rFonts w:eastAsia="Times New Roman"/>
          <w:color w:val="000000"/>
          <w:sz w:val="24"/>
          <w:szCs w:val="24"/>
        </w:rPr>
        <w:t xml:space="preserve">, C. T., Platz, M. C., et al. (2018). Effects of an Experimental Water-level Drawdown on Methane Emissions from a Eutrophic Reservoir. </w:t>
      </w:r>
      <w:r w:rsidRPr="001F05AA">
        <w:rPr>
          <w:rFonts w:eastAsia="Times New Roman"/>
          <w:i/>
          <w:color w:val="000000"/>
          <w:sz w:val="24"/>
          <w:szCs w:val="24"/>
        </w:rPr>
        <w:t>Ecosystems</w:t>
      </w:r>
      <w:r w:rsidRPr="001F05AA">
        <w:rPr>
          <w:rFonts w:eastAsia="Times New Roman"/>
          <w:color w:val="000000"/>
          <w:sz w:val="24"/>
          <w:szCs w:val="24"/>
        </w:rPr>
        <w:t xml:space="preserve">, </w:t>
      </w:r>
      <w:r w:rsidRPr="001F05AA">
        <w:rPr>
          <w:rFonts w:eastAsia="Times New Roman"/>
          <w:i/>
          <w:color w:val="000000"/>
          <w:sz w:val="24"/>
          <w:szCs w:val="24"/>
        </w:rPr>
        <w:t>21</w:t>
      </w:r>
      <w:r w:rsidRPr="001F05AA">
        <w:rPr>
          <w:rFonts w:eastAsia="Times New Roman"/>
          <w:color w:val="000000"/>
          <w:sz w:val="24"/>
          <w:szCs w:val="24"/>
        </w:rPr>
        <w:t>(4), 657–674. https://doi.org/10.1007/s10021-017-0176-2</w:t>
      </w:r>
    </w:p>
    <w:p w14:paraId="4120B347"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Benejam</w:t>
      </w:r>
      <w:proofErr w:type="spellEnd"/>
      <w:r w:rsidRPr="001F05AA">
        <w:rPr>
          <w:rFonts w:eastAsia="Times New Roman"/>
          <w:color w:val="000000"/>
          <w:sz w:val="24"/>
          <w:szCs w:val="24"/>
        </w:rPr>
        <w:t xml:space="preserve">, L., Benito, J., </w:t>
      </w:r>
      <w:proofErr w:type="spellStart"/>
      <w:r w:rsidRPr="001F05AA">
        <w:rPr>
          <w:rFonts w:eastAsia="Times New Roman"/>
          <w:color w:val="000000"/>
          <w:sz w:val="24"/>
          <w:szCs w:val="24"/>
        </w:rPr>
        <w:t>Ordóñez</w:t>
      </w:r>
      <w:proofErr w:type="spellEnd"/>
      <w:r w:rsidRPr="001F05AA">
        <w:rPr>
          <w:rFonts w:eastAsia="Times New Roman"/>
          <w:color w:val="000000"/>
          <w:sz w:val="24"/>
          <w:szCs w:val="24"/>
        </w:rPr>
        <w:t xml:space="preserve">, J., </w:t>
      </w:r>
      <w:proofErr w:type="spellStart"/>
      <w:r w:rsidRPr="001F05AA">
        <w:rPr>
          <w:rFonts w:eastAsia="Times New Roman"/>
          <w:color w:val="000000"/>
          <w:sz w:val="24"/>
          <w:szCs w:val="24"/>
        </w:rPr>
        <w:t>Armengol</w:t>
      </w:r>
      <w:proofErr w:type="spellEnd"/>
      <w:r w:rsidRPr="001F05AA">
        <w:rPr>
          <w:rFonts w:eastAsia="Times New Roman"/>
          <w:color w:val="000000"/>
          <w:sz w:val="24"/>
          <w:szCs w:val="24"/>
        </w:rPr>
        <w:t>, J., &amp; García-</w:t>
      </w:r>
      <w:proofErr w:type="spellStart"/>
      <w:r w:rsidRPr="001F05AA">
        <w:rPr>
          <w:rFonts w:eastAsia="Times New Roman"/>
          <w:color w:val="000000"/>
          <w:sz w:val="24"/>
          <w:szCs w:val="24"/>
        </w:rPr>
        <w:t>Berthou</w:t>
      </w:r>
      <w:proofErr w:type="spellEnd"/>
      <w:r w:rsidRPr="001F05AA">
        <w:rPr>
          <w:rFonts w:eastAsia="Times New Roman"/>
          <w:color w:val="000000"/>
          <w:sz w:val="24"/>
          <w:szCs w:val="24"/>
        </w:rPr>
        <w:t xml:space="preserve">, E. (2008). Short-term Effects of a Partial Drawdown on Fish Condition in a Eutrophic Reservoir. </w:t>
      </w:r>
      <w:r w:rsidRPr="001F05AA">
        <w:rPr>
          <w:rFonts w:eastAsia="Times New Roman"/>
          <w:i/>
          <w:color w:val="000000"/>
          <w:sz w:val="24"/>
          <w:szCs w:val="24"/>
        </w:rPr>
        <w:t>Water, Air, and Soil Pollution</w:t>
      </w:r>
      <w:r w:rsidRPr="001F05AA">
        <w:rPr>
          <w:rFonts w:eastAsia="Times New Roman"/>
          <w:color w:val="000000"/>
          <w:sz w:val="24"/>
          <w:szCs w:val="24"/>
        </w:rPr>
        <w:t xml:space="preserve">, </w:t>
      </w:r>
      <w:r w:rsidRPr="001F05AA">
        <w:rPr>
          <w:rFonts w:eastAsia="Times New Roman"/>
          <w:i/>
          <w:color w:val="000000"/>
          <w:sz w:val="24"/>
          <w:szCs w:val="24"/>
        </w:rPr>
        <w:t>190</w:t>
      </w:r>
      <w:r w:rsidRPr="001F05AA">
        <w:rPr>
          <w:rFonts w:eastAsia="Times New Roman"/>
          <w:color w:val="000000"/>
          <w:sz w:val="24"/>
          <w:szCs w:val="24"/>
        </w:rPr>
        <w:t>(1), 3–11. https://doi.org/10.1007/s11270-007-9574-y</w:t>
      </w:r>
    </w:p>
    <w:p w14:paraId="1E8A7559"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Beutler</w:t>
      </w:r>
      <w:proofErr w:type="spellEnd"/>
      <w:r w:rsidRPr="001F05AA">
        <w:rPr>
          <w:rFonts w:eastAsia="Times New Roman"/>
          <w:color w:val="000000"/>
          <w:sz w:val="24"/>
          <w:szCs w:val="24"/>
        </w:rPr>
        <w:t xml:space="preserve">, M., Wiltshire, K. H., Meyer, B., </w:t>
      </w:r>
      <w:proofErr w:type="spellStart"/>
      <w:r w:rsidRPr="001F05AA">
        <w:rPr>
          <w:rFonts w:eastAsia="Times New Roman"/>
          <w:color w:val="000000"/>
          <w:sz w:val="24"/>
          <w:szCs w:val="24"/>
        </w:rPr>
        <w:t>Moldaenke</w:t>
      </w:r>
      <w:proofErr w:type="spellEnd"/>
      <w:r w:rsidRPr="001F05AA">
        <w:rPr>
          <w:rFonts w:eastAsia="Times New Roman"/>
          <w:color w:val="000000"/>
          <w:sz w:val="24"/>
          <w:szCs w:val="24"/>
        </w:rPr>
        <w:t xml:space="preserve">, C., </w:t>
      </w:r>
      <w:proofErr w:type="spellStart"/>
      <w:r w:rsidRPr="001F05AA">
        <w:rPr>
          <w:rFonts w:eastAsia="Times New Roman"/>
          <w:color w:val="000000"/>
          <w:sz w:val="24"/>
          <w:szCs w:val="24"/>
        </w:rPr>
        <w:t>Lüring</w:t>
      </w:r>
      <w:proofErr w:type="spellEnd"/>
      <w:r w:rsidRPr="001F05AA">
        <w:rPr>
          <w:rFonts w:eastAsia="Times New Roman"/>
          <w:color w:val="000000"/>
          <w:sz w:val="24"/>
          <w:szCs w:val="24"/>
        </w:rPr>
        <w:t xml:space="preserve">, C., </w:t>
      </w:r>
      <w:proofErr w:type="spellStart"/>
      <w:r w:rsidRPr="001F05AA">
        <w:rPr>
          <w:rFonts w:eastAsia="Times New Roman"/>
          <w:color w:val="000000"/>
          <w:sz w:val="24"/>
          <w:szCs w:val="24"/>
        </w:rPr>
        <w:t>Meyerhöfer</w:t>
      </w:r>
      <w:proofErr w:type="spellEnd"/>
      <w:r w:rsidRPr="001F05AA">
        <w:rPr>
          <w:rFonts w:eastAsia="Times New Roman"/>
          <w:color w:val="000000"/>
          <w:sz w:val="24"/>
          <w:szCs w:val="24"/>
        </w:rPr>
        <w:t xml:space="preserve">, M., et al. (2002). A fluorometric method for the differentiation of algal populations in vivo and in situ. </w:t>
      </w:r>
      <w:r w:rsidRPr="001F05AA">
        <w:rPr>
          <w:rFonts w:eastAsia="Times New Roman"/>
          <w:i/>
          <w:color w:val="000000"/>
          <w:sz w:val="24"/>
          <w:szCs w:val="24"/>
        </w:rPr>
        <w:t>Photosynthesis Research</w:t>
      </w:r>
      <w:r w:rsidRPr="001F05AA">
        <w:rPr>
          <w:rFonts w:eastAsia="Times New Roman"/>
          <w:color w:val="000000"/>
          <w:sz w:val="24"/>
          <w:szCs w:val="24"/>
        </w:rPr>
        <w:t xml:space="preserve">, </w:t>
      </w:r>
      <w:r w:rsidRPr="001F05AA">
        <w:rPr>
          <w:rFonts w:eastAsia="Times New Roman"/>
          <w:i/>
          <w:color w:val="000000"/>
          <w:sz w:val="24"/>
          <w:szCs w:val="24"/>
        </w:rPr>
        <w:t>72</w:t>
      </w:r>
      <w:r w:rsidRPr="001F05AA">
        <w:rPr>
          <w:rFonts w:eastAsia="Times New Roman"/>
          <w:color w:val="000000"/>
          <w:sz w:val="24"/>
          <w:szCs w:val="24"/>
        </w:rPr>
        <w:t>(1), 39–53. https://doi.org/10.1023/A:1016026607048</w:t>
      </w:r>
    </w:p>
    <w:p w14:paraId="40C4A6E8"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lastRenderedPageBreak/>
        <w:t>Brasil</w:t>
      </w:r>
      <w:proofErr w:type="spellEnd"/>
      <w:r w:rsidRPr="001F05AA">
        <w:rPr>
          <w:rFonts w:eastAsia="Times New Roman"/>
          <w:color w:val="000000"/>
          <w:sz w:val="24"/>
          <w:szCs w:val="24"/>
        </w:rPr>
        <w:t xml:space="preserve">, J., </w:t>
      </w:r>
      <w:proofErr w:type="spellStart"/>
      <w:r w:rsidRPr="001F05AA">
        <w:rPr>
          <w:rFonts w:eastAsia="Times New Roman"/>
          <w:color w:val="000000"/>
          <w:sz w:val="24"/>
          <w:szCs w:val="24"/>
        </w:rPr>
        <w:t>Attayde</w:t>
      </w:r>
      <w:proofErr w:type="spellEnd"/>
      <w:r w:rsidRPr="001F05AA">
        <w:rPr>
          <w:rFonts w:eastAsia="Times New Roman"/>
          <w:color w:val="000000"/>
          <w:sz w:val="24"/>
          <w:szCs w:val="24"/>
        </w:rPr>
        <w:t xml:space="preserve">, J. L., Vasconcelos, F. R., </w:t>
      </w:r>
      <w:proofErr w:type="spellStart"/>
      <w:r w:rsidRPr="001F05AA">
        <w:rPr>
          <w:rFonts w:eastAsia="Times New Roman"/>
          <w:color w:val="000000"/>
          <w:sz w:val="24"/>
          <w:szCs w:val="24"/>
        </w:rPr>
        <w:t>Dantas</w:t>
      </w:r>
      <w:proofErr w:type="spellEnd"/>
      <w:r w:rsidRPr="001F05AA">
        <w:rPr>
          <w:rFonts w:eastAsia="Times New Roman"/>
          <w:color w:val="000000"/>
          <w:sz w:val="24"/>
          <w:szCs w:val="24"/>
        </w:rPr>
        <w:t xml:space="preserve">, D. D. F., &amp; </w:t>
      </w:r>
      <w:proofErr w:type="spellStart"/>
      <w:r w:rsidRPr="001F05AA">
        <w:rPr>
          <w:rFonts w:eastAsia="Times New Roman"/>
          <w:color w:val="000000"/>
          <w:sz w:val="24"/>
          <w:szCs w:val="24"/>
        </w:rPr>
        <w:t>Huszar</w:t>
      </w:r>
      <w:proofErr w:type="spellEnd"/>
      <w:r w:rsidRPr="001F05AA">
        <w:rPr>
          <w:rFonts w:eastAsia="Times New Roman"/>
          <w:color w:val="000000"/>
          <w:sz w:val="24"/>
          <w:szCs w:val="24"/>
        </w:rPr>
        <w:t xml:space="preserve">, V. L. M. (2016). Drought-induced water-level reduction favors cyanobacteria blooms in tropical shallow lakes. </w:t>
      </w:r>
      <w:proofErr w:type="spellStart"/>
      <w:r w:rsidRPr="001F05AA">
        <w:rPr>
          <w:rFonts w:eastAsia="Times New Roman"/>
          <w:i/>
          <w:color w:val="000000"/>
          <w:sz w:val="24"/>
          <w:szCs w:val="24"/>
        </w:rPr>
        <w:t>Hydrobiologia</w:t>
      </w:r>
      <w:proofErr w:type="spellEnd"/>
      <w:r w:rsidRPr="001F05AA">
        <w:rPr>
          <w:rFonts w:eastAsia="Times New Roman"/>
          <w:color w:val="000000"/>
          <w:sz w:val="24"/>
          <w:szCs w:val="24"/>
        </w:rPr>
        <w:t xml:space="preserve">, </w:t>
      </w:r>
      <w:r w:rsidRPr="001F05AA">
        <w:rPr>
          <w:rFonts w:eastAsia="Times New Roman"/>
          <w:i/>
          <w:color w:val="000000"/>
          <w:sz w:val="24"/>
          <w:szCs w:val="24"/>
        </w:rPr>
        <w:t>770</w:t>
      </w:r>
      <w:r w:rsidRPr="001F05AA">
        <w:rPr>
          <w:rFonts w:eastAsia="Times New Roman"/>
          <w:color w:val="000000"/>
          <w:sz w:val="24"/>
          <w:szCs w:val="24"/>
        </w:rPr>
        <w:t>(1), 145–164. https://doi.org/10.1007/s10750-015-2578-5</w:t>
      </w:r>
    </w:p>
    <w:p w14:paraId="5343E85F"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Brenton, R. W., &amp; Arnett, T. L. (1993). </w:t>
      </w:r>
      <w:r w:rsidRPr="001F05AA">
        <w:rPr>
          <w:rFonts w:eastAsia="Times New Roman"/>
          <w:i/>
          <w:color w:val="000000"/>
          <w:sz w:val="24"/>
          <w:szCs w:val="24"/>
        </w:rPr>
        <w:t>Methods of analysis by the U.S. Geological Survey National Water Quality Laboratory-Determination of dissolved organic carbon by UV-promoted persulfate oxidation and infrared spectrometry</w:t>
      </w:r>
      <w:r w:rsidRPr="001F05AA">
        <w:rPr>
          <w:rFonts w:eastAsia="Times New Roman"/>
          <w:color w:val="000000"/>
          <w:sz w:val="24"/>
          <w:szCs w:val="24"/>
        </w:rPr>
        <w:t xml:space="preserve"> (USGS Numbered Series No. 92–480). U.S. Geological Survey. https://doi.org/10.3133/ofr92480</w:t>
      </w:r>
    </w:p>
    <w:p w14:paraId="6F367966"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Bush, T., </w:t>
      </w:r>
      <w:proofErr w:type="spellStart"/>
      <w:r w:rsidRPr="001F05AA">
        <w:rPr>
          <w:rFonts w:eastAsia="Times New Roman"/>
          <w:color w:val="000000"/>
          <w:sz w:val="24"/>
          <w:szCs w:val="24"/>
        </w:rPr>
        <w:t>Diao</w:t>
      </w:r>
      <w:proofErr w:type="spellEnd"/>
      <w:r w:rsidRPr="001F05AA">
        <w:rPr>
          <w:rFonts w:eastAsia="Times New Roman"/>
          <w:color w:val="000000"/>
          <w:sz w:val="24"/>
          <w:szCs w:val="24"/>
        </w:rPr>
        <w:t xml:space="preserve">, M., Allen, R. J., </w:t>
      </w:r>
      <w:proofErr w:type="spellStart"/>
      <w:r w:rsidRPr="001F05AA">
        <w:rPr>
          <w:rFonts w:eastAsia="Times New Roman"/>
          <w:color w:val="000000"/>
          <w:sz w:val="24"/>
          <w:szCs w:val="24"/>
        </w:rPr>
        <w:t>Sinnige</w:t>
      </w:r>
      <w:proofErr w:type="spellEnd"/>
      <w:r w:rsidRPr="001F05AA">
        <w:rPr>
          <w:rFonts w:eastAsia="Times New Roman"/>
          <w:color w:val="000000"/>
          <w:sz w:val="24"/>
          <w:szCs w:val="24"/>
        </w:rPr>
        <w:t xml:space="preserve">, R., </w:t>
      </w:r>
      <w:proofErr w:type="spellStart"/>
      <w:r w:rsidRPr="001F05AA">
        <w:rPr>
          <w:rFonts w:eastAsia="Times New Roman"/>
          <w:color w:val="000000"/>
          <w:sz w:val="24"/>
          <w:szCs w:val="24"/>
        </w:rPr>
        <w:t>Muyzer</w:t>
      </w:r>
      <w:proofErr w:type="spellEnd"/>
      <w:r w:rsidRPr="001F05AA">
        <w:rPr>
          <w:rFonts w:eastAsia="Times New Roman"/>
          <w:color w:val="000000"/>
          <w:sz w:val="24"/>
          <w:szCs w:val="24"/>
        </w:rPr>
        <w:t xml:space="preserve">, G., &amp; Huisman, J. (2017). </w:t>
      </w:r>
      <w:proofErr w:type="spellStart"/>
      <w:r w:rsidRPr="001F05AA">
        <w:rPr>
          <w:rFonts w:eastAsia="Times New Roman"/>
          <w:color w:val="000000"/>
          <w:sz w:val="24"/>
          <w:szCs w:val="24"/>
        </w:rPr>
        <w:t>Oxic</w:t>
      </w:r>
      <w:proofErr w:type="spellEnd"/>
      <w:r w:rsidRPr="001F05AA">
        <w:rPr>
          <w:rFonts w:eastAsia="Times New Roman"/>
          <w:color w:val="000000"/>
          <w:sz w:val="24"/>
          <w:szCs w:val="24"/>
        </w:rPr>
        <w:t xml:space="preserve">-anoxic regime shifts mediated by feedbacks between biogeochemical processes and microbial community dynamics. </w:t>
      </w:r>
      <w:r w:rsidRPr="001F05AA">
        <w:rPr>
          <w:rFonts w:eastAsia="Times New Roman"/>
          <w:i/>
          <w:color w:val="000000"/>
          <w:sz w:val="24"/>
          <w:szCs w:val="24"/>
        </w:rPr>
        <w:t>Nature Communications</w:t>
      </w:r>
      <w:r w:rsidRPr="001F05AA">
        <w:rPr>
          <w:rFonts w:eastAsia="Times New Roman"/>
          <w:color w:val="000000"/>
          <w:sz w:val="24"/>
          <w:szCs w:val="24"/>
        </w:rPr>
        <w:t xml:space="preserve">, </w:t>
      </w:r>
      <w:r w:rsidRPr="001F05AA">
        <w:rPr>
          <w:rFonts w:eastAsia="Times New Roman"/>
          <w:i/>
          <w:color w:val="000000"/>
          <w:sz w:val="24"/>
          <w:szCs w:val="24"/>
        </w:rPr>
        <w:t>8</w:t>
      </w:r>
      <w:r w:rsidRPr="001F05AA">
        <w:rPr>
          <w:rFonts w:eastAsia="Times New Roman"/>
          <w:color w:val="000000"/>
          <w:sz w:val="24"/>
          <w:szCs w:val="24"/>
        </w:rPr>
        <w:t>, 789. https://doi.org/10.1038/s41467-017-00912-x</w:t>
      </w:r>
    </w:p>
    <w:p w14:paraId="17DC25AF"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Butcher, J. B., </w:t>
      </w:r>
      <w:proofErr w:type="spellStart"/>
      <w:r w:rsidRPr="001F05AA">
        <w:rPr>
          <w:rFonts w:eastAsia="Times New Roman"/>
          <w:color w:val="000000"/>
          <w:sz w:val="24"/>
          <w:szCs w:val="24"/>
        </w:rPr>
        <w:t>Nover</w:t>
      </w:r>
      <w:proofErr w:type="spellEnd"/>
      <w:r w:rsidRPr="001F05AA">
        <w:rPr>
          <w:rFonts w:eastAsia="Times New Roman"/>
          <w:color w:val="000000"/>
          <w:sz w:val="24"/>
          <w:szCs w:val="24"/>
        </w:rPr>
        <w:t xml:space="preserve">, D., Johnson, T. E., &amp; Clark, C. M. (2015). Sensitivity of lake thermal and mixing dynamics to climate change. </w:t>
      </w:r>
      <w:r w:rsidRPr="001F05AA">
        <w:rPr>
          <w:rFonts w:eastAsia="Times New Roman"/>
          <w:i/>
          <w:color w:val="000000"/>
          <w:sz w:val="24"/>
          <w:szCs w:val="24"/>
        </w:rPr>
        <w:t>Climatic Change</w:t>
      </w:r>
      <w:r w:rsidRPr="001F05AA">
        <w:rPr>
          <w:rFonts w:eastAsia="Times New Roman"/>
          <w:color w:val="000000"/>
          <w:sz w:val="24"/>
          <w:szCs w:val="24"/>
        </w:rPr>
        <w:t xml:space="preserve">, </w:t>
      </w:r>
      <w:r w:rsidRPr="001F05AA">
        <w:rPr>
          <w:rFonts w:eastAsia="Times New Roman"/>
          <w:i/>
          <w:color w:val="000000"/>
          <w:sz w:val="24"/>
          <w:szCs w:val="24"/>
        </w:rPr>
        <w:t>129</w:t>
      </w:r>
      <w:r w:rsidRPr="001F05AA">
        <w:rPr>
          <w:rFonts w:eastAsia="Times New Roman"/>
          <w:color w:val="000000"/>
          <w:sz w:val="24"/>
          <w:szCs w:val="24"/>
        </w:rPr>
        <w:t>(1), 295–305. https://doi.org/10.1007/s10584-015-1326-1</w:t>
      </w:r>
    </w:p>
    <w:p w14:paraId="739E6624"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Carey, C. C., &amp; </w:t>
      </w:r>
      <w:proofErr w:type="spellStart"/>
      <w:r w:rsidRPr="001F05AA">
        <w:rPr>
          <w:rFonts w:eastAsia="Times New Roman"/>
          <w:color w:val="000000"/>
          <w:sz w:val="24"/>
          <w:szCs w:val="24"/>
        </w:rPr>
        <w:t>Breef-Pilz</w:t>
      </w:r>
      <w:proofErr w:type="spellEnd"/>
      <w:r w:rsidRPr="001F05AA">
        <w:rPr>
          <w:rFonts w:eastAsia="Times New Roman"/>
          <w:color w:val="000000"/>
          <w:sz w:val="24"/>
          <w:szCs w:val="24"/>
        </w:rPr>
        <w:t>, A. (2023). Time series of high-frequency meteorological data at Falling Creek Reservoir, Virginia, USA 2015-2022 [Data set]. Environmental Data Initiative. https://doi.org/10.6073/PASTA/F3F97C7FDD287C29084BF52FC759A801</w:t>
      </w:r>
    </w:p>
    <w:p w14:paraId="1EC15C6E"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Carey, C. C., Cottingham, K. L., Weathers, K. C., </w:t>
      </w:r>
      <w:proofErr w:type="spellStart"/>
      <w:r w:rsidRPr="001F05AA">
        <w:rPr>
          <w:rFonts w:eastAsia="Times New Roman"/>
          <w:color w:val="000000"/>
          <w:sz w:val="24"/>
          <w:szCs w:val="24"/>
        </w:rPr>
        <w:t>Brentrup</w:t>
      </w:r>
      <w:proofErr w:type="spellEnd"/>
      <w:r w:rsidRPr="001F05AA">
        <w:rPr>
          <w:rFonts w:eastAsia="Times New Roman"/>
          <w:color w:val="000000"/>
          <w:sz w:val="24"/>
          <w:szCs w:val="24"/>
        </w:rPr>
        <w:t xml:space="preserve">, J. A., </w:t>
      </w:r>
      <w:proofErr w:type="spellStart"/>
      <w:r w:rsidRPr="001F05AA">
        <w:rPr>
          <w:rFonts w:eastAsia="Times New Roman"/>
          <w:color w:val="000000"/>
          <w:sz w:val="24"/>
          <w:szCs w:val="24"/>
        </w:rPr>
        <w:t>Ruppertsberger</w:t>
      </w:r>
      <w:proofErr w:type="spellEnd"/>
      <w:r w:rsidRPr="001F05AA">
        <w:rPr>
          <w:rFonts w:eastAsia="Times New Roman"/>
          <w:color w:val="000000"/>
          <w:sz w:val="24"/>
          <w:szCs w:val="24"/>
        </w:rPr>
        <w:t xml:space="preserve">, N. M., Ewing, H. A., &amp; Hairston, N. G., Jr. (2014). Experimental blooms of the cyanobacterium </w:t>
      </w:r>
      <w:proofErr w:type="spellStart"/>
      <w:r w:rsidRPr="001F05AA">
        <w:rPr>
          <w:rFonts w:eastAsia="Times New Roman"/>
          <w:color w:val="000000"/>
          <w:sz w:val="24"/>
          <w:szCs w:val="24"/>
        </w:rPr>
        <w:t>Gloeotrichia</w:t>
      </w:r>
      <w:proofErr w:type="spellEnd"/>
      <w:r w:rsidRPr="001F05AA">
        <w:rPr>
          <w:rFonts w:eastAsia="Times New Roman"/>
          <w:color w:val="000000"/>
          <w:sz w:val="24"/>
          <w:szCs w:val="24"/>
        </w:rPr>
        <w:t xml:space="preserve"> </w:t>
      </w:r>
      <w:proofErr w:type="spellStart"/>
      <w:r w:rsidRPr="001F05AA">
        <w:rPr>
          <w:rFonts w:eastAsia="Times New Roman"/>
          <w:color w:val="000000"/>
          <w:sz w:val="24"/>
          <w:szCs w:val="24"/>
        </w:rPr>
        <w:t>echinulata</w:t>
      </w:r>
      <w:proofErr w:type="spellEnd"/>
      <w:r w:rsidRPr="001F05AA">
        <w:rPr>
          <w:rFonts w:eastAsia="Times New Roman"/>
          <w:color w:val="000000"/>
          <w:sz w:val="24"/>
          <w:szCs w:val="24"/>
        </w:rPr>
        <w:t xml:space="preserve"> increase phytoplankton biomass, richness and diversity in an oligotrophic lake. </w:t>
      </w:r>
      <w:r w:rsidRPr="001F05AA">
        <w:rPr>
          <w:rFonts w:eastAsia="Times New Roman"/>
          <w:i/>
          <w:color w:val="000000"/>
          <w:sz w:val="24"/>
          <w:szCs w:val="24"/>
        </w:rPr>
        <w:t>Journal of Plankton Research</w:t>
      </w:r>
      <w:r w:rsidRPr="001F05AA">
        <w:rPr>
          <w:rFonts w:eastAsia="Times New Roman"/>
          <w:color w:val="000000"/>
          <w:sz w:val="24"/>
          <w:szCs w:val="24"/>
        </w:rPr>
        <w:t xml:space="preserve">, </w:t>
      </w:r>
      <w:r w:rsidRPr="001F05AA">
        <w:rPr>
          <w:rFonts w:eastAsia="Times New Roman"/>
          <w:i/>
          <w:color w:val="000000"/>
          <w:sz w:val="24"/>
          <w:szCs w:val="24"/>
        </w:rPr>
        <w:t>36</w:t>
      </w:r>
      <w:r w:rsidRPr="001F05AA">
        <w:rPr>
          <w:rFonts w:eastAsia="Times New Roman"/>
          <w:color w:val="000000"/>
          <w:sz w:val="24"/>
          <w:szCs w:val="24"/>
        </w:rPr>
        <w:t>(2), 364–377. https://doi.org/10.1093/plankt/fbt105</w:t>
      </w:r>
    </w:p>
    <w:p w14:paraId="7B03AA45"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Carey, C. C., Hanson, P. C., Thomas, R. Q., Gerling, A. B., </w:t>
      </w:r>
      <w:proofErr w:type="spellStart"/>
      <w:r w:rsidRPr="001F05AA">
        <w:rPr>
          <w:rFonts w:eastAsia="Times New Roman"/>
          <w:color w:val="000000"/>
          <w:sz w:val="24"/>
          <w:szCs w:val="24"/>
        </w:rPr>
        <w:t>Hounshell</w:t>
      </w:r>
      <w:proofErr w:type="spellEnd"/>
      <w:r w:rsidRPr="001F05AA">
        <w:rPr>
          <w:rFonts w:eastAsia="Times New Roman"/>
          <w:color w:val="000000"/>
          <w:sz w:val="24"/>
          <w:szCs w:val="24"/>
        </w:rPr>
        <w:t xml:space="preserve">, A. G., Lewis, A. S. L., et al. (2022a). Anoxia decreases the magnitude of the carbon, nitrogen, and phosphorus sink in freshwaters. </w:t>
      </w:r>
      <w:r w:rsidRPr="001F05AA">
        <w:rPr>
          <w:rFonts w:eastAsia="Times New Roman"/>
          <w:i/>
          <w:color w:val="000000"/>
          <w:sz w:val="24"/>
          <w:szCs w:val="24"/>
        </w:rPr>
        <w:t>Global Change Biology</w:t>
      </w:r>
      <w:r w:rsidRPr="001F05AA">
        <w:rPr>
          <w:rFonts w:eastAsia="Times New Roman"/>
          <w:color w:val="000000"/>
          <w:sz w:val="24"/>
          <w:szCs w:val="24"/>
        </w:rPr>
        <w:t xml:space="preserve">, </w:t>
      </w:r>
      <w:r w:rsidRPr="001F05AA">
        <w:rPr>
          <w:rFonts w:eastAsia="Times New Roman"/>
          <w:i/>
          <w:color w:val="000000"/>
          <w:sz w:val="24"/>
          <w:szCs w:val="24"/>
        </w:rPr>
        <w:t>28</w:t>
      </w:r>
      <w:r w:rsidRPr="001F05AA">
        <w:rPr>
          <w:rFonts w:eastAsia="Times New Roman"/>
          <w:color w:val="000000"/>
          <w:sz w:val="24"/>
          <w:szCs w:val="24"/>
        </w:rPr>
        <w:t>(16), 4861–4881. https://doi.org/10.1111/gcb.16228</w:t>
      </w:r>
    </w:p>
    <w:p w14:paraId="56A80FC0"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Carey, C. C., Lewis, A. S. L., Howard, D. W., Woelmer, W. M., </w:t>
      </w:r>
      <w:proofErr w:type="spellStart"/>
      <w:r w:rsidRPr="001F05AA">
        <w:rPr>
          <w:rFonts w:eastAsia="Times New Roman"/>
          <w:color w:val="000000"/>
          <w:sz w:val="24"/>
          <w:szCs w:val="24"/>
        </w:rPr>
        <w:t>Gantzer</w:t>
      </w:r>
      <w:proofErr w:type="spellEnd"/>
      <w:r w:rsidRPr="001F05AA">
        <w:rPr>
          <w:rFonts w:eastAsia="Times New Roman"/>
          <w:color w:val="000000"/>
          <w:sz w:val="24"/>
          <w:szCs w:val="24"/>
        </w:rPr>
        <w:t xml:space="preserve">, P. A., </w:t>
      </w:r>
      <w:proofErr w:type="spellStart"/>
      <w:r w:rsidRPr="001F05AA">
        <w:rPr>
          <w:rFonts w:eastAsia="Times New Roman"/>
          <w:color w:val="000000"/>
          <w:sz w:val="24"/>
          <w:szCs w:val="24"/>
        </w:rPr>
        <w:t>Bierlein</w:t>
      </w:r>
      <w:proofErr w:type="spellEnd"/>
      <w:r w:rsidRPr="001F05AA">
        <w:rPr>
          <w:rFonts w:eastAsia="Times New Roman"/>
          <w:color w:val="000000"/>
          <w:sz w:val="24"/>
          <w:szCs w:val="24"/>
        </w:rPr>
        <w:t xml:space="preserve">, K. A., et al. (2022b). Bathymetry and watershed area for Falling Creek Reservoir, Beaverdam Reservoir, and </w:t>
      </w:r>
      <w:proofErr w:type="spellStart"/>
      <w:r w:rsidRPr="001F05AA">
        <w:rPr>
          <w:rFonts w:eastAsia="Times New Roman"/>
          <w:color w:val="000000"/>
          <w:sz w:val="24"/>
          <w:szCs w:val="24"/>
        </w:rPr>
        <w:t>Carvins</w:t>
      </w:r>
      <w:proofErr w:type="spellEnd"/>
      <w:r w:rsidRPr="001F05AA">
        <w:rPr>
          <w:rFonts w:eastAsia="Times New Roman"/>
          <w:color w:val="000000"/>
          <w:sz w:val="24"/>
          <w:szCs w:val="24"/>
        </w:rPr>
        <w:t xml:space="preserve"> Cove Reservoir [Data set]. Environmental Data Initiative. https://doi.org/10.6073/PASTA/352735344150F7E77D2BC18B69A22412</w:t>
      </w:r>
    </w:p>
    <w:p w14:paraId="08712E2B"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Carey, C. C., </w:t>
      </w:r>
      <w:proofErr w:type="spellStart"/>
      <w:r w:rsidRPr="001F05AA">
        <w:rPr>
          <w:rFonts w:eastAsia="Times New Roman"/>
          <w:color w:val="000000"/>
          <w:sz w:val="24"/>
          <w:szCs w:val="24"/>
        </w:rPr>
        <w:t>Breef-Pilz</w:t>
      </w:r>
      <w:proofErr w:type="spellEnd"/>
      <w:r w:rsidRPr="001F05AA">
        <w:rPr>
          <w:rFonts w:eastAsia="Times New Roman"/>
          <w:color w:val="000000"/>
          <w:sz w:val="24"/>
          <w:szCs w:val="24"/>
        </w:rPr>
        <w:t xml:space="preserve">, A., Wander, H. L., Geisler, B., &amp; Haynie, G. (2023a). Secchi depth data and discrete depth profiles of water temperature, dissolved oxygen, conductivity, specific conductance, photosynthetic active radiation, redox potential, and pH for Beaverdam Reservoir, </w:t>
      </w:r>
      <w:proofErr w:type="spellStart"/>
      <w:r w:rsidRPr="001F05AA">
        <w:rPr>
          <w:rFonts w:eastAsia="Times New Roman"/>
          <w:color w:val="000000"/>
          <w:sz w:val="24"/>
          <w:szCs w:val="24"/>
        </w:rPr>
        <w:t>Carvins</w:t>
      </w:r>
      <w:proofErr w:type="spellEnd"/>
      <w:r w:rsidRPr="001F05AA">
        <w:rPr>
          <w:rFonts w:eastAsia="Times New Roman"/>
          <w:color w:val="000000"/>
          <w:sz w:val="24"/>
          <w:szCs w:val="24"/>
        </w:rPr>
        <w:t xml:space="preserve"> Cove Reservoir, Falling Creek Reservoir, Gatewood Reservoir, and Spring Hollow Reservoir in southwestern Virginia, USA 2013-2022 [Data set]. Environmental Data Initiative. https://doi.org/10.6073/PASTA/EB17510D09E66EF79D7D54A18CA91D61</w:t>
      </w:r>
    </w:p>
    <w:p w14:paraId="7904CCEF"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Carey, C. C., Lewis, A. S. L., Niederlehner, B. R., </w:t>
      </w:r>
      <w:proofErr w:type="spellStart"/>
      <w:r w:rsidRPr="001F05AA">
        <w:rPr>
          <w:rFonts w:eastAsia="Times New Roman"/>
          <w:color w:val="000000"/>
          <w:sz w:val="24"/>
          <w:szCs w:val="24"/>
        </w:rPr>
        <w:t>Breef-Pilz</w:t>
      </w:r>
      <w:proofErr w:type="spellEnd"/>
      <w:r w:rsidRPr="001F05AA">
        <w:rPr>
          <w:rFonts w:eastAsia="Times New Roman"/>
          <w:color w:val="000000"/>
          <w:sz w:val="24"/>
          <w:szCs w:val="24"/>
        </w:rPr>
        <w:t>, A., Das, A., Geisler, B., &amp; Haynie, G. (2023b). Time series of dissolved methane and carbon dioxide concentrations for Falling Creek Reservoir and Beaverdam Reservoir in southwestern Virginia, USA during 2015-2022 [Data set]. Environmental Data Initiative. https://doi.org/10.6073/PASTA/98E09AB2610FE9C348A8F09F0AA1DE53</w:t>
      </w:r>
    </w:p>
    <w:p w14:paraId="4836D832"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lastRenderedPageBreak/>
        <w:t xml:space="preserve">Carey, C. C., </w:t>
      </w:r>
      <w:proofErr w:type="spellStart"/>
      <w:r w:rsidRPr="001F05AA">
        <w:rPr>
          <w:rFonts w:eastAsia="Times New Roman"/>
          <w:color w:val="000000"/>
          <w:sz w:val="24"/>
          <w:szCs w:val="24"/>
        </w:rPr>
        <w:t>Breef-Pilz</w:t>
      </w:r>
      <w:proofErr w:type="spellEnd"/>
      <w:r w:rsidRPr="001F05AA">
        <w:rPr>
          <w:rFonts w:eastAsia="Times New Roman"/>
          <w:color w:val="000000"/>
          <w:sz w:val="24"/>
          <w:szCs w:val="24"/>
        </w:rPr>
        <w:t xml:space="preserve">, A., </w:t>
      </w:r>
      <w:proofErr w:type="spellStart"/>
      <w:r w:rsidRPr="001F05AA">
        <w:rPr>
          <w:rFonts w:eastAsia="Times New Roman"/>
          <w:color w:val="000000"/>
          <w:sz w:val="24"/>
          <w:szCs w:val="24"/>
        </w:rPr>
        <w:t>Bookout</w:t>
      </w:r>
      <w:proofErr w:type="spellEnd"/>
      <w:r w:rsidRPr="001F05AA">
        <w:rPr>
          <w:rFonts w:eastAsia="Times New Roman"/>
          <w:color w:val="000000"/>
          <w:sz w:val="24"/>
          <w:szCs w:val="24"/>
        </w:rPr>
        <w:t>, B. J., McClure, R. P., &amp; Wynne, J. H. (2023c). Time series of high-frequency sensor data measuring water temperature, dissolved oxygen, conductivity, specific conductance, total dissolved solids, chlorophyll a, phycocyanin, fluorescent dissolved organic matter, and turbidity at discrete depths in Beaverdam Reservoir, Virginia, USA in 2016-2022 [Data set]. Environmental Data Initiative. https://doi.org/10.6073/PASTA/4182DE376FDE52E15D493FDD9F26D0C7</w:t>
      </w:r>
    </w:p>
    <w:p w14:paraId="7B10DB3D"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Carey, C. C., </w:t>
      </w:r>
      <w:proofErr w:type="spellStart"/>
      <w:r w:rsidRPr="001F05AA">
        <w:rPr>
          <w:rFonts w:eastAsia="Times New Roman"/>
          <w:color w:val="000000"/>
          <w:sz w:val="24"/>
          <w:szCs w:val="24"/>
        </w:rPr>
        <w:t>Breef-Pilz</w:t>
      </w:r>
      <w:proofErr w:type="spellEnd"/>
      <w:r w:rsidRPr="001F05AA">
        <w:rPr>
          <w:rFonts w:eastAsia="Times New Roman"/>
          <w:color w:val="000000"/>
          <w:sz w:val="24"/>
          <w:szCs w:val="24"/>
        </w:rPr>
        <w:t xml:space="preserve">, A., &amp; Lofton, M. E. (2023d). Time-series of high-frequency profiles of fluorescence-based phytoplankton spectral groups in Beaverdam Reservoir, </w:t>
      </w:r>
      <w:proofErr w:type="spellStart"/>
      <w:r w:rsidRPr="001F05AA">
        <w:rPr>
          <w:rFonts w:eastAsia="Times New Roman"/>
          <w:color w:val="000000"/>
          <w:sz w:val="24"/>
          <w:szCs w:val="24"/>
        </w:rPr>
        <w:t>Carvins</w:t>
      </w:r>
      <w:proofErr w:type="spellEnd"/>
      <w:r w:rsidRPr="001F05AA">
        <w:rPr>
          <w:rFonts w:eastAsia="Times New Roman"/>
          <w:color w:val="000000"/>
          <w:sz w:val="24"/>
          <w:szCs w:val="24"/>
        </w:rPr>
        <w:t xml:space="preserve"> Cove Reservoir, Falling Creek Reservoir, Gatewood Reservoir, and Spring Hollow Reservoir in southwestern Virginia, USA 2014-2022 [Data set]. Environmental Data Initiative. https://doi.org/10.6073/PASTA/E12D218E1634674966BD03CFC3C7296E</w:t>
      </w:r>
    </w:p>
    <w:p w14:paraId="50B7B4A3"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Carey, C. C., Wander, H. L., Howard, D. W., </w:t>
      </w:r>
      <w:proofErr w:type="spellStart"/>
      <w:r w:rsidRPr="001F05AA">
        <w:rPr>
          <w:rFonts w:eastAsia="Times New Roman"/>
          <w:color w:val="000000"/>
          <w:sz w:val="24"/>
          <w:szCs w:val="24"/>
        </w:rPr>
        <w:t>Breef-Pilz</w:t>
      </w:r>
      <w:proofErr w:type="spellEnd"/>
      <w:r w:rsidRPr="001F05AA">
        <w:rPr>
          <w:rFonts w:eastAsia="Times New Roman"/>
          <w:color w:val="000000"/>
          <w:sz w:val="24"/>
          <w:szCs w:val="24"/>
        </w:rPr>
        <w:t xml:space="preserve">, A., &amp; Niederlehner, B. R. (2023e). Water chemistry time series for Beaverdam Reservoir, </w:t>
      </w:r>
      <w:proofErr w:type="spellStart"/>
      <w:r w:rsidRPr="001F05AA">
        <w:rPr>
          <w:rFonts w:eastAsia="Times New Roman"/>
          <w:color w:val="000000"/>
          <w:sz w:val="24"/>
          <w:szCs w:val="24"/>
        </w:rPr>
        <w:t>Carvins</w:t>
      </w:r>
      <w:proofErr w:type="spellEnd"/>
      <w:r w:rsidRPr="001F05AA">
        <w:rPr>
          <w:rFonts w:eastAsia="Times New Roman"/>
          <w:color w:val="000000"/>
          <w:sz w:val="24"/>
          <w:szCs w:val="24"/>
        </w:rPr>
        <w:t xml:space="preserve"> Cove Reservoir, Falling Creek Reservoir, Gatewood Reservoir, and Spring Hollow Reservoir in southwestern Virginia, USA 2013-2022 [Data set]. Environmental Data Initiative. https://doi.org/10.6073/PASTA/457120A9DE886A1470C22A01D808AB2D</w:t>
      </w:r>
    </w:p>
    <w:p w14:paraId="3299A642"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Catherine, A., Escoffier, N., </w:t>
      </w:r>
      <w:proofErr w:type="spellStart"/>
      <w:r w:rsidRPr="001F05AA">
        <w:rPr>
          <w:rFonts w:eastAsia="Times New Roman"/>
          <w:color w:val="000000"/>
          <w:sz w:val="24"/>
          <w:szCs w:val="24"/>
        </w:rPr>
        <w:t>Belhocine</w:t>
      </w:r>
      <w:proofErr w:type="spellEnd"/>
      <w:r w:rsidRPr="001F05AA">
        <w:rPr>
          <w:rFonts w:eastAsia="Times New Roman"/>
          <w:color w:val="000000"/>
          <w:sz w:val="24"/>
          <w:szCs w:val="24"/>
        </w:rPr>
        <w:t xml:space="preserve">, A., </w:t>
      </w:r>
      <w:proofErr w:type="spellStart"/>
      <w:r w:rsidRPr="001F05AA">
        <w:rPr>
          <w:rFonts w:eastAsia="Times New Roman"/>
          <w:color w:val="000000"/>
          <w:sz w:val="24"/>
          <w:szCs w:val="24"/>
        </w:rPr>
        <w:t>Nasri</w:t>
      </w:r>
      <w:proofErr w:type="spellEnd"/>
      <w:r w:rsidRPr="001F05AA">
        <w:rPr>
          <w:rFonts w:eastAsia="Times New Roman"/>
          <w:color w:val="000000"/>
          <w:sz w:val="24"/>
          <w:szCs w:val="24"/>
        </w:rPr>
        <w:t xml:space="preserve">, A. B., </w:t>
      </w:r>
      <w:proofErr w:type="spellStart"/>
      <w:r w:rsidRPr="001F05AA">
        <w:rPr>
          <w:rFonts w:eastAsia="Times New Roman"/>
          <w:color w:val="000000"/>
          <w:sz w:val="24"/>
          <w:szCs w:val="24"/>
        </w:rPr>
        <w:t>Hamlaoui</w:t>
      </w:r>
      <w:proofErr w:type="spellEnd"/>
      <w:r w:rsidRPr="001F05AA">
        <w:rPr>
          <w:rFonts w:eastAsia="Times New Roman"/>
          <w:color w:val="000000"/>
          <w:sz w:val="24"/>
          <w:szCs w:val="24"/>
        </w:rPr>
        <w:t xml:space="preserve">, S., Yepremian, C., et al. (2012). On the use of the </w:t>
      </w:r>
      <w:proofErr w:type="spellStart"/>
      <w:r w:rsidRPr="001F05AA">
        <w:rPr>
          <w:rFonts w:eastAsia="Times New Roman"/>
          <w:color w:val="000000"/>
          <w:sz w:val="24"/>
          <w:szCs w:val="24"/>
        </w:rPr>
        <w:t>FluoroProbe</w:t>
      </w:r>
      <w:proofErr w:type="spellEnd"/>
      <w:r w:rsidRPr="001F05AA">
        <w:rPr>
          <w:rFonts w:eastAsia="Times New Roman"/>
          <w:color w:val="000000"/>
          <w:sz w:val="24"/>
          <w:szCs w:val="24"/>
        </w:rPr>
        <w:t xml:space="preserve"> (R), a phytoplankton quantification method based on fluorescence excitation spectra for large-scale surveys of lakes and reservoirs. </w:t>
      </w:r>
      <w:r w:rsidRPr="001F05AA">
        <w:rPr>
          <w:rFonts w:eastAsia="Times New Roman"/>
          <w:i/>
          <w:color w:val="000000"/>
          <w:sz w:val="24"/>
          <w:szCs w:val="24"/>
        </w:rPr>
        <w:t>Water Research</w:t>
      </w:r>
      <w:r w:rsidRPr="001F05AA">
        <w:rPr>
          <w:rFonts w:eastAsia="Times New Roman"/>
          <w:color w:val="000000"/>
          <w:sz w:val="24"/>
          <w:szCs w:val="24"/>
        </w:rPr>
        <w:t xml:space="preserve">, </w:t>
      </w:r>
      <w:r w:rsidRPr="001F05AA">
        <w:rPr>
          <w:rFonts w:eastAsia="Times New Roman"/>
          <w:i/>
          <w:color w:val="000000"/>
          <w:sz w:val="24"/>
          <w:szCs w:val="24"/>
        </w:rPr>
        <w:t>46</w:t>
      </w:r>
      <w:r w:rsidRPr="001F05AA">
        <w:rPr>
          <w:rFonts w:eastAsia="Times New Roman"/>
          <w:color w:val="000000"/>
          <w:sz w:val="24"/>
          <w:szCs w:val="24"/>
        </w:rPr>
        <w:t>, 1771–84. https://doi.org/10.1016/j.watres.2011.12.056</w:t>
      </w:r>
    </w:p>
    <w:p w14:paraId="4B8C1209"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Chapra</w:t>
      </w:r>
      <w:proofErr w:type="spellEnd"/>
      <w:r w:rsidRPr="001F05AA">
        <w:rPr>
          <w:rFonts w:eastAsia="Times New Roman"/>
          <w:color w:val="000000"/>
          <w:sz w:val="24"/>
          <w:szCs w:val="24"/>
        </w:rPr>
        <w:t xml:space="preserve">, K. H., &amp; </w:t>
      </w:r>
      <w:proofErr w:type="spellStart"/>
      <w:r w:rsidRPr="001F05AA">
        <w:rPr>
          <w:rFonts w:eastAsia="Times New Roman"/>
          <w:color w:val="000000"/>
          <w:sz w:val="24"/>
          <w:szCs w:val="24"/>
        </w:rPr>
        <w:t>Reckhow</w:t>
      </w:r>
      <w:proofErr w:type="spellEnd"/>
      <w:r w:rsidRPr="001F05AA">
        <w:rPr>
          <w:rFonts w:eastAsia="Times New Roman"/>
          <w:color w:val="000000"/>
          <w:sz w:val="24"/>
          <w:szCs w:val="24"/>
        </w:rPr>
        <w:t xml:space="preserve">, S. C. (1983). </w:t>
      </w:r>
      <w:r w:rsidRPr="001F05AA">
        <w:rPr>
          <w:rFonts w:eastAsia="Times New Roman"/>
          <w:i/>
          <w:color w:val="000000"/>
          <w:sz w:val="24"/>
          <w:szCs w:val="24"/>
        </w:rPr>
        <w:t>Engineering Approaches for Lake Management</w:t>
      </w:r>
      <w:r w:rsidRPr="001F05AA">
        <w:rPr>
          <w:rFonts w:eastAsia="Times New Roman"/>
          <w:color w:val="000000"/>
          <w:sz w:val="24"/>
          <w:szCs w:val="24"/>
        </w:rPr>
        <w:t xml:space="preserve"> (First Edition, Vol. 2). Boston: Butterworth.</w:t>
      </w:r>
    </w:p>
    <w:p w14:paraId="579CB7DD" w14:textId="77777777" w:rsidR="0006118D" w:rsidRPr="001F05AA" w:rsidRDefault="00000000">
      <w:pPr>
        <w:spacing w:before="120"/>
        <w:ind w:left="720"/>
        <w:rPr>
          <w:sz w:val="24"/>
          <w:szCs w:val="24"/>
        </w:rPr>
      </w:pPr>
      <w:r w:rsidRPr="001F05AA">
        <w:rPr>
          <w:sz w:val="24"/>
          <w:szCs w:val="24"/>
        </w:rPr>
        <w:t>Chorus, I., &amp; Welker, M. (Eds.). (2021). Toxic Cyanobacteria in Water: A Guide to Their Public Health Consequences, Monitoring and Management (2nd ed.). London: CRC Press. https://doi.org/10.1201/9781003081449</w:t>
      </w:r>
    </w:p>
    <w:p w14:paraId="70E3F42C" w14:textId="3512225B" w:rsidR="00AB42CD" w:rsidRPr="00AB42CD" w:rsidRDefault="00AB42CD" w:rsidP="00AB42CD">
      <w:pPr>
        <w:pBdr>
          <w:top w:val="nil"/>
          <w:left w:val="nil"/>
          <w:bottom w:val="nil"/>
          <w:right w:val="nil"/>
          <w:between w:val="nil"/>
        </w:pBdr>
        <w:spacing w:before="120"/>
        <w:ind w:left="720" w:hanging="720"/>
        <w:rPr>
          <w:rFonts w:eastAsia="Times New Roman"/>
          <w:color w:val="000000"/>
          <w:sz w:val="24"/>
          <w:szCs w:val="24"/>
          <w:lang w:val="en-US"/>
        </w:rPr>
      </w:pPr>
      <w:proofErr w:type="spellStart"/>
      <w:r w:rsidRPr="00AB42CD">
        <w:rPr>
          <w:rFonts w:eastAsia="Times New Roman"/>
          <w:color w:val="000000"/>
          <w:sz w:val="24"/>
          <w:szCs w:val="24"/>
          <w:lang w:val="en-US"/>
        </w:rPr>
        <w:t>Chellappa</w:t>
      </w:r>
      <w:proofErr w:type="spellEnd"/>
      <w:r w:rsidRPr="00AB42CD">
        <w:rPr>
          <w:rFonts w:eastAsia="Times New Roman"/>
          <w:color w:val="000000"/>
          <w:sz w:val="24"/>
          <w:szCs w:val="24"/>
          <w:lang w:val="en-US"/>
        </w:rPr>
        <w:t xml:space="preserve">, N. T., </w:t>
      </w:r>
      <w:proofErr w:type="spellStart"/>
      <w:r w:rsidRPr="00AB42CD">
        <w:rPr>
          <w:rFonts w:eastAsia="Times New Roman"/>
          <w:color w:val="000000"/>
          <w:sz w:val="24"/>
          <w:szCs w:val="24"/>
          <w:lang w:val="en-US"/>
        </w:rPr>
        <w:t>Chellappa</w:t>
      </w:r>
      <w:proofErr w:type="spellEnd"/>
      <w:r w:rsidRPr="00AB42CD">
        <w:rPr>
          <w:rFonts w:eastAsia="Times New Roman"/>
          <w:color w:val="000000"/>
          <w:sz w:val="24"/>
          <w:szCs w:val="24"/>
          <w:lang w:val="en-US"/>
        </w:rPr>
        <w:t xml:space="preserve">, T., </w:t>
      </w:r>
      <w:proofErr w:type="spellStart"/>
      <w:r w:rsidRPr="00AB42CD">
        <w:rPr>
          <w:rFonts w:eastAsia="Times New Roman"/>
          <w:color w:val="000000"/>
          <w:sz w:val="24"/>
          <w:szCs w:val="24"/>
          <w:lang w:val="en-US"/>
        </w:rPr>
        <w:t>Câmara</w:t>
      </w:r>
      <w:proofErr w:type="spellEnd"/>
      <w:r w:rsidRPr="00AB42CD">
        <w:rPr>
          <w:rFonts w:eastAsia="Times New Roman"/>
          <w:color w:val="000000"/>
          <w:sz w:val="24"/>
          <w:szCs w:val="24"/>
          <w:lang w:val="en-US"/>
        </w:rPr>
        <w:t xml:space="preserve">, F. R. A., Rocha, O., &amp; </w:t>
      </w:r>
      <w:proofErr w:type="spellStart"/>
      <w:r w:rsidRPr="00AB42CD">
        <w:rPr>
          <w:rFonts w:eastAsia="Times New Roman"/>
          <w:color w:val="000000"/>
          <w:sz w:val="24"/>
          <w:szCs w:val="24"/>
          <w:lang w:val="en-US"/>
        </w:rPr>
        <w:t>Chellappa</w:t>
      </w:r>
      <w:proofErr w:type="spellEnd"/>
      <w:r w:rsidRPr="00AB42CD">
        <w:rPr>
          <w:rFonts w:eastAsia="Times New Roman"/>
          <w:color w:val="000000"/>
          <w:sz w:val="24"/>
          <w:szCs w:val="24"/>
          <w:lang w:val="en-US"/>
        </w:rPr>
        <w:t xml:space="preserve">, S. (2009). Impact of stress and disturbance factors on the phytoplankton communities in Northeastern Brazil reservoir. </w:t>
      </w:r>
      <w:proofErr w:type="spellStart"/>
      <w:r w:rsidRPr="00AB42CD">
        <w:rPr>
          <w:rFonts w:eastAsia="Times New Roman"/>
          <w:i/>
          <w:iCs/>
          <w:color w:val="000000"/>
          <w:sz w:val="24"/>
          <w:szCs w:val="24"/>
          <w:lang w:val="en-US"/>
        </w:rPr>
        <w:t>Limnologica</w:t>
      </w:r>
      <w:proofErr w:type="spellEnd"/>
      <w:r w:rsidRPr="00AB42CD">
        <w:rPr>
          <w:rFonts w:eastAsia="Times New Roman"/>
          <w:color w:val="000000"/>
          <w:sz w:val="24"/>
          <w:szCs w:val="24"/>
          <w:lang w:val="en-US"/>
        </w:rPr>
        <w:t xml:space="preserve">, </w:t>
      </w:r>
      <w:r w:rsidRPr="00AB42CD">
        <w:rPr>
          <w:rFonts w:eastAsia="Times New Roman"/>
          <w:i/>
          <w:iCs/>
          <w:color w:val="000000"/>
          <w:sz w:val="24"/>
          <w:szCs w:val="24"/>
          <w:lang w:val="en-US"/>
        </w:rPr>
        <w:t>39</w:t>
      </w:r>
      <w:r w:rsidRPr="00AB42CD">
        <w:rPr>
          <w:rFonts w:eastAsia="Times New Roman"/>
          <w:color w:val="000000"/>
          <w:sz w:val="24"/>
          <w:szCs w:val="24"/>
          <w:lang w:val="en-US"/>
        </w:rPr>
        <w:t>(4), 273–282. https://doi.org/10.1016/j.limno.2009.06.006</w:t>
      </w:r>
    </w:p>
    <w:p w14:paraId="324675E6" w14:textId="2AD9642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Cooley, S. W., Ryan, J. C., &amp; Smith, L. C. (2021). Human alteration of global surface water storage variability. </w:t>
      </w:r>
      <w:r w:rsidRPr="001F05AA">
        <w:rPr>
          <w:rFonts w:eastAsia="Times New Roman"/>
          <w:i/>
          <w:color w:val="000000"/>
          <w:sz w:val="24"/>
          <w:szCs w:val="24"/>
        </w:rPr>
        <w:t>Nature</w:t>
      </w:r>
      <w:r w:rsidRPr="001F05AA">
        <w:rPr>
          <w:rFonts w:eastAsia="Times New Roman"/>
          <w:color w:val="000000"/>
          <w:sz w:val="24"/>
          <w:szCs w:val="24"/>
        </w:rPr>
        <w:t xml:space="preserve">, </w:t>
      </w:r>
      <w:r w:rsidRPr="001F05AA">
        <w:rPr>
          <w:rFonts w:eastAsia="Times New Roman"/>
          <w:i/>
          <w:color w:val="000000"/>
          <w:sz w:val="24"/>
          <w:szCs w:val="24"/>
        </w:rPr>
        <w:t>591</w:t>
      </w:r>
      <w:r w:rsidRPr="001F05AA">
        <w:rPr>
          <w:rFonts w:eastAsia="Times New Roman"/>
          <w:color w:val="000000"/>
          <w:sz w:val="24"/>
          <w:szCs w:val="24"/>
        </w:rPr>
        <w:t>(7848), 78–81. https://doi.org/10.1038/s41586-021-03262-3</w:t>
      </w:r>
    </w:p>
    <w:p w14:paraId="5425BF83"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Coops, H., </w:t>
      </w:r>
      <w:proofErr w:type="spellStart"/>
      <w:r w:rsidRPr="001F05AA">
        <w:rPr>
          <w:rFonts w:eastAsia="Times New Roman"/>
          <w:color w:val="000000"/>
          <w:sz w:val="24"/>
          <w:szCs w:val="24"/>
        </w:rPr>
        <w:t>Beklioglu</w:t>
      </w:r>
      <w:proofErr w:type="spellEnd"/>
      <w:r w:rsidRPr="001F05AA">
        <w:rPr>
          <w:rFonts w:eastAsia="Times New Roman"/>
          <w:color w:val="000000"/>
          <w:sz w:val="24"/>
          <w:szCs w:val="24"/>
        </w:rPr>
        <w:t xml:space="preserve">, M., &amp; </w:t>
      </w:r>
      <w:proofErr w:type="spellStart"/>
      <w:r w:rsidRPr="001F05AA">
        <w:rPr>
          <w:rFonts w:eastAsia="Times New Roman"/>
          <w:color w:val="000000"/>
          <w:sz w:val="24"/>
          <w:szCs w:val="24"/>
        </w:rPr>
        <w:t>Crisman</w:t>
      </w:r>
      <w:proofErr w:type="spellEnd"/>
      <w:r w:rsidRPr="001F05AA">
        <w:rPr>
          <w:rFonts w:eastAsia="Times New Roman"/>
          <w:color w:val="000000"/>
          <w:sz w:val="24"/>
          <w:szCs w:val="24"/>
        </w:rPr>
        <w:t xml:space="preserve">, T. L. (2003). The role of water-level fluctuations in shallow lake ecosystems – workshop conclusions. </w:t>
      </w:r>
      <w:proofErr w:type="spellStart"/>
      <w:r w:rsidRPr="001F05AA">
        <w:rPr>
          <w:rFonts w:eastAsia="Times New Roman"/>
          <w:i/>
          <w:color w:val="000000"/>
          <w:sz w:val="24"/>
          <w:szCs w:val="24"/>
        </w:rPr>
        <w:t>Hydrobiologia</w:t>
      </w:r>
      <w:proofErr w:type="spellEnd"/>
      <w:r w:rsidRPr="001F05AA">
        <w:rPr>
          <w:rFonts w:eastAsia="Times New Roman"/>
          <w:color w:val="000000"/>
          <w:sz w:val="24"/>
          <w:szCs w:val="24"/>
        </w:rPr>
        <w:t xml:space="preserve">, </w:t>
      </w:r>
      <w:r w:rsidRPr="001F05AA">
        <w:rPr>
          <w:rFonts w:eastAsia="Times New Roman"/>
          <w:i/>
          <w:color w:val="000000"/>
          <w:sz w:val="24"/>
          <w:szCs w:val="24"/>
        </w:rPr>
        <w:t>506</w:t>
      </w:r>
      <w:r w:rsidRPr="001F05AA">
        <w:rPr>
          <w:rFonts w:eastAsia="Times New Roman"/>
          <w:color w:val="000000"/>
          <w:sz w:val="24"/>
          <w:szCs w:val="24"/>
        </w:rPr>
        <w:t>(1), 23–27. https://doi.org/10.1023/B:HYDR.0000008595.14393.77</w:t>
      </w:r>
    </w:p>
    <w:p w14:paraId="4730DEF4" w14:textId="4863BE5E"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Cott</w:t>
      </w:r>
      <w:proofErr w:type="spellEnd"/>
      <w:r w:rsidRPr="001F05AA">
        <w:rPr>
          <w:rFonts w:eastAsia="Times New Roman"/>
          <w:color w:val="000000"/>
          <w:sz w:val="24"/>
          <w:szCs w:val="24"/>
        </w:rPr>
        <w:t xml:space="preserve">, P. A., Sibley, P. K., Gordon, A. M., </w:t>
      </w:r>
      <w:proofErr w:type="spellStart"/>
      <w:r w:rsidRPr="001F05AA">
        <w:rPr>
          <w:rFonts w:eastAsia="Times New Roman"/>
          <w:color w:val="000000"/>
          <w:sz w:val="24"/>
          <w:szCs w:val="24"/>
        </w:rPr>
        <w:t>Bodaly</w:t>
      </w:r>
      <w:proofErr w:type="spellEnd"/>
      <w:r w:rsidRPr="001F05AA">
        <w:rPr>
          <w:rFonts w:eastAsia="Times New Roman"/>
          <w:color w:val="000000"/>
          <w:sz w:val="24"/>
          <w:szCs w:val="24"/>
        </w:rPr>
        <w:t xml:space="preserve">, R. A., Mills, K. H., Somers, W. M., &amp; </w:t>
      </w:r>
      <w:proofErr w:type="spellStart"/>
      <w:r w:rsidRPr="001F05AA">
        <w:rPr>
          <w:rFonts w:eastAsia="Times New Roman"/>
          <w:color w:val="000000"/>
          <w:sz w:val="24"/>
          <w:szCs w:val="24"/>
        </w:rPr>
        <w:t>Fillatre</w:t>
      </w:r>
      <w:proofErr w:type="spellEnd"/>
      <w:r w:rsidRPr="001F05AA">
        <w:rPr>
          <w:rFonts w:eastAsia="Times New Roman"/>
          <w:color w:val="000000"/>
          <w:sz w:val="24"/>
          <w:szCs w:val="24"/>
        </w:rPr>
        <w:t xml:space="preserve">, G. A. (2008). Effects of Water Withdrawal From Ice-Covered Lakes on Oxygen, Temperature, and Fish1. </w:t>
      </w:r>
      <w:r w:rsidRPr="001F05AA">
        <w:rPr>
          <w:rFonts w:eastAsia="Times New Roman"/>
          <w:i/>
          <w:color w:val="000000"/>
          <w:sz w:val="24"/>
          <w:szCs w:val="24"/>
        </w:rPr>
        <w:t>JAWRA Journal of the American Water Resources Association</w:t>
      </w:r>
      <w:r w:rsidRPr="001F05AA">
        <w:rPr>
          <w:rFonts w:eastAsia="Times New Roman"/>
          <w:color w:val="000000"/>
          <w:sz w:val="24"/>
          <w:szCs w:val="24"/>
        </w:rPr>
        <w:t xml:space="preserve">, </w:t>
      </w:r>
      <w:r w:rsidRPr="001F05AA">
        <w:rPr>
          <w:rFonts w:eastAsia="Times New Roman"/>
          <w:i/>
          <w:color w:val="000000"/>
          <w:sz w:val="24"/>
          <w:szCs w:val="24"/>
        </w:rPr>
        <w:t>44</w:t>
      </w:r>
      <w:r w:rsidRPr="001F05AA">
        <w:rPr>
          <w:rFonts w:eastAsia="Times New Roman"/>
          <w:color w:val="000000"/>
          <w:sz w:val="24"/>
          <w:szCs w:val="24"/>
        </w:rPr>
        <w:t>(2), 328–342. https://doi.org/10.1111/j.1752-1688.2007.00165.x</w:t>
      </w:r>
    </w:p>
    <w:p w14:paraId="38E612BA"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Cullen, J. J. (2015). Subsurface Chlorophyll Maximum Layers: Enduring Enigma or Mystery Solved? </w:t>
      </w:r>
      <w:r w:rsidRPr="001F05AA">
        <w:rPr>
          <w:rFonts w:eastAsia="Times New Roman"/>
          <w:i/>
          <w:color w:val="000000"/>
          <w:sz w:val="24"/>
          <w:szCs w:val="24"/>
        </w:rPr>
        <w:t>Annual Review of Marine Science</w:t>
      </w:r>
      <w:r w:rsidRPr="001F05AA">
        <w:rPr>
          <w:rFonts w:eastAsia="Times New Roman"/>
          <w:color w:val="000000"/>
          <w:sz w:val="24"/>
          <w:szCs w:val="24"/>
        </w:rPr>
        <w:t xml:space="preserve">, </w:t>
      </w:r>
      <w:r w:rsidRPr="001F05AA">
        <w:rPr>
          <w:rFonts w:eastAsia="Times New Roman"/>
          <w:i/>
          <w:color w:val="000000"/>
          <w:sz w:val="24"/>
          <w:szCs w:val="24"/>
        </w:rPr>
        <w:t>7</w:t>
      </w:r>
      <w:r w:rsidRPr="001F05AA">
        <w:rPr>
          <w:rFonts w:eastAsia="Times New Roman"/>
          <w:color w:val="000000"/>
          <w:sz w:val="24"/>
          <w:szCs w:val="24"/>
        </w:rPr>
        <w:t>(1), 207–239. https://doi.org/10.1146/annurev-marine-010213-135111</w:t>
      </w:r>
    </w:p>
    <w:p w14:paraId="6D694C79"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lastRenderedPageBreak/>
        <w:t xml:space="preserve">Davison, W. (1993). Iron and manganese in lakes. </w:t>
      </w:r>
      <w:r w:rsidRPr="001F05AA">
        <w:rPr>
          <w:rFonts w:eastAsia="Times New Roman"/>
          <w:i/>
          <w:color w:val="000000"/>
          <w:sz w:val="24"/>
          <w:szCs w:val="24"/>
        </w:rPr>
        <w:t>Earth-Science Reviews</w:t>
      </w:r>
      <w:r w:rsidRPr="001F05AA">
        <w:rPr>
          <w:rFonts w:eastAsia="Times New Roman"/>
          <w:color w:val="000000"/>
          <w:sz w:val="24"/>
          <w:szCs w:val="24"/>
        </w:rPr>
        <w:t xml:space="preserve">, </w:t>
      </w:r>
      <w:r w:rsidRPr="001F05AA">
        <w:rPr>
          <w:rFonts w:eastAsia="Times New Roman"/>
          <w:i/>
          <w:color w:val="000000"/>
          <w:sz w:val="24"/>
          <w:szCs w:val="24"/>
        </w:rPr>
        <w:t>34</w:t>
      </w:r>
      <w:r w:rsidRPr="001F05AA">
        <w:rPr>
          <w:rFonts w:eastAsia="Times New Roman"/>
          <w:color w:val="000000"/>
          <w:sz w:val="24"/>
          <w:szCs w:val="24"/>
        </w:rPr>
        <w:t>(2), 119–163. https://doi.org/10.1016/0012-8252(93)90029-7</w:t>
      </w:r>
    </w:p>
    <w:p w14:paraId="7BA7B52A"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DeBoer, J. A., Webber, C. M., Dixon, T. A., &amp; Pope, K. L. (2016). The influence of a severe reservoir drawdown on springtime zooplankton and larval fish assemblages in Red Willow Reservoir, Nebraska. </w:t>
      </w:r>
      <w:r w:rsidRPr="001F05AA">
        <w:rPr>
          <w:rFonts w:eastAsia="Times New Roman"/>
          <w:i/>
          <w:color w:val="000000"/>
          <w:sz w:val="24"/>
          <w:szCs w:val="24"/>
        </w:rPr>
        <w:t>Journal of Freshwater Ecology</w:t>
      </w:r>
      <w:r w:rsidRPr="001F05AA">
        <w:rPr>
          <w:rFonts w:eastAsia="Times New Roman"/>
          <w:color w:val="000000"/>
          <w:sz w:val="24"/>
          <w:szCs w:val="24"/>
        </w:rPr>
        <w:t xml:space="preserve">, </w:t>
      </w:r>
      <w:r w:rsidRPr="001F05AA">
        <w:rPr>
          <w:rFonts w:eastAsia="Times New Roman"/>
          <w:i/>
          <w:color w:val="000000"/>
          <w:sz w:val="24"/>
          <w:szCs w:val="24"/>
        </w:rPr>
        <w:t>31</w:t>
      </w:r>
      <w:r w:rsidRPr="001F05AA">
        <w:rPr>
          <w:rFonts w:eastAsia="Times New Roman"/>
          <w:color w:val="000000"/>
          <w:sz w:val="24"/>
          <w:szCs w:val="24"/>
        </w:rPr>
        <w:t>(1), 131–146. https://doi.org/10.1080/02705060.2015.1055312</w:t>
      </w:r>
    </w:p>
    <w:p w14:paraId="6BDE0C28"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Deemer</w:t>
      </w:r>
      <w:proofErr w:type="spellEnd"/>
      <w:r w:rsidRPr="001F05AA">
        <w:rPr>
          <w:rFonts w:eastAsia="Times New Roman"/>
          <w:color w:val="000000"/>
          <w:sz w:val="24"/>
          <w:szCs w:val="24"/>
        </w:rPr>
        <w:t xml:space="preserve">, B. R., &amp; Harrison, J. A. (2019). Summer Redox Dynamics in a Eutrophic Reservoir and Sensitivity to a Summer’s End Drawdown Event. </w:t>
      </w:r>
      <w:r w:rsidRPr="001F05AA">
        <w:rPr>
          <w:rFonts w:eastAsia="Times New Roman"/>
          <w:i/>
          <w:color w:val="000000"/>
          <w:sz w:val="24"/>
          <w:szCs w:val="24"/>
        </w:rPr>
        <w:t>Ecosystems</w:t>
      </w:r>
      <w:r w:rsidRPr="001F05AA">
        <w:rPr>
          <w:rFonts w:eastAsia="Times New Roman"/>
          <w:color w:val="000000"/>
          <w:sz w:val="24"/>
          <w:szCs w:val="24"/>
        </w:rPr>
        <w:t xml:space="preserve">, </w:t>
      </w:r>
      <w:r w:rsidRPr="001F05AA">
        <w:rPr>
          <w:rFonts w:eastAsia="Times New Roman"/>
          <w:i/>
          <w:color w:val="000000"/>
          <w:sz w:val="24"/>
          <w:szCs w:val="24"/>
        </w:rPr>
        <w:t>22</w:t>
      </w:r>
      <w:r w:rsidRPr="001F05AA">
        <w:rPr>
          <w:rFonts w:eastAsia="Times New Roman"/>
          <w:color w:val="000000"/>
          <w:sz w:val="24"/>
          <w:szCs w:val="24"/>
        </w:rPr>
        <w:t>(7), 1618–1632. https://doi.org/10.1007/s10021-019-00362-0</w:t>
      </w:r>
    </w:p>
    <w:p w14:paraId="40855D22" w14:textId="77777777" w:rsidR="0006118D" w:rsidRPr="001F05AA" w:rsidRDefault="00000000" w:rsidP="00726BCB">
      <w:pPr>
        <w:pBdr>
          <w:top w:val="nil"/>
          <w:left w:val="nil"/>
          <w:bottom w:val="nil"/>
          <w:right w:val="nil"/>
          <w:between w:val="nil"/>
        </w:pBdr>
        <w:spacing w:before="120"/>
        <w:ind w:left="720" w:hanging="720"/>
        <w:rPr>
          <w:sz w:val="24"/>
          <w:szCs w:val="24"/>
        </w:rPr>
      </w:pPr>
      <w:proofErr w:type="spellStart"/>
      <w:r w:rsidRPr="00726BCB">
        <w:rPr>
          <w:rFonts w:eastAsia="Times New Roman"/>
          <w:color w:val="000000"/>
          <w:sz w:val="24"/>
          <w:szCs w:val="24"/>
        </w:rPr>
        <w:t>Delwiche</w:t>
      </w:r>
      <w:proofErr w:type="spellEnd"/>
      <w:r w:rsidRPr="001F05AA">
        <w:rPr>
          <w:sz w:val="24"/>
          <w:szCs w:val="24"/>
        </w:rPr>
        <w:t xml:space="preserve">, K., Gu, J., </w:t>
      </w:r>
      <w:proofErr w:type="spellStart"/>
      <w:r w:rsidRPr="001F05AA">
        <w:rPr>
          <w:sz w:val="24"/>
          <w:szCs w:val="24"/>
        </w:rPr>
        <w:t>Hemond</w:t>
      </w:r>
      <w:proofErr w:type="spellEnd"/>
      <w:r w:rsidRPr="001F05AA">
        <w:rPr>
          <w:sz w:val="24"/>
          <w:szCs w:val="24"/>
        </w:rPr>
        <w:t xml:space="preserve">, H., &amp; </w:t>
      </w:r>
      <w:proofErr w:type="spellStart"/>
      <w:r w:rsidRPr="001F05AA">
        <w:rPr>
          <w:sz w:val="24"/>
          <w:szCs w:val="24"/>
        </w:rPr>
        <w:t>Preheim</w:t>
      </w:r>
      <w:proofErr w:type="spellEnd"/>
      <w:r w:rsidRPr="001F05AA">
        <w:rPr>
          <w:sz w:val="24"/>
          <w:szCs w:val="24"/>
        </w:rPr>
        <w:t>, S. P. (2020). Vertical transport of sediment-associated metals and cyanobacteria by ebullition in a stratified lake. Biogeosciences, 17(12), 3135–3147. https://doi.org/10.5194/bg-17-3135-2020</w:t>
      </w:r>
    </w:p>
    <w:p w14:paraId="5752ABE7"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Dillon, R. A., Conroy, J. D., Lang, K. J., </w:t>
      </w:r>
      <w:proofErr w:type="spellStart"/>
      <w:r w:rsidRPr="001F05AA">
        <w:rPr>
          <w:rFonts w:eastAsia="Times New Roman"/>
          <w:color w:val="000000"/>
          <w:sz w:val="24"/>
          <w:szCs w:val="24"/>
        </w:rPr>
        <w:t>Pangle</w:t>
      </w:r>
      <w:proofErr w:type="spellEnd"/>
      <w:r w:rsidRPr="001F05AA">
        <w:rPr>
          <w:rFonts w:eastAsia="Times New Roman"/>
          <w:color w:val="000000"/>
          <w:sz w:val="24"/>
          <w:szCs w:val="24"/>
        </w:rPr>
        <w:t xml:space="preserve">, K. L., &amp; </w:t>
      </w:r>
      <w:proofErr w:type="spellStart"/>
      <w:r w:rsidRPr="001F05AA">
        <w:rPr>
          <w:rFonts w:eastAsia="Times New Roman"/>
          <w:color w:val="000000"/>
          <w:sz w:val="24"/>
          <w:szCs w:val="24"/>
        </w:rPr>
        <w:t>Ludsin</w:t>
      </w:r>
      <w:proofErr w:type="spellEnd"/>
      <w:r w:rsidRPr="001F05AA">
        <w:rPr>
          <w:rFonts w:eastAsia="Times New Roman"/>
          <w:color w:val="000000"/>
          <w:sz w:val="24"/>
          <w:szCs w:val="24"/>
        </w:rPr>
        <w:t xml:space="preserve">, S. A. (2021). Bottom hypoxia alters the spatial distribution of pelagic intermediate consumers and their prey. </w:t>
      </w:r>
      <w:r w:rsidRPr="001F05AA">
        <w:rPr>
          <w:rFonts w:eastAsia="Times New Roman"/>
          <w:i/>
          <w:color w:val="000000"/>
          <w:sz w:val="24"/>
          <w:szCs w:val="24"/>
        </w:rPr>
        <w:t>Canadian Journal of Fisheries and Aquatic Sciences</w:t>
      </w:r>
      <w:r w:rsidRPr="001F05AA">
        <w:rPr>
          <w:rFonts w:eastAsia="Times New Roman"/>
          <w:color w:val="000000"/>
          <w:sz w:val="24"/>
          <w:szCs w:val="24"/>
        </w:rPr>
        <w:t xml:space="preserve">, </w:t>
      </w:r>
      <w:r w:rsidRPr="001F05AA">
        <w:rPr>
          <w:rFonts w:eastAsia="Times New Roman"/>
          <w:i/>
          <w:color w:val="000000"/>
          <w:sz w:val="24"/>
          <w:szCs w:val="24"/>
        </w:rPr>
        <w:t>78</w:t>
      </w:r>
      <w:r w:rsidRPr="001F05AA">
        <w:rPr>
          <w:rFonts w:eastAsia="Times New Roman"/>
          <w:color w:val="000000"/>
          <w:sz w:val="24"/>
          <w:szCs w:val="24"/>
        </w:rPr>
        <w:t>(5), 522–538. https://doi.org/10.1139/cjfas-2020-0001</w:t>
      </w:r>
    </w:p>
    <w:p w14:paraId="1999B2DC"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Doubek</w:t>
      </w:r>
      <w:proofErr w:type="spellEnd"/>
      <w:r w:rsidRPr="001F05AA">
        <w:rPr>
          <w:rFonts w:eastAsia="Times New Roman"/>
          <w:color w:val="000000"/>
          <w:sz w:val="24"/>
          <w:szCs w:val="24"/>
        </w:rPr>
        <w:t xml:space="preserve">, J. P., Campbell, K. L., </w:t>
      </w:r>
      <w:proofErr w:type="spellStart"/>
      <w:r w:rsidRPr="001F05AA">
        <w:rPr>
          <w:rFonts w:eastAsia="Times New Roman"/>
          <w:color w:val="000000"/>
          <w:sz w:val="24"/>
          <w:szCs w:val="24"/>
        </w:rPr>
        <w:t>Doubek</w:t>
      </w:r>
      <w:proofErr w:type="spellEnd"/>
      <w:r w:rsidRPr="001F05AA">
        <w:rPr>
          <w:rFonts w:eastAsia="Times New Roman"/>
          <w:color w:val="000000"/>
          <w:sz w:val="24"/>
          <w:szCs w:val="24"/>
        </w:rPr>
        <w:t xml:space="preserve">, K. M., Hamre, K. D., Lofton, M. E., McClure, R. P., et al. (2018). The effects of hypolimnetic anoxia on the diel vertical migration of freshwater crustacean zooplankton. </w:t>
      </w:r>
      <w:r w:rsidRPr="001F05AA">
        <w:rPr>
          <w:rFonts w:eastAsia="Times New Roman"/>
          <w:i/>
          <w:color w:val="000000"/>
          <w:sz w:val="24"/>
          <w:szCs w:val="24"/>
        </w:rPr>
        <w:t>Ecosphere</w:t>
      </w:r>
      <w:r w:rsidRPr="001F05AA">
        <w:rPr>
          <w:rFonts w:eastAsia="Times New Roman"/>
          <w:color w:val="000000"/>
          <w:sz w:val="24"/>
          <w:szCs w:val="24"/>
        </w:rPr>
        <w:t xml:space="preserve">, </w:t>
      </w:r>
      <w:r w:rsidRPr="001F05AA">
        <w:rPr>
          <w:rFonts w:eastAsia="Times New Roman"/>
          <w:i/>
          <w:color w:val="000000"/>
          <w:sz w:val="24"/>
          <w:szCs w:val="24"/>
        </w:rPr>
        <w:t>9</w:t>
      </w:r>
      <w:r w:rsidRPr="001F05AA">
        <w:rPr>
          <w:rFonts w:eastAsia="Times New Roman"/>
          <w:color w:val="000000"/>
          <w:sz w:val="24"/>
          <w:szCs w:val="24"/>
        </w:rPr>
        <w:t>(7), e02332. https://doi.org/10.1002/ecs2.2332</w:t>
      </w:r>
    </w:p>
    <w:p w14:paraId="386F51A7"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Downing, J. A., Prairie, Y. T., Cole, J. J., Duarte, C. M., </w:t>
      </w:r>
      <w:proofErr w:type="spellStart"/>
      <w:r w:rsidRPr="001F05AA">
        <w:rPr>
          <w:rFonts w:eastAsia="Times New Roman"/>
          <w:color w:val="000000"/>
          <w:sz w:val="24"/>
          <w:szCs w:val="24"/>
        </w:rPr>
        <w:t>Tranvik</w:t>
      </w:r>
      <w:proofErr w:type="spellEnd"/>
      <w:r w:rsidRPr="001F05AA">
        <w:rPr>
          <w:rFonts w:eastAsia="Times New Roman"/>
          <w:color w:val="000000"/>
          <w:sz w:val="24"/>
          <w:szCs w:val="24"/>
        </w:rPr>
        <w:t xml:space="preserve">, L. J., </w:t>
      </w:r>
      <w:proofErr w:type="spellStart"/>
      <w:r w:rsidRPr="001F05AA">
        <w:rPr>
          <w:rFonts w:eastAsia="Times New Roman"/>
          <w:color w:val="000000"/>
          <w:sz w:val="24"/>
          <w:szCs w:val="24"/>
        </w:rPr>
        <w:t>Striegl</w:t>
      </w:r>
      <w:proofErr w:type="spellEnd"/>
      <w:r w:rsidRPr="001F05AA">
        <w:rPr>
          <w:rFonts w:eastAsia="Times New Roman"/>
          <w:color w:val="000000"/>
          <w:sz w:val="24"/>
          <w:szCs w:val="24"/>
        </w:rPr>
        <w:t xml:space="preserve">, R. G., et al. (2006). The global abundance and size distribution of lakes, ponds, and impoundments. </w:t>
      </w:r>
      <w:r w:rsidRPr="001F05AA">
        <w:rPr>
          <w:rFonts w:eastAsia="Times New Roman"/>
          <w:i/>
          <w:color w:val="000000"/>
          <w:sz w:val="24"/>
          <w:szCs w:val="24"/>
        </w:rPr>
        <w:t>Limnology and Oceanography</w:t>
      </w:r>
      <w:r w:rsidRPr="001F05AA">
        <w:rPr>
          <w:rFonts w:eastAsia="Times New Roman"/>
          <w:color w:val="000000"/>
          <w:sz w:val="24"/>
          <w:szCs w:val="24"/>
        </w:rPr>
        <w:t xml:space="preserve">, </w:t>
      </w:r>
      <w:r w:rsidRPr="001F05AA">
        <w:rPr>
          <w:rFonts w:eastAsia="Times New Roman"/>
          <w:i/>
          <w:color w:val="000000"/>
          <w:sz w:val="24"/>
          <w:szCs w:val="24"/>
        </w:rPr>
        <w:t>51</w:t>
      </w:r>
      <w:r w:rsidRPr="001F05AA">
        <w:rPr>
          <w:rFonts w:eastAsia="Times New Roman"/>
          <w:color w:val="000000"/>
          <w:sz w:val="24"/>
          <w:szCs w:val="24"/>
        </w:rPr>
        <w:t>(5), 2388–2397. https://doi.org/10.4319/lo.2006.51.5.2388</w:t>
      </w:r>
    </w:p>
    <w:p w14:paraId="219C4232"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Durham, W. M., &amp; Stocker, R. (2012). Thin Phytoplankton Layers: Characteristics, Mechanisms, and Consequences. </w:t>
      </w:r>
      <w:r w:rsidRPr="001F05AA">
        <w:rPr>
          <w:rFonts w:eastAsia="Times New Roman"/>
          <w:i/>
          <w:color w:val="000000"/>
          <w:sz w:val="24"/>
          <w:szCs w:val="24"/>
        </w:rPr>
        <w:t>Annual Review of Marine Science</w:t>
      </w:r>
      <w:r w:rsidRPr="001F05AA">
        <w:rPr>
          <w:rFonts w:eastAsia="Times New Roman"/>
          <w:color w:val="000000"/>
          <w:sz w:val="24"/>
          <w:szCs w:val="24"/>
        </w:rPr>
        <w:t xml:space="preserve">, </w:t>
      </w:r>
      <w:r w:rsidRPr="001F05AA">
        <w:rPr>
          <w:rFonts w:eastAsia="Times New Roman"/>
          <w:i/>
          <w:color w:val="000000"/>
          <w:sz w:val="24"/>
          <w:szCs w:val="24"/>
        </w:rPr>
        <w:t>4</w:t>
      </w:r>
      <w:r w:rsidRPr="001F05AA">
        <w:rPr>
          <w:rFonts w:eastAsia="Times New Roman"/>
          <w:color w:val="000000"/>
          <w:sz w:val="24"/>
          <w:szCs w:val="24"/>
        </w:rPr>
        <w:t>(1), 177–207. https://doi.org/10.1146/annurev-marine-120710-100957</w:t>
      </w:r>
    </w:p>
    <w:p w14:paraId="212B265F" w14:textId="55026CBA" w:rsidR="006663A6" w:rsidRPr="006663A6" w:rsidRDefault="006663A6" w:rsidP="006663A6">
      <w:pPr>
        <w:pBdr>
          <w:top w:val="nil"/>
          <w:left w:val="nil"/>
          <w:bottom w:val="nil"/>
          <w:right w:val="nil"/>
          <w:between w:val="nil"/>
        </w:pBdr>
        <w:spacing w:before="120"/>
        <w:ind w:left="720" w:hanging="720"/>
        <w:rPr>
          <w:rFonts w:eastAsia="Times New Roman"/>
          <w:color w:val="000000"/>
          <w:sz w:val="24"/>
          <w:szCs w:val="24"/>
          <w:lang w:val="en-US"/>
        </w:rPr>
      </w:pPr>
      <w:r w:rsidRPr="006663A6">
        <w:rPr>
          <w:rFonts w:eastAsia="Times New Roman"/>
          <w:color w:val="000000"/>
          <w:sz w:val="24"/>
          <w:szCs w:val="24"/>
          <w:lang w:val="en-US"/>
        </w:rPr>
        <w:t>Enrich-</w:t>
      </w:r>
      <w:proofErr w:type="spellStart"/>
      <w:r w:rsidRPr="006663A6">
        <w:rPr>
          <w:rFonts w:eastAsia="Times New Roman"/>
          <w:color w:val="000000"/>
          <w:sz w:val="24"/>
          <w:szCs w:val="24"/>
          <w:lang w:val="en-US"/>
        </w:rPr>
        <w:t>Prast</w:t>
      </w:r>
      <w:proofErr w:type="spellEnd"/>
      <w:r w:rsidRPr="006663A6">
        <w:rPr>
          <w:rFonts w:eastAsia="Times New Roman"/>
          <w:color w:val="000000"/>
          <w:sz w:val="24"/>
          <w:szCs w:val="24"/>
          <w:lang w:val="en-US"/>
        </w:rPr>
        <w:t xml:space="preserve">, A., &amp; Esteves, A. (1996). Seasonal nitrogen fixation in the sediment of an Amazonian lake impacted by bauxite tailings (Batata Lake-Pará). </w:t>
      </w:r>
      <w:proofErr w:type="spellStart"/>
      <w:r w:rsidRPr="006663A6">
        <w:rPr>
          <w:rFonts w:eastAsia="Times New Roman"/>
          <w:i/>
          <w:iCs/>
          <w:color w:val="000000"/>
          <w:sz w:val="24"/>
          <w:szCs w:val="24"/>
          <w:lang w:val="en-US"/>
        </w:rPr>
        <w:t>Amazoniana</w:t>
      </w:r>
      <w:proofErr w:type="spellEnd"/>
      <w:r w:rsidRPr="006663A6">
        <w:rPr>
          <w:rFonts w:eastAsia="Times New Roman"/>
          <w:i/>
          <w:iCs/>
          <w:color w:val="000000"/>
          <w:sz w:val="24"/>
          <w:szCs w:val="24"/>
          <w:lang w:val="en-US"/>
        </w:rPr>
        <w:t xml:space="preserve">: </w:t>
      </w:r>
      <w:proofErr w:type="spellStart"/>
      <w:r w:rsidRPr="006663A6">
        <w:rPr>
          <w:rFonts w:eastAsia="Times New Roman"/>
          <w:i/>
          <w:iCs/>
          <w:color w:val="000000"/>
          <w:sz w:val="24"/>
          <w:szCs w:val="24"/>
          <w:lang w:val="en-US"/>
        </w:rPr>
        <w:t>Limnologia</w:t>
      </w:r>
      <w:proofErr w:type="spellEnd"/>
      <w:r w:rsidRPr="006663A6">
        <w:rPr>
          <w:rFonts w:eastAsia="Times New Roman"/>
          <w:i/>
          <w:iCs/>
          <w:color w:val="000000"/>
          <w:sz w:val="24"/>
          <w:szCs w:val="24"/>
          <w:lang w:val="en-US"/>
        </w:rPr>
        <w:t xml:space="preserve"> et </w:t>
      </w:r>
      <w:proofErr w:type="spellStart"/>
      <w:r w:rsidRPr="006663A6">
        <w:rPr>
          <w:rFonts w:eastAsia="Times New Roman"/>
          <w:i/>
          <w:iCs/>
          <w:color w:val="000000"/>
          <w:sz w:val="24"/>
          <w:szCs w:val="24"/>
          <w:lang w:val="en-US"/>
        </w:rPr>
        <w:t>Oecologia</w:t>
      </w:r>
      <w:proofErr w:type="spellEnd"/>
      <w:r w:rsidRPr="006663A6">
        <w:rPr>
          <w:rFonts w:eastAsia="Times New Roman"/>
          <w:i/>
          <w:iCs/>
          <w:color w:val="000000"/>
          <w:sz w:val="24"/>
          <w:szCs w:val="24"/>
          <w:lang w:val="en-US"/>
        </w:rPr>
        <w:t xml:space="preserve"> </w:t>
      </w:r>
      <w:proofErr w:type="spellStart"/>
      <w:r w:rsidRPr="006663A6">
        <w:rPr>
          <w:rFonts w:eastAsia="Times New Roman"/>
          <w:i/>
          <w:iCs/>
          <w:color w:val="000000"/>
          <w:sz w:val="24"/>
          <w:szCs w:val="24"/>
          <w:lang w:val="en-US"/>
        </w:rPr>
        <w:t>Regionalis</w:t>
      </w:r>
      <w:proofErr w:type="spellEnd"/>
      <w:r w:rsidRPr="006663A6">
        <w:rPr>
          <w:rFonts w:eastAsia="Times New Roman"/>
          <w:i/>
          <w:iCs/>
          <w:color w:val="000000"/>
          <w:sz w:val="24"/>
          <w:szCs w:val="24"/>
          <w:lang w:val="en-US"/>
        </w:rPr>
        <w:t xml:space="preserve"> </w:t>
      </w:r>
      <w:proofErr w:type="spellStart"/>
      <w:r w:rsidRPr="006663A6">
        <w:rPr>
          <w:rFonts w:eastAsia="Times New Roman"/>
          <w:i/>
          <w:iCs/>
          <w:color w:val="000000"/>
          <w:sz w:val="24"/>
          <w:szCs w:val="24"/>
          <w:lang w:val="en-US"/>
        </w:rPr>
        <w:t>Systematis</w:t>
      </w:r>
      <w:proofErr w:type="spellEnd"/>
      <w:r w:rsidRPr="006663A6">
        <w:rPr>
          <w:rFonts w:eastAsia="Times New Roman"/>
          <w:i/>
          <w:iCs/>
          <w:color w:val="000000"/>
          <w:sz w:val="24"/>
          <w:szCs w:val="24"/>
          <w:lang w:val="en-US"/>
        </w:rPr>
        <w:t xml:space="preserve"> </w:t>
      </w:r>
      <w:proofErr w:type="spellStart"/>
      <w:r w:rsidRPr="006663A6">
        <w:rPr>
          <w:rFonts w:eastAsia="Times New Roman"/>
          <w:i/>
          <w:iCs/>
          <w:color w:val="000000"/>
          <w:sz w:val="24"/>
          <w:szCs w:val="24"/>
          <w:lang w:val="en-US"/>
        </w:rPr>
        <w:t>Fluminis</w:t>
      </w:r>
      <w:proofErr w:type="spellEnd"/>
      <w:r w:rsidRPr="006663A6">
        <w:rPr>
          <w:rFonts w:eastAsia="Times New Roman"/>
          <w:i/>
          <w:iCs/>
          <w:color w:val="000000"/>
          <w:sz w:val="24"/>
          <w:szCs w:val="24"/>
          <w:lang w:val="en-US"/>
        </w:rPr>
        <w:t xml:space="preserve"> Amazonas</w:t>
      </w:r>
      <w:r w:rsidRPr="006663A6">
        <w:rPr>
          <w:rFonts w:eastAsia="Times New Roman"/>
          <w:color w:val="000000"/>
          <w:sz w:val="24"/>
          <w:szCs w:val="24"/>
          <w:lang w:val="en-US"/>
        </w:rPr>
        <w:t xml:space="preserve">, </w:t>
      </w:r>
      <w:r w:rsidRPr="006663A6">
        <w:rPr>
          <w:rFonts w:eastAsia="Times New Roman"/>
          <w:i/>
          <w:iCs/>
          <w:color w:val="000000"/>
          <w:sz w:val="24"/>
          <w:szCs w:val="24"/>
          <w:lang w:val="en-US"/>
        </w:rPr>
        <w:t>14</w:t>
      </w:r>
      <w:r w:rsidRPr="006663A6">
        <w:rPr>
          <w:rFonts w:eastAsia="Times New Roman"/>
          <w:color w:val="000000"/>
          <w:sz w:val="24"/>
          <w:szCs w:val="24"/>
          <w:lang w:val="en-US"/>
        </w:rPr>
        <w:t>(1/2), 157–163.</w:t>
      </w:r>
    </w:p>
    <w:p w14:paraId="02A4396E" w14:textId="1195214C"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Ejankowski</w:t>
      </w:r>
      <w:proofErr w:type="spellEnd"/>
      <w:r w:rsidRPr="001F05AA">
        <w:rPr>
          <w:rFonts w:eastAsia="Times New Roman"/>
          <w:color w:val="000000"/>
          <w:sz w:val="24"/>
          <w:szCs w:val="24"/>
        </w:rPr>
        <w:t>, W., &amp; Solis, M. (2015). Response of hornwort (</w:t>
      </w:r>
      <w:proofErr w:type="spellStart"/>
      <w:r w:rsidRPr="001F05AA">
        <w:rPr>
          <w:rFonts w:eastAsia="Times New Roman"/>
          <w:color w:val="000000"/>
          <w:sz w:val="24"/>
          <w:szCs w:val="24"/>
        </w:rPr>
        <w:t>Ceratophyllum</w:t>
      </w:r>
      <w:proofErr w:type="spellEnd"/>
      <w:r w:rsidRPr="001F05AA">
        <w:rPr>
          <w:rFonts w:eastAsia="Times New Roman"/>
          <w:color w:val="000000"/>
          <w:sz w:val="24"/>
          <w:szCs w:val="24"/>
        </w:rPr>
        <w:t xml:space="preserve"> </w:t>
      </w:r>
      <w:proofErr w:type="spellStart"/>
      <w:r w:rsidRPr="001F05AA">
        <w:rPr>
          <w:rFonts w:eastAsia="Times New Roman"/>
          <w:color w:val="000000"/>
          <w:sz w:val="24"/>
          <w:szCs w:val="24"/>
        </w:rPr>
        <w:t>Demersum</w:t>
      </w:r>
      <w:proofErr w:type="spellEnd"/>
      <w:r w:rsidRPr="001F05AA">
        <w:rPr>
          <w:rFonts w:eastAsia="Times New Roman"/>
          <w:color w:val="000000"/>
          <w:sz w:val="24"/>
          <w:szCs w:val="24"/>
        </w:rPr>
        <w:t xml:space="preserve"> L.) to water level drawdown in a turbid water reservoir. </w:t>
      </w:r>
      <w:r w:rsidRPr="001F05AA">
        <w:rPr>
          <w:rFonts w:eastAsia="Times New Roman"/>
          <w:i/>
          <w:color w:val="000000"/>
          <w:sz w:val="24"/>
          <w:szCs w:val="24"/>
        </w:rPr>
        <w:t>Applied Ecology and Environmental Research</w:t>
      </w:r>
      <w:r w:rsidRPr="001F05AA">
        <w:rPr>
          <w:rFonts w:eastAsia="Times New Roman"/>
          <w:color w:val="000000"/>
          <w:sz w:val="24"/>
          <w:szCs w:val="24"/>
        </w:rPr>
        <w:t xml:space="preserve">, </w:t>
      </w:r>
      <w:r w:rsidRPr="001F05AA">
        <w:rPr>
          <w:rFonts w:eastAsia="Times New Roman"/>
          <w:i/>
          <w:color w:val="000000"/>
          <w:sz w:val="24"/>
          <w:szCs w:val="24"/>
        </w:rPr>
        <w:t>13</w:t>
      </w:r>
      <w:r w:rsidRPr="001F05AA">
        <w:rPr>
          <w:rFonts w:eastAsia="Times New Roman"/>
          <w:color w:val="000000"/>
          <w:sz w:val="24"/>
          <w:szCs w:val="24"/>
        </w:rPr>
        <w:t>, 219–228. https://doi.org/10.15666/aeer/1301_219228</w:t>
      </w:r>
    </w:p>
    <w:p w14:paraId="713BEC74"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Fergus, C. E., Brooks, J. R., Kaufmann, P. R., Pollard, A. I., Mitchell, R., </w:t>
      </w:r>
      <w:proofErr w:type="spellStart"/>
      <w:r w:rsidRPr="001F05AA">
        <w:rPr>
          <w:rFonts w:eastAsia="Times New Roman"/>
          <w:color w:val="000000"/>
          <w:sz w:val="24"/>
          <w:szCs w:val="24"/>
        </w:rPr>
        <w:t>Geldhof</w:t>
      </w:r>
      <w:proofErr w:type="spellEnd"/>
      <w:r w:rsidRPr="001F05AA">
        <w:rPr>
          <w:rFonts w:eastAsia="Times New Roman"/>
          <w:color w:val="000000"/>
          <w:sz w:val="24"/>
          <w:szCs w:val="24"/>
        </w:rPr>
        <w:t xml:space="preserve">, G. J., et al. (2022). Natural and anthropogenic controls on lake water-level decline and evaporation-to-inflow ratio in the conterminous United States. </w:t>
      </w:r>
      <w:r w:rsidRPr="001F05AA">
        <w:rPr>
          <w:rFonts w:eastAsia="Times New Roman"/>
          <w:i/>
          <w:color w:val="000000"/>
          <w:sz w:val="24"/>
          <w:szCs w:val="24"/>
        </w:rPr>
        <w:t>Limnology and Oceanography</w:t>
      </w:r>
      <w:r w:rsidRPr="001F05AA">
        <w:rPr>
          <w:rFonts w:eastAsia="Times New Roman"/>
          <w:color w:val="000000"/>
          <w:sz w:val="24"/>
          <w:szCs w:val="24"/>
        </w:rPr>
        <w:t xml:space="preserve">, </w:t>
      </w:r>
      <w:r w:rsidRPr="001F05AA">
        <w:rPr>
          <w:rFonts w:eastAsia="Times New Roman"/>
          <w:i/>
          <w:color w:val="000000"/>
          <w:sz w:val="24"/>
          <w:szCs w:val="24"/>
        </w:rPr>
        <w:t>67</w:t>
      </w:r>
      <w:r w:rsidRPr="001F05AA">
        <w:rPr>
          <w:rFonts w:eastAsia="Times New Roman"/>
          <w:color w:val="000000"/>
          <w:sz w:val="24"/>
          <w:szCs w:val="24"/>
        </w:rPr>
        <w:t>(7), 1484–1501. https://doi.org/10.1002/lno.12097</w:t>
      </w:r>
    </w:p>
    <w:p w14:paraId="22EB0087"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Foley, B., Jones, I. D., Maberly, S. C., &amp; </w:t>
      </w:r>
      <w:proofErr w:type="spellStart"/>
      <w:r w:rsidRPr="001F05AA">
        <w:rPr>
          <w:rFonts w:eastAsia="Times New Roman"/>
          <w:color w:val="000000"/>
          <w:sz w:val="24"/>
          <w:szCs w:val="24"/>
        </w:rPr>
        <w:t>Rippey</w:t>
      </w:r>
      <w:proofErr w:type="spellEnd"/>
      <w:r w:rsidRPr="001F05AA">
        <w:rPr>
          <w:rFonts w:eastAsia="Times New Roman"/>
          <w:color w:val="000000"/>
          <w:sz w:val="24"/>
          <w:szCs w:val="24"/>
        </w:rPr>
        <w:t xml:space="preserve">, B. (2012). Long-term changes in oxygen depletion in a small temperate lake: effects of climate change and eutrophication. </w:t>
      </w:r>
      <w:r w:rsidRPr="001F05AA">
        <w:rPr>
          <w:rFonts w:eastAsia="Times New Roman"/>
          <w:i/>
          <w:color w:val="000000"/>
          <w:sz w:val="24"/>
          <w:szCs w:val="24"/>
        </w:rPr>
        <w:t>Freshwater Biology</w:t>
      </w:r>
      <w:r w:rsidRPr="001F05AA">
        <w:rPr>
          <w:rFonts w:eastAsia="Times New Roman"/>
          <w:color w:val="000000"/>
          <w:sz w:val="24"/>
          <w:szCs w:val="24"/>
        </w:rPr>
        <w:t xml:space="preserve">, </w:t>
      </w:r>
      <w:r w:rsidRPr="001F05AA">
        <w:rPr>
          <w:rFonts w:eastAsia="Times New Roman"/>
          <w:i/>
          <w:color w:val="000000"/>
          <w:sz w:val="24"/>
          <w:szCs w:val="24"/>
        </w:rPr>
        <w:t>57</w:t>
      </w:r>
      <w:r w:rsidRPr="001F05AA">
        <w:rPr>
          <w:rFonts w:eastAsia="Times New Roman"/>
          <w:color w:val="000000"/>
          <w:sz w:val="24"/>
          <w:szCs w:val="24"/>
        </w:rPr>
        <w:t>(2), 278–289. https://doi.org/10.1111/j.1365-2427.2011.02662.x</w:t>
      </w:r>
    </w:p>
    <w:p w14:paraId="2C7FF21E"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lastRenderedPageBreak/>
        <w:t>Fukami</w:t>
      </w:r>
      <w:proofErr w:type="spellEnd"/>
      <w:r w:rsidRPr="001F05AA">
        <w:rPr>
          <w:rFonts w:eastAsia="Times New Roman"/>
          <w:color w:val="000000"/>
          <w:sz w:val="24"/>
          <w:szCs w:val="24"/>
        </w:rPr>
        <w:t xml:space="preserve">, K., </w:t>
      </w:r>
      <w:proofErr w:type="spellStart"/>
      <w:r w:rsidRPr="001F05AA">
        <w:rPr>
          <w:rFonts w:eastAsia="Times New Roman"/>
          <w:color w:val="000000"/>
          <w:sz w:val="24"/>
          <w:szCs w:val="24"/>
        </w:rPr>
        <w:t>Simidu</w:t>
      </w:r>
      <w:proofErr w:type="spellEnd"/>
      <w:r w:rsidRPr="001F05AA">
        <w:rPr>
          <w:rFonts w:eastAsia="Times New Roman"/>
          <w:color w:val="000000"/>
          <w:sz w:val="24"/>
          <w:szCs w:val="24"/>
        </w:rPr>
        <w:t xml:space="preserve">, U., &amp; </w:t>
      </w:r>
      <w:proofErr w:type="spellStart"/>
      <w:r w:rsidRPr="001F05AA">
        <w:rPr>
          <w:rFonts w:eastAsia="Times New Roman"/>
          <w:color w:val="000000"/>
          <w:sz w:val="24"/>
          <w:szCs w:val="24"/>
        </w:rPr>
        <w:t>Taga</w:t>
      </w:r>
      <w:proofErr w:type="spellEnd"/>
      <w:r w:rsidRPr="001F05AA">
        <w:rPr>
          <w:rFonts w:eastAsia="Times New Roman"/>
          <w:color w:val="000000"/>
          <w:sz w:val="24"/>
          <w:szCs w:val="24"/>
        </w:rPr>
        <w:t xml:space="preserve">, N. (1983). Change in a bacterial population during the process of degradation of a phytoplankton bloom in a brackish lake. </w:t>
      </w:r>
      <w:r w:rsidRPr="001F05AA">
        <w:rPr>
          <w:rFonts w:eastAsia="Times New Roman"/>
          <w:i/>
          <w:color w:val="000000"/>
          <w:sz w:val="24"/>
          <w:szCs w:val="24"/>
        </w:rPr>
        <w:t>Marine Biology</w:t>
      </w:r>
      <w:r w:rsidRPr="001F05AA">
        <w:rPr>
          <w:rFonts w:eastAsia="Times New Roman"/>
          <w:color w:val="000000"/>
          <w:sz w:val="24"/>
          <w:szCs w:val="24"/>
        </w:rPr>
        <w:t xml:space="preserve">, </w:t>
      </w:r>
      <w:r w:rsidRPr="001F05AA">
        <w:rPr>
          <w:rFonts w:eastAsia="Times New Roman"/>
          <w:i/>
          <w:color w:val="000000"/>
          <w:sz w:val="24"/>
          <w:szCs w:val="24"/>
        </w:rPr>
        <w:t>76</w:t>
      </w:r>
      <w:r w:rsidRPr="001F05AA">
        <w:rPr>
          <w:rFonts w:eastAsia="Times New Roman"/>
          <w:color w:val="000000"/>
          <w:sz w:val="24"/>
          <w:szCs w:val="24"/>
        </w:rPr>
        <w:t>(3), 253–255. https://doi.org/10.1007/BF00393025</w:t>
      </w:r>
    </w:p>
    <w:p w14:paraId="43782FC8"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Furey</w:t>
      </w:r>
      <w:proofErr w:type="spellEnd"/>
      <w:r w:rsidRPr="001F05AA">
        <w:rPr>
          <w:rFonts w:eastAsia="Times New Roman"/>
          <w:color w:val="000000"/>
          <w:sz w:val="24"/>
          <w:szCs w:val="24"/>
        </w:rPr>
        <w:t xml:space="preserve">, P. C., </w:t>
      </w:r>
      <w:proofErr w:type="spellStart"/>
      <w:r w:rsidRPr="001F05AA">
        <w:rPr>
          <w:rFonts w:eastAsia="Times New Roman"/>
          <w:color w:val="000000"/>
          <w:sz w:val="24"/>
          <w:szCs w:val="24"/>
        </w:rPr>
        <w:t>Nordin</w:t>
      </w:r>
      <w:proofErr w:type="spellEnd"/>
      <w:r w:rsidRPr="001F05AA">
        <w:rPr>
          <w:rFonts w:eastAsia="Times New Roman"/>
          <w:color w:val="000000"/>
          <w:sz w:val="24"/>
          <w:szCs w:val="24"/>
        </w:rPr>
        <w:t xml:space="preserve">, R. N., &amp; </w:t>
      </w:r>
      <w:proofErr w:type="spellStart"/>
      <w:r w:rsidRPr="001F05AA">
        <w:rPr>
          <w:rFonts w:eastAsia="Times New Roman"/>
          <w:color w:val="000000"/>
          <w:sz w:val="24"/>
          <w:szCs w:val="24"/>
        </w:rPr>
        <w:t>Mazumder</w:t>
      </w:r>
      <w:proofErr w:type="spellEnd"/>
      <w:r w:rsidRPr="001F05AA">
        <w:rPr>
          <w:rFonts w:eastAsia="Times New Roman"/>
          <w:color w:val="000000"/>
          <w:sz w:val="24"/>
          <w:szCs w:val="24"/>
        </w:rPr>
        <w:t xml:space="preserve">, A. (2004). Water Level Drawdown Affects Physical and Biogeochemical Properties of Littoral Sediments of a Reservoir and a Natural Lake. </w:t>
      </w:r>
      <w:r w:rsidRPr="001F05AA">
        <w:rPr>
          <w:rFonts w:eastAsia="Times New Roman"/>
          <w:i/>
          <w:color w:val="000000"/>
          <w:sz w:val="24"/>
          <w:szCs w:val="24"/>
        </w:rPr>
        <w:t>Lake and Reservoir Management</w:t>
      </w:r>
      <w:r w:rsidRPr="001F05AA">
        <w:rPr>
          <w:rFonts w:eastAsia="Times New Roman"/>
          <w:color w:val="000000"/>
          <w:sz w:val="24"/>
          <w:szCs w:val="24"/>
        </w:rPr>
        <w:t xml:space="preserve">, </w:t>
      </w:r>
      <w:r w:rsidRPr="001F05AA">
        <w:rPr>
          <w:rFonts w:eastAsia="Times New Roman"/>
          <w:i/>
          <w:color w:val="000000"/>
          <w:sz w:val="24"/>
          <w:szCs w:val="24"/>
        </w:rPr>
        <w:t>20</w:t>
      </w:r>
      <w:r w:rsidRPr="001F05AA">
        <w:rPr>
          <w:rFonts w:eastAsia="Times New Roman"/>
          <w:color w:val="000000"/>
          <w:sz w:val="24"/>
          <w:szCs w:val="24"/>
        </w:rPr>
        <w:t>(4), 280–295. https://doi.org/10.1080/07438140409354158</w:t>
      </w:r>
    </w:p>
    <w:p w14:paraId="74CDDF0C"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Gardner, W. S., Newell, S. E., McCarthy, M. J., Hoffman, D. K., Lu, K., </w:t>
      </w:r>
      <w:proofErr w:type="spellStart"/>
      <w:r w:rsidRPr="001F05AA">
        <w:rPr>
          <w:rFonts w:eastAsia="Times New Roman"/>
          <w:color w:val="000000"/>
          <w:sz w:val="24"/>
          <w:szCs w:val="24"/>
        </w:rPr>
        <w:t>Lavrentyev</w:t>
      </w:r>
      <w:proofErr w:type="spellEnd"/>
      <w:r w:rsidRPr="001F05AA">
        <w:rPr>
          <w:rFonts w:eastAsia="Times New Roman"/>
          <w:color w:val="000000"/>
          <w:sz w:val="24"/>
          <w:szCs w:val="24"/>
        </w:rPr>
        <w:t xml:space="preserve">, P. J., et al. (2017). Community Biological Ammonium Demand: A Conceptual Model for Cyanobacteria Blooms in Eutrophic Lakes. </w:t>
      </w:r>
      <w:r w:rsidRPr="001F05AA">
        <w:rPr>
          <w:rFonts w:eastAsia="Times New Roman"/>
          <w:i/>
          <w:color w:val="000000"/>
          <w:sz w:val="24"/>
          <w:szCs w:val="24"/>
        </w:rPr>
        <w:t>Environmental Science &amp; Technology</w:t>
      </w:r>
      <w:r w:rsidRPr="001F05AA">
        <w:rPr>
          <w:rFonts w:eastAsia="Times New Roman"/>
          <w:color w:val="000000"/>
          <w:sz w:val="24"/>
          <w:szCs w:val="24"/>
        </w:rPr>
        <w:t xml:space="preserve">, </w:t>
      </w:r>
      <w:r w:rsidRPr="001F05AA">
        <w:rPr>
          <w:rFonts w:eastAsia="Times New Roman"/>
          <w:i/>
          <w:color w:val="000000"/>
          <w:sz w:val="24"/>
          <w:szCs w:val="24"/>
        </w:rPr>
        <w:t>51</w:t>
      </w:r>
      <w:r w:rsidRPr="001F05AA">
        <w:rPr>
          <w:rFonts w:eastAsia="Times New Roman"/>
          <w:color w:val="000000"/>
          <w:sz w:val="24"/>
          <w:szCs w:val="24"/>
        </w:rPr>
        <w:t>(14), 7785–7793. https://doi.org/10.1021/acs.est.6b06296</w:t>
      </w:r>
    </w:p>
    <w:p w14:paraId="18F2D5EF"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Geraldes</w:t>
      </w:r>
      <w:proofErr w:type="spellEnd"/>
      <w:r w:rsidRPr="001F05AA">
        <w:rPr>
          <w:rFonts w:eastAsia="Times New Roman"/>
          <w:color w:val="000000"/>
          <w:sz w:val="24"/>
          <w:szCs w:val="24"/>
        </w:rPr>
        <w:t xml:space="preserve">, A. M., &amp; </w:t>
      </w:r>
      <w:proofErr w:type="spellStart"/>
      <w:r w:rsidRPr="001F05AA">
        <w:rPr>
          <w:rFonts w:eastAsia="Times New Roman"/>
          <w:color w:val="000000"/>
          <w:sz w:val="24"/>
          <w:szCs w:val="24"/>
        </w:rPr>
        <w:t>Boavida</w:t>
      </w:r>
      <w:proofErr w:type="spellEnd"/>
      <w:r w:rsidRPr="001F05AA">
        <w:rPr>
          <w:rFonts w:eastAsia="Times New Roman"/>
          <w:color w:val="000000"/>
          <w:sz w:val="24"/>
          <w:szCs w:val="24"/>
        </w:rPr>
        <w:t xml:space="preserve">, M.-J. (2005). Seasonal water level fluctuations: Implications for reservoir limnology and management. </w:t>
      </w:r>
      <w:r w:rsidRPr="001F05AA">
        <w:rPr>
          <w:rFonts w:eastAsia="Times New Roman"/>
          <w:i/>
          <w:color w:val="000000"/>
          <w:sz w:val="24"/>
          <w:szCs w:val="24"/>
        </w:rPr>
        <w:t>Lakes &amp; Reservoirs: Science, Policy and Management for Sustainable Use</w:t>
      </w:r>
      <w:r w:rsidRPr="001F05AA">
        <w:rPr>
          <w:rFonts w:eastAsia="Times New Roman"/>
          <w:color w:val="000000"/>
          <w:sz w:val="24"/>
          <w:szCs w:val="24"/>
        </w:rPr>
        <w:t xml:space="preserve">, </w:t>
      </w:r>
      <w:r w:rsidRPr="001F05AA">
        <w:rPr>
          <w:rFonts w:eastAsia="Times New Roman"/>
          <w:i/>
          <w:color w:val="000000"/>
          <w:sz w:val="24"/>
          <w:szCs w:val="24"/>
        </w:rPr>
        <w:t>10</w:t>
      </w:r>
      <w:r w:rsidRPr="001F05AA">
        <w:rPr>
          <w:rFonts w:eastAsia="Times New Roman"/>
          <w:color w:val="000000"/>
          <w:sz w:val="24"/>
          <w:szCs w:val="24"/>
        </w:rPr>
        <w:t>(1), 59–69. https://doi.org/10.1111/j.1440-1770.2005.00257.x</w:t>
      </w:r>
    </w:p>
    <w:p w14:paraId="154E657E" w14:textId="6B9B6706" w:rsidR="00AA1102" w:rsidRDefault="00AA1102" w:rsidP="00AA1102">
      <w:pPr>
        <w:pBdr>
          <w:top w:val="nil"/>
          <w:left w:val="nil"/>
          <w:bottom w:val="nil"/>
          <w:right w:val="nil"/>
          <w:between w:val="nil"/>
        </w:pBdr>
        <w:spacing w:before="120"/>
        <w:ind w:left="720" w:hanging="720"/>
        <w:rPr>
          <w:rFonts w:eastAsia="Times New Roman"/>
          <w:color w:val="000000"/>
          <w:sz w:val="24"/>
          <w:szCs w:val="24"/>
        </w:rPr>
      </w:pPr>
      <w:r w:rsidRPr="00AA1102">
        <w:rPr>
          <w:rFonts w:eastAsia="Times New Roman"/>
          <w:color w:val="000000"/>
          <w:sz w:val="24"/>
          <w:szCs w:val="24"/>
        </w:rPr>
        <w:t xml:space="preserve">Grant, M. J., &amp; Booth, A. (2009). A typology of reviews: an analysis of 14 review types and associated methodologies. </w:t>
      </w:r>
      <w:r w:rsidRPr="00AA1102">
        <w:rPr>
          <w:rFonts w:eastAsia="Times New Roman"/>
          <w:i/>
          <w:iCs/>
          <w:color w:val="000000"/>
          <w:sz w:val="24"/>
          <w:szCs w:val="24"/>
        </w:rPr>
        <w:t>Health Information and Libraries Journal</w:t>
      </w:r>
      <w:r w:rsidRPr="00AA1102">
        <w:rPr>
          <w:rFonts w:eastAsia="Times New Roman"/>
          <w:color w:val="000000"/>
          <w:sz w:val="24"/>
          <w:szCs w:val="24"/>
        </w:rPr>
        <w:t xml:space="preserve">, </w:t>
      </w:r>
      <w:r w:rsidRPr="00AA1102">
        <w:rPr>
          <w:rFonts w:eastAsia="Times New Roman"/>
          <w:i/>
          <w:iCs/>
          <w:color w:val="000000"/>
          <w:sz w:val="24"/>
          <w:szCs w:val="24"/>
        </w:rPr>
        <w:t>26</w:t>
      </w:r>
      <w:r w:rsidRPr="00AA1102">
        <w:rPr>
          <w:rFonts w:eastAsia="Times New Roman"/>
          <w:color w:val="000000"/>
          <w:sz w:val="24"/>
          <w:szCs w:val="24"/>
        </w:rPr>
        <w:t>(2), 91–108. https://doi.org/10.1111/j.1471-1842.2009.00848.x</w:t>
      </w:r>
    </w:p>
    <w:p w14:paraId="3705EDFE" w14:textId="03029658"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Grossart</w:t>
      </w:r>
      <w:proofErr w:type="spellEnd"/>
      <w:r w:rsidRPr="001F05AA">
        <w:rPr>
          <w:rFonts w:eastAsia="Times New Roman"/>
          <w:color w:val="000000"/>
          <w:sz w:val="24"/>
          <w:szCs w:val="24"/>
        </w:rPr>
        <w:t xml:space="preserve">, H.-P., &amp; Simon, M. (1998). Bacterial colonization and microbial decomposition of limnetic organic aggregates (lake snow). </w:t>
      </w:r>
      <w:r w:rsidRPr="001F05AA">
        <w:rPr>
          <w:rFonts w:eastAsia="Times New Roman"/>
          <w:i/>
          <w:color w:val="000000"/>
          <w:sz w:val="24"/>
          <w:szCs w:val="24"/>
        </w:rPr>
        <w:t>Aquatic Microbial Ecology</w:t>
      </w:r>
      <w:r w:rsidRPr="001F05AA">
        <w:rPr>
          <w:rFonts w:eastAsia="Times New Roman"/>
          <w:color w:val="000000"/>
          <w:sz w:val="24"/>
          <w:szCs w:val="24"/>
        </w:rPr>
        <w:t xml:space="preserve">, </w:t>
      </w:r>
      <w:r w:rsidRPr="001F05AA">
        <w:rPr>
          <w:rFonts w:eastAsia="Times New Roman"/>
          <w:i/>
          <w:color w:val="000000"/>
          <w:sz w:val="24"/>
          <w:szCs w:val="24"/>
        </w:rPr>
        <w:t>15</w:t>
      </w:r>
      <w:r w:rsidRPr="001F05AA">
        <w:rPr>
          <w:rFonts w:eastAsia="Times New Roman"/>
          <w:color w:val="000000"/>
          <w:sz w:val="24"/>
          <w:szCs w:val="24"/>
        </w:rPr>
        <w:t>(2), 127–140. https://doi.org/10.3354/ame015127</w:t>
      </w:r>
    </w:p>
    <w:p w14:paraId="7987FDA4"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Hałemejko</w:t>
      </w:r>
      <w:proofErr w:type="spellEnd"/>
      <w:r w:rsidRPr="001F05AA">
        <w:rPr>
          <w:rFonts w:eastAsia="Times New Roman"/>
          <w:color w:val="000000"/>
          <w:sz w:val="24"/>
          <w:szCs w:val="24"/>
        </w:rPr>
        <w:t xml:space="preserve">, G. Z., &amp; </w:t>
      </w:r>
      <w:proofErr w:type="spellStart"/>
      <w:r w:rsidRPr="001F05AA">
        <w:rPr>
          <w:rFonts w:eastAsia="Times New Roman"/>
          <w:color w:val="000000"/>
          <w:sz w:val="24"/>
          <w:szCs w:val="24"/>
        </w:rPr>
        <w:t>Chrost</w:t>
      </w:r>
      <w:proofErr w:type="spellEnd"/>
      <w:r w:rsidRPr="001F05AA">
        <w:rPr>
          <w:rFonts w:eastAsia="Times New Roman"/>
          <w:color w:val="000000"/>
          <w:sz w:val="24"/>
          <w:szCs w:val="24"/>
        </w:rPr>
        <w:t xml:space="preserve">, R. (1984). The role of phosphatase in phosphorus mineralization during decomposition of lake phytoplankton blooms. </w:t>
      </w:r>
      <w:proofErr w:type="spellStart"/>
      <w:r w:rsidRPr="001F05AA">
        <w:rPr>
          <w:rFonts w:eastAsia="Times New Roman"/>
          <w:i/>
          <w:color w:val="000000"/>
          <w:sz w:val="24"/>
          <w:szCs w:val="24"/>
        </w:rPr>
        <w:t>Archiv</w:t>
      </w:r>
      <w:proofErr w:type="spellEnd"/>
      <w:r w:rsidRPr="001F05AA">
        <w:rPr>
          <w:rFonts w:eastAsia="Times New Roman"/>
          <w:i/>
          <w:color w:val="000000"/>
          <w:sz w:val="24"/>
          <w:szCs w:val="24"/>
        </w:rPr>
        <w:t xml:space="preserve"> Fur </w:t>
      </w:r>
      <w:proofErr w:type="spellStart"/>
      <w:r w:rsidRPr="001F05AA">
        <w:rPr>
          <w:rFonts w:eastAsia="Times New Roman"/>
          <w:i/>
          <w:color w:val="000000"/>
          <w:sz w:val="24"/>
          <w:szCs w:val="24"/>
        </w:rPr>
        <w:t>Hydrobiologie</w:t>
      </w:r>
      <w:proofErr w:type="spellEnd"/>
      <w:r w:rsidRPr="001F05AA">
        <w:rPr>
          <w:rFonts w:eastAsia="Times New Roman"/>
          <w:color w:val="000000"/>
          <w:sz w:val="24"/>
          <w:szCs w:val="24"/>
        </w:rPr>
        <w:t xml:space="preserve">, </w:t>
      </w:r>
      <w:r w:rsidRPr="001F05AA">
        <w:rPr>
          <w:rFonts w:eastAsia="Times New Roman"/>
          <w:i/>
          <w:color w:val="000000"/>
          <w:sz w:val="24"/>
          <w:szCs w:val="24"/>
        </w:rPr>
        <w:t>101</w:t>
      </w:r>
      <w:r w:rsidRPr="001F05AA">
        <w:rPr>
          <w:rFonts w:eastAsia="Times New Roman"/>
          <w:color w:val="000000"/>
          <w:sz w:val="24"/>
          <w:szCs w:val="24"/>
        </w:rPr>
        <w:t>, 489–502.</w:t>
      </w:r>
    </w:p>
    <w:p w14:paraId="711A6AA5"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Hamilton, D. P., O’Brien, K. R., Burford, M. A., Brookes, J. D., &amp; McBride, C. G. (2010). Vertical distributions of chlorophyll in deep, warm </w:t>
      </w:r>
      <w:proofErr w:type="spellStart"/>
      <w:r w:rsidRPr="001F05AA">
        <w:rPr>
          <w:rFonts w:eastAsia="Times New Roman"/>
          <w:color w:val="000000"/>
          <w:sz w:val="24"/>
          <w:szCs w:val="24"/>
        </w:rPr>
        <w:t>monomictic</w:t>
      </w:r>
      <w:proofErr w:type="spellEnd"/>
      <w:r w:rsidRPr="001F05AA">
        <w:rPr>
          <w:rFonts w:eastAsia="Times New Roman"/>
          <w:color w:val="000000"/>
          <w:sz w:val="24"/>
          <w:szCs w:val="24"/>
        </w:rPr>
        <w:t xml:space="preserve"> lakes. </w:t>
      </w:r>
      <w:r w:rsidRPr="001F05AA">
        <w:rPr>
          <w:rFonts w:eastAsia="Times New Roman"/>
          <w:i/>
          <w:color w:val="000000"/>
          <w:sz w:val="24"/>
          <w:szCs w:val="24"/>
        </w:rPr>
        <w:t>Aquatic Sciences</w:t>
      </w:r>
      <w:r w:rsidRPr="001F05AA">
        <w:rPr>
          <w:rFonts w:eastAsia="Times New Roman"/>
          <w:color w:val="000000"/>
          <w:sz w:val="24"/>
          <w:szCs w:val="24"/>
        </w:rPr>
        <w:t xml:space="preserve">, </w:t>
      </w:r>
      <w:r w:rsidRPr="001F05AA">
        <w:rPr>
          <w:rFonts w:eastAsia="Times New Roman"/>
          <w:i/>
          <w:color w:val="000000"/>
          <w:sz w:val="24"/>
          <w:szCs w:val="24"/>
        </w:rPr>
        <w:t>72</w:t>
      </w:r>
      <w:r w:rsidRPr="001F05AA">
        <w:rPr>
          <w:rFonts w:eastAsia="Times New Roman"/>
          <w:color w:val="000000"/>
          <w:sz w:val="24"/>
          <w:szCs w:val="24"/>
        </w:rPr>
        <w:t>(3), 295–307. https://doi.org/10.1007/s00027-010-0131-1</w:t>
      </w:r>
    </w:p>
    <w:p w14:paraId="1D7A35B4" w14:textId="77777777" w:rsidR="0006118D" w:rsidRPr="001F05AA" w:rsidRDefault="00000000" w:rsidP="00B34DE7">
      <w:pPr>
        <w:pBdr>
          <w:top w:val="nil"/>
          <w:left w:val="nil"/>
          <w:bottom w:val="nil"/>
          <w:right w:val="nil"/>
          <w:between w:val="nil"/>
        </w:pBdr>
        <w:spacing w:before="120"/>
        <w:ind w:left="720" w:hanging="720"/>
        <w:rPr>
          <w:sz w:val="24"/>
          <w:szCs w:val="24"/>
        </w:rPr>
      </w:pPr>
      <w:r w:rsidRPr="00B34DE7">
        <w:rPr>
          <w:rFonts w:eastAsia="Times New Roman"/>
          <w:color w:val="000000"/>
          <w:sz w:val="24"/>
          <w:szCs w:val="24"/>
        </w:rPr>
        <w:t>Hamilton</w:t>
      </w:r>
      <w:r w:rsidRPr="001F05AA">
        <w:rPr>
          <w:sz w:val="24"/>
          <w:szCs w:val="24"/>
        </w:rPr>
        <w:t>, S. K., Murphy, C. A., Johnson, S. L., &amp; Pollock, A. (2022). Water quality ramifications of temporary drawdown of Oregon reservoirs to facilitate juvenile Chinook salmon passage. Lake and Reservoir Management, 38(2), 165–179. https://doi.org/10.1080/10402381.2021.2017082</w:t>
      </w:r>
    </w:p>
    <w:p w14:paraId="746AF44F"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Hamre, K. D., Lofton, M. E., McClure, R. P., Munger, Z. W., </w:t>
      </w:r>
      <w:proofErr w:type="spellStart"/>
      <w:r w:rsidRPr="001F05AA">
        <w:rPr>
          <w:rFonts w:eastAsia="Times New Roman"/>
          <w:color w:val="000000"/>
          <w:sz w:val="24"/>
          <w:szCs w:val="24"/>
        </w:rPr>
        <w:t>Doubek</w:t>
      </w:r>
      <w:proofErr w:type="spellEnd"/>
      <w:r w:rsidRPr="001F05AA">
        <w:rPr>
          <w:rFonts w:eastAsia="Times New Roman"/>
          <w:color w:val="000000"/>
          <w:sz w:val="24"/>
          <w:szCs w:val="24"/>
        </w:rPr>
        <w:t xml:space="preserve">, J. P., Gerling, A. B., et al. (2018). In situ fluorometry reveals a persistent, perennial hypolimnetic cyanobacterial bloom in a seasonally anoxic reservoir. </w:t>
      </w:r>
      <w:r w:rsidRPr="001F05AA">
        <w:rPr>
          <w:rFonts w:eastAsia="Times New Roman"/>
          <w:i/>
          <w:color w:val="000000"/>
          <w:sz w:val="24"/>
          <w:szCs w:val="24"/>
        </w:rPr>
        <w:t>Freshwater Science</w:t>
      </w:r>
      <w:r w:rsidRPr="001F05AA">
        <w:rPr>
          <w:rFonts w:eastAsia="Times New Roman"/>
          <w:color w:val="000000"/>
          <w:sz w:val="24"/>
          <w:szCs w:val="24"/>
        </w:rPr>
        <w:t xml:space="preserve">, </w:t>
      </w:r>
      <w:r w:rsidRPr="001F05AA">
        <w:rPr>
          <w:rFonts w:eastAsia="Times New Roman"/>
          <w:i/>
          <w:color w:val="000000"/>
          <w:sz w:val="24"/>
          <w:szCs w:val="24"/>
        </w:rPr>
        <w:t>37</w:t>
      </w:r>
      <w:r w:rsidRPr="001F05AA">
        <w:rPr>
          <w:rFonts w:eastAsia="Times New Roman"/>
          <w:color w:val="000000"/>
          <w:sz w:val="24"/>
          <w:szCs w:val="24"/>
        </w:rPr>
        <w:t>(3), 483–495. https://doi.org/10.1086/699327</w:t>
      </w:r>
    </w:p>
    <w:p w14:paraId="462B6433"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Hannoun</w:t>
      </w:r>
      <w:proofErr w:type="spellEnd"/>
      <w:r w:rsidRPr="001F05AA">
        <w:rPr>
          <w:rFonts w:eastAsia="Times New Roman"/>
          <w:color w:val="000000"/>
          <w:sz w:val="24"/>
          <w:szCs w:val="24"/>
        </w:rPr>
        <w:t xml:space="preserve">, D., &amp; </w:t>
      </w:r>
      <w:proofErr w:type="spellStart"/>
      <w:r w:rsidRPr="001F05AA">
        <w:rPr>
          <w:rFonts w:eastAsia="Times New Roman"/>
          <w:color w:val="000000"/>
          <w:sz w:val="24"/>
          <w:szCs w:val="24"/>
        </w:rPr>
        <w:t>Tietjen</w:t>
      </w:r>
      <w:proofErr w:type="spellEnd"/>
      <w:r w:rsidRPr="001F05AA">
        <w:rPr>
          <w:rFonts w:eastAsia="Times New Roman"/>
          <w:color w:val="000000"/>
          <w:sz w:val="24"/>
          <w:szCs w:val="24"/>
        </w:rPr>
        <w:t xml:space="preserve">, T. (2023). Lake management under severe drought: Lake Mead, Nevada/Arizona. </w:t>
      </w:r>
      <w:r w:rsidRPr="001F05AA">
        <w:rPr>
          <w:rFonts w:eastAsia="Times New Roman"/>
          <w:i/>
          <w:color w:val="000000"/>
          <w:sz w:val="24"/>
          <w:szCs w:val="24"/>
        </w:rPr>
        <w:t>JAWRA Journal of the American Water Resources Association</w:t>
      </w:r>
      <w:r w:rsidRPr="001F05AA">
        <w:rPr>
          <w:rFonts w:eastAsia="Times New Roman"/>
          <w:color w:val="000000"/>
          <w:sz w:val="24"/>
          <w:szCs w:val="24"/>
        </w:rPr>
        <w:t xml:space="preserve">, </w:t>
      </w:r>
      <w:r w:rsidRPr="001F05AA">
        <w:rPr>
          <w:rFonts w:eastAsia="Times New Roman"/>
          <w:i/>
          <w:color w:val="000000"/>
          <w:sz w:val="24"/>
          <w:szCs w:val="24"/>
        </w:rPr>
        <w:t>59</w:t>
      </w:r>
      <w:r w:rsidRPr="001F05AA">
        <w:rPr>
          <w:rFonts w:eastAsia="Times New Roman"/>
          <w:color w:val="000000"/>
          <w:sz w:val="24"/>
          <w:szCs w:val="24"/>
        </w:rPr>
        <w:t>(2), 416–428. https://doi.org/10.1111/1752-1688.13090</w:t>
      </w:r>
    </w:p>
    <w:p w14:paraId="09AFC8C7"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Hansen, L., </w:t>
      </w:r>
      <w:proofErr w:type="spellStart"/>
      <w:r w:rsidRPr="001F05AA">
        <w:rPr>
          <w:rFonts w:eastAsia="Times New Roman"/>
          <w:color w:val="000000"/>
          <w:sz w:val="24"/>
          <w:szCs w:val="24"/>
        </w:rPr>
        <w:t>Krog</w:t>
      </w:r>
      <w:proofErr w:type="spellEnd"/>
      <w:r w:rsidRPr="001F05AA">
        <w:rPr>
          <w:rFonts w:eastAsia="Times New Roman"/>
          <w:color w:val="000000"/>
          <w:sz w:val="24"/>
          <w:szCs w:val="24"/>
        </w:rPr>
        <w:t xml:space="preserve">, G. F., &amp; </w:t>
      </w:r>
      <w:proofErr w:type="spellStart"/>
      <w:r w:rsidRPr="001F05AA">
        <w:rPr>
          <w:rFonts w:eastAsia="Times New Roman"/>
          <w:color w:val="000000"/>
          <w:sz w:val="24"/>
          <w:szCs w:val="24"/>
        </w:rPr>
        <w:t>Søndergaard</w:t>
      </w:r>
      <w:proofErr w:type="spellEnd"/>
      <w:r w:rsidRPr="001F05AA">
        <w:rPr>
          <w:rFonts w:eastAsia="Times New Roman"/>
          <w:color w:val="000000"/>
          <w:sz w:val="24"/>
          <w:szCs w:val="24"/>
        </w:rPr>
        <w:t xml:space="preserve">, M. (1986). Decomposition of Lake Phytoplankton. 1. Dynamics of Short-Term Decomposition. </w:t>
      </w:r>
      <w:r w:rsidRPr="001F05AA">
        <w:rPr>
          <w:rFonts w:eastAsia="Times New Roman"/>
          <w:i/>
          <w:color w:val="000000"/>
          <w:sz w:val="24"/>
          <w:szCs w:val="24"/>
        </w:rPr>
        <w:t>Oikos</w:t>
      </w:r>
      <w:r w:rsidRPr="001F05AA">
        <w:rPr>
          <w:rFonts w:eastAsia="Times New Roman"/>
          <w:color w:val="000000"/>
          <w:sz w:val="24"/>
          <w:szCs w:val="24"/>
        </w:rPr>
        <w:t xml:space="preserve">, </w:t>
      </w:r>
      <w:r w:rsidRPr="001F05AA">
        <w:rPr>
          <w:rFonts w:eastAsia="Times New Roman"/>
          <w:i/>
          <w:color w:val="000000"/>
          <w:sz w:val="24"/>
          <w:szCs w:val="24"/>
        </w:rPr>
        <w:t>46</w:t>
      </w:r>
      <w:r w:rsidRPr="001F05AA">
        <w:rPr>
          <w:rFonts w:eastAsia="Times New Roman"/>
          <w:color w:val="000000"/>
          <w:sz w:val="24"/>
          <w:szCs w:val="24"/>
        </w:rPr>
        <w:t>(1), 37–44. https://doi.org/10.2307/3565377</w:t>
      </w:r>
    </w:p>
    <w:p w14:paraId="37B64260"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lastRenderedPageBreak/>
        <w:t xml:space="preserve">Harrison, J. A., </w:t>
      </w:r>
      <w:proofErr w:type="spellStart"/>
      <w:r w:rsidRPr="001F05AA">
        <w:rPr>
          <w:rFonts w:eastAsia="Times New Roman"/>
          <w:color w:val="000000"/>
          <w:sz w:val="24"/>
          <w:szCs w:val="24"/>
        </w:rPr>
        <w:t>Deemer</w:t>
      </w:r>
      <w:proofErr w:type="spellEnd"/>
      <w:r w:rsidRPr="001F05AA">
        <w:rPr>
          <w:rFonts w:eastAsia="Times New Roman"/>
          <w:color w:val="000000"/>
          <w:sz w:val="24"/>
          <w:szCs w:val="24"/>
        </w:rPr>
        <w:t xml:space="preserve">, B. R., Birchfield, M. K., &amp; O’Malley, M. T. (2017). Reservoir Water-Level Drawdowns Accelerate and Amplify Methane Emission. </w:t>
      </w:r>
      <w:r w:rsidRPr="001F05AA">
        <w:rPr>
          <w:rFonts w:eastAsia="Times New Roman"/>
          <w:i/>
          <w:color w:val="000000"/>
          <w:sz w:val="24"/>
          <w:szCs w:val="24"/>
        </w:rPr>
        <w:t>Environmental Science &amp; Technology</w:t>
      </w:r>
      <w:r w:rsidRPr="001F05AA">
        <w:rPr>
          <w:rFonts w:eastAsia="Times New Roman"/>
          <w:color w:val="000000"/>
          <w:sz w:val="24"/>
          <w:szCs w:val="24"/>
        </w:rPr>
        <w:t xml:space="preserve">, </w:t>
      </w:r>
      <w:r w:rsidRPr="001F05AA">
        <w:rPr>
          <w:rFonts w:eastAsia="Times New Roman"/>
          <w:i/>
          <w:color w:val="000000"/>
          <w:sz w:val="24"/>
          <w:szCs w:val="24"/>
        </w:rPr>
        <w:t>51</w:t>
      </w:r>
      <w:r w:rsidRPr="001F05AA">
        <w:rPr>
          <w:rFonts w:eastAsia="Times New Roman"/>
          <w:color w:val="000000"/>
          <w:sz w:val="24"/>
          <w:szCs w:val="24"/>
        </w:rPr>
        <w:t>(3), 1267–1277. https://doi.org/10.1021/acs.est.6b03185</w:t>
      </w:r>
    </w:p>
    <w:p w14:paraId="661D2CAC"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Heini, A., </w:t>
      </w:r>
      <w:proofErr w:type="spellStart"/>
      <w:r w:rsidRPr="001F05AA">
        <w:rPr>
          <w:rFonts w:eastAsia="Times New Roman"/>
          <w:color w:val="000000"/>
          <w:sz w:val="24"/>
          <w:szCs w:val="24"/>
        </w:rPr>
        <w:t>Puustinen</w:t>
      </w:r>
      <w:proofErr w:type="spellEnd"/>
      <w:r w:rsidRPr="001F05AA">
        <w:rPr>
          <w:rFonts w:eastAsia="Times New Roman"/>
          <w:color w:val="000000"/>
          <w:sz w:val="24"/>
          <w:szCs w:val="24"/>
        </w:rPr>
        <w:t xml:space="preserve">, I., Tikka, M., </w:t>
      </w:r>
      <w:proofErr w:type="spellStart"/>
      <w:r w:rsidRPr="001F05AA">
        <w:rPr>
          <w:rFonts w:eastAsia="Times New Roman"/>
          <w:color w:val="000000"/>
          <w:sz w:val="24"/>
          <w:szCs w:val="24"/>
        </w:rPr>
        <w:t>Jokiniemi</w:t>
      </w:r>
      <w:proofErr w:type="spellEnd"/>
      <w:r w:rsidRPr="001F05AA">
        <w:rPr>
          <w:rFonts w:eastAsia="Times New Roman"/>
          <w:color w:val="000000"/>
          <w:sz w:val="24"/>
          <w:szCs w:val="24"/>
        </w:rPr>
        <w:t xml:space="preserve">, A., </w:t>
      </w:r>
      <w:proofErr w:type="spellStart"/>
      <w:r w:rsidRPr="001F05AA">
        <w:rPr>
          <w:rFonts w:eastAsia="Times New Roman"/>
          <w:color w:val="000000"/>
          <w:sz w:val="24"/>
          <w:szCs w:val="24"/>
        </w:rPr>
        <w:t>Leppäranta</w:t>
      </w:r>
      <w:proofErr w:type="spellEnd"/>
      <w:r w:rsidRPr="001F05AA">
        <w:rPr>
          <w:rFonts w:eastAsia="Times New Roman"/>
          <w:color w:val="000000"/>
          <w:sz w:val="24"/>
          <w:szCs w:val="24"/>
        </w:rPr>
        <w:t xml:space="preserve">, M., &amp; </w:t>
      </w:r>
      <w:proofErr w:type="spellStart"/>
      <w:r w:rsidRPr="001F05AA">
        <w:rPr>
          <w:rFonts w:eastAsia="Times New Roman"/>
          <w:color w:val="000000"/>
          <w:sz w:val="24"/>
          <w:szCs w:val="24"/>
        </w:rPr>
        <w:t>Arvola</w:t>
      </w:r>
      <w:proofErr w:type="spellEnd"/>
      <w:r w:rsidRPr="001F05AA">
        <w:rPr>
          <w:rFonts w:eastAsia="Times New Roman"/>
          <w:color w:val="000000"/>
          <w:sz w:val="24"/>
          <w:szCs w:val="24"/>
        </w:rPr>
        <w:t xml:space="preserve">, L. (2014). Strong dependence between phytoplankton and water chemistry in a large temperate lake: spatial and temporal perspective. </w:t>
      </w:r>
      <w:proofErr w:type="spellStart"/>
      <w:r w:rsidRPr="001F05AA">
        <w:rPr>
          <w:rFonts w:eastAsia="Times New Roman"/>
          <w:i/>
          <w:color w:val="000000"/>
          <w:sz w:val="24"/>
          <w:szCs w:val="24"/>
        </w:rPr>
        <w:t>Hydrobiologia</w:t>
      </w:r>
      <w:proofErr w:type="spellEnd"/>
      <w:r w:rsidRPr="001F05AA">
        <w:rPr>
          <w:rFonts w:eastAsia="Times New Roman"/>
          <w:color w:val="000000"/>
          <w:sz w:val="24"/>
          <w:szCs w:val="24"/>
        </w:rPr>
        <w:t xml:space="preserve">, </w:t>
      </w:r>
      <w:r w:rsidRPr="001F05AA">
        <w:rPr>
          <w:rFonts w:eastAsia="Times New Roman"/>
          <w:i/>
          <w:color w:val="000000"/>
          <w:sz w:val="24"/>
          <w:szCs w:val="24"/>
        </w:rPr>
        <w:t>731</w:t>
      </w:r>
      <w:r w:rsidRPr="001F05AA">
        <w:rPr>
          <w:rFonts w:eastAsia="Times New Roman"/>
          <w:color w:val="000000"/>
          <w:sz w:val="24"/>
          <w:szCs w:val="24"/>
        </w:rPr>
        <w:t>(1), 139–150. https://doi.org/10.1007/s10750-013-1777-1</w:t>
      </w:r>
    </w:p>
    <w:p w14:paraId="0847AD7C" w14:textId="77777777" w:rsidR="0006118D" w:rsidRPr="001F05AA" w:rsidRDefault="00000000" w:rsidP="00726BCB">
      <w:pPr>
        <w:pBdr>
          <w:top w:val="nil"/>
          <w:left w:val="nil"/>
          <w:bottom w:val="nil"/>
          <w:right w:val="nil"/>
          <w:between w:val="nil"/>
        </w:pBdr>
        <w:spacing w:before="120"/>
        <w:ind w:left="720" w:hanging="720"/>
        <w:rPr>
          <w:sz w:val="24"/>
          <w:szCs w:val="24"/>
        </w:rPr>
      </w:pPr>
      <w:r w:rsidRPr="00726BCB">
        <w:rPr>
          <w:rFonts w:eastAsia="Times New Roman"/>
          <w:color w:val="000000"/>
          <w:sz w:val="24"/>
          <w:szCs w:val="24"/>
        </w:rPr>
        <w:t>Henderson</w:t>
      </w:r>
      <w:r w:rsidRPr="001F05AA">
        <w:rPr>
          <w:sz w:val="24"/>
          <w:szCs w:val="24"/>
        </w:rPr>
        <w:t xml:space="preserve">, R., Chips, M., Cornwell, N., </w:t>
      </w:r>
      <w:proofErr w:type="spellStart"/>
      <w:r w:rsidRPr="001F05AA">
        <w:rPr>
          <w:sz w:val="24"/>
          <w:szCs w:val="24"/>
        </w:rPr>
        <w:t>Hitchins</w:t>
      </w:r>
      <w:proofErr w:type="spellEnd"/>
      <w:r w:rsidRPr="001F05AA">
        <w:rPr>
          <w:sz w:val="24"/>
          <w:szCs w:val="24"/>
        </w:rPr>
        <w:t>, P., Holden, B., Hurley, S., Parsons, S. A., Wetherill, A., &amp; Jefferson, B. (2008). Experiences of algae in UK waters: a treatment perspective. Water and Environment Journal, 22(3), 184–192. https://doi.org/10.1111/j.1747-6593.2007.00100.x</w:t>
      </w:r>
    </w:p>
    <w:p w14:paraId="40D73035" w14:textId="77777777" w:rsidR="0006118D" w:rsidRPr="001F05AA" w:rsidRDefault="00000000" w:rsidP="00726BCB">
      <w:pPr>
        <w:pBdr>
          <w:top w:val="nil"/>
          <w:left w:val="nil"/>
          <w:bottom w:val="nil"/>
          <w:right w:val="nil"/>
          <w:between w:val="nil"/>
        </w:pBdr>
        <w:spacing w:before="120"/>
        <w:ind w:left="720" w:hanging="720"/>
        <w:rPr>
          <w:sz w:val="24"/>
          <w:szCs w:val="24"/>
        </w:rPr>
      </w:pPr>
      <w:r w:rsidRPr="00726BCB">
        <w:rPr>
          <w:rFonts w:eastAsia="Times New Roman"/>
          <w:color w:val="000000"/>
          <w:sz w:val="24"/>
          <w:szCs w:val="24"/>
        </w:rPr>
        <w:t>Hirsch</w:t>
      </w:r>
      <w:r w:rsidRPr="001F05AA">
        <w:rPr>
          <w:sz w:val="24"/>
          <w:szCs w:val="24"/>
        </w:rPr>
        <w:t xml:space="preserve">, P. E., </w:t>
      </w:r>
      <w:proofErr w:type="spellStart"/>
      <w:r w:rsidRPr="001F05AA">
        <w:rPr>
          <w:sz w:val="24"/>
          <w:szCs w:val="24"/>
        </w:rPr>
        <w:t>Eloranta</w:t>
      </w:r>
      <w:proofErr w:type="spellEnd"/>
      <w:r w:rsidRPr="001F05AA">
        <w:rPr>
          <w:sz w:val="24"/>
          <w:szCs w:val="24"/>
        </w:rPr>
        <w:t xml:space="preserve">, A. P., Amundsen, P.-A., </w:t>
      </w:r>
      <w:proofErr w:type="spellStart"/>
      <w:r w:rsidRPr="001F05AA">
        <w:rPr>
          <w:sz w:val="24"/>
          <w:szCs w:val="24"/>
        </w:rPr>
        <w:t>Brabrand</w:t>
      </w:r>
      <w:proofErr w:type="spellEnd"/>
      <w:r w:rsidRPr="001F05AA">
        <w:rPr>
          <w:sz w:val="24"/>
          <w:szCs w:val="24"/>
        </w:rPr>
        <w:t xml:space="preserve">, Å., </w:t>
      </w:r>
      <w:proofErr w:type="spellStart"/>
      <w:r w:rsidRPr="001F05AA">
        <w:rPr>
          <w:sz w:val="24"/>
          <w:szCs w:val="24"/>
        </w:rPr>
        <w:t>Charmasson</w:t>
      </w:r>
      <w:proofErr w:type="spellEnd"/>
      <w:r w:rsidRPr="001F05AA">
        <w:rPr>
          <w:sz w:val="24"/>
          <w:szCs w:val="24"/>
        </w:rPr>
        <w:t xml:space="preserve">, J., </w:t>
      </w:r>
      <w:proofErr w:type="spellStart"/>
      <w:r w:rsidRPr="001F05AA">
        <w:rPr>
          <w:sz w:val="24"/>
          <w:szCs w:val="24"/>
        </w:rPr>
        <w:t>Helland</w:t>
      </w:r>
      <w:proofErr w:type="spellEnd"/>
      <w:r w:rsidRPr="001F05AA">
        <w:rPr>
          <w:sz w:val="24"/>
          <w:szCs w:val="24"/>
        </w:rPr>
        <w:t xml:space="preserve">, I. P., Power, M., Sánchez-Hernández, J., </w:t>
      </w:r>
      <w:proofErr w:type="spellStart"/>
      <w:r w:rsidRPr="001F05AA">
        <w:rPr>
          <w:sz w:val="24"/>
          <w:szCs w:val="24"/>
        </w:rPr>
        <w:t>Sandlund</w:t>
      </w:r>
      <w:proofErr w:type="spellEnd"/>
      <w:r w:rsidRPr="001F05AA">
        <w:rPr>
          <w:sz w:val="24"/>
          <w:szCs w:val="24"/>
        </w:rPr>
        <w:t xml:space="preserve">, O. T., </w:t>
      </w:r>
      <w:proofErr w:type="spellStart"/>
      <w:r w:rsidRPr="001F05AA">
        <w:rPr>
          <w:sz w:val="24"/>
          <w:szCs w:val="24"/>
        </w:rPr>
        <w:t>Sauterleute</w:t>
      </w:r>
      <w:proofErr w:type="spellEnd"/>
      <w:r w:rsidRPr="001F05AA">
        <w:rPr>
          <w:sz w:val="24"/>
          <w:szCs w:val="24"/>
        </w:rPr>
        <w:t xml:space="preserve">, J. F., Skoglund, S., </w:t>
      </w:r>
      <w:proofErr w:type="spellStart"/>
      <w:r w:rsidRPr="001F05AA">
        <w:rPr>
          <w:sz w:val="24"/>
          <w:szCs w:val="24"/>
        </w:rPr>
        <w:t>Ugedal</w:t>
      </w:r>
      <w:proofErr w:type="spellEnd"/>
      <w:r w:rsidRPr="001F05AA">
        <w:rPr>
          <w:sz w:val="24"/>
          <w:szCs w:val="24"/>
        </w:rPr>
        <w:t xml:space="preserve">, O., &amp; Yang, H. (2017). Effects of water level regulation in alpine hydropower reservoirs: an ecosystem perspective with a special emphasis on fish. </w:t>
      </w:r>
      <w:proofErr w:type="spellStart"/>
      <w:r w:rsidRPr="001F05AA">
        <w:rPr>
          <w:sz w:val="24"/>
          <w:szCs w:val="24"/>
        </w:rPr>
        <w:t>Hydrobiologia</w:t>
      </w:r>
      <w:proofErr w:type="spellEnd"/>
      <w:r w:rsidRPr="001F05AA">
        <w:rPr>
          <w:sz w:val="24"/>
          <w:szCs w:val="24"/>
        </w:rPr>
        <w:t>, 794(1), 287–301. https://doi.org/10.1007/s10750-017-3105-7</w:t>
      </w:r>
    </w:p>
    <w:p w14:paraId="1A614A02"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Idso, S. B. (1973). On the concept of lake stability1. </w:t>
      </w:r>
      <w:r w:rsidRPr="001F05AA">
        <w:rPr>
          <w:rFonts w:eastAsia="Times New Roman"/>
          <w:i/>
          <w:color w:val="000000"/>
          <w:sz w:val="24"/>
          <w:szCs w:val="24"/>
        </w:rPr>
        <w:t>Limnology and Oceanography</w:t>
      </w:r>
      <w:r w:rsidRPr="001F05AA">
        <w:rPr>
          <w:rFonts w:eastAsia="Times New Roman"/>
          <w:color w:val="000000"/>
          <w:sz w:val="24"/>
          <w:szCs w:val="24"/>
        </w:rPr>
        <w:t xml:space="preserve">, </w:t>
      </w:r>
      <w:r w:rsidRPr="001F05AA">
        <w:rPr>
          <w:rFonts w:eastAsia="Times New Roman"/>
          <w:i/>
          <w:color w:val="000000"/>
          <w:sz w:val="24"/>
          <w:szCs w:val="24"/>
        </w:rPr>
        <w:t>18</w:t>
      </w:r>
      <w:r w:rsidRPr="001F05AA">
        <w:rPr>
          <w:rFonts w:eastAsia="Times New Roman"/>
          <w:color w:val="000000"/>
          <w:sz w:val="24"/>
          <w:szCs w:val="24"/>
        </w:rPr>
        <w:t>(4), 681–683. https://doi.org/10.4319/lo.1973.18.4.0681</w:t>
      </w:r>
    </w:p>
    <w:p w14:paraId="2160DFA8"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Jiang, T., Wang, D., Wei, S., Yan, J., Liang, J., Chen, X., et al. (2018). Influences of the alternation of wet-dry periods on the variability of </w:t>
      </w:r>
      <w:proofErr w:type="spellStart"/>
      <w:r w:rsidRPr="001F05AA">
        <w:rPr>
          <w:rFonts w:eastAsia="Times New Roman"/>
          <w:color w:val="000000"/>
          <w:sz w:val="24"/>
          <w:szCs w:val="24"/>
        </w:rPr>
        <w:t>chromophoric</w:t>
      </w:r>
      <w:proofErr w:type="spellEnd"/>
      <w:r w:rsidRPr="001F05AA">
        <w:rPr>
          <w:rFonts w:eastAsia="Times New Roman"/>
          <w:color w:val="000000"/>
          <w:sz w:val="24"/>
          <w:szCs w:val="24"/>
        </w:rPr>
        <w:t xml:space="preserve"> dissolved organic matter in the water level fluctuation zone of the Three Gorges Reservoir area, China. </w:t>
      </w:r>
      <w:r w:rsidRPr="001F05AA">
        <w:rPr>
          <w:rFonts w:eastAsia="Times New Roman"/>
          <w:i/>
          <w:color w:val="000000"/>
          <w:sz w:val="24"/>
          <w:szCs w:val="24"/>
        </w:rPr>
        <w:t>Science of The Total Environment</w:t>
      </w:r>
      <w:r w:rsidRPr="001F05AA">
        <w:rPr>
          <w:rFonts w:eastAsia="Times New Roman"/>
          <w:color w:val="000000"/>
          <w:sz w:val="24"/>
          <w:szCs w:val="24"/>
        </w:rPr>
        <w:t xml:space="preserve">, </w:t>
      </w:r>
      <w:r w:rsidRPr="001F05AA">
        <w:rPr>
          <w:rFonts w:eastAsia="Times New Roman"/>
          <w:i/>
          <w:color w:val="000000"/>
          <w:sz w:val="24"/>
          <w:szCs w:val="24"/>
        </w:rPr>
        <w:t>636</w:t>
      </w:r>
      <w:r w:rsidRPr="001F05AA">
        <w:rPr>
          <w:rFonts w:eastAsia="Times New Roman"/>
          <w:color w:val="000000"/>
          <w:sz w:val="24"/>
          <w:szCs w:val="24"/>
        </w:rPr>
        <w:t>, 249–259. https://doi.org/10.1016/j.scitotenv.2018.04.262</w:t>
      </w:r>
    </w:p>
    <w:p w14:paraId="1C70FAF6"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Jones, I., George, G., &amp; Reynolds, C. (2005). Quantifying effects of phytoplankton on the heat budgets of two large limnetic enclosures. </w:t>
      </w:r>
      <w:r w:rsidRPr="001F05AA">
        <w:rPr>
          <w:rFonts w:eastAsia="Times New Roman"/>
          <w:i/>
          <w:color w:val="000000"/>
          <w:sz w:val="24"/>
          <w:szCs w:val="24"/>
        </w:rPr>
        <w:t>Freshwater Biology</w:t>
      </w:r>
      <w:r w:rsidRPr="001F05AA">
        <w:rPr>
          <w:rFonts w:eastAsia="Times New Roman"/>
          <w:color w:val="000000"/>
          <w:sz w:val="24"/>
          <w:szCs w:val="24"/>
        </w:rPr>
        <w:t xml:space="preserve">, </w:t>
      </w:r>
      <w:r w:rsidRPr="001F05AA">
        <w:rPr>
          <w:rFonts w:eastAsia="Times New Roman"/>
          <w:i/>
          <w:color w:val="000000"/>
          <w:sz w:val="24"/>
          <w:szCs w:val="24"/>
        </w:rPr>
        <w:t>50</w:t>
      </w:r>
      <w:r w:rsidRPr="001F05AA">
        <w:rPr>
          <w:rFonts w:eastAsia="Times New Roman"/>
          <w:color w:val="000000"/>
          <w:sz w:val="24"/>
          <w:szCs w:val="24"/>
        </w:rPr>
        <w:t>, 1239–1247. https://doi.org/10.1111/j.1365-2427.2005.01397.x</w:t>
      </w:r>
    </w:p>
    <w:p w14:paraId="35587B6C"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Kasprzak</w:t>
      </w:r>
      <w:proofErr w:type="spellEnd"/>
      <w:r w:rsidRPr="001F05AA">
        <w:rPr>
          <w:rFonts w:eastAsia="Times New Roman"/>
          <w:color w:val="000000"/>
          <w:sz w:val="24"/>
          <w:szCs w:val="24"/>
        </w:rPr>
        <w:t xml:space="preserve">, P., </w:t>
      </w:r>
      <w:proofErr w:type="spellStart"/>
      <w:r w:rsidRPr="001F05AA">
        <w:rPr>
          <w:rFonts w:eastAsia="Times New Roman"/>
          <w:color w:val="000000"/>
          <w:sz w:val="24"/>
          <w:szCs w:val="24"/>
        </w:rPr>
        <w:t>Shatwell</w:t>
      </w:r>
      <w:proofErr w:type="spellEnd"/>
      <w:r w:rsidRPr="001F05AA">
        <w:rPr>
          <w:rFonts w:eastAsia="Times New Roman"/>
          <w:color w:val="000000"/>
          <w:sz w:val="24"/>
          <w:szCs w:val="24"/>
        </w:rPr>
        <w:t xml:space="preserve">, T., Gessner, M. O., </w:t>
      </w:r>
      <w:proofErr w:type="spellStart"/>
      <w:r w:rsidRPr="001F05AA">
        <w:rPr>
          <w:rFonts w:eastAsia="Times New Roman"/>
          <w:color w:val="000000"/>
          <w:sz w:val="24"/>
          <w:szCs w:val="24"/>
        </w:rPr>
        <w:t>Gonsiorczyk</w:t>
      </w:r>
      <w:proofErr w:type="spellEnd"/>
      <w:r w:rsidRPr="001F05AA">
        <w:rPr>
          <w:rFonts w:eastAsia="Times New Roman"/>
          <w:color w:val="000000"/>
          <w:sz w:val="24"/>
          <w:szCs w:val="24"/>
        </w:rPr>
        <w:t xml:space="preserve">, T., </w:t>
      </w:r>
      <w:proofErr w:type="spellStart"/>
      <w:r w:rsidRPr="001F05AA">
        <w:rPr>
          <w:rFonts w:eastAsia="Times New Roman"/>
          <w:color w:val="000000"/>
          <w:sz w:val="24"/>
          <w:szCs w:val="24"/>
        </w:rPr>
        <w:t>Kirillin</w:t>
      </w:r>
      <w:proofErr w:type="spellEnd"/>
      <w:r w:rsidRPr="001F05AA">
        <w:rPr>
          <w:rFonts w:eastAsia="Times New Roman"/>
          <w:color w:val="000000"/>
          <w:sz w:val="24"/>
          <w:szCs w:val="24"/>
        </w:rPr>
        <w:t xml:space="preserve">, G., </w:t>
      </w:r>
      <w:proofErr w:type="spellStart"/>
      <w:r w:rsidRPr="001F05AA">
        <w:rPr>
          <w:rFonts w:eastAsia="Times New Roman"/>
          <w:color w:val="000000"/>
          <w:sz w:val="24"/>
          <w:szCs w:val="24"/>
        </w:rPr>
        <w:t>Selmeczy</w:t>
      </w:r>
      <w:proofErr w:type="spellEnd"/>
      <w:r w:rsidRPr="001F05AA">
        <w:rPr>
          <w:rFonts w:eastAsia="Times New Roman"/>
          <w:color w:val="000000"/>
          <w:sz w:val="24"/>
          <w:szCs w:val="24"/>
        </w:rPr>
        <w:t xml:space="preserve">, G., et al. (2017). Extreme Weather Event Triggers Cascade Towards Extreme Turbidity in a Clear-water Lake. </w:t>
      </w:r>
      <w:r w:rsidRPr="001F05AA">
        <w:rPr>
          <w:rFonts w:eastAsia="Times New Roman"/>
          <w:i/>
          <w:color w:val="000000"/>
          <w:sz w:val="24"/>
          <w:szCs w:val="24"/>
        </w:rPr>
        <w:t>Ecosystems</w:t>
      </w:r>
      <w:r w:rsidRPr="001F05AA">
        <w:rPr>
          <w:rFonts w:eastAsia="Times New Roman"/>
          <w:color w:val="000000"/>
          <w:sz w:val="24"/>
          <w:szCs w:val="24"/>
        </w:rPr>
        <w:t xml:space="preserve">, </w:t>
      </w:r>
      <w:r w:rsidRPr="001F05AA">
        <w:rPr>
          <w:rFonts w:eastAsia="Times New Roman"/>
          <w:i/>
          <w:color w:val="000000"/>
          <w:sz w:val="24"/>
          <w:szCs w:val="24"/>
        </w:rPr>
        <w:t>20</w:t>
      </w:r>
      <w:r w:rsidRPr="001F05AA">
        <w:rPr>
          <w:rFonts w:eastAsia="Times New Roman"/>
          <w:color w:val="000000"/>
          <w:sz w:val="24"/>
          <w:szCs w:val="24"/>
        </w:rPr>
        <w:t>(8), 1407–1420. https://doi.org/10.1007/s10021-017-0121-4</w:t>
      </w:r>
    </w:p>
    <w:p w14:paraId="1E839FB9"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Keller, P. S., </w:t>
      </w:r>
      <w:proofErr w:type="spellStart"/>
      <w:r w:rsidRPr="001F05AA">
        <w:rPr>
          <w:rFonts w:eastAsia="Times New Roman"/>
          <w:color w:val="000000"/>
          <w:sz w:val="24"/>
          <w:szCs w:val="24"/>
        </w:rPr>
        <w:t>Marcé</w:t>
      </w:r>
      <w:proofErr w:type="spellEnd"/>
      <w:r w:rsidRPr="001F05AA">
        <w:rPr>
          <w:rFonts w:eastAsia="Times New Roman"/>
          <w:color w:val="000000"/>
          <w:sz w:val="24"/>
          <w:szCs w:val="24"/>
        </w:rPr>
        <w:t xml:space="preserve">, R., Obrador, B., &amp; </w:t>
      </w:r>
      <w:proofErr w:type="spellStart"/>
      <w:r w:rsidRPr="001F05AA">
        <w:rPr>
          <w:rFonts w:eastAsia="Times New Roman"/>
          <w:color w:val="000000"/>
          <w:sz w:val="24"/>
          <w:szCs w:val="24"/>
        </w:rPr>
        <w:t>Koschorreck</w:t>
      </w:r>
      <w:proofErr w:type="spellEnd"/>
      <w:r w:rsidRPr="001F05AA">
        <w:rPr>
          <w:rFonts w:eastAsia="Times New Roman"/>
          <w:color w:val="000000"/>
          <w:sz w:val="24"/>
          <w:szCs w:val="24"/>
        </w:rPr>
        <w:t xml:space="preserve">, M. (2021). Global carbon budget of reservoirs is overturned by the quantification of drawdown areas. </w:t>
      </w:r>
      <w:r w:rsidRPr="001F05AA">
        <w:rPr>
          <w:rFonts w:eastAsia="Times New Roman"/>
          <w:i/>
          <w:color w:val="000000"/>
          <w:sz w:val="24"/>
          <w:szCs w:val="24"/>
        </w:rPr>
        <w:t>Nature Geoscience</w:t>
      </w:r>
      <w:r w:rsidRPr="001F05AA">
        <w:rPr>
          <w:rFonts w:eastAsia="Times New Roman"/>
          <w:color w:val="000000"/>
          <w:sz w:val="24"/>
          <w:szCs w:val="24"/>
        </w:rPr>
        <w:t xml:space="preserve">, </w:t>
      </w:r>
      <w:r w:rsidRPr="001F05AA">
        <w:rPr>
          <w:rFonts w:eastAsia="Times New Roman"/>
          <w:i/>
          <w:color w:val="000000"/>
          <w:sz w:val="24"/>
          <w:szCs w:val="24"/>
        </w:rPr>
        <w:t>14</w:t>
      </w:r>
      <w:r w:rsidRPr="001F05AA">
        <w:rPr>
          <w:rFonts w:eastAsia="Times New Roman"/>
          <w:color w:val="000000"/>
          <w:sz w:val="24"/>
          <w:szCs w:val="24"/>
        </w:rPr>
        <w:t>(6), 402–408. https://doi.org/10.1038/s41561-021-00734-z</w:t>
      </w:r>
    </w:p>
    <w:p w14:paraId="3A934C9B"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Klotz, R. L., &amp; Linn, S. A. (2001). Influence of Factors Associated with Water Level Drawdown on Phosphorus Release from Sediments. </w:t>
      </w:r>
      <w:r w:rsidRPr="001F05AA">
        <w:rPr>
          <w:rFonts w:eastAsia="Times New Roman"/>
          <w:i/>
          <w:color w:val="000000"/>
          <w:sz w:val="24"/>
          <w:szCs w:val="24"/>
        </w:rPr>
        <w:t>Lake and Reservoir Management</w:t>
      </w:r>
      <w:r w:rsidRPr="001F05AA">
        <w:rPr>
          <w:rFonts w:eastAsia="Times New Roman"/>
          <w:color w:val="000000"/>
          <w:sz w:val="24"/>
          <w:szCs w:val="24"/>
        </w:rPr>
        <w:t xml:space="preserve">, </w:t>
      </w:r>
      <w:r w:rsidRPr="001F05AA">
        <w:rPr>
          <w:rFonts w:eastAsia="Times New Roman"/>
          <w:i/>
          <w:color w:val="000000"/>
          <w:sz w:val="24"/>
          <w:szCs w:val="24"/>
        </w:rPr>
        <w:t>17</w:t>
      </w:r>
      <w:r w:rsidRPr="001F05AA">
        <w:rPr>
          <w:rFonts w:eastAsia="Times New Roman"/>
          <w:color w:val="000000"/>
          <w:sz w:val="24"/>
          <w:szCs w:val="24"/>
        </w:rPr>
        <w:t>(1), 48–54. https://doi.org/10.1080/07438140109353972</w:t>
      </w:r>
    </w:p>
    <w:p w14:paraId="3FEEAC54"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Kosten</w:t>
      </w:r>
      <w:proofErr w:type="spellEnd"/>
      <w:r w:rsidRPr="001F05AA">
        <w:rPr>
          <w:rFonts w:eastAsia="Times New Roman"/>
          <w:color w:val="000000"/>
          <w:sz w:val="24"/>
          <w:szCs w:val="24"/>
        </w:rPr>
        <w:t xml:space="preserve">, S., van den Berg, S., </w:t>
      </w:r>
      <w:proofErr w:type="spellStart"/>
      <w:r w:rsidRPr="001F05AA">
        <w:rPr>
          <w:rFonts w:eastAsia="Times New Roman"/>
          <w:color w:val="000000"/>
          <w:sz w:val="24"/>
          <w:szCs w:val="24"/>
        </w:rPr>
        <w:t>Mendonça</w:t>
      </w:r>
      <w:proofErr w:type="spellEnd"/>
      <w:r w:rsidRPr="001F05AA">
        <w:rPr>
          <w:rFonts w:eastAsia="Times New Roman"/>
          <w:color w:val="000000"/>
          <w:sz w:val="24"/>
          <w:szCs w:val="24"/>
        </w:rPr>
        <w:t xml:space="preserve">, R., </w:t>
      </w:r>
      <w:proofErr w:type="spellStart"/>
      <w:r w:rsidRPr="001F05AA">
        <w:rPr>
          <w:rFonts w:eastAsia="Times New Roman"/>
          <w:color w:val="000000"/>
          <w:sz w:val="24"/>
          <w:szCs w:val="24"/>
        </w:rPr>
        <w:t>Paranaíba</w:t>
      </w:r>
      <w:proofErr w:type="spellEnd"/>
      <w:r w:rsidRPr="001F05AA">
        <w:rPr>
          <w:rFonts w:eastAsia="Times New Roman"/>
          <w:color w:val="000000"/>
          <w:sz w:val="24"/>
          <w:szCs w:val="24"/>
        </w:rPr>
        <w:t xml:space="preserve">, J. R., Roland, F., Sobek, S., et al. (2018). Extreme drought boosts CO2 and CH4 emissions from reservoir drawdown areas. </w:t>
      </w:r>
      <w:r w:rsidRPr="001F05AA">
        <w:rPr>
          <w:rFonts w:eastAsia="Times New Roman"/>
          <w:i/>
          <w:color w:val="000000"/>
          <w:sz w:val="24"/>
          <w:szCs w:val="24"/>
        </w:rPr>
        <w:t>Inland Waters</w:t>
      </w:r>
      <w:r w:rsidRPr="001F05AA">
        <w:rPr>
          <w:rFonts w:eastAsia="Times New Roman"/>
          <w:color w:val="000000"/>
          <w:sz w:val="24"/>
          <w:szCs w:val="24"/>
        </w:rPr>
        <w:t xml:space="preserve">, </w:t>
      </w:r>
      <w:r w:rsidRPr="001F05AA">
        <w:rPr>
          <w:rFonts w:eastAsia="Times New Roman"/>
          <w:i/>
          <w:color w:val="000000"/>
          <w:sz w:val="24"/>
          <w:szCs w:val="24"/>
        </w:rPr>
        <w:t>8</w:t>
      </w:r>
      <w:r w:rsidRPr="001F05AA">
        <w:rPr>
          <w:rFonts w:eastAsia="Times New Roman"/>
          <w:color w:val="000000"/>
          <w:sz w:val="24"/>
          <w:szCs w:val="24"/>
        </w:rPr>
        <w:t>(3), 329–340. https://doi.org/10.1080/20442041.2018.1483126</w:t>
      </w:r>
    </w:p>
    <w:p w14:paraId="4255DA13"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Kraemer, B. M., </w:t>
      </w:r>
      <w:proofErr w:type="spellStart"/>
      <w:r w:rsidRPr="001F05AA">
        <w:rPr>
          <w:rFonts w:eastAsia="Times New Roman"/>
          <w:color w:val="000000"/>
          <w:sz w:val="24"/>
          <w:szCs w:val="24"/>
        </w:rPr>
        <w:t>Anneville</w:t>
      </w:r>
      <w:proofErr w:type="spellEnd"/>
      <w:r w:rsidRPr="001F05AA">
        <w:rPr>
          <w:rFonts w:eastAsia="Times New Roman"/>
          <w:color w:val="000000"/>
          <w:sz w:val="24"/>
          <w:szCs w:val="24"/>
        </w:rPr>
        <w:t xml:space="preserve">, O., Chandra, S., Dix, M., </w:t>
      </w:r>
      <w:proofErr w:type="spellStart"/>
      <w:r w:rsidRPr="001F05AA">
        <w:rPr>
          <w:rFonts w:eastAsia="Times New Roman"/>
          <w:color w:val="000000"/>
          <w:sz w:val="24"/>
          <w:szCs w:val="24"/>
        </w:rPr>
        <w:t>Kuusisto</w:t>
      </w:r>
      <w:proofErr w:type="spellEnd"/>
      <w:r w:rsidRPr="001F05AA">
        <w:rPr>
          <w:rFonts w:eastAsia="Times New Roman"/>
          <w:color w:val="000000"/>
          <w:sz w:val="24"/>
          <w:szCs w:val="24"/>
        </w:rPr>
        <w:t xml:space="preserve">, E., Livingstone, D. M., et al. (2015). Morphometry and average temperature affect lake stratification responses to climate change. </w:t>
      </w:r>
      <w:r w:rsidRPr="001F05AA">
        <w:rPr>
          <w:rFonts w:eastAsia="Times New Roman"/>
          <w:i/>
          <w:color w:val="000000"/>
          <w:sz w:val="24"/>
          <w:szCs w:val="24"/>
        </w:rPr>
        <w:t>Geophysical Research Letters</w:t>
      </w:r>
      <w:r w:rsidRPr="001F05AA">
        <w:rPr>
          <w:rFonts w:eastAsia="Times New Roman"/>
          <w:color w:val="000000"/>
          <w:sz w:val="24"/>
          <w:szCs w:val="24"/>
        </w:rPr>
        <w:t xml:space="preserve">, </w:t>
      </w:r>
      <w:r w:rsidRPr="001F05AA">
        <w:rPr>
          <w:rFonts w:eastAsia="Times New Roman"/>
          <w:i/>
          <w:color w:val="000000"/>
          <w:sz w:val="24"/>
          <w:szCs w:val="24"/>
        </w:rPr>
        <w:t>42</w:t>
      </w:r>
      <w:r w:rsidRPr="001F05AA">
        <w:rPr>
          <w:rFonts w:eastAsia="Times New Roman"/>
          <w:color w:val="000000"/>
          <w:sz w:val="24"/>
          <w:szCs w:val="24"/>
        </w:rPr>
        <w:t>(12), 4981–4988. https://doi.org/10.1002/2015GL064097</w:t>
      </w:r>
    </w:p>
    <w:p w14:paraId="729BD048"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lastRenderedPageBreak/>
        <w:t xml:space="preserve">Kraemer, B. M., </w:t>
      </w:r>
      <w:proofErr w:type="spellStart"/>
      <w:r w:rsidRPr="001F05AA">
        <w:rPr>
          <w:rFonts w:eastAsia="Times New Roman"/>
          <w:color w:val="000000"/>
          <w:sz w:val="24"/>
          <w:szCs w:val="24"/>
        </w:rPr>
        <w:t>Seimon</w:t>
      </w:r>
      <w:proofErr w:type="spellEnd"/>
      <w:r w:rsidRPr="001F05AA">
        <w:rPr>
          <w:rFonts w:eastAsia="Times New Roman"/>
          <w:color w:val="000000"/>
          <w:sz w:val="24"/>
          <w:szCs w:val="24"/>
        </w:rPr>
        <w:t xml:space="preserve">, A., Adrian, R., &amp; McIntyre, P. B. (2020). Worldwide lake level trends and responses to background climate variation. </w:t>
      </w:r>
      <w:r w:rsidRPr="001F05AA">
        <w:rPr>
          <w:rFonts w:eastAsia="Times New Roman"/>
          <w:i/>
          <w:color w:val="000000"/>
          <w:sz w:val="24"/>
          <w:szCs w:val="24"/>
        </w:rPr>
        <w:t>Hydrology and Earth System Sciences</w:t>
      </w:r>
      <w:r w:rsidRPr="001F05AA">
        <w:rPr>
          <w:rFonts w:eastAsia="Times New Roman"/>
          <w:color w:val="000000"/>
          <w:sz w:val="24"/>
          <w:szCs w:val="24"/>
        </w:rPr>
        <w:t xml:space="preserve">, </w:t>
      </w:r>
      <w:r w:rsidRPr="001F05AA">
        <w:rPr>
          <w:rFonts w:eastAsia="Times New Roman"/>
          <w:i/>
          <w:color w:val="000000"/>
          <w:sz w:val="24"/>
          <w:szCs w:val="24"/>
        </w:rPr>
        <w:t>24</w:t>
      </w:r>
      <w:r w:rsidRPr="001F05AA">
        <w:rPr>
          <w:rFonts w:eastAsia="Times New Roman"/>
          <w:color w:val="000000"/>
          <w:sz w:val="24"/>
          <w:szCs w:val="24"/>
        </w:rPr>
        <w:t>(5), 2593–2608. https://doi.org/10.5194/hess-24-2593-2020</w:t>
      </w:r>
    </w:p>
    <w:p w14:paraId="5E926200"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Kring</w:t>
      </w:r>
      <w:proofErr w:type="spellEnd"/>
      <w:r w:rsidRPr="001F05AA">
        <w:rPr>
          <w:rFonts w:eastAsia="Times New Roman"/>
          <w:color w:val="000000"/>
          <w:sz w:val="24"/>
          <w:szCs w:val="24"/>
        </w:rPr>
        <w:t xml:space="preserve">, S. A., </w:t>
      </w:r>
      <w:proofErr w:type="spellStart"/>
      <w:r w:rsidRPr="001F05AA">
        <w:rPr>
          <w:rFonts w:eastAsia="Times New Roman"/>
          <w:color w:val="000000"/>
          <w:sz w:val="24"/>
          <w:szCs w:val="24"/>
        </w:rPr>
        <w:t>Figary</w:t>
      </w:r>
      <w:proofErr w:type="spellEnd"/>
      <w:r w:rsidRPr="001F05AA">
        <w:rPr>
          <w:rFonts w:eastAsia="Times New Roman"/>
          <w:color w:val="000000"/>
          <w:sz w:val="24"/>
          <w:szCs w:val="24"/>
        </w:rPr>
        <w:t xml:space="preserve">, S. E., Boyer, G. L., Watson, S. B., &amp; Twiss, M. R. (2014). Rapid in situ measures of phytoplankton communities using the </w:t>
      </w:r>
      <w:proofErr w:type="spellStart"/>
      <w:r w:rsidRPr="001F05AA">
        <w:rPr>
          <w:rFonts w:eastAsia="Times New Roman"/>
          <w:color w:val="000000"/>
          <w:sz w:val="24"/>
          <w:szCs w:val="24"/>
        </w:rPr>
        <w:t>bbe</w:t>
      </w:r>
      <w:proofErr w:type="spellEnd"/>
      <w:r w:rsidRPr="001F05AA">
        <w:rPr>
          <w:rFonts w:eastAsia="Times New Roman"/>
          <w:color w:val="000000"/>
          <w:sz w:val="24"/>
          <w:szCs w:val="24"/>
        </w:rPr>
        <w:t xml:space="preserve"> </w:t>
      </w:r>
      <w:proofErr w:type="spellStart"/>
      <w:r w:rsidRPr="001F05AA">
        <w:rPr>
          <w:rFonts w:eastAsia="Times New Roman"/>
          <w:color w:val="000000"/>
          <w:sz w:val="24"/>
          <w:szCs w:val="24"/>
        </w:rPr>
        <w:t>FluoroProbe</w:t>
      </w:r>
      <w:proofErr w:type="spellEnd"/>
      <w:r w:rsidRPr="001F05AA">
        <w:rPr>
          <w:rFonts w:eastAsia="Times New Roman"/>
          <w:color w:val="000000"/>
          <w:sz w:val="24"/>
          <w:szCs w:val="24"/>
        </w:rPr>
        <w:t xml:space="preserve">: evaluation of spectral calibration, instrument </w:t>
      </w:r>
      <w:proofErr w:type="spellStart"/>
      <w:r w:rsidRPr="001F05AA">
        <w:rPr>
          <w:rFonts w:eastAsia="Times New Roman"/>
          <w:color w:val="000000"/>
          <w:sz w:val="24"/>
          <w:szCs w:val="24"/>
        </w:rPr>
        <w:t>intercompatibility</w:t>
      </w:r>
      <w:proofErr w:type="spellEnd"/>
      <w:r w:rsidRPr="001F05AA">
        <w:rPr>
          <w:rFonts w:eastAsia="Times New Roman"/>
          <w:color w:val="000000"/>
          <w:sz w:val="24"/>
          <w:szCs w:val="24"/>
        </w:rPr>
        <w:t xml:space="preserve">, and performance range. </w:t>
      </w:r>
      <w:r w:rsidRPr="001F05AA">
        <w:rPr>
          <w:rFonts w:eastAsia="Times New Roman"/>
          <w:i/>
          <w:color w:val="000000"/>
          <w:sz w:val="24"/>
          <w:szCs w:val="24"/>
        </w:rPr>
        <w:t>Canadian Journal of Fisheries and Aquatic Sciences</w:t>
      </w:r>
      <w:r w:rsidRPr="001F05AA">
        <w:rPr>
          <w:rFonts w:eastAsia="Times New Roman"/>
          <w:color w:val="000000"/>
          <w:sz w:val="24"/>
          <w:szCs w:val="24"/>
        </w:rPr>
        <w:t xml:space="preserve">, </w:t>
      </w:r>
      <w:r w:rsidRPr="001F05AA">
        <w:rPr>
          <w:rFonts w:eastAsia="Times New Roman"/>
          <w:i/>
          <w:color w:val="000000"/>
          <w:sz w:val="24"/>
          <w:szCs w:val="24"/>
        </w:rPr>
        <w:t>71</w:t>
      </w:r>
      <w:r w:rsidRPr="001F05AA">
        <w:rPr>
          <w:rFonts w:eastAsia="Times New Roman"/>
          <w:color w:val="000000"/>
          <w:sz w:val="24"/>
          <w:szCs w:val="24"/>
        </w:rPr>
        <w:t>(7), 1087–1095. https://doi.org/10.1139/cjfas-2013-0599</w:t>
      </w:r>
    </w:p>
    <w:p w14:paraId="30C67FFB"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Krueger, K. M., </w:t>
      </w:r>
      <w:proofErr w:type="spellStart"/>
      <w:r w:rsidRPr="001F05AA">
        <w:rPr>
          <w:rFonts w:eastAsia="Times New Roman"/>
          <w:color w:val="000000"/>
          <w:sz w:val="24"/>
          <w:szCs w:val="24"/>
        </w:rPr>
        <w:t>Vavrus</w:t>
      </w:r>
      <w:proofErr w:type="spellEnd"/>
      <w:r w:rsidRPr="001F05AA">
        <w:rPr>
          <w:rFonts w:eastAsia="Times New Roman"/>
          <w:color w:val="000000"/>
          <w:sz w:val="24"/>
          <w:szCs w:val="24"/>
        </w:rPr>
        <w:t xml:space="preserve">, C. E., Lofton, M. E., McClure, R. P., </w:t>
      </w:r>
      <w:proofErr w:type="spellStart"/>
      <w:r w:rsidRPr="001F05AA">
        <w:rPr>
          <w:rFonts w:eastAsia="Times New Roman"/>
          <w:color w:val="000000"/>
          <w:sz w:val="24"/>
          <w:szCs w:val="24"/>
        </w:rPr>
        <w:t>Gantzer</w:t>
      </w:r>
      <w:proofErr w:type="spellEnd"/>
      <w:r w:rsidRPr="001F05AA">
        <w:rPr>
          <w:rFonts w:eastAsia="Times New Roman"/>
          <w:color w:val="000000"/>
          <w:sz w:val="24"/>
          <w:szCs w:val="24"/>
        </w:rPr>
        <w:t xml:space="preserve">, P., Carey, C. C., &amp; Schreiber, M. E. (2020). Iron and manganese fluxes across the sediment-water interface in a drinking water reservoir. </w:t>
      </w:r>
      <w:r w:rsidRPr="001F05AA">
        <w:rPr>
          <w:rFonts w:eastAsia="Times New Roman"/>
          <w:i/>
          <w:color w:val="000000"/>
          <w:sz w:val="24"/>
          <w:szCs w:val="24"/>
        </w:rPr>
        <w:t>Water Research</w:t>
      </w:r>
      <w:r w:rsidRPr="001F05AA">
        <w:rPr>
          <w:rFonts w:eastAsia="Times New Roman"/>
          <w:color w:val="000000"/>
          <w:sz w:val="24"/>
          <w:szCs w:val="24"/>
        </w:rPr>
        <w:t xml:space="preserve">, </w:t>
      </w:r>
      <w:r w:rsidRPr="001F05AA">
        <w:rPr>
          <w:rFonts w:eastAsia="Times New Roman"/>
          <w:i/>
          <w:color w:val="000000"/>
          <w:sz w:val="24"/>
          <w:szCs w:val="24"/>
        </w:rPr>
        <w:t>182</w:t>
      </w:r>
      <w:r w:rsidRPr="001F05AA">
        <w:rPr>
          <w:rFonts w:eastAsia="Times New Roman"/>
          <w:color w:val="000000"/>
          <w:sz w:val="24"/>
          <w:szCs w:val="24"/>
        </w:rPr>
        <w:t>, 116003. https://doi.org/10.1016/j.watres.2020.116003</w:t>
      </w:r>
    </w:p>
    <w:p w14:paraId="4A287BD4"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Kumagai</w:t>
      </w:r>
      <w:proofErr w:type="spellEnd"/>
      <w:r w:rsidRPr="001F05AA">
        <w:rPr>
          <w:rFonts w:eastAsia="Times New Roman"/>
          <w:color w:val="000000"/>
          <w:sz w:val="24"/>
          <w:szCs w:val="24"/>
        </w:rPr>
        <w:t xml:space="preserve">, M., Nakano, S., Jiao, C., Hayakawa, K., </w:t>
      </w:r>
      <w:proofErr w:type="spellStart"/>
      <w:r w:rsidRPr="001F05AA">
        <w:rPr>
          <w:rFonts w:eastAsia="Times New Roman"/>
          <w:color w:val="000000"/>
          <w:sz w:val="24"/>
          <w:szCs w:val="24"/>
        </w:rPr>
        <w:t>Tsujimura</w:t>
      </w:r>
      <w:proofErr w:type="spellEnd"/>
      <w:r w:rsidRPr="001F05AA">
        <w:rPr>
          <w:rFonts w:eastAsia="Times New Roman"/>
          <w:color w:val="000000"/>
          <w:sz w:val="24"/>
          <w:szCs w:val="24"/>
        </w:rPr>
        <w:t xml:space="preserve">, S., Nakajima, T., et al. (2000). Effect of cyanobacterial blooms on thermal stratification. </w:t>
      </w:r>
      <w:r w:rsidRPr="001F05AA">
        <w:rPr>
          <w:rFonts w:eastAsia="Times New Roman"/>
          <w:i/>
          <w:color w:val="000000"/>
          <w:sz w:val="24"/>
          <w:szCs w:val="24"/>
        </w:rPr>
        <w:t>Limnology</w:t>
      </w:r>
      <w:r w:rsidRPr="001F05AA">
        <w:rPr>
          <w:rFonts w:eastAsia="Times New Roman"/>
          <w:color w:val="000000"/>
          <w:sz w:val="24"/>
          <w:szCs w:val="24"/>
        </w:rPr>
        <w:t xml:space="preserve">, </w:t>
      </w:r>
      <w:r w:rsidRPr="001F05AA">
        <w:rPr>
          <w:rFonts w:eastAsia="Times New Roman"/>
          <w:i/>
          <w:color w:val="000000"/>
          <w:sz w:val="24"/>
          <w:szCs w:val="24"/>
        </w:rPr>
        <w:t>1</w:t>
      </w:r>
      <w:r w:rsidRPr="001F05AA">
        <w:rPr>
          <w:rFonts w:eastAsia="Times New Roman"/>
          <w:color w:val="000000"/>
          <w:sz w:val="24"/>
          <w:szCs w:val="24"/>
        </w:rPr>
        <w:t>(3), 191–195. https://doi.org/10.1007/s102010070006</w:t>
      </w:r>
    </w:p>
    <w:p w14:paraId="0E233DF9"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Leach, T. H., </w:t>
      </w:r>
      <w:proofErr w:type="spellStart"/>
      <w:r w:rsidRPr="001F05AA">
        <w:rPr>
          <w:rFonts w:eastAsia="Times New Roman"/>
          <w:color w:val="000000"/>
          <w:sz w:val="24"/>
          <w:szCs w:val="24"/>
        </w:rPr>
        <w:t>Beisner</w:t>
      </w:r>
      <w:proofErr w:type="spellEnd"/>
      <w:r w:rsidRPr="001F05AA">
        <w:rPr>
          <w:rFonts w:eastAsia="Times New Roman"/>
          <w:color w:val="000000"/>
          <w:sz w:val="24"/>
          <w:szCs w:val="24"/>
        </w:rPr>
        <w:t xml:space="preserve">, B. E., Carey, C. C., </w:t>
      </w:r>
      <w:proofErr w:type="spellStart"/>
      <w:r w:rsidRPr="001F05AA">
        <w:rPr>
          <w:rFonts w:eastAsia="Times New Roman"/>
          <w:color w:val="000000"/>
          <w:sz w:val="24"/>
          <w:szCs w:val="24"/>
        </w:rPr>
        <w:t>Pernica</w:t>
      </w:r>
      <w:proofErr w:type="spellEnd"/>
      <w:r w:rsidRPr="001F05AA">
        <w:rPr>
          <w:rFonts w:eastAsia="Times New Roman"/>
          <w:color w:val="000000"/>
          <w:sz w:val="24"/>
          <w:szCs w:val="24"/>
        </w:rPr>
        <w:t xml:space="preserve">, P., Rose, K. C., </w:t>
      </w:r>
      <w:proofErr w:type="spellStart"/>
      <w:r w:rsidRPr="001F05AA">
        <w:rPr>
          <w:rFonts w:eastAsia="Times New Roman"/>
          <w:color w:val="000000"/>
          <w:sz w:val="24"/>
          <w:szCs w:val="24"/>
        </w:rPr>
        <w:t>Huot</w:t>
      </w:r>
      <w:proofErr w:type="spellEnd"/>
      <w:r w:rsidRPr="001F05AA">
        <w:rPr>
          <w:rFonts w:eastAsia="Times New Roman"/>
          <w:color w:val="000000"/>
          <w:sz w:val="24"/>
          <w:szCs w:val="24"/>
        </w:rPr>
        <w:t xml:space="preserve">, Y., et al. (2018). Patterns and drivers of deep chlorophyll maxima structure in 100 lakes: The relative importance of light and thermal stratification. </w:t>
      </w:r>
      <w:r w:rsidRPr="001F05AA">
        <w:rPr>
          <w:rFonts w:eastAsia="Times New Roman"/>
          <w:i/>
          <w:color w:val="000000"/>
          <w:sz w:val="24"/>
          <w:szCs w:val="24"/>
        </w:rPr>
        <w:t>Limnology and Oceanography</w:t>
      </w:r>
      <w:r w:rsidRPr="001F05AA">
        <w:rPr>
          <w:rFonts w:eastAsia="Times New Roman"/>
          <w:color w:val="000000"/>
          <w:sz w:val="24"/>
          <w:szCs w:val="24"/>
        </w:rPr>
        <w:t xml:space="preserve">, </w:t>
      </w:r>
      <w:r w:rsidRPr="001F05AA">
        <w:rPr>
          <w:rFonts w:eastAsia="Times New Roman"/>
          <w:i/>
          <w:color w:val="000000"/>
          <w:sz w:val="24"/>
          <w:szCs w:val="24"/>
        </w:rPr>
        <w:t>63</w:t>
      </w:r>
      <w:r w:rsidRPr="001F05AA">
        <w:rPr>
          <w:rFonts w:eastAsia="Times New Roman"/>
          <w:color w:val="000000"/>
          <w:sz w:val="24"/>
          <w:szCs w:val="24"/>
        </w:rPr>
        <w:t>(2), 628–646. https://doi.org/10.1002/lno.10656</w:t>
      </w:r>
    </w:p>
    <w:p w14:paraId="790D37A5"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Levine, S. N., &amp; Lewis Jr., W. M. (1985). The horizontal heterogeneity of nitrogen fixation in Lake Valencia, Venezuela1. </w:t>
      </w:r>
      <w:r w:rsidRPr="001F05AA">
        <w:rPr>
          <w:rFonts w:eastAsia="Times New Roman"/>
          <w:i/>
          <w:color w:val="000000"/>
          <w:sz w:val="24"/>
          <w:szCs w:val="24"/>
        </w:rPr>
        <w:t>Limnology and Oceanography</w:t>
      </w:r>
      <w:r w:rsidRPr="001F05AA">
        <w:rPr>
          <w:rFonts w:eastAsia="Times New Roman"/>
          <w:color w:val="000000"/>
          <w:sz w:val="24"/>
          <w:szCs w:val="24"/>
        </w:rPr>
        <w:t xml:space="preserve">, </w:t>
      </w:r>
      <w:r w:rsidRPr="001F05AA">
        <w:rPr>
          <w:rFonts w:eastAsia="Times New Roman"/>
          <w:i/>
          <w:color w:val="000000"/>
          <w:sz w:val="24"/>
          <w:szCs w:val="24"/>
        </w:rPr>
        <w:t>30</w:t>
      </w:r>
      <w:r w:rsidRPr="001F05AA">
        <w:rPr>
          <w:rFonts w:eastAsia="Times New Roman"/>
          <w:color w:val="000000"/>
          <w:sz w:val="24"/>
          <w:szCs w:val="24"/>
        </w:rPr>
        <w:t>(6), 1240–1245. https://doi.org/10.4319/lo.1985.30.6.1240</w:t>
      </w:r>
    </w:p>
    <w:p w14:paraId="0B1CAC02" w14:textId="77777777" w:rsidR="0006118D" w:rsidRPr="001F05AA" w:rsidRDefault="00000000" w:rsidP="00726BCB">
      <w:pPr>
        <w:pBdr>
          <w:top w:val="nil"/>
          <w:left w:val="nil"/>
          <w:bottom w:val="nil"/>
          <w:right w:val="nil"/>
          <w:between w:val="nil"/>
        </w:pBdr>
        <w:spacing w:before="120"/>
        <w:ind w:left="720" w:hanging="720"/>
        <w:rPr>
          <w:sz w:val="24"/>
          <w:szCs w:val="24"/>
        </w:rPr>
      </w:pPr>
      <w:r w:rsidRPr="00726BCB">
        <w:rPr>
          <w:rFonts w:eastAsia="Times New Roman"/>
          <w:color w:val="000000"/>
          <w:sz w:val="24"/>
          <w:szCs w:val="24"/>
        </w:rPr>
        <w:t>Lewis</w:t>
      </w:r>
      <w:r w:rsidRPr="001F05AA">
        <w:rPr>
          <w:sz w:val="24"/>
          <w:szCs w:val="24"/>
        </w:rPr>
        <w:t>, A. S., Schreiber, M. E., Niederlehner, B. R., Das, A., Hammond, N. W., Lofton, M. E., Wander, H. L., &amp; Carey, C. C. (2023). Effects of hypoxia on coupled carbon and iron cycling differ between weekly and multiannual timescales in two freshwater reservoirs. Journal of Geophysical Research: Biogeosciences, 128(1), e2022JG007071.</w:t>
      </w:r>
    </w:p>
    <w:p w14:paraId="65FF6DF7" w14:textId="77777777" w:rsidR="0006118D" w:rsidRPr="001F05AA" w:rsidRDefault="00000000" w:rsidP="00726BCB">
      <w:pPr>
        <w:pBdr>
          <w:top w:val="nil"/>
          <w:left w:val="nil"/>
          <w:bottom w:val="nil"/>
          <w:right w:val="nil"/>
          <w:between w:val="nil"/>
        </w:pBdr>
        <w:spacing w:before="120"/>
        <w:ind w:left="720" w:hanging="720"/>
        <w:rPr>
          <w:sz w:val="24"/>
          <w:szCs w:val="24"/>
        </w:rPr>
      </w:pPr>
      <w:r w:rsidRPr="00726BCB">
        <w:rPr>
          <w:rFonts w:eastAsia="Times New Roman"/>
          <w:color w:val="000000"/>
          <w:sz w:val="24"/>
          <w:szCs w:val="24"/>
        </w:rPr>
        <w:t>Lewis</w:t>
      </w:r>
      <w:r w:rsidRPr="001F05AA">
        <w:rPr>
          <w:sz w:val="24"/>
          <w:szCs w:val="24"/>
        </w:rPr>
        <w:t xml:space="preserve">, A. S. L., Lau, M. P., Jane, S. F., Rose, K. C., </w:t>
      </w:r>
      <w:proofErr w:type="spellStart"/>
      <w:r w:rsidRPr="001F05AA">
        <w:rPr>
          <w:sz w:val="24"/>
          <w:szCs w:val="24"/>
        </w:rPr>
        <w:t>Be’eri-Shlevin</w:t>
      </w:r>
      <w:proofErr w:type="spellEnd"/>
      <w:r w:rsidRPr="001F05AA">
        <w:rPr>
          <w:sz w:val="24"/>
          <w:szCs w:val="24"/>
        </w:rPr>
        <w:t xml:space="preserve">, Y., Burnet, S. H., </w:t>
      </w:r>
      <w:proofErr w:type="spellStart"/>
      <w:r w:rsidRPr="001F05AA">
        <w:rPr>
          <w:sz w:val="24"/>
          <w:szCs w:val="24"/>
        </w:rPr>
        <w:t>Clayer</w:t>
      </w:r>
      <w:proofErr w:type="spellEnd"/>
      <w:r w:rsidRPr="001F05AA">
        <w:rPr>
          <w:sz w:val="24"/>
          <w:szCs w:val="24"/>
        </w:rPr>
        <w:t xml:space="preserve">, F., </w:t>
      </w:r>
      <w:proofErr w:type="spellStart"/>
      <w:r w:rsidRPr="001F05AA">
        <w:rPr>
          <w:sz w:val="24"/>
          <w:szCs w:val="24"/>
        </w:rPr>
        <w:t>Feuchtmayr</w:t>
      </w:r>
      <w:proofErr w:type="spellEnd"/>
      <w:r w:rsidRPr="001F05AA">
        <w:rPr>
          <w:sz w:val="24"/>
          <w:szCs w:val="24"/>
        </w:rPr>
        <w:t xml:space="preserve">, H., </w:t>
      </w:r>
      <w:proofErr w:type="spellStart"/>
      <w:r w:rsidRPr="001F05AA">
        <w:rPr>
          <w:sz w:val="24"/>
          <w:szCs w:val="24"/>
        </w:rPr>
        <w:t>Grossart</w:t>
      </w:r>
      <w:proofErr w:type="spellEnd"/>
      <w:r w:rsidRPr="001F05AA">
        <w:rPr>
          <w:sz w:val="24"/>
          <w:szCs w:val="24"/>
        </w:rPr>
        <w:t xml:space="preserve">, H.-P., Howard, D. W., </w:t>
      </w:r>
      <w:proofErr w:type="spellStart"/>
      <w:r w:rsidRPr="001F05AA">
        <w:rPr>
          <w:sz w:val="24"/>
          <w:szCs w:val="24"/>
        </w:rPr>
        <w:t>Mariash</w:t>
      </w:r>
      <w:proofErr w:type="spellEnd"/>
      <w:r w:rsidRPr="001F05AA">
        <w:rPr>
          <w:sz w:val="24"/>
          <w:szCs w:val="24"/>
        </w:rPr>
        <w:t xml:space="preserve">, H., Delgado Martin, J., North, R. L., </w:t>
      </w:r>
      <w:proofErr w:type="spellStart"/>
      <w:r w:rsidRPr="001F05AA">
        <w:rPr>
          <w:sz w:val="24"/>
          <w:szCs w:val="24"/>
        </w:rPr>
        <w:t>Oleksy</w:t>
      </w:r>
      <w:proofErr w:type="spellEnd"/>
      <w:r w:rsidRPr="001F05AA">
        <w:rPr>
          <w:sz w:val="24"/>
          <w:szCs w:val="24"/>
        </w:rPr>
        <w:t xml:space="preserve">, I., </w:t>
      </w:r>
      <w:proofErr w:type="spellStart"/>
      <w:r w:rsidRPr="001F05AA">
        <w:rPr>
          <w:sz w:val="24"/>
          <w:szCs w:val="24"/>
        </w:rPr>
        <w:t>Pilla</w:t>
      </w:r>
      <w:proofErr w:type="spellEnd"/>
      <w:r w:rsidRPr="001F05AA">
        <w:rPr>
          <w:sz w:val="24"/>
          <w:szCs w:val="24"/>
        </w:rPr>
        <w:t xml:space="preserve">, R. M., </w:t>
      </w:r>
      <w:proofErr w:type="spellStart"/>
      <w:r w:rsidRPr="001F05AA">
        <w:rPr>
          <w:sz w:val="24"/>
          <w:szCs w:val="24"/>
        </w:rPr>
        <w:t>Smagula</w:t>
      </w:r>
      <w:proofErr w:type="spellEnd"/>
      <w:r w:rsidRPr="001F05AA">
        <w:rPr>
          <w:sz w:val="24"/>
          <w:szCs w:val="24"/>
        </w:rPr>
        <w:t xml:space="preserve">, A. P., Sommaruga, R., Steiner, S. E., </w:t>
      </w:r>
      <w:proofErr w:type="spellStart"/>
      <w:r w:rsidRPr="001F05AA">
        <w:rPr>
          <w:sz w:val="24"/>
          <w:szCs w:val="24"/>
        </w:rPr>
        <w:t>Verburg</w:t>
      </w:r>
      <w:proofErr w:type="spellEnd"/>
      <w:r w:rsidRPr="001F05AA">
        <w:rPr>
          <w:sz w:val="24"/>
          <w:szCs w:val="24"/>
        </w:rPr>
        <w:t xml:space="preserve">, P., Wain, D., </w:t>
      </w:r>
      <w:proofErr w:type="spellStart"/>
      <w:r w:rsidRPr="001F05AA">
        <w:rPr>
          <w:sz w:val="24"/>
          <w:szCs w:val="24"/>
        </w:rPr>
        <w:t>Weyhenmeyer</w:t>
      </w:r>
      <w:proofErr w:type="spellEnd"/>
      <w:r w:rsidRPr="001F05AA">
        <w:rPr>
          <w:sz w:val="24"/>
          <w:szCs w:val="24"/>
        </w:rPr>
        <w:t>, G. A., &amp; Carey, C. C. (2024a). Anoxia begets anoxia: A positive feedback to the deoxygenation of temperate lakes. Global Change Biology, 30(1), e17046. https://doi.org/10.1111/gcb.17046</w:t>
      </w:r>
    </w:p>
    <w:p w14:paraId="132A8123" w14:textId="77777777" w:rsidR="0006118D" w:rsidRPr="001F05AA" w:rsidRDefault="00000000">
      <w:pPr>
        <w:pBdr>
          <w:top w:val="nil"/>
          <w:left w:val="nil"/>
          <w:bottom w:val="nil"/>
          <w:right w:val="nil"/>
          <w:between w:val="nil"/>
        </w:pBdr>
        <w:spacing w:before="120"/>
        <w:ind w:left="720" w:hanging="720"/>
        <w:rPr>
          <w:sz w:val="24"/>
          <w:szCs w:val="24"/>
        </w:rPr>
      </w:pPr>
      <w:r w:rsidRPr="001F05AA">
        <w:rPr>
          <w:rFonts w:eastAsia="Times New Roman"/>
          <w:color w:val="000000"/>
          <w:sz w:val="24"/>
          <w:szCs w:val="24"/>
        </w:rPr>
        <w:t xml:space="preserve">Lewis, A., Lofton, M., </w:t>
      </w:r>
      <w:proofErr w:type="spellStart"/>
      <w:r w:rsidRPr="001F05AA">
        <w:rPr>
          <w:rFonts w:eastAsia="Times New Roman"/>
          <w:color w:val="000000"/>
          <w:sz w:val="24"/>
          <w:szCs w:val="24"/>
        </w:rPr>
        <w:t>Breef-Pilz</w:t>
      </w:r>
      <w:proofErr w:type="spellEnd"/>
      <w:r w:rsidRPr="001F05AA">
        <w:rPr>
          <w:rFonts w:eastAsia="Times New Roman"/>
          <w:color w:val="000000"/>
          <w:sz w:val="24"/>
          <w:szCs w:val="24"/>
        </w:rPr>
        <w:t>, A., &amp; Olsson, F. (202</w:t>
      </w:r>
      <w:r w:rsidRPr="001F05AA">
        <w:rPr>
          <w:sz w:val="24"/>
          <w:szCs w:val="24"/>
        </w:rPr>
        <w:t>4b</w:t>
      </w:r>
      <w:r w:rsidRPr="001F05AA">
        <w:rPr>
          <w:rFonts w:eastAsia="Times New Roman"/>
          <w:color w:val="000000"/>
          <w:sz w:val="24"/>
          <w:szCs w:val="24"/>
        </w:rPr>
        <w:t xml:space="preserve">, </w:t>
      </w:r>
      <w:r w:rsidRPr="001F05AA">
        <w:rPr>
          <w:sz w:val="24"/>
          <w:szCs w:val="24"/>
        </w:rPr>
        <w:t>January 24</w:t>
      </w:r>
      <w:r w:rsidRPr="001F05AA">
        <w:rPr>
          <w:rFonts w:eastAsia="Times New Roman"/>
          <w:color w:val="000000"/>
          <w:sz w:val="24"/>
          <w:szCs w:val="24"/>
        </w:rPr>
        <w:t xml:space="preserve">). </w:t>
      </w:r>
      <w:proofErr w:type="spellStart"/>
      <w:r w:rsidRPr="001F05AA">
        <w:rPr>
          <w:rFonts w:eastAsia="Times New Roman"/>
          <w:color w:val="000000"/>
          <w:sz w:val="24"/>
          <w:szCs w:val="24"/>
        </w:rPr>
        <w:t>abbylewis</w:t>
      </w:r>
      <w:proofErr w:type="spellEnd"/>
      <w:r w:rsidRPr="001F05AA">
        <w:rPr>
          <w:rFonts w:eastAsia="Times New Roman"/>
          <w:color w:val="000000"/>
          <w:sz w:val="24"/>
          <w:szCs w:val="24"/>
        </w:rPr>
        <w:t>/</w:t>
      </w:r>
      <w:proofErr w:type="spellStart"/>
      <w:r w:rsidRPr="001F05AA">
        <w:rPr>
          <w:rFonts w:eastAsia="Times New Roman"/>
          <w:color w:val="000000"/>
          <w:sz w:val="24"/>
          <w:szCs w:val="24"/>
        </w:rPr>
        <w:t>BVR_Drawdown</w:t>
      </w:r>
      <w:proofErr w:type="spellEnd"/>
      <w:r w:rsidRPr="001F05AA">
        <w:rPr>
          <w:rFonts w:eastAsia="Times New Roman"/>
          <w:color w:val="000000"/>
          <w:sz w:val="24"/>
          <w:szCs w:val="24"/>
        </w:rPr>
        <w:t>: Effects of a 2022 drawdown on water quality in Beaverdam Reservoir (Version v1.</w:t>
      </w:r>
      <w:r w:rsidRPr="001F05AA">
        <w:rPr>
          <w:sz w:val="24"/>
          <w:szCs w:val="24"/>
        </w:rPr>
        <w:t>1</w:t>
      </w:r>
      <w:r w:rsidRPr="001F05AA">
        <w:rPr>
          <w:rFonts w:eastAsia="Times New Roman"/>
          <w:color w:val="000000"/>
          <w:sz w:val="24"/>
          <w:szCs w:val="24"/>
        </w:rPr>
        <w:t xml:space="preserve">.0). </w:t>
      </w:r>
      <w:proofErr w:type="spellStart"/>
      <w:r w:rsidRPr="001F05AA">
        <w:rPr>
          <w:rFonts w:eastAsia="Times New Roman"/>
          <w:color w:val="000000"/>
          <w:sz w:val="24"/>
          <w:szCs w:val="24"/>
        </w:rPr>
        <w:t>Zenodo</w:t>
      </w:r>
      <w:proofErr w:type="spellEnd"/>
      <w:r w:rsidRPr="001F05AA">
        <w:rPr>
          <w:rFonts w:eastAsia="Times New Roman"/>
          <w:color w:val="000000"/>
          <w:sz w:val="24"/>
          <w:szCs w:val="24"/>
        </w:rPr>
        <w:t>. https://doi.org/</w:t>
      </w:r>
      <w:r w:rsidRPr="001F05AA">
        <w:rPr>
          <w:sz w:val="24"/>
          <w:szCs w:val="24"/>
        </w:rPr>
        <w:t>10.5281/zenodo.8330109</w:t>
      </w:r>
    </w:p>
    <w:p w14:paraId="60A8DE79"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Lewis, D. M., Brereton, A., &amp; Siddons, J. T. (2017). A large eddy simulation study of the formation of deep chlorophyll/biological maxima in un-stratified mixed layers: The roles of turbulent mixing and predation pressure. </w:t>
      </w:r>
      <w:r w:rsidRPr="001F05AA">
        <w:rPr>
          <w:rFonts w:eastAsia="Times New Roman"/>
          <w:i/>
          <w:color w:val="000000"/>
          <w:sz w:val="24"/>
          <w:szCs w:val="24"/>
        </w:rPr>
        <w:t>Limnology and Oceanography</w:t>
      </w:r>
      <w:r w:rsidRPr="001F05AA">
        <w:rPr>
          <w:rFonts w:eastAsia="Times New Roman"/>
          <w:color w:val="000000"/>
          <w:sz w:val="24"/>
          <w:szCs w:val="24"/>
        </w:rPr>
        <w:t xml:space="preserve">, </w:t>
      </w:r>
      <w:r w:rsidRPr="001F05AA">
        <w:rPr>
          <w:rFonts w:eastAsia="Times New Roman"/>
          <w:i/>
          <w:color w:val="000000"/>
          <w:sz w:val="24"/>
          <w:szCs w:val="24"/>
        </w:rPr>
        <w:t>62</w:t>
      </w:r>
      <w:r w:rsidRPr="001F05AA">
        <w:rPr>
          <w:rFonts w:eastAsia="Times New Roman"/>
          <w:color w:val="000000"/>
          <w:sz w:val="24"/>
          <w:szCs w:val="24"/>
        </w:rPr>
        <w:t>(5), 2277–2307. https://doi.org/10.1002/lno.10566</w:t>
      </w:r>
    </w:p>
    <w:p w14:paraId="496BC217"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Li, Y., Waite, A. M., Gal, G., &amp; </w:t>
      </w:r>
      <w:proofErr w:type="spellStart"/>
      <w:r w:rsidRPr="001F05AA">
        <w:rPr>
          <w:rFonts w:eastAsia="Times New Roman"/>
          <w:color w:val="000000"/>
          <w:sz w:val="24"/>
          <w:szCs w:val="24"/>
        </w:rPr>
        <w:t>Hipsey</w:t>
      </w:r>
      <w:proofErr w:type="spellEnd"/>
      <w:r w:rsidRPr="001F05AA">
        <w:rPr>
          <w:rFonts w:eastAsia="Times New Roman"/>
          <w:color w:val="000000"/>
          <w:sz w:val="24"/>
          <w:szCs w:val="24"/>
        </w:rPr>
        <w:t xml:space="preserve">, M. R. (2012). Do phytoplankton nutrient ratios reflect patterns of water column nutrient ratios? A numerical stoichiometric analysis of Lake </w:t>
      </w:r>
      <w:r w:rsidRPr="001F05AA">
        <w:rPr>
          <w:rFonts w:eastAsia="Times New Roman"/>
          <w:color w:val="000000"/>
          <w:sz w:val="24"/>
          <w:szCs w:val="24"/>
        </w:rPr>
        <w:lastRenderedPageBreak/>
        <w:t xml:space="preserve">Kinneret. </w:t>
      </w:r>
      <w:r w:rsidRPr="001F05AA">
        <w:rPr>
          <w:rFonts w:eastAsia="Times New Roman"/>
          <w:i/>
          <w:color w:val="000000"/>
          <w:sz w:val="24"/>
          <w:szCs w:val="24"/>
        </w:rPr>
        <w:t>Procedia Environmental Sciences</w:t>
      </w:r>
      <w:r w:rsidRPr="001F05AA">
        <w:rPr>
          <w:rFonts w:eastAsia="Times New Roman"/>
          <w:color w:val="000000"/>
          <w:sz w:val="24"/>
          <w:szCs w:val="24"/>
        </w:rPr>
        <w:t xml:space="preserve">, </w:t>
      </w:r>
      <w:r w:rsidRPr="001F05AA">
        <w:rPr>
          <w:rFonts w:eastAsia="Times New Roman"/>
          <w:i/>
          <w:color w:val="000000"/>
          <w:sz w:val="24"/>
          <w:szCs w:val="24"/>
        </w:rPr>
        <w:t>13</w:t>
      </w:r>
      <w:r w:rsidRPr="001F05AA">
        <w:rPr>
          <w:rFonts w:eastAsia="Times New Roman"/>
          <w:color w:val="000000"/>
          <w:sz w:val="24"/>
          <w:szCs w:val="24"/>
        </w:rPr>
        <w:t>, 1630–1640. https://doi.org/10.1016/j.proenv.2012.01.156</w:t>
      </w:r>
    </w:p>
    <w:p w14:paraId="4601C90B"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Li, Y., Huang, T., Zhou, Z., Long, S., &amp; Zhang, H. (2017). Effects of reservoir operation and climate change on thermal stratification of a canyon-shaped reservoir, in northwest China. </w:t>
      </w:r>
      <w:r w:rsidRPr="001F05AA">
        <w:rPr>
          <w:rFonts w:eastAsia="Times New Roman"/>
          <w:i/>
          <w:color w:val="000000"/>
          <w:sz w:val="24"/>
          <w:szCs w:val="24"/>
        </w:rPr>
        <w:t>Water Supply</w:t>
      </w:r>
      <w:r w:rsidRPr="001F05AA">
        <w:rPr>
          <w:rFonts w:eastAsia="Times New Roman"/>
          <w:color w:val="000000"/>
          <w:sz w:val="24"/>
          <w:szCs w:val="24"/>
        </w:rPr>
        <w:t xml:space="preserve">, </w:t>
      </w:r>
      <w:r w:rsidRPr="001F05AA">
        <w:rPr>
          <w:rFonts w:eastAsia="Times New Roman"/>
          <w:i/>
          <w:color w:val="000000"/>
          <w:sz w:val="24"/>
          <w:szCs w:val="24"/>
        </w:rPr>
        <w:t>18</w:t>
      </w:r>
      <w:r w:rsidRPr="001F05AA">
        <w:rPr>
          <w:rFonts w:eastAsia="Times New Roman"/>
          <w:color w:val="000000"/>
          <w:sz w:val="24"/>
          <w:szCs w:val="24"/>
        </w:rPr>
        <w:t>(2), 418–429. https://doi.org/10.2166/ws.2017.068</w:t>
      </w:r>
    </w:p>
    <w:p w14:paraId="4D8A78EC" w14:textId="77777777" w:rsidR="0006118D" w:rsidRPr="001F05AA" w:rsidRDefault="00000000" w:rsidP="00726BCB">
      <w:pPr>
        <w:pBdr>
          <w:top w:val="nil"/>
          <w:left w:val="nil"/>
          <w:bottom w:val="nil"/>
          <w:right w:val="nil"/>
          <w:between w:val="nil"/>
        </w:pBdr>
        <w:spacing w:before="120"/>
        <w:ind w:left="720" w:hanging="720"/>
        <w:rPr>
          <w:sz w:val="24"/>
          <w:szCs w:val="24"/>
        </w:rPr>
      </w:pPr>
      <w:proofErr w:type="spellStart"/>
      <w:r w:rsidRPr="00726BCB">
        <w:rPr>
          <w:rFonts w:eastAsia="Times New Roman"/>
          <w:color w:val="000000"/>
          <w:sz w:val="24"/>
          <w:szCs w:val="24"/>
        </w:rPr>
        <w:t>Leira</w:t>
      </w:r>
      <w:proofErr w:type="spellEnd"/>
      <w:r w:rsidRPr="001F05AA">
        <w:rPr>
          <w:sz w:val="24"/>
          <w:szCs w:val="24"/>
        </w:rPr>
        <w:t xml:space="preserve">, M., &amp; </w:t>
      </w:r>
      <w:proofErr w:type="spellStart"/>
      <w:r w:rsidRPr="001F05AA">
        <w:rPr>
          <w:sz w:val="24"/>
          <w:szCs w:val="24"/>
        </w:rPr>
        <w:t>Cantonati</w:t>
      </w:r>
      <w:proofErr w:type="spellEnd"/>
      <w:r w:rsidRPr="001F05AA">
        <w:rPr>
          <w:sz w:val="24"/>
          <w:szCs w:val="24"/>
        </w:rPr>
        <w:t xml:space="preserve">, M. (2008). Effects of water-level fluctuations on lakes: an annotated bibliography. </w:t>
      </w:r>
      <w:proofErr w:type="spellStart"/>
      <w:r w:rsidRPr="001F05AA">
        <w:rPr>
          <w:sz w:val="24"/>
          <w:szCs w:val="24"/>
        </w:rPr>
        <w:t>Hydrobiologia</w:t>
      </w:r>
      <w:proofErr w:type="spellEnd"/>
      <w:r w:rsidRPr="001F05AA">
        <w:rPr>
          <w:sz w:val="24"/>
          <w:szCs w:val="24"/>
        </w:rPr>
        <w:t>, 613(1), 171–184. https://doi.org/10.1007/s10750-008-9465-2</w:t>
      </w:r>
    </w:p>
    <w:p w14:paraId="544DCBFA"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Liu, J., Deng, J., Chai, Y., Yang, Y., Zhu, B., &amp; Li, S. (2019). Variation of the Water Level in the Yangtze River in Response to Natural and Anthropogenic Changes. </w:t>
      </w:r>
      <w:r w:rsidRPr="001F05AA">
        <w:rPr>
          <w:rFonts w:eastAsia="Times New Roman"/>
          <w:i/>
          <w:color w:val="000000"/>
          <w:sz w:val="24"/>
          <w:szCs w:val="24"/>
        </w:rPr>
        <w:t>Water</w:t>
      </w:r>
      <w:r w:rsidRPr="001F05AA">
        <w:rPr>
          <w:rFonts w:eastAsia="Times New Roman"/>
          <w:color w:val="000000"/>
          <w:sz w:val="24"/>
          <w:szCs w:val="24"/>
        </w:rPr>
        <w:t xml:space="preserve">, </w:t>
      </w:r>
      <w:r w:rsidRPr="001F05AA">
        <w:rPr>
          <w:rFonts w:eastAsia="Times New Roman"/>
          <w:i/>
          <w:color w:val="000000"/>
          <w:sz w:val="24"/>
          <w:szCs w:val="24"/>
        </w:rPr>
        <w:t>11</w:t>
      </w:r>
      <w:r w:rsidRPr="001F05AA">
        <w:rPr>
          <w:rFonts w:eastAsia="Times New Roman"/>
          <w:color w:val="000000"/>
          <w:sz w:val="24"/>
          <w:szCs w:val="24"/>
        </w:rPr>
        <w:t>(12), 2594. https://doi.org/10.3390/w11122594</w:t>
      </w:r>
    </w:p>
    <w:p w14:paraId="47971248"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Lofton, M. E., Leach, T. H., </w:t>
      </w:r>
      <w:proofErr w:type="spellStart"/>
      <w:r w:rsidRPr="001F05AA">
        <w:rPr>
          <w:rFonts w:eastAsia="Times New Roman"/>
          <w:color w:val="000000"/>
          <w:sz w:val="24"/>
          <w:szCs w:val="24"/>
        </w:rPr>
        <w:t>Beisner</w:t>
      </w:r>
      <w:proofErr w:type="spellEnd"/>
      <w:r w:rsidRPr="001F05AA">
        <w:rPr>
          <w:rFonts w:eastAsia="Times New Roman"/>
          <w:color w:val="000000"/>
          <w:sz w:val="24"/>
          <w:szCs w:val="24"/>
        </w:rPr>
        <w:t xml:space="preserve">, B. E., &amp; Carey, C. C. (2020). Relative importance of top-down vs. bottom-up control of lake phytoplankton vertical distributions varies among fluorescence-based spectral groups. </w:t>
      </w:r>
      <w:r w:rsidRPr="001F05AA">
        <w:rPr>
          <w:rFonts w:eastAsia="Times New Roman"/>
          <w:i/>
          <w:color w:val="000000"/>
          <w:sz w:val="24"/>
          <w:szCs w:val="24"/>
        </w:rPr>
        <w:t>Limnology and Oceanography</w:t>
      </w:r>
      <w:r w:rsidRPr="001F05AA">
        <w:rPr>
          <w:rFonts w:eastAsia="Times New Roman"/>
          <w:color w:val="000000"/>
          <w:sz w:val="24"/>
          <w:szCs w:val="24"/>
        </w:rPr>
        <w:t xml:space="preserve">, </w:t>
      </w:r>
      <w:r w:rsidRPr="001F05AA">
        <w:rPr>
          <w:rFonts w:eastAsia="Times New Roman"/>
          <w:i/>
          <w:color w:val="000000"/>
          <w:sz w:val="24"/>
          <w:szCs w:val="24"/>
        </w:rPr>
        <w:t>65</w:t>
      </w:r>
      <w:r w:rsidRPr="001F05AA">
        <w:rPr>
          <w:rFonts w:eastAsia="Times New Roman"/>
          <w:color w:val="000000"/>
          <w:sz w:val="24"/>
          <w:szCs w:val="24"/>
        </w:rPr>
        <w:t>(10), 2485–2501. https://doi.org/10.1002/lno.11465</w:t>
      </w:r>
    </w:p>
    <w:p w14:paraId="09A5338B"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Lofton, M. E., Howard, D. W., McClure, R. P., Wander, H. L., Woelmer, W. M., </w:t>
      </w:r>
      <w:proofErr w:type="spellStart"/>
      <w:r w:rsidRPr="001F05AA">
        <w:rPr>
          <w:rFonts w:eastAsia="Times New Roman"/>
          <w:color w:val="000000"/>
          <w:sz w:val="24"/>
          <w:szCs w:val="24"/>
        </w:rPr>
        <w:t>Hounshell</w:t>
      </w:r>
      <w:proofErr w:type="spellEnd"/>
      <w:r w:rsidRPr="001F05AA">
        <w:rPr>
          <w:rFonts w:eastAsia="Times New Roman"/>
          <w:color w:val="000000"/>
          <w:sz w:val="24"/>
          <w:szCs w:val="24"/>
        </w:rPr>
        <w:t xml:space="preserve">, A. G., et al. (2022). Experimental thermocline deepening alters vertical distribution and community structure of phytoplankton in a 4-year whole-reservoir manipulation. </w:t>
      </w:r>
      <w:r w:rsidRPr="001F05AA">
        <w:rPr>
          <w:rFonts w:eastAsia="Times New Roman"/>
          <w:i/>
          <w:color w:val="000000"/>
          <w:sz w:val="24"/>
          <w:szCs w:val="24"/>
        </w:rPr>
        <w:t>Freshwater Biology</w:t>
      </w:r>
      <w:r w:rsidRPr="001F05AA">
        <w:rPr>
          <w:rFonts w:eastAsia="Times New Roman"/>
          <w:color w:val="000000"/>
          <w:sz w:val="24"/>
          <w:szCs w:val="24"/>
        </w:rPr>
        <w:t xml:space="preserve">, </w:t>
      </w:r>
      <w:r w:rsidRPr="001F05AA">
        <w:rPr>
          <w:rFonts w:eastAsia="Times New Roman"/>
          <w:i/>
          <w:color w:val="000000"/>
          <w:sz w:val="24"/>
          <w:szCs w:val="24"/>
        </w:rPr>
        <w:t>67</w:t>
      </w:r>
      <w:r w:rsidRPr="001F05AA">
        <w:rPr>
          <w:rFonts w:eastAsia="Times New Roman"/>
          <w:color w:val="000000"/>
          <w:sz w:val="24"/>
          <w:szCs w:val="24"/>
        </w:rPr>
        <w:t>(11), 1903–1924. https://doi.org/10.1111/fwb.13983</w:t>
      </w:r>
    </w:p>
    <w:p w14:paraId="21B717BE"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Ma, J., Loiselle, S., Cao, Z., Qi, T., Shen, M., Luo, J., et al. (2023). Unbalanced impacts of nature and nurture factors on the phenology, area and intensity of algal blooms in global large lakes: MODIS observations. </w:t>
      </w:r>
      <w:r w:rsidRPr="001F05AA">
        <w:rPr>
          <w:rFonts w:eastAsia="Times New Roman"/>
          <w:i/>
          <w:color w:val="000000"/>
          <w:sz w:val="24"/>
          <w:szCs w:val="24"/>
        </w:rPr>
        <w:t>Science of The Total Environment</w:t>
      </w:r>
      <w:r w:rsidRPr="001F05AA">
        <w:rPr>
          <w:rFonts w:eastAsia="Times New Roman"/>
          <w:color w:val="000000"/>
          <w:sz w:val="24"/>
          <w:szCs w:val="24"/>
        </w:rPr>
        <w:t>, 163376. https://doi.org/10.1016/j.scitotenv.2023.163376</w:t>
      </w:r>
    </w:p>
    <w:p w14:paraId="08168900"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MacIntyre</w:t>
      </w:r>
      <w:proofErr w:type="spellEnd"/>
      <w:r w:rsidRPr="001F05AA">
        <w:rPr>
          <w:rFonts w:eastAsia="Times New Roman"/>
          <w:color w:val="000000"/>
          <w:sz w:val="24"/>
          <w:szCs w:val="24"/>
        </w:rPr>
        <w:t xml:space="preserve">, S., Flynn, K. M., Jellison, R., &amp; Romero, J. R. (1999). Boundary mixing and nutrient fluxes in Mono Lake, California. </w:t>
      </w:r>
      <w:r w:rsidRPr="001F05AA">
        <w:rPr>
          <w:rFonts w:eastAsia="Times New Roman"/>
          <w:i/>
          <w:color w:val="000000"/>
          <w:sz w:val="24"/>
          <w:szCs w:val="24"/>
        </w:rPr>
        <w:t>Limnology and Oceanography</w:t>
      </w:r>
      <w:r w:rsidRPr="001F05AA">
        <w:rPr>
          <w:rFonts w:eastAsia="Times New Roman"/>
          <w:color w:val="000000"/>
          <w:sz w:val="24"/>
          <w:szCs w:val="24"/>
        </w:rPr>
        <w:t xml:space="preserve">, </w:t>
      </w:r>
      <w:r w:rsidRPr="001F05AA">
        <w:rPr>
          <w:rFonts w:eastAsia="Times New Roman"/>
          <w:i/>
          <w:color w:val="000000"/>
          <w:sz w:val="24"/>
          <w:szCs w:val="24"/>
        </w:rPr>
        <w:t>44</w:t>
      </w:r>
      <w:r w:rsidRPr="001F05AA">
        <w:rPr>
          <w:rFonts w:eastAsia="Times New Roman"/>
          <w:color w:val="000000"/>
          <w:sz w:val="24"/>
          <w:szCs w:val="24"/>
        </w:rPr>
        <w:t>(3), 512–529. https://doi.org/10.4319/lo.1999.44.3.0512</w:t>
      </w:r>
    </w:p>
    <w:p w14:paraId="63928895"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Mackay, E. B., </w:t>
      </w:r>
      <w:proofErr w:type="spellStart"/>
      <w:r w:rsidRPr="001F05AA">
        <w:rPr>
          <w:rFonts w:eastAsia="Times New Roman"/>
          <w:color w:val="000000"/>
          <w:sz w:val="24"/>
          <w:szCs w:val="24"/>
        </w:rPr>
        <w:t>Folkard</w:t>
      </w:r>
      <w:proofErr w:type="spellEnd"/>
      <w:r w:rsidRPr="001F05AA">
        <w:rPr>
          <w:rFonts w:eastAsia="Times New Roman"/>
          <w:color w:val="000000"/>
          <w:sz w:val="24"/>
          <w:szCs w:val="24"/>
        </w:rPr>
        <w:t xml:space="preserve">, A. M., &amp; Jones, I. D. (2014). Interannual variations in atmospheric forcing determine trajectories of hypolimnetic soluble reactive phosphorus supply in a eutrophic lake. </w:t>
      </w:r>
      <w:r w:rsidRPr="001F05AA">
        <w:rPr>
          <w:rFonts w:eastAsia="Times New Roman"/>
          <w:i/>
          <w:color w:val="000000"/>
          <w:sz w:val="24"/>
          <w:szCs w:val="24"/>
        </w:rPr>
        <w:t>Freshwater Biology</w:t>
      </w:r>
      <w:r w:rsidRPr="001F05AA">
        <w:rPr>
          <w:rFonts w:eastAsia="Times New Roman"/>
          <w:color w:val="000000"/>
          <w:sz w:val="24"/>
          <w:szCs w:val="24"/>
        </w:rPr>
        <w:t xml:space="preserve">, </w:t>
      </w:r>
      <w:r w:rsidRPr="001F05AA">
        <w:rPr>
          <w:rFonts w:eastAsia="Times New Roman"/>
          <w:i/>
          <w:color w:val="000000"/>
          <w:sz w:val="24"/>
          <w:szCs w:val="24"/>
        </w:rPr>
        <w:t>59</w:t>
      </w:r>
      <w:r w:rsidRPr="001F05AA">
        <w:rPr>
          <w:rFonts w:eastAsia="Times New Roman"/>
          <w:color w:val="000000"/>
          <w:sz w:val="24"/>
          <w:szCs w:val="24"/>
        </w:rPr>
        <w:t>(8), 1646–1658. https://doi.org/10.1111/fwb.12371</w:t>
      </w:r>
    </w:p>
    <w:p w14:paraId="078EB631"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Magbanua</w:t>
      </w:r>
      <w:proofErr w:type="spellEnd"/>
      <w:r w:rsidRPr="001F05AA">
        <w:rPr>
          <w:rFonts w:eastAsia="Times New Roman"/>
          <w:color w:val="000000"/>
          <w:sz w:val="24"/>
          <w:szCs w:val="24"/>
        </w:rPr>
        <w:t xml:space="preserve">, F. S., Mendoza, N. Y. B., </w:t>
      </w:r>
      <w:proofErr w:type="spellStart"/>
      <w:r w:rsidRPr="001F05AA">
        <w:rPr>
          <w:rFonts w:eastAsia="Times New Roman"/>
          <w:color w:val="000000"/>
          <w:sz w:val="24"/>
          <w:szCs w:val="24"/>
        </w:rPr>
        <w:t>Uy</w:t>
      </w:r>
      <w:proofErr w:type="spellEnd"/>
      <w:r w:rsidRPr="001F05AA">
        <w:rPr>
          <w:rFonts w:eastAsia="Times New Roman"/>
          <w:color w:val="000000"/>
          <w:sz w:val="24"/>
          <w:szCs w:val="24"/>
        </w:rPr>
        <w:t xml:space="preserve">, C. J. C., Matthaei, C. D., &amp; Ong, P. S. (2015). Water </w:t>
      </w:r>
      <w:proofErr w:type="spellStart"/>
      <w:r w:rsidRPr="001F05AA">
        <w:rPr>
          <w:rFonts w:eastAsia="Times New Roman"/>
          <w:color w:val="000000"/>
          <w:sz w:val="24"/>
          <w:szCs w:val="24"/>
        </w:rPr>
        <w:t>physicochemistry</w:t>
      </w:r>
      <w:proofErr w:type="spellEnd"/>
      <w:r w:rsidRPr="001F05AA">
        <w:rPr>
          <w:rFonts w:eastAsia="Times New Roman"/>
          <w:color w:val="000000"/>
          <w:sz w:val="24"/>
          <w:szCs w:val="24"/>
        </w:rPr>
        <w:t xml:space="preserve"> and benthic macroinvertebrate communities in a tropical reservoir: The role of water level fluctuations and water depth. </w:t>
      </w:r>
      <w:proofErr w:type="spellStart"/>
      <w:r w:rsidRPr="001F05AA">
        <w:rPr>
          <w:rFonts w:eastAsia="Times New Roman"/>
          <w:i/>
          <w:color w:val="000000"/>
          <w:sz w:val="24"/>
          <w:szCs w:val="24"/>
        </w:rPr>
        <w:t>Limnologica</w:t>
      </w:r>
      <w:proofErr w:type="spellEnd"/>
      <w:r w:rsidRPr="001F05AA">
        <w:rPr>
          <w:rFonts w:eastAsia="Times New Roman"/>
          <w:color w:val="000000"/>
          <w:sz w:val="24"/>
          <w:szCs w:val="24"/>
        </w:rPr>
        <w:t xml:space="preserve">, </w:t>
      </w:r>
      <w:r w:rsidRPr="001F05AA">
        <w:rPr>
          <w:rFonts w:eastAsia="Times New Roman"/>
          <w:i/>
          <w:color w:val="000000"/>
          <w:sz w:val="24"/>
          <w:szCs w:val="24"/>
        </w:rPr>
        <w:t>55</w:t>
      </w:r>
      <w:r w:rsidRPr="001F05AA">
        <w:rPr>
          <w:rFonts w:eastAsia="Times New Roman"/>
          <w:color w:val="000000"/>
          <w:sz w:val="24"/>
          <w:szCs w:val="24"/>
        </w:rPr>
        <w:t>, 13–20. https://doi.org/10.1016/j.limno.2015.10.002</w:t>
      </w:r>
    </w:p>
    <w:p w14:paraId="08F02529"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Magee, M. R., &amp; Wu, C. H. (2017). Effects of changing climate on ice cover in three morphometrically different lakes. </w:t>
      </w:r>
      <w:r w:rsidRPr="001F05AA">
        <w:rPr>
          <w:rFonts w:eastAsia="Times New Roman"/>
          <w:i/>
          <w:color w:val="000000"/>
          <w:sz w:val="24"/>
          <w:szCs w:val="24"/>
        </w:rPr>
        <w:t>Hydrological Processes</w:t>
      </w:r>
      <w:r w:rsidRPr="001F05AA">
        <w:rPr>
          <w:rFonts w:eastAsia="Times New Roman"/>
          <w:color w:val="000000"/>
          <w:sz w:val="24"/>
          <w:szCs w:val="24"/>
        </w:rPr>
        <w:t xml:space="preserve">, </w:t>
      </w:r>
      <w:r w:rsidRPr="001F05AA">
        <w:rPr>
          <w:rFonts w:eastAsia="Times New Roman"/>
          <w:i/>
          <w:color w:val="000000"/>
          <w:sz w:val="24"/>
          <w:szCs w:val="24"/>
        </w:rPr>
        <w:t>31</w:t>
      </w:r>
      <w:r w:rsidRPr="001F05AA">
        <w:rPr>
          <w:rFonts w:eastAsia="Times New Roman"/>
          <w:color w:val="000000"/>
          <w:sz w:val="24"/>
          <w:szCs w:val="24"/>
        </w:rPr>
        <w:t>(2), 308–323. https://doi.org/10.1002/hyp.10996</w:t>
      </w:r>
    </w:p>
    <w:p w14:paraId="7FCE4193"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Matsuzaki</w:t>
      </w:r>
      <w:proofErr w:type="spellEnd"/>
      <w:r w:rsidRPr="001F05AA">
        <w:rPr>
          <w:rFonts w:eastAsia="Times New Roman"/>
          <w:color w:val="000000"/>
          <w:sz w:val="24"/>
          <w:szCs w:val="24"/>
        </w:rPr>
        <w:t xml:space="preserve">, S. S., </w:t>
      </w:r>
      <w:proofErr w:type="spellStart"/>
      <w:r w:rsidRPr="001F05AA">
        <w:rPr>
          <w:rFonts w:eastAsia="Times New Roman"/>
          <w:color w:val="000000"/>
          <w:sz w:val="24"/>
          <w:szCs w:val="24"/>
        </w:rPr>
        <w:t>Kohzu</w:t>
      </w:r>
      <w:proofErr w:type="spellEnd"/>
      <w:r w:rsidRPr="001F05AA">
        <w:rPr>
          <w:rFonts w:eastAsia="Times New Roman"/>
          <w:color w:val="000000"/>
          <w:sz w:val="24"/>
          <w:szCs w:val="24"/>
        </w:rPr>
        <w:t xml:space="preserve">, A., Tsuchiya, K., Shinohara, R., Nakagawa, M., </w:t>
      </w:r>
      <w:proofErr w:type="spellStart"/>
      <w:r w:rsidRPr="001F05AA">
        <w:rPr>
          <w:rFonts w:eastAsia="Times New Roman"/>
          <w:color w:val="000000"/>
          <w:sz w:val="24"/>
          <w:szCs w:val="24"/>
        </w:rPr>
        <w:t>Fukumori</w:t>
      </w:r>
      <w:proofErr w:type="spellEnd"/>
      <w:r w:rsidRPr="001F05AA">
        <w:rPr>
          <w:rFonts w:eastAsia="Times New Roman"/>
          <w:color w:val="000000"/>
          <w:sz w:val="24"/>
          <w:szCs w:val="24"/>
        </w:rPr>
        <w:t xml:space="preserve">, K., et al. (2023). Water-level drawdowns can improve surface water quality and alleviate bottom hypoxia in shallow, eutrophic water bodies. </w:t>
      </w:r>
      <w:r w:rsidRPr="001F05AA">
        <w:rPr>
          <w:rFonts w:eastAsia="Times New Roman"/>
          <w:i/>
          <w:color w:val="000000"/>
          <w:sz w:val="24"/>
          <w:szCs w:val="24"/>
        </w:rPr>
        <w:t>Freshwater Biology</w:t>
      </w:r>
      <w:r w:rsidRPr="001F05AA">
        <w:rPr>
          <w:rFonts w:eastAsia="Times New Roman"/>
          <w:color w:val="000000"/>
          <w:sz w:val="24"/>
          <w:szCs w:val="24"/>
        </w:rPr>
        <w:t xml:space="preserve">, </w:t>
      </w:r>
      <w:r w:rsidRPr="001F05AA">
        <w:rPr>
          <w:rFonts w:eastAsia="Times New Roman"/>
          <w:i/>
          <w:color w:val="000000"/>
          <w:sz w:val="24"/>
          <w:szCs w:val="24"/>
        </w:rPr>
        <w:t>68</w:t>
      </w:r>
      <w:r w:rsidRPr="001F05AA">
        <w:rPr>
          <w:rFonts w:eastAsia="Times New Roman"/>
          <w:color w:val="000000"/>
          <w:sz w:val="24"/>
          <w:szCs w:val="24"/>
        </w:rPr>
        <w:t>(2), 229–244. https://doi.org/10.1111/fwb.14020</w:t>
      </w:r>
    </w:p>
    <w:p w14:paraId="26B6A0A3"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lastRenderedPageBreak/>
        <w:t xml:space="preserve">McClure, R. P., Hamre, K. D., Niederlehner, B. R., Munger, Z. W., Chen, S., Lofton, M. E., et al. (2018). </w:t>
      </w:r>
      <w:proofErr w:type="spellStart"/>
      <w:r w:rsidRPr="001F05AA">
        <w:rPr>
          <w:rFonts w:eastAsia="Times New Roman"/>
          <w:color w:val="000000"/>
          <w:sz w:val="24"/>
          <w:szCs w:val="24"/>
        </w:rPr>
        <w:t>Metalimnetic</w:t>
      </w:r>
      <w:proofErr w:type="spellEnd"/>
      <w:r w:rsidRPr="001F05AA">
        <w:rPr>
          <w:rFonts w:eastAsia="Times New Roman"/>
          <w:color w:val="000000"/>
          <w:sz w:val="24"/>
          <w:szCs w:val="24"/>
        </w:rPr>
        <w:t xml:space="preserve"> oxygen minima alter the vertical profiles of carbon dioxide and methane in a managed freshwater reservoir. </w:t>
      </w:r>
      <w:r w:rsidRPr="001F05AA">
        <w:rPr>
          <w:rFonts w:eastAsia="Times New Roman"/>
          <w:i/>
          <w:color w:val="000000"/>
          <w:sz w:val="24"/>
          <w:szCs w:val="24"/>
        </w:rPr>
        <w:t>Science of The Total Environment</w:t>
      </w:r>
      <w:r w:rsidRPr="001F05AA">
        <w:rPr>
          <w:rFonts w:eastAsia="Times New Roman"/>
          <w:color w:val="000000"/>
          <w:sz w:val="24"/>
          <w:szCs w:val="24"/>
        </w:rPr>
        <w:t xml:space="preserve">, </w:t>
      </w:r>
      <w:r w:rsidRPr="001F05AA">
        <w:rPr>
          <w:rFonts w:eastAsia="Times New Roman"/>
          <w:i/>
          <w:color w:val="000000"/>
          <w:sz w:val="24"/>
          <w:szCs w:val="24"/>
        </w:rPr>
        <w:t>636</w:t>
      </w:r>
      <w:r w:rsidRPr="001F05AA">
        <w:rPr>
          <w:rFonts w:eastAsia="Times New Roman"/>
          <w:color w:val="000000"/>
          <w:sz w:val="24"/>
          <w:szCs w:val="24"/>
        </w:rPr>
        <w:t>, 610–620. https://doi.org/10.1016/j.scitotenv.2018.04.255</w:t>
      </w:r>
    </w:p>
    <w:p w14:paraId="473D46D6"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McClure, R. P., Lofton, M. E., Chen, S., Krueger, K. M., Little, J. C., &amp; Carey, C. C. (2020). The Magnitude and Drivers of Methane Ebullition and Diffusion Vary on a Longitudinal Gradient in a Small Freshwater Reservoir. </w:t>
      </w:r>
      <w:r w:rsidRPr="001F05AA">
        <w:rPr>
          <w:rFonts w:eastAsia="Times New Roman"/>
          <w:i/>
          <w:color w:val="000000"/>
          <w:sz w:val="24"/>
          <w:szCs w:val="24"/>
        </w:rPr>
        <w:t>Journal of Geophysical Research: Biogeosciences</w:t>
      </w:r>
      <w:r w:rsidRPr="001F05AA">
        <w:rPr>
          <w:rFonts w:eastAsia="Times New Roman"/>
          <w:color w:val="000000"/>
          <w:sz w:val="24"/>
          <w:szCs w:val="24"/>
        </w:rPr>
        <w:t xml:space="preserve">, </w:t>
      </w:r>
      <w:r w:rsidRPr="001F05AA">
        <w:rPr>
          <w:rFonts w:eastAsia="Times New Roman"/>
          <w:i/>
          <w:color w:val="000000"/>
          <w:sz w:val="24"/>
          <w:szCs w:val="24"/>
        </w:rPr>
        <w:t>125</w:t>
      </w:r>
      <w:r w:rsidRPr="001F05AA">
        <w:rPr>
          <w:rFonts w:eastAsia="Times New Roman"/>
          <w:color w:val="000000"/>
          <w:sz w:val="24"/>
          <w:szCs w:val="24"/>
        </w:rPr>
        <w:t>(3), e2019JG005205. https://doi.org/10.1029/2019JG005205</w:t>
      </w:r>
    </w:p>
    <w:p w14:paraId="14D34D5F"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McLaren, J. S., Van Kirk, R. W., </w:t>
      </w:r>
      <w:proofErr w:type="spellStart"/>
      <w:r w:rsidRPr="001F05AA">
        <w:rPr>
          <w:rFonts w:eastAsia="Times New Roman"/>
          <w:color w:val="000000"/>
          <w:sz w:val="24"/>
          <w:szCs w:val="24"/>
        </w:rPr>
        <w:t>Mabaka</w:t>
      </w:r>
      <w:proofErr w:type="spellEnd"/>
      <w:r w:rsidRPr="001F05AA">
        <w:rPr>
          <w:rFonts w:eastAsia="Times New Roman"/>
          <w:color w:val="000000"/>
          <w:sz w:val="24"/>
          <w:szCs w:val="24"/>
        </w:rPr>
        <w:t xml:space="preserve">, A. J., Brothers, S., &amp; </w:t>
      </w:r>
      <w:proofErr w:type="spellStart"/>
      <w:r w:rsidRPr="001F05AA">
        <w:rPr>
          <w:rFonts w:eastAsia="Times New Roman"/>
          <w:color w:val="000000"/>
          <w:sz w:val="24"/>
          <w:szCs w:val="24"/>
        </w:rPr>
        <w:t>Budy</w:t>
      </w:r>
      <w:proofErr w:type="spellEnd"/>
      <w:r w:rsidRPr="001F05AA">
        <w:rPr>
          <w:rFonts w:eastAsia="Times New Roman"/>
          <w:color w:val="000000"/>
          <w:sz w:val="24"/>
          <w:szCs w:val="24"/>
        </w:rPr>
        <w:t xml:space="preserve">, P. (2023). Drawdown, Habitat, and Kokanee Populations in a Western U.S. Reservoir. </w:t>
      </w:r>
      <w:r w:rsidRPr="001F05AA">
        <w:rPr>
          <w:rFonts w:eastAsia="Times New Roman"/>
          <w:i/>
          <w:color w:val="000000"/>
          <w:sz w:val="24"/>
          <w:szCs w:val="24"/>
        </w:rPr>
        <w:t>North American Journal of Fisheries Management</w:t>
      </w:r>
      <w:r w:rsidRPr="001F05AA">
        <w:rPr>
          <w:rFonts w:eastAsia="Times New Roman"/>
          <w:color w:val="000000"/>
          <w:sz w:val="24"/>
          <w:szCs w:val="24"/>
        </w:rPr>
        <w:t xml:space="preserve">, </w:t>
      </w:r>
      <w:r w:rsidRPr="001F05AA">
        <w:rPr>
          <w:rFonts w:eastAsia="Times New Roman"/>
          <w:i/>
          <w:color w:val="000000"/>
          <w:sz w:val="24"/>
          <w:szCs w:val="24"/>
        </w:rPr>
        <w:t>43</w:t>
      </w:r>
      <w:r w:rsidRPr="001F05AA">
        <w:rPr>
          <w:rFonts w:eastAsia="Times New Roman"/>
          <w:color w:val="000000"/>
          <w:sz w:val="24"/>
          <w:szCs w:val="24"/>
        </w:rPr>
        <w:t>(2), 339–351. https://doi.org/10.1002/nafm.10879</w:t>
      </w:r>
    </w:p>
    <w:p w14:paraId="1852B772" w14:textId="2B30EFD4" w:rsidR="002F4C78" w:rsidRPr="002F4C78" w:rsidRDefault="002F4C78" w:rsidP="002F4C78">
      <w:pPr>
        <w:pBdr>
          <w:top w:val="nil"/>
          <w:left w:val="nil"/>
          <w:bottom w:val="nil"/>
          <w:right w:val="nil"/>
          <w:between w:val="nil"/>
        </w:pBdr>
        <w:spacing w:before="120"/>
        <w:ind w:left="720" w:hanging="720"/>
        <w:rPr>
          <w:rFonts w:eastAsia="Times New Roman"/>
          <w:color w:val="000000"/>
          <w:sz w:val="24"/>
          <w:szCs w:val="24"/>
          <w:lang w:val="en-US"/>
        </w:rPr>
      </w:pPr>
      <w:r w:rsidRPr="002F4C78">
        <w:rPr>
          <w:rFonts w:eastAsia="Times New Roman"/>
          <w:color w:val="000000"/>
          <w:sz w:val="24"/>
          <w:szCs w:val="24"/>
          <w:lang w:val="en-US"/>
        </w:rPr>
        <w:t xml:space="preserve">McGowan, S., Leavitt, P. R., &amp; Hall, R. I. (2005). A Whole-Lake Experiment to Determine the Effects of Winter Droughts on Shallow Lakes. </w:t>
      </w:r>
      <w:r w:rsidRPr="002F4C78">
        <w:rPr>
          <w:rFonts w:eastAsia="Times New Roman"/>
          <w:i/>
          <w:iCs/>
          <w:color w:val="000000"/>
          <w:sz w:val="24"/>
          <w:szCs w:val="24"/>
          <w:lang w:val="en-US"/>
        </w:rPr>
        <w:t>Ecosystems</w:t>
      </w:r>
      <w:r w:rsidRPr="002F4C78">
        <w:rPr>
          <w:rFonts w:eastAsia="Times New Roman"/>
          <w:color w:val="000000"/>
          <w:sz w:val="24"/>
          <w:szCs w:val="24"/>
          <w:lang w:val="en-US"/>
        </w:rPr>
        <w:t xml:space="preserve">, </w:t>
      </w:r>
      <w:r w:rsidRPr="002F4C78">
        <w:rPr>
          <w:rFonts w:eastAsia="Times New Roman"/>
          <w:i/>
          <w:iCs/>
          <w:color w:val="000000"/>
          <w:sz w:val="24"/>
          <w:szCs w:val="24"/>
          <w:lang w:val="en-US"/>
        </w:rPr>
        <w:t>8</w:t>
      </w:r>
      <w:r w:rsidRPr="002F4C78">
        <w:rPr>
          <w:rFonts w:eastAsia="Times New Roman"/>
          <w:color w:val="000000"/>
          <w:sz w:val="24"/>
          <w:szCs w:val="24"/>
          <w:lang w:val="en-US"/>
        </w:rPr>
        <w:t>(6), 694–708. https://doi.org/10.1007/s10021-003-0152-x</w:t>
      </w:r>
    </w:p>
    <w:p w14:paraId="094BEFE2" w14:textId="5272C740"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Mesman</w:t>
      </w:r>
      <w:proofErr w:type="spellEnd"/>
      <w:r w:rsidRPr="001F05AA">
        <w:rPr>
          <w:rFonts w:eastAsia="Times New Roman"/>
          <w:color w:val="000000"/>
          <w:sz w:val="24"/>
          <w:szCs w:val="24"/>
        </w:rPr>
        <w:t xml:space="preserve">, J. P., </w:t>
      </w:r>
      <w:proofErr w:type="spellStart"/>
      <w:r w:rsidRPr="001F05AA">
        <w:rPr>
          <w:rFonts w:eastAsia="Times New Roman"/>
          <w:color w:val="000000"/>
          <w:sz w:val="24"/>
          <w:szCs w:val="24"/>
        </w:rPr>
        <w:t>Stelzer</w:t>
      </w:r>
      <w:proofErr w:type="spellEnd"/>
      <w:r w:rsidRPr="001F05AA">
        <w:rPr>
          <w:rFonts w:eastAsia="Times New Roman"/>
          <w:color w:val="000000"/>
          <w:sz w:val="24"/>
          <w:szCs w:val="24"/>
        </w:rPr>
        <w:t xml:space="preserve">, J. A. A., </w:t>
      </w:r>
      <w:proofErr w:type="spellStart"/>
      <w:r w:rsidRPr="001F05AA">
        <w:rPr>
          <w:rFonts w:eastAsia="Times New Roman"/>
          <w:color w:val="000000"/>
          <w:sz w:val="24"/>
          <w:szCs w:val="24"/>
        </w:rPr>
        <w:t>Dakos</w:t>
      </w:r>
      <w:proofErr w:type="spellEnd"/>
      <w:r w:rsidRPr="001F05AA">
        <w:rPr>
          <w:rFonts w:eastAsia="Times New Roman"/>
          <w:color w:val="000000"/>
          <w:sz w:val="24"/>
          <w:szCs w:val="24"/>
        </w:rPr>
        <w:t xml:space="preserve">, V., Goyette, S., Jones, I. D., Kasparian, J., et al. (2021). The role of internal feedbacks in shifting deep lake mixing regimes under a warming climate. </w:t>
      </w:r>
      <w:r w:rsidRPr="001F05AA">
        <w:rPr>
          <w:rFonts w:eastAsia="Times New Roman"/>
          <w:i/>
          <w:color w:val="000000"/>
          <w:sz w:val="24"/>
          <w:szCs w:val="24"/>
        </w:rPr>
        <w:t>Freshwater Biology</w:t>
      </w:r>
      <w:r w:rsidRPr="001F05AA">
        <w:rPr>
          <w:rFonts w:eastAsia="Times New Roman"/>
          <w:color w:val="000000"/>
          <w:sz w:val="24"/>
          <w:szCs w:val="24"/>
        </w:rPr>
        <w:t xml:space="preserve">, </w:t>
      </w:r>
      <w:r w:rsidRPr="001F05AA">
        <w:rPr>
          <w:rFonts w:eastAsia="Times New Roman"/>
          <w:i/>
          <w:color w:val="000000"/>
          <w:sz w:val="24"/>
          <w:szCs w:val="24"/>
        </w:rPr>
        <w:t>66</w:t>
      </w:r>
      <w:r w:rsidRPr="001F05AA">
        <w:rPr>
          <w:rFonts w:eastAsia="Times New Roman"/>
          <w:color w:val="000000"/>
          <w:sz w:val="24"/>
          <w:szCs w:val="24"/>
        </w:rPr>
        <w:t>(6), 1021–1035. https://doi.org/10.1111/fwb.13704</w:t>
      </w:r>
    </w:p>
    <w:p w14:paraId="413E77AF"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Missaghi</w:t>
      </w:r>
      <w:proofErr w:type="spellEnd"/>
      <w:r w:rsidRPr="001F05AA">
        <w:rPr>
          <w:rFonts w:eastAsia="Times New Roman"/>
          <w:color w:val="000000"/>
          <w:sz w:val="24"/>
          <w:szCs w:val="24"/>
        </w:rPr>
        <w:t xml:space="preserve">, S., </w:t>
      </w:r>
      <w:proofErr w:type="spellStart"/>
      <w:r w:rsidRPr="001F05AA">
        <w:rPr>
          <w:rFonts w:eastAsia="Times New Roman"/>
          <w:color w:val="000000"/>
          <w:sz w:val="24"/>
          <w:szCs w:val="24"/>
        </w:rPr>
        <w:t>Hondzo</w:t>
      </w:r>
      <w:proofErr w:type="spellEnd"/>
      <w:r w:rsidRPr="001F05AA">
        <w:rPr>
          <w:rFonts w:eastAsia="Times New Roman"/>
          <w:color w:val="000000"/>
          <w:sz w:val="24"/>
          <w:szCs w:val="24"/>
        </w:rPr>
        <w:t xml:space="preserve">, M., &amp; Herb, W. (2017). Prediction of lake water temperature, dissolved oxygen, and fish habitat under changing climate. </w:t>
      </w:r>
      <w:r w:rsidRPr="001F05AA">
        <w:rPr>
          <w:rFonts w:eastAsia="Times New Roman"/>
          <w:i/>
          <w:color w:val="000000"/>
          <w:sz w:val="24"/>
          <w:szCs w:val="24"/>
        </w:rPr>
        <w:t>Climatic Change</w:t>
      </w:r>
      <w:r w:rsidRPr="001F05AA">
        <w:rPr>
          <w:rFonts w:eastAsia="Times New Roman"/>
          <w:color w:val="000000"/>
          <w:sz w:val="24"/>
          <w:szCs w:val="24"/>
        </w:rPr>
        <w:t xml:space="preserve">, </w:t>
      </w:r>
      <w:r w:rsidRPr="001F05AA">
        <w:rPr>
          <w:rFonts w:eastAsia="Times New Roman"/>
          <w:i/>
          <w:color w:val="000000"/>
          <w:sz w:val="24"/>
          <w:szCs w:val="24"/>
        </w:rPr>
        <w:t>141</w:t>
      </w:r>
      <w:r w:rsidRPr="001F05AA">
        <w:rPr>
          <w:rFonts w:eastAsia="Times New Roman"/>
          <w:color w:val="000000"/>
          <w:sz w:val="24"/>
          <w:szCs w:val="24"/>
        </w:rPr>
        <w:t>. https://doi.org/10.1007/s10584-017-1916-1</w:t>
      </w:r>
    </w:p>
    <w:p w14:paraId="14825276"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Moeller, H. V., </w:t>
      </w:r>
      <w:proofErr w:type="spellStart"/>
      <w:r w:rsidRPr="001F05AA">
        <w:rPr>
          <w:rFonts w:eastAsia="Times New Roman"/>
          <w:color w:val="000000"/>
          <w:sz w:val="24"/>
          <w:szCs w:val="24"/>
        </w:rPr>
        <w:t>Laufkötter</w:t>
      </w:r>
      <w:proofErr w:type="spellEnd"/>
      <w:r w:rsidRPr="001F05AA">
        <w:rPr>
          <w:rFonts w:eastAsia="Times New Roman"/>
          <w:color w:val="000000"/>
          <w:sz w:val="24"/>
          <w:szCs w:val="24"/>
        </w:rPr>
        <w:t xml:space="preserve">, C., Sweeney, E. M., &amp; Johnson, M. D. (2019). Light-dependent grazing can drive formation and deepening of deep chlorophyll maxima. </w:t>
      </w:r>
      <w:r w:rsidRPr="001F05AA">
        <w:rPr>
          <w:rFonts w:eastAsia="Times New Roman"/>
          <w:i/>
          <w:color w:val="000000"/>
          <w:sz w:val="24"/>
          <w:szCs w:val="24"/>
        </w:rPr>
        <w:t>Nature Communications</w:t>
      </w:r>
      <w:r w:rsidRPr="001F05AA">
        <w:rPr>
          <w:rFonts w:eastAsia="Times New Roman"/>
          <w:color w:val="000000"/>
          <w:sz w:val="24"/>
          <w:szCs w:val="24"/>
        </w:rPr>
        <w:t xml:space="preserve">, </w:t>
      </w:r>
      <w:r w:rsidRPr="001F05AA">
        <w:rPr>
          <w:rFonts w:eastAsia="Times New Roman"/>
          <w:i/>
          <w:color w:val="000000"/>
          <w:sz w:val="24"/>
          <w:szCs w:val="24"/>
        </w:rPr>
        <w:t>10</w:t>
      </w:r>
      <w:r w:rsidRPr="001F05AA">
        <w:rPr>
          <w:rFonts w:eastAsia="Times New Roman"/>
          <w:color w:val="000000"/>
          <w:sz w:val="24"/>
          <w:szCs w:val="24"/>
        </w:rPr>
        <w:t>(1), 1978. https://doi.org/10.1038/s41467-019-09591-2</w:t>
      </w:r>
    </w:p>
    <w:p w14:paraId="66A24332"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Moll, R. A., </w:t>
      </w:r>
      <w:proofErr w:type="spellStart"/>
      <w:r w:rsidRPr="001F05AA">
        <w:rPr>
          <w:rFonts w:eastAsia="Times New Roman"/>
          <w:color w:val="000000"/>
          <w:sz w:val="24"/>
          <w:szCs w:val="24"/>
        </w:rPr>
        <w:t>Brache</w:t>
      </w:r>
      <w:proofErr w:type="spellEnd"/>
      <w:r w:rsidRPr="001F05AA">
        <w:rPr>
          <w:rFonts w:eastAsia="Times New Roman"/>
          <w:color w:val="000000"/>
          <w:sz w:val="24"/>
          <w:szCs w:val="24"/>
        </w:rPr>
        <w:t xml:space="preserve">, M. Z., &amp; Peterson, T. P. (1984). Phytoplankton dynamics within the subsurface chlorophyll maximum of Lake Michigan 1. </w:t>
      </w:r>
      <w:r w:rsidRPr="001F05AA">
        <w:rPr>
          <w:rFonts w:eastAsia="Times New Roman"/>
          <w:i/>
          <w:color w:val="000000"/>
          <w:sz w:val="24"/>
          <w:szCs w:val="24"/>
        </w:rPr>
        <w:t>Journal of Plankton Research</w:t>
      </w:r>
      <w:r w:rsidRPr="001F05AA">
        <w:rPr>
          <w:rFonts w:eastAsia="Times New Roman"/>
          <w:color w:val="000000"/>
          <w:sz w:val="24"/>
          <w:szCs w:val="24"/>
        </w:rPr>
        <w:t xml:space="preserve">, </w:t>
      </w:r>
      <w:r w:rsidRPr="001F05AA">
        <w:rPr>
          <w:rFonts w:eastAsia="Times New Roman"/>
          <w:i/>
          <w:color w:val="000000"/>
          <w:sz w:val="24"/>
          <w:szCs w:val="24"/>
        </w:rPr>
        <w:t>6</w:t>
      </w:r>
      <w:r w:rsidRPr="001F05AA">
        <w:rPr>
          <w:rFonts w:eastAsia="Times New Roman"/>
          <w:color w:val="000000"/>
          <w:sz w:val="24"/>
          <w:szCs w:val="24"/>
        </w:rPr>
        <w:t>(5), 751–766. https://doi.org/10.1093/plankt/6.5.751</w:t>
      </w:r>
    </w:p>
    <w:p w14:paraId="79F8B631"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Moreno-</w:t>
      </w:r>
      <w:proofErr w:type="spellStart"/>
      <w:r w:rsidRPr="001F05AA">
        <w:rPr>
          <w:rFonts w:eastAsia="Times New Roman"/>
          <w:color w:val="000000"/>
          <w:sz w:val="24"/>
          <w:szCs w:val="24"/>
        </w:rPr>
        <w:t>Ostos</w:t>
      </w:r>
      <w:proofErr w:type="spellEnd"/>
      <w:r w:rsidRPr="001F05AA">
        <w:rPr>
          <w:rFonts w:eastAsia="Times New Roman"/>
          <w:color w:val="000000"/>
          <w:sz w:val="24"/>
          <w:szCs w:val="24"/>
        </w:rPr>
        <w:t xml:space="preserve">, E., </w:t>
      </w:r>
      <w:proofErr w:type="spellStart"/>
      <w:r w:rsidRPr="001F05AA">
        <w:rPr>
          <w:rFonts w:eastAsia="Times New Roman"/>
          <w:color w:val="000000"/>
          <w:sz w:val="24"/>
          <w:szCs w:val="24"/>
        </w:rPr>
        <w:t>Marcé</w:t>
      </w:r>
      <w:proofErr w:type="spellEnd"/>
      <w:r w:rsidRPr="001F05AA">
        <w:rPr>
          <w:rFonts w:eastAsia="Times New Roman"/>
          <w:color w:val="000000"/>
          <w:sz w:val="24"/>
          <w:szCs w:val="24"/>
        </w:rPr>
        <w:t xml:space="preserve">, R., </w:t>
      </w:r>
      <w:proofErr w:type="spellStart"/>
      <w:r w:rsidRPr="001F05AA">
        <w:rPr>
          <w:rFonts w:eastAsia="Times New Roman"/>
          <w:color w:val="000000"/>
          <w:sz w:val="24"/>
          <w:szCs w:val="24"/>
        </w:rPr>
        <w:t>Ordóñez</w:t>
      </w:r>
      <w:proofErr w:type="spellEnd"/>
      <w:r w:rsidRPr="001F05AA">
        <w:rPr>
          <w:rFonts w:eastAsia="Times New Roman"/>
          <w:color w:val="000000"/>
          <w:sz w:val="24"/>
          <w:szCs w:val="24"/>
        </w:rPr>
        <w:t xml:space="preserve">, J., </w:t>
      </w:r>
      <w:proofErr w:type="spellStart"/>
      <w:r w:rsidRPr="001F05AA">
        <w:rPr>
          <w:rFonts w:eastAsia="Times New Roman"/>
          <w:color w:val="000000"/>
          <w:sz w:val="24"/>
          <w:szCs w:val="24"/>
        </w:rPr>
        <w:t>Dolz</w:t>
      </w:r>
      <w:proofErr w:type="spellEnd"/>
      <w:r w:rsidRPr="001F05AA">
        <w:rPr>
          <w:rFonts w:eastAsia="Times New Roman"/>
          <w:color w:val="000000"/>
          <w:sz w:val="24"/>
          <w:szCs w:val="24"/>
        </w:rPr>
        <w:t xml:space="preserve">, J., &amp; </w:t>
      </w:r>
      <w:proofErr w:type="spellStart"/>
      <w:r w:rsidRPr="001F05AA">
        <w:rPr>
          <w:rFonts w:eastAsia="Times New Roman"/>
          <w:color w:val="000000"/>
          <w:sz w:val="24"/>
          <w:szCs w:val="24"/>
        </w:rPr>
        <w:t>Armengol</w:t>
      </w:r>
      <w:proofErr w:type="spellEnd"/>
      <w:r w:rsidRPr="001F05AA">
        <w:rPr>
          <w:rFonts w:eastAsia="Times New Roman"/>
          <w:color w:val="000000"/>
          <w:sz w:val="24"/>
          <w:szCs w:val="24"/>
        </w:rPr>
        <w:t xml:space="preserve">, J. (2008). Hydraulic Management Drives Heat Budgets and Temperature Trends in a Mediterranean Reservoir. </w:t>
      </w:r>
      <w:r w:rsidRPr="001F05AA">
        <w:rPr>
          <w:rFonts w:eastAsia="Times New Roman"/>
          <w:i/>
          <w:color w:val="000000"/>
          <w:sz w:val="24"/>
          <w:szCs w:val="24"/>
        </w:rPr>
        <w:t>International Review of Hydrobiology</w:t>
      </w:r>
      <w:r w:rsidRPr="001F05AA">
        <w:rPr>
          <w:rFonts w:eastAsia="Times New Roman"/>
          <w:color w:val="000000"/>
          <w:sz w:val="24"/>
          <w:szCs w:val="24"/>
        </w:rPr>
        <w:t xml:space="preserve">, </w:t>
      </w:r>
      <w:r w:rsidRPr="001F05AA">
        <w:rPr>
          <w:rFonts w:eastAsia="Times New Roman"/>
          <w:i/>
          <w:color w:val="000000"/>
          <w:sz w:val="24"/>
          <w:szCs w:val="24"/>
        </w:rPr>
        <w:t>93</w:t>
      </w:r>
      <w:r w:rsidRPr="001F05AA">
        <w:rPr>
          <w:rFonts w:eastAsia="Times New Roman"/>
          <w:color w:val="000000"/>
          <w:sz w:val="24"/>
          <w:szCs w:val="24"/>
        </w:rPr>
        <w:t>(2), 131–147. https://doi.org/10.1002/iroh.200710965</w:t>
      </w:r>
    </w:p>
    <w:p w14:paraId="55727E9E"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Munger, Z. W., Carey, C. C., Gerling, A. B., </w:t>
      </w:r>
      <w:proofErr w:type="spellStart"/>
      <w:r w:rsidRPr="001F05AA">
        <w:rPr>
          <w:rFonts w:eastAsia="Times New Roman"/>
          <w:color w:val="000000"/>
          <w:sz w:val="24"/>
          <w:szCs w:val="24"/>
        </w:rPr>
        <w:t>Doubek</w:t>
      </w:r>
      <w:proofErr w:type="spellEnd"/>
      <w:r w:rsidRPr="001F05AA">
        <w:rPr>
          <w:rFonts w:eastAsia="Times New Roman"/>
          <w:color w:val="000000"/>
          <w:sz w:val="24"/>
          <w:szCs w:val="24"/>
        </w:rPr>
        <w:t xml:space="preserve">, J. P., Hamre, K. D., McClure, R. P., &amp; Schreiber, M. E. (2019). Oxygenation and hydrologic controls on iron and manganese mass budgets in a drinking-water reservoir. </w:t>
      </w:r>
      <w:r w:rsidRPr="001F05AA">
        <w:rPr>
          <w:rFonts w:eastAsia="Times New Roman"/>
          <w:i/>
          <w:color w:val="000000"/>
          <w:sz w:val="24"/>
          <w:szCs w:val="24"/>
        </w:rPr>
        <w:t>Lake and Reservoir Management</w:t>
      </w:r>
      <w:r w:rsidRPr="001F05AA">
        <w:rPr>
          <w:rFonts w:eastAsia="Times New Roman"/>
          <w:color w:val="000000"/>
          <w:sz w:val="24"/>
          <w:szCs w:val="24"/>
        </w:rPr>
        <w:t xml:space="preserve">, </w:t>
      </w:r>
      <w:r w:rsidRPr="001F05AA">
        <w:rPr>
          <w:rFonts w:eastAsia="Times New Roman"/>
          <w:i/>
          <w:color w:val="000000"/>
          <w:sz w:val="24"/>
          <w:szCs w:val="24"/>
        </w:rPr>
        <w:t>35</w:t>
      </w:r>
      <w:r w:rsidRPr="001F05AA">
        <w:rPr>
          <w:rFonts w:eastAsia="Times New Roman"/>
          <w:color w:val="000000"/>
          <w:sz w:val="24"/>
          <w:szCs w:val="24"/>
        </w:rPr>
        <w:t>(3), 277–291. https://doi.org/10.1080/10402381.2018.1545811</w:t>
      </w:r>
    </w:p>
    <w:p w14:paraId="2470672A"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Nakanishi, K., </w:t>
      </w:r>
      <w:proofErr w:type="spellStart"/>
      <w:r w:rsidRPr="001F05AA">
        <w:rPr>
          <w:rFonts w:eastAsia="Times New Roman"/>
          <w:color w:val="000000"/>
          <w:sz w:val="24"/>
          <w:szCs w:val="24"/>
        </w:rPr>
        <w:t>Yokomizo</w:t>
      </w:r>
      <w:proofErr w:type="spellEnd"/>
      <w:r w:rsidRPr="001F05AA">
        <w:rPr>
          <w:rFonts w:eastAsia="Times New Roman"/>
          <w:color w:val="000000"/>
          <w:sz w:val="24"/>
          <w:szCs w:val="24"/>
        </w:rPr>
        <w:t xml:space="preserve">, H., </w:t>
      </w:r>
      <w:proofErr w:type="spellStart"/>
      <w:r w:rsidRPr="001F05AA">
        <w:rPr>
          <w:rFonts w:eastAsia="Times New Roman"/>
          <w:color w:val="000000"/>
          <w:sz w:val="24"/>
          <w:szCs w:val="24"/>
        </w:rPr>
        <w:t>Fukaya</w:t>
      </w:r>
      <w:proofErr w:type="spellEnd"/>
      <w:r w:rsidRPr="001F05AA">
        <w:rPr>
          <w:rFonts w:eastAsia="Times New Roman"/>
          <w:color w:val="000000"/>
          <w:sz w:val="24"/>
          <w:szCs w:val="24"/>
        </w:rPr>
        <w:t xml:space="preserve">, K., </w:t>
      </w:r>
      <w:proofErr w:type="spellStart"/>
      <w:r w:rsidRPr="001F05AA">
        <w:rPr>
          <w:rFonts w:eastAsia="Times New Roman"/>
          <w:color w:val="000000"/>
          <w:sz w:val="24"/>
          <w:szCs w:val="24"/>
        </w:rPr>
        <w:t>Kadoya</w:t>
      </w:r>
      <w:proofErr w:type="spellEnd"/>
      <w:r w:rsidRPr="001F05AA">
        <w:rPr>
          <w:rFonts w:eastAsia="Times New Roman"/>
          <w:color w:val="000000"/>
          <w:sz w:val="24"/>
          <w:szCs w:val="24"/>
        </w:rPr>
        <w:t xml:space="preserve">, T., </w:t>
      </w:r>
      <w:proofErr w:type="spellStart"/>
      <w:r w:rsidRPr="001F05AA">
        <w:rPr>
          <w:rFonts w:eastAsia="Times New Roman"/>
          <w:color w:val="000000"/>
          <w:sz w:val="24"/>
          <w:szCs w:val="24"/>
        </w:rPr>
        <w:t>Matsuzaki</w:t>
      </w:r>
      <w:proofErr w:type="spellEnd"/>
      <w:r w:rsidRPr="001F05AA">
        <w:rPr>
          <w:rFonts w:eastAsia="Times New Roman"/>
          <w:color w:val="000000"/>
          <w:sz w:val="24"/>
          <w:szCs w:val="24"/>
        </w:rPr>
        <w:t xml:space="preserve">, S. S., </w:t>
      </w:r>
      <w:proofErr w:type="spellStart"/>
      <w:r w:rsidRPr="001F05AA">
        <w:rPr>
          <w:rFonts w:eastAsia="Times New Roman"/>
          <w:color w:val="000000"/>
          <w:sz w:val="24"/>
          <w:szCs w:val="24"/>
        </w:rPr>
        <w:t>Nishihiro</w:t>
      </w:r>
      <w:proofErr w:type="spellEnd"/>
      <w:r w:rsidRPr="001F05AA">
        <w:rPr>
          <w:rFonts w:eastAsia="Times New Roman"/>
          <w:color w:val="000000"/>
          <w:sz w:val="24"/>
          <w:szCs w:val="24"/>
        </w:rPr>
        <w:t xml:space="preserve">, J., et al. (2022). Inferring causal impacts of extreme water-level drawdowns on lake water clarity using long-term monitoring data. </w:t>
      </w:r>
      <w:r w:rsidRPr="001F05AA">
        <w:rPr>
          <w:rFonts w:eastAsia="Times New Roman"/>
          <w:i/>
          <w:color w:val="000000"/>
          <w:sz w:val="24"/>
          <w:szCs w:val="24"/>
        </w:rPr>
        <w:t>Science of The Total Environment</w:t>
      </w:r>
      <w:r w:rsidRPr="001F05AA">
        <w:rPr>
          <w:rFonts w:eastAsia="Times New Roman"/>
          <w:color w:val="000000"/>
          <w:sz w:val="24"/>
          <w:szCs w:val="24"/>
        </w:rPr>
        <w:t xml:space="preserve">, </w:t>
      </w:r>
      <w:r w:rsidRPr="001F05AA">
        <w:rPr>
          <w:rFonts w:eastAsia="Times New Roman"/>
          <w:i/>
          <w:color w:val="000000"/>
          <w:sz w:val="24"/>
          <w:szCs w:val="24"/>
        </w:rPr>
        <w:t>838</w:t>
      </w:r>
      <w:r w:rsidRPr="001F05AA">
        <w:rPr>
          <w:rFonts w:eastAsia="Times New Roman"/>
          <w:color w:val="000000"/>
          <w:sz w:val="24"/>
          <w:szCs w:val="24"/>
        </w:rPr>
        <w:t>, 156088. https://doi.org/10.1016/j.scitotenv.2022.156088</w:t>
      </w:r>
    </w:p>
    <w:p w14:paraId="07328217"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Naselli</w:t>
      </w:r>
      <w:proofErr w:type="spellEnd"/>
      <w:r w:rsidRPr="001F05AA">
        <w:rPr>
          <w:rFonts w:eastAsia="Times New Roman"/>
          <w:color w:val="000000"/>
          <w:sz w:val="24"/>
          <w:szCs w:val="24"/>
        </w:rPr>
        <w:t xml:space="preserve">-Flores, L. (2003). Man-made lakes in Mediterranean semi-arid climate: the strange case of Dr Deep Lake and </w:t>
      </w:r>
      <w:proofErr w:type="spellStart"/>
      <w:r w:rsidRPr="001F05AA">
        <w:rPr>
          <w:rFonts w:eastAsia="Times New Roman"/>
          <w:color w:val="000000"/>
          <w:sz w:val="24"/>
          <w:szCs w:val="24"/>
        </w:rPr>
        <w:t>Mr</w:t>
      </w:r>
      <w:proofErr w:type="spellEnd"/>
      <w:r w:rsidRPr="001F05AA">
        <w:rPr>
          <w:rFonts w:eastAsia="Times New Roman"/>
          <w:color w:val="000000"/>
          <w:sz w:val="24"/>
          <w:szCs w:val="24"/>
        </w:rPr>
        <w:t xml:space="preserve"> Shallow Lake. </w:t>
      </w:r>
      <w:proofErr w:type="spellStart"/>
      <w:r w:rsidRPr="001F05AA">
        <w:rPr>
          <w:rFonts w:eastAsia="Times New Roman"/>
          <w:i/>
          <w:color w:val="000000"/>
          <w:sz w:val="24"/>
          <w:szCs w:val="24"/>
        </w:rPr>
        <w:t>Hydrobiologia</w:t>
      </w:r>
      <w:proofErr w:type="spellEnd"/>
      <w:r w:rsidRPr="001F05AA">
        <w:rPr>
          <w:rFonts w:eastAsia="Times New Roman"/>
          <w:color w:val="000000"/>
          <w:sz w:val="24"/>
          <w:szCs w:val="24"/>
        </w:rPr>
        <w:t xml:space="preserve">, </w:t>
      </w:r>
      <w:r w:rsidRPr="001F05AA">
        <w:rPr>
          <w:rFonts w:eastAsia="Times New Roman"/>
          <w:i/>
          <w:color w:val="000000"/>
          <w:sz w:val="24"/>
          <w:szCs w:val="24"/>
        </w:rPr>
        <w:t>506</w:t>
      </w:r>
      <w:r w:rsidRPr="001F05AA">
        <w:rPr>
          <w:rFonts w:eastAsia="Times New Roman"/>
          <w:color w:val="000000"/>
          <w:sz w:val="24"/>
          <w:szCs w:val="24"/>
        </w:rPr>
        <w:t>(1), 13–21. https://doi.org/10.1023/B:HYDR.0000008550.34409.06</w:t>
      </w:r>
    </w:p>
    <w:p w14:paraId="37B558F0"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lastRenderedPageBreak/>
        <w:t>Naselli</w:t>
      </w:r>
      <w:proofErr w:type="spellEnd"/>
      <w:r w:rsidRPr="001F05AA">
        <w:rPr>
          <w:rFonts w:eastAsia="Times New Roman"/>
          <w:color w:val="000000"/>
          <w:sz w:val="24"/>
          <w:szCs w:val="24"/>
        </w:rPr>
        <w:t xml:space="preserve">-Flores, L., &amp; Barone, R. (2005). Water-Level Fluctuations in Mediterranean Reservoirs: Setting a Dewatering Threshold as a Management Tool to Improve Water Quality. </w:t>
      </w:r>
      <w:proofErr w:type="spellStart"/>
      <w:r w:rsidRPr="001F05AA">
        <w:rPr>
          <w:rFonts w:eastAsia="Times New Roman"/>
          <w:i/>
          <w:color w:val="000000"/>
          <w:sz w:val="24"/>
          <w:szCs w:val="24"/>
        </w:rPr>
        <w:t>Hydrobiologia</w:t>
      </w:r>
      <w:proofErr w:type="spellEnd"/>
      <w:r w:rsidRPr="001F05AA">
        <w:rPr>
          <w:rFonts w:eastAsia="Times New Roman"/>
          <w:color w:val="000000"/>
          <w:sz w:val="24"/>
          <w:szCs w:val="24"/>
        </w:rPr>
        <w:t xml:space="preserve">, </w:t>
      </w:r>
      <w:r w:rsidRPr="001F05AA">
        <w:rPr>
          <w:rFonts w:eastAsia="Times New Roman"/>
          <w:i/>
          <w:color w:val="000000"/>
          <w:sz w:val="24"/>
          <w:szCs w:val="24"/>
        </w:rPr>
        <w:t>548</w:t>
      </w:r>
      <w:r w:rsidRPr="001F05AA">
        <w:rPr>
          <w:rFonts w:eastAsia="Times New Roman"/>
          <w:color w:val="000000"/>
          <w:sz w:val="24"/>
          <w:szCs w:val="24"/>
        </w:rPr>
        <w:t>(1), 85–99. https://doi.org/10.1007/s10750-005-1149-6</w:t>
      </w:r>
    </w:p>
    <w:p w14:paraId="4321CBF3"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Nürnberg, G. K. (2007). Lake responses to long-term hypolimnetic withdrawal treatments. </w:t>
      </w:r>
      <w:r w:rsidRPr="001F05AA">
        <w:rPr>
          <w:rFonts w:eastAsia="Times New Roman"/>
          <w:i/>
          <w:color w:val="000000"/>
          <w:sz w:val="24"/>
          <w:szCs w:val="24"/>
        </w:rPr>
        <w:t>Lake and Reservoir Management</w:t>
      </w:r>
      <w:r w:rsidRPr="001F05AA">
        <w:rPr>
          <w:rFonts w:eastAsia="Times New Roman"/>
          <w:color w:val="000000"/>
          <w:sz w:val="24"/>
          <w:szCs w:val="24"/>
        </w:rPr>
        <w:t xml:space="preserve">, </w:t>
      </w:r>
      <w:r w:rsidRPr="001F05AA">
        <w:rPr>
          <w:rFonts w:eastAsia="Times New Roman"/>
          <w:i/>
          <w:color w:val="000000"/>
          <w:sz w:val="24"/>
          <w:szCs w:val="24"/>
        </w:rPr>
        <w:t>23</w:t>
      </w:r>
      <w:r w:rsidRPr="001F05AA">
        <w:rPr>
          <w:rFonts w:eastAsia="Times New Roman"/>
          <w:color w:val="000000"/>
          <w:sz w:val="24"/>
          <w:szCs w:val="24"/>
        </w:rPr>
        <w:t>(4), 388–409. https://doi.org/10.1080/07438140709354026</w:t>
      </w:r>
    </w:p>
    <w:p w14:paraId="0299FE2D"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Nürnberg, G. K. (2020). Hypolimnetic withdrawal as a lake restoration technique: determination of feasibility and continued benefits. </w:t>
      </w:r>
      <w:proofErr w:type="spellStart"/>
      <w:r w:rsidRPr="001F05AA">
        <w:rPr>
          <w:rFonts w:eastAsia="Times New Roman"/>
          <w:i/>
          <w:color w:val="000000"/>
          <w:sz w:val="24"/>
          <w:szCs w:val="24"/>
        </w:rPr>
        <w:t>Hydrobiologia</w:t>
      </w:r>
      <w:proofErr w:type="spellEnd"/>
      <w:r w:rsidRPr="001F05AA">
        <w:rPr>
          <w:rFonts w:eastAsia="Times New Roman"/>
          <w:color w:val="000000"/>
          <w:sz w:val="24"/>
          <w:szCs w:val="24"/>
        </w:rPr>
        <w:t xml:space="preserve">, </w:t>
      </w:r>
      <w:r w:rsidRPr="001F05AA">
        <w:rPr>
          <w:rFonts w:eastAsia="Times New Roman"/>
          <w:i/>
          <w:color w:val="000000"/>
          <w:sz w:val="24"/>
          <w:szCs w:val="24"/>
        </w:rPr>
        <w:t>847</w:t>
      </w:r>
      <w:r w:rsidRPr="001F05AA">
        <w:rPr>
          <w:rFonts w:eastAsia="Times New Roman"/>
          <w:color w:val="000000"/>
          <w:sz w:val="24"/>
          <w:szCs w:val="24"/>
        </w:rPr>
        <w:t>(21), 4487–4501. https://doi.org/10.1007/s10750-019-04094-z</w:t>
      </w:r>
    </w:p>
    <w:p w14:paraId="68B8B01B"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Odum</w:t>
      </w:r>
      <w:proofErr w:type="spellEnd"/>
      <w:r w:rsidRPr="001F05AA">
        <w:rPr>
          <w:rFonts w:eastAsia="Times New Roman"/>
          <w:color w:val="000000"/>
          <w:sz w:val="24"/>
          <w:szCs w:val="24"/>
        </w:rPr>
        <w:t xml:space="preserve">, H. T. (1956). Primary Production in Flowing Waters1. </w:t>
      </w:r>
      <w:r w:rsidRPr="001F05AA">
        <w:rPr>
          <w:rFonts w:eastAsia="Times New Roman"/>
          <w:i/>
          <w:color w:val="000000"/>
          <w:sz w:val="24"/>
          <w:szCs w:val="24"/>
        </w:rPr>
        <w:t>Limnology and Oceanography</w:t>
      </w:r>
      <w:r w:rsidRPr="001F05AA">
        <w:rPr>
          <w:rFonts w:eastAsia="Times New Roman"/>
          <w:color w:val="000000"/>
          <w:sz w:val="24"/>
          <w:szCs w:val="24"/>
        </w:rPr>
        <w:t xml:space="preserve">, </w:t>
      </w:r>
      <w:r w:rsidRPr="001F05AA">
        <w:rPr>
          <w:rFonts w:eastAsia="Times New Roman"/>
          <w:i/>
          <w:color w:val="000000"/>
          <w:sz w:val="24"/>
          <w:szCs w:val="24"/>
        </w:rPr>
        <w:t>1</w:t>
      </w:r>
      <w:r w:rsidRPr="001F05AA">
        <w:rPr>
          <w:rFonts w:eastAsia="Times New Roman"/>
          <w:color w:val="000000"/>
          <w:sz w:val="24"/>
          <w:szCs w:val="24"/>
        </w:rPr>
        <w:t>(2), 102–117. https://doi.org/10.4319/lo.1956.1.2.0102</w:t>
      </w:r>
    </w:p>
    <w:p w14:paraId="1048D8A6"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Osborn, T. R. (1980). Estimates of the Local Rate of Vertical Diffusion from Dissipation Measurements. </w:t>
      </w:r>
      <w:r w:rsidRPr="001F05AA">
        <w:rPr>
          <w:rFonts w:eastAsia="Times New Roman"/>
          <w:i/>
          <w:color w:val="000000"/>
          <w:sz w:val="24"/>
          <w:szCs w:val="24"/>
        </w:rPr>
        <w:t>Journal of Physical Oceanography</w:t>
      </w:r>
      <w:r w:rsidRPr="001F05AA">
        <w:rPr>
          <w:rFonts w:eastAsia="Times New Roman"/>
          <w:color w:val="000000"/>
          <w:sz w:val="24"/>
          <w:szCs w:val="24"/>
        </w:rPr>
        <w:t xml:space="preserve">, </w:t>
      </w:r>
      <w:r w:rsidRPr="001F05AA">
        <w:rPr>
          <w:rFonts w:eastAsia="Times New Roman"/>
          <w:i/>
          <w:color w:val="000000"/>
          <w:sz w:val="24"/>
          <w:szCs w:val="24"/>
        </w:rPr>
        <w:t>10</w:t>
      </w:r>
      <w:r w:rsidRPr="001F05AA">
        <w:rPr>
          <w:rFonts w:eastAsia="Times New Roman"/>
          <w:color w:val="000000"/>
          <w:sz w:val="24"/>
          <w:szCs w:val="24"/>
        </w:rPr>
        <w:t>(1), 83–89. https://doi.org/10.1175/1520-0485(1980)010&lt;0083:EOTLRO&gt;2.0.CO;2</w:t>
      </w:r>
    </w:p>
    <w:p w14:paraId="55AC24CE"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Ouyang, W., Li, Z., Yang, J., Lu, L., &amp; Guo, J. (2021). </w:t>
      </w:r>
      <w:proofErr w:type="spellStart"/>
      <w:r w:rsidRPr="001F05AA">
        <w:rPr>
          <w:rFonts w:eastAsia="Times New Roman"/>
          <w:color w:val="000000"/>
          <w:sz w:val="24"/>
          <w:szCs w:val="24"/>
        </w:rPr>
        <w:t>Spatio</w:t>
      </w:r>
      <w:proofErr w:type="spellEnd"/>
      <w:r w:rsidRPr="001F05AA">
        <w:rPr>
          <w:rFonts w:eastAsia="Times New Roman"/>
          <w:color w:val="000000"/>
          <w:sz w:val="24"/>
          <w:szCs w:val="24"/>
        </w:rPr>
        <w:t xml:space="preserve">-Temporal Variations in Phytoplankton Communities in Sediment and Surface Water as Reservoir Drawdown—A Case Study of </w:t>
      </w:r>
      <w:proofErr w:type="spellStart"/>
      <w:r w:rsidRPr="001F05AA">
        <w:rPr>
          <w:rFonts w:eastAsia="Times New Roman"/>
          <w:color w:val="000000"/>
          <w:sz w:val="24"/>
          <w:szCs w:val="24"/>
        </w:rPr>
        <w:t>Pengxi</w:t>
      </w:r>
      <w:proofErr w:type="spellEnd"/>
      <w:r w:rsidRPr="001F05AA">
        <w:rPr>
          <w:rFonts w:eastAsia="Times New Roman"/>
          <w:color w:val="000000"/>
          <w:sz w:val="24"/>
          <w:szCs w:val="24"/>
        </w:rPr>
        <w:t xml:space="preserve"> River in Three Gorges Reservoir, China. </w:t>
      </w:r>
      <w:r w:rsidRPr="001F05AA">
        <w:rPr>
          <w:rFonts w:eastAsia="Times New Roman"/>
          <w:i/>
          <w:color w:val="000000"/>
          <w:sz w:val="24"/>
          <w:szCs w:val="24"/>
        </w:rPr>
        <w:t>Water</w:t>
      </w:r>
      <w:r w:rsidRPr="001F05AA">
        <w:rPr>
          <w:rFonts w:eastAsia="Times New Roman"/>
          <w:color w:val="000000"/>
          <w:sz w:val="24"/>
          <w:szCs w:val="24"/>
        </w:rPr>
        <w:t xml:space="preserve">, </w:t>
      </w:r>
      <w:r w:rsidRPr="001F05AA">
        <w:rPr>
          <w:rFonts w:eastAsia="Times New Roman"/>
          <w:i/>
          <w:color w:val="000000"/>
          <w:sz w:val="24"/>
          <w:szCs w:val="24"/>
        </w:rPr>
        <w:t>13</w:t>
      </w:r>
      <w:r w:rsidRPr="001F05AA">
        <w:rPr>
          <w:rFonts w:eastAsia="Times New Roman"/>
          <w:color w:val="000000"/>
          <w:sz w:val="24"/>
          <w:szCs w:val="24"/>
        </w:rPr>
        <w:t>(3), 340. https://doi.org/10.3390/w13030340</w:t>
      </w:r>
    </w:p>
    <w:p w14:paraId="603B8B82" w14:textId="53B5F000" w:rsidR="009C3965" w:rsidRPr="009C3965" w:rsidRDefault="009C3965" w:rsidP="009C3965">
      <w:pPr>
        <w:pBdr>
          <w:top w:val="nil"/>
          <w:left w:val="nil"/>
          <w:bottom w:val="nil"/>
          <w:right w:val="nil"/>
          <w:between w:val="nil"/>
        </w:pBdr>
        <w:spacing w:before="120"/>
        <w:ind w:left="720" w:hanging="720"/>
        <w:rPr>
          <w:rFonts w:eastAsia="Times New Roman"/>
          <w:color w:val="000000"/>
          <w:sz w:val="24"/>
          <w:szCs w:val="24"/>
          <w:lang w:val="en-US"/>
        </w:rPr>
      </w:pPr>
      <w:r w:rsidRPr="009C3965">
        <w:rPr>
          <w:rFonts w:eastAsia="Times New Roman"/>
          <w:color w:val="000000"/>
          <w:sz w:val="24"/>
          <w:szCs w:val="24"/>
          <w:lang w:val="en-US"/>
        </w:rPr>
        <w:t xml:space="preserve">Perkins, K. R., </w:t>
      </w:r>
      <w:proofErr w:type="spellStart"/>
      <w:r w:rsidRPr="009C3965">
        <w:rPr>
          <w:rFonts w:eastAsia="Times New Roman"/>
          <w:color w:val="000000"/>
          <w:sz w:val="24"/>
          <w:szCs w:val="24"/>
          <w:lang w:val="en-US"/>
        </w:rPr>
        <w:t>Rollwagen-Bollens</w:t>
      </w:r>
      <w:proofErr w:type="spellEnd"/>
      <w:r w:rsidRPr="009C3965">
        <w:rPr>
          <w:rFonts w:eastAsia="Times New Roman"/>
          <w:color w:val="000000"/>
          <w:sz w:val="24"/>
          <w:szCs w:val="24"/>
          <w:lang w:val="en-US"/>
        </w:rPr>
        <w:t xml:space="preserve">, G., </w:t>
      </w:r>
      <w:proofErr w:type="spellStart"/>
      <w:r w:rsidRPr="009C3965">
        <w:rPr>
          <w:rFonts w:eastAsia="Times New Roman"/>
          <w:color w:val="000000"/>
          <w:sz w:val="24"/>
          <w:szCs w:val="24"/>
          <w:lang w:val="en-US"/>
        </w:rPr>
        <w:t>Bollens</w:t>
      </w:r>
      <w:proofErr w:type="spellEnd"/>
      <w:r w:rsidRPr="009C3965">
        <w:rPr>
          <w:rFonts w:eastAsia="Times New Roman"/>
          <w:color w:val="000000"/>
          <w:sz w:val="24"/>
          <w:szCs w:val="24"/>
          <w:lang w:val="en-US"/>
        </w:rPr>
        <w:t xml:space="preserve">, S. M., &amp; Harrison, J. A. (2019). Variability in the vertical distribution of chlorophyll in a spill-managed temperate reservoir. </w:t>
      </w:r>
      <w:r w:rsidRPr="009C3965">
        <w:rPr>
          <w:rFonts w:eastAsia="Times New Roman"/>
          <w:i/>
          <w:iCs/>
          <w:color w:val="000000"/>
          <w:sz w:val="24"/>
          <w:szCs w:val="24"/>
          <w:lang w:val="en-US"/>
        </w:rPr>
        <w:t>Lake and Reservoir Management</w:t>
      </w:r>
      <w:r w:rsidRPr="009C3965">
        <w:rPr>
          <w:rFonts w:eastAsia="Times New Roman"/>
          <w:color w:val="000000"/>
          <w:sz w:val="24"/>
          <w:szCs w:val="24"/>
          <w:lang w:val="en-US"/>
        </w:rPr>
        <w:t xml:space="preserve">, </w:t>
      </w:r>
      <w:r w:rsidRPr="009C3965">
        <w:rPr>
          <w:rFonts w:eastAsia="Times New Roman"/>
          <w:i/>
          <w:iCs/>
          <w:color w:val="000000"/>
          <w:sz w:val="24"/>
          <w:szCs w:val="24"/>
          <w:lang w:val="en-US"/>
        </w:rPr>
        <w:t>35</w:t>
      </w:r>
      <w:r w:rsidRPr="009C3965">
        <w:rPr>
          <w:rFonts w:eastAsia="Times New Roman"/>
          <w:color w:val="000000"/>
          <w:sz w:val="24"/>
          <w:szCs w:val="24"/>
          <w:lang w:val="en-US"/>
        </w:rPr>
        <w:t>(2), 119–126. https://doi.org/10.1080/10402381.2019.1566935</w:t>
      </w:r>
    </w:p>
    <w:p w14:paraId="480CDE22" w14:textId="5AEA0E83"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Perrin, C. J., Ashley, K. I., &amp; Larkin, G. A. (2000). Effect of Drawdown on Ammonium and Iron Concentrations in a Coastal Mountain Reservoir. </w:t>
      </w:r>
      <w:r w:rsidRPr="001F05AA">
        <w:rPr>
          <w:rFonts w:eastAsia="Times New Roman"/>
          <w:i/>
          <w:color w:val="000000"/>
          <w:sz w:val="24"/>
          <w:szCs w:val="24"/>
        </w:rPr>
        <w:t>Water Quality Research Journal</w:t>
      </w:r>
      <w:r w:rsidRPr="001F05AA">
        <w:rPr>
          <w:rFonts w:eastAsia="Times New Roman"/>
          <w:color w:val="000000"/>
          <w:sz w:val="24"/>
          <w:szCs w:val="24"/>
        </w:rPr>
        <w:t xml:space="preserve">, </w:t>
      </w:r>
      <w:r w:rsidRPr="001F05AA">
        <w:rPr>
          <w:rFonts w:eastAsia="Times New Roman"/>
          <w:i/>
          <w:color w:val="000000"/>
          <w:sz w:val="24"/>
          <w:szCs w:val="24"/>
        </w:rPr>
        <w:t>35</w:t>
      </w:r>
      <w:r w:rsidRPr="001F05AA">
        <w:rPr>
          <w:rFonts w:eastAsia="Times New Roman"/>
          <w:color w:val="000000"/>
          <w:sz w:val="24"/>
          <w:szCs w:val="24"/>
        </w:rPr>
        <w:t>(2), 231–244. https://doi.org/10.2166/wqrj.2000.015</w:t>
      </w:r>
    </w:p>
    <w:p w14:paraId="30B29C63"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Pilati</w:t>
      </w:r>
      <w:proofErr w:type="spellEnd"/>
      <w:r w:rsidRPr="001F05AA">
        <w:rPr>
          <w:rFonts w:eastAsia="Times New Roman"/>
          <w:color w:val="000000"/>
          <w:sz w:val="24"/>
          <w:szCs w:val="24"/>
        </w:rPr>
        <w:t xml:space="preserve">, A., &amp; </w:t>
      </w:r>
      <w:proofErr w:type="spellStart"/>
      <w:r w:rsidRPr="001F05AA">
        <w:rPr>
          <w:rFonts w:eastAsia="Times New Roman"/>
          <w:color w:val="000000"/>
          <w:sz w:val="24"/>
          <w:szCs w:val="24"/>
        </w:rPr>
        <w:t>Wurtsbaugh</w:t>
      </w:r>
      <w:proofErr w:type="spellEnd"/>
      <w:r w:rsidRPr="001F05AA">
        <w:rPr>
          <w:rFonts w:eastAsia="Times New Roman"/>
          <w:color w:val="000000"/>
          <w:sz w:val="24"/>
          <w:szCs w:val="24"/>
        </w:rPr>
        <w:t xml:space="preserve">, W. A. (2003). Importance of zooplankton for the persistence of a deep chlorophyll layer: A </w:t>
      </w:r>
      <w:proofErr w:type="spellStart"/>
      <w:r w:rsidRPr="001F05AA">
        <w:rPr>
          <w:rFonts w:eastAsia="Times New Roman"/>
          <w:color w:val="000000"/>
          <w:sz w:val="24"/>
          <w:szCs w:val="24"/>
        </w:rPr>
        <w:t>limnocorral</w:t>
      </w:r>
      <w:proofErr w:type="spellEnd"/>
      <w:r w:rsidRPr="001F05AA">
        <w:rPr>
          <w:rFonts w:eastAsia="Times New Roman"/>
          <w:color w:val="000000"/>
          <w:sz w:val="24"/>
          <w:szCs w:val="24"/>
        </w:rPr>
        <w:t xml:space="preserve"> experiment. </w:t>
      </w:r>
      <w:r w:rsidRPr="001F05AA">
        <w:rPr>
          <w:rFonts w:eastAsia="Times New Roman"/>
          <w:i/>
          <w:color w:val="000000"/>
          <w:sz w:val="24"/>
          <w:szCs w:val="24"/>
        </w:rPr>
        <w:t>Limnology and Oceanography</w:t>
      </w:r>
      <w:r w:rsidRPr="001F05AA">
        <w:rPr>
          <w:rFonts w:eastAsia="Times New Roman"/>
          <w:color w:val="000000"/>
          <w:sz w:val="24"/>
          <w:szCs w:val="24"/>
        </w:rPr>
        <w:t xml:space="preserve">, </w:t>
      </w:r>
      <w:r w:rsidRPr="001F05AA">
        <w:rPr>
          <w:rFonts w:eastAsia="Times New Roman"/>
          <w:i/>
          <w:color w:val="000000"/>
          <w:sz w:val="24"/>
          <w:szCs w:val="24"/>
        </w:rPr>
        <w:t>48</w:t>
      </w:r>
      <w:r w:rsidRPr="001F05AA">
        <w:rPr>
          <w:rFonts w:eastAsia="Times New Roman"/>
          <w:color w:val="000000"/>
          <w:sz w:val="24"/>
          <w:szCs w:val="24"/>
        </w:rPr>
        <w:t>(1), 249–260. https://doi.org/10.4319/lo.2003.48.1.0249</w:t>
      </w:r>
    </w:p>
    <w:p w14:paraId="4F265A3B"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Pilla</w:t>
      </w:r>
      <w:proofErr w:type="spellEnd"/>
      <w:r w:rsidRPr="001F05AA">
        <w:rPr>
          <w:rFonts w:eastAsia="Times New Roman"/>
          <w:color w:val="000000"/>
          <w:sz w:val="24"/>
          <w:szCs w:val="24"/>
        </w:rPr>
        <w:t xml:space="preserve">, R. M., Williamson, C. E., Zhang, J., Smyth, R. L., </w:t>
      </w:r>
      <w:proofErr w:type="spellStart"/>
      <w:r w:rsidRPr="001F05AA">
        <w:rPr>
          <w:rFonts w:eastAsia="Times New Roman"/>
          <w:color w:val="000000"/>
          <w:sz w:val="24"/>
          <w:szCs w:val="24"/>
        </w:rPr>
        <w:t>Lenters</w:t>
      </w:r>
      <w:proofErr w:type="spellEnd"/>
      <w:r w:rsidRPr="001F05AA">
        <w:rPr>
          <w:rFonts w:eastAsia="Times New Roman"/>
          <w:color w:val="000000"/>
          <w:sz w:val="24"/>
          <w:szCs w:val="24"/>
        </w:rPr>
        <w:t xml:space="preserve">, J. D., </w:t>
      </w:r>
      <w:proofErr w:type="spellStart"/>
      <w:r w:rsidRPr="001F05AA">
        <w:rPr>
          <w:rFonts w:eastAsia="Times New Roman"/>
          <w:color w:val="000000"/>
          <w:sz w:val="24"/>
          <w:szCs w:val="24"/>
        </w:rPr>
        <w:t>Brentrup</w:t>
      </w:r>
      <w:proofErr w:type="spellEnd"/>
      <w:r w:rsidRPr="001F05AA">
        <w:rPr>
          <w:rFonts w:eastAsia="Times New Roman"/>
          <w:color w:val="000000"/>
          <w:sz w:val="24"/>
          <w:szCs w:val="24"/>
        </w:rPr>
        <w:t xml:space="preserve">, J. A., et al. (2018). Browning-Related Decreases in Water Transparency Lead to Long-Term Increases in Surface Water Temperature and Thermal Stratification in Two Small Lakes. </w:t>
      </w:r>
      <w:r w:rsidRPr="001F05AA">
        <w:rPr>
          <w:rFonts w:eastAsia="Times New Roman"/>
          <w:i/>
          <w:color w:val="000000"/>
          <w:sz w:val="24"/>
          <w:szCs w:val="24"/>
        </w:rPr>
        <w:t>Journal of Geophysical Research: Biogeosciences</w:t>
      </w:r>
      <w:r w:rsidRPr="001F05AA">
        <w:rPr>
          <w:rFonts w:eastAsia="Times New Roman"/>
          <w:color w:val="000000"/>
          <w:sz w:val="24"/>
          <w:szCs w:val="24"/>
        </w:rPr>
        <w:t xml:space="preserve">, </w:t>
      </w:r>
      <w:r w:rsidRPr="001F05AA">
        <w:rPr>
          <w:rFonts w:eastAsia="Times New Roman"/>
          <w:i/>
          <w:color w:val="000000"/>
          <w:sz w:val="24"/>
          <w:szCs w:val="24"/>
        </w:rPr>
        <w:t>123</w:t>
      </w:r>
      <w:r w:rsidRPr="001F05AA">
        <w:rPr>
          <w:rFonts w:eastAsia="Times New Roman"/>
          <w:color w:val="000000"/>
          <w:sz w:val="24"/>
          <w:szCs w:val="24"/>
        </w:rPr>
        <w:t>(5), 1651–1665. https://doi.org/10.1029/2017JG004321</w:t>
      </w:r>
    </w:p>
    <w:p w14:paraId="0D60623A"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Planas</w:t>
      </w:r>
      <w:proofErr w:type="spellEnd"/>
      <w:r w:rsidRPr="001F05AA">
        <w:rPr>
          <w:rFonts w:eastAsia="Times New Roman"/>
          <w:color w:val="000000"/>
          <w:sz w:val="24"/>
          <w:szCs w:val="24"/>
        </w:rPr>
        <w:t xml:space="preserve">, D., &amp; Paquet, S. (2016). Importance of climate change-physical forcing on the increase of cyanobacterial blooms in a small, stratified lake. </w:t>
      </w:r>
      <w:r w:rsidRPr="001F05AA">
        <w:rPr>
          <w:rFonts w:eastAsia="Times New Roman"/>
          <w:i/>
          <w:color w:val="000000"/>
          <w:sz w:val="24"/>
          <w:szCs w:val="24"/>
        </w:rPr>
        <w:t>Journal of Limnology</w:t>
      </w:r>
      <w:r w:rsidRPr="001F05AA">
        <w:rPr>
          <w:rFonts w:eastAsia="Times New Roman"/>
          <w:color w:val="000000"/>
          <w:sz w:val="24"/>
          <w:szCs w:val="24"/>
        </w:rPr>
        <w:t xml:space="preserve">, </w:t>
      </w:r>
      <w:r w:rsidRPr="001F05AA">
        <w:rPr>
          <w:rFonts w:eastAsia="Times New Roman"/>
          <w:i/>
          <w:color w:val="000000"/>
          <w:sz w:val="24"/>
          <w:szCs w:val="24"/>
        </w:rPr>
        <w:t>75</w:t>
      </w:r>
      <w:r w:rsidRPr="001F05AA">
        <w:rPr>
          <w:rFonts w:eastAsia="Times New Roman"/>
          <w:color w:val="000000"/>
          <w:sz w:val="24"/>
          <w:szCs w:val="24"/>
        </w:rPr>
        <w:t>(s1). https://doi.org/10.4081/jlimnol.2016.1371</w:t>
      </w:r>
    </w:p>
    <w:p w14:paraId="45A507E9"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Read, J. S., Hamilton, D. P., Jones, I. D., Muraoka, K., Winslow, L. A., </w:t>
      </w:r>
      <w:proofErr w:type="spellStart"/>
      <w:r w:rsidRPr="001F05AA">
        <w:rPr>
          <w:rFonts w:eastAsia="Times New Roman"/>
          <w:color w:val="000000"/>
          <w:sz w:val="24"/>
          <w:szCs w:val="24"/>
        </w:rPr>
        <w:t>Kroiss</w:t>
      </w:r>
      <w:proofErr w:type="spellEnd"/>
      <w:r w:rsidRPr="001F05AA">
        <w:rPr>
          <w:rFonts w:eastAsia="Times New Roman"/>
          <w:color w:val="000000"/>
          <w:sz w:val="24"/>
          <w:szCs w:val="24"/>
        </w:rPr>
        <w:t xml:space="preserve">, R., et al. (2011). Derivation of lake mixing and stratification indices from high-resolution lake buoy data. </w:t>
      </w:r>
      <w:r w:rsidRPr="001F05AA">
        <w:rPr>
          <w:rFonts w:eastAsia="Times New Roman"/>
          <w:i/>
          <w:color w:val="000000"/>
          <w:sz w:val="24"/>
          <w:szCs w:val="24"/>
        </w:rPr>
        <w:t>Environmental Modelling &amp; Software</w:t>
      </w:r>
      <w:r w:rsidRPr="001F05AA">
        <w:rPr>
          <w:rFonts w:eastAsia="Times New Roman"/>
          <w:color w:val="000000"/>
          <w:sz w:val="24"/>
          <w:szCs w:val="24"/>
        </w:rPr>
        <w:t xml:space="preserve">, </w:t>
      </w:r>
      <w:r w:rsidRPr="001F05AA">
        <w:rPr>
          <w:rFonts w:eastAsia="Times New Roman"/>
          <w:i/>
          <w:color w:val="000000"/>
          <w:sz w:val="24"/>
          <w:szCs w:val="24"/>
        </w:rPr>
        <w:t>26</w:t>
      </w:r>
      <w:r w:rsidRPr="001F05AA">
        <w:rPr>
          <w:rFonts w:eastAsia="Times New Roman"/>
          <w:color w:val="000000"/>
          <w:sz w:val="24"/>
          <w:szCs w:val="24"/>
        </w:rPr>
        <w:t>(11), 1325–1336. https://doi.org/10.1016/j.envsoft.2011.05.006</w:t>
      </w:r>
    </w:p>
    <w:p w14:paraId="672D625D"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lastRenderedPageBreak/>
        <w:t>Rimmer</w:t>
      </w:r>
      <w:proofErr w:type="spellEnd"/>
      <w:r w:rsidRPr="001F05AA">
        <w:rPr>
          <w:rFonts w:eastAsia="Times New Roman"/>
          <w:color w:val="000000"/>
          <w:sz w:val="24"/>
          <w:szCs w:val="24"/>
        </w:rPr>
        <w:t xml:space="preserve">, A., Gal, G., </w:t>
      </w:r>
      <w:proofErr w:type="spellStart"/>
      <w:r w:rsidRPr="001F05AA">
        <w:rPr>
          <w:rFonts w:eastAsia="Times New Roman"/>
          <w:color w:val="000000"/>
          <w:sz w:val="24"/>
          <w:szCs w:val="24"/>
        </w:rPr>
        <w:t>Opher</w:t>
      </w:r>
      <w:proofErr w:type="spellEnd"/>
      <w:r w:rsidRPr="001F05AA">
        <w:rPr>
          <w:rFonts w:eastAsia="Times New Roman"/>
          <w:color w:val="000000"/>
          <w:sz w:val="24"/>
          <w:szCs w:val="24"/>
        </w:rPr>
        <w:t xml:space="preserve">, T., </w:t>
      </w:r>
      <w:proofErr w:type="spellStart"/>
      <w:r w:rsidRPr="001F05AA">
        <w:rPr>
          <w:rFonts w:eastAsia="Times New Roman"/>
          <w:color w:val="000000"/>
          <w:sz w:val="24"/>
          <w:szCs w:val="24"/>
        </w:rPr>
        <w:t>Lechinsky</w:t>
      </w:r>
      <w:proofErr w:type="spellEnd"/>
      <w:r w:rsidRPr="001F05AA">
        <w:rPr>
          <w:rFonts w:eastAsia="Times New Roman"/>
          <w:color w:val="000000"/>
          <w:sz w:val="24"/>
          <w:szCs w:val="24"/>
        </w:rPr>
        <w:t xml:space="preserve">, Y., &amp; </w:t>
      </w:r>
      <w:proofErr w:type="spellStart"/>
      <w:r w:rsidRPr="001F05AA">
        <w:rPr>
          <w:rFonts w:eastAsia="Times New Roman"/>
          <w:color w:val="000000"/>
          <w:sz w:val="24"/>
          <w:szCs w:val="24"/>
        </w:rPr>
        <w:t>Yacobi</w:t>
      </w:r>
      <w:proofErr w:type="spellEnd"/>
      <w:r w:rsidRPr="001F05AA">
        <w:rPr>
          <w:rFonts w:eastAsia="Times New Roman"/>
          <w:color w:val="000000"/>
          <w:sz w:val="24"/>
          <w:szCs w:val="24"/>
        </w:rPr>
        <w:t xml:space="preserve">, Y. Z. (2011). Mechanisms of long-term variations in the thermal structure of a warm lake. </w:t>
      </w:r>
      <w:r w:rsidRPr="001F05AA">
        <w:rPr>
          <w:rFonts w:eastAsia="Times New Roman"/>
          <w:i/>
          <w:color w:val="000000"/>
          <w:sz w:val="24"/>
          <w:szCs w:val="24"/>
        </w:rPr>
        <w:t>Limnology and Oceanography</w:t>
      </w:r>
      <w:r w:rsidRPr="001F05AA">
        <w:rPr>
          <w:rFonts w:eastAsia="Times New Roman"/>
          <w:color w:val="000000"/>
          <w:sz w:val="24"/>
          <w:szCs w:val="24"/>
        </w:rPr>
        <w:t xml:space="preserve">, </w:t>
      </w:r>
      <w:r w:rsidRPr="001F05AA">
        <w:rPr>
          <w:rFonts w:eastAsia="Times New Roman"/>
          <w:i/>
          <w:color w:val="000000"/>
          <w:sz w:val="24"/>
          <w:szCs w:val="24"/>
        </w:rPr>
        <w:t>56</w:t>
      </w:r>
      <w:r w:rsidRPr="001F05AA">
        <w:rPr>
          <w:rFonts w:eastAsia="Times New Roman"/>
          <w:color w:val="000000"/>
          <w:sz w:val="24"/>
          <w:szCs w:val="24"/>
        </w:rPr>
        <w:t>(3), 974–988. https://doi.org/10.4319/lo.2011.56.3.0974</w:t>
      </w:r>
    </w:p>
    <w:p w14:paraId="53237921"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Rinke, K., Huber, A. M. R., </w:t>
      </w:r>
      <w:proofErr w:type="spellStart"/>
      <w:r w:rsidRPr="001F05AA">
        <w:rPr>
          <w:rFonts w:eastAsia="Times New Roman"/>
          <w:color w:val="000000"/>
          <w:sz w:val="24"/>
          <w:szCs w:val="24"/>
        </w:rPr>
        <w:t>Kempke</w:t>
      </w:r>
      <w:proofErr w:type="spellEnd"/>
      <w:r w:rsidRPr="001F05AA">
        <w:rPr>
          <w:rFonts w:eastAsia="Times New Roman"/>
          <w:color w:val="000000"/>
          <w:sz w:val="24"/>
          <w:szCs w:val="24"/>
        </w:rPr>
        <w:t xml:space="preserve">, S., Eder, M., Wolf, T., Probst, W. N., &amp; </w:t>
      </w:r>
      <w:proofErr w:type="spellStart"/>
      <w:r w:rsidRPr="001F05AA">
        <w:rPr>
          <w:rFonts w:eastAsia="Times New Roman"/>
          <w:color w:val="000000"/>
          <w:sz w:val="24"/>
          <w:szCs w:val="24"/>
        </w:rPr>
        <w:t>Rothhaupta</w:t>
      </w:r>
      <w:proofErr w:type="spellEnd"/>
      <w:r w:rsidRPr="001F05AA">
        <w:rPr>
          <w:rFonts w:eastAsia="Times New Roman"/>
          <w:color w:val="000000"/>
          <w:sz w:val="24"/>
          <w:szCs w:val="24"/>
        </w:rPr>
        <w:t xml:space="preserve">, K.-O. (2009). Lake-wide distributions of temperature, phytoplankton, zooplankton, and fish in the pelagic zone of a large lake. </w:t>
      </w:r>
      <w:r w:rsidRPr="001F05AA">
        <w:rPr>
          <w:rFonts w:eastAsia="Times New Roman"/>
          <w:i/>
          <w:color w:val="000000"/>
          <w:sz w:val="24"/>
          <w:szCs w:val="24"/>
        </w:rPr>
        <w:t>Limnology and Oceanography</w:t>
      </w:r>
      <w:r w:rsidRPr="001F05AA">
        <w:rPr>
          <w:rFonts w:eastAsia="Times New Roman"/>
          <w:color w:val="000000"/>
          <w:sz w:val="24"/>
          <w:szCs w:val="24"/>
        </w:rPr>
        <w:t xml:space="preserve">, </w:t>
      </w:r>
      <w:r w:rsidRPr="001F05AA">
        <w:rPr>
          <w:rFonts w:eastAsia="Times New Roman"/>
          <w:i/>
          <w:color w:val="000000"/>
          <w:sz w:val="24"/>
          <w:szCs w:val="24"/>
        </w:rPr>
        <w:t>54</w:t>
      </w:r>
      <w:r w:rsidRPr="001F05AA">
        <w:rPr>
          <w:rFonts w:eastAsia="Times New Roman"/>
          <w:color w:val="000000"/>
          <w:sz w:val="24"/>
          <w:szCs w:val="24"/>
        </w:rPr>
        <w:t>(4), 1306–1322. https://doi.org/10.4319/lo.2009.54.4.1306</w:t>
      </w:r>
    </w:p>
    <w:p w14:paraId="12EABDAF"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Robarts, R. D., &amp; </w:t>
      </w:r>
      <w:proofErr w:type="spellStart"/>
      <w:r w:rsidRPr="001F05AA">
        <w:rPr>
          <w:rFonts w:eastAsia="Times New Roman"/>
          <w:color w:val="000000"/>
          <w:sz w:val="24"/>
          <w:szCs w:val="24"/>
        </w:rPr>
        <w:t>Zohary</w:t>
      </w:r>
      <w:proofErr w:type="spellEnd"/>
      <w:r w:rsidRPr="001F05AA">
        <w:rPr>
          <w:rFonts w:eastAsia="Times New Roman"/>
          <w:color w:val="000000"/>
          <w:sz w:val="24"/>
          <w:szCs w:val="24"/>
        </w:rPr>
        <w:t xml:space="preserve">, T. (1984). Microcystis Aeruginosa and Underwater Light Attenuation in a Hypertrophic Lake (Hartbeespoort Dam, South Africa). </w:t>
      </w:r>
      <w:r w:rsidRPr="001F05AA">
        <w:rPr>
          <w:rFonts w:eastAsia="Times New Roman"/>
          <w:i/>
          <w:color w:val="000000"/>
          <w:sz w:val="24"/>
          <w:szCs w:val="24"/>
        </w:rPr>
        <w:t>Journal of Ecology</w:t>
      </w:r>
      <w:r w:rsidRPr="001F05AA">
        <w:rPr>
          <w:rFonts w:eastAsia="Times New Roman"/>
          <w:color w:val="000000"/>
          <w:sz w:val="24"/>
          <w:szCs w:val="24"/>
        </w:rPr>
        <w:t xml:space="preserve">, </w:t>
      </w:r>
      <w:r w:rsidRPr="001F05AA">
        <w:rPr>
          <w:rFonts w:eastAsia="Times New Roman"/>
          <w:i/>
          <w:color w:val="000000"/>
          <w:sz w:val="24"/>
          <w:szCs w:val="24"/>
        </w:rPr>
        <w:t>72</w:t>
      </w:r>
      <w:r w:rsidRPr="001F05AA">
        <w:rPr>
          <w:rFonts w:eastAsia="Times New Roman"/>
          <w:color w:val="000000"/>
          <w:sz w:val="24"/>
          <w:szCs w:val="24"/>
        </w:rPr>
        <w:t>(3), 1001–1017. https://doi.org/10.2307/2259547</w:t>
      </w:r>
    </w:p>
    <w:p w14:paraId="527B9C1E"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Saber, A., James, D. E., &amp; </w:t>
      </w:r>
      <w:proofErr w:type="spellStart"/>
      <w:r w:rsidRPr="001F05AA">
        <w:rPr>
          <w:rFonts w:eastAsia="Times New Roman"/>
          <w:color w:val="000000"/>
          <w:sz w:val="24"/>
          <w:szCs w:val="24"/>
        </w:rPr>
        <w:t>Hannoun</w:t>
      </w:r>
      <w:proofErr w:type="spellEnd"/>
      <w:r w:rsidRPr="001F05AA">
        <w:rPr>
          <w:rFonts w:eastAsia="Times New Roman"/>
          <w:color w:val="000000"/>
          <w:sz w:val="24"/>
          <w:szCs w:val="24"/>
        </w:rPr>
        <w:t xml:space="preserve">, I. A. (2020). Effects of lake water level fluctuation due to drought and extreme winter precipitation on mixing and water quality of an alpine lake, Case Study: Lake Arrowhead, California. </w:t>
      </w:r>
      <w:r w:rsidRPr="001F05AA">
        <w:rPr>
          <w:rFonts w:eastAsia="Times New Roman"/>
          <w:i/>
          <w:color w:val="000000"/>
          <w:sz w:val="24"/>
          <w:szCs w:val="24"/>
        </w:rPr>
        <w:t>Science of The Total Environment</w:t>
      </w:r>
      <w:r w:rsidRPr="001F05AA">
        <w:rPr>
          <w:rFonts w:eastAsia="Times New Roman"/>
          <w:color w:val="000000"/>
          <w:sz w:val="24"/>
          <w:szCs w:val="24"/>
        </w:rPr>
        <w:t xml:space="preserve">, </w:t>
      </w:r>
      <w:r w:rsidRPr="001F05AA">
        <w:rPr>
          <w:rFonts w:eastAsia="Times New Roman"/>
          <w:i/>
          <w:color w:val="000000"/>
          <w:sz w:val="24"/>
          <w:szCs w:val="24"/>
        </w:rPr>
        <w:t>714</w:t>
      </w:r>
      <w:r w:rsidRPr="001F05AA">
        <w:rPr>
          <w:rFonts w:eastAsia="Times New Roman"/>
          <w:color w:val="000000"/>
          <w:sz w:val="24"/>
          <w:szCs w:val="24"/>
        </w:rPr>
        <w:t>, 136762. https://doi.org/10.1016/j.scitotenv.2020.136762</w:t>
      </w:r>
    </w:p>
    <w:p w14:paraId="6B2117EB"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Sánchez-Carrillo, S., </w:t>
      </w:r>
      <w:proofErr w:type="spellStart"/>
      <w:r w:rsidRPr="001F05AA">
        <w:rPr>
          <w:rFonts w:eastAsia="Times New Roman"/>
          <w:color w:val="000000"/>
          <w:sz w:val="24"/>
          <w:szCs w:val="24"/>
        </w:rPr>
        <w:t>Alatorre</w:t>
      </w:r>
      <w:proofErr w:type="spellEnd"/>
      <w:r w:rsidRPr="001F05AA">
        <w:rPr>
          <w:rFonts w:eastAsia="Times New Roman"/>
          <w:color w:val="000000"/>
          <w:sz w:val="24"/>
          <w:szCs w:val="24"/>
        </w:rPr>
        <w:t xml:space="preserve">, L. C., Sánchez-Andrés, R., &amp; </w:t>
      </w:r>
      <w:proofErr w:type="spellStart"/>
      <w:r w:rsidRPr="001F05AA">
        <w:rPr>
          <w:rFonts w:eastAsia="Times New Roman"/>
          <w:color w:val="000000"/>
          <w:sz w:val="24"/>
          <w:szCs w:val="24"/>
        </w:rPr>
        <w:t>Garatuza-Payán</w:t>
      </w:r>
      <w:proofErr w:type="spellEnd"/>
      <w:r w:rsidRPr="001F05AA">
        <w:rPr>
          <w:rFonts w:eastAsia="Times New Roman"/>
          <w:color w:val="000000"/>
          <w:sz w:val="24"/>
          <w:szCs w:val="24"/>
        </w:rPr>
        <w:t xml:space="preserve">, J. (2007). Eutrophication and Sedimentation Patterns in Complete Exploitation of Water Resources Scenarios: An Example from Northwestern Semi-arid Mexico. </w:t>
      </w:r>
      <w:r w:rsidRPr="001F05AA">
        <w:rPr>
          <w:rFonts w:eastAsia="Times New Roman"/>
          <w:i/>
          <w:color w:val="000000"/>
          <w:sz w:val="24"/>
          <w:szCs w:val="24"/>
        </w:rPr>
        <w:t>Environmental Monitoring and Assessment</w:t>
      </w:r>
      <w:r w:rsidRPr="001F05AA">
        <w:rPr>
          <w:rFonts w:eastAsia="Times New Roman"/>
          <w:color w:val="000000"/>
          <w:sz w:val="24"/>
          <w:szCs w:val="24"/>
        </w:rPr>
        <w:t xml:space="preserve">, </w:t>
      </w:r>
      <w:r w:rsidRPr="001F05AA">
        <w:rPr>
          <w:rFonts w:eastAsia="Times New Roman"/>
          <w:i/>
          <w:color w:val="000000"/>
          <w:sz w:val="24"/>
          <w:szCs w:val="24"/>
        </w:rPr>
        <w:t>132</w:t>
      </w:r>
      <w:r w:rsidRPr="001F05AA">
        <w:rPr>
          <w:rFonts w:eastAsia="Times New Roman"/>
          <w:color w:val="000000"/>
          <w:sz w:val="24"/>
          <w:szCs w:val="24"/>
        </w:rPr>
        <w:t>(1), 377–393. https://doi.org/10.1007/s10661-006-9541-x</w:t>
      </w:r>
    </w:p>
    <w:p w14:paraId="6F9F7739" w14:textId="77777777" w:rsidR="0006118D" w:rsidRPr="001F05AA" w:rsidRDefault="00000000" w:rsidP="00726BCB">
      <w:pPr>
        <w:pBdr>
          <w:top w:val="nil"/>
          <w:left w:val="nil"/>
          <w:bottom w:val="nil"/>
          <w:right w:val="nil"/>
          <w:between w:val="nil"/>
        </w:pBdr>
        <w:spacing w:before="120"/>
        <w:ind w:left="720" w:hanging="720"/>
        <w:rPr>
          <w:sz w:val="24"/>
          <w:szCs w:val="24"/>
        </w:rPr>
      </w:pPr>
      <w:r w:rsidRPr="00726BCB">
        <w:rPr>
          <w:rFonts w:eastAsia="Times New Roman"/>
          <w:color w:val="000000"/>
          <w:sz w:val="24"/>
          <w:szCs w:val="24"/>
        </w:rPr>
        <w:t>Schenk</w:t>
      </w:r>
      <w:r w:rsidRPr="001F05AA">
        <w:rPr>
          <w:sz w:val="24"/>
          <w:szCs w:val="24"/>
        </w:rPr>
        <w:t>, L., &amp; Bragg, H. (2021). Sediment transport, turbidity, and dissolved oxygen responses to annual streambed drawdowns for downstream fish passage in a flood control reservoir. Journal of Environmental Management, 295, 113068. https://doi.org/10.1016/j.jenvman.2021.113068</w:t>
      </w:r>
    </w:p>
    <w:p w14:paraId="53ADB247"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Schreiber, M. E., Ming, C. L., Hammond, N. W., </w:t>
      </w:r>
      <w:proofErr w:type="spellStart"/>
      <w:r w:rsidRPr="001F05AA">
        <w:rPr>
          <w:rFonts w:eastAsia="Times New Roman"/>
          <w:color w:val="000000"/>
          <w:sz w:val="24"/>
          <w:szCs w:val="24"/>
        </w:rPr>
        <w:t>Breef-Pilz</w:t>
      </w:r>
      <w:proofErr w:type="spellEnd"/>
      <w:r w:rsidRPr="001F05AA">
        <w:rPr>
          <w:rFonts w:eastAsia="Times New Roman"/>
          <w:color w:val="000000"/>
          <w:sz w:val="24"/>
          <w:szCs w:val="24"/>
        </w:rPr>
        <w:t xml:space="preserve">, A., Geisler, B., &amp; Haynie, G. (2023). Time series of total and soluble iron and manganese concentrations from Falling Creek Reservoir, Beaverdam Reservoir and </w:t>
      </w:r>
      <w:proofErr w:type="spellStart"/>
      <w:r w:rsidRPr="001F05AA">
        <w:rPr>
          <w:rFonts w:eastAsia="Times New Roman"/>
          <w:color w:val="000000"/>
          <w:sz w:val="24"/>
          <w:szCs w:val="24"/>
        </w:rPr>
        <w:t>Carvins</w:t>
      </w:r>
      <w:proofErr w:type="spellEnd"/>
      <w:r w:rsidRPr="001F05AA">
        <w:rPr>
          <w:rFonts w:eastAsia="Times New Roman"/>
          <w:color w:val="000000"/>
          <w:sz w:val="24"/>
          <w:szCs w:val="24"/>
        </w:rPr>
        <w:t xml:space="preserve"> Cove Reservoir in southwestern Virginia, USA from 2014 through 2022 [Data set]. Environmental Data Initiative. https://doi.org/10.6073/PASTA/9D901AE44871E018F475F42C58FB2004</w:t>
      </w:r>
    </w:p>
    <w:p w14:paraId="499D2F46" w14:textId="77777777" w:rsidR="0006118D" w:rsidRPr="001F05AA" w:rsidRDefault="00000000" w:rsidP="00726BCB">
      <w:pPr>
        <w:pBdr>
          <w:top w:val="nil"/>
          <w:left w:val="nil"/>
          <w:bottom w:val="nil"/>
          <w:right w:val="nil"/>
          <w:between w:val="nil"/>
        </w:pBdr>
        <w:spacing w:before="120"/>
        <w:ind w:left="720" w:hanging="720"/>
        <w:rPr>
          <w:sz w:val="24"/>
          <w:szCs w:val="24"/>
        </w:rPr>
      </w:pPr>
      <w:r w:rsidRPr="00726BCB">
        <w:rPr>
          <w:rFonts w:eastAsia="Times New Roman"/>
          <w:color w:val="000000"/>
          <w:sz w:val="24"/>
          <w:szCs w:val="24"/>
        </w:rPr>
        <w:t>Schwarz</w:t>
      </w:r>
      <w:r w:rsidRPr="001F05AA">
        <w:rPr>
          <w:sz w:val="24"/>
          <w:szCs w:val="24"/>
        </w:rPr>
        <w:t xml:space="preserve">, M., Marcon, L., &amp; </w:t>
      </w:r>
      <w:proofErr w:type="spellStart"/>
      <w:r w:rsidRPr="001F05AA">
        <w:rPr>
          <w:sz w:val="24"/>
          <w:szCs w:val="24"/>
        </w:rPr>
        <w:t>Lorke</w:t>
      </w:r>
      <w:proofErr w:type="spellEnd"/>
      <w:r w:rsidRPr="001F05AA">
        <w:rPr>
          <w:sz w:val="24"/>
          <w:szCs w:val="24"/>
        </w:rPr>
        <w:t xml:space="preserve">, A. (2023). Quantifying bubble-mediated transport by ebullition from aquatic sediments. </w:t>
      </w:r>
      <w:r w:rsidRPr="001F05AA">
        <w:rPr>
          <w:i/>
          <w:sz w:val="24"/>
          <w:szCs w:val="24"/>
        </w:rPr>
        <w:t>Frontiers in Earth Science</w:t>
      </w:r>
      <w:r w:rsidRPr="001F05AA">
        <w:rPr>
          <w:sz w:val="24"/>
          <w:szCs w:val="24"/>
        </w:rPr>
        <w:t>, 11.  https://doi.org/10.3389/feart.2023.1113349</w:t>
      </w:r>
    </w:p>
    <w:p w14:paraId="2E2B7655"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Snodgrass, W. J. (1977). Relationship of Vertical Transport Across the Thermocline to Oxygen and Phosphorus Regimes: Lake Ontario as a Prototype. In R. J. Gibbs &amp; R. P. Shaw (Eds.), </w:t>
      </w:r>
      <w:r w:rsidRPr="001F05AA">
        <w:rPr>
          <w:rFonts w:eastAsia="Times New Roman"/>
          <w:i/>
          <w:color w:val="000000"/>
          <w:sz w:val="24"/>
          <w:szCs w:val="24"/>
        </w:rPr>
        <w:t>Transport Processes in Lakes and Oceans</w:t>
      </w:r>
      <w:r w:rsidRPr="001F05AA">
        <w:rPr>
          <w:rFonts w:eastAsia="Times New Roman"/>
          <w:color w:val="000000"/>
          <w:sz w:val="24"/>
          <w:szCs w:val="24"/>
        </w:rPr>
        <w:t xml:space="preserve"> (pp. 179–202). Boston, MA: Springer US. https://doi.org/10.1007/978-1-4684-2760-8_9</w:t>
      </w:r>
    </w:p>
    <w:p w14:paraId="546775EA"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Søndergaard</w:t>
      </w:r>
      <w:proofErr w:type="spellEnd"/>
      <w:r w:rsidRPr="001F05AA">
        <w:rPr>
          <w:rFonts w:eastAsia="Times New Roman"/>
          <w:color w:val="000000"/>
          <w:sz w:val="24"/>
          <w:szCs w:val="24"/>
        </w:rPr>
        <w:t xml:space="preserve">, M., </w:t>
      </w:r>
      <w:proofErr w:type="spellStart"/>
      <w:r w:rsidRPr="001F05AA">
        <w:rPr>
          <w:rFonts w:eastAsia="Times New Roman"/>
          <w:color w:val="000000"/>
          <w:sz w:val="24"/>
          <w:szCs w:val="24"/>
        </w:rPr>
        <w:t>Borch</w:t>
      </w:r>
      <w:proofErr w:type="spellEnd"/>
      <w:r w:rsidRPr="001F05AA">
        <w:rPr>
          <w:rFonts w:eastAsia="Times New Roman"/>
          <w:color w:val="000000"/>
          <w:sz w:val="24"/>
          <w:szCs w:val="24"/>
        </w:rPr>
        <w:t xml:space="preserve">, N., &amp; Riemann, B. (2000). Dynamics of biodegradable DOC produced by freshwater plankton communities. </w:t>
      </w:r>
      <w:r w:rsidRPr="001F05AA">
        <w:rPr>
          <w:rFonts w:eastAsia="Times New Roman"/>
          <w:i/>
          <w:color w:val="000000"/>
          <w:sz w:val="24"/>
          <w:szCs w:val="24"/>
        </w:rPr>
        <w:t>Aquatic Microbial Ecology - AQUAT MICROB ECOL</w:t>
      </w:r>
      <w:r w:rsidRPr="001F05AA">
        <w:rPr>
          <w:rFonts w:eastAsia="Times New Roman"/>
          <w:color w:val="000000"/>
          <w:sz w:val="24"/>
          <w:szCs w:val="24"/>
        </w:rPr>
        <w:t xml:space="preserve">, </w:t>
      </w:r>
      <w:r w:rsidRPr="001F05AA">
        <w:rPr>
          <w:rFonts w:eastAsia="Times New Roman"/>
          <w:i/>
          <w:color w:val="000000"/>
          <w:sz w:val="24"/>
          <w:szCs w:val="24"/>
        </w:rPr>
        <w:t>23</w:t>
      </w:r>
      <w:r w:rsidRPr="001F05AA">
        <w:rPr>
          <w:rFonts w:eastAsia="Times New Roman"/>
          <w:color w:val="000000"/>
          <w:sz w:val="24"/>
          <w:szCs w:val="24"/>
        </w:rPr>
        <w:t>, 73–83. https://doi.org/10.3354/ame023073</w:t>
      </w:r>
    </w:p>
    <w:p w14:paraId="20238673"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Stefan, H., Fang, X., &amp; Eaton, J. (2001). Simulated Fish Habitat Changes in North American Lakes in Response to Projected Climate Warming. </w:t>
      </w:r>
      <w:r w:rsidRPr="001F05AA">
        <w:rPr>
          <w:rFonts w:eastAsia="Times New Roman"/>
          <w:i/>
          <w:color w:val="000000"/>
          <w:sz w:val="24"/>
          <w:szCs w:val="24"/>
        </w:rPr>
        <w:t>Transactions of the American Fisheries Society</w:t>
      </w:r>
      <w:r w:rsidRPr="001F05AA">
        <w:rPr>
          <w:rFonts w:eastAsia="Times New Roman"/>
          <w:color w:val="000000"/>
          <w:sz w:val="24"/>
          <w:szCs w:val="24"/>
        </w:rPr>
        <w:t xml:space="preserve">, </w:t>
      </w:r>
      <w:r w:rsidRPr="001F05AA">
        <w:rPr>
          <w:rFonts w:eastAsia="Times New Roman"/>
          <w:i/>
          <w:color w:val="000000"/>
          <w:sz w:val="24"/>
          <w:szCs w:val="24"/>
        </w:rPr>
        <w:t>130</w:t>
      </w:r>
      <w:r w:rsidRPr="001F05AA">
        <w:rPr>
          <w:rFonts w:eastAsia="Times New Roman"/>
          <w:color w:val="000000"/>
          <w:sz w:val="24"/>
          <w:szCs w:val="24"/>
        </w:rPr>
        <w:t>, 459–477. https://doi.org/10.1577/1548-8659(2001)130&lt;0459:SFHCIN&gt;2.0.CO;2</w:t>
      </w:r>
    </w:p>
    <w:p w14:paraId="0DE9A799"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lastRenderedPageBreak/>
        <w:t>Tezuka</w:t>
      </w:r>
      <w:proofErr w:type="spellEnd"/>
      <w:r w:rsidRPr="001F05AA">
        <w:rPr>
          <w:rFonts w:eastAsia="Times New Roman"/>
          <w:color w:val="000000"/>
          <w:sz w:val="24"/>
          <w:szCs w:val="24"/>
        </w:rPr>
        <w:t xml:space="preserve">, Y. (1986). Does the seston of Lake Biwa release dissolved inorganic nitrogen and phosphorus during aerobic decomposition?: Its implication for eutrophication. </w:t>
      </w:r>
      <w:r w:rsidRPr="001F05AA">
        <w:rPr>
          <w:rFonts w:eastAsia="Times New Roman"/>
          <w:i/>
          <w:color w:val="000000"/>
          <w:sz w:val="24"/>
          <w:szCs w:val="24"/>
        </w:rPr>
        <w:t>Ecological Research</w:t>
      </w:r>
      <w:r w:rsidRPr="001F05AA">
        <w:rPr>
          <w:rFonts w:eastAsia="Times New Roman"/>
          <w:color w:val="000000"/>
          <w:sz w:val="24"/>
          <w:szCs w:val="24"/>
        </w:rPr>
        <w:t xml:space="preserve">, </w:t>
      </w:r>
      <w:r w:rsidRPr="001F05AA">
        <w:rPr>
          <w:rFonts w:eastAsia="Times New Roman"/>
          <w:i/>
          <w:color w:val="000000"/>
          <w:sz w:val="24"/>
          <w:szCs w:val="24"/>
        </w:rPr>
        <w:t>1</w:t>
      </w:r>
      <w:r w:rsidRPr="001F05AA">
        <w:rPr>
          <w:rFonts w:eastAsia="Times New Roman"/>
          <w:color w:val="000000"/>
          <w:sz w:val="24"/>
          <w:szCs w:val="24"/>
        </w:rPr>
        <w:t>(3), 293–302. https://doi.org/10.1007/BF02348686</w:t>
      </w:r>
    </w:p>
    <w:p w14:paraId="484F2F9F" w14:textId="286709B2" w:rsidR="00882679" w:rsidRPr="00882679" w:rsidRDefault="00882679" w:rsidP="00882679">
      <w:pPr>
        <w:pBdr>
          <w:top w:val="nil"/>
          <w:left w:val="nil"/>
          <w:bottom w:val="nil"/>
          <w:right w:val="nil"/>
          <w:between w:val="nil"/>
        </w:pBdr>
        <w:spacing w:before="120"/>
        <w:ind w:left="720" w:hanging="720"/>
        <w:rPr>
          <w:rFonts w:eastAsia="Times New Roman"/>
          <w:color w:val="000000"/>
          <w:sz w:val="24"/>
          <w:szCs w:val="24"/>
          <w:lang w:val="en-US"/>
        </w:rPr>
      </w:pPr>
      <w:r w:rsidRPr="00882679">
        <w:rPr>
          <w:rFonts w:eastAsia="Times New Roman"/>
          <w:color w:val="000000"/>
          <w:sz w:val="24"/>
          <w:szCs w:val="24"/>
          <w:lang w:val="en-US"/>
        </w:rPr>
        <w:t xml:space="preserve">Turner, M. A., </w:t>
      </w:r>
      <w:proofErr w:type="spellStart"/>
      <w:r w:rsidRPr="00882679">
        <w:rPr>
          <w:rFonts w:eastAsia="Times New Roman"/>
          <w:color w:val="000000"/>
          <w:sz w:val="24"/>
          <w:szCs w:val="24"/>
          <w:lang w:val="en-US"/>
        </w:rPr>
        <w:t>Huebert</w:t>
      </w:r>
      <w:proofErr w:type="spellEnd"/>
      <w:r w:rsidRPr="00882679">
        <w:rPr>
          <w:rFonts w:eastAsia="Times New Roman"/>
          <w:color w:val="000000"/>
          <w:sz w:val="24"/>
          <w:szCs w:val="24"/>
          <w:lang w:val="en-US"/>
        </w:rPr>
        <w:t xml:space="preserve">, D. B., Findlay, D. L., </w:t>
      </w:r>
      <w:proofErr w:type="spellStart"/>
      <w:r w:rsidRPr="00882679">
        <w:rPr>
          <w:rFonts w:eastAsia="Times New Roman"/>
          <w:color w:val="000000"/>
          <w:sz w:val="24"/>
          <w:szCs w:val="24"/>
          <w:lang w:val="en-US"/>
        </w:rPr>
        <w:t>Hendzel</w:t>
      </w:r>
      <w:proofErr w:type="spellEnd"/>
      <w:r w:rsidRPr="00882679">
        <w:rPr>
          <w:rFonts w:eastAsia="Times New Roman"/>
          <w:color w:val="000000"/>
          <w:sz w:val="24"/>
          <w:szCs w:val="24"/>
          <w:lang w:val="en-US"/>
        </w:rPr>
        <w:t xml:space="preserve">, L. L., Jansen, W. A., </w:t>
      </w:r>
      <w:proofErr w:type="spellStart"/>
      <w:r w:rsidRPr="00882679">
        <w:rPr>
          <w:rFonts w:eastAsia="Times New Roman"/>
          <w:color w:val="000000"/>
          <w:sz w:val="24"/>
          <w:szCs w:val="24"/>
          <w:lang w:val="en-US"/>
        </w:rPr>
        <w:t>Bodaly</w:t>
      </w:r>
      <w:proofErr w:type="spellEnd"/>
      <w:r w:rsidRPr="00882679">
        <w:rPr>
          <w:rFonts w:eastAsia="Times New Roman"/>
          <w:color w:val="000000"/>
          <w:sz w:val="24"/>
          <w:szCs w:val="24"/>
          <w:lang w:val="en-US"/>
        </w:rPr>
        <w:t xml:space="preserve">, R. (Drew), Armstrong, L. M., &amp; </w:t>
      </w:r>
      <w:proofErr w:type="spellStart"/>
      <w:r w:rsidRPr="00882679">
        <w:rPr>
          <w:rFonts w:eastAsia="Times New Roman"/>
          <w:color w:val="000000"/>
          <w:sz w:val="24"/>
          <w:szCs w:val="24"/>
          <w:lang w:val="en-US"/>
        </w:rPr>
        <w:t>Kasian</w:t>
      </w:r>
      <w:proofErr w:type="spellEnd"/>
      <w:r w:rsidRPr="00882679">
        <w:rPr>
          <w:rFonts w:eastAsia="Times New Roman"/>
          <w:color w:val="000000"/>
          <w:sz w:val="24"/>
          <w:szCs w:val="24"/>
          <w:lang w:val="en-US"/>
        </w:rPr>
        <w:t xml:space="preserve">, S. E. (2005). Divergent impacts of experimental lake-level drawdown on planktonic and benthic plant communities in a boreal forest lake. </w:t>
      </w:r>
      <w:r w:rsidRPr="00882679">
        <w:rPr>
          <w:rFonts w:eastAsia="Times New Roman"/>
          <w:i/>
          <w:iCs/>
          <w:color w:val="000000"/>
          <w:sz w:val="24"/>
          <w:szCs w:val="24"/>
          <w:lang w:val="en-US"/>
        </w:rPr>
        <w:t>Canadian Journal of Fisheries and Aquatic Sciences</w:t>
      </w:r>
      <w:r w:rsidRPr="00882679">
        <w:rPr>
          <w:rFonts w:eastAsia="Times New Roman"/>
          <w:color w:val="000000"/>
          <w:sz w:val="24"/>
          <w:szCs w:val="24"/>
          <w:lang w:val="en-US"/>
        </w:rPr>
        <w:t xml:space="preserve">, </w:t>
      </w:r>
      <w:r w:rsidRPr="00882679">
        <w:rPr>
          <w:rFonts w:eastAsia="Times New Roman"/>
          <w:i/>
          <w:iCs/>
          <w:color w:val="000000"/>
          <w:sz w:val="24"/>
          <w:szCs w:val="24"/>
          <w:lang w:val="en-US"/>
        </w:rPr>
        <w:t>62</w:t>
      </w:r>
      <w:r w:rsidRPr="00882679">
        <w:rPr>
          <w:rFonts w:eastAsia="Times New Roman"/>
          <w:color w:val="000000"/>
          <w:sz w:val="24"/>
          <w:szCs w:val="24"/>
          <w:lang w:val="en-US"/>
        </w:rPr>
        <w:t>(5), 991–1003. https://doi.org/10.1139/f05-003</w:t>
      </w:r>
    </w:p>
    <w:p w14:paraId="57CF4670" w14:textId="6FF5EB42"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U.S. Army Corps of Engineers. (2021). National Inventory of Dams [Data set]. Retrieved from https://nid.sec.usace.army.mil/</w:t>
      </w:r>
    </w:p>
    <w:p w14:paraId="45CE16D2"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Varela, R. A., Cruzado, A., &amp; </w:t>
      </w:r>
      <w:proofErr w:type="spellStart"/>
      <w:r w:rsidRPr="001F05AA">
        <w:rPr>
          <w:rFonts w:eastAsia="Times New Roman"/>
          <w:color w:val="000000"/>
          <w:sz w:val="24"/>
          <w:szCs w:val="24"/>
        </w:rPr>
        <w:t>Tintoré</w:t>
      </w:r>
      <w:proofErr w:type="spellEnd"/>
      <w:r w:rsidRPr="001F05AA">
        <w:rPr>
          <w:rFonts w:eastAsia="Times New Roman"/>
          <w:color w:val="000000"/>
          <w:sz w:val="24"/>
          <w:szCs w:val="24"/>
        </w:rPr>
        <w:t xml:space="preserve">, J. (1994). A simulation analysis of various biological and physical factors influencing the deep-chlorophyll maximum structure in oligotrophic areas. </w:t>
      </w:r>
      <w:r w:rsidRPr="001F05AA">
        <w:rPr>
          <w:rFonts w:eastAsia="Times New Roman"/>
          <w:i/>
          <w:color w:val="000000"/>
          <w:sz w:val="24"/>
          <w:szCs w:val="24"/>
        </w:rPr>
        <w:t>Journal of Marine Systems</w:t>
      </w:r>
      <w:r w:rsidRPr="001F05AA">
        <w:rPr>
          <w:rFonts w:eastAsia="Times New Roman"/>
          <w:color w:val="000000"/>
          <w:sz w:val="24"/>
          <w:szCs w:val="24"/>
        </w:rPr>
        <w:t xml:space="preserve">, </w:t>
      </w:r>
      <w:r w:rsidRPr="001F05AA">
        <w:rPr>
          <w:rFonts w:eastAsia="Times New Roman"/>
          <w:i/>
          <w:color w:val="000000"/>
          <w:sz w:val="24"/>
          <w:szCs w:val="24"/>
        </w:rPr>
        <w:t>5</w:t>
      </w:r>
      <w:r w:rsidRPr="001F05AA">
        <w:rPr>
          <w:rFonts w:eastAsia="Times New Roman"/>
          <w:color w:val="000000"/>
          <w:sz w:val="24"/>
          <w:szCs w:val="24"/>
        </w:rPr>
        <w:t>(2), 143–157. https://doi.org/10.1016/0924-7963(94)90028-0</w:t>
      </w:r>
    </w:p>
    <w:p w14:paraId="58D00A9A" w14:textId="370426C8" w:rsidR="005F7CA4" w:rsidRPr="005F7CA4" w:rsidRDefault="005F7CA4" w:rsidP="005F7CA4">
      <w:pPr>
        <w:pBdr>
          <w:top w:val="nil"/>
          <w:left w:val="nil"/>
          <w:bottom w:val="nil"/>
          <w:right w:val="nil"/>
          <w:between w:val="nil"/>
        </w:pBdr>
        <w:spacing w:before="120"/>
        <w:ind w:left="720" w:hanging="720"/>
        <w:rPr>
          <w:rFonts w:eastAsia="Times New Roman"/>
          <w:color w:val="000000"/>
          <w:sz w:val="24"/>
          <w:szCs w:val="24"/>
          <w:lang w:val="en-US"/>
        </w:rPr>
      </w:pPr>
      <w:proofErr w:type="spellStart"/>
      <w:r w:rsidRPr="005F7CA4">
        <w:rPr>
          <w:rFonts w:eastAsia="Times New Roman"/>
          <w:color w:val="000000"/>
          <w:sz w:val="24"/>
          <w:szCs w:val="24"/>
          <w:lang w:val="en-US"/>
        </w:rPr>
        <w:t>Vuorio</w:t>
      </w:r>
      <w:proofErr w:type="spellEnd"/>
      <w:r w:rsidRPr="005F7CA4">
        <w:rPr>
          <w:rFonts w:eastAsia="Times New Roman"/>
          <w:color w:val="000000"/>
          <w:sz w:val="24"/>
          <w:szCs w:val="24"/>
          <w:lang w:val="en-US"/>
        </w:rPr>
        <w:t xml:space="preserve">, K., </w:t>
      </w:r>
      <w:proofErr w:type="spellStart"/>
      <w:r w:rsidRPr="005F7CA4">
        <w:rPr>
          <w:rFonts w:eastAsia="Times New Roman"/>
          <w:color w:val="000000"/>
          <w:sz w:val="24"/>
          <w:szCs w:val="24"/>
          <w:lang w:val="en-US"/>
        </w:rPr>
        <w:t>Järvinen</w:t>
      </w:r>
      <w:proofErr w:type="spellEnd"/>
      <w:r w:rsidRPr="005F7CA4">
        <w:rPr>
          <w:rFonts w:eastAsia="Times New Roman"/>
          <w:color w:val="000000"/>
          <w:sz w:val="24"/>
          <w:szCs w:val="24"/>
          <w:lang w:val="en-US"/>
        </w:rPr>
        <w:t xml:space="preserve">, M., </w:t>
      </w:r>
      <w:proofErr w:type="spellStart"/>
      <w:r w:rsidRPr="005F7CA4">
        <w:rPr>
          <w:rFonts w:eastAsia="Times New Roman"/>
          <w:color w:val="000000"/>
          <w:sz w:val="24"/>
          <w:szCs w:val="24"/>
          <w:lang w:val="en-US"/>
        </w:rPr>
        <w:t>Moilanen</w:t>
      </w:r>
      <w:proofErr w:type="spellEnd"/>
      <w:r w:rsidRPr="005F7CA4">
        <w:rPr>
          <w:rFonts w:eastAsia="Times New Roman"/>
          <w:color w:val="000000"/>
          <w:sz w:val="24"/>
          <w:szCs w:val="24"/>
          <w:lang w:val="en-US"/>
        </w:rPr>
        <w:t xml:space="preserve">, S., </w:t>
      </w:r>
      <w:proofErr w:type="spellStart"/>
      <w:r w:rsidRPr="005F7CA4">
        <w:rPr>
          <w:rFonts w:eastAsia="Times New Roman"/>
          <w:color w:val="000000"/>
          <w:sz w:val="24"/>
          <w:szCs w:val="24"/>
          <w:lang w:val="en-US"/>
        </w:rPr>
        <w:t>Kotamäki</w:t>
      </w:r>
      <w:proofErr w:type="spellEnd"/>
      <w:r w:rsidRPr="005F7CA4">
        <w:rPr>
          <w:rFonts w:eastAsia="Times New Roman"/>
          <w:color w:val="000000"/>
          <w:sz w:val="24"/>
          <w:szCs w:val="24"/>
          <w:lang w:val="en-US"/>
        </w:rPr>
        <w:t xml:space="preserve">, N., &amp; </w:t>
      </w:r>
      <w:proofErr w:type="spellStart"/>
      <w:r w:rsidRPr="005F7CA4">
        <w:rPr>
          <w:rFonts w:eastAsia="Times New Roman"/>
          <w:color w:val="000000"/>
          <w:sz w:val="24"/>
          <w:szCs w:val="24"/>
          <w:lang w:val="en-US"/>
        </w:rPr>
        <w:t>Bilaletdin</w:t>
      </w:r>
      <w:proofErr w:type="spellEnd"/>
      <w:r w:rsidRPr="005F7CA4">
        <w:rPr>
          <w:rFonts w:eastAsia="Times New Roman"/>
          <w:color w:val="000000"/>
          <w:sz w:val="24"/>
          <w:szCs w:val="24"/>
          <w:lang w:val="en-US"/>
        </w:rPr>
        <w:t xml:space="preserve">, Ä. (2015). Water level regulation in winter triggers fouling of fishing nets by the diatom </w:t>
      </w:r>
      <w:proofErr w:type="spellStart"/>
      <w:r w:rsidRPr="005F7CA4">
        <w:rPr>
          <w:rFonts w:eastAsia="Times New Roman"/>
          <w:i/>
          <w:iCs/>
          <w:color w:val="000000"/>
          <w:sz w:val="24"/>
          <w:szCs w:val="24"/>
          <w:lang w:val="en-US"/>
        </w:rPr>
        <w:t>Aulacoseira</w:t>
      </w:r>
      <w:proofErr w:type="spellEnd"/>
      <w:r w:rsidRPr="005F7CA4">
        <w:rPr>
          <w:rFonts w:eastAsia="Times New Roman"/>
          <w:i/>
          <w:iCs/>
          <w:color w:val="000000"/>
          <w:sz w:val="24"/>
          <w:szCs w:val="24"/>
          <w:lang w:val="en-US"/>
        </w:rPr>
        <w:t xml:space="preserve"> </w:t>
      </w:r>
      <w:proofErr w:type="spellStart"/>
      <w:r w:rsidRPr="005F7CA4">
        <w:rPr>
          <w:rFonts w:eastAsia="Times New Roman"/>
          <w:i/>
          <w:iCs/>
          <w:color w:val="000000"/>
          <w:sz w:val="24"/>
          <w:szCs w:val="24"/>
          <w:lang w:val="en-US"/>
        </w:rPr>
        <w:t>islandica</w:t>
      </w:r>
      <w:proofErr w:type="spellEnd"/>
      <w:r w:rsidRPr="005F7CA4">
        <w:rPr>
          <w:rFonts w:eastAsia="Times New Roman"/>
          <w:color w:val="000000"/>
          <w:sz w:val="24"/>
          <w:szCs w:val="24"/>
          <w:lang w:val="en-US"/>
        </w:rPr>
        <w:t xml:space="preserve"> in a boreal lake. </w:t>
      </w:r>
      <w:r w:rsidRPr="005F7CA4">
        <w:rPr>
          <w:rFonts w:eastAsia="Times New Roman"/>
          <w:i/>
          <w:iCs/>
          <w:color w:val="000000"/>
          <w:sz w:val="24"/>
          <w:szCs w:val="24"/>
          <w:lang w:val="en-US"/>
        </w:rPr>
        <w:t>Boreal Environment Research</w:t>
      </w:r>
      <w:r w:rsidRPr="005F7CA4">
        <w:rPr>
          <w:rFonts w:eastAsia="Times New Roman"/>
          <w:color w:val="000000"/>
          <w:sz w:val="24"/>
          <w:szCs w:val="24"/>
          <w:lang w:val="en-US"/>
        </w:rPr>
        <w:t xml:space="preserve">, </w:t>
      </w:r>
      <w:r w:rsidRPr="005F7CA4">
        <w:rPr>
          <w:rFonts w:eastAsia="Times New Roman"/>
          <w:i/>
          <w:iCs/>
          <w:color w:val="000000"/>
          <w:sz w:val="24"/>
          <w:szCs w:val="24"/>
          <w:lang w:val="en-US"/>
        </w:rPr>
        <w:t>20</w:t>
      </w:r>
      <w:r w:rsidRPr="005F7CA4">
        <w:rPr>
          <w:rFonts w:eastAsia="Times New Roman"/>
          <w:color w:val="000000"/>
          <w:sz w:val="24"/>
          <w:szCs w:val="24"/>
          <w:lang w:val="en-US"/>
        </w:rPr>
        <w:t>, 587–602.</w:t>
      </w:r>
    </w:p>
    <w:p w14:paraId="0E4E51DB" w14:textId="2651073E"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Wada, Y., </w:t>
      </w:r>
      <w:proofErr w:type="spellStart"/>
      <w:r w:rsidRPr="001F05AA">
        <w:rPr>
          <w:rFonts w:eastAsia="Times New Roman"/>
          <w:color w:val="000000"/>
          <w:sz w:val="24"/>
          <w:szCs w:val="24"/>
        </w:rPr>
        <w:t>Wisser</w:t>
      </w:r>
      <w:proofErr w:type="spellEnd"/>
      <w:r w:rsidRPr="001F05AA">
        <w:rPr>
          <w:rFonts w:eastAsia="Times New Roman"/>
          <w:color w:val="000000"/>
          <w:sz w:val="24"/>
          <w:szCs w:val="24"/>
        </w:rPr>
        <w:t xml:space="preserve">, D., &amp; </w:t>
      </w:r>
      <w:proofErr w:type="spellStart"/>
      <w:r w:rsidRPr="001F05AA">
        <w:rPr>
          <w:rFonts w:eastAsia="Times New Roman"/>
          <w:color w:val="000000"/>
          <w:sz w:val="24"/>
          <w:szCs w:val="24"/>
        </w:rPr>
        <w:t>Bierkens</w:t>
      </w:r>
      <w:proofErr w:type="spellEnd"/>
      <w:r w:rsidRPr="001F05AA">
        <w:rPr>
          <w:rFonts w:eastAsia="Times New Roman"/>
          <w:color w:val="000000"/>
          <w:sz w:val="24"/>
          <w:szCs w:val="24"/>
        </w:rPr>
        <w:t xml:space="preserve">, M. F. P. (2014). Global modeling of withdrawal, allocation and consumptive use of surface water and groundwater resources. </w:t>
      </w:r>
      <w:r w:rsidRPr="001F05AA">
        <w:rPr>
          <w:rFonts w:eastAsia="Times New Roman"/>
          <w:i/>
          <w:color w:val="000000"/>
          <w:sz w:val="24"/>
          <w:szCs w:val="24"/>
        </w:rPr>
        <w:t>Earth System Dynamics</w:t>
      </w:r>
      <w:r w:rsidRPr="001F05AA">
        <w:rPr>
          <w:rFonts w:eastAsia="Times New Roman"/>
          <w:color w:val="000000"/>
          <w:sz w:val="24"/>
          <w:szCs w:val="24"/>
        </w:rPr>
        <w:t xml:space="preserve">, </w:t>
      </w:r>
      <w:r w:rsidRPr="001F05AA">
        <w:rPr>
          <w:rFonts w:eastAsia="Times New Roman"/>
          <w:i/>
          <w:color w:val="000000"/>
          <w:sz w:val="24"/>
          <w:szCs w:val="24"/>
        </w:rPr>
        <w:t>5</w:t>
      </w:r>
      <w:r w:rsidRPr="001F05AA">
        <w:rPr>
          <w:rFonts w:eastAsia="Times New Roman"/>
          <w:color w:val="000000"/>
          <w:sz w:val="24"/>
          <w:szCs w:val="24"/>
        </w:rPr>
        <w:t>(1), 15–40. https://doi.org/10.5194/esd-5-15-2014</w:t>
      </w:r>
    </w:p>
    <w:p w14:paraId="6DA6F0AF"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Wang, L., Shen, H., Wu, Z., Yu, Z., Li, Y., </w:t>
      </w:r>
      <w:proofErr w:type="spellStart"/>
      <w:r w:rsidRPr="001F05AA">
        <w:rPr>
          <w:rFonts w:eastAsia="Times New Roman"/>
          <w:color w:val="000000"/>
          <w:sz w:val="24"/>
          <w:szCs w:val="24"/>
        </w:rPr>
        <w:t>Su</w:t>
      </w:r>
      <w:proofErr w:type="spellEnd"/>
      <w:r w:rsidRPr="001F05AA">
        <w:rPr>
          <w:rFonts w:eastAsia="Times New Roman"/>
          <w:color w:val="000000"/>
          <w:sz w:val="24"/>
          <w:szCs w:val="24"/>
        </w:rPr>
        <w:t xml:space="preserve">, H., et al. (2020). Warming affects crustacean grazing pressure on phytoplankton by altering the vertical distribution in a stratified lake. </w:t>
      </w:r>
      <w:r w:rsidRPr="001F05AA">
        <w:rPr>
          <w:rFonts w:eastAsia="Times New Roman"/>
          <w:i/>
          <w:color w:val="000000"/>
          <w:sz w:val="24"/>
          <w:szCs w:val="24"/>
        </w:rPr>
        <w:t>Science of The Total Environment</w:t>
      </w:r>
      <w:r w:rsidRPr="001F05AA">
        <w:rPr>
          <w:rFonts w:eastAsia="Times New Roman"/>
          <w:color w:val="000000"/>
          <w:sz w:val="24"/>
          <w:szCs w:val="24"/>
        </w:rPr>
        <w:t xml:space="preserve">, </w:t>
      </w:r>
      <w:r w:rsidRPr="001F05AA">
        <w:rPr>
          <w:rFonts w:eastAsia="Times New Roman"/>
          <w:i/>
          <w:color w:val="000000"/>
          <w:sz w:val="24"/>
          <w:szCs w:val="24"/>
        </w:rPr>
        <w:t>734</w:t>
      </w:r>
      <w:r w:rsidRPr="001F05AA">
        <w:rPr>
          <w:rFonts w:eastAsia="Times New Roman"/>
          <w:color w:val="000000"/>
          <w:sz w:val="24"/>
          <w:szCs w:val="24"/>
        </w:rPr>
        <w:t>, 139195. https://doi.org/10.1016/j.scitotenv.2020.139195</w:t>
      </w:r>
    </w:p>
    <w:p w14:paraId="386C5745"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Wang, S., Qian, X., Han, B.-P., Luo, L.-C., &amp; Hamilton, D. P. (2012). Effects of local climate and hydrological conditions on the thermal regime of a reservoir at Tropic of Cancer, in southern China. </w:t>
      </w:r>
      <w:r w:rsidRPr="001F05AA">
        <w:rPr>
          <w:rFonts w:eastAsia="Times New Roman"/>
          <w:i/>
          <w:color w:val="000000"/>
          <w:sz w:val="24"/>
          <w:szCs w:val="24"/>
        </w:rPr>
        <w:t>Water Research</w:t>
      </w:r>
      <w:r w:rsidRPr="001F05AA">
        <w:rPr>
          <w:rFonts w:eastAsia="Times New Roman"/>
          <w:color w:val="000000"/>
          <w:sz w:val="24"/>
          <w:szCs w:val="24"/>
        </w:rPr>
        <w:t xml:space="preserve">, </w:t>
      </w:r>
      <w:r w:rsidRPr="001F05AA">
        <w:rPr>
          <w:rFonts w:eastAsia="Times New Roman"/>
          <w:i/>
          <w:color w:val="000000"/>
          <w:sz w:val="24"/>
          <w:szCs w:val="24"/>
        </w:rPr>
        <w:t>46</w:t>
      </w:r>
      <w:r w:rsidRPr="001F05AA">
        <w:rPr>
          <w:rFonts w:eastAsia="Times New Roman"/>
          <w:color w:val="000000"/>
          <w:sz w:val="24"/>
          <w:szCs w:val="24"/>
        </w:rPr>
        <w:t>(8), 2591–2604. https://doi.org/10.1016/j.watres.2012.02.014</w:t>
      </w:r>
    </w:p>
    <w:p w14:paraId="2F5CC8E9" w14:textId="77777777" w:rsidR="0006118D" w:rsidRPr="001F05AA" w:rsidRDefault="00000000" w:rsidP="00726BCB">
      <w:pPr>
        <w:pBdr>
          <w:top w:val="nil"/>
          <w:left w:val="nil"/>
          <w:bottom w:val="nil"/>
          <w:right w:val="nil"/>
          <w:between w:val="nil"/>
        </w:pBdr>
        <w:spacing w:before="120"/>
        <w:ind w:left="720" w:hanging="720"/>
        <w:rPr>
          <w:sz w:val="24"/>
          <w:szCs w:val="24"/>
        </w:rPr>
      </w:pPr>
      <w:r w:rsidRPr="00726BCB">
        <w:rPr>
          <w:rFonts w:eastAsia="Times New Roman"/>
          <w:color w:val="000000"/>
          <w:sz w:val="24"/>
          <w:szCs w:val="24"/>
        </w:rPr>
        <w:t>Watson</w:t>
      </w:r>
      <w:r w:rsidRPr="001F05AA">
        <w:rPr>
          <w:sz w:val="24"/>
          <w:szCs w:val="24"/>
        </w:rPr>
        <w:t>, S. B. (2004). Aquatic Taste and Odor: A Primary Signal of Drinking-Water Integrity. Journal of Toxicology and Environmental Health, Part A, 67(20–22), 1779–1795. https://doi.org/10.1080/15287390490492377</w:t>
      </w:r>
    </w:p>
    <w:p w14:paraId="15945A21" w14:textId="0D447B1F"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Wetzel, R. G. (2001). 6 </w:t>
      </w:r>
      <w:r w:rsidR="00726BCB">
        <w:rPr>
          <w:rFonts w:eastAsia="Times New Roman"/>
          <w:color w:val="000000"/>
          <w:sz w:val="24"/>
          <w:szCs w:val="24"/>
        </w:rPr>
        <w:t>–</w:t>
      </w:r>
      <w:r w:rsidRPr="001F05AA">
        <w:rPr>
          <w:rFonts w:eastAsia="Times New Roman"/>
          <w:color w:val="000000"/>
          <w:sz w:val="24"/>
          <w:szCs w:val="24"/>
        </w:rPr>
        <w:t xml:space="preserve"> </w:t>
      </w:r>
      <w:r w:rsidR="00726BCB">
        <w:rPr>
          <w:rFonts w:eastAsia="Times New Roman"/>
          <w:color w:val="000000"/>
          <w:sz w:val="24"/>
          <w:szCs w:val="24"/>
        </w:rPr>
        <w:t>Fate of Heat</w:t>
      </w:r>
      <w:r w:rsidRPr="001F05AA">
        <w:rPr>
          <w:rFonts w:eastAsia="Times New Roman"/>
          <w:color w:val="000000"/>
          <w:sz w:val="24"/>
          <w:szCs w:val="24"/>
        </w:rPr>
        <w:t xml:space="preserve">. In R. G. Wetzel (Ed.), </w:t>
      </w:r>
      <w:r w:rsidRPr="001F05AA">
        <w:rPr>
          <w:rFonts w:eastAsia="Times New Roman"/>
          <w:i/>
          <w:color w:val="000000"/>
          <w:sz w:val="24"/>
          <w:szCs w:val="24"/>
        </w:rPr>
        <w:t>Limnology (Third Edition)</w:t>
      </w:r>
      <w:r w:rsidRPr="001F05AA">
        <w:rPr>
          <w:rFonts w:eastAsia="Times New Roman"/>
          <w:color w:val="000000"/>
          <w:sz w:val="24"/>
          <w:szCs w:val="24"/>
        </w:rPr>
        <w:t xml:space="preserve"> (pp. 71–92). San Diego: Academic Press. https://doi.org/10.1016/B978-0-08-057439-4.50010-1</w:t>
      </w:r>
    </w:p>
    <w:p w14:paraId="77526267" w14:textId="77777777" w:rsidR="0006118D" w:rsidRPr="001F05AA" w:rsidRDefault="00000000" w:rsidP="00726BCB">
      <w:pPr>
        <w:pBdr>
          <w:top w:val="nil"/>
          <w:left w:val="nil"/>
          <w:bottom w:val="nil"/>
          <w:right w:val="nil"/>
          <w:between w:val="nil"/>
        </w:pBdr>
        <w:spacing w:before="120"/>
        <w:ind w:left="720" w:hanging="720"/>
        <w:rPr>
          <w:sz w:val="24"/>
          <w:szCs w:val="24"/>
        </w:rPr>
      </w:pPr>
      <w:r w:rsidRPr="00726BCB">
        <w:rPr>
          <w:rFonts w:eastAsia="Times New Roman"/>
          <w:color w:val="000000"/>
          <w:sz w:val="24"/>
          <w:szCs w:val="24"/>
        </w:rPr>
        <w:t>White</w:t>
      </w:r>
      <w:r w:rsidRPr="001F05AA">
        <w:rPr>
          <w:sz w:val="24"/>
          <w:szCs w:val="24"/>
        </w:rPr>
        <w:t xml:space="preserve">, M. S., </w:t>
      </w:r>
      <w:proofErr w:type="spellStart"/>
      <w:r w:rsidRPr="001F05AA">
        <w:rPr>
          <w:sz w:val="24"/>
          <w:szCs w:val="24"/>
        </w:rPr>
        <w:t>Xenopoulos</w:t>
      </w:r>
      <w:proofErr w:type="spellEnd"/>
      <w:r w:rsidRPr="001F05AA">
        <w:rPr>
          <w:sz w:val="24"/>
          <w:szCs w:val="24"/>
        </w:rPr>
        <w:t>, M. A., Metcalfe, R. A., &amp; Somers, K. M. (2010). On the role of natural water level fluctuation in structuring littoral benthic macroinvertebrate community composition in lakes. Limnology and Oceanography, 55(6), 2275–2284. https://doi.org/10.4319/lo.2010.55.6.2275</w:t>
      </w:r>
    </w:p>
    <w:p w14:paraId="2E95EF06" w14:textId="77777777" w:rsidR="0006118D" w:rsidRPr="001F05AA" w:rsidRDefault="00000000" w:rsidP="00726BCB">
      <w:pPr>
        <w:pBdr>
          <w:top w:val="nil"/>
          <w:left w:val="nil"/>
          <w:bottom w:val="nil"/>
          <w:right w:val="nil"/>
          <w:between w:val="nil"/>
        </w:pBdr>
        <w:spacing w:before="120"/>
        <w:ind w:left="720" w:hanging="720"/>
        <w:rPr>
          <w:sz w:val="24"/>
          <w:szCs w:val="24"/>
        </w:rPr>
      </w:pPr>
      <w:r w:rsidRPr="00726BCB">
        <w:rPr>
          <w:rFonts w:eastAsia="Times New Roman"/>
          <w:color w:val="000000"/>
          <w:sz w:val="24"/>
          <w:szCs w:val="24"/>
        </w:rPr>
        <w:t>White</w:t>
      </w:r>
      <w:r w:rsidRPr="001F05AA">
        <w:rPr>
          <w:sz w:val="24"/>
          <w:szCs w:val="24"/>
        </w:rPr>
        <w:t xml:space="preserve">, M. S., </w:t>
      </w:r>
      <w:proofErr w:type="spellStart"/>
      <w:r w:rsidRPr="001F05AA">
        <w:rPr>
          <w:sz w:val="24"/>
          <w:szCs w:val="24"/>
        </w:rPr>
        <w:t>Xenopoulos</w:t>
      </w:r>
      <w:proofErr w:type="spellEnd"/>
      <w:r w:rsidRPr="001F05AA">
        <w:rPr>
          <w:sz w:val="24"/>
          <w:szCs w:val="24"/>
        </w:rPr>
        <w:t>, M. A., Metcalfe, R. A., &amp; Somers, K. M. (2011). Water level thresholds of benthic macroinvertebrate richness, structure, and function of boreal lake stony littoral habitats. Canadian Journal of Fisheries and Aquatic Sciences, 68(10), 1695–1704. https://doi.org/10.1139/f2011-094</w:t>
      </w:r>
    </w:p>
    <w:p w14:paraId="48FF7858"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lastRenderedPageBreak/>
        <w:t xml:space="preserve">Wilson, H. L., Ayala, A. I., Jones, I. D., Rolston, A., Pierson, D., de </w:t>
      </w:r>
      <w:proofErr w:type="spellStart"/>
      <w:r w:rsidRPr="001F05AA">
        <w:rPr>
          <w:rFonts w:eastAsia="Times New Roman"/>
          <w:color w:val="000000"/>
          <w:sz w:val="24"/>
          <w:szCs w:val="24"/>
        </w:rPr>
        <w:t>Eyto</w:t>
      </w:r>
      <w:proofErr w:type="spellEnd"/>
      <w:r w:rsidRPr="001F05AA">
        <w:rPr>
          <w:rFonts w:eastAsia="Times New Roman"/>
          <w:color w:val="000000"/>
          <w:sz w:val="24"/>
          <w:szCs w:val="24"/>
        </w:rPr>
        <w:t xml:space="preserve">, E., et al. (2020). Variability in epilimnion depth estimations in lakes. </w:t>
      </w:r>
      <w:r w:rsidRPr="001F05AA">
        <w:rPr>
          <w:rFonts w:eastAsia="Times New Roman"/>
          <w:i/>
          <w:color w:val="000000"/>
          <w:sz w:val="24"/>
          <w:szCs w:val="24"/>
        </w:rPr>
        <w:t>Hydrology and Earth System Sciences</w:t>
      </w:r>
      <w:r w:rsidRPr="001F05AA">
        <w:rPr>
          <w:rFonts w:eastAsia="Times New Roman"/>
          <w:color w:val="000000"/>
          <w:sz w:val="24"/>
          <w:szCs w:val="24"/>
        </w:rPr>
        <w:t xml:space="preserve">, </w:t>
      </w:r>
      <w:r w:rsidRPr="001F05AA">
        <w:rPr>
          <w:rFonts w:eastAsia="Times New Roman"/>
          <w:i/>
          <w:color w:val="000000"/>
          <w:sz w:val="24"/>
          <w:szCs w:val="24"/>
        </w:rPr>
        <w:t>24</w:t>
      </w:r>
      <w:r w:rsidRPr="001F05AA">
        <w:rPr>
          <w:rFonts w:eastAsia="Times New Roman"/>
          <w:color w:val="000000"/>
          <w:sz w:val="24"/>
          <w:szCs w:val="24"/>
        </w:rPr>
        <w:t>(11), 5559–5577. https://doi.org/10.5194/hess-24-5559-2020</w:t>
      </w:r>
    </w:p>
    <w:p w14:paraId="0BB8A688"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Wu, T., Qin, B., Brookes, J. D., Shi, K., Zhu, G., Zhu, M., et al. (2015). The influence of changes in wind patterns on the areal extension of surface cyanobacterial blooms in a large shallow lake in China. </w:t>
      </w:r>
      <w:r w:rsidRPr="001F05AA">
        <w:rPr>
          <w:rFonts w:eastAsia="Times New Roman"/>
          <w:i/>
          <w:color w:val="000000"/>
          <w:sz w:val="24"/>
          <w:szCs w:val="24"/>
        </w:rPr>
        <w:t>Science of The Total Environment</w:t>
      </w:r>
      <w:r w:rsidRPr="001F05AA">
        <w:rPr>
          <w:rFonts w:eastAsia="Times New Roman"/>
          <w:color w:val="000000"/>
          <w:sz w:val="24"/>
          <w:szCs w:val="24"/>
        </w:rPr>
        <w:t xml:space="preserve">, </w:t>
      </w:r>
      <w:r w:rsidRPr="001F05AA">
        <w:rPr>
          <w:rFonts w:eastAsia="Times New Roman"/>
          <w:i/>
          <w:color w:val="000000"/>
          <w:sz w:val="24"/>
          <w:szCs w:val="24"/>
        </w:rPr>
        <w:t>518–519</w:t>
      </w:r>
      <w:r w:rsidRPr="001F05AA">
        <w:rPr>
          <w:rFonts w:eastAsia="Times New Roman"/>
          <w:color w:val="000000"/>
          <w:sz w:val="24"/>
          <w:szCs w:val="24"/>
        </w:rPr>
        <w:t>, 24–30. https://doi.org/10.1016/j.scitotenv.2015.02.090</w:t>
      </w:r>
    </w:p>
    <w:p w14:paraId="45D96BB9"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Yang, J., </w:t>
      </w:r>
      <w:proofErr w:type="spellStart"/>
      <w:r w:rsidRPr="001F05AA">
        <w:rPr>
          <w:rFonts w:eastAsia="Times New Roman"/>
          <w:color w:val="000000"/>
          <w:sz w:val="24"/>
          <w:szCs w:val="24"/>
        </w:rPr>
        <w:t>Lv</w:t>
      </w:r>
      <w:proofErr w:type="spellEnd"/>
      <w:r w:rsidRPr="001F05AA">
        <w:rPr>
          <w:rFonts w:eastAsia="Times New Roman"/>
          <w:color w:val="000000"/>
          <w:sz w:val="24"/>
          <w:szCs w:val="24"/>
        </w:rPr>
        <w:t xml:space="preserve">, H., Yang, J., Liu, L., Yu, X., &amp; Chen, H. (2016). Decline in water level boosts cyanobacteria dominance in subtropical reservoirs. </w:t>
      </w:r>
      <w:r w:rsidRPr="001F05AA">
        <w:rPr>
          <w:rFonts w:eastAsia="Times New Roman"/>
          <w:i/>
          <w:color w:val="000000"/>
          <w:sz w:val="24"/>
          <w:szCs w:val="24"/>
        </w:rPr>
        <w:t>Science of The Total Environment</w:t>
      </w:r>
      <w:r w:rsidRPr="001F05AA">
        <w:rPr>
          <w:rFonts w:eastAsia="Times New Roman"/>
          <w:color w:val="000000"/>
          <w:sz w:val="24"/>
          <w:szCs w:val="24"/>
        </w:rPr>
        <w:t xml:space="preserve">, </w:t>
      </w:r>
      <w:r w:rsidRPr="001F05AA">
        <w:rPr>
          <w:rFonts w:eastAsia="Times New Roman"/>
          <w:i/>
          <w:color w:val="000000"/>
          <w:sz w:val="24"/>
          <w:szCs w:val="24"/>
        </w:rPr>
        <w:t>557–558</w:t>
      </w:r>
      <w:r w:rsidRPr="001F05AA">
        <w:rPr>
          <w:rFonts w:eastAsia="Times New Roman"/>
          <w:color w:val="000000"/>
          <w:sz w:val="24"/>
          <w:szCs w:val="24"/>
        </w:rPr>
        <w:t>, 445–452. https://doi.org/10.1016/j.scitotenv.2016.03.094</w:t>
      </w:r>
    </w:p>
    <w:p w14:paraId="41067A83"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Yao, F., </w:t>
      </w:r>
      <w:proofErr w:type="spellStart"/>
      <w:r w:rsidRPr="001F05AA">
        <w:rPr>
          <w:rFonts w:eastAsia="Times New Roman"/>
          <w:color w:val="000000"/>
          <w:sz w:val="24"/>
          <w:szCs w:val="24"/>
        </w:rPr>
        <w:t>Livneh</w:t>
      </w:r>
      <w:proofErr w:type="spellEnd"/>
      <w:r w:rsidRPr="001F05AA">
        <w:rPr>
          <w:rFonts w:eastAsia="Times New Roman"/>
          <w:color w:val="000000"/>
          <w:sz w:val="24"/>
          <w:szCs w:val="24"/>
        </w:rPr>
        <w:t xml:space="preserve">, B., Rajagopalan, B., Wang, J., </w:t>
      </w:r>
      <w:proofErr w:type="spellStart"/>
      <w:r w:rsidRPr="001F05AA">
        <w:rPr>
          <w:rFonts w:eastAsia="Times New Roman"/>
          <w:color w:val="000000"/>
          <w:sz w:val="24"/>
          <w:szCs w:val="24"/>
        </w:rPr>
        <w:t>Crétaux</w:t>
      </w:r>
      <w:proofErr w:type="spellEnd"/>
      <w:r w:rsidRPr="001F05AA">
        <w:rPr>
          <w:rFonts w:eastAsia="Times New Roman"/>
          <w:color w:val="000000"/>
          <w:sz w:val="24"/>
          <w:szCs w:val="24"/>
        </w:rPr>
        <w:t xml:space="preserve">, J.-F., Wada, Y., &amp; Berge-Nguyen, M. (2023). Satellites reveal widespread decline in global lake water storage. </w:t>
      </w:r>
      <w:r w:rsidRPr="001F05AA">
        <w:rPr>
          <w:rFonts w:eastAsia="Times New Roman"/>
          <w:i/>
          <w:color w:val="000000"/>
          <w:sz w:val="24"/>
          <w:szCs w:val="24"/>
        </w:rPr>
        <w:t>Science</w:t>
      </w:r>
      <w:r w:rsidRPr="001F05AA">
        <w:rPr>
          <w:rFonts w:eastAsia="Times New Roman"/>
          <w:color w:val="000000"/>
          <w:sz w:val="24"/>
          <w:szCs w:val="24"/>
        </w:rPr>
        <w:t xml:space="preserve">, </w:t>
      </w:r>
      <w:r w:rsidRPr="001F05AA">
        <w:rPr>
          <w:rFonts w:eastAsia="Times New Roman"/>
          <w:i/>
          <w:color w:val="000000"/>
          <w:sz w:val="24"/>
          <w:szCs w:val="24"/>
        </w:rPr>
        <w:t>380</w:t>
      </w:r>
      <w:r w:rsidRPr="001F05AA">
        <w:rPr>
          <w:rFonts w:eastAsia="Times New Roman"/>
          <w:color w:val="000000"/>
          <w:sz w:val="24"/>
          <w:szCs w:val="24"/>
        </w:rPr>
        <w:t>(6646), 743–749. https://doi.org/10.1126/science.abo2812</w:t>
      </w:r>
    </w:p>
    <w:p w14:paraId="3096D96B"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Ye, Z., Liu, H., Chen, Y., Shu, S., Wu, Q., &amp; Wang, S. (2017). Analysis of water level variation of lakes and reservoirs in Xinjiang, China using </w:t>
      </w:r>
      <w:proofErr w:type="spellStart"/>
      <w:r w:rsidRPr="001F05AA">
        <w:rPr>
          <w:rFonts w:eastAsia="Times New Roman"/>
          <w:color w:val="000000"/>
          <w:sz w:val="24"/>
          <w:szCs w:val="24"/>
        </w:rPr>
        <w:t>ICESat</w:t>
      </w:r>
      <w:proofErr w:type="spellEnd"/>
      <w:r w:rsidRPr="001F05AA">
        <w:rPr>
          <w:rFonts w:eastAsia="Times New Roman"/>
          <w:color w:val="000000"/>
          <w:sz w:val="24"/>
          <w:szCs w:val="24"/>
        </w:rPr>
        <w:t xml:space="preserve"> laser altimetry data (2003–2009). </w:t>
      </w:r>
      <w:proofErr w:type="spellStart"/>
      <w:r w:rsidRPr="001F05AA">
        <w:rPr>
          <w:rFonts w:eastAsia="Times New Roman"/>
          <w:i/>
          <w:color w:val="000000"/>
          <w:sz w:val="24"/>
          <w:szCs w:val="24"/>
        </w:rPr>
        <w:t>PLoS</w:t>
      </w:r>
      <w:proofErr w:type="spellEnd"/>
      <w:r w:rsidRPr="001F05AA">
        <w:rPr>
          <w:rFonts w:eastAsia="Times New Roman"/>
          <w:i/>
          <w:color w:val="000000"/>
          <w:sz w:val="24"/>
          <w:szCs w:val="24"/>
        </w:rPr>
        <w:t xml:space="preserve"> ONE</w:t>
      </w:r>
      <w:r w:rsidRPr="001F05AA">
        <w:rPr>
          <w:rFonts w:eastAsia="Times New Roman"/>
          <w:color w:val="000000"/>
          <w:sz w:val="24"/>
          <w:szCs w:val="24"/>
        </w:rPr>
        <w:t xml:space="preserve">, </w:t>
      </w:r>
      <w:r w:rsidRPr="001F05AA">
        <w:rPr>
          <w:rFonts w:eastAsia="Times New Roman"/>
          <w:i/>
          <w:color w:val="000000"/>
          <w:sz w:val="24"/>
          <w:szCs w:val="24"/>
        </w:rPr>
        <w:t>12</w:t>
      </w:r>
      <w:r w:rsidRPr="001F05AA">
        <w:rPr>
          <w:rFonts w:eastAsia="Times New Roman"/>
          <w:color w:val="000000"/>
          <w:sz w:val="24"/>
          <w:szCs w:val="24"/>
        </w:rPr>
        <w:t>(9). https://doi.org/10.1371/journal.pone.0183800</w:t>
      </w:r>
    </w:p>
    <w:p w14:paraId="261FB1F1"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Zhang, M., Zhang, Y., Zhou, Y., Zhang, Y., Shi, K., &amp; Jiang, C. (2022). Influence of cyanobacterial bloom accumulation and dissipation on underwater light attenuation in a large and shallow lake. </w:t>
      </w:r>
      <w:r w:rsidRPr="001F05AA">
        <w:rPr>
          <w:rFonts w:eastAsia="Times New Roman"/>
          <w:i/>
          <w:color w:val="000000"/>
          <w:sz w:val="24"/>
          <w:szCs w:val="24"/>
        </w:rPr>
        <w:t>Environmental Science and Pollution Research</w:t>
      </w:r>
      <w:r w:rsidRPr="001F05AA">
        <w:rPr>
          <w:rFonts w:eastAsia="Times New Roman"/>
          <w:color w:val="000000"/>
          <w:sz w:val="24"/>
          <w:szCs w:val="24"/>
        </w:rPr>
        <w:t xml:space="preserve">, </w:t>
      </w:r>
      <w:r w:rsidRPr="001F05AA">
        <w:rPr>
          <w:rFonts w:eastAsia="Times New Roman"/>
          <w:i/>
          <w:color w:val="000000"/>
          <w:sz w:val="24"/>
          <w:szCs w:val="24"/>
        </w:rPr>
        <w:t>29</w:t>
      </w:r>
      <w:r w:rsidRPr="001F05AA">
        <w:rPr>
          <w:rFonts w:eastAsia="Times New Roman"/>
          <w:color w:val="000000"/>
          <w:sz w:val="24"/>
          <w:szCs w:val="24"/>
        </w:rPr>
        <w:t>(52), 79082–79094. https://doi.org/10.1007/s11356-022-21384-7</w:t>
      </w:r>
    </w:p>
    <w:p w14:paraId="28FA3CC0"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r w:rsidRPr="001F05AA">
        <w:rPr>
          <w:rFonts w:eastAsia="Times New Roman"/>
          <w:color w:val="000000"/>
          <w:sz w:val="24"/>
          <w:szCs w:val="24"/>
        </w:rPr>
        <w:t xml:space="preserve">Zhao, G., Li, Y., Zhou, L., &amp; Gao, H. (2022). Evaporative water loss of 1.42 million global lakes. </w:t>
      </w:r>
      <w:r w:rsidRPr="001F05AA">
        <w:rPr>
          <w:rFonts w:eastAsia="Times New Roman"/>
          <w:i/>
          <w:color w:val="000000"/>
          <w:sz w:val="24"/>
          <w:szCs w:val="24"/>
        </w:rPr>
        <w:t>Nature Communications</w:t>
      </w:r>
      <w:r w:rsidRPr="001F05AA">
        <w:rPr>
          <w:rFonts w:eastAsia="Times New Roman"/>
          <w:color w:val="000000"/>
          <w:sz w:val="24"/>
          <w:szCs w:val="24"/>
        </w:rPr>
        <w:t xml:space="preserve">, </w:t>
      </w:r>
      <w:r w:rsidRPr="001F05AA">
        <w:rPr>
          <w:rFonts w:eastAsia="Times New Roman"/>
          <w:i/>
          <w:color w:val="000000"/>
          <w:sz w:val="24"/>
          <w:szCs w:val="24"/>
        </w:rPr>
        <w:t>13</w:t>
      </w:r>
      <w:r w:rsidRPr="001F05AA">
        <w:rPr>
          <w:rFonts w:eastAsia="Times New Roman"/>
          <w:color w:val="000000"/>
          <w:sz w:val="24"/>
          <w:szCs w:val="24"/>
        </w:rPr>
        <w:t>(1), 3686. https://doi.org/10.1038/s41467-022-31125-6</w:t>
      </w:r>
    </w:p>
    <w:p w14:paraId="22F94F31" w14:textId="77777777" w:rsidR="0006118D" w:rsidRPr="001F05AA" w:rsidRDefault="00000000">
      <w:pPr>
        <w:pBdr>
          <w:top w:val="nil"/>
          <w:left w:val="nil"/>
          <w:bottom w:val="nil"/>
          <w:right w:val="nil"/>
          <w:between w:val="nil"/>
        </w:pBdr>
        <w:spacing w:before="120"/>
        <w:ind w:left="720" w:hanging="720"/>
        <w:rPr>
          <w:rFonts w:eastAsia="Times New Roman"/>
          <w:color w:val="000000"/>
          <w:sz w:val="24"/>
          <w:szCs w:val="24"/>
        </w:rPr>
      </w:pPr>
      <w:proofErr w:type="spellStart"/>
      <w:r w:rsidRPr="001F05AA">
        <w:rPr>
          <w:rFonts w:eastAsia="Times New Roman"/>
          <w:color w:val="000000"/>
          <w:sz w:val="24"/>
          <w:szCs w:val="24"/>
        </w:rPr>
        <w:t>Zohary</w:t>
      </w:r>
      <w:proofErr w:type="spellEnd"/>
      <w:r w:rsidRPr="001F05AA">
        <w:rPr>
          <w:rFonts w:eastAsia="Times New Roman"/>
          <w:color w:val="000000"/>
          <w:sz w:val="24"/>
          <w:szCs w:val="24"/>
        </w:rPr>
        <w:t xml:space="preserve">, T., &amp; Ostrovsky, I. (2011). Ecological impacts of excessive water level fluctuations in stratified freshwater lakes. </w:t>
      </w:r>
      <w:r w:rsidRPr="001F05AA">
        <w:rPr>
          <w:rFonts w:eastAsia="Times New Roman"/>
          <w:i/>
          <w:color w:val="000000"/>
          <w:sz w:val="24"/>
          <w:szCs w:val="24"/>
        </w:rPr>
        <w:t>Inland Waters</w:t>
      </w:r>
      <w:r w:rsidRPr="001F05AA">
        <w:rPr>
          <w:rFonts w:eastAsia="Times New Roman"/>
          <w:color w:val="000000"/>
          <w:sz w:val="24"/>
          <w:szCs w:val="24"/>
        </w:rPr>
        <w:t xml:space="preserve">, </w:t>
      </w:r>
      <w:r w:rsidRPr="001F05AA">
        <w:rPr>
          <w:rFonts w:eastAsia="Times New Roman"/>
          <w:i/>
          <w:color w:val="000000"/>
          <w:sz w:val="24"/>
          <w:szCs w:val="24"/>
        </w:rPr>
        <w:t>1</w:t>
      </w:r>
      <w:r w:rsidRPr="001F05AA">
        <w:rPr>
          <w:rFonts w:eastAsia="Times New Roman"/>
          <w:color w:val="000000"/>
          <w:sz w:val="24"/>
          <w:szCs w:val="24"/>
        </w:rPr>
        <w:t>(1), 47–59. https://doi.org/10.5268/IW-1.1.406</w:t>
      </w:r>
    </w:p>
    <w:p w14:paraId="515FE28B" w14:textId="77777777" w:rsidR="0006118D" w:rsidRPr="001F05AA" w:rsidRDefault="0006118D">
      <w:pPr>
        <w:pBdr>
          <w:top w:val="nil"/>
          <w:left w:val="nil"/>
          <w:bottom w:val="nil"/>
          <w:right w:val="nil"/>
          <w:between w:val="nil"/>
        </w:pBdr>
        <w:spacing w:before="120"/>
        <w:ind w:left="720" w:hanging="720"/>
        <w:rPr>
          <w:rFonts w:eastAsia="Times New Roman"/>
          <w:color w:val="000000"/>
          <w:sz w:val="24"/>
          <w:szCs w:val="24"/>
        </w:rPr>
      </w:pPr>
    </w:p>
    <w:sectPr w:rsidR="0006118D" w:rsidRPr="001F05AA" w:rsidSect="005901D1">
      <w:headerReference w:type="default" r:id="rId15"/>
      <w:footerReference w:type="even" r:id="rId16"/>
      <w:footerReference w:type="default" r:id="rId17"/>
      <w:headerReference w:type="first" r:id="rId18"/>
      <w:pgSz w:w="12240" w:h="15840"/>
      <w:pgMar w:top="1440" w:right="1440" w:bottom="1449" w:left="1440" w:header="432" w:footer="720" w:gutter="0"/>
      <w:lnNumType w:countBy="1" w:restart="continuous"/>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FA0E66" w14:textId="77777777" w:rsidR="005901D1" w:rsidRDefault="005901D1">
      <w:r>
        <w:separator/>
      </w:r>
    </w:p>
  </w:endnote>
  <w:endnote w:type="continuationSeparator" w:id="0">
    <w:p w14:paraId="6C5D357C" w14:textId="77777777" w:rsidR="005901D1" w:rsidRDefault="005901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Gungsuh">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4FD326" w14:textId="77777777" w:rsidR="0006118D" w:rsidRDefault="00000000">
    <w:pPr>
      <w:pBdr>
        <w:top w:val="nil"/>
        <w:left w:val="nil"/>
        <w:bottom w:val="nil"/>
        <w:right w:val="nil"/>
        <w:between w:val="nil"/>
      </w:pBdr>
      <w:tabs>
        <w:tab w:val="center" w:pos="4680"/>
        <w:tab w:val="right" w:pos="9360"/>
      </w:tabs>
      <w:jc w:val="right"/>
      <w:rPr>
        <w:rFonts w:eastAsia="Times New Roman"/>
        <w:color w:val="000000"/>
      </w:rPr>
    </w:pPr>
    <w:r>
      <w:rPr>
        <w:rFonts w:eastAsia="Times New Roman"/>
        <w:color w:val="000000"/>
      </w:rPr>
      <w:fldChar w:fldCharType="begin"/>
    </w:r>
    <w:r>
      <w:rPr>
        <w:rFonts w:eastAsia="Times New Roman"/>
        <w:color w:val="000000"/>
      </w:rPr>
      <w:instrText>PAGE</w:instrText>
    </w:r>
    <w:r>
      <w:rPr>
        <w:rFonts w:eastAsia="Times New Roman"/>
        <w:color w:val="000000"/>
      </w:rPr>
      <w:fldChar w:fldCharType="separate"/>
    </w:r>
    <w:r>
      <w:rPr>
        <w:rFonts w:eastAsia="Times New Roman"/>
        <w:color w:val="000000"/>
      </w:rPr>
      <w:fldChar w:fldCharType="end"/>
    </w:r>
  </w:p>
  <w:p w14:paraId="6F64630B" w14:textId="77777777" w:rsidR="0006118D" w:rsidRDefault="0006118D">
    <w:pPr>
      <w:pBdr>
        <w:top w:val="nil"/>
        <w:left w:val="nil"/>
        <w:bottom w:val="nil"/>
        <w:right w:val="nil"/>
        <w:between w:val="nil"/>
      </w:pBdr>
      <w:tabs>
        <w:tab w:val="center" w:pos="4680"/>
        <w:tab w:val="right" w:pos="9360"/>
      </w:tabs>
      <w:ind w:right="360"/>
      <w:rPr>
        <w:rFonts w:eastAsia="Times New Roman"/>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B136BE" w14:textId="77777777" w:rsidR="0006118D" w:rsidRDefault="00000000">
    <w:pPr>
      <w:pBdr>
        <w:top w:val="nil"/>
        <w:left w:val="nil"/>
        <w:bottom w:val="nil"/>
        <w:right w:val="nil"/>
        <w:between w:val="nil"/>
      </w:pBdr>
      <w:tabs>
        <w:tab w:val="center" w:pos="4680"/>
        <w:tab w:val="right" w:pos="9360"/>
      </w:tabs>
      <w:jc w:val="right"/>
      <w:rPr>
        <w:rFonts w:eastAsia="Times New Roman"/>
        <w:color w:val="000000"/>
      </w:rPr>
    </w:pPr>
    <w:r>
      <w:rPr>
        <w:rFonts w:eastAsia="Times New Roman"/>
        <w:color w:val="000000"/>
      </w:rPr>
      <w:fldChar w:fldCharType="begin"/>
    </w:r>
    <w:r>
      <w:rPr>
        <w:rFonts w:eastAsia="Times New Roman"/>
        <w:color w:val="000000"/>
      </w:rPr>
      <w:instrText>PAGE</w:instrText>
    </w:r>
    <w:r>
      <w:rPr>
        <w:rFonts w:eastAsia="Times New Roman"/>
        <w:color w:val="000000"/>
      </w:rPr>
      <w:fldChar w:fldCharType="separate"/>
    </w:r>
    <w:r w:rsidR="00A1583E">
      <w:rPr>
        <w:rFonts w:eastAsia="Times New Roman"/>
        <w:noProof/>
        <w:color w:val="000000"/>
      </w:rPr>
      <w:t>1</w:t>
    </w:r>
    <w:r>
      <w:rPr>
        <w:rFonts w:eastAsia="Times New Roman"/>
        <w:color w:val="000000"/>
      </w:rPr>
      <w:fldChar w:fldCharType="end"/>
    </w:r>
  </w:p>
  <w:p w14:paraId="058DCDA6" w14:textId="77777777" w:rsidR="0006118D" w:rsidRDefault="0006118D">
    <w:pPr>
      <w:pBdr>
        <w:top w:val="nil"/>
        <w:left w:val="nil"/>
        <w:bottom w:val="nil"/>
        <w:right w:val="nil"/>
        <w:between w:val="nil"/>
      </w:pBdr>
      <w:tabs>
        <w:tab w:val="center" w:pos="4680"/>
        <w:tab w:val="right" w:pos="9360"/>
      </w:tabs>
      <w:ind w:right="360"/>
      <w:jc w:val="center"/>
      <w:rPr>
        <w:rFonts w:eastAsia="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1E77D6" w14:textId="77777777" w:rsidR="005901D1" w:rsidRDefault="005901D1">
      <w:r>
        <w:separator/>
      </w:r>
    </w:p>
  </w:footnote>
  <w:footnote w:type="continuationSeparator" w:id="0">
    <w:p w14:paraId="7B671966" w14:textId="77777777" w:rsidR="005901D1" w:rsidRDefault="005901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A65E09" w14:textId="77777777" w:rsidR="0006118D" w:rsidRDefault="00000000">
    <w:pPr>
      <w:pBdr>
        <w:top w:val="nil"/>
        <w:left w:val="nil"/>
        <w:bottom w:val="nil"/>
        <w:right w:val="nil"/>
        <w:between w:val="nil"/>
      </w:pBdr>
      <w:tabs>
        <w:tab w:val="center" w:pos="4680"/>
        <w:tab w:val="right" w:pos="9360"/>
      </w:tabs>
      <w:jc w:val="center"/>
      <w:rPr>
        <w:rFonts w:eastAsia="Times New Roman"/>
        <w:color w:val="000000"/>
      </w:rPr>
    </w:pPr>
    <w:r>
      <w:rPr>
        <w:rFonts w:eastAsia="Times New Roman"/>
        <w:color w:val="000000"/>
      </w:rPr>
      <w:t xml:space="preserve">manuscript submitted to </w:t>
    </w:r>
    <w:r>
      <w:rPr>
        <w:rFonts w:eastAsia="Times New Roman"/>
        <w:i/>
        <w:color w:val="000000"/>
      </w:rPr>
      <w:t>JGR Biogeosciences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B66AC9" w14:textId="77777777" w:rsidR="0006118D" w:rsidRDefault="00000000">
    <w:pPr>
      <w:pBdr>
        <w:top w:val="nil"/>
        <w:left w:val="nil"/>
        <w:bottom w:val="nil"/>
        <w:right w:val="nil"/>
        <w:between w:val="nil"/>
      </w:pBdr>
      <w:tabs>
        <w:tab w:val="center" w:pos="4680"/>
        <w:tab w:val="right" w:pos="9360"/>
      </w:tabs>
      <w:jc w:val="center"/>
      <w:rPr>
        <w:rFonts w:eastAsia="Times New Roman"/>
        <w:color w:val="000000"/>
      </w:rPr>
    </w:pPr>
    <w:r>
      <w:rPr>
        <w:rFonts w:eastAsia="Times New Roman"/>
        <w:color w:val="000000"/>
      </w:rPr>
      <w:t xml:space="preserve">Confidential manuscript submitted to </w:t>
    </w:r>
    <w:r>
      <w:rPr>
        <w:rFonts w:eastAsia="Times New Roman"/>
        <w:i/>
        <w:color w:val="000000"/>
      </w:rPr>
      <w:t>replace this text with name of 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134DD"/>
    <w:multiLevelType w:val="multilevel"/>
    <w:tmpl w:val="86725EB8"/>
    <w:lvl w:ilvl="0">
      <w:start w:val="1"/>
      <w:numFmt w:val="bullet"/>
      <w:lvlText w:val="●"/>
      <w:lvlJc w:val="left"/>
      <w:pPr>
        <w:ind w:left="720" w:hanging="360"/>
      </w:pPr>
      <w:rPr>
        <w:rFonts w:ascii="Noto Sans Symbols" w:eastAsia="Noto Sans Symbols" w:hAnsi="Noto Sans Symbols" w:cs="Noto Sans Symbols"/>
        <w:color w:val="000000"/>
        <w:u w:val="no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7036025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6"/>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118D"/>
    <w:rsid w:val="0006118D"/>
    <w:rsid w:val="000F4D04"/>
    <w:rsid w:val="0010627B"/>
    <w:rsid w:val="00155131"/>
    <w:rsid w:val="0019614C"/>
    <w:rsid w:val="001C1DBF"/>
    <w:rsid w:val="001F05AA"/>
    <w:rsid w:val="002F4C78"/>
    <w:rsid w:val="00547D28"/>
    <w:rsid w:val="005901D1"/>
    <w:rsid w:val="005D0D89"/>
    <w:rsid w:val="005F7CA4"/>
    <w:rsid w:val="006663A6"/>
    <w:rsid w:val="0071791C"/>
    <w:rsid w:val="00726BCB"/>
    <w:rsid w:val="00797189"/>
    <w:rsid w:val="00882679"/>
    <w:rsid w:val="009C3965"/>
    <w:rsid w:val="00A1583E"/>
    <w:rsid w:val="00AA1102"/>
    <w:rsid w:val="00AB42CD"/>
    <w:rsid w:val="00B34DE7"/>
    <w:rsid w:val="00D168A0"/>
    <w:rsid w:val="00D82B10"/>
    <w:rsid w:val="00DF553F"/>
    <w:rsid w:val="00F227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511B553B"/>
  <w15:docId w15:val="{6019B38D-63BB-6B45-805C-5C95B84977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6077"/>
    <w:rPr>
      <w:rFonts w:eastAsia="Calibri"/>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link w:val="Heading2Char"/>
    <w:uiPriority w:val="9"/>
    <w:semiHidden/>
    <w:unhideWhenUsed/>
    <w:qFormat/>
    <w:rsid w:val="00657D4E"/>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657D4E"/>
    <w:pPr>
      <w:keepNext/>
      <w:keepLines/>
      <w:spacing w:line="480" w:lineRule="auto"/>
      <w:outlineLvl w:val="2"/>
    </w:pPr>
    <w:rPr>
      <w:rFonts w:eastAsia="Times New Roman"/>
      <w:sz w:val="24"/>
      <w:szCs w:val="24"/>
    </w:rPr>
  </w:style>
  <w:style w:type="paragraph" w:styleId="Heading4">
    <w:name w:val="heading 4"/>
    <w:basedOn w:val="Normal"/>
    <w:next w:val="Normal"/>
    <w:link w:val="Heading4Char"/>
    <w:uiPriority w:val="9"/>
    <w:semiHidden/>
    <w:unhideWhenUsed/>
    <w:qFormat/>
    <w:rsid w:val="004A402A"/>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sz w:val="24"/>
      <w:szCs w:val="24"/>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sz w:val="24"/>
      <w:szCs w:val="24"/>
    </w:rPr>
  </w:style>
  <w:style w:type="paragraph" w:customStyle="1" w:styleId="Text">
    <w:name w:val="Text"/>
    <w:basedOn w:val="Normal"/>
    <w:rsid w:val="008A6077"/>
    <w:pPr>
      <w:spacing w:before="120"/>
      <w:ind w:firstLine="720"/>
    </w:pPr>
    <w:rPr>
      <w:rFonts w:eastAsia="Times New Roman"/>
      <w:sz w:val="24"/>
      <w:szCs w:val="24"/>
    </w:rPr>
  </w:style>
  <w:style w:type="paragraph" w:customStyle="1" w:styleId="FigureorTableCaption">
    <w:name w:val="Figure or Table Caption"/>
    <w:basedOn w:val="Normal"/>
    <w:rsid w:val="008A6077"/>
    <w:pPr>
      <w:keepNext/>
      <w:spacing w:before="240"/>
      <w:outlineLvl w:val="0"/>
    </w:pPr>
    <w:rPr>
      <w:rFonts w:eastAsia="Times New Roman"/>
      <w:kern w:val="28"/>
      <w:sz w:val="24"/>
      <w:szCs w:val="24"/>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sz w:val="24"/>
      <w:szCs w:val="24"/>
    </w:rPr>
  </w:style>
  <w:style w:type="paragraph" w:customStyle="1" w:styleId="Abstract">
    <w:name w:val="Abstract"/>
    <w:basedOn w:val="Normal"/>
    <w:qFormat/>
    <w:rsid w:val="00400425"/>
    <w:pPr>
      <w:spacing w:before="120"/>
    </w:pPr>
    <w:rPr>
      <w:rFonts w:eastAsia="Times New Roman"/>
      <w:sz w:val="24"/>
      <w:szCs w:val="24"/>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semiHidden/>
    <w:unhideWhenUsed/>
    <w:rsid w:val="002F3B11"/>
    <w:rPr>
      <w:sz w:val="24"/>
      <w:szCs w:val="24"/>
    </w:rPr>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styleId="UnresolvedMention">
    <w:name w:val="Unresolved Mention"/>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character" w:styleId="LineNumber">
    <w:name w:val="line number"/>
    <w:basedOn w:val="DefaultParagraphFont"/>
    <w:uiPriority w:val="99"/>
    <w:semiHidden/>
    <w:unhideWhenUsed/>
    <w:rsid w:val="00BD47BB"/>
  </w:style>
  <w:style w:type="character" w:customStyle="1" w:styleId="Heading3Char">
    <w:name w:val="Heading 3 Char"/>
    <w:basedOn w:val="DefaultParagraphFont"/>
    <w:link w:val="Heading3"/>
    <w:uiPriority w:val="9"/>
    <w:rsid w:val="00657D4E"/>
    <w:rPr>
      <w:rFonts w:ascii="Times New Roman" w:eastAsia="Times New Roman" w:hAnsi="Times New Roman" w:cs="Times New Roman"/>
      <w:lang w:val="en"/>
    </w:rPr>
  </w:style>
  <w:style w:type="character" w:customStyle="1" w:styleId="Heading2Char">
    <w:name w:val="Heading 2 Char"/>
    <w:basedOn w:val="DefaultParagraphFont"/>
    <w:link w:val="Heading2"/>
    <w:uiPriority w:val="9"/>
    <w:semiHidden/>
    <w:rsid w:val="00657D4E"/>
    <w:rPr>
      <w:rFonts w:asciiTheme="majorHAnsi" w:eastAsiaTheme="majorEastAsia" w:hAnsiTheme="majorHAnsi" w:cstheme="majorBidi"/>
      <w:color w:val="2E74B5" w:themeColor="accent1" w:themeShade="BF"/>
      <w:sz w:val="26"/>
      <w:szCs w:val="26"/>
    </w:rPr>
  </w:style>
  <w:style w:type="character" w:customStyle="1" w:styleId="Heading4Char">
    <w:name w:val="Heading 4 Char"/>
    <w:basedOn w:val="DefaultParagraphFont"/>
    <w:link w:val="Heading4"/>
    <w:uiPriority w:val="9"/>
    <w:semiHidden/>
    <w:rsid w:val="004A402A"/>
    <w:rPr>
      <w:rFonts w:asciiTheme="majorHAnsi" w:eastAsiaTheme="majorEastAsia" w:hAnsiTheme="majorHAnsi" w:cstheme="majorBidi"/>
      <w:i/>
      <w:iCs/>
      <w:color w:val="2E74B5" w:themeColor="accent1" w:themeShade="BF"/>
      <w:sz w:val="20"/>
      <w:szCs w:val="20"/>
    </w:rPr>
  </w:style>
  <w:style w:type="paragraph" w:styleId="Bibliography">
    <w:name w:val="Bibliography"/>
    <w:basedOn w:val="Normal"/>
    <w:next w:val="Normal"/>
    <w:uiPriority w:val="37"/>
    <w:unhideWhenUsed/>
    <w:rsid w:val="004D0936"/>
    <w:pPr>
      <w:spacing w:line="480" w:lineRule="auto"/>
      <w:ind w:left="720" w:hanging="720"/>
    </w:p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rPr>
      <w:rFonts w:ascii="Times New Roman" w:eastAsia="Calibri" w:hAnsi="Times New Roman" w:cs="Times New Roman"/>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177C67"/>
    <w:rPr>
      <w:b/>
      <w:bCs/>
    </w:rPr>
  </w:style>
  <w:style w:type="character" w:customStyle="1" w:styleId="CommentSubjectChar">
    <w:name w:val="Comment Subject Char"/>
    <w:basedOn w:val="CommentTextChar"/>
    <w:link w:val="CommentSubject"/>
    <w:uiPriority w:val="99"/>
    <w:semiHidden/>
    <w:rsid w:val="00177C67"/>
    <w:rPr>
      <w:rFonts w:ascii="Times New Roman" w:eastAsia="Calibri" w:hAnsi="Times New Roman" w:cs="Times New Roman"/>
      <w:b/>
      <w:bCs/>
      <w:sz w:val="20"/>
      <w:szCs w:val="20"/>
    </w:rPr>
  </w:style>
  <w:style w:type="character" w:styleId="PageNumber">
    <w:name w:val="page number"/>
    <w:basedOn w:val="DefaultParagraphFont"/>
    <w:uiPriority w:val="99"/>
    <w:semiHidden/>
    <w:unhideWhenUsed/>
    <w:rsid w:val="00804448"/>
  </w:style>
  <w:style w:type="paragraph" w:styleId="Revision">
    <w:name w:val="Revision"/>
    <w:hidden/>
    <w:uiPriority w:val="99"/>
    <w:semiHidden/>
    <w:rsid w:val="00BC47EF"/>
    <w:rPr>
      <w:rFonts w:eastAsia="Calibri"/>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016036">
      <w:bodyDiv w:val="1"/>
      <w:marLeft w:val="0"/>
      <w:marRight w:val="0"/>
      <w:marTop w:val="0"/>
      <w:marBottom w:val="0"/>
      <w:divBdr>
        <w:top w:val="none" w:sz="0" w:space="0" w:color="auto"/>
        <w:left w:val="none" w:sz="0" w:space="0" w:color="auto"/>
        <w:bottom w:val="none" w:sz="0" w:space="0" w:color="auto"/>
        <w:right w:val="none" w:sz="0" w:space="0" w:color="auto"/>
      </w:divBdr>
      <w:divsChild>
        <w:div w:id="1071079207">
          <w:marLeft w:val="480"/>
          <w:marRight w:val="0"/>
          <w:marTop w:val="0"/>
          <w:marBottom w:val="0"/>
          <w:divBdr>
            <w:top w:val="none" w:sz="0" w:space="0" w:color="auto"/>
            <w:left w:val="none" w:sz="0" w:space="0" w:color="auto"/>
            <w:bottom w:val="none" w:sz="0" w:space="0" w:color="auto"/>
            <w:right w:val="none" w:sz="0" w:space="0" w:color="auto"/>
          </w:divBdr>
          <w:divsChild>
            <w:div w:id="155735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57914">
      <w:bodyDiv w:val="1"/>
      <w:marLeft w:val="0"/>
      <w:marRight w:val="0"/>
      <w:marTop w:val="0"/>
      <w:marBottom w:val="0"/>
      <w:divBdr>
        <w:top w:val="none" w:sz="0" w:space="0" w:color="auto"/>
        <w:left w:val="none" w:sz="0" w:space="0" w:color="auto"/>
        <w:bottom w:val="none" w:sz="0" w:space="0" w:color="auto"/>
        <w:right w:val="none" w:sz="0" w:space="0" w:color="auto"/>
      </w:divBdr>
      <w:divsChild>
        <w:div w:id="1535652634">
          <w:marLeft w:val="480"/>
          <w:marRight w:val="0"/>
          <w:marTop w:val="0"/>
          <w:marBottom w:val="0"/>
          <w:divBdr>
            <w:top w:val="none" w:sz="0" w:space="0" w:color="auto"/>
            <w:left w:val="none" w:sz="0" w:space="0" w:color="auto"/>
            <w:bottom w:val="none" w:sz="0" w:space="0" w:color="auto"/>
            <w:right w:val="none" w:sz="0" w:space="0" w:color="auto"/>
          </w:divBdr>
          <w:divsChild>
            <w:div w:id="1005523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3677718">
      <w:bodyDiv w:val="1"/>
      <w:marLeft w:val="0"/>
      <w:marRight w:val="0"/>
      <w:marTop w:val="0"/>
      <w:marBottom w:val="0"/>
      <w:divBdr>
        <w:top w:val="none" w:sz="0" w:space="0" w:color="auto"/>
        <w:left w:val="none" w:sz="0" w:space="0" w:color="auto"/>
        <w:bottom w:val="none" w:sz="0" w:space="0" w:color="auto"/>
        <w:right w:val="none" w:sz="0" w:space="0" w:color="auto"/>
      </w:divBdr>
      <w:divsChild>
        <w:div w:id="598679781">
          <w:marLeft w:val="480"/>
          <w:marRight w:val="0"/>
          <w:marTop w:val="0"/>
          <w:marBottom w:val="0"/>
          <w:divBdr>
            <w:top w:val="none" w:sz="0" w:space="0" w:color="auto"/>
            <w:left w:val="none" w:sz="0" w:space="0" w:color="auto"/>
            <w:bottom w:val="none" w:sz="0" w:space="0" w:color="auto"/>
            <w:right w:val="none" w:sz="0" w:space="0" w:color="auto"/>
          </w:divBdr>
          <w:divsChild>
            <w:div w:id="81996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1454748">
      <w:bodyDiv w:val="1"/>
      <w:marLeft w:val="0"/>
      <w:marRight w:val="0"/>
      <w:marTop w:val="0"/>
      <w:marBottom w:val="0"/>
      <w:divBdr>
        <w:top w:val="none" w:sz="0" w:space="0" w:color="auto"/>
        <w:left w:val="none" w:sz="0" w:space="0" w:color="auto"/>
        <w:bottom w:val="none" w:sz="0" w:space="0" w:color="auto"/>
        <w:right w:val="none" w:sz="0" w:space="0" w:color="auto"/>
      </w:divBdr>
      <w:divsChild>
        <w:div w:id="972174634">
          <w:marLeft w:val="480"/>
          <w:marRight w:val="0"/>
          <w:marTop w:val="0"/>
          <w:marBottom w:val="0"/>
          <w:divBdr>
            <w:top w:val="none" w:sz="0" w:space="0" w:color="auto"/>
            <w:left w:val="none" w:sz="0" w:space="0" w:color="auto"/>
            <w:bottom w:val="none" w:sz="0" w:space="0" w:color="auto"/>
            <w:right w:val="none" w:sz="0" w:space="0" w:color="auto"/>
          </w:divBdr>
          <w:divsChild>
            <w:div w:id="556629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254673">
      <w:bodyDiv w:val="1"/>
      <w:marLeft w:val="0"/>
      <w:marRight w:val="0"/>
      <w:marTop w:val="0"/>
      <w:marBottom w:val="0"/>
      <w:divBdr>
        <w:top w:val="none" w:sz="0" w:space="0" w:color="auto"/>
        <w:left w:val="none" w:sz="0" w:space="0" w:color="auto"/>
        <w:bottom w:val="none" w:sz="0" w:space="0" w:color="auto"/>
        <w:right w:val="none" w:sz="0" w:space="0" w:color="auto"/>
      </w:divBdr>
      <w:divsChild>
        <w:div w:id="1732070186">
          <w:marLeft w:val="480"/>
          <w:marRight w:val="0"/>
          <w:marTop w:val="0"/>
          <w:marBottom w:val="0"/>
          <w:divBdr>
            <w:top w:val="none" w:sz="0" w:space="0" w:color="auto"/>
            <w:left w:val="none" w:sz="0" w:space="0" w:color="auto"/>
            <w:bottom w:val="none" w:sz="0" w:space="0" w:color="auto"/>
            <w:right w:val="none" w:sz="0" w:space="0" w:color="auto"/>
          </w:divBdr>
          <w:divsChild>
            <w:div w:id="1645112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438698">
      <w:bodyDiv w:val="1"/>
      <w:marLeft w:val="0"/>
      <w:marRight w:val="0"/>
      <w:marTop w:val="0"/>
      <w:marBottom w:val="0"/>
      <w:divBdr>
        <w:top w:val="none" w:sz="0" w:space="0" w:color="auto"/>
        <w:left w:val="none" w:sz="0" w:space="0" w:color="auto"/>
        <w:bottom w:val="none" w:sz="0" w:space="0" w:color="auto"/>
        <w:right w:val="none" w:sz="0" w:space="0" w:color="auto"/>
      </w:divBdr>
      <w:divsChild>
        <w:div w:id="798106081">
          <w:marLeft w:val="480"/>
          <w:marRight w:val="0"/>
          <w:marTop w:val="0"/>
          <w:marBottom w:val="0"/>
          <w:divBdr>
            <w:top w:val="none" w:sz="0" w:space="0" w:color="auto"/>
            <w:left w:val="none" w:sz="0" w:space="0" w:color="auto"/>
            <w:bottom w:val="none" w:sz="0" w:space="0" w:color="auto"/>
            <w:right w:val="none" w:sz="0" w:space="0" w:color="auto"/>
          </w:divBdr>
          <w:divsChild>
            <w:div w:id="238254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017667">
      <w:bodyDiv w:val="1"/>
      <w:marLeft w:val="0"/>
      <w:marRight w:val="0"/>
      <w:marTop w:val="0"/>
      <w:marBottom w:val="0"/>
      <w:divBdr>
        <w:top w:val="none" w:sz="0" w:space="0" w:color="auto"/>
        <w:left w:val="none" w:sz="0" w:space="0" w:color="auto"/>
        <w:bottom w:val="none" w:sz="0" w:space="0" w:color="auto"/>
        <w:right w:val="none" w:sz="0" w:space="0" w:color="auto"/>
      </w:divBdr>
      <w:divsChild>
        <w:div w:id="259216385">
          <w:marLeft w:val="480"/>
          <w:marRight w:val="0"/>
          <w:marTop w:val="0"/>
          <w:marBottom w:val="0"/>
          <w:divBdr>
            <w:top w:val="none" w:sz="0" w:space="0" w:color="auto"/>
            <w:left w:val="none" w:sz="0" w:space="0" w:color="auto"/>
            <w:bottom w:val="none" w:sz="0" w:space="0" w:color="auto"/>
            <w:right w:val="none" w:sz="0" w:space="0" w:color="auto"/>
          </w:divBdr>
          <w:divsChild>
            <w:div w:id="1029837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775998">
      <w:bodyDiv w:val="1"/>
      <w:marLeft w:val="0"/>
      <w:marRight w:val="0"/>
      <w:marTop w:val="0"/>
      <w:marBottom w:val="0"/>
      <w:divBdr>
        <w:top w:val="none" w:sz="0" w:space="0" w:color="auto"/>
        <w:left w:val="none" w:sz="0" w:space="0" w:color="auto"/>
        <w:bottom w:val="none" w:sz="0" w:space="0" w:color="auto"/>
        <w:right w:val="none" w:sz="0" w:space="0" w:color="auto"/>
      </w:divBdr>
      <w:divsChild>
        <w:div w:id="748505376">
          <w:marLeft w:val="480"/>
          <w:marRight w:val="0"/>
          <w:marTop w:val="0"/>
          <w:marBottom w:val="0"/>
          <w:divBdr>
            <w:top w:val="none" w:sz="0" w:space="0" w:color="auto"/>
            <w:left w:val="none" w:sz="0" w:space="0" w:color="auto"/>
            <w:bottom w:val="none" w:sz="0" w:space="0" w:color="auto"/>
            <w:right w:val="none" w:sz="0" w:space="0" w:color="auto"/>
          </w:divBdr>
          <w:divsChild>
            <w:div w:id="459999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008346">
      <w:bodyDiv w:val="1"/>
      <w:marLeft w:val="0"/>
      <w:marRight w:val="0"/>
      <w:marTop w:val="0"/>
      <w:marBottom w:val="0"/>
      <w:divBdr>
        <w:top w:val="none" w:sz="0" w:space="0" w:color="auto"/>
        <w:left w:val="none" w:sz="0" w:space="0" w:color="auto"/>
        <w:bottom w:val="none" w:sz="0" w:space="0" w:color="auto"/>
        <w:right w:val="none" w:sz="0" w:space="0" w:color="auto"/>
      </w:divBdr>
      <w:divsChild>
        <w:div w:id="919603367">
          <w:marLeft w:val="480"/>
          <w:marRight w:val="0"/>
          <w:marTop w:val="0"/>
          <w:marBottom w:val="0"/>
          <w:divBdr>
            <w:top w:val="none" w:sz="0" w:space="0" w:color="auto"/>
            <w:left w:val="none" w:sz="0" w:space="0" w:color="auto"/>
            <w:bottom w:val="none" w:sz="0" w:space="0" w:color="auto"/>
            <w:right w:val="none" w:sz="0" w:space="0" w:color="auto"/>
          </w:divBdr>
          <w:divsChild>
            <w:div w:id="623121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DygO8YkR9W3flg/oeJRpYqM80Q==">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35</Pages>
  <Words>14677</Words>
  <Characters>83665</Characters>
  <Application>Microsoft Office Word</Application>
  <DocSecurity>0</DocSecurity>
  <Lines>697</Lines>
  <Paragraphs>196</Paragraphs>
  <ScaleCrop>false</ScaleCrop>
  <Company/>
  <LinksUpToDate>false</LinksUpToDate>
  <CharactersWithSpaces>98146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Brooks Hanson</dc:creator>
  <cp:lastModifiedBy>Abby Lewis</cp:lastModifiedBy>
  <cp:revision>13</cp:revision>
  <dcterms:created xsi:type="dcterms:W3CDTF">2024-01-26T15:48:00Z</dcterms:created>
  <dcterms:modified xsi:type="dcterms:W3CDTF">2024-01-29T16:11:00Z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zotero-version="6.0.27"&gt;&lt;session id="S7gGNaNT"/&gt;&lt;style id="http://www.zotero.org/styles/american-geophysical-union-asl" hasBibliography="1" bibliographyStyleHasBeenSet="1"/&gt;&lt;prefs&gt;&lt;pref name="fieldType" value="Field"/&gt;&lt;/prefs&gt;&lt;/data</vt:lpwstr>
  </property>
  <property fmtid="{D5CDD505-2E9C-101B-9397-08002B2CF9AE}" pid="3" name="ZOTERO_PREF_2">
    <vt:lpwstr>&gt;</vt:lpwstr>
  </property>
</Properties>
</file>