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792A8E" w14:textId="121FE955" w:rsidR="00D2662C" w:rsidRDefault="00D2662C" w:rsidP="00D2662C">
      <w:pPr>
        <w:pStyle w:val="MStitle"/>
        <w:jc w:val="center"/>
        <w:rPr>
          <w:bCs/>
        </w:rPr>
      </w:pPr>
      <w:r>
        <w:rPr>
          <w:bCs/>
        </w:rPr>
        <w:t>Supporting Information for</w:t>
      </w:r>
    </w:p>
    <w:p w14:paraId="6D471D12" w14:textId="77777777" w:rsidR="00D2662C" w:rsidRDefault="00D2662C" w:rsidP="00D2662C">
      <w:pPr>
        <w:pStyle w:val="MStitle"/>
        <w:jc w:val="center"/>
        <w:rPr>
          <w:bCs/>
        </w:rPr>
      </w:pPr>
    </w:p>
    <w:p w14:paraId="024AD440" w14:textId="60EF3E4B" w:rsidR="00B4015F" w:rsidRPr="00070C1A" w:rsidRDefault="00576528" w:rsidP="0023383E">
      <w:pPr>
        <w:pStyle w:val="MStitle"/>
        <w:jc w:val="left"/>
      </w:pPr>
      <w:r>
        <w:rPr>
          <w:bCs/>
        </w:rPr>
        <w:t xml:space="preserve">How </w:t>
      </w:r>
      <w:r w:rsidR="00CA5C3A">
        <w:rPr>
          <w:bCs/>
        </w:rPr>
        <w:t>have</w:t>
      </w:r>
      <w:r w:rsidR="00070C1A" w:rsidRPr="00070C1A">
        <w:rPr>
          <w:bCs/>
        </w:rPr>
        <w:t xml:space="preserve"> </w:t>
      </w:r>
      <w:r>
        <w:rPr>
          <w:bCs/>
        </w:rPr>
        <w:t>Divergent</w:t>
      </w:r>
      <w:r w:rsidR="00070C1A" w:rsidRPr="00070C1A">
        <w:rPr>
          <w:bCs/>
        </w:rPr>
        <w:t xml:space="preserve"> </w:t>
      </w:r>
      <w:r>
        <w:rPr>
          <w:bCs/>
        </w:rPr>
        <w:t xml:space="preserve">Global </w:t>
      </w:r>
      <w:r w:rsidR="00070C1A" w:rsidRPr="00070C1A">
        <w:rPr>
          <w:bCs/>
        </w:rPr>
        <w:t xml:space="preserve">Emission </w:t>
      </w:r>
      <w:r>
        <w:rPr>
          <w:bCs/>
        </w:rPr>
        <w:t>Trends</w:t>
      </w:r>
      <w:r w:rsidR="00070C1A" w:rsidRPr="00070C1A">
        <w:rPr>
          <w:bCs/>
        </w:rPr>
        <w:t xml:space="preserve"> Influenc</w:t>
      </w:r>
      <w:r w:rsidR="00CA5C3A">
        <w:rPr>
          <w:bCs/>
        </w:rPr>
        <w:t>ed</w:t>
      </w:r>
      <w:r w:rsidR="00070C1A" w:rsidRPr="00070C1A">
        <w:rPr>
          <w:bCs/>
        </w:rPr>
        <w:t xml:space="preserve"> Long-range Transport</w:t>
      </w:r>
      <w:r>
        <w:rPr>
          <w:bCs/>
        </w:rPr>
        <w:t xml:space="preserve">ed </w:t>
      </w:r>
      <w:r w:rsidR="003855FD">
        <w:rPr>
          <w:bCs/>
        </w:rPr>
        <w:t>Ozone</w:t>
      </w:r>
      <w:r>
        <w:rPr>
          <w:bCs/>
        </w:rPr>
        <w:t xml:space="preserve"> to North America</w:t>
      </w:r>
      <w:r w:rsidR="00070C1A">
        <w:rPr>
          <w:bCs/>
        </w:rPr>
        <w:t>?</w:t>
      </w:r>
    </w:p>
    <w:p w14:paraId="0BBD43DD" w14:textId="6FA53308" w:rsidR="00B4015F" w:rsidRPr="00F93E83" w:rsidRDefault="00DE1D86" w:rsidP="00D140EC">
      <w:pPr>
        <w:pStyle w:val="Authors"/>
        <w:jc w:val="left"/>
      </w:pPr>
      <w:r>
        <w:t>Rohit Mathur</w:t>
      </w:r>
      <w:r w:rsidR="00F93E83">
        <w:rPr>
          <w:vertAlign w:val="superscript"/>
        </w:rPr>
        <w:t>1</w:t>
      </w:r>
      <w:r w:rsidR="00D2683F">
        <w:rPr>
          <w:vertAlign w:val="superscript"/>
        </w:rPr>
        <w:t>*</w:t>
      </w:r>
      <w:r w:rsidR="00B242BC">
        <w:t>,</w:t>
      </w:r>
      <w:r>
        <w:t xml:space="preserve"> </w:t>
      </w:r>
      <w:r w:rsidR="00070C1A">
        <w:t>Daiwen Kang</w:t>
      </w:r>
      <w:r w:rsidR="00070C1A">
        <w:rPr>
          <w:vertAlign w:val="superscript"/>
        </w:rPr>
        <w:t>1</w:t>
      </w:r>
      <w:r w:rsidR="00070C1A">
        <w:t xml:space="preserve">, Sergey </w:t>
      </w:r>
      <w:r w:rsidR="00C82905">
        <w:t xml:space="preserve">L. </w:t>
      </w:r>
      <w:r w:rsidR="00070C1A">
        <w:t>Napelenok</w:t>
      </w:r>
      <w:r w:rsidR="00070C1A">
        <w:rPr>
          <w:vertAlign w:val="superscript"/>
        </w:rPr>
        <w:t>1</w:t>
      </w:r>
      <w:r w:rsidR="00070C1A">
        <w:t>, Jia Xing</w:t>
      </w:r>
      <w:r w:rsidR="00070C1A">
        <w:rPr>
          <w:vertAlign w:val="superscript"/>
        </w:rPr>
        <w:t>2</w:t>
      </w:r>
      <w:r w:rsidR="00070C1A">
        <w:t xml:space="preserve">, </w:t>
      </w:r>
      <w:r>
        <w:t>Christian Hogrefe</w:t>
      </w:r>
      <w:r w:rsidR="00F93E83">
        <w:rPr>
          <w:vertAlign w:val="superscript"/>
        </w:rPr>
        <w:t>1</w:t>
      </w:r>
      <w:r>
        <w:t xml:space="preserve">, </w:t>
      </w:r>
      <w:r w:rsidR="00FD6565">
        <w:t>Golam Sarwar</w:t>
      </w:r>
      <w:r w:rsidR="00FD6565">
        <w:rPr>
          <w:vertAlign w:val="superscript"/>
        </w:rPr>
        <w:t>1</w:t>
      </w:r>
      <w:r w:rsidR="00FD6565">
        <w:t xml:space="preserve">, </w:t>
      </w:r>
      <w:r w:rsidR="0062406D">
        <w:t>Syuichi Itahashi</w:t>
      </w:r>
      <w:r w:rsidR="0062406D">
        <w:rPr>
          <w:vertAlign w:val="superscript"/>
        </w:rPr>
        <w:t>3</w:t>
      </w:r>
      <w:r w:rsidR="0062406D">
        <w:t xml:space="preserve">, </w:t>
      </w:r>
      <w:r w:rsidR="00070C1A">
        <w:t xml:space="preserve">Barron </w:t>
      </w:r>
      <w:r w:rsidR="006758B2">
        <w:t xml:space="preserve">H. </w:t>
      </w:r>
      <w:r w:rsidR="00070C1A">
        <w:t>Henderson</w:t>
      </w:r>
      <w:r w:rsidR="0062406D">
        <w:rPr>
          <w:vertAlign w:val="superscript"/>
        </w:rPr>
        <w:t>4</w:t>
      </w:r>
    </w:p>
    <w:p w14:paraId="76E139FE" w14:textId="5D59962B" w:rsidR="00B4015F" w:rsidRDefault="00F93E83" w:rsidP="000A1B66">
      <w:pPr>
        <w:pStyle w:val="Affiliation"/>
      </w:pPr>
      <w:r>
        <w:rPr>
          <w:vertAlign w:val="superscript"/>
        </w:rPr>
        <w:t xml:space="preserve">1 </w:t>
      </w:r>
      <w:r w:rsidR="00070C1A">
        <w:t>Center for Environmental Measurement and Modeling</w:t>
      </w:r>
      <w:r w:rsidR="00DE1D86" w:rsidRPr="00FC40F8">
        <w:t>, Office of Research and Development, U.S. Environmental Protection Agency, RTP, NC</w:t>
      </w:r>
      <w:r w:rsidR="00DE1D86">
        <w:t>, USA</w:t>
      </w:r>
    </w:p>
    <w:p w14:paraId="4F741023" w14:textId="49403B93" w:rsidR="00F93E83" w:rsidRDefault="00F93E83" w:rsidP="000A1B66">
      <w:pPr>
        <w:pStyle w:val="Affiliation"/>
      </w:pPr>
      <w:r>
        <w:rPr>
          <w:vertAlign w:val="superscript"/>
        </w:rPr>
        <w:t xml:space="preserve">2 </w:t>
      </w:r>
      <w:r w:rsidR="00070C1A">
        <w:t>Tsinghua University, Beijing, China</w:t>
      </w:r>
    </w:p>
    <w:p w14:paraId="403A4F45" w14:textId="26E18C29" w:rsidR="0062406D" w:rsidRDefault="0062406D" w:rsidP="000A1B66">
      <w:pPr>
        <w:pStyle w:val="Affiliation"/>
      </w:pPr>
      <w:r>
        <w:rPr>
          <w:rFonts w:ascii="TimesNewRomanPSMT" w:eastAsia="SimSun" w:hAnsi="TimesNewRomanPSMT" w:cs="TimesNewRomanPSMT"/>
          <w:szCs w:val="20"/>
          <w:vertAlign w:val="superscript"/>
          <w:lang w:eastAsia="en-GB"/>
        </w:rPr>
        <w:t>3</w:t>
      </w:r>
      <w:r>
        <w:rPr>
          <w:rFonts w:ascii="TimesNewRomanPSMT" w:eastAsia="SimSun" w:hAnsi="TimesNewRomanPSMT" w:cs="TimesNewRomanPSMT"/>
          <w:szCs w:val="20"/>
          <w:lang w:eastAsia="en-GB"/>
        </w:rPr>
        <w:t xml:space="preserve"> Environmental Science Research Laboratory, Central Research Institute of Electric Power Industry (CRIEPI), Japan</w:t>
      </w:r>
    </w:p>
    <w:p w14:paraId="63384D9F" w14:textId="5C2BD345" w:rsidR="00C5233A" w:rsidRDefault="0062406D" w:rsidP="00C5233A">
      <w:pPr>
        <w:pStyle w:val="Affiliation"/>
      </w:pPr>
      <w:r>
        <w:rPr>
          <w:vertAlign w:val="superscript"/>
        </w:rPr>
        <w:t>4</w:t>
      </w:r>
      <w:r w:rsidR="00C5233A">
        <w:rPr>
          <w:vertAlign w:val="superscript"/>
        </w:rPr>
        <w:t xml:space="preserve"> </w:t>
      </w:r>
      <w:r w:rsidR="00C5233A" w:rsidRPr="00FC40F8">
        <w:t xml:space="preserve">Office of </w:t>
      </w:r>
      <w:r w:rsidR="00C5233A">
        <w:t>Air Quality Planning and Standards</w:t>
      </w:r>
      <w:r w:rsidR="00C5233A" w:rsidRPr="00FC40F8">
        <w:t>, U.S. Environmental Protection Agency, RTP, NC</w:t>
      </w:r>
      <w:r w:rsidR="00C5233A">
        <w:t>, USA</w:t>
      </w:r>
    </w:p>
    <w:p w14:paraId="06982089" w14:textId="51D1F960" w:rsidR="00C5233A" w:rsidRDefault="00C5233A" w:rsidP="000A1B66">
      <w:pPr>
        <w:pStyle w:val="Affiliation"/>
      </w:pPr>
    </w:p>
    <w:p w14:paraId="7F58CB7C" w14:textId="77777777" w:rsidR="00252B4B" w:rsidRDefault="00252B4B" w:rsidP="000A1B66">
      <w:pPr>
        <w:pStyle w:val="Affiliation"/>
      </w:pPr>
    </w:p>
    <w:p w14:paraId="50976BF7" w14:textId="1869A69B" w:rsidR="00252B4B" w:rsidRPr="00252B4B" w:rsidRDefault="00252B4B" w:rsidP="00252B4B">
      <w:pPr>
        <w:spacing w:line="240" w:lineRule="auto"/>
        <w:jc w:val="left"/>
        <w:rPr>
          <w:b/>
          <w:bCs/>
          <w:sz w:val="24"/>
        </w:rPr>
      </w:pPr>
      <w:r w:rsidRPr="00252B4B">
        <w:rPr>
          <w:b/>
          <w:bCs/>
          <w:sz w:val="24"/>
        </w:rPr>
        <w:t>S1. Model Performance Evaluation</w:t>
      </w:r>
    </w:p>
    <w:p w14:paraId="1AC49AAA" w14:textId="77777777" w:rsidR="00DB061C" w:rsidRPr="006439CB" w:rsidRDefault="00DB061C" w:rsidP="00DB061C">
      <w:pPr>
        <w:rPr>
          <w:b/>
          <w:bCs/>
          <w:sz w:val="24"/>
        </w:rPr>
      </w:pPr>
      <w:r>
        <w:rPr>
          <w:b/>
          <w:bCs/>
          <w:sz w:val="24"/>
        </w:rPr>
        <w:t>S1.1 Comparison with surface network measurements</w:t>
      </w:r>
    </w:p>
    <w:p w14:paraId="036E3BC9" w14:textId="697A3061" w:rsidR="00DB061C" w:rsidRDefault="00DB061C" w:rsidP="642E8986">
      <w:pPr>
        <w:rPr>
          <w:sz w:val="24"/>
        </w:rPr>
      </w:pPr>
      <w:r w:rsidRPr="642E8986">
        <w:rPr>
          <w:sz w:val="24"/>
        </w:rPr>
        <w:t>Extensive evaluation of surface-level predictions of O</w:t>
      </w:r>
      <w:r w:rsidRPr="642E8986">
        <w:rPr>
          <w:sz w:val="24"/>
          <w:vertAlign w:val="subscript"/>
        </w:rPr>
        <w:t>3</w:t>
      </w:r>
      <w:r w:rsidRPr="642E8986">
        <w:rPr>
          <w:sz w:val="24"/>
        </w:rPr>
        <w:t xml:space="preserve"> and NO</w:t>
      </w:r>
      <w:r w:rsidRPr="642E8986">
        <w:rPr>
          <w:sz w:val="24"/>
          <w:vertAlign w:val="subscript"/>
        </w:rPr>
        <w:t>2</w:t>
      </w:r>
      <w:r w:rsidRPr="642E8986">
        <w:rPr>
          <w:sz w:val="24"/>
        </w:rPr>
        <w:t xml:space="preserve"> (along with several other chemical species) from the </w:t>
      </w:r>
      <w:r w:rsidR="00A636D4" w:rsidRPr="642E8986">
        <w:rPr>
          <w:sz w:val="24"/>
        </w:rPr>
        <w:t>H</w:t>
      </w:r>
      <w:r w:rsidRPr="642E8986">
        <w:rPr>
          <w:sz w:val="24"/>
        </w:rPr>
        <w:t xml:space="preserve">emispheric CMAQ (HCMAQ) model simulations discussed in Section 2.1 for the 1990-2010 period have previously been conducted through comparisons with available measurements from surface networks in the United States, Europe, and Asia and are described in Xing et al. (2015).  The evaluations utilized observations from two networks in the United States, i.e., Air Quality System, (US-AQS, </w:t>
      </w:r>
      <w:hyperlink r:id="rId8">
        <w:r w:rsidRPr="642E8986">
          <w:rPr>
            <w:rStyle w:val="Hyperlink"/>
            <w:sz w:val="24"/>
          </w:rPr>
          <w:t>http://www.epa.gov/ttn/airs/airsaqs/</w:t>
        </w:r>
      </w:hyperlink>
      <w:r w:rsidRPr="642E8986">
        <w:rPr>
          <w:sz w:val="24"/>
        </w:rPr>
        <w:t xml:space="preserve">), and US-CASTNET; two networks in Europe, i.e., EU-EMEP and EU-AIRBASE; one in China, CN-API (Air Pollution Index), and one global network, WDCGG.  The US-CASTNET and EU-EMEP networks are designed for air pollution trend assessment since their monitors are typically located in rural areas and represent regional air pollution. In contrast, sites in the US-AQS and EU-AIRBASE are closer to urban areas, impacted by local emissions and are typically representative of much smaller regions that are sub-grid to </w:t>
      </w:r>
      <w:r w:rsidR="00ED2C3D" w:rsidRPr="642E8986">
        <w:rPr>
          <w:sz w:val="24"/>
        </w:rPr>
        <w:t xml:space="preserve">the </w:t>
      </w:r>
      <w:r w:rsidRPr="642E8986">
        <w:rPr>
          <w:sz w:val="24"/>
        </w:rPr>
        <w:t>108km grid spacing utilized in the current simulations. The CN-API data are average values of observations from all sites within a city as detailed in Xing et al. (2015). Model trends were also assessed at three WDCCG sites in East Asia.</w:t>
      </w:r>
    </w:p>
    <w:p w14:paraId="36F84132" w14:textId="77777777" w:rsidR="00DB061C" w:rsidRDefault="00DB061C" w:rsidP="00DB061C">
      <w:pPr>
        <w:rPr>
          <w:sz w:val="24"/>
        </w:rPr>
      </w:pPr>
    </w:p>
    <w:p w14:paraId="6CE9F753" w14:textId="74F1FCB1" w:rsidR="00DB061C" w:rsidRDefault="00DB061C" w:rsidP="00DB061C">
      <w:pPr>
        <w:rPr>
          <w:sz w:val="24"/>
        </w:rPr>
      </w:pPr>
      <w:r>
        <w:rPr>
          <w:sz w:val="24"/>
        </w:rPr>
        <w:t xml:space="preserve">For each network, five statistical performance measures were used to evaluate the model predictions and included: </w:t>
      </w:r>
      <w:r w:rsidRPr="00A103FC">
        <w:rPr>
          <w:sz w:val="24"/>
        </w:rPr>
        <w:t>correlation coefficient (R), mean bias (MB), normalized mean bias (NMB), root mean squared error (RMSE) and normalized mean error (NME</w:t>
      </w:r>
      <w:r>
        <w:rPr>
          <w:sz w:val="24"/>
        </w:rPr>
        <w:t xml:space="preserve">) (see Table 2a in Xing </w:t>
      </w:r>
      <w:r>
        <w:rPr>
          <w:sz w:val="24"/>
        </w:rPr>
        <w:lastRenderedPageBreak/>
        <w:t>et al. (2015)). Briefly, relative to the urban networks, NO</w:t>
      </w:r>
      <w:r>
        <w:rPr>
          <w:sz w:val="24"/>
          <w:vertAlign w:val="subscript"/>
        </w:rPr>
        <w:t>2</w:t>
      </w:r>
      <w:r>
        <w:rPr>
          <w:sz w:val="24"/>
        </w:rPr>
        <w:t xml:space="preserve"> was </w:t>
      </w:r>
      <w:r w:rsidRPr="00AD1E3D">
        <w:rPr>
          <w:sz w:val="24"/>
        </w:rPr>
        <w:t>underestimated: US-AQS by 48 %, EU-AIRBASE by 54% and CN-API by 68%</w:t>
      </w:r>
      <w:r>
        <w:rPr>
          <w:sz w:val="24"/>
        </w:rPr>
        <w:t>. This underestimation can be attributed to artificial dilution of NO</w:t>
      </w:r>
      <w:r>
        <w:rPr>
          <w:sz w:val="24"/>
          <w:vertAlign w:val="subscript"/>
        </w:rPr>
        <w:t>x</w:t>
      </w:r>
      <w:r>
        <w:rPr>
          <w:sz w:val="24"/>
        </w:rPr>
        <w:t xml:space="preserve"> emissions over the relatively coarse model grid size and comparison with near source monitors. In contrast the performance for NO</w:t>
      </w:r>
      <w:r>
        <w:rPr>
          <w:sz w:val="24"/>
          <w:vertAlign w:val="subscript"/>
        </w:rPr>
        <w:t>2</w:t>
      </w:r>
      <w:r>
        <w:rPr>
          <w:sz w:val="24"/>
        </w:rPr>
        <w:t xml:space="preserve"> relative to measurements from rural networks was significantly better with biases within ±15% for all seasons. </w:t>
      </w:r>
      <w:r w:rsidRPr="00DE00BB">
        <w:rPr>
          <w:sz w:val="24"/>
        </w:rPr>
        <w:t>The NMB (</w:t>
      </w:r>
      <w:r w:rsidRPr="00DE00BB">
        <w:rPr>
          <w:rFonts w:eastAsia="Calibri"/>
          <w:sz w:val="24"/>
        </w:rPr>
        <w:t>-</w:t>
      </w:r>
      <w:r w:rsidRPr="00DE00BB">
        <w:rPr>
          <w:sz w:val="24"/>
        </w:rPr>
        <w:t>13.6 to 16.9 %) and NME (&lt; 25.9 %) values for the daily maximum 8-hr average O</w:t>
      </w:r>
      <w:r w:rsidRPr="00DE00BB">
        <w:rPr>
          <w:sz w:val="24"/>
          <w:vertAlign w:val="subscript"/>
        </w:rPr>
        <w:t>3</w:t>
      </w:r>
      <w:r w:rsidRPr="00DE00BB">
        <w:rPr>
          <w:sz w:val="24"/>
        </w:rPr>
        <w:t xml:space="preserve"> predictions with measurements from the various networks in the U.S., Europe and Asia were fairly small across all seasons and comparable with those reported in other modeling studies in these regions (e.g., Zhang et al., 2009; Wang et al., 2009; Colette et al., 2011)</w:t>
      </w:r>
      <w:r>
        <w:rPr>
          <w:sz w:val="24"/>
        </w:rPr>
        <w:t>.</w:t>
      </w:r>
    </w:p>
    <w:p w14:paraId="66C21506" w14:textId="77777777" w:rsidR="00DB061C" w:rsidRDefault="00DB061C" w:rsidP="00DB061C">
      <w:pPr>
        <w:rPr>
          <w:sz w:val="24"/>
        </w:rPr>
      </w:pPr>
    </w:p>
    <w:p w14:paraId="3EAD7A58" w14:textId="44AEFD1B" w:rsidR="00DB061C" w:rsidRDefault="00DB061C" w:rsidP="00DB061C">
      <w:pPr>
        <w:rPr>
          <w:sz w:val="24"/>
        </w:rPr>
      </w:pPr>
      <w:r>
        <w:rPr>
          <w:sz w:val="24"/>
        </w:rPr>
        <w:t>Simulated trends in surface-level ambient NO</w:t>
      </w:r>
      <w:r>
        <w:rPr>
          <w:sz w:val="24"/>
          <w:vertAlign w:val="subscript"/>
        </w:rPr>
        <w:t>2</w:t>
      </w:r>
      <w:r>
        <w:rPr>
          <w:sz w:val="24"/>
        </w:rPr>
        <w:t xml:space="preserve"> for the 1990-2010 period across the Northern Hemisphere exhibited spatial heterogeneity which followed the trends in regional NO</w:t>
      </w:r>
      <w:r>
        <w:rPr>
          <w:sz w:val="24"/>
          <w:vertAlign w:val="subscript"/>
        </w:rPr>
        <w:t>x</w:t>
      </w:r>
      <w:r>
        <w:rPr>
          <w:sz w:val="24"/>
        </w:rPr>
        <w:t xml:space="preserve"> emissions. As reported in Xing et al. (2015), the annual change rates in simulated surface-level NO</w:t>
      </w:r>
      <w:r>
        <w:rPr>
          <w:sz w:val="24"/>
          <w:vertAlign w:val="subscript"/>
        </w:rPr>
        <w:t>2</w:t>
      </w:r>
      <w:r>
        <w:rPr>
          <w:sz w:val="24"/>
        </w:rPr>
        <w:t xml:space="preserve"> for China (4.1%), U.S. (-1.4%) and Europe (-1.2%) matched closely with the trends in input NO</w:t>
      </w:r>
      <w:r w:rsidRPr="00911B54">
        <w:rPr>
          <w:sz w:val="24"/>
          <w:vertAlign w:val="subscript"/>
        </w:rPr>
        <w:t>x</w:t>
      </w:r>
      <w:r>
        <w:rPr>
          <w:sz w:val="24"/>
        </w:rPr>
        <w:t xml:space="preserve"> emissions in these regions which were 4.3%, -1.8%, and -1.5%, respectively.  The NO</w:t>
      </w:r>
      <w:r>
        <w:rPr>
          <w:sz w:val="24"/>
          <w:vertAlign w:val="subscript"/>
        </w:rPr>
        <w:t>2</w:t>
      </w:r>
      <w:r>
        <w:rPr>
          <w:sz w:val="24"/>
        </w:rPr>
        <w:t xml:space="preserve"> trends (and annual change rates) inferred from measurements available at the US-AQS and EU-AIRBASE networks were -0.63 µg m</w:t>
      </w:r>
      <w:r>
        <w:rPr>
          <w:sz w:val="24"/>
          <w:vertAlign w:val="superscript"/>
        </w:rPr>
        <w:t>-3</w:t>
      </w:r>
      <w:r>
        <w:rPr>
          <w:sz w:val="24"/>
        </w:rPr>
        <w:t xml:space="preserve"> yr</w:t>
      </w:r>
      <w:r>
        <w:rPr>
          <w:sz w:val="24"/>
          <w:vertAlign w:val="superscript"/>
        </w:rPr>
        <w:t>-1</w:t>
      </w:r>
      <w:r>
        <w:rPr>
          <w:sz w:val="24"/>
        </w:rPr>
        <w:t xml:space="preserve"> (-2.3%) and -0.64 µg m</w:t>
      </w:r>
      <w:r>
        <w:rPr>
          <w:sz w:val="24"/>
          <w:vertAlign w:val="superscript"/>
        </w:rPr>
        <w:t>-3</w:t>
      </w:r>
      <w:r>
        <w:rPr>
          <w:sz w:val="24"/>
        </w:rPr>
        <w:t xml:space="preserve"> yr</w:t>
      </w:r>
      <w:r>
        <w:rPr>
          <w:sz w:val="24"/>
          <w:vertAlign w:val="superscript"/>
        </w:rPr>
        <w:t>-1</w:t>
      </w:r>
      <w:r>
        <w:rPr>
          <w:sz w:val="24"/>
        </w:rPr>
        <w:t xml:space="preserve"> (-1.9%), respectively. The model estimated NO</w:t>
      </w:r>
      <w:r>
        <w:rPr>
          <w:sz w:val="24"/>
          <w:vertAlign w:val="subscript"/>
        </w:rPr>
        <w:t>2</w:t>
      </w:r>
      <w:r>
        <w:rPr>
          <w:sz w:val="24"/>
        </w:rPr>
        <w:t xml:space="preserve"> trends at these networks, -0.32 µg m</w:t>
      </w:r>
      <w:r>
        <w:rPr>
          <w:sz w:val="24"/>
          <w:vertAlign w:val="superscript"/>
        </w:rPr>
        <w:t>-3</w:t>
      </w:r>
      <w:r>
        <w:rPr>
          <w:sz w:val="24"/>
        </w:rPr>
        <w:t xml:space="preserve"> yr</w:t>
      </w:r>
      <w:r>
        <w:rPr>
          <w:sz w:val="24"/>
          <w:vertAlign w:val="superscript"/>
        </w:rPr>
        <w:t>-1</w:t>
      </w:r>
      <w:r>
        <w:rPr>
          <w:sz w:val="24"/>
        </w:rPr>
        <w:t xml:space="preserve"> (-2.2%) and -0.14 µg m</w:t>
      </w:r>
      <w:r>
        <w:rPr>
          <w:sz w:val="24"/>
          <w:vertAlign w:val="superscript"/>
        </w:rPr>
        <w:t>-3</w:t>
      </w:r>
      <w:r>
        <w:rPr>
          <w:sz w:val="24"/>
        </w:rPr>
        <w:t xml:space="preserve"> yr</w:t>
      </w:r>
      <w:r>
        <w:rPr>
          <w:sz w:val="24"/>
          <w:vertAlign w:val="superscript"/>
        </w:rPr>
        <w:t>-1</w:t>
      </w:r>
      <w:r>
        <w:rPr>
          <w:sz w:val="24"/>
        </w:rPr>
        <w:t xml:space="preserve"> (-0.9%), respectively, were however underestimated and are related to the underestimation of the NO</w:t>
      </w:r>
      <w:r>
        <w:rPr>
          <w:sz w:val="24"/>
          <w:vertAlign w:val="subscript"/>
        </w:rPr>
        <w:t>2</w:t>
      </w:r>
      <w:r>
        <w:rPr>
          <w:sz w:val="24"/>
        </w:rPr>
        <w:t xml:space="preserve"> concentrations. </w:t>
      </w:r>
      <w:r w:rsidRPr="001F0F5E">
        <w:rPr>
          <w:sz w:val="24"/>
        </w:rPr>
        <w:t>Additionally, comparison of 2003–2010 trends in tropospheric NO</w:t>
      </w:r>
      <w:r w:rsidRPr="001F0F5E">
        <w:rPr>
          <w:sz w:val="24"/>
          <w:vertAlign w:val="subscript"/>
        </w:rPr>
        <w:t>2</w:t>
      </w:r>
      <w:r w:rsidRPr="001F0F5E">
        <w:rPr>
          <w:sz w:val="24"/>
        </w:rPr>
        <w:t xml:space="preserve"> between the </w:t>
      </w:r>
      <w:r>
        <w:rPr>
          <w:sz w:val="24"/>
        </w:rPr>
        <w:t>H</w:t>
      </w:r>
      <w:r w:rsidRPr="001F0F5E">
        <w:rPr>
          <w:sz w:val="24"/>
        </w:rPr>
        <w:t xml:space="preserve">CMAQ simulations and SCIAMACHY </w:t>
      </w:r>
      <w:r>
        <w:rPr>
          <w:sz w:val="24"/>
        </w:rPr>
        <w:t>reported in Mathur et al. (201</w:t>
      </w:r>
      <w:r w:rsidR="006A340F">
        <w:rPr>
          <w:sz w:val="24"/>
        </w:rPr>
        <w:t>7</w:t>
      </w:r>
      <w:r>
        <w:rPr>
          <w:sz w:val="24"/>
        </w:rPr>
        <w:t xml:space="preserve">) </w:t>
      </w:r>
      <w:r w:rsidRPr="001F0F5E">
        <w:rPr>
          <w:sz w:val="24"/>
        </w:rPr>
        <w:t>indicate that the model captures increases in eastern China, and many cities in India and the Middle East as well as the decreases across the eastern United States, southern California, and western Europe</w:t>
      </w:r>
      <w:r>
        <w:rPr>
          <w:sz w:val="24"/>
        </w:rPr>
        <w:t xml:space="preserve">. </w:t>
      </w:r>
    </w:p>
    <w:p w14:paraId="203B62C7" w14:textId="77777777" w:rsidR="00DB061C" w:rsidRDefault="00DB061C" w:rsidP="00DB061C">
      <w:pPr>
        <w:rPr>
          <w:sz w:val="24"/>
        </w:rPr>
      </w:pPr>
    </w:p>
    <w:p w14:paraId="214939D9" w14:textId="499B9BE9" w:rsidR="00DB061C" w:rsidRDefault="00DB061C" w:rsidP="642E8986">
      <w:pPr>
        <w:rPr>
          <w:sz w:val="24"/>
        </w:rPr>
      </w:pPr>
      <w:r w:rsidRPr="642E8986">
        <w:rPr>
          <w:sz w:val="24"/>
        </w:rPr>
        <w:t>The decreasing trends in observed DM8O</w:t>
      </w:r>
      <w:r w:rsidRPr="642E8986">
        <w:rPr>
          <w:sz w:val="24"/>
          <w:vertAlign w:val="subscript"/>
        </w:rPr>
        <w:t>3</w:t>
      </w:r>
      <w:r w:rsidRPr="642E8986">
        <w:rPr>
          <w:sz w:val="24"/>
        </w:rPr>
        <w:t xml:space="preserve"> for US-CASTNET both on an annual and seasonal basis was captured by the model with strongest decreasing trend during summer (see Table 4 in Xing et al., 2015). However, the magnitude of the trend both on a networkwide basis (Xing et al., 2015) and at individual sites was underestimated by the model; the annual observed trend (and annual change rate) for DM8O</w:t>
      </w:r>
      <w:r w:rsidRPr="642E8986">
        <w:rPr>
          <w:sz w:val="24"/>
          <w:vertAlign w:val="subscript"/>
        </w:rPr>
        <w:t>3</w:t>
      </w:r>
      <w:r w:rsidRPr="642E8986">
        <w:rPr>
          <w:sz w:val="24"/>
        </w:rPr>
        <w:t xml:space="preserve"> were -1.859 µg m</w:t>
      </w:r>
      <w:r w:rsidRPr="642E8986">
        <w:rPr>
          <w:sz w:val="24"/>
          <w:vertAlign w:val="superscript"/>
        </w:rPr>
        <w:t>-3</w:t>
      </w:r>
      <w:r w:rsidRPr="642E8986">
        <w:rPr>
          <w:sz w:val="24"/>
        </w:rPr>
        <w:t xml:space="preserve"> yr</w:t>
      </w:r>
      <w:r w:rsidRPr="642E8986">
        <w:rPr>
          <w:sz w:val="24"/>
          <w:vertAlign w:val="superscript"/>
        </w:rPr>
        <w:t>-1</w:t>
      </w:r>
      <w:r w:rsidRPr="642E8986">
        <w:rPr>
          <w:sz w:val="24"/>
        </w:rPr>
        <w:t xml:space="preserve"> (-1.1%) while the model estimates were -0.952 µg m</w:t>
      </w:r>
      <w:r w:rsidRPr="642E8986">
        <w:rPr>
          <w:sz w:val="24"/>
          <w:vertAlign w:val="superscript"/>
        </w:rPr>
        <w:t>-3</w:t>
      </w:r>
      <w:r w:rsidRPr="642E8986">
        <w:rPr>
          <w:sz w:val="24"/>
        </w:rPr>
        <w:t xml:space="preserve"> yr</w:t>
      </w:r>
      <w:r w:rsidRPr="642E8986">
        <w:rPr>
          <w:sz w:val="24"/>
          <w:vertAlign w:val="superscript"/>
        </w:rPr>
        <w:t>-1</w:t>
      </w:r>
      <w:r w:rsidRPr="642E8986">
        <w:rPr>
          <w:sz w:val="24"/>
        </w:rPr>
        <w:t xml:space="preserve"> (-0.64%). Similar underestimation of the trends is also evident in the modeled 5</w:t>
      </w:r>
      <w:r w:rsidRPr="642E8986">
        <w:rPr>
          <w:sz w:val="24"/>
          <w:vertAlign w:val="superscript"/>
        </w:rPr>
        <w:t>th</w:t>
      </w:r>
      <w:r w:rsidRPr="642E8986">
        <w:rPr>
          <w:sz w:val="24"/>
        </w:rPr>
        <w:t xml:space="preserve"> and 25</w:t>
      </w:r>
      <w:r w:rsidRPr="642E8986">
        <w:rPr>
          <w:sz w:val="24"/>
          <w:vertAlign w:val="superscript"/>
        </w:rPr>
        <w:t>th</w:t>
      </w:r>
      <w:r w:rsidRPr="642E8986">
        <w:rPr>
          <w:sz w:val="24"/>
        </w:rPr>
        <w:t xml:space="preserve"> percentile O</w:t>
      </w:r>
      <w:r w:rsidRPr="642E8986">
        <w:rPr>
          <w:sz w:val="24"/>
          <w:vertAlign w:val="subscript"/>
        </w:rPr>
        <w:t>3</w:t>
      </w:r>
      <w:r w:rsidR="642E8986" w:rsidRPr="642E8986">
        <w:rPr>
          <w:sz w:val="24"/>
        </w:rPr>
        <w:t xml:space="preserve"> </w:t>
      </w:r>
      <w:r w:rsidRPr="642E8986">
        <w:rPr>
          <w:sz w:val="24"/>
        </w:rPr>
        <w:t xml:space="preserve">distributions at the surface illustrated in Figures 2a and 2d. However, as </w:t>
      </w:r>
      <w:r w:rsidRPr="642E8986">
        <w:rPr>
          <w:sz w:val="24"/>
        </w:rPr>
        <w:lastRenderedPageBreak/>
        <w:t>illustrated in Figure 15a of Mathur et al. (2017) this underestimation is significantly rectified in nested finer resolution simulations over the contiguous U.S. that utilized a 36 km horizontal resolution and an updated emission inventory for the U.S. for the 1990-2010 period. Since the nested simulations were driven by space and time varying lateral boundary conditions from the HCMAQ (Gan et al</w:t>
      </w:r>
      <w:r w:rsidR="00FF230E">
        <w:rPr>
          <w:sz w:val="24"/>
        </w:rPr>
        <w:t>.</w:t>
      </w:r>
      <w:r w:rsidRPr="642E8986">
        <w:rPr>
          <w:sz w:val="24"/>
        </w:rPr>
        <w:t>, 2015) and since the forcing in the upper layers of the regional model is largely driven by the large scale forcing derived from the hemispheric simulation (as demonstrated in Hogrefe et al., 2018), both the nested model and the HCMAQ model can be expected to show trends aloft similar to those in Figures 2b,c,e,f. The improved magnitude of the trend and the improved correlation in the nested finer resolution model at surface monitors is suggestive of local influences better resolved by finer resolution and improved emission estimates since the long-range transport impacts are the same in both models. Since the emphasis of the current study is this large scale forcing and long-range transport aloft, and since these show an increasing trend aloft, the impact of which on surface-level O</w:t>
      </w:r>
      <w:r w:rsidRPr="642E8986">
        <w:rPr>
          <w:sz w:val="24"/>
          <w:vertAlign w:val="subscript"/>
        </w:rPr>
        <w:t>3</w:t>
      </w:r>
      <w:r w:rsidR="642E8986" w:rsidRPr="642E8986">
        <w:rPr>
          <w:sz w:val="24"/>
        </w:rPr>
        <w:t xml:space="preserve"> </w:t>
      </w:r>
      <w:r w:rsidRPr="642E8986">
        <w:rPr>
          <w:sz w:val="24"/>
        </w:rPr>
        <w:t xml:space="preserve"> is better captured in the nested finer resolution calculations, the noted underestimation of the magnitude of the trend in the hemispheric coarser grid model calculations relative to surface monitors should not adversely impact conclusions related to the relative importance of the different source regions to long-range transported O</w:t>
      </w:r>
      <w:r w:rsidRPr="642E8986">
        <w:rPr>
          <w:sz w:val="24"/>
          <w:vertAlign w:val="subscript"/>
        </w:rPr>
        <w:t>3</w:t>
      </w:r>
      <w:r w:rsidRPr="642E8986">
        <w:rPr>
          <w:sz w:val="24"/>
        </w:rPr>
        <w:t xml:space="preserve">. </w:t>
      </w:r>
    </w:p>
    <w:p w14:paraId="214ECC68" w14:textId="77777777" w:rsidR="00DB061C" w:rsidRPr="00703219" w:rsidRDefault="00DB061C" w:rsidP="00DB061C">
      <w:pPr>
        <w:rPr>
          <w:sz w:val="24"/>
        </w:rPr>
      </w:pPr>
    </w:p>
    <w:p w14:paraId="6704701F" w14:textId="77777777" w:rsidR="00DB061C" w:rsidRPr="006439CB" w:rsidRDefault="00DB061C" w:rsidP="00DB061C">
      <w:pPr>
        <w:rPr>
          <w:b/>
          <w:bCs/>
          <w:sz w:val="24"/>
        </w:rPr>
      </w:pPr>
      <w:r>
        <w:rPr>
          <w:b/>
          <w:bCs/>
          <w:sz w:val="24"/>
        </w:rPr>
        <w:t>S1.2 Comparison with surface measurements at Trinidad Head</w:t>
      </w:r>
    </w:p>
    <w:p w14:paraId="304E33E6" w14:textId="5DF757C8" w:rsidR="00DB061C" w:rsidRPr="0068603B" w:rsidRDefault="00DB061C" w:rsidP="642E8986">
      <w:pPr>
        <w:rPr>
          <w:sz w:val="24"/>
        </w:rPr>
      </w:pPr>
      <w:r w:rsidRPr="642E8986">
        <w:rPr>
          <w:sz w:val="24"/>
        </w:rPr>
        <w:t>O</w:t>
      </w:r>
      <w:r w:rsidRPr="642E8986">
        <w:rPr>
          <w:sz w:val="24"/>
          <w:vertAlign w:val="subscript"/>
        </w:rPr>
        <w:t>3</w:t>
      </w:r>
      <w:r w:rsidR="642E8986" w:rsidRPr="642E8986">
        <w:rPr>
          <w:sz w:val="24"/>
        </w:rPr>
        <w:t xml:space="preserve"> </w:t>
      </w:r>
      <w:r w:rsidRPr="642E8986">
        <w:rPr>
          <w:sz w:val="24"/>
        </w:rPr>
        <w:t>measurements at Trinidad Head, California (41° 3´N, 124° 9´W) have often been used to represent the amount of O</w:t>
      </w:r>
      <w:r w:rsidRPr="642E8986">
        <w:rPr>
          <w:sz w:val="24"/>
          <w:vertAlign w:val="subscript"/>
        </w:rPr>
        <w:t>3</w:t>
      </w:r>
      <w:r w:rsidR="642E8986" w:rsidRPr="642E8986">
        <w:rPr>
          <w:sz w:val="24"/>
        </w:rPr>
        <w:t xml:space="preserve"> </w:t>
      </w:r>
      <w:r w:rsidRPr="642E8986">
        <w:rPr>
          <w:sz w:val="24"/>
        </w:rPr>
        <w:t>in air masses advected over the Pacific and entering the Western U.S. Several studies have analyzed the O</w:t>
      </w:r>
      <w:r w:rsidRPr="642E8986">
        <w:rPr>
          <w:sz w:val="24"/>
          <w:vertAlign w:val="subscript"/>
        </w:rPr>
        <w:t>3</w:t>
      </w:r>
      <w:r w:rsidR="642E8986" w:rsidRPr="642E8986">
        <w:rPr>
          <w:sz w:val="24"/>
        </w:rPr>
        <w:t xml:space="preserve"> </w:t>
      </w:r>
      <w:r w:rsidRPr="642E8986">
        <w:rPr>
          <w:sz w:val="24"/>
        </w:rPr>
        <w:t>measurements at the Trinidad Head surface site to characterize variations and changes in “baseline” ozone, defined as measurements in air without recent anthropogenic and continental influences (e.g., Parrish et al., 2020). Figure S1 presents comparisons of simulated seasonal mean surface-level O</w:t>
      </w:r>
      <w:r w:rsidRPr="642E8986">
        <w:rPr>
          <w:sz w:val="24"/>
          <w:vertAlign w:val="subscript"/>
        </w:rPr>
        <w:t>3</w:t>
      </w:r>
      <w:r w:rsidR="642E8986" w:rsidRPr="642E8986">
        <w:rPr>
          <w:sz w:val="24"/>
        </w:rPr>
        <w:t xml:space="preserve"> </w:t>
      </w:r>
      <w:r w:rsidRPr="642E8986">
        <w:rPr>
          <w:sz w:val="24"/>
        </w:rPr>
        <w:t xml:space="preserve">values for the HCMAQ grid-cell in which the Trinidad Head site is located, with corresponding measurements for the years 2002-2010 which is the common time period for available measurements and the multi-decadal simulations considered in the analysis in the main text.  To isolate baseline conditions, measurement-based analyses have often focused on periods of strong onshore winds to eliminate local and continental influences. However, since our model grid resolution is relatively coarse and since the grid cell in which the Trinidad Head site is located has a 37% water and 63% land </w:t>
      </w:r>
      <w:r w:rsidRPr="642E8986">
        <w:rPr>
          <w:sz w:val="24"/>
        </w:rPr>
        <w:lastRenderedPageBreak/>
        <w:t xml:space="preserve">coverage, we cannot eliminate influences of local emissions from portions of the grid cell with land area or uniquely screen for baseline conditions as in prior measurement studies. </w:t>
      </w:r>
    </w:p>
    <w:p w14:paraId="4329C1D7" w14:textId="77777777" w:rsidR="00DB061C" w:rsidRDefault="00DB061C" w:rsidP="00DB061C">
      <w:pPr>
        <w:rPr>
          <w:sz w:val="24"/>
        </w:rPr>
      </w:pPr>
    </w:p>
    <w:p w14:paraId="33FE334B" w14:textId="77777777" w:rsidR="00DB061C" w:rsidRPr="00CE3145" w:rsidRDefault="00DB061C" w:rsidP="00DB061C">
      <w:pPr>
        <w:jc w:val="center"/>
        <w:rPr>
          <w:sz w:val="24"/>
        </w:rPr>
      </w:pPr>
      <w:r w:rsidRPr="00CE3145">
        <w:rPr>
          <w:noProof/>
          <w:spacing w:val="-57"/>
        </w:rPr>
        <w:drawing>
          <wp:inline distT="0" distB="0" distL="0" distR="0" wp14:anchorId="39A8AD9A" wp14:editId="1718C178">
            <wp:extent cx="2542032" cy="2139696"/>
            <wp:effectExtent l="0" t="0" r="0" b="0"/>
            <wp:docPr id="4" name="Picture 4"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scatter char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542032" cy="2139696"/>
                    </a:xfrm>
                    <a:prstGeom prst="rect">
                      <a:avLst/>
                    </a:prstGeom>
                  </pic:spPr>
                </pic:pic>
              </a:graphicData>
            </a:graphic>
          </wp:inline>
        </w:drawing>
      </w:r>
    </w:p>
    <w:p w14:paraId="3A028416" w14:textId="77777777" w:rsidR="00DB061C" w:rsidRPr="009E6398" w:rsidRDefault="00DB061C" w:rsidP="009E6398">
      <w:pPr>
        <w:spacing w:line="240" w:lineRule="auto"/>
        <w:rPr>
          <w:szCs w:val="20"/>
        </w:rPr>
      </w:pPr>
      <w:r w:rsidRPr="009E6398">
        <w:rPr>
          <w:b/>
          <w:bCs/>
          <w:szCs w:val="20"/>
        </w:rPr>
        <w:t>Figure S1</w:t>
      </w:r>
      <w:r w:rsidRPr="009E6398">
        <w:rPr>
          <w:szCs w:val="20"/>
        </w:rPr>
        <w:t>: Comparison of model and observed seasonal mean ozone mixing ratios at Trinidad Head for the years 2002-2010. Dash lines indicate that the model values are within 25% of the observed.</w:t>
      </w:r>
    </w:p>
    <w:p w14:paraId="0D92108B" w14:textId="77777777" w:rsidR="00DB061C" w:rsidRDefault="00DB061C" w:rsidP="00DB061C">
      <w:pPr>
        <w:rPr>
          <w:sz w:val="24"/>
        </w:rPr>
      </w:pPr>
    </w:p>
    <w:p w14:paraId="37916217" w14:textId="77777777" w:rsidR="00DB061C" w:rsidRPr="00CE3145" w:rsidRDefault="00DB061C" w:rsidP="00DB061C">
      <w:pPr>
        <w:rPr>
          <w:sz w:val="24"/>
        </w:rPr>
      </w:pPr>
      <w:r w:rsidRPr="00CE3145">
        <w:rPr>
          <w:sz w:val="24"/>
        </w:rPr>
        <w:t>As illustrated in Figure S1, the model exhibit</w:t>
      </w:r>
      <w:r>
        <w:rPr>
          <w:sz w:val="24"/>
        </w:rPr>
        <w:t>s</w:t>
      </w:r>
      <w:r w:rsidRPr="00CE3145">
        <w:rPr>
          <w:sz w:val="24"/>
        </w:rPr>
        <w:t xml:space="preserve"> a seasonal cycle with high values in Spring, low in summer which then increase in Fall, consistent with the observations though the model does exhibit a systematic high bias during the Fall. </w:t>
      </w:r>
      <w:r>
        <w:rPr>
          <w:sz w:val="24"/>
        </w:rPr>
        <w:t>Despite the limitations of the coarse model resolution (and inherent land/water coverage) in representing marine boundary layer conditions</w:t>
      </w:r>
      <w:r w:rsidRPr="00CE3145">
        <w:rPr>
          <w:sz w:val="24"/>
        </w:rPr>
        <w:t>, the model predicted seasonal mean values at the lowest model layer are well within 25% of the observed surface measurements at Trinidad Head</w:t>
      </w:r>
      <w:r>
        <w:rPr>
          <w:sz w:val="24"/>
        </w:rPr>
        <w:t xml:space="preserve">. </w:t>
      </w:r>
    </w:p>
    <w:p w14:paraId="5F6CCBAB" w14:textId="77777777" w:rsidR="00DB061C" w:rsidRPr="000F4779" w:rsidRDefault="00DB061C" w:rsidP="00DB061C">
      <w:pPr>
        <w:rPr>
          <w:sz w:val="24"/>
        </w:rPr>
      </w:pPr>
    </w:p>
    <w:p w14:paraId="6BCE4B9D" w14:textId="09DA0D35" w:rsidR="00DB061C" w:rsidRPr="006439CB" w:rsidRDefault="00DB061C" w:rsidP="642E8986">
      <w:pPr>
        <w:rPr>
          <w:b/>
          <w:bCs/>
          <w:sz w:val="24"/>
        </w:rPr>
      </w:pPr>
      <w:r w:rsidRPr="642E8986">
        <w:rPr>
          <w:b/>
          <w:bCs/>
          <w:sz w:val="24"/>
        </w:rPr>
        <w:t xml:space="preserve">S1.3 Comparison with other global models and aloft </w:t>
      </w:r>
      <w:r w:rsidRPr="006758B2">
        <w:rPr>
          <w:color w:val="000000" w:themeColor="text1"/>
          <w:sz w:val="24"/>
        </w:rPr>
        <w:t>O</w:t>
      </w:r>
      <w:r w:rsidRPr="006758B2">
        <w:rPr>
          <w:color w:val="000000" w:themeColor="text1"/>
          <w:sz w:val="24"/>
          <w:vertAlign w:val="subscript"/>
        </w:rPr>
        <w:t>3</w:t>
      </w:r>
      <w:r w:rsidR="642E8986" w:rsidRPr="642E8986">
        <w:rPr>
          <w:b/>
          <w:bCs/>
          <w:sz w:val="24"/>
        </w:rPr>
        <w:t xml:space="preserve"> </w:t>
      </w:r>
      <w:r w:rsidRPr="642E8986">
        <w:rPr>
          <w:b/>
          <w:bCs/>
          <w:sz w:val="24"/>
        </w:rPr>
        <w:t>measurements</w:t>
      </w:r>
    </w:p>
    <w:p w14:paraId="6437C6D6" w14:textId="601AE6A0" w:rsidR="00DB061C" w:rsidRDefault="00DB061C" w:rsidP="642E8986">
      <w:pPr>
        <w:rPr>
          <w:sz w:val="24"/>
        </w:rPr>
      </w:pPr>
      <w:r w:rsidRPr="642E8986">
        <w:rPr>
          <w:sz w:val="24"/>
        </w:rPr>
        <w:t>As part of activities of the Air Quality Model Evaluation International Initiative (AQMEII) and Task Force on Hemispheric Transport of Air Pollution (TF-HTAP), Hogrefe et al. (2018) conducted extensive comparisons of three-dimensional tropospheric O</w:t>
      </w:r>
      <w:r w:rsidRPr="642E8986">
        <w:rPr>
          <w:sz w:val="24"/>
          <w:vertAlign w:val="subscript"/>
        </w:rPr>
        <w:t>3</w:t>
      </w:r>
      <w:r w:rsidR="642E8986" w:rsidRPr="642E8986">
        <w:rPr>
          <w:sz w:val="24"/>
        </w:rPr>
        <w:t xml:space="preserve"> </w:t>
      </w:r>
      <w:r w:rsidRPr="642E8986">
        <w:rPr>
          <w:sz w:val="24"/>
        </w:rPr>
        <w:t xml:space="preserve"> distributions derived from the </w:t>
      </w:r>
      <w:r w:rsidR="00B92DC2">
        <w:rPr>
          <w:sz w:val="24"/>
        </w:rPr>
        <w:t>HCMAQ</w:t>
      </w:r>
      <w:r w:rsidRPr="642E8986">
        <w:rPr>
          <w:sz w:val="24"/>
        </w:rPr>
        <w:t xml:space="preserve"> model for the year 2010 with those from contemporary global chemistry transport models, including the Chemistry – Integrated Forecasting Model (C-IFS)</w:t>
      </w:r>
      <w:r w:rsidR="00D23BC4" w:rsidRPr="642E8986">
        <w:rPr>
          <w:sz w:val="24"/>
        </w:rPr>
        <w:t xml:space="preserve"> (Flemming et al., 2015)</w:t>
      </w:r>
      <w:r w:rsidRPr="642E8986">
        <w:rPr>
          <w:sz w:val="24"/>
        </w:rPr>
        <w:t>, the Goddard Earth Observing System model coupled to chemistry (GEOS-Chem)</w:t>
      </w:r>
      <w:r w:rsidR="00D23BC4" w:rsidRPr="642E8986">
        <w:rPr>
          <w:sz w:val="24"/>
        </w:rPr>
        <w:t xml:space="preserve"> (Bey et al., 2001)</w:t>
      </w:r>
      <w:r w:rsidRPr="642E8986">
        <w:rPr>
          <w:sz w:val="24"/>
        </w:rPr>
        <w:t>, and AM3</w:t>
      </w:r>
      <w:r w:rsidR="00D23BC4" w:rsidRPr="642E8986">
        <w:rPr>
          <w:sz w:val="24"/>
        </w:rPr>
        <w:t xml:space="preserve"> (Donner et al., 2011)</w:t>
      </w:r>
      <w:r w:rsidRPr="642E8986">
        <w:rPr>
          <w:sz w:val="24"/>
        </w:rPr>
        <w:t>. Comparisons of time-height cross sections of monthly-mean O</w:t>
      </w:r>
      <w:r w:rsidRPr="642E8986">
        <w:rPr>
          <w:sz w:val="24"/>
          <w:vertAlign w:val="subscript"/>
        </w:rPr>
        <w:t>3</w:t>
      </w:r>
      <w:r w:rsidR="642E8986" w:rsidRPr="642E8986">
        <w:rPr>
          <w:sz w:val="24"/>
        </w:rPr>
        <w:t xml:space="preserve"> </w:t>
      </w:r>
      <w:r w:rsidRPr="642E8986">
        <w:rPr>
          <w:sz w:val="24"/>
        </w:rPr>
        <w:t xml:space="preserve">mixing ratios at locations of several ozonesonde launch sites across North America (Figure 8 in Hogrefe et al., 2018) indicate that </w:t>
      </w:r>
      <w:r w:rsidR="00B92DC2">
        <w:rPr>
          <w:sz w:val="24"/>
        </w:rPr>
        <w:t>HCMAQ</w:t>
      </w:r>
      <w:r w:rsidRPr="642E8986">
        <w:rPr>
          <w:sz w:val="24"/>
        </w:rPr>
        <w:t xml:space="preserve"> model was able to reproduce the seasonal variations in the observed three-dimensional O</w:t>
      </w:r>
      <w:r w:rsidRPr="642E8986">
        <w:rPr>
          <w:sz w:val="24"/>
          <w:vertAlign w:val="subscript"/>
        </w:rPr>
        <w:t>3</w:t>
      </w:r>
      <w:r w:rsidR="642E8986" w:rsidRPr="642E8986">
        <w:rPr>
          <w:sz w:val="24"/>
        </w:rPr>
        <w:t xml:space="preserve"> </w:t>
      </w:r>
      <w:r w:rsidRPr="642E8986">
        <w:rPr>
          <w:sz w:val="24"/>
        </w:rPr>
        <w:t xml:space="preserve">structure both at locations nominally </w:t>
      </w:r>
      <w:r w:rsidRPr="642E8986">
        <w:rPr>
          <w:sz w:val="24"/>
        </w:rPr>
        <w:lastRenderedPageBreak/>
        <w:t xml:space="preserve">representative of inflow along the western and northern boundaries (at sites Trinidad Head, Edmonton, Churchill) as well as across the contiguous U.S. (at sites Boulder, Huntsville, Wallops Island). Additionally, both the magnitude and the seasonal variations in model bias and error in </w:t>
      </w:r>
      <w:r w:rsidR="00B92DC2">
        <w:rPr>
          <w:sz w:val="24"/>
        </w:rPr>
        <w:t>HCMAQ</w:t>
      </w:r>
      <w:r w:rsidRPr="642E8986">
        <w:rPr>
          <w:sz w:val="24"/>
        </w:rPr>
        <w:t xml:space="preserve"> were similar and in range of those from the other 3 large scale models. Comparison of monthly mean O</w:t>
      </w:r>
      <w:r w:rsidRPr="642E8986">
        <w:rPr>
          <w:sz w:val="24"/>
          <w:vertAlign w:val="subscript"/>
        </w:rPr>
        <w:t>3</w:t>
      </w:r>
      <w:r w:rsidR="642E8986" w:rsidRPr="642E8986">
        <w:rPr>
          <w:sz w:val="24"/>
        </w:rPr>
        <w:t xml:space="preserve"> </w:t>
      </w:r>
      <w:r w:rsidRPr="642E8986">
        <w:rPr>
          <w:sz w:val="24"/>
        </w:rPr>
        <w:t xml:space="preserve">variations at 500mb at the 6 sites (Figure 9 in Hogrefe et al., 2018) further illustrate that the </w:t>
      </w:r>
      <w:r w:rsidR="00B92DC2">
        <w:rPr>
          <w:sz w:val="24"/>
        </w:rPr>
        <w:t>HCMAQ</w:t>
      </w:r>
      <w:r w:rsidRPr="642E8986">
        <w:rPr>
          <w:sz w:val="24"/>
        </w:rPr>
        <w:t xml:space="preserve"> model is able to capture the influence of large</w:t>
      </w:r>
      <w:r w:rsidR="009507E7" w:rsidRPr="642E8986">
        <w:rPr>
          <w:sz w:val="24"/>
        </w:rPr>
        <w:t>-</w:t>
      </w:r>
      <w:r w:rsidRPr="642E8986">
        <w:rPr>
          <w:sz w:val="24"/>
        </w:rPr>
        <w:t>scale flow patterns on tropospheric O</w:t>
      </w:r>
      <w:r w:rsidRPr="642E8986">
        <w:rPr>
          <w:sz w:val="24"/>
          <w:vertAlign w:val="subscript"/>
        </w:rPr>
        <w:t>3</w:t>
      </w:r>
      <w:r w:rsidR="642E8986" w:rsidRPr="642E8986">
        <w:rPr>
          <w:sz w:val="24"/>
        </w:rPr>
        <w:t xml:space="preserve"> </w:t>
      </w:r>
      <w:r w:rsidRPr="642E8986">
        <w:rPr>
          <w:sz w:val="24"/>
        </w:rPr>
        <w:t>distributions and that its skill is comparable if not better than the other modeling systems. Extending the analysis presented in Hogrefe et al. (2018), Figure S2 presents a comparison of surface-750mb average O</w:t>
      </w:r>
      <w:r w:rsidRPr="642E8986">
        <w:rPr>
          <w:sz w:val="24"/>
          <w:vertAlign w:val="subscript"/>
        </w:rPr>
        <w:t>3</w:t>
      </w:r>
      <w:r w:rsidR="642E8986" w:rsidRPr="642E8986">
        <w:rPr>
          <w:sz w:val="24"/>
        </w:rPr>
        <w:t xml:space="preserve"> </w:t>
      </w:r>
      <w:r w:rsidRPr="642E8986">
        <w:rPr>
          <w:sz w:val="24"/>
        </w:rPr>
        <w:t xml:space="preserve">distributions derived from </w:t>
      </w:r>
      <w:r w:rsidR="00B92DC2">
        <w:rPr>
          <w:sz w:val="24"/>
        </w:rPr>
        <w:t>HCMAQ</w:t>
      </w:r>
      <w:r w:rsidRPr="642E8986">
        <w:rPr>
          <w:sz w:val="24"/>
        </w:rPr>
        <w:t xml:space="preserve"> with those inferred from measurements at six ozonesonde sites. Also shown in the figure is the range of predictions from the other 3 global models.  Note that surface-750mb average is indicative of the “PBL-average” values used in the analysis in the manuscript main text and thus directly representative of the performance of the O</w:t>
      </w:r>
      <w:r w:rsidRPr="642E8986">
        <w:rPr>
          <w:sz w:val="24"/>
          <w:vertAlign w:val="subscript"/>
        </w:rPr>
        <w:t>3</w:t>
      </w:r>
      <w:r w:rsidR="642E8986" w:rsidRPr="642E8986">
        <w:rPr>
          <w:sz w:val="24"/>
        </w:rPr>
        <w:t xml:space="preserve"> </w:t>
      </w:r>
      <w:r w:rsidRPr="642E8986">
        <w:rPr>
          <w:sz w:val="24"/>
        </w:rPr>
        <w:t xml:space="preserve">concentration metric used in the analysis presented in the main text. </w:t>
      </w:r>
      <w:r w:rsidR="00F04D6E" w:rsidRPr="642E8986">
        <w:rPr>
          <w:sz w:val="24"/>
        </w:rPr>
        <w:t xml:space="preserve">As illustrated in Figure S2, across all sites, the difference between the </w:t>
      </w:r>
      <w:r w:rsidR="00B92DC2">
        <w:rPr>
          <w:sz w:val="24"/>
        </w:rPr>
        <w:t>HCMAQ</w:t>
      </w:r>
      <w:r w:rsidR="00F04D6E" w:rsidRPr="642E8986">
        <w:rPr>
          <w:sz w:val="24"/>
        </w:rPr>
        <w:t xml:space="preserve"> predictions and observations is much smaller than the range of predictions from the other models. </w:t>
      </w:r>
      <w:r w:rsidRPr="642E8986">
        <w:rPr>
          <w:sz w:val="24"/>
        </w:rPr>
        <w:t>These comparisons further show that the model replicates the seasonal variations in lower tropospheric O</w:t>
      </w:r>
      <w:r w:rsidRPr="642E8986">
        <w:rPr>
          <w:sz w:val="24"/>
          <w:vertAlign w:val="subscript"/>
        </w:rPr>
        <w:t>3</w:t>
      </w:r>
      <w:r w:rsidR="642E8986" w:rsidRPr="642E8986">
        <w:rPr>
          <w:sz w:val="24"/>
        </w:rPr>
        <w:t xml:space="preserve"> </w:t>
      </w:r>
      <w:r w:rsidRPr="642E8986">
        <w:rPr>
          <w:sz w:val="24"/>
        </w:rPr>
        <w:t>across the U.S. with skill comparable to and often better than other contemporary global chemistry-transport models.</w:t>
      </w:r>
      <w:r w:rsidR="00F04D6E" w:rsidRPr="642E8986">
        <w:rPr>
          <w:sz w:val="24"/>
        </w:rPr>
        <w:t xml:space="preserve"> </w:t>
      </w:r>
    </w:p>
    <w:p w14:paraId="4AD3E2DF" w14:textId="1EC6F8DC" w:rsidR="00DB061C" w:rsidRDefault="004C30AD" w:rsidP="00DB061C">
      <w:pPr>
        <w:jc w:val="center"/>
        <w:rPr>
          <w:sz w:val="24"/>
        </w:rPr>
      </w:pPr>
      <w:r w:rsidRPr="004C30AD">
        <w:rPr>
          <w:noProof/>
        </w:rPr>
        <w:lastRenderedPageBreak/>
        <w:drawing>
          <wp:inline distT="0" distB="0" distL="0" distR="0" wp14:anchorId="13567AD3" wp14:editId="518B7D36">
            <wp:extent cx="5400675" cy="4983507"/>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2761" cy="4985432"/>
                    </a:xfrm>
                    <a:prstGeom prst="rect">
                      <a:avLst/>
                    </a:prstGeom>
                  </pic:spPr>
                </pic:pic>
              </a:graphicData>
            </a:graphic>
          </wp:inline>
        </w:drawing>
      </w:r>
    </w:p>
    <w:p w14:paraId="3DB36AC4" w14:textId="76A0E0F6" w:rsidR="00DB061C" w:rsidRPr="00233466" w:rsidRDefault="00DB061C" w:rsidP="009E6398">
      <w:pPr>
        <w:spacing w:line="240" w:lineRule="auto"/>
      </w:pPr>
      <w:r w:rsidRPr="642E8986">
        <w:rPr>
          <w:b/>
          <w:bCs/>
        </w:rPr>
        <w:t>Figure S2</w:t>
      </w:r>
      <w:r>
        <w:t xml:space="preserve">: Comparison of monthly-mean “PBL-average” (surface-~750mb) ozone predictions with ozonesonde measurements at several locations across the U.S. for the year 2010. Blue line represents </w:t>
      </w:r>
      <w:r w:rsidR="00B92DC2">
        <w:t>HCMAQ</w:t>
      </w:r>
      <w:r>
        <w:t xml:space="preserve"> predictions, while the dash red lines represent the range of predictions (minimum and maximum) from the other global chemistry-transport models analyzed in Hogrefe et al. (2018).  Shaded area depicts the range of observations averaged over varying layer structures of the different models.</w:t>
      </w:r>
    </w:p>
    <w:p w14:paraId="2713AE4E" w14:textId="77777777" w:rsidR="00DB061C" w:rsidRPr="00AA5CF7" w:rsidRDefault="00DB061C" w:rsidP="00DB061C">
      <w:pPr>
        <w:rPr>
          <w:sz w:val="24"/>
        </w:rPr>
      </w:pPr>
    </w:p>
    <w:p w14:paraId="3912BCA7" w14:textId="18A7C8EC" w:rsidR="00DB061C" w:rsidRPr="00AA5CF7" w:rsidRDefault="00DB061C" w:rsidP="00C41766">
      <w:pPr>
        <w:spacing w:before="120"/>
        <w:rPr>
          <w:b/>
          <w:bCs/>
          <w:sz w:val="24"/>
        </w:rPr>
      </w:pPr>
      <w:r>
        <w:rPr>
          <w:b/>
          <w:bCs/>
          <w:sz w:val="24"/>
        </w:rPr>
        <w:t xml:space="preserve">S2 Impacts of using only first-order sensitivity coefficients on </w:t>
      </w:r>
      <w:r w:rsidR="00643EBA">
        <w:rPr>
          <w:b/>
          <w:bCs/>
          <w:sz w:val="24"/>
        </w:rPr>
        <w:t xml:space="preserve">estimates of </w:t>
      </w:r>
      <w:r>
        <w:rPr>
          <w:b/>
          <w:bCs/>
          <w:sz w:val="24"/>
        </w:rPr>
        <w:t>LRT O</w:t>
      </w:r>
      <w:r>
        <w:rPr>
          <w:b/>
          <w:bCs/>
          <w:sz w:val="24"/>
          <w:vertAlign w:val="subscript"/>
        </w:rPr>
        <w:t>3</w:t>
      </w:r>
    </w:p>
    <w:p w14:paraId="1EDC361A" w14:textId="755FB194" w:rsidR="00DB061C" w:rsidRPr="003C5C92" w:rsidRDefault="00DB061C" w:rsidP="642E8986">
      <w:pPr>
        <w:rPr>
          <w:color w:val="2E2E2E"/>
          <w:sz w:val="24"/>
        </w:rPr>
      </w:pPr>
      <w:r w:rsidRPr="642E8986">
        <w:rPr>
          <w:color w:val="2E2E2E"/>
          <w:sz w:val="24"/>
        </w:rPr>
        <w:t>Since O</w:t>
      </w:r>
      <w:r w:rsidRPr="642E8986">
        <w:rPr>
          <w:color w:val="2E2E2E"/>
          <w:sz w:val="24"/>
          <w:vertAlign w:val="subscript"/>
        </w:rPr>
        <w:t>3</w:t>
      </w:r>
      <w:r w:rsidRPr="642E8986">
        <w:rPr>
          <w:color w:val="2E2E2E"/>
          <w:sz w:val="24"/>
        </w:rPr>
        <w:t xml:space="preserve"> production is dependent on both NO</w:t>
      </w:r>
      <w:r w:rsidRPr="642E8986">
        <w:rPr>
          <w:color w:val="2E2E2E"/>
          <w:sz w:val="24"/>
          <w:vertAlign w:val="subscript"/>
        </w:rPr>
        <w:t>x</w:t>
      </w:r>
      <w:r w:rsidRPr="642E8986">
        <w:rPr>
          <w:color w:val="2E2E2E"/>
          <w:sz w:val="24"/>
        </w:rPr>
        <w:t xml:space="preserve"> and VOC emissions, calculating both first and second order sensitivity coefficients for O</w:t>
      </w:r>
      <w:r w:rsidRPr="642E8986">
        <w:rPr>
          <w:color w:val="2E2E2E"/>
          <w:sz w:val="24"/>
          <w:vertAlign w:val="subscript"/>
        </w:rPr>
        <w:t>3</w:t>
      </w:r>
      <w:r w:rsidRPr="642E8986">
        <w:rPr>
          <w:color w:val="2E2E2E"/>
          <w:sz w:val="24"/>
        </w:rPr>
        <w:t xml:space="preserve"> to both precursors and for each source region for extended simulation periods becomes computationally prohibitive.  Thus, in the current study we tracked only first order sensitivity coefficients of </w:t>
      </w:r>
      <w:r w:rsidRPr="642E8986">
        <w:rPr>
          <w:sz w:val="24"/>
        </w:rPr>
        <w:t>O</w:t>
      </w:r>
      <w:r w:rsidRPr="642E8986">
        <w:rPr>
          <w:sz w:val="24"/>
          <w:vertAlign w:val="subscript"/>
        </w:rPr>
        <w:t>3</w:t>
      </w:r>
      <w:r w:rsidR="642E8986" w:rsidRPr="642E8986">
        <w:rPr>
          <w:color w:val="2E2E2E"/>
          <w:sz w:val="24"/>
        </w:rPr>
        <w:t xml:space="preserve"> </w:t>
      </w:r>
      <w:r w:rsidRPr="642E8986">
        <w:rPr>
          <w:color w:val="2E2E2E"/>
          <w:sz w:val="24"/>
        </w:rPr>
        <w:t>to NO</w:t>
      </w:r>
      <w:r w:rsidRPr="642E8986">
        <w:rPr>
          <w:color w:val="2E2E2E"/>
          <w:sz w:val="24"/>
          <w:vertAlign w:val="subscript"/>
        </w:rPr>
        <w:t>x</w:t>
      </w:r>
      <w:r w:rsidRPr="642E8986">
        <w:rPr>
          <w:color w:val="2E2E2E"/>
          <w:sz w:val="24"/>
        </w:rPr>
        <w:t xml:space="preserve"> and VOC emissions from each of the source regions in Figure 1 of the main text.  To examine the impact of this assumption and not using source specific higher order sensitivity coefficients, we compared the estimated impacts of East Asia emissions on long range transported O</w:t>
      </w:r>
      <w:r w:rsidRPr="642E8986">
        <w:rPr>
          <w:color w:val="2E2E2E"/>
          <w:sz w:val="24"/>
          <w:vertAlign w:val="subscript"/>
        </w:rPr>
        <w:t>3</w:t>
      </w:r>
      <w:r w:rsidRPr="642E8986">
        <w:rPr>
          <w:color w:val="2E2E2E"/>
          <w:sz w:val="24"/>
        </w:rPr>
        <w:t xml:space="preserve"> across North America using the sensitivity </w:t>
      </w:r>
      <w:r w:rsidRPr="642E8986">
        <w:rPr>
          <w:color w:val="2E2E2E"/>
          <w:sz w:val="24"/>
        </w:rPr>
        <w:lastRenderedPageBreak/>
        <w:t>calculations in our previously analysis reported in Itahashi et al. (2020). Figure S3 compares the zero-out contributions of East Asia emissions on</w:t>
      </w:r>
      <w:r w:rsidR="00083A39">
        <w:rPr>
          <w:color w:val="2E2E2E"/>
          <w:sz w:val="24"/>
        </w:rPr>
        <w:t xml:space="preserve"> </w:t>
      </w:r>
      <w:r w:rsidRPr="642E8986">
        <w:rPr>
          <w:color w:val="2E2E2E"/>
          <w:sz w:val="24"/>
        </w:rPr>
        <w:t xml:space="preserve">monthly mean surface-level </w:t>
      </w:r>
      <w:r w:rsidRPr="642E8986">
        <w:rPr>
          <w:sz w:val="24"/>
        </w:rPr>
        <w:t>O</w:t>
      </w:r>
      <w:r w:rsidRPr="642E8986">
        <w:rPr>
          <w:sz w:val="24"/>
          <w:vertAlign w:val="subscript"/>
        </w:rPr>
        <w:t>3</w:t>
      </w:r>
      <w:r w:rsidR="642E8986" w:rsidRPr="642E8986">
        <w:rPr>
          <w:color w:val="2E2E2E"/>
          <w:sz w:val="24"/>
        </w:rPr>
        <w:t xml:space="preserve"> </w:t>
      </w:r>
      <w:r w:rsidRPr="642E8986">
        <w:rPr>
          <w:color w:val="2E2E2E"/>
          <w:sz w:val="24"/>
        </w:rPr>
        <w:t>mixing ratios across North America using only the first order sensitivity coefficients for East Asia NO</w:t>
      </w:r>
      <w:r w:rsidRPr="642E8986">
        <w:rPr>
          <w:color w:val="2E2E2E"/>
          <w:sz w:val="24"/>
          <w:vertAlign w:val="subscript"/>
        </w:rPr>
        <w:t>x</w:t>
      </w:r>
      <w:r w:rsidRPr="642E8986">
        <w:rPr>
          <w:color w:val="2E2E2E"/>
          <w:sz w:val="24"/>
        </w:rPr>
        <w:t xml:space="preserve"> and VOC emissions with estimates using both first and second-order sensitivity coefficients for East Asia NO</w:t>
      </w:r>
      <w:r w:rsidRPr="642E8986">
        <w:rPr>
          <w:color w:val="2E2E2E"/>
          <w:sz w:val="24"/>
          <w:vertAlign w:val="subscript"/>
        </w:rPr>
        <w:t>x</w:t>
      </w:r>
      <w:r w:rsidRPr="642E8986">
        <w:rPr>
          <w:color w:val="2E2E2E"/>
          <w:sz w:val="24"/>
        </w:rPr>
        <w:t xml:space="preserve"> and VOC emissions. As illustrated in Figure S3, the estimated far field impacts of East Asia emissions on long-range transported O</w:t>
      </w:r>
      <w:r w:rsidRPr="642E8986">
        <w:rPr>
          <w:color w:val="2E2E2E"/>
          <w:sz w:val="24"/>
          <w:vertAlign w:val="subscript"/>
        </w:rPr>
        <w:t>3</w:t>
      </w:r>
      <w:r w:rsidRPr="642E8986">
        <w:rPr>
          <w:color w:val="2E2E2E"/>
          <w:sz w:val="24"/>
        </w:rPr>
        <w:t xml:space="preserve"> to North America (both magnitude and spatial distribution) are very similar for the two cases, indicating very minimal impact of this approximation on our study results and conclusions related long-range transport from distant emission sources.</w:t>
      </w:r>
    </w:p>
    <w:p w14:paraId="01143859" w14:textId="77777777" w:rsidR="00DB061C" w:rsidRDefault="00DB061C" w:rsidP="00DB061C">
      <w:pPr>
        <w:rPr>
          <w:sz w:val="24"/>
        </w:rPr>
      </w:pPr>
    </w:p>
    <w:p w14:paraId="7FC26AF2" w14:textId="77777777" w:rsidR="00DB061C" w:rsidRDefault="00DB061C" w:rsidP="00DB061C">
      <w:pPr>
        <w:jc w:val="center"/>
        <w:rPr>
          <w:sz w:val="24"/>
        </w:rPr>
      </w:pPr>
      <w:r>
        <w:rPr>
          <w:noProof/>
          <w:sz w:val="24"/>
        </w:rPr>
        <w:drawing>
          <wp:inline distT="0" distB="0" distL="0" distR="0" wp14:anchorId="7E76E720" wp14:editId="328DBC99">
            <wp:extent cx="4959350" cy="23177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1">
                      <a:extLst>
                        <a:ext uri="{28A0092B-C50C-407E-A947-70E740481C1C}">
                          <a14:useLocalDpi xmlns:a14="http://schemas.microsoft.com/office/drawing/2010/main" val="0"/>
                        </a:ext>
                      </a:extLst>
                    </a:blip>
                    <a:srcRect l="-1" t="11776" r="16562" b="18898"/>
                    <a:stretch/>
                  </pic:blipFill>
                  <pic:spPr bwMode="auto">
                    <a:xfrm>
                      <a:off x="0" y="0"/>
                      <a:ext cx="4959350" cy="2317750"/>
                    </a:xfrm>
                    <a:prstGeom prst="rect">
                      <a:avLst/>
                    </a:prstGeom>
                    <a:ln>
                      <a:noFill/>
                    </a:ln>
                    <a:extLst>
                      <a:ext uri="{53640926-AAD7-44D8-BBD7-CCE9431645EC}">
                        <a14:shadowObscured xmlns:a14="http://schemas.microsoft.com/office/drawing/2010/main"/>
                      </a:ext>
                    </a:extLst>
                  </pic:spPr>
                </pic:pic>
              </a:graphicData>
            </a:graphic>
          </wp:inline>
        </w:drawing>
      </w:r>
    </w:p>
    <w:p w14:paraId="608DC418" w14:textId="77777777" w:rsidR="00DB061C" w:rsidRPr="009E6398" w:rsidRDefault="00DB061C" w:rsidP="009E6398">
      <w:pPr>
        <w:spacing w:line="240" w:lineRule="auto"/>
        <w:rPr>
          <w:szCs w:val="20"/>
        </w:rPr>
      </w:pPr>
      <w:r w:rsidRPr="009E6398">
        <w:rPr>
          <w:b/>
          <w:bCs/>
          <w:szCs w:val="20"/>
        </w:rPr>
        <w:t>Figure S3</w:t>
      </w:r>
      <w:r w:rsidRPr="009E6398">
        <w:rPr>
          <w:szCs w:val="20"/>
        </w:rPr>
        <w:t>: Estimated monthly-average (for April 2010) contributions of East Asian emissions to O</w:t>
      </w:r>
      <w:r w:rsidRPr="009E6398">
        <w:rPr>
          <w:szCs w:val="20"/>
          <w:vertAlign w:val="subscript"/>
        </w:rPr>
        <w:t>3</w:t>
      </w:r>
      <w:r w:rsidRPr="009E6398">
        <w:rPr>
          <w:szCs w:val="20"/>
        </w:rPr>
        <w:t xml:space="preserve"> mixing ratios (ppb) over North America using first-order sensitivity coefficients (left) and both first- and second-order sensitivity coefficients. Results derived from model calculations described previously in Itahashi et al. (2020).</w:t>
      </w:r>
    </w:p>
    <w:p w14:paraId="3F7C89BF" w14:textId="22F4E8EF" w:rsidR="00DB061C" w:rsidRDefault="00DB061C" w:rsidP="00DB061C">
      <w:pPr>
        <w:rPr>
          <w:sz w:val="24"/>
        </w:rPr>
      </w:pPr>
    </w:p>
    <w:p w14:paraId="46275456" w14:textId="59CCBB7D" w:rsidR="00643EBA" w:rsidRPr="00643EBA" w:rsidRDefault="00643EBA" w:rsidP="00EF0230">
      <w:pPr>
        <w:spacing w:before="120"/>
        <w:rPr>
          <w:b/>
          <w:bCs/>
          <w:sz w:val="24"/>
        </w:rPr>
      </w:pPr>
      <w:r>
        <w:rPr>
          <w:b/>
          <w:bCs/>
          <w:sz w:val="24"/>
        </w:rPr>
        <w:t>S3 Comparison of reconstructed and original O</w:t>
      </w:r>
      <w:r>
        <w:rPr>
          <w:b/>
          <w:bCs/>
          <w:sz w:val="24"/>
          <w:vertAlign w:val="subscript"/>
        </w:rPr>
        <w:t>3</w:t>
      </w:r>
      <w:r>
        <w:rPr>
          <w:b/>
          <w:bCs/>
          <w:sz w:val="24"/>
        </w:rPr>
        <w:t xml:space="preserve"> fields</w:t>
      </w:r>
    </w:p>
    <w:p w14:paraId="241D4091" w14:textId="02A81CBC" w:rsidR="00EB714A" w:rsidRDefault="00643EBA" w:rsidP="00DB061C">
      <w:pPr>
        <w:rPr>
          <w:sz w:val="24"/>
        </w:rPr>
      </w:pPr>
      <w:r>
        <w:rPr>
          <w:sz w:val="24"/>
        </w:rPr>
        <w:t>In order to compare the reconstructed O</w:t>
      </w:r>
      <w:r>
        <w:rPr>
          <w:sz w:val="24"/>
          <w:vertAlign w:val="subscript"/>
        </w:rPr>
        <w:t>3</w:t>
      </w:r>
      <w:r>
        <w:rPr>
          <w:sz w:val="24"/>
        </w:rPr>
        <w:t xml:space="preserve"> field derived from Equation 12 with the original fields from the model, Figure S4 presents the ratio of the original field to the reconstructed field. These correspond to Spring-mean PBL-average values for three representative years.  For </w:t>
      </w:r>
      <w:r w:rsidR="004C30AD">
        <w:rPr>
          <w:sz w:val="24"/>
        </w:rPr>
        <w:t xml:space="preserve">a </w:t>
      </w:r>
      <w:r>
        <w:rPr>
          <w:sz w:val="24"/>
        </w:rPr>
        <w:t xml:space="preserve">majority of the grid cells across the Contiguous U.S., the reconstructed values based on Equation 12 in the main text are within 6% of the original model estimate and typically within 15%. </w:t>
      </w:r>
      <w:r w:rsidR="00EB714A">
        <w:rPr>
          <w:sz w:val="24"/>
        </w:rPr>
        <w:t>Comparison of 1990-2010 trends in PBL-average O</w:t>
      </w:r>
      <w:r w:rsidR="00EB714A">
        <w:rPr>
          <w:sz w:val="24"/>
          <w:vertAlign w:val="subscript"/>
        </w:rPr>
        <w:t>3</w:t>
      </w:r>
      <w:r w:rsidR="00EB714A">
        <w:rPr>
          <w:sz w:val="24"/>
        </w:rPr>
        <w:t xml:space="preserve"> during Spring </w:t>
      </w:r>
      <w:r w:rsidR="00D773D0">
        <w:rPr>
          <w:sz w:val="24"/>
        </w:rPr>
        <w:t xml:space="preserve">(Figure S5) </w:t>
      </w:r>
      <w:r w:rsidR="00EB714A">
        <w:rPr>
          <w:sz w:val="24"/>
        </w:rPr>
        <w:t>further suggest that the trends inferred from the reconstructed fields largely match those inferred from the original field across</w:t>
      </w:r>
      <w:r w:rsidR="004C30AD">
        <w:rPr>
          <w:sz w:val="24"/>
        </w:rPr>
        <w:t xml:space="preserve"> a</w:t>
      </w:r>
      <w:r w:rsidR="00EB714A">
        <w:rPr>
          <w:sz w:val="24"/>
        </w:rPr>
        <w:t xml:space="preserve"> majority of the contiguous U.S. and show consistency in the regions with increasing or decreasing trends with the exception in regions of south Florida</w:t>
      </w:r>
      <w:r w:rsidR="00EF0230">
        <w:rPr>
          <w:sz w:val="24"/>
        </w:rPr>
        <w:t xml:space="preserve"> and portions along the Gulf coast</w:t>
      </w:r>
      <w:r w:rsidR="00EB714A">
        <w:rPr>
          <w:sz w:val="24"/>
        </w:rPr>
        <w:t xml:space="preserve">, where the </w:t>
      </w:r>
      <w:r w:rsidR="00EB714A">
        <w:rPr>
          <w:sz w:val="24"/>
        </w:rPr>
        <w:lastRenderedPageBreak/>
        <w:t>coefficient of determination (R</w:t>
      </w:r>
      <w:r w:rsidR="00EB714A">
        <w:rPr>
          <w:sz w:val="24"/>
          <w:vertAlign w:val="superscript"/>
        </w:rPr>
        <w:t>2</w:t>
      </w:r>
      <w:r w:rsidR="00EB714A">
        <w:rPr>
          <w:sz w:val="24"/>
        </w:rPr>
        <w:t>) for the linear regression estimating the trends are also very low. This may be due to meteorological variability that is not captured adequately even in the original coarse resolution model calculations.</w:t>
      </w:r>
    </w:p>
    <w:p w14:paraId="2898DE96" w14:textId="210C7B9A" w:rsidR="00643EBA" w:rsidRDefault="00EB714A" w:rsidP="00DB061C">
      <w:pPr>
        <w:rPr>
          <w:sz w:val="24"/>
        </w:rPr>
      </w:pPr>
      <w:r>
        <w:rPr>
          <w:noProof/>
          <w:sz w:val="24"/>
        </w:rPr>
        <w:drawing>
          <wp:inline distT="0" distB="0" distL="0" distR="0" wp14:anchorId="35DF8E62" wp14:editId="358D405D">
            <wp:extent cx="5943435" cy="1570008"/>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rotWithShape="1">
                    <a:blip r:embed="rId12">
                      <a:extLst>
                        <a:ext uri="{28A0092B-C50C-407E-A947-70E740481C1C}">
                          <a14:useLocalDpi xmlns:a14="http://schemas.microsoft.com/office/drawing/2010/main" val="0"/>
                        </a:ext>
                      </a:extLst>
                    </a:blip>
                    <a:srcRect t="22448" b="30590"/>
                    <a:stretch/>
                  </pic:blipFill>
                  <pic:spPr bwMode="auto">
                    <a:xfrm>
                      <a:off x="0" y="0"/>
                      <a:ext cx="5943600" cy="1570052"/>
                    </a:xfrm>
                    <a:prstGeom prst="rect">
                      <a:avLst/>
                    </a:prstGeom>
                    <a:ln>
                      <a:noFill/>
                    </a:ln>
                    <a:extLst>
                      <a:ext uri="{53640926-AAD7-44D8-BBD7-CCE9431645EC}">
                        <a14:shadowObscured xmlns:a14="http://schemas.microsoft.com/office/drawing/2010/main"/>
                      </a:ext>
                    </a:extLst>
                  </pic:spPr>
                </pic:pic>
              </a:graphicData>
            </a:graphic>
          </wp:inline>
        </w:drawing>
      </w:r>
      <w:r w:rsidR="00643EBA">
        <w:rPr>
          <w:sz w:val="24"/>
        </w:rPr>
        <w:t xml:space="preserve"> </w:t>
      </w:r>
    </w:p>
    <w:p w14:paraId="76EE815C" w14:textId="3731AB50" w:rsidR="00EB714A" w:rsidRPr="009E6398" w:rsidRDefault="00765FB0" w:rsidP="00765FB0">
      <w:pPr>
        <w:spacing w:line="240" w:lineRule="auto"/>
        <w:rPr>
          <w:szCs w:val="20"/>
        </w:rPr>
      </w:pPr>
      <w:r w:rsidRPr="009E6398">
        <w:rPr>
          <w:b/>
          <w:bCs/>
          <w:szCs w:val="20"/>
        </w:rPr>
        <w:t>Figure S4</w:t>
      </w:r>
      <w:r w:rsidRPr="009E6398">
        <w:rPr>
          <w:szCs w:val="20"/>
        </w:rPr>
        <w:t>: Ratio of modeled and reconstructed PBL-average ozone fields during Spring for three representative years: 1990, 2000, and 2010</w:t>
      </w:r>
    </w:p>
    <w:p w14:paraId="0785F8D4" w14:textId="64DE9067" w:rsidR="00765FB0" w:rsidRDefault="00765FB0" w:rsidP="00765FB0">
      <w:pPr>
        <w:spacing w:line="240" w:lineRule="auto"/>
        <w:rPr>
          <w:sz w:val="24"/>
        </w:rPr>
      </w:pPr>
    </w:p>
    <w:p w14:paraId="4956AD90" w14:textId="77777777" w:rsidR="009E6398" w:rsidRDefault="009E6398" w:rsidP="00765FB0">
      <w:pPr>
        <w:spacing w:line="240" w:lineRule="auto"/>
        <w:rPr>
          <w:sz w:val="24"/>
        </w:rPr>
      </w:pPr>
    </w:p>
    <w:p w14:paraId="2769FA22" w14:textId="5093AD71" w:rsidR="00EB714A" w:rsidRDefault="00EB714A" w:rsidP="00DB061C">
      <w:pPr>
        <w:rPr>
          <w:sz w:val="24"/>
        </w:rPr>
      </w:pPr>
      <w:r>
        <w:rPr>
          <w:noProof/>
          <w:sz w:val="24"/>
        </w:rPr>
        <w:drawing>
          <wp:inline distT="0" distB="0" distL="0" distR="0" wp14:anchorId="4C71A0EA" wp14:editId="49670A4D">
            <wp:extent cx="5943066" cy="1587260"/>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13">
                      <a:extLst>
                        <a:ext uri="{28A0092B-C50C-407E-A947-70E740481C1C}">
                          <a14:useLocalDpi xmlns:a14="http://schemas.microsoft.com/office/drawing/2010/main" val="0"/>
                        </a:ext>
                      </a:extLst>
                    </a:blip>
                    <a:srcRect t="20125" b="32394"/>
                    <a:stretch/>
                  </pic:blipFill>
                  <pic:spPr bwMode="auto">
                    <a:xfrm>
                      <a:off x="0" y="0"/>
                      <a:ext cx="5943600" cy="1587403"/>
                    </a:xfrm>
                    <a:prstGeom prst="rect">
                      <a:avLst/>
                    </a:prstGeom>
                    <a:ln>
                      <a:noFill/>
                    </a:ln>
                    <a:extLst>
                      <a:ext uri="{53640926-AAD7-44D8-BBD7-CCE9431645EC}">
                        <a14:shadowObscured xmlns:a14="http://schemas.microsoft.com/office/drawing/2010/main"/>
                      </a:ext>
                    </a:extLst>
                  </pic:spPr>
                </pic:pic>
              </a:graphicData>
            </a:graphic>
          </wp:inline>
        </w:drawing>
      </w:r>
    </w:p>
    <w:p w14:paraId="41686B3D" w14:textId="5D912F16" w:rsidR="00765FB0" w:rsidRPr="009E6398" w:rsidRDefault="00765FB0" w:rsidP="00765FB0">
      <w:pPr>
        <w:spacing w:line="240" w:lineRule="auto"/>
        <w:rPr>
          <w:szCs w:val="20"/>
        </w:rPr>
      </w:pPr>
      <w:r w:rsidRPr="009E6398">
        <w:rPr>
          <w:b/>
          <w:bCs/>
          <w:szCs w:val="20"/>
        </w:rPr>
        <w:t>Figure S5</w:t>
      </w:r>
      <w:r w:rsidRPr="009E6398">
        <w:rPr>
          <w:szCs w:val="20"/>
        </w:rPr>
        <w:t>: Comparison of 1990-2010 trends in PBL average O</w:t>
      </w:r>
      <w:r w:rsidRPr="009E6398">
        <w:rPr>
          <w:szCs w:val="20"/>
          <w:vertAlign w:val="subscript"/>
        </w:rPr>
        <w:t>3</w:t>
      </w:r>
      <w:r w:rsidRPr="009E6398">
        <w:rPr>
          <w:szCs w:val="20"/>
        </w:rPr>
        <w:t xml:space="preserve"> during Spring based on the model output (left) and the reconstructed field based on Equation 12 in the main text</w:t>
      </w:r>
    </w:p>
    <w:p w14:paraId="282944C7" w14:textId="4DD37227" w:rsidR="00252B4B" w:rsidRDefault="00252B4B" w:rsidP="00252B4B">
      <w:pPr>
        <w:spacing w:line="240" w:lineRule="auto"/>
        <w:jc w:val="left"/>
        <w:rPr>
          <w:sz w:val="24"/>
        </w:rPr>
      </w:pPr>
    </w:p>
    <w:p w14:paraId="43CF175D" w14:textId="73010666" w:rsidR="009E6398" w:rsidRDefault="009E6398">
      <w:pPr>
        <w:spacing w:line="240" w:lineRule="auto"/>
        <w:jc w:val="left"/>
        <w:rPr>
          <w:sz w:val="24"/>
        </w:rPr>
      </w:pPr>
      <w:r>
        <w:rPr>
          <w:sz w:val="24"/>
        </w:rPr>
        <w:br w:type="page"/>
      </w:r>
    </w:p>
    <w:p w14:paraId="10F42D2E" w14:textId="4CE3A712" w:rsidR="0085490F" w:rsidRPr="00835EE8" w:rsidRDefault="001319AB" w:rsidP="0085490F">
      <w:pPr>
        <w:spacing w:line="240" w:lineRule="auto"/>
        <w:jc w:val="center"/>
        <w:rPr>
          <w:b/>
          <w:bCs/>
          <w:sz w:val="24"/>
        </w:rPr>
      </w:pPr>
      <w:r>
        <w:rPr>
          <w:b/>
          <w:bCs/>
          <w:sz w:val="24"/>
        </w:rPr>
        <w:lastRenderedPageBreak/>
        <w:t xml:space="preserve">Additional </w:t>
      </w:r>
      <w:r w:rsidR="0085490F" w:rsidRPr="00835EE8">
        <w:rPr>
          <w:b/>
          <w:bCs/>
          <w:sz w:val="24"/>
        </w:rPr>
        <w:t>Supplemental Figures</w:t>
      </w:r>
    </w:p>
    <w:p w14:paraId="0275E8CC" w14:textId="77777777" w:rsidR="0085490F" w:rsidRDefault="0085490F" w:rsidP="0085490F">
      <w:pPr>
        <w:spacing w:line="240" w:lineRule="auto"/>
        <w:rPr>
          <w:sz w:val="24"/>
        </w:rPr>
      </w:pPr>
    </w:p>
    <w:p w14:paraId="00709E99" w14:textId="2A104920" w:rsidR="0085490F" w:rsidRDefault="0085490F" w:rsidP="0085490F">
      <w:pPr>
        <w:spacing w:line="240" w:lineRule="auto"/>
        <w:rPr>
          <w:sz w:val="24"/>
        </w:rPr>
      </w:pPr>
    </w:p>
    <w:p w14:paraId="26F74C80" w14:textId="51D13D43" w:rsidR="006A080C" w:rsidRDefault="006A080C" w:rsidP="0085490F">
      <w:pPr>
        <w:spacing w:line="240" w:lineRule="auto"/>
        <w:rPr>
          <w:sz w:val="24"/>
        </w:rPr>
      </w:pPr>
      <w:r>
        <w:rPr>
          <w:noProof/>
          <w:sz w:val="24"/>
        </w:rPr>
        <w:drawing>
          <wp:inline distT="0" distB="0" distL="0" distR="0" wp14:anchorId="63281FAF" wp14:editId="4A1580CF">
            <wp:extent cx="5942535" cy="2493034"/>
            <wp:effectExtent l="0" t="0" r="1270" b="254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rotWithShape="1">
                    <a:blip r:embed="rId14">
                      <a:extLst>
                        <a:ext uri="{28A0092B-C50C-407E-A947-70E740481C1C}">
                          <a14:useLocalDpi xmlns:a14="http://schemas.microsoft.com/office/drawing/2010/main" val="0"/>
                        </a:ext>
                      </a:extLst>
                    </a:blip>
                    <a:srcRect t="7998" b="17419"/>
                    <a:stretch/>
                  </pic:blipFill>
                  <pic:spPr bwMode="auto">
                    <a:xfrm>
                      <a:off x="0" y="0"/>
                      <a:ext cx="5943600" cy="2493481"/>
                    </a:xfrm>
                    <a:prstGeom prst="rect">
                      <a:avLst/>
                    </a:prstGeom>
                    <a:ln>
                      <a:noFill/>
                    </a:ln>
                    <a:extLst>
                      <a:ext uri="{53640926-AAD7-44D8-BBD7-CCE9431645EC}">
                        <a14:shadowObscured xmlns:a14="http://schemas.microsoft.com/office/drawing/2010/main"/>
                      </a:ext>
                    </a:extLst>
                  </pic:spPr>
                </pic:pic>
              </a:graphicData>
            </a:graphic>
          </wp:inline>
        </w:drawing>
      </w:r>
    </w:p>
    <w:p w14:paraId="7B8107CE" w14:textId="37C4C7FC" w:rsidR="0085490F" w:rsidRDefault="0085490F" w:rsidP="0085490F">
      <w:pPr>
        <w:spacing w:line="240" w:lineRule="auto"/>
        <w:rPr>
          <w:sz w:val="24"/>
        </w:rPr>
      </w:pPr>
      <w:r w:rsidRPr="006725DA">
        <w:rPr>
          <w:b/>
          <w:bCs/>
          <w:sz w:val="24"/>
        </w:rPr>
        <w:t xml:space="preserve">Figure </w:t>
      </w:r>
      <w:r>
        <w:rPr>
          <w:b/>
          <w:bCs/>
          <w:sz w:val="24"/>
        </w:rPr>
        <w:t>S</w:t>
      </w:r>
      <w:r w:rsidR="00FD62AF">
        <w:rPr>
          <w:b/>
          <w:bCs/>
          <w:sz w:val="24"/>
        </w:rPr>
        <w:t>6</w:t>
      </w:r>
      <w:r w:rsidRPr="006725DA">
        <w:rPr>
          <w:sz w:val="24"/>
        </w:rPr>
        <w:t>: Estimated contributions of different source regions to O</w:t>
      </w:r>
      <w:r w:rsidRPr="006725DA">
        <w:rPr>
          <w:sz w:val="24"/>
          <w:vertAlign w:val="subscript"/>
        </w:rPr>
        <w:t>3</w:t>
      </w:r>
      <w:r w:rsidRPr="006725DA">
        <w:rPr>
          <w:sz w:val="24"/>
        </w:rPr>
        <w:t xml:space="preserve"> distributions across the Northern Hemisphere</w:t>
      </w:r>
      <w:r>
        <w:rPr>
          <w:sz w:val="24"/>
        </w:rPr>
        <w:t xml:space="preserve"> for Summer (June-July-August) 2006</w:t>
      </w:r>
      <w:r w:rsidRPr="006725DA">
        <w:rPr>
          <w:sz w:val="24"/>
        </w:rPr>
        <w:t>. (a) PBL average O</w:t>
      </w:r>
      <w:r w:rsidRPr="006725DA">
        <w:rPr>
          <w:sz w:val="24"/>
          <w:vertAlign w:val="subscript"/>
        </w:rPr>
        <w:t>3</w:t>
      </w:r>
      <w:r w:rsidRPr="006725DA">
        <w:rPr>
          <w:sz w:val="24"/>
        </w:rPr>
        <w:t xml:space="preserve"> </w:t>
      </w:r>
      <w:r w:rsidR="00706DD4">
        <w:rPr>
          <w:sz w:val="24"/>
        </w:rPr>
        <w:t>during Summer 2006</w:t>
      </w:r>
      <w:r w:rsidRPr="006725DA">
        <w:rPr>
          <w:sz w:val="24"/>
        </w:rPr>
        <w:t xml:space="preserve">. </w:t>
      </w:r>
      <w:r w:rsidR="00706DD4" w:rsidRPr="006725DA">
        <w:rPr>
          <w:sz w:val="24"/>
        </w:rPr>
        <w:t>Fractional contributions of individual source regions</w:t>
      </w:r>
      <w:r w:rsidR="00706DD4">
        <w:rPr>
          <w:sz w:val="24"/>
        </w:rPr>
        <w:t xml:space="preserve"> estimated from the first-order sensitivities</w:t>
      </w:r>
      <w:r w:rsidRPr="006725DA">
        <w:rPr>
          <w:sz w:val="24"/>
        </w:rPr>
        <w:t>: (b) NAM, (c) EUR+RUS, (d) NAF+MDE, (e) Other, (f) CAM, (g) EAS+SEA, (h) SAS and (i) stratosphere</w:t>
      </w:r>
      <w:r>
        <w:rPr>
          <w:sz w:val="24"/>
        </w:rPr>
        <w:t>.</w:t>
      </w:r>
    </w:p>
    <w:p w14:paraId="201571D4" w14:textId="03A88E05" w:rsidR="0085490F" w:rsidRDefault="0085490F" w:rsidP="0085490F">
      <w:pPr>
        <w:spacing w:line="240" w:lineRule="auto"/>
        <w:rPr>
          <w:sz w:val="24"/>
        </w:rPr>
      </w:pPr>
    </w:p>
    <w:p w14:paraId="745CF7E8" w14:textId="77777777" w:rsidR="007A59DD" w:rsidRDefault="007A59DD" w:rsidP="0085490F">
      <w:pPr>
        <w:spacing w:line="240" w:lineRule="auto"/>
        <w:rPr>
          <w:sz w:val="24"/>
        </w:rPr>
      </w:pPr>
    </w:p>
    <w:p w14:paraId="71BC8C62" w14:textId="6ECAF9AF" w:rsidR="0085490F" w:rsidRDefault="006A080C" w:rsidP="0085490F">
      <w:pPr>
        <w:spacing w:line="240" w:lineRule="auto"/>
        <w:rPr>
          <w:sz w:val="24"/>
        </w:rPr>
      </w:pPr>
      <w:r>
        <w:rPr>
          <w:noProof/>
          <w:sz w:val="24"/>
        </w:rPr>
        <w:drawing>
          <wp:inline distT="0" distB="0" distL="0" distR="0" wp14:anchorId="17596A3A" wp14:editId="562253B8">
            <wp:extent cx="5942426" cy="2475781"/>
            <wp:effectExtent l="0" t="0" r="1270" b="1270"/>
            <wp:docPr id="2" name="Picture 2"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timeline&#10;&#10;Description automatically generated"/>
                    <pic:cNvPicPr/>
                  </pic:nvPicPr>
                  <pic:blipFill rotWithShape="1">
                    <a:blip r:embed="rId15">
                      <a:extLst>
                        <a:ext uri="{28A0092B-C50C-407E-A947-70E740481C1C}">
                          <a14:useLocalDpi xmlns:a14="http://schemas.microsoft.com/office/drawing/2010/main" val="0"/>
                        </a:ext>
                      </a:extLst>
                    </a:blip>
                    <a:srcRect t="9289" b="16644"/>
                    <a:stretch/>
                  </pic:blipFill>
                  <pic:spPr bwMode="auto">
                    <a:xfrm>
                      <a:off x="0" y="0"/>
                      <a:ext cx="5943600" cy="2476270"/>
                    </a:xfrm>
                    <a:prstGeom prst="rect">
                      <a:avLst/>
                    </a:prstGeom>
                    <a:ln>
                      <a:noFill/>
                    </a:ln>
                    <a:extLst>
                      <a:ext uri="{53640926-AAD7-44D8-BBD7-CCE9431645EC}">
                        <a14:shadowObscured xmlns:a14="http://schemas.microsoft.com/office/drawing/2010/main"/>
                      </a:ext>
                    </a:extLst>
                  </pic:spPr>
                </pic:pic>
              </a:graphicData>
            </a:graphic>
          </wp:inline>
        </w:drawing>
      </w:r>
    </w:p>
    <w:p w14:paraId="6962788C" w14:textId="77777777" w:rsidR="0085490F" w:rsidRDefault="0085490F" w:rsidP="0085490F">
      <w:pPr>
        <w:spacing w:line="240" w:lineRule="auto"/>
        <w:rPr>
          <w:sz w:val="24"/>
        </w:rPr>
      </w:pPr>
    </w:p>
    <w:p w14:paraId="01B770E6" w14:textId="602A65E7" w:rsidR="0085490F" w:rsidRDefault="0085490F" w:rsidP="0085490F">
      <w:pPr>
        <w:spacing w:line="240" w:lineRule="auto"/>
        <w:rPr>
          <w:sz w:val="24"/>
        </w:rPr>
      </w:pPr>
      <w:r w:rsidRPr="006725DA">
        <w:rPr>
          <w:b/>
          <w:bCs/>
          <w:sz w:val="24"/>
        </w:rPr>
        <w:t xml:space="preserve">Figure </w:t>
      </w:r>
      <w:r>
        <w:rPr>
          <w:b/>
          <w:bCs/>
          <w:sz w:val="24"/>
        </w:rPr>
        <w:t>S</w:t>
      </w:r>
      <w:r w:rsidR="00FD62AF">
        <w:rPr>
          <w:b/>
          <w:bCs/>
          <w:sz w:val="24"/>
        </w:rPr>
        <w:t>7</w:t>
      </w:r>
      <w:r w:rsidRPr="006725DA">
        <w:rPr>
          <w:sz w:val="24"/>
        </w:rPr>
        <w:t>: Estimated contributions of different source regions to O</w:t>
      </w:r>
      <w:r w:rsidRPr="006725DA">
        <w:rPr>
          <w:sz w:val="24"/>
          <w:vertAlign w:val="subscript"/>
        </w:rPr>
        <w:t>3</w:t>
      </w:r>
      <w:r w:rsidRPr="006725DA">
        <w:rPr>
          <w:sz w:val="24"/>
        </w:rPr>
        <w:t xml:space="preserve"> distributions across the Northern Hemisphere</w:t>
      </w:r>
      <w:r>
        <w:rPr>
          <w:sz w:val="24"/>
        </w:rPr>
        <w:t xml:space="preserve"> for Winter (December-January-February) 2006</w:t>
      </w:r>
      <w:r w:rsidRPr="006725DA">
        <w:rPr>
          <w:sz w:val="24"/>
        </w:rPr>
        <w:t>. (a) PBL average O</w:t>
      </w:r>
      <w:r w:rsidRPr="006725DA">
        <w:rPr>
          <w:sz w:val="24"/>
          <w:vertAlign w:val="subscript"/>
        </w:rPr>
        <w:t>3</w:t>
      </w:r>
      <w:r w:rsidRPr="006725DA">
        <w:rPr>
          <w:sz w:val="24"/>
        </w:rPr>
        <w:t xml:space="preserve"> </w:t>
      </w:r>
      <w:r w:rsidR="00706DD4">
        <w:rPr>
          <w:sz w:val="24"/>
        </w:rPr>
        <w:t>during Winter 2006</w:t>
      </w:r>
      <w:r w:rsidRPr="006725DA">
        <w:rPr>
          <w:sz w:val="24"/>
        </w:rPr>
        <w:t xml:space="preserve">. </w:t>
      </w:r>
      <w:r w:rsidR="00706DD4" w:rsidRPr="006725DA">
        <w:rPr>
          <w:sz w:val="24"/>
        </w:rPr>
        <w:t>Fractional contributions of individual source regions</w:t>
      </w:r>
      <w:r w:rsidR="00706DD4">
        <w:rPr>
          <w:sz w:val="24"/>
        </w:rPr>
        <w:t xml:space="preserve"> estimated from the first-order sensitivities</w:t>
      </w:r>
      <w:r w:rsidRPr="006725DA">
        <w:rPr>
          <w:sz w:val="24"/>
        </w:rPr>
        <w:t>: (b) NAM, (c) EUR+RUS, (d) NAF+MDE, (e) Other, (f) CAM, (g) EAS+SEA, (h) SAS and (i) stratosphere</w:t>
      </w:r>
      <w:r>
        <w:rPr>
          <w:sz w:val="24"/>
        </w:rPr>
        <w:t>.</w:t>
      </w:r>
    </w:p>
    <w:p w14:paraId="4FE6A48C" w14:textId="77777777" w:rsidR="006A080C" w:rsidRDefault="006A080C" w:rsidP="0085490F">
      <w:pPr>
        <w:spacing w:line="240" w:lineRule="auto"/>
        <w:rPr>
          <w:sz w:val="24"/>
        </w:rPr>
      </w:pPr>
    </w:p>
    <w:p w14:paraId="7572D974" w14:textId="0998A748" w:rsidR="0085490F" w:rsidRDefault="006A080C" w:rsidP="0085490F">
      <w:pPr>
        <w:spacing w:line="240" w:lineRule="auto"/>
        <w:rPr>
          <w:sz w:val="24"/>
        </w:rPr>
      </w:pPr>
      <w:r>
        <w:rPr>
          <w:noProof/>
          <w:sz w:val="24"/>
        </w:rPr>
        <w:lastRenderedPageBreak/>
        <w:drawing>
          <wp:inline distT="0" distB="0" distL="0" distR="0" wp14:anchorId="61006EBA" wp14:editId="4056202A">
            <wp:extent cx="5943363" cy="2424023"/>
            <wp:effectExtent l="0" t="0" r="635"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rotWithShape="1">
                    <a:blip r:embed="rId16">
                      <a:extLst>
                        <a:ext uri="{28A0092B-C50C-407E-A947-70E740481C1C}">
                          <a14:useLocalDpi xmlns:a14="http://schemas.microsoft.com/office/drawing/2010/main" val="0"/>
                        </a:ext>
                      </a:extLst>
                    </a:blip>
                    <a:srcRect t="10062" b="17430"/>
                    <a:stretch/>
                  </pic:blipFill>
                  <pic:spPr bwMode="auto">
                    <a:xfrm>
                      <a:off x="0" y="0"/>
                      <a:ext cx="5943600" cy="2424120"/>
                    </a:xfrm>
                    <a:prstGeom prst="rect">
                      <a:avLst/>
                    </a:prstGeom>
                    <a:ln>
                      <a:noFill/>
                    </a:ln>
                    <a:extLst>
                      <a:ext uri="{53640926-AAD7-44D8-BBD7-CCE9431645EC}">
                        <a14:shadowObscured xmlns:a14="http://schemas.microsoft.com/office/drawing/2010/main"/>
                      </a:ext>
                    </a:extLst>
                  </pic:spPr>
                </pic:pic>
              </a:graphicData>
            </a:graphic>
          </wp:inline>
        </w:drawing>
      </w:r>
    </w:p>
    <w:p w14:paraId="5FE8D574" w14:textId="0D20FFF1" w:rsidR="0085490F" w:rsidRDefault="0085490F" w:rsidP="0085490F">
      <w:pPr>
        <w:spacing w:line="240" w:lineRule="auto"/>
        <w:rPr>
          <w:sz w:val="24"/>
        </w:rPr>
      </w:pPr>
      <w:r w:rsidRPr="006725DA">
        <w:rPr>
          <w:b/>
          <w:bCs/>
          <w:sz w:val="24"/>
        </w:rPr>
        <w:t xml:space="preserve">Figure </w:t>
      </w:r>
      <w:r>
        <w:rPr>
          <w:b/>
          <w:bCs/>
          <w:sz w:val="24"/>
        </w:rPr>
        <w:t>S</w:t>
      </w:r>
      <w:r w:rsidR="00FD62AF">
        <w:rPr>
          <w:b/>
          <w:bCs/>
          <w:sz w:val="24"/>
        </w:rPr>
        <w:t>8</w:t>
      </w:r>
      <w:r w:rsidRPr="006725DA">
        <w:rPr>
          <w:sz w:val="24"/>
        </w:rPr>
        <w:t>: Estimated contributions of different source regions to O</w:t>
      </w:r>
      <w:r w:rsidRPr="006725DA">
        <w:rPr>
          <w:sz w:val="24"/>
          <w:vertAlign w:val="subscript"/>
        </w:rPr>
        <w:t>3</w:t>
      </w:r>
      <w:r w:rsidRPr="006725DA">
        <w:rPr>
          <w:sz w:val="24"/>
        </w:rPr>
        <w:t xml:space="preserve"> distributions across the Northern Hemisphere</w:t>
      </w:r>
      <w:r>
        <w:rPr>
          <w:sz w:val="24"/>
        </w:rPr>
        <w:t xml:space="preserve"> for Fall (September-October-November) 2006</w:t>
      </w:r>
      <w:r w:rsidRPr="006725DA">
        <w:rPr>
          <w:sz w:val="24"/>
        </w:rPr>
        <w:t>. (a) PBL average O</w:t>
      </w:r>
      <w:r w:rsidRPr="006725DA">
        <w:rPr>
          <w:sz w:val="24"/>
          <w:vertAlign w:val="subscript"/>
        </w:rPr>
        <w:t>3</w:t>
      </w:r>
      <w:r w:rsidRPr="006725DA">
        <w:rPr>
          <w:sz w:val="24"/>
        </w:rPr>
        <w:t xml:space="preserve"> </w:t>
      </w:r>
      <w:r w:rsidR="00706DD4">
        <w:rPr>
          <w:sz w:val="24"/>
        </w:rPr>
        <w:t>during Fall 2006</w:t>
      </w:r>
      <w:r w:rsidRPr="006725DA">
        <w:rPr>
          <w:sz w:val="24"/>
        </w:rPr>
        <w:t xml:space="preserve">. </w:t>
      </w:r>
      <w:r w:rsidR="00706DD4" w:rsidRPr="006725DA">
        <w:rPr>
          <w:sz w:val="24"/>
        </w:rPr>
        <w:t>Fractional contributions of individual source regions</w:t>
      </w:r>
      <w:r w:rsidR="00706DD4">
        <w:rPr>
          <w:sz w:val="24"/>
        </w:rPr>
        <w:t xml:space="preserve"> estimated from the first-order sensitivities</w:t>
      </w:r>
      <w:r w:rsidRPr="006725DA">
        <w:rPr>
          <w:sz w:val="24"/>
        </w:rPr>
        <w:t>: (b) NAM, (c) EUR+RUS, (d) NAF+MDE, (e) Other, (f) CAM, (g) EAS+SEA, (h) SAS and (i) stratosphere</w:t>
      </w:r>
      <w:r>
        <w:rPr>
          <w:sz w:val="24"/>
        </w:rPr>
        <w:t>.</w:t>
      </w:r>
    </w:p>
    <w:p w14:paraId="0251A6CD" w14:textId="77777777" w:rsidR="0085490F" w:rsidRDefault="0085490F" w:rsidP="0085490F">
      <w:pPr>
        <w:spacing w:line="240" w:lineRule="auto"/>
        <w:rPr>
          <w:sz w:val="24"/>
        </w:rPr>
      </w:pPr>
    </w:p>
    <w:p w14:paraId="5D1B4CA0" w14:textId="77777777" w:rsidR="0085490F" w:rsidRDefault="0085490F" w:rsidP="0085490F">
      <w:pPr>
        <w:spacing w:line="240" w:lineRule="auto"/>
        <w:jc w:val="center"/>
        <w:rPr>
          <w:sz w:val="24"/>
        </w:rPr>
      </w:pPr>
      <w:r>
        <w:rPr>
          <w:noProof/>
          <w:sz w:val="24"/>
        </w:rPr>
        <w:drawing>
          <wp:inline distT="0" distB="0" distL="0" distR="0" wp14:anchorId="6DEFDEAA" wp14:editId="263E061D">
            <wp:extent cx="3371850" cy="3343275"/>
            <wp:effectExtent l="0" t="0" r="0" b="9525"/>
            <wp:docPr id="12" name="Picture 1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Map&#10;&#10;Description automatically generated"/>
                    <pic:cNvPicPr/>
                  </pic:nvPicPr>
                  <pic:blipFill rotWithShape="1">
                    <a:blip r:embed="rId17">
                      <a:extLst>
                        <a:ext uri="{28A0092B-C50C-407E-A947-70E740481C1C}">
                          <a14:useLocalDpi xmlns:a14="http://schemas.microsoft.com/office/drawing/2010/main" val="0"/>
                        </a:ext>
                      </a:extLst>
                    </a:blip>
                    <a:srcRect r="43269"/>
                    <a:stretch/>
                  </pic:blipFill>
                  <pic:spPr bwMode="auto">
                    <a:xfrm>
                      <a:off x="0" y="0"/>
                      <a:ext cx="3371850" cy="3343275"/>
                    </a:xfrm>
                    <a:prstGeom prst="rect">
                      <a:avLst/>
                    </a:prstGeom>
                    <a:ln>
                      <a:noFill/>
                    </a:ln>
                    <a:extLst>
                      <a:ext uri="{53640926-AAD7-44D8-BBD7-CCE9431645EC}">
                        <a14:shadowObscured xmlns:a14="http://schemas.microsoft.com/office/drawing/2010/main"/>
                      </a:ext>
                    </a:extLst>
                  </pic:spPr>
                </pic:pic>
              </a:graphicData>
            </a:graphic>
          </wp:inline>
        </w:drawing>
      </w:r>
    </w:p>
    <w:p w14:paraId="7B578611" w14:textId="77777777" w:rsidR="0085490F" w:rsidRDefault="0085490F" w:rsidP="0085490F">
      <w:pPr>
        <w:spacing w:line="240" w:lineRule="auto"/>
        <w:rPr>
          <w:sz w:val="24"/>
        </w:rPr>
      </w:pPr>
    </w:p>
    <w:p w14:paraId="67BF2240" w14:textId="1676B677" w:rsidR="0085490F" w:rsidRDefault="0085490F" w:rsidP="642E8986">
      <w:pPr>
        <w:spacing w:line="240" w:lineRule="auto"/>
        <w:rPr>
          <w:sz w:val="24"/>
        </w:rPr>
      </w:pPr>
      <w:r w:rsidRPr="642E8986">
        <w:rPr>
          <w:b/>
          <w:bCs/>
          <w:sz w:val="24"/>
        </w:rPr>
        <w:t>Figure S</w:t>
      </w:r>
      <w:r w:rsidR="00FD62AF" w:rsidRPr="642E8986">
        <w:rPr>
          <w:b/>
          <w:bCs/>
          <w:sz w:val="24"/>
        </w:rPr>
        <w:t>9</w:t>
      </w:r>
      <w:r w:rsidRPr="642E8986">
        <w:rPr>
          <w:sz w:val="24"/>
        </w:rPr>
        <w:t xml:space="preserve">: Estimated </w:t>
      </w:r>
      <w:r w:rsidR="00DB6CC7" w:rsidRPr="642E8986">
        <w:rPr>
          <w:sz w:val="24"/>
        </w:rPr>
        <w:t xml:space="preserve">imported </w:t>
      </w:r>
      <w:r w:rsidRPr="642E8986">
        <w:rPr>
          <w:sz w:val="24"/>
        </w:rPr>
        <w:t>O</w:t>
      </w:r>
      <w:r w:rsidRPr="642E8986">
        <w:rPr>
          <w:sz w:val="24"/>
          <w:vertAlign w:val="subscript"/>
        </w:rPr>
        <w:t>3</w:t>
      </w:r>
      <w:r w:rsidRPr="642E8986">
        <w:rPr>
          <w:sz w:val="24"/>
        </w:rPr>
        <w:t xml:space="preserve"> (defined as amount of O</w:t>
      </w:r>
      <w:r w:rsidRPr="642E8986">
        <w:rPr>
          <w:sz w:val="24"/>
          <w:vertAlign w:val="subscript"/>
        </w:rPr>
        <w:t>3</w:t>
      </w:r>
      <w:r w:rsidRPr="642E8986">
        <w:rPr>
          <w:sz w:val="24"/>
        </w:rPr>
        <w:t xml:space="preserve"> transported from the 7 source regions in Figure 1 and due to stratosphere-troposphere exchange) distributions across the </w:t>
      </w:r>
      <w:r w:rsidR="00F91813" w:rsidRPr="642E8986">
        <w:rPr>
          <w:sz w:val="24"/>
        </w:rPr>
        <w:t>United States</w:t>
      </w:r>
      <w:r w:rsidRPr="642E8986">
        <w:rPr>
          <w:sz w:val="24"/>
        </w:rPr>
        <w:t xml:space="preserve"> and surrounding regions for Winter 2006 for (a) the surface to 2km average and (b) the model’s surface-layer.</w:t>
      </w:r>
    </w:p>
    <w:p w14:paraId="2A91D6A1" w14:textId="77777777" w:rsidR="0085490F" w:rsidRDefault="0085490F" w:rsidP="0085490F">
      <w:pPr>
        <w:spacing w:line="240" w:lineRule="auto"/>
        <w:rPr>
          <w:sz w:val="24"/>
        </w:rPr>
      </w:pPr>
    </w:p>
    <w:p w14:paraId="37E3AF1D" w14:textId="77777777" w:rsidR="0085490F" w:rsidRDefault="0085490F" w:rsidP="0085490F">
      <w:pPr>
        <w:rPr>
          <w:sz w:val="24"/>
        </w:rPr>
      </w:pPr>
      <w:r>
        <w:rPr>
          <w:sz w:val="24"/>
        </w:rPr>
        <w:br w:type="page"/>
      </w:r>
    </w:p>
    <w:p w14:paraId="34C1B018" w14:textId="77777777" w:rsidR="0085490F" w:rsidRDefault="0085490F" w:rsidP="0085490F">
      <w:pPr>
        <w:spacing w:line="240" w:lineRule="auto"/>
        <w:rPr>
          <w:sz w:val="24"/>
        </w:rPr>
      </w:pPr>
      <w:r>
        <w:rPr>
          <w:noProof/>
          <w:sz w:val="24"/>
        </w:rPr>
        <w:lastRenderedPageBreak/>
        <w:drawing>
          <wp:inline distT="0" distB="0" distL="0" distR="0" wp14:anchorId="347D3ECF" wp14:editId="43DF4E7C">
            <wp:extent cx="5943600" cy="3343275"/>
            <wp:effectExtent l="0" t="0" r="0" b="9525"/>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58D6A47" w14:textId="527C3399" w:rsidR="0085490F" w:rsidRDefault="0085490F" w:rsidP="0085490F">
      <w:pPr>
        <w:spacing w:line="240" w:lineRule="auto"/>
        <w:rPr>
          <w:sz w:val="24"/>
        </w:rPr>
      </w:pPr>
      <w:r w:rsidRPr="006725DA">
        <w:rPr>
          <w:b/>
          <w:bCs/>
          <w:sz w:val="24"/>
        </w:rPr>
        <w:t xml:space="preserve">Figure </w:t>
      </w:r>
      <w:r>
        <w:rPr>
          <w:b/>
          <w:bCs/>
          <w:sz w:val="24"/>
        </w:rPr>
        <w:t>S</w:t>
      </w:r>
      <w:r w:rsidR="00FD62AF">
        <w:rPr>
          <w:b/>
          <w:bCs/>
          <w:sz w:val="24"/>
        </w:rPr>
        <w:t>10</w:t>
      </w:r>
      <w:r w:rsidRPr="006725DA">
        <w:rPr>
          <w:sz w:val="24"/>
        </w:rPr>
        <w:t>:</w:t>
      </w:r>
      <w:r>
        <w:rPr>
          <w:sz w:val="24"/>
        </w:rPr>
        <w:t xml:space="preserve"> Fractional contributions of the different sources to the 0-2km average Winter 2006 estimated </w:t>
      </w:r>
      <w:r w:rsidR="00DB6CC7">
        <w:rPr>
          <w:sz w:val="24"/>
        </w:rPr>
        <w:t xml:space="preserve">imported </w:t>
      </w:r>
      <w:r>
        <w:rPr>
          <w:sz w:val="24"/>
        </w:rPr>
        <w:t>O</w:t>
      </w:r>
      <w:r>
        <w:rPr>
          <w:sz w:val="24"/>
          <w:vertAlign w:val="subscript"/>
        </w:rPr>
        <w:t>3</w:t>
      </w:r>
      <w:r>
        <w:rPr>
          <w:sz w:val="24"/>
        </w:rPr>
        <w:t xml:space="preserve"> mixing ratios in Figure S3.</w:t>
      </w:r>
    </w:p>
    <w:p w14:paraId="1D32EC4E" w14:textId="77777777" w:rsidR="0085490F" w:rsidRDefault="0085490F" w:rsidP="0085490F">
      <w:pPr>
        <w:spacing w:line="240" w:lineRule="auto"/>
        <w:rPr>
          <w:sz w:val="24"/>
        </w:rPr>
      </w:pPr>
    </w:p>
    <w:p w14:paraId="45A01CE4" w14:textId="77777777" w:rsidR="0085490F" w:rsidRDefault="0085490F" w:rsidP="0085490F">
      <w:pPr>
        <w:spacing w:line="240" w:lineRule="auto"/>
        <w:rPr>
          <w:sz w:val="24"/>
        </w:rPr>
      </w:pPr>
    </w:p>
    <w:p w14:paraId="2A812548" w14:textId="77777777" w:rsidR="0085490F" w:rsidRDefault="0085490F" w:rsidP="0085490F">
      <w:pPr>
        <w:spacing w:line="240" w:lineRule="auto"/>
        <w:rPr>
          <w:sz w:val="24"/>
        </w:rPr>
      </w:pPr>
      <w:r>
        <w:rPr>
          <w:noProof/>
          <w:sz w:val="24"/>
        </w:rPr>
        <w:drawing>
          <wp:inline distT="0" distB="0" distL="0" distR="0" wp14:anchorId="68D2C93B" wp14:editId="797EC2A2">
            <wp:extent cx="5943600" cy="3343275"/>
            <wp:effectExtent l="0" t="0" r="0" b="9525"/>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377FF574" w14:textId="356838AC" w:rsidR="0085490F" w:rsidRDefault="0085490F" w:rsidP="0085490F">
      <w:pPr>
        <w:spacing w:line="240" w:lineRule="auto"/>
        <w:rPr>
          <w:sz w:val="24"/>
        </w:rPr>
      </w:pPr>
      <w:r w:rsidRPr="006725DA">
        <w:rPr>
          <w:b/>
          <w:bCs/>
          <w:sz w:val="24"/>
        </w:rPr>
        <w:t xml:space="preserve">Figure </w:t>
      </w:r>
      <w:r>
        <w:rPr>
          <w:b/>
          <w:bCs/>
          <w:sz w:val="24"/>
        </w:rPr>
        <w:t>S</w:t>
      </w:r>
      <w:r w:rsidR="00FD62AF">
        <w:rPr>
          <w:b/>
          <w:bCs/>
          <w:sz w:val="24"/>
        </w:rPr>
        <w:t>11</w:t>
      </w:r>
      <w:r w:rsidRPr="006725DA">
        <w:rPr>
          <w:sz w:val="24"/>
        </w:rPr>
        <w:t>:</w:t>
      </w:r>
      <w:r>
        <w:rPr>
          <w:sz w:val="24"/>
        </w:rPr>
        <w:t xml:space="preserve"> Fractional contributions of the different sources to the Spring 2006 estimated </w:t>
      </w:r>
      <w:r w:rsidR="00DB6CC7">
        <w:rPr>
          <w:sz w:val="24"/>
        </w:rPr>
        <w:t>imported</w:t>
      </w:r>
      <w:r>
        <w:rPr>
          <w:sz w:val="24"/>
        </w:rPr>
        <w:t xml:space="preserve"> O</w:t>
      </w:r>
      <w:r>
        <w:rPr>
          <w:sz w:val="24"/>
          <w:vertAlign w:val="subscript"/>
        </w:rPr>
        <w:t>3</w:t>
      </w:r>
      <w:r>
        <w:rPr>
          <w:sz w:val="24"/>
        </w:rPr>
        <w:t xml:space="preserve"> mixing ratios at the surface shown in Figure 4c.</w:t>
      </w:r>
    </w:p>
    <w:p w14:paraId="42F822C1" w14:textId="77777777" w:rsidR="0085490F" w:rsidRPr="00407B2F" w:rsidRDefault="0085490F" w:rsidP="0085490F">
      <w:pPr>
        <w:spacing w:line="240" w:lineRule="auto"/>
        <w:rPr>
          <w:sz w:val="24"/>
        </w:rPr>
      </w:pPr>
    </w:p>
    <w:p w14:paraId="645EB742" w14:textId="77777777" w:rsidR="00A06634" w:rsidRDefault="00A06634" w:rsidP="00A06634">
      <w:pPr>
        <w:spacing w:line="240" w:lineRule="auto"/>
        <w:rPr>
          <w:sz w:val="24"/>
        </w:rPr>
      </w:pPr>
    </w:p>
    <w:p w14:paraId="20A955BD" w14:textId="77777777" w:rsidR="00A06634" w:rsidRDefault="00A06634" w:rsidP="00A06634">
      <w:pPr>
        <w:spacing w:line="240" w:lineRule="auto"/>
        <w:rPr>
          <w:sz w:val="24"/>
        </w:rPr>
      </w:pPr>
      <w:r>
        <w:rPr>
          <w:noProof/>
          <w:sz w:val="24"/>
        </w:rPr>
        <w:lastRenderedPageBreak/>
        <w:drawing>
          <wp:inline distT="0" distB="0" distL="0" distR="0" wp14:anchorId="28BF1FC5" wp14:editId="47328DF3">
            <wp:extent cx="5943600" cy="33432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0">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1B4B09AE" w14:textId="2AFBB41B" w:rsidR="00A06634" w:rsidRDefault="00A06634" w:rsidP="642E8986">
      <w:pPr>
        <w:spacing w:line="240" w:lineRule="auto"/>
        <w:rPr>
          <w:sz w:val="24"/>
        </w:rPr>
      </w:pPr>
      <w:r w:rsidRPr="642E8986">
        <w:rPr>
          <w:b/>
          <w:bCs/>
          <w:sz w:val="24"/>
        </w:rPr>
        <w:t>Figure S</w:t>
      </w:r>
      <w:r w:rsidR="00FD62AF" w:rsidRPr="642E8986">
        <w:rPr>
          <w:b/>
          <w:bCs/>
          <w:sz w:val="24"/>
        </w:rPr>
        <w:t>12</w:t>
      </w:r>
      <w:r w:rsidRPr="642E8986">
        <w:rPr>
          <w:sz w:val="24"/>
        </w:rPr>
        <w:t>: 1990-2010 changes in long-range transported O</w:t>
      </w:r>
      <w:r w:rsidRPr="642E8986">
        <w:rPr>
          <w:sz w:val="24"/>
          <w:vertAlign w:val="subscript"/>
        </w:rPr>
        <w:t>3</w:t>
      </w:r>
      <w:r w:rsidRPr="642E8986">
        <w:rPr>
          <w:sz w:val="24"/>
        </w:rPr>
        <w:t xml:space="preserve"> to North America during Summer. Estimated long-range transported O</w:t>
      </w:r>
      <w:r w:rsidRPr="642E8986">
        <w:rPr>
          <w:sz w:val="24"/>
          <w:vertAlign w:val="subscript"/>
        </w:rPr>
        <w:t>3</w:t>
      </w:r>
      <w:r w:rsidRPr="642E8986">
        <w:rPr>
          <w:sz w:val="24"/>
        </w:rPr>
        <w:t xml:space="preserve"> to North America from the different source regions for (a) 1990, (b) 2000, and (c) 2010. The estimated trend in long-range transported O</w:t>
      </w:r>
      <w:r w:rsidRPr="642E8986">
        <w:rPr>
          <w:sz w:val="24"/>
          <w:vertAlign w:val="subscript"/>
        </w:rPr>
        <w:t>3</w:t>
      </w:r>
      <w:r w:rsidRPr="642E8986">
        <w:rPr>
          <w:sz w:val="24"/>
        </w:rPr>
        <w:t xml:space="preserve"> to North America for the 1990-2010 period is illustrated in (d). </w:t>
      </w:r>
      <w:r w:rsidR="003F454D" w:rsidRPr="642E8986">
        <w:rPr>
          <w:sz w:val="24"/>
        </w:rPr>
        <w:t>The trend is estimated as the slope of linear regression of the estimated seasonal-mean long-range transported O</w:t>
      </w:r>
      <w:r w:rsidR="003F454D" w:rsidRPr="642E8986">
        <w:rPr>
          <w:sz w:val="24"/>
          <w:vertAlign w:val="subscript"/>
        </w:rPr>
        <w:t>3</w:t>
      </w:r>
      <w:r w:rsidR="003F454D" w:rsidRPr="642E8986">
        <w:rPr>
          <w:sz w:val="24"/>
        </w:rPr>
        <w:t xml:space="preserve"> mixing ratios for each of the individual years in the 1990-2010 period. </w:t>
      </w:r>
      <w:r w:rsidRPr="642E8986">
        <w:rPr>
          <w:sz w:val="24"/>
        </w:rPr>
        <w:t>All estimates are for the 0-2km average O</w:t>
      </w:r>
      <w:r w:rsidRPr="642E8986">
        <w:rPr>
          <w:sz w:val="24"/>
          <w:vertAlign w:val="subscript"/>
        </w:rPr>
        <w:t>3</w:t>
      </w:r>
      <w:r w:rsidRPr="642E8986">
        <w:rPr>
          <w:sz w:val="24"/>
        </w:rPr>
        <w:t xml:space="preserve"> mixing ratios.</w:t>
      </w:r>
    </w:p>
    <w:p w14:paraId="4E2D5BD8" w14:textId="3817B2B5" w:rsidR="00111EA9" w:rsidRDefault="00111EA9" w:rsidP="00111EA9">
      <w:pPr>
        <w:autoSpaceDE w:val="0"/>
        <w:autoSpaceDN w:val="0"/>
        <w:adjustRightInd w:val="0"/>
        <w:spacing w:line="240" w:lineRule="auto"/>
        <w:jc w:val="left"/>
        <w:rPr>
          <w:rFonts w:asciiTheme="minorHAnsi" w:hAnsiTheme="minorHAnsi" w:cstheme="minorHAnsi"/>
          <w:sz w:val="24"/>
          <w:shd w:val="clear" w:color="auto" w:fill="FFFFFF"/>
        </w:rPr>
      </w:pPr>
    </w:p>
    <w:p w14:paraId="002F90CA" w14:textId="77777777" w:rsidR="00AA5AE1" w:rsidRDefault="00AA5AE1" w:rsidP="00111EA9">
      <w:pPr>
        <w:autoSpaceDE w:val="0"/>
        <w:autoSpaceDN w:val="0"/>
        <w:adjustRightInd w:val="0"/>
        <w:spacing w:line="240" w:lineRule="auto"/>
        <w:jc w:val="left"/>
        <w:rPr>
          <w:rFonts w:asciiTheme="minorHAnsi" w:hAnsiTheme="minorHAnsi" w:cstheme="minorHAnsi"/>
          <w:sz w:val="24"/>
          <w:shd w:val="clear" w:color="auto" w:fill="FFFFFF"/>
        </w:rPr>
      </w:pPr>
    </w:p>
    <w:p w14:paraId="2749922C" w14:textId="58067CB1" w:rsidR="00D23BC4" w:rsidRPr="00910F93" w:rsidRDefault="00AA5AE1" w:rsidP="00910F93">
      <w:pPr>
        <w:autoSpaceDE w:val="0"/>
        <w:autoSpaceDN w:val="0"/>
        <w:adjustRightInd w:val="0"/>
        <w:spacing w:line="240" w:lineRule="auto"/>
        <w:rPr>
          <w:b/>
          <w:bCs/>
          <w:sz w:val="24"/>
        </w:rPr>
      </w:pPr>
      <w:r w:rsidRPr="0019717C">
        <w:rPr>
          <w:b/>
          <w:bCs/>
          <w:sz w:val="24"/>
        </w:rPr>
        <w:t>References</w:t>
      </w:r>
      <w:r w:rsidR="005544B2">
        <w:rPr>
          <w:rFonts w:asciiTheme="minorHAnsi" w:eastAsia="SimSun" w:hAnsiTheme="minorHAnsi" w:cstheme="minorHAnsi"/>
          <w:szCs w:val="20"/>
          <w:lang w:eastAsia="en-GB"/>
        </w:rPr>
        <w:t>.</w:t>
      </w:r>
    </w:p>
    <w:p w14:paraId="5A0997CF" w14:textId="579FEF8E" w:rsidR="005544B2" w:rsidRDefault="00910F93" w:rsidP="00AA5AE1">
      <w:pPr>
        <w:autoSpaceDE w:val="0"/>
        <w:autoSpaceDN w:val="0"/>
        <w:adjustRightInd w:val="0"/>
        <w:spacing w:line="240" w:lineRule="auto"/>
        <w:ind w:left="180" w:hanging="180"/>
        <w:rPr>
          <w:rFonts w:asciiTheme="minorHAnsi" w:eastAsia="SimSun" w:hAnsiTheme="minorHAnsi" w:cstheme="minorHAnsi"/>
          <w:szCs w:val="20"/>
          <w:lang w:eastAsia="en-GB"/>
        </w:rPr>
      </w:pPr>
      <w:r w:rsidRPr="005544B2">
        <w:rPr>
          <w:rFonts w:asciiTheme="minorHAnsi" w:eastAsia="SimSun" w:hAnsiTheme="minorHAnsi" w:cstheme="minorHAnsi"/>
          <w:szCs w:val="20"/>
          <w:lang w:eastAsia="en-GB"/>
        </w:rPr>
        <w:t xml:space="preserve">Bey, I., Jacob, D. J., Yantosca, R. M., Logan, J. A., Field, B., Fiore, A. M., Li, Q., Liu, H., Mickley, L. J., and Schultz, M. (2001). Global modeling of tropospheric chemistry with assimilated meteorology: Model description and evaluation, </w:t>
      </w:r>
      <w:r w:rsidRPr="005544B2">
        <w:rPr>
          <w:rFonts w:asciiTheme="minorHAnsi" w:eastAsia="SimSun" w:hAnsiTheme="minorHAnsi" w:cstheme="minorHAnsi"/>
          <w:i/>
          <w:iCs/>
          <w:szCs w:val="20"/>
          <w:lang w:eastAsia="en-GB"/>
        </w:rPr>
        <w:t>J. Geophys. Res</w:t>
      </w:r>
      <w:r w:rsidRPr="005544B2">
        <w:rPr>
          <w:rFonts w:asciiTheme="minorHAnsi" w:eastAsia="SimSun" w:hAnsiTheme="minorHAnsi" w:cstheme="minorHAnsi"/>
          <w:szCs w:val="20"/>
          <w:lang w:eastAsia="en-GB"/>
        </w:rPr>
        <w:t>., 106, 23073–23096</w:t>
      </w:r>
      <w:r>
        <w:rPr>
          <w:rFonts w:asciiTheme="minorHAnsi" w:eastAsia="SimSun" w:hAnsiTheme="minorHAnsi" w:cstheme="minorHAnsi"/>
          <w:szCs w:val="20"/>
          <w:lang w:eastAsia="en-GB"/>
        </w:rPr>
        <w:t>.</w:t>
      </w:r>
    </w:p>
    <w:p w14:paraId="2DB5FADF" w14:textId="77777777" w:rsidR="00910F93" w:rsidRDefault="00910F93" w:rsidP="00AA5AE1">
      <w:pPr>
        <w:autoSpaceDE w:val="0"/>
        <w:autoSpaceDN w:val="0"/>
        <w:adjustRightInd w:val="0"/>
        <w:spacing w:line="240" w:lineRule="auto"/>
        <w:ind w:left="180" w:hanging="180"/>
        <w:rPr>
          <w:szCs w:val="20"/>
        </w:rPr>
      </w:pPr>
    </w:p>
    <w:p w14:paraId="0CA42FC0" w14:textId="3BAF12F7" w:rsidR="00AA5AE1" w:rsidRDefault="00AA5AE1" w:rsidP="00AA5AE1">
      <w:pPr>
        <w:autoSpaceDE w:val="0"/>
        <w:autoSpaceDN w:val="0"/>
        <w:adjustRightInd w:val="0"/>
        <w:spacing w:line="240" w:lineRule="auto"/>
        <w:ind w:left="180" w:hanging="180"/>
        <w:rPr>
          <w:szCs w:val="20"/>
        </w:rPr>
      </w:pPr>
      <w:r w:rsidRPr="00AA5AE1">
        <w:rPr>
          <w:szCs w:val="20"/>
        </w:rPr>
        <w:t>Colette, A., Granier, C., Hodnebrog, Ø., Jakobs, H., Maurizi, A., Nyiri, A., Bessagnet, B., D’Angiola, A., D’Isidoro, M., Gauss, M., Meleux, F., Memmesheimer, M., Mieville, A., Rouïl, L., Russo, F., Solberg, S., Stordal, F., and Tampieri, F.</w:t>
      </w:r>
      <w:r w:rsidR="005544B2">
        <w:rPr>
          <w:szCs w:val="20"/>
        </w:rPr>
        <w:t xml:space="preserve"> (2011).</w:t>
      </w:r>
      <w:r w:rsidRPr="00AA5AE1">
        <w:rPr>
          <w:szCs w:val="20"/>
        </w:rPr>
        <w:t xml:space="preserve"> Air quality trends in Europe over the past decade: a first multi-model assessment, Atmos. Chem. Phys., 11, 11657–11678, doi:10.5194/acp- 11-11657-2011.</w:t>
      </w:r>
    </w:p>
    <w:p w14:paraId="46776B3E" w14:textId="1AF8779E" w:rsidR="00910F93" w:rsidRDefault="00910F93" w:rsidP="00AA5AE1">
      <w:pPr>
        <w:autoSpaceDE w:val="0"/>
        <w:autoSpaceDN w:val="0"/>
        <w:adjustRightInd w:val="0"/>
        <w:spacing w:line="240" w:lineRule="auto"/>
        <w:ind w:left="180" w:hanging="180"/>
        <w:rPr>
          <w:szCs w:val="20"/>
        </w:rPr>
      </w:pPr>
    </w:p>
    <w:p w14:paraId="11C87FB7" w14:textId="15912BAD" w:rsidR="00AA5AE1" w:rsidRDefault="00910F93" w:rsidP="00910F93">
      <w:pPr>
        <w:autoSpaceDE w:val="0"/>
        <w:autoSpaceDN w:val="0"/>
        <w:adjustRightInd w:val="0"/>
        <w:spacing w:line="240" w:lineRule="auto"/>
        <w:ind w:left="180" w:hanging="180"/>
        <w:rPr>
          <w:rFonts w:asciiTheme="minorHAnsi" w:eastAsia="SimSun" w:hAnsiTheme="minorHAnsi" w:cstheme="minorHAnsi"/>
          <w:szCs w:val="20"/>
          <w:lang w:eastAsia="en-GB"/>
        </w:rPr>
      </w:pPr>
      <w:r w:rsidRPr="00910F93">
        <w:rPr>
          <w:rFonts w:asciiTheme="minorHAnsi" w:hAnsiTheme="minorHAnsi" w:cstheme="minorHAnsi"/>
          <w:szCs w:val="20"/>
        </w:rPr>
        <w:t xml:space="preserve">Donner, L.J. et al. (2011), </w:t>
      </w:r>
      <w:r w:rsidRPr="00910F93">
        <w:rPr>
          <w:rFonts w:asciiTheme="minorHAnsi" w:eastAsia="SimSun" w:hAnsiTheme="minorHAnsi" w:cstheme="minorHAnsi"/>
          <w:szCs w:val="20"/>
          <w:lang w:eastAsia="en-GB"/>
        </w:rPr>
        <w:t xml:space="preserve">The Dynamical Core, Physical Parameterizations, and Basic Simulation Characteristics of the Atmospheric Component AM3 of the GFDL Global Coupled Model CM3, </w:t>
      </w:r>
      <w:r w:rsidRPr="00910F93">
        <w:rPr>
          <w:rFonts w:asciiTheme="minorHAnsi" w:eastAsia="SimSun" w:hAnsiTheme="minorHAnsi" w:cstheme="minorHAnsi"/>
          <w:i/>
          <w:iCs/>
          <w:szCs w:val="20"/>
          <w:lang w:eastAsia="en-GB"/>
        </w:rPr>
        <w:t>J. Climate</w:t>
      </w:r>
      <w:r w:rsidRPr="00910F93">
        <w:rPr>
          <w:rFonts w:asciiTheme="minorHAnsi" w:eastAsia="SimSun" w:hAnsiTheme="minorHAnsi" w:cstheme="minorHAnsi"/>
          <w:szCs w:val="20"/>
          <w:lang w:eastAsia="en-GB"/>
        </w:rPr>
        <w:t xml:space="preserve">, 24, 3484–3519, </w:t>
      </w:r>
      <w:hyperlink r:id="rId21" w:history="1">
        <w:r w:rsidRPr="00AD47C8">
          <w:rPr>
            <w:rStyle w:val="Hyperlink"/>
            <w:rFonts w:asciiTheme="minorHAnsi" w:eastAsia="SimSun" w:hAnsiTheme="minorHAnsi" w:cstheme="minorHAnsi"/>
            <w:szCs w:val="20"/>
            <w:lang w:eastAsia="en-GB"/>
          </w:rPr>
          <w:t>https://doi.org/10.1175/2011jcli3955.1</w:t>
        </w:r>
      </w:hyperlink>
    </w:p>
    <w:p w14:paraId="2A9885BC" w14:textId="5A7245F5" w:rsidR="00910F93" w:rsidRDefault="00910F93" w:rsidP="00910F93">
      <w:pPr>
        <w:autoSpaceDE w:val="0"/>
        <w:autoSpaceDN w:val="0"/>
        <w:adjustRightInd w:val="0"/>
        <w:spacing w:line="240" w:lineRule="auto"/>
        <w:ind w:left="180" w:hanging="180"/>
        <w:rPr>
          <w:rFonts w:asciiTheme="minorHAnsi" w:eastAsia="SimSun" w:hAnsiTheme="minorHAnsi" w:cstheme="minorHAnsi"/>
          <w:szCs w:val="20"/>
          <w:lang w:eastAsia="en-GB"/>
        </w:rPr>
      </w:pPr>
    </w:p>
    <w:p w14:paraId="7B5CD77E" w14:textId="6F307640" w:rsidR="00910F93" w:rsidRPr="00910F93" w:rsidRDefault="00910F93" w:rsidP="00910F93">
      <w:pPr>
        <w:autoSpaceDE w:val="0"/>
        <w:autoSpaceDN w:val="0"/>
        <w:adjustRightInd w:val="0"/>
        <w:spacing w:line="240" w:lineRule="auto"/>
        <w:ind w:left="180" w:hanging="180"/>
        <w:rPr>
          <w:rFonts w:asciiTheme="minorHAnsi" w:hAnsiTheme="minorHAnsi" w:cstheme="minorHAnsi"/>
          <w:szCs w:val="20"/>
        </w:rPr>
      </w:pPr>
      <w:r w:rsidRPr="00910F93">
        <w:rPr>
          <w:rFonts w:asciiTheme="minorHAnsi" w:eastAsia="SimSun" w:hAnsiTheme="minorHAnsi" w:cstheme="minorHAnsi"/>
          <w:szCs w:val="20"/>
          <w:lang w:eastAsia="en-GB"/>
        </w:rPr>
        <w:t xml:space="preserve">Flemming, J., Huijnen, V., Arteta, J., Bechtold, P., Beljaars, A.,Blechschmidt, A.-M., Diamantakis, M., Engelen, R. J., Gaudel, A., Inness, A., Jones, L., Josse, B., Katragkou, E., Marecal, V., Peuch, V.-H., Richter, A., Schultz, M. G., Stein, O., and Tsikerdekis, A. (2015). Tropospheric chemistry in the Integrated Forecasting System of ECMWF, </w:t>
      </w:r>
      <w:r w:rsidRPr="00910F93">
        <w:rPr>
          <w:rFonts w:asciiTheme="minorHAnsi" w:eastAsia="SimSun" w:hAnsiTheme="minorHAnsi" w:cstheme="minorHAnsi"/>
          <w:i/>
          <w:iCs/>
          <w:szCs w:val="20"/>
          <w:lang w:eastAsia="en-GB"/>
        </w:rPr>
        <w:t>Geosci. Model Dev</w:t>
      </w:r>
      <w:r w:rsidRPr="00910F93">
        <w:rPr>
          <w:rFonts w:asciiTheme="minorHAnsi" w:eastAsia="SimSun" w:hAnsiTheme="minorHAnsi" w:cstheme="minorHAnsi"/>
          <w:szCs w:val="20"/>
          <w:lang w:eastAsia="en-GB"/>
        </w:rPr>
        <w:t>., 8, 975–1003, https://doi.org/10.5194/gmd-8-975-2015.</w:t>
      </w:r>
    </w:p>
    <w:p w14:paraId="1E5F4302" w14:textId="77777777" w:rsidR="00910F93" w:rsidRPr="00AA5AE1" w:rsidRDefault="00910F93" w:rsidP="00AA5AE1">
      <w:pPr>
        <w:autoSpaceDE w:val="0"/>
        <w:autoSpaceDN w:val="0"/>
        <w:adjustRightInd w:val="0"/>
        <w:spacing w:line="240" w:lineRule="auto"/>
        <w:ind w:left="180" w:hanging="180"/>
        <w:rPr>
          <w:szCs w:val="20"/>
        </w:rPr>
      </w:pPr>
    </w:p>
    <w:p w14:paraId="53D85457" w14:textId="2631A0FC" w:rsidR="00AA5AE1" w:rsidRPr="00AA5AE1" w:rsidRDefault="00AA5AE1" w:rsidP="00AA5AE1">
      <w:pPr>
        <w:autoSpaceDE w:val="0"/>
        <w:autoSpaceDN w:val="0"/>
        <w:adjustRightInd w:val="0"/>
        <w:spacing w:line="240" w:lineRule="auto"/>
        <w:ind w:left="180" w:hanging="180"/>
        <w:rPr>
          <w:szCs w:val="20"/>
          <w:shd w:val="clear" w:color="auto" w:fill="FFFFFF"/>
        </w:rPr>
      </w:pPr>
      <w:r w:rsidRPr="00AA5AE1">
        <w:rPr>
          <w:szCs w:val="20"/>
          <w:shd w:val="clear" w:color="auto" w:fill="FFFFFF"/>
        </w:rPr>
        <w:t>Gan, C.-M., J. Pleim, R. Mathur, C. Hogrefe, C. N. Long, J. Xing, D. Wong, R. Gilliam, and C. Wei</w:t>
      </w:r>
      <w:r w:rsidR="005544B2">
        <w:rPr>
          <w:szCs w:val="20"/>
          <w:shd w:val="clear" w:color="auto" w:fill="FFFFFF"/>
        </w:rPr>
        <w:t xml:space="preserve"> (2015). </w:t>
      </w:r>
      <w:r w:rsidRPr="00AA5AE1">
        <w:rPr>
          <w:szCs w:val="20"/>
          <w:shd w:val="clear" w:color="auto" w:fill="FFFFFF"/>
        </w:rPr>
        <w:t xml:space="preserve"> </w:t>
      </w:r>
      <w:hyperlink r:id="rId22" w:tgtFrame="_parent" w:history="1">
        <w:r w:rsidRPr="00AA5AE1">
          <w:rPr>
            <w:rStyle w:val="Hyperlink"/>
            <w:bCs/>
            <w:szCs w:val="20"/>
            <w:shd w:val="clear" w:color="auto" w:fill="FFFFFF"/>
          </w:rPr>
          <w:t>Assessment of long-term WRF–CMAQ simulations for understanding direct aerosol effects on radiation "brightening" in the United States</w:t>
        </w:r>
      </w:hyperlink>
      <w:r w:rsidRPr="00AA5AE1">
        <w:rPr>
          <w:szCs w:val="20"/>
        </w:rPr>
        <w:t xml:space="preserve">, </w:t>
      </w:r>
      <w:r w:rsidRPr="00AA5AE1">
        <w:rPr>
          <w:szCs w:val="20"/>
          <w:shd w:val="clear" w:color="auto" w:fill="FFFFFF"/>
        </w:rPr>
        <w:t>Atmos. Chem. Phys., 15, 12193-12209,</w:t>
      </w:r>
      <w:r w:rsidRPr="00AA5AE1">
        <w:rPr>
          <w:rStyle w:val="apple-converted-space"/>
          <w:szCs w:val="20"/>
          <w:shd w:val="clear" w:color="auto" w:fill="FFFFFF"/>
        </w:rPr>
        <w:t xml:space="preserve"> </w:t>
      </w:r>
      <w:r w:rsidRPr="00AA5AE1">
        <w:rPr>
          <w:szCs w:val="20"/>
        </w:rPr>
        <w:t>doi:10.5194/acp-15-12193-2015</w:t>
      </w:r>
      <w:r w:rsidRPr="00AA5AE1">
        <w:rPr>
          <w:szCs w:val="20"/>
          <w:shd w:val="clear" w:color="auto" w:fill="FFFFFF"/>
        </w:rPr>
        <w:t>.</w:t>
      </w:r>
    </w:p>
    <w:p w14:paraId="2D2864AC" w14:textId="77777777" w:rsidR="00AA5AE1" w:rsidRPr="00AA5AE1" w:rsidRDefault="00AA5AE1" w:rsidP="00AA5AE1">
      <w:pPr>
        <w:autoSpaceDE w:val="0"/>
        <w:autoSpaceDN w:val="0"/>
        <w:adjustRightInd w:val="0"/>
        <w:spacing w:line="240" w:lineRule="auto"/>
        <w:ind w:left="180" w:hanging="180"/>
        <w:rPr>
          <w:szCs w:val="20"/>
        </w:rPr>
      </w:pPr>
    </w:p>
    <w:p w14:paraId="01AAF6E0" w14:textId="77777777" w:rsidR="00AA5AE1" w:rsidRPr="00AA5AE1" w:rsidRDefault="00AA5AE1" w:rsidP="00AA5AE1">
      <w:pPr>
        <w:autoSpaceDE w:val="0"/>
        <w:autoSpaceDN w:val="0"/>
        <w:adjustRightInd w:val="0"/>
        <w:spacing w:line="240" w:lineRule="auto"/>
        <w:ind w:left="180" w:hanging="180"/>
        <w:rPr>
          <w:rStyle w:val="Hyperlink"/>
          <w:szCs w:val="20"/>
        </w:rPr>
      </w:pPr>
      <w:r w:rsidRPr="00AA5AE1">
        <w:rPr>
          <w:szCs w:val="20"/>
        </w:rPr>
        <w:lastRenderedPageBreak/>
        <w:t xml:space="preserve">Hogrefe, C., Liu, P., Pouliot, G., Mathur, R., Roselle, S., Flemming, J., Lin, M., and Park, R. J. (2018). Impacts of different characterizations of large-scale background on simulated regional-scale ozone over the continental United States. </w:t>
      </w:r>
      <w:r w:rsidRPr="00AA5AE1">
        <w:rPr>
          <w:i/>
          <w:iCs/>
          <w:szCs w:val="20"/>
        </w:rPr>
        <w:t>Atmos. Chem. Phys</w:t>
      </w:r>
      <w:r w:rsidRPr="00AA5AE1">
        <w:rPr>
          <w:szCs w:val="20"/>
        </w:rPr>
        <w:t xml:space="preserve">., 18, 3839–3864. </w:t>
      </w:r>
      <w:hyperlink r:id="rId23" w:history="1">
        <w:r w:rsidRPr="00AA5AE1">
          <w:rPr>
            <w:rStyle w:val="Hyperlink"/>
            <w:szCs w:val="20"/>
          </w:rPr>
          <w:t>https://doi.org/10.5194/acp-18-3839-2018</w:t>
        </w:r>
      </w:hyperlink>
      <w:r w:rsidRPr="00AA5AE1">
        <w:rPr>
          <w:rStyle w:val="Hyperlink"/>
          <w:szCs w:val="20"/>
        </w:rPr>
        <w:t>.</w:t>
      </w:r>
    </w:p>
    <w:p w14:paraId="16CDA16E" w14:textId="77777777" w:rsidR="00AA5AE1" w:rsidRPr="00AA5AE1" w:rsidRDefault="00AA5AE1" w:rsidP="00AA5AE1">
      <w:pPr>
        <w:autoSpaceDE w:val="0"/>
        <w:autoSpaceDN w:val="0"/>
        <w:adjustRightInd w:val="0"/>
        <w:spacing w:line="240" w:lineRule="auto"/>
        <w:ind w:left="180" w:hanging="180"/>
        <w:rPr>
          <w:szCs w:val="20"/>
        </w:rPr>
      </w:pPr>
    </w:p>
    <w:p w14:paraId="69B6B953" w14:textId="77777777" w:rsidR="00AA5AE1" w:rsidRPr="00AA5AE1" w:rsidRDefault="00AA5AE1" w:rsidP="00AA5AE1">
      <w:pPr>
        <w:autoSpaceDE w:val="0"/>
        <w:autoSpaceDN w:val="0"/>
        <w:adjustRightInd w:val="0"/>
        <w:spacing w:after="120" w:line="240" w:lineRule="auto"/>
        <w:ind w:left="180" w:hanging="180"/>
        <w:rPr>
          <w:rFonts w:eastAsia="SimSun"/>
          <w:szCs w:val="20"/>
          <w:lang w:eastAsia="en-GB"/>
        </w:rPr>
      </w:pPr>
      <w:r w:rsidRPr="00AA5AE1">
        <w:rPr>
          <w:szCs w:val="20"/>
        </w:rPr>
        <w:t xml:space="preserve">Itahashi, S., Mathur, R., Hogrefe, C., Napelenok, S.L. and Zhang, Y. (2020). Modeling stratospheric intrusion and trans-Pacific transport on tropospheric ozone using hemispheric CMAQ during April 2010 – Part 2: Examination of emission impacts based on the higher-order decoupled direct method. </w:t>
      </w:r>
      <w:r w:rsidRPr="00AA5AE1">
        <w:rPr>
          <w:i/>
          <w:iCs/>
          <w:szCs w:val="20"/>
        </w:rPr>
        <w:t>Atmos. Chem. Phys</w:t>
      </w:r>
      <w:r w:rsidRPr="00AA5AE1">
        <w:rPr>
          <w:szCs w:val="20"/>
        </w:rPr>
        <w:t xml:space="preserve">., 20, 3397–3413. </w:t>
      </w:r>
      <w:hyperlink r:id="rId24" w:history="1">
        <w:r w:rsidRPr="00AA5AE1">
          <w:rPr>
            <w:rStyle w:val="Hyperlink"/>
            <w:szCs w:val="20"/>
            <w:shd w:val="clear" w:color="auto" w:fill="FFFFFF"/>
          </w:rPr>
          <w:t>https://doi.org/10.5194/acp-20-3397-2020</w:t>
        </w:r>
      </w:hyperlink>
    </w:p>
    <w:p w14:paraId="21F0971F" w14:textId="77777777" w:rsidR="00AA5AE1" w:rsidRPr="00AA5AE1" w:rsidRDefault="00AA5AE1" w:rsidP="00AA5AE1">
      <w:pPr>
        <w:autoSpaceDE w:val="0"/>
        <w:autoSpaceDN w:val="0"/>
        <w:adjustRightInd w:val="0"/>
        <w:spacing w:line="240" w:lineRule="auto"/>
        <w:ind w:left="180" w:hanging="180"/>
        <w:rPr>
          <w:szCs w:val="20"/>
        </w:rPr>
      </w:pPr>
    </w:p>
    <w:p w14:paraId="25E23E4E" w14:textId="77777777" w:rsidR="00AA5AE1" w:rsidRPr="00AA5AE1" w:rsidRDefault="00AA5AE1" w:rsidP="00AA5AE1">
      <w:pPr>
        <w:autoSpaceDE w:val="0"/>
        <w:autoSpaceDN w:val="0"/>
        <w:adjustRightInd w:val="0"/>
        <w:spacing w:line="240" w:lineRule="auto"/>
        <w:ind w:left="180" w:hanging="180"/>
        <w:rPr>
          <w:rStyle w:val="Hyperlink"/>
          <w:szCs w:val="20"/>
          <w:shd w:val="clear" w:color="auto" w:fill="FFFFFF"/>
        </w:rPr>
      </w:pPr>
      <w:r w:rsidRPr="00AA5AE1">
        <w:rPr>
          <w:szCs w:val="20"/>
          <w:shd w:val="clear" w:color="auto" w:fill="FFFFFF"/>
        </w:rPr>
        <w:t xml:space="preserve">Mathur, R., Xing, J., Gilliam, R., Sarwar, G., Hogrefe, C., Pleim, J., Pouliot, G., Roselle, S., Spero, T.L., Wong, D.C., Young, J. (2017). Extending the Community Multiscale Air Quality (CMAQ) modeling system to hemispheric scales: overview of process considerations and initial applications. </w:t>
      </w:r>
      <w:r w:rsidRPr="00AA5AE1">
        <w:rPr>
          <w:i/>
          <w:szCs w:val="20"/>
          <w:shd w:val="clear" w:color="auto" w:fill="FFFFFF"/>
        </w:rPr>
        <w:t>Atmos. Chem. Phys</w:t>
      </w:r>
      <w:r w:rsidRPr="00AA5AE1">
        <w:rPr>
          <w:szCs w:val="20"/>
          <w:shd w:val="clear" w:color="auto" w:fill="FFFFFF"/>
        </w:rPr>
        <w:t xml:space="preserve">., 17, 12449-12474. </w:t>
      </w:r>
      <w:hyperlink r:id="rId25" w:history="1">
        <w:r w:rsidRPr="00AA5AE1">
          <w:rPr>
            <w:rStyle w:val="Hyperlink"/>
            <w:szCs w:val="20"/>
            <w:shd w:val="clear" w:color="auto" w:fill="FFFFFF"/>
          </w:rPr>
          <w:t>https://doi.org/10.5194/acp-17-12449-2017</w:t>
        </w:r>
      </w:hyperlink>
      <w:r w:rsidRPr="00AA5AE1">
        <w:rPr>
          <w:rStyle w:val="Hyperlink"/>
          <w:szCs w:val="20"/>
          <w:shd w:val="clear" w:color="auto" w:fill="FFFFFF"/>
        </w:rPr>
        <w:t>.</w:t>
      </w:r>
    </w:p>
    <w:p w14:paraId="737CF918" w14:textId="77777777" w:rsidR="00AA5AE1" w:rsidRPr="00AA5AE1" w:rsidRDefault="00AA5AE1" w:rsidP="00AA5AE1">
      <w:pPr>
        <w:autoSpaceDE w:val="0"/>
        <w:autoSpaceDN w:val="0"/>
        <w:adjustRightInd w:val="0"/>
        <w:spacing w:line="240" w:lineRule="auto"/>
        <w:ind w:left="180" w:hanging="180"/>
        <w:rPr>
          <w:szCs w:val="20"/>
        </w:rPr>
      </w:pPr>
    </w:p>
    <w:p w14:paraId="1C6D07DB" w14:textId="77777777" w:rsidR="00AA5AE1" w:rsidRPr="00AA5AE1" w:rsidRDefault="00AA5AE1" w:rsidP="00AA5AE1">
      <w:pPr>
        <w:autoSpaceDE w:val="0"/>
        <w:autoSpaceDN w:val="0"/>
        <w:adjustRightInd w:val="0"/>
        <w:spacing w:line="240" w:lineRule="auto"/>
        <w:ind w:left="180" w:hanging="180"/>
        <w:rPr>
          <w:szCs w:val="20"/>
        </w:rPr>
      </w:pPr>
      <w:r w:rsidRPr="00AA5AE1">
        <w:rPr>
          <w:szCs w:val="20"/>
        </w:rPr>
        <w:t>Parrish, D. D., R. G. Derwent, W. Steinbrecht, R. Stübi, R.</w:t>
      </w:r>
      <w:r w:rsidRPr="00AA5AE1">
        <w:rPr>
          <w:spacing w:val="1"/>
          <w:szCs w:val="20"/>
        </w:rPr>
        <w:t xml:space="preserve"> </w:t>
      </w:r>
      <w:r w:rsidRPr="00AA5AE1">
        <w:rPr>
          <w:szCs w:val="20"/>
        </w:rPr>
        <w:t>Van Malderen, M. Steinbacher, et al.</w:t>
      </w:r>
      <w:r w:rsidRPr="00AA5AE1">
        <w:rPr>
          <w:spacing w:val="-58"/>
          <w:szCs w:val="20"/>
        </w:rPr>
        <w:t xml:space="preserve"> </w:t>
      </w:r>
      <w:r w:rsidRPr="00AA5AE1">
        <w:rPr>
          <w:szCs w:val="20"/>
        </w:rPr>
        <w:t>(2020), Zonal similarity of long-term changes and seasonal cycles of baseline ozone at</w:t>
      </w:r>
      <w:r w:rsidRPr="00AA5AE1">
        <w:rPr>
          <w:spacing w:val="1"/>
          <w:szCs w:val="20"/>
        </w:rPr>
        <w:t xml:space="preserve"> </w:t>
      </w:r>
      <w:r w:rsidRPr="00AA5AE1">
        <w:rPr>
          <w:szCs w:val="20"/>
        </w:rPr>
        <w:t>northern</w:t>
      </w:r>
      <w:r w:rsidRPr="00AA5AE1">
        <w:rPr>
          <w:spacing w:val="1"/>
          <w:szCs w:val="20"/>
        </w:rPr>
        <w:t xml:space="preserve"> </w:t>
      </w:r>
      <w:r w:rsidRPr="00AA5AE1">
        <w:rPr>
          <w:szCs w:val="20"/>
        </w:rPr>
        <w:t>mid-latitudes.</w:t>
      </w:r>
      <w:r w:rsidRPr="00AA5AE1">
        <w:rPr>
          <w:spacing w:val="3"/>
          <w:szCs w:val="20"/>
        </w:rPr>
        <w:t xml:space="preserve"> </w:t>
      </w:r>
      <w:r w:rsidRPr="00AA5AE1">
        <w:rPr>
          <w:i/>
          <w:szCs w:val="20"/>
        </w:rPr>
        <w:t>J.</w:t>
      </w:r>
      <w:r w:rsidRPr="00AA5AE1">
        <w:rPr>
          <w:i/>
          <w:spacing w:val="3"/>
          <w:szCs w:val="20"/>
        </w:rPr>
        <w:t xml:space="preserve"> </w:t>
      </w:r>
      <w:r w:rsidRPr="00AA5AE1">
        <w:rPr>
          <w:i/>
          <w:szCs w:val="20"/>
        </w:rPr>
        <w:t>Geophys. Res.:</w:t>
      </w:r>
      <w:r w:rsidRPr="00AA5AE1">
        <w:rPr>
          <w:i/>
          <w:spacing w:val="-2"/>
          <w:szCs w:val="20"/>
        </w:rPr>
        <w:t xml:space="preserve"> </w:t>
      </w:r>
      <w:r w:rsidRPr="00AA5AE1">
        <w:rPr>
          <w:i/>
          <w:szCs w:val="20"/>
        </w:rPr>
        <w:t>Atmos.,</w:t>
      </w:r>
      <w:r w:rsidRPr="00AA5AE1">
        <w:rPr>
          <w:i/>
          <w:spacing w:val="-1"/>
          <w:szCs w:val="20"/>
        </w:rPr>
        <w:t xml:space="preserve"> </w:t>
      </w:r>
      <w:r w:rsidRPr="00AA5AE1">
        <w:rPr>
          <w:szCs w:val="20"/>
        </w:rPr>
        <w:t>125,</w:t>
      </w:r>
      <w:r w:rsidRPr="00AA5AE1">
        <w:rPr>
          <w:spacing w:val="3"/>
          <w:szCs w:val="20"/>
        </w:rPr>
        <w:t xml:space="preserve"> </w:t>
      </w:r>
      <w:r w:rsidRPr="00AA5AE1">
        <w:rPr>
          <w:szCs w:val="20"/>
        </w:rPr>
        <w:t>e2019JD031908,</w:t>
      </w:r>
      <w:r w:rsidRPr="00AA5AE1">
        <w:rPr>
          <w:spacing w:val="1"/>
          <w:szCs w:val="20"/>
        </w:rPr>
        <w:t xml:space="preserve"> </w:t>
      </w:r>
      <w:r w:rsidRPr="00AA5AE1">
        <w:rPr>
          <w:szCs w:val="20"/>
        </w:rPr>
        <w:t>https://doi.org/10.1029/2019JD031908</w:t>
      </w:r>
      <w:r w:rsidRPr="00AA5AE1">
        <w:rPr>
          <w:spacing w:val="1"/>
          <w:szCs w:val="20"/>
        </w:rPr>
        <w:t xml:space="preserve"> </w:t>
      </w:r>
      <w:r w:rsidRPr="00AA5AE1">
        <w:rPr>
          <w:szCs w:val="20"/>
        </w:rPr>
        <w:t>doi:</w:t>
      </w:r>
      <w:r w:rsidRPr="00AA5AE1">
        <w:rPr>
          <w:spacing w:val="-2"/>
          <w:szCs w:val="20"/>
        </w:rPr>
        <w:t xml:space="preserve"> </w:t>
      </w:r>
      <w:r w:rsidRPr="00AA5AE1">
        <w:rPr>
          <w:szCs w:val="20"/>
        </w:rPr>
        <w:t xml:space="preserve">10.1029/2019JD031908. </w:t>
      </w:r>
    </w:p>
    <w:p w14:paraId="1DD31309" w14:textId="77777777" w:rsidR="00AA5AE1" w:rsidRPr="00AA5AE1" w:rsidRDefault="00AA5AE1" w:rsidP="00AA5AE1">
      <w:pPr>
        <w:autoSpaceDE w:val="0"/>
        <w:autoSpaceDN w:val="0"/>
        <w:adjustRightInd w:val="0"/>
        <w:spacing w:line="240" w:lineRule="auto"/>
        <w:ind w:left="180" w:hanging="180"/>
        <w:rPr>
          <w:szCs w:val="20"/>
        </w:rPr>
      </w:pPr>
    </w:p>
    <w:p w14:paraId="458DF5C5" w14:textId="2E9FF8C1" w:rsidR="00AA5AE1" w:rsidRDefault="00AA5AE1" w:rsidP="00AA5AE1">
      <w:pPr>
        <w:autoSpaceDE w:val="0"/>
        <w:autoSpaceDN w:val="0"/>
        <w:adjustRightInd w:val="0"/>
        <w:spacing w:line="240" w:lineRule="auto"/>
        <w:ind w:left="180" w:hanging="180"/>
        <w:rPr>
          <w:szCs w:val="20"/>
        </w:rPr>
      </w:pPr>
      <w:r w:rsidRPr="00AA5AE1">
        <w:rPr>
          <w:szCs w:val="20"/>
        </w:rPr>
        <w:t>Wang, K., Zhang, Y., Jang, C., Phillips, S., and Wang, B.: Modeling intercontinental air pollution transport over the trans-Pacific region in 2001 using the Community Multiscale Air Quality modeling system, J. Geophys. Res.-Atmos., 114, D04307, doi:10.1029/2008JD010807, 2009.</w:t>
      </w:r>
    </w:p>
    <w:p w14:paraId="4A16DBEE" w14:textId="77777777" w:rsidR="00A636D4" w:rsidRDefault="00A636D4" w:rsidP="00AA5AE1">
      <w:pPr>
        <w:autoSpaceDE w:val="0"/>
        <w:autoSpaceDN w:val="0"/>
        <w:adjustRightInd w:val="0"/>
        <w:spacing w:line="240" w:lineRule="auto"/>
        <w:ind w:left="180" w:hanging="180"/>
        <w:rPr>
          <w:szCs w:val="20"/>
        </w:rPr>
      </w:pPr>
    </w:p>
    <w:p w14:paraId="30F4DBF7" w14:textId="30C400BC" w:rsidR="00A636D4" w:rsidRPr="00AA5AE1" w:rsidRDefault="00A636D4" w:rsidP="00AA5AE1">
      <w:pPr>
        <w:autoSpaceDE w:val="0"/>
        <w:autoSpaceDN w:val="0"/>
        <w:adjustRightInd w:val="0"/>
        <w:spacing w:line="240" w:lineRule="auto"/>
        <w:ind w:left="180" w:hanging="180"/>
        <w:rPr>
          <w:szCs w:val="20"/>
        </w:rPr>
      </w:pPr>
      <w:r w:rsidRPr="008D788A">
        <w:rPr>
          <w:rFonts w:asciiTheme="minorHAnsi" w:hAnsiTheme="minorHAnsi" w:cstheme="minorHAnsi"/>
          <w:szCs w:val="20"/>
          <w:lang w:val="en"/>
        </w:rPr>
        <w:t>Xing, J.</w:t>
      </w:r>
      <w:r>
        <w:rPr>
          <w:rFonts w:asciiTheme="minorHAnsi" w:hAnsiTheme="minorHAnsi" w:cstheme="minorHAnsi"/>
          <w:szCs w:val="20"/>
          <w:lang w:val="en"/>
        </w:rPr>
        <w:t>,</w:t>
      </w:r>
      <w:r w:rsidRPr="008D788A">
        <w:rPr>
          <w:rFonts w:asciiTheme="minorHAnsi" w:hAnsiTheme="minorHAnsi" w:cstheme="minorHAnsi"/>
          <w:szCs w:val="20"/>
          <w:lang w:val="en"/>
        </w:rPr>
        <w:t xml:space="preserve"> Mathur, R.</w:t>
      </w:r>
      <w:r>
        <w:rPr>
          <w:rFonts w:asciiTheme="minorHAnsi" w:hAnsiTheme="minorHAnsi" w:cstheme="minorHAnsi"/>
          <w:szCs w:val="20"/>
          <w:lang w:val="en"/>
        </w:rPr>
        <w:t>,</w:t>
      </w:r>
      <w:r w:rsidRPr="008D788A">
        <w:rPr>
          <w:rFonts w:asciiTheme="minorHAnsi" w:hAnsiTheme="minorHAnsi" w:cstheme="minorHAnsi"/>
          <w:szCs w:val="20"/>
          <w:lang w:val="en"/>
        </w:rPr>
        <w:t xml:space="preserve"> Pleim, J.</w:t>
      </w:r>
      <w:r>
        <w:rPr>
          <w:rFonts w:asciiTheme="minorHAnsi" w:hAnsiTheme="minorHAnsi" w:cstheme="minorHAnsi"/>
          <w:szCs w:val="20"/>
          <w:lang w:val="en"/>
        </w:rPr>
        <w:t>,</w:t>
      </w:r>
      <w:r w:rsidRPr="008D788A">
        <w:rPr>
          <w:rFonts w:asciiTheme="minorHAnsi" w:hAnsiTheme="minorHAnsi" w:cstheme="minorHAnsi"/>
          <w:szCs w:val="20"/>
          <w:lang w:val="en"/>
        </w:rPr>
        <w:t xml:space="preserve"> Hogrefe, C.</w:t>
      </w:r>
      <w:r>
        <w:rPr>
          <w:rFonts w:asciiTheme="minorHAnsi" w:hAnsiTheme="minorHAnsi" w:cstheme="minorHAnsi"/>
          <w:szCs w:val="20"/>
          <w:lang w:val="en"/>
        </w:rPr>
        <w:t>,</w:t>
      </w:r>
      <w:r w:rsidRPr="008D788A">
        <w:rPr>
          <w:rFonts w:asciiTheme="minorHAnsi" w:hAnsiTheme="minorHAnsi" w:cstheme="minorHAnsi"/>
          <w:szCs w:val="20"/>
          <w:lang w:val="en"/>
        </w:rPr>
        <w:t xml:space="preserve"> Gan, C.</w:t>
      </w:r>
      <w:r>
        <w:rPr>
          <w:rFonts w:asciiTheme="minorHAnsi" w:hAnsiTheme="minorHAnsi" w:cstheme="minorHAnsi"/>
          <w:szCs w:val="20"/>
          <w:lang w:val="en"/>
        </w:rPr>
        <w:t>,</w:t>
      </w:r>
      <w:r w:rsidRPr="008D788A">
        <w:rPr>
          <w:rFonts w:asciiTheme="minorHAnsi" w:hAnsiTheme="minorHAnsi" w:cstheme="minorHAnsi"/>
          <w:szCs w:val="20"/>
          <w:lang w:val="en"/>
        </w:rPr>
        <w:t xml:space="preserve"> Wong, D.C.</w:t>
      </w:r>
      <w:r>
        <w:rPr>
          <w:rFonts w:asciiTheme="minorHAnsi" w:hAnsiTheme="minorHAnsi" w:cstheme="minorHAnsi"/>
          <w:szCs w:val="20"/>
          <w:lang w:val="en"/>
        </w:rPr>
        <w:t>,</w:t>
      </w:r>
      <w:r w:rsidRPr="008D788A">
        <w:rPr>
          <w:rFonts w:asciiTheme="minorHAnsi" w:hAnsiTheme="minorHAnsi" w:cstheme="minorHAnsi"/>
          <w:szCs w:val="20"/>
          <w:lang w:val="en"/>
        </w:rPr>
        <w:t xml:space="preserve"> Wei, C.</w:t>
      </w:r>
      <w:r>
        <w:rPr>
          <w:rFonts w:asciiTheme="minorHAnsi" w:hAnsiTheme="minorHAnsi" w:cstheme="minorHAnsi"/>
          <w:szCs w:val="20"/>
          <w:lang w:val="en"/>
        </w:rPr>
        <w:t>,</w:t>
      </w:r>
      <w:r w:rsidRPr="008D788A">
        <w:rPr>
          <w:rFonts w:asciiTheme="minorHAnsi" w:hAnsiTheme="minorHAnsi" w:cstheme="minorHAnsi"/>
          <w:szCs w:val="20"/>
          <w:lang w:val="en"/>
        </w:rPr>
        <w:t xml:space="preserve"> Gilliam, R.</w:t>
      </w:r>
      <w:r>
        <w:rPr>
          <w:rFonts w:asciiTheme="minorHAnsi" w:hAnsiTheme="minorHAnsi" w:cstheme="minorHAnsi"/>
          <w:szCs w:val="20"/>
          <w:lang w:val="en"/>
        </w:rPr>
        <w:t>,</w:t>
      </w:r>
      <w:r w:rsidRPr="008D788A">
        <w:rPr>
          <w:rFonts w:asciiTheme="minorHAnsi" w:hAnsiTheme="minorHAnsi" w:cstheme="minorHAnsi"/>
          <w:szCs w:val="20"/>
          <w:lang w:val="en"/>
        </w:rPr>
        <w:t xml:space="preserve"> Pouliot, G.</w:t>
      </w:r>
      <w:r>
        <w:rPr>
          <w:rFonts w:asciiTheme="minorHAnsi" w:hAnsiTheme="minorHAnsi" w:cstheme="minorHAnsi"/>
          <w:szCs w:val="20"/>
          <w:lang w:val="en"/>
        </w:rPr>
        <w:t xml:space="preserve"> (2015).</w:t>
      </w:r>
      <w:r w:rsidRPr="008D788A">
        <w:rPr>
          <w:rFonts w:asciiTheme="minorHAnsi" w:hAnsiTheme="minorHAnsi" w:cstheme="minorHAnsi"/>
          <w:szCs w:val="20"/>
          <w:lang w:val="en"/>
        </w:rPr>
        <w:t xml:space="preserve"> </w:t>
      </w:r>
      <w:hyperlink r:id="rId26" w:history="1">
        <w:r w:rsidRPr="008D788A">
          <w:rPr>
            <w:rStyle w:val="Hyperlink"/>
            <w:rFonts w:asciiTheme="minorHAnsi" w:hAnsiTheme="minorHAnsi" w:cstheme="minorHAnsi"/>
            <w:color w:val="auto"/>
            <w:szCs w:val="20"/>
            <w:u w:val="none"/>
            <w:lang w:val="en"/>
          </w:rPr>
          <w:t>Observations and modeling of air quality trends over 1990-2010 across the northern hemisphere: China, the United States and Europe</w:t>
        </w:r>
      </w:hyperlink>
      <w:r w:rsidRPr="008D788A">
        <w:rPr>
          <w:rFonts w:asciiTheme="minorHAnsi" w:hAnsiTheme="minorHAnsi" w:cstheme="minorHAnsi"/>
          <w:szCs w:val="20"/>
          <w:lang w:val="en"/>
        </w:rPr>
        <w:t xml:space="preserve">. </w:t>
      </w:r>
      <w:r w:rsidRPr="008D788A">
        <w:rPr>
          <w:rFonts w:asciiTheme="minorHAnsi" w:hAnsiTheme="minorHAnsi" w:cstheme="minorHAnsi"/>
          <w:i/>
          <w:szCs w:val="20"/>
          <w:lang w:val="en"/>
        </w:rPr>
        <w:t>Atmos. Chem &amp; Phys</w:t>
      </w:r>
      <w:r w:rsidRPr="008D788A">
        <w:rPr>
          <w:rFonts w:asciiTheme="minorHAnsi" w:hAnsiTheme="minorHAnsi" w:cstheme="minorHAnsi"/>
          <w:szCs w:val="20"/>
          <w:lang w:val="en"/>
        </w:rPr>
        <w:t xml:space="preserve">., 15, 2227-2914, </w:t>
      </w:r>
      <w:r w:rsidRPr="008D788A">
        <w:rPr>
          <w:rFonts w:asciiTheme="minorHAnsi" w:hAnsiTheme="minorHAnsi" w:cstheme="minorHAnsi"/>
          <w:szCs w:val="20"/>
        </w:rPr>
        <w:t>doi:10.5194/acp-15-2723-2015</w:t>
      </w:r>
      <w:r>
        <w:rPr>
          <w:rFonts w:asciiTheme="minorHAnsi" w:hAnsiTheme="minorHAnsi" w:cstheme="minorHAnsi"/>
          <w:szCs w:val="20"/>
        </w:rPr>
        <w:t>.</w:t>
      </w:r>
    </w:p>
    <w:p w14:paraId="721A5490" w14:textId="77777777" w:rsidR="00AA5AE1" w:rsidRPr="00AA5AE1" w:rsidRDefault="00AA5AE1" w:rsidP="00AA5AE1">
      <w:pPr>
        <w:autoSpaceDE w:val="0"/>
        <w:autoSpaceDN w:val="0"/>
        <w:adjustRightInd w:val="0"/>
        <w:spacing w:line="240" w:lineRule="auto"/>
        <w:ind w:left="180" w:hanging="180"/>
        <w:rPr>
          <w:szCs w:val="20"/>
        </w:rPr>
      </w:pPr>
    </w:p>
    <w:p w14:paraId="772B1BE2" w14:textId="77777777" w:rsidR="00AA5AE1" w:rsidRPr="00AA5AE1" w:rsidRDefault="00AA5AE1" w:rsidP="00AA5AE1">
      <w:pPr>
        <w:autoSpaceDE w:val="0"/>
        <w:autoSpaceDN w:val="0"/>
        <w:adjustRightInd w:val="0"/>
        <w:spacing w:line="240" w:lineRule="auto"/>
        <w:ind w:left="180" w:hanging="180"/>
        <w:rPr>
          <w:szCs w:val="20"/>
        </w:rPr>
      </w:pPr>
      <w:r w:rsidRPr="00AA5AE1">
        <w:rPr>
          <w:szCs w:val="20"/>
        </w:rPr>
        <w:t>Zhang, Y., Vijayaraghavan, K., Wen, X.-Y., Snell, H. E., and Jacobson, M. Z.: Probing into regional ozone and particulate matter pollution in the United States: 1. A 1 year CMAQ simulation and evaluation using surface and satellite data, J. Geophys. Res., 114, D22304, doi:10.1029/2009JD011898, 2009.</w:t>
      </w:r>
    </w:p>
    <w:p w14:paraId="6DC8DF99" w14:textId="77777777" w:rsidR="00AA5AE1" w:rsidRPr="00AA5AE1" w:rsidRDefault="00AA5AE1" w:rsidP="00AA5AE1">
      <w:pPr>
        <w:autoSpaceDE w:val="0"/>
        <w:autoSpaceDN w:val="0"/>
        <w:adjustRightInd w:val="0"/>
        <w:spacing w:line="240" w:lineRule="auto"/>
        <w:ind w:left="180" w:hanging="180"/>
        <w:jc w:val="left"/>
        <w:rPr>
          <w:rFonts w:asciiTheme="minorHAnsi" w:hAnsiTheme="minorHAnsi" w:cstheme="minorHAnsi"/>
          <w:szCs w:val="20"/>
          <w:shd w:val="clear" w:color="auto" w:fill="FFFFFF"/>
        </w:rPr>
      </w:pPr>
    </w:p>
    <w:sectPr w:rsidR="00AA5AE1" w:rsidRPr="00AA5AE1" w:rsidSect="00F358DE">
      <w:footerReference w:type="default" r:id="rId27"/>
      <w:pgSz w:w="12240" w:h="15840"/>
      <w:pgMar w:top="1440" w:right="1440" w:bottom="1440" w:left="1440" w:header="720" w:footer="720" w:gutter="0"/>
      <w:lnNumType w:countBy="1" w:restart="newSection"/>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121E50" w14:textId="77777777" w:rsidR="00EB714A" w:rsidRDefault="00EB714A" w:rsidP="006D0C96">
      <w:pPr>
        <w:spacing w:line="240" w:lineRule="auto"/>
      </w:pPr>
      <w:r>
        <w:separator/>
      </w:r>
    </w:p>
  </w:endnote>
  <w:endnote w:type="continuationSeparator" w:id="0">
    <w:p w14:paraId="005F2960" w14:textId="77777777" w:rsidR="00EB714A" w:rsidRDefault="00EB714A"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 2p regular">
    <w:altName w:val="Calibri"/>
    <w:panose1 w:val="00000000000000000000"/>
    <w:charset w:val="00"/>
    <w:family w:val="swiss"/>
    <w:notTrueType/>
    <w:pitch w:val="default"/>
    <w:sig w:usb0="00000003" w:usb1="00000000" w:usb2="00000000" w:usb3="00000000" w:csb0="00000001" w:csb1="00000000"/>
  </w:font>
  <w:font w:name="Memento">
    <w:altName w:val="Cambria"/>
    <w:panose1 w:val="00000000000000000000"/>
    <w:charset w:val="00"/>
    <w:family w:val="roman"/>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1" w:usb1="00000000" w:usb2="00000000" w:usb3="00000000" w:csb0="00000009"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0545903"/>
      <w:docPartObj>
        <w:docPartGallery w:val="Page Numbers (Bottom of Page)"/>
        <w:docPartUnique/>
      </w:docPartObj>
    </w:sdtPr>
    <w:sdtEndPr>
      <w:rPr>
        <w:noProof/>
      </w:rPr>
    </w:sdtEndPr>
    <w:sdtContent>
      <w:p w14:paraId="41A7FF37" w14:textId="37372DC6" w:rsidR="00EB714A" w:rsidRPr="008056AD" w:rsidRDefault="00EB714A">
        <w:pPr>
          <w:pStyle w:val="Footer"/>
          <w:jc w:val="center"/>
        </w:pPr>
        <w:r w:rsidRPr="008056AD">
          <w:fldChar w:fldCharType="begin"/>
        </w:r>
        <w:r w:rsidRPr="008056AD">
          <w:instrText xml:space="preserve"> PAGE   \* MERGEFORMAT </w:instrText>
        </w:r>
        <w:r w:rsidRPr="008056AD">
          <w:fldChar w:fldCharType="separate"/>
        </w:r>
        <w:r>
          <w:rPr>
            <w:noProof/>
          </w:rPr>
          <w:t>4</w:t>
        </w:r>
        <w:r w:rsidRPr="008056AD">
          <w:rPr>
            <w:noProof/>
          </w:rPr>
          <w:fldChar w:fldCharType="end"/>
        </w:r>
      </w:p>
    </w:sdtContent>
  </w:sdt>
  <w:p w14:paraId="64F6CA41" w14:textId="77777777" w:rsidR="00EB714A" w:rsidRDefault="00EB71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06D1C1" w14:textId="77777777" w:rsidR="00EB714A" w:rsidRDefault="00EB714A" w:rsidP="006D0C96">
      <w:pPr>
        <w:spacing w:line="240" w:lineRule="auto"/>
      </w:pPr>
      <w:r>
        <w:separator/>
      </w:r>
    </w:p>
  </w:footnote>
  <w:footnote w:type="continuationSeparator" w:id="0">
    <w:p w14:paraId="5A2A0706" w14:textId="77777777" w:rsidR="00EB714A" w:rsidRDefault="00EB714A"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C0960C8"/>
    <w:multiLevelType w:val="hybridMultilevel"/>
    <w:tmpl w:val="3A6EE2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C050B1"/>
    <w:multiLevelType w:val="multilevel"/>
    <w:tmpl w:val="C080745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6A4088C"/>
    <w:multiLevelType w:val="hybridMultilevel"/>
    <w:tmpl w:val="39A49648"/>
    <w:lvl w:ilvl="0" w:tplc="7AA464F4">
      <w:start w:val="1"/>
      <w:numFmt w:val="lowerLetter"/>
      <w:lvlText w:val="(%1)"/>
      <w:lvlJc w:val="left"/>
      <w:pPr>
        <w:ind w:left="2364" w:hanging="360"/>
      </w:pPr>
      <w:rPr>
        <w:rFonts w:hint="default"/>
      </w:rPr>
    </w:lvl>
    <w:lvl w:ilvl="1" w:tplc="04090019" w:tentative="1">
      <w:start w:val="1"/>
      <w:numFmt w:val="lowerLetter"/>
      <w:lvlText w:val="%2."/>
      <w:lvlJc w:val="left"/>
      <w:pPr>
        <w:ind w:left="3084" w:hanging="360"/>
      </w:pPr>
    </w:lvl>
    <w:lvl w:ilvl="2" w:tplc="0409001B" w:tentative="1">
      <w:start w:val="1"/>
      <w:numFmt w:val="lowerRoman"/>
      <w:lvlText w:val="%3."/>
      <w:lvlJc w:val="right"/>
      <w:pPr>
        <w:ind w:left="3804" w:hanging="180"/>
      </w:pPr>
    </w:lvl>
    <w:lvl w:ilvl="3" w:tplc="0409000F" w:tentative="1">
      <w:start w:val="1"/>
      <w:numFmt w:val="decimal"/>
      <w:lvlText w:val="%4."/>
      <w:lvlJc w:val="left"/>
      <w:pPr>
        <w:ind w:left="4524" w:hanging="360"/>
      </w:pPr>
    </w:lvl>
    <w:lvl w:ilvl="4" w:tplc="04090019" w:tentative="1">
      <w:start w:val="1"/>
      <w:numFmt w:val="lowerLetter"/>
      <w:lvlText w:val="%5."/>
      <w:lvlJc w:val="left"/>
      <w:pPr>
        <w:ind w:left="5244" w:hanging="360"/>
      </w:pPr>
    </w:lvl>
    <w:lvl w:ilvl="5" w:tplc="0409001B" w:tentative="1">
      <w:start w:val="1"/>
      <w:numFmt w:val="lowerRoman"/>
      <w:lvlText w:val="%6."/>
      <w:lvlJc w:val="right"/>
      <w:pPr>
        <w:ind w:left="5964" w:hanging="180"/>
      </w:pPr>
    </w:lvl>
    <w:lvl w:ilvl="6" w:tplc="0409000F" w:tentative="1">
      <w:start w:val="1"/>
      <w:numFmt w:val="decimal"/>
      <w:lvlText w:val="%7."/>
      <w:lvlJc w:val="left"/>
      <w:pPr>
        <w:ind w:left="6684" w:hanging="360"/>
      </w:pPr>
    </w:lvl>
    <w:lvl w:ilvl="7" w:tplc="04090019" w:tentative="1">
      <w:start w:val="1"/>
      <w:numFmt w:val="lowerLetter"/>
      <w:lvlText w:val="%8."/>
      <w:lvlJc w:val="left"/>
      <w:pPr>
        <w:ind w:left="7404" w:hanging="360"/>
      </w:pPr>
    </w:lvl>
    <w:lvl w:ilvl="8" w:tplc="0409001B" w:tentative="1">
      <w:start w:val="1"/>
      <w:numFmt w:val="lowerRoman"/>
      <w:lvlText w:val="%9."/>
      <w:lvlJc w:val="right"/>
      <w:pPr>
        <w:ind w:left="8124" w:hanging="180"/>
      </w:pPr>
    </w:lvl>
  </w:abstractNum>
  <w:abstractNum w:abstractNumId="5" w15:restartNumberingAfterBreak="0">
    <w:nsid w:val="29FA1D57"/>
    <w:multiLevelType w:val="hybridMultilevel"/>
    <w:tmpl w:val="18528466"/>
    <w:lvl w:ilvl="0" w:tplc="5038E0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C1F54CD"/>
    <w:multiLevelType w:val="hybridMultilevel"/>
    <w:tmpl w:val="F7E84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3CA1986"/>
    <w:multiLevelType w:val="hybridMultilevel"/>
    <w:tmpl w:val="73B66928"/>
    <w:lvl w:ilvl="0" w:tplc="B100C956">
      <w:start w:val="1"/>
      <w:numFmt w:val="lowerLetter"/>
      <w:lvlText w:val="(%1)"/>
      <w:lvlJc w:val="left"/>
      <w:pPr>
        <w:ind w:left="1824" w:hanging="360"/>
      </w:pPr>
      <w:rPr>
        <w:rFonts w:hint="default"/>
      </w:rPr>
    </w:lvl>
    <w:lvl w:ilvl="1" w:tplc="04090019" w:tentative="1">
      <w:start w:val="1"/>
      <w:numFmt w:val="lowerLetter"/>
      <w:lvlText w:val="%2."/>
      <w:lvlJc w:val="left"/>
      <w:pPr>
        <w:ind w:left="2544" w:hanging="360"/>
      </w:pPr>
    </w:lvl>
    <w:lvl w:ilvl="2" w:tplc="0409001B" w:tentative="1">
      <w:start w:val="1"/>
      <w:numFmt w:val="lowerRoman"/>
      <w:lvlText w:val="%3."/>
      <w:lvlJc w:val="right"/>
      <w:pPr>
        <w:ind w:left="3264" w:hanging="180"/>
      </w:pPr>
    </w:lvl>
    <w:lvl w:ilvl="3" w:tplc="0409000F" w:tentative="1">
      <w:start w:val="1"/>
      <w:numFmt w:val="decimal"/>
      <w:lvlText w:val="%4."/>
      <w:lvlJc w:val="left"/>
      <w:pPr>
        <w:ind w:left="3984" w:hanging="360"/>
      </w:pPr>
    </w:lvl>
    <w:lvl w:ilvl="4" w:tplc="04090019" w:tentative="1">
      <w:start w:val="1"/>
      <w:numFmt w:val="lowerLetter"/>
      <w:lvlText w:val="%5."/>
      <w:lvlJc w:val="left"/>
      <w:pPr>
        <w:ind w:left="4704" w:hanging="360"/>
      </w:pPr>
    </w:lvl>
    <w:lvl w:ilvl="5" w:tplc="0409001B" w:tentative="1">
      <w:start w:val="1"/>
      <w:numFmt w:val="lowerRoman"/>
      <w:lvlText w:val="%6."/>
      <w:lvlJc w:val="right"/>
      <w:pPr>
        <w:ind w:left="5424" w:hanging="180"/>
      </w:pPr>
    </w:lvl>
    <w:lvl w:ilvl="6" w:tplc="0409000F" w:tentative="1">
      <w:start w:val="1"/>
      <w:numFmt w:val="decimal"/>
      <w:lvlText w:val="%7."/>
      <w:lvlJc w:val="left"/>
      <w:pPr>
        <w:ind w:left="6144" w:hanging="360"/>
      </w:pPr>
    </w:lvl>
    <w:lvl w:ilvl="7" w:tplc="04090019" w:tentative="1">
      <w:start w:val="1"/>
      <w:numFmt w:val="lowerLetter"/>
      <w:lvlText w:val="%8."/>
      <w:lvlJc w:val="left"/>
      <w:pPr>
        <w:ind w:left="6864" w:hanging="360"/>
      </w:pPr>
    </w:lvl>
    <w:lvl w:ilvl="8" w:tplc="0409001B" w:tentative="1">
      <w:start w:val="1"/>
      <w:numFmt w:val="lowerRoman"/>
      <w:lvlText w:val="%9."/>
      <w:lvlJc w:val="right"/>
      <w:pPr>
        <w:ind w:left="7584" w:hanging="180"/>
      </w:pPr>
    </w:lvl>
  </w:abstractNum>
  <w:abstractNum w:abstractNumId="8" w15:restartNumberingAfterBreak="0">
    <w:nsid w:val="3AEA5576"/>
    <w:multiLevelType w:val="hybridMultilevel"/>
    <w:tmpl w:val="8E04AB72"/>
    <w:lvl w:ilvl="0" w:tplc="7C0A2C2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0F2413E"/>
    <w:multiLevelType w:val="hybridMultilevel"/>
    <w:tmpl w:val="DCBA8348"/>
    <w:lvl w:ilvl="0" w:tplc="049E644A">
      <w:start w:val="1"/>
      <w:numFmt w:val="lowerLetter"/>
      <w:lvlText w:val="(%1)"/>
      <w:lvlJc w:val="left"/>
      <w:pPr>
        <w:ind w:left="1464" w:hanging="360"/>
      </w:pPr>
      <w:rPr>
        <w:rFonts w:hint="default"/>
      </w:rPr>
    </w:lvl>
    <w:lvl w:ilvl="1" w:tplc="04090019" w:tentative="1">
      <w:start w:val="1"/>
      <w:numFmt w:val="lowerLetter"/>
      <w:lvlText w:val="%2."/>
      <w:lvlJc w:val="left"/>
      <w:pPr>
        <w:ind w:left="2184" w:hanging="360"/>
      </w:pPr>
    </w:lvl>
    <w:lvl w:ilvl="2" w:tplc="0409001B" w:tentative="1">
      <w:start w:val="1"/>
      <w:numFmt w:val="lowerRoman"/>
      <w:lvlText w:val="%3."/>
      <w:lvlJc w:val="right"/>
      <w:pPr>
        <w:ind w:left="2904" w:hanging="180"/>
      </w:pPr>
    </w:lvl>
    <w:lvl w:ilvl="3" w:tplc="0409000F" w:tentative="1">
      <w:start w:val="1"/>
      <w:numFmt w:val="decimal"/>
      <w:lvlText w:val="%4."/>
      <w:lvlJc w:val="left"/>
      <w:pPr>
        <w:ind w:left="3624" w:hanging="360"/>
      </w:pPr>
    </w:lvl>
    <w:lvl w:ilvl="4" w:tplc="04090019" w:tentative="1">
      <w:start w:val="1"/>
      <w:numFmt w:val="lowerLetter"/>
      <w:lvlText w:val="%5."/>
      <w:lvlJc w:val="left"/>
      <w:pPr>
        <w:ind w:left="4344" w:hanging="360"/>
      </w:pPr>
    </w:lvl>
    <w:lvl w:ilvl="5" w:tplc="0409001B" w:tentative="1">
      <w:start w:val="1"/>
      <w:numFmt w:val="lowerRoman"/>
      <w:lvlText w:val="%6."/>
      <w:lvlJc w:val="right"/>
      <w:pPr>
        <w:ind w:left="5064" w:hanging="180"/>
      </w:pPr>
    </w:lvl>
    <w:lvl w:ilvl="6" w:tplc="0409000F" w:tentative="1">
      <w:start w:val="1"/>
      <w:numFmt w:val="decimal"/>
      <w:lvlText w:val="%7."/>
      <w:lvlJc w:val="left"/>
      <w:pPr>
        <w:ind w:left="5784" w:hanging="360"/>
      </w:pPr>
    </w:lvl>
    <w:lvl w:ilvl="7" w:tplc="04090019" w:tentative="1">
      <w:start w:val="1"/>
      <w:numFmt w:val="lowerLetter"/>
      <w:lvlText w:val="%8."/>
      <w:lvlJc w:val="left"/>
      <w:pPr>
        <w:ind w:left="6504" w:hanging="360"/>
      </w:pPr>
    </w:lvl>
    <w:lvl w:ilvl="8" w:tplc="0409001B" w:tentative="1">
      <w:start w:val="1"/>
      <w:numFmt w:val="lowerRoman"/>
      <w:lvlText w:val="%9."/>
      <w:lvlJc w:val="right"/>
      <w:pPr>
        <w:ind w:left="7224" w:hanging="180"/>
      </w:pPr>
    </w:lvl>
  </w:abstractNum>
  <w:abstractNum w:abstractNumId="10" w15:restartNumberingAfterBreak="0">
    <w:nsid w:val="44BB79F2"/>
    <w:multiLevelType w:val="hybridMultilevel"/>
    <w:tmpl w:val="0D527946"/>
    <w:lvl w:ilvl="0" w:tplc="7C0A2C2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E454115"/>
    <w:multiLevelType w:val="hybridMultilevel"/>
    <w:tmpl w:val="CCF09E90"/>
    <w:lvl w:ilvl="0" w:tplc="C54C7452">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2" w15:restartNumberingAfterBreak="0">
    <w:nsid w:val="78930246"/>
    <w:multiLevelType w:val="hybridMultilevel"/>
    <w:tmpl w:val="E3389A08"/>
    <w:lvl w:ilvl="0" w:tplc="5526FC9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3"/>
  </w:num>
  <w:num w:numId="3">
    <w:abstractNumId w:val="0"/>
  </w:num>
  <w:num w:numId="4">
    <w:abstractNumId w:val="8"/>
  </w:num>
  <w:num w:numId="5">
    <w:abstractNumId w:val="5"/>
  </w:num>
  <w:num w:numId="6">
    <w:abstractNumId w:val="12"/>
  </w:num>
  <w:num w:numId="7">
    <w:abstractNumId w:val="11"/>
  </w:num>
  <w:num w:numId="8">
    <w:abstractNumId w:val="9"/>
  </w:num>
  <w:num w:numId="9">
    <w:abstractNumId w:val="7"/>
  </w:num>
  <w:num w:numId="10">
    <w:abstractNumId w:val="10"/>
  </w:num>
  <w:num w:numId="11">
    <w:abstractNumId w:val="4"/>
  </w:num>
  <w:num w:numId="12">
    <w:abstractNumId w:val="1"/>
  </w:num>
  <w:num w:numId="13">
    <w:abstractNumId w:val="2"/>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ttachedTemplate r:id="rId1"/>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4213"/>
    <w:rsid w:val="000027B1"/>
    <w:rsid w:val="000031A0"/>
    <w:rsid w:val="000041D4"/>
    <w:rsid w:val="000052FA"/>
    <w:rsid w:val="00007360"/>
    <w:rsid w:val="000079A9"/>
    <w:rsid w:val="00010013"/>
    <w:rsid w:val="000107AF"/>
    <w:rsid w:val="000116D2"/>
    <w:rsid w:val="00011BCE"/>
    <w:rsid w:val="00012558"/>
    <w:rsid w:val="000125F2"/>
    <w:rsid w:val="000163B7"/>
    <w:rsid w:val="00020E79"/>
    <w:rsid w:val="00024C2F"/>
    <w:rsid w:val="00025E84"/>
    <w:rsid w:val="000267D7"/>
    <w:rsid w:val="00026D94"/>
    <w:rsid w:val="000270A9"/>
    <w:rsid w:val="000341F2"/>
    <w:rsid w:val="0003646F"/>
    <w:rsid w:val="00042002"/>
    <w:rsid w:val="00046C65"/>
    <w:rsid w:val="00046EAA"/>
    <w:rsid w:val="0005073C"/>
    <w:rsid w:val="00050CE9"/>
    <w:rsid w:val="000515FE"/>
    <w:rsid w:val="00052066"/>
    <w:rsid w:val="0005228C"/>
    <w:rsid w:val="0005483B"/>
    <w:rsid w:val="00054FE8"/>
    <w:rsid w:val="00055DDA"/>
    <w:rsid w:val="000561FA"/>
    <w:rsid w:val="0005690A"/>
    <w:rsid w:val="00056A16"/>
    <w:rsid w:val="000570D3"/>
    <w:rsid w:val="00060260"/>
    <w:rsid w:val="00060570"/>
    <w:rsid w:val="00060C86"/>
    <w:rsid w:val="00061761"/>
    <w:rsid w:val="0006194F"/>
    <w:rsid w:val="000658EA"/>
    <w:rsid w:val="000674B7"/>
    <w:rsid w:val="00070A16"/>
    <w:rsid w:val="00070C1A"/>
    <w:rsid w:val="00072785"/>
    <w:rsid w:val="00073A38"/>
    <w:rsid w:val="0007434A"/>
    <w:rsid w:val="000744F0"/>
    <w:rsid w:val="00075F28"/>
    <w:rsid w:val="00076062"/>
    <w:rsid w:val="00076D68"/>
    <w:rsid w:val="000826D0"/>
    <w:rsid w:val="00082BEB"/>
    <w:rsid w:val="000837A2"/>
    <w:rsid w:val="00083A39"/>
    <w:rsid w:val="00083FC7"/>
    <w:rsid w:val="00090DCA"/>
    <w:rsid w:val="0009352A"/>
    <w:rsid w:val="00093A37"/>
    <w:rsid w:val="00094461"/>
    <w:rsid w:val="0009777D"/>
    <w:rsid w:val="00097799"/>
    <w:rsid w:val="000A19BF"/>
    <w:rsid w:val="000A1B66"/>
    <w:rsid w:val="000A2C39"/>
    <w:rsid w:val="000A3564"/>
    <w:rsid w:val="000A5A6A"/>
    <w:rsid w:val="000B1AFE"/>
    <w:rsid w:val="000B1EBE"/>
    <w:rsid w:val="000B28F0"/>
    <w:rsid w:val="000B3C45"/>
    <w:rsid w:val="000B46A6"/>
    <w:rsid w:val="000B7674"/>
    <w:rsid w:val="000C02C5"/>
    <w:rsid w:val="000C0961"/>
    <w:rsid w:val="000C13DF"/>
    <w:rsid w:val="000C1486"/>
    <w:rsid w:val="000C1CC8"/>
    <w:rsid w:val="000C1FC4"/>
    <w:rsid w:val="000C3A9F"/>
    <w:rsid w:val="000C406F"/>
    <w:rsid w:val="000C509E"/>
    <w:rsid w:val="000C56A4"/>
    <w:rsid w:val="000C77E4"/>
    <w:rsid w:val="000C7B46"/>
    <w:rsid w:val="000D07EB"/>
    <w:rsid w:val="000D0DB1"/>
    <w:rsid w:val="000D13A3"/>
    <w:rsid w:val="000D1EB4"/>
    <w:rsid w:val="000D2524"/>
    <w:rsid w:val="000D2A4E"/>
    <w:rsid w:val="000D5FA7"/>
    <w:rsid w:val="000D68CF"/>
    <w:rsid w:val="000D6E76"/>
    <w:rsid w:val="000D7D26"/>
    <w:rsid w:val="000E118C"/>
    <w:rsid w:val="000E602E"/>
    <w:rsid w:val="000E61DF"/>
    <w:rsid w:val="000E6D3F"/>
    <w:rsid w:val="000E6E4D"/>
    <w:rsid w:val="000E76C8"/>
    <w:rsid w:val="000F11E6"/>
    <w:rsid w:val="000F1351"/>
    <w:rsid w:val="000F34DE"/>
    <w:rsid w:val="000F40DA"/>
    <w:rsid w:val="000F41A3"/>
    <w:rsid w:val="000F4C06"/>
    <w:rsid w:val="000F5596"/>
    <w:rsid w:val="000F5791"/>
    <w:rsid w:val="00100985"/>
    <w:rsid w:val="001019A9"/>
    <w:rsid w:val="001044CC"/>
    <w:rsid w:val="00104665"/>
    <w:rsid w:val="00107CD0"/>
    <w:rsid w:val="00111EA9"/>
    <w:rsid w:val="00112251"/>
    <w:rsid w:val="0011497B"/>
    <w:rsid w:val="00114A92"/>
    <w:rsid w:val="00116435"/>
    <w:rsid w:val="00116571"/>
    <w:rsid w:val="00116FFB"/>
    <w:rsid w:val="001172F0"/>
    <w:rsid w:val="00117546"/>
    <w:rsid w:val="001215E2"/>
    <w:rsid w:val="001231A8"/>
    <w:rsid w:val="00124547"/>
    <w:rsid w:val="00125229"/>
    <w:rsid w:val="00130BCA"/>
    <w:rsid w:val="001319AB"/>
    <w:rsid w:val="001337A6"/>
    <w:rsid w:val="00134A25"/>
    <w:rsid w:val="001363F9"/>
    <w:rsid w:val="00137D1C"/>
    <w:rsid w:val="001416C5"/>
    <w:rsid w:val="001418E1"/>
    <w:rsid w:val="00141B2B"/>
    <w:rsid w:val="001470EF"/>
    <w:rsid w:val="001472DA"/>
    <w:rsid w:val="00150370"/>
    <w:rsid w:val="0015268C"/>
    <w:rsid w:val="00154814"/>
    <w:rsid w:val="001570EB"/>
    <w:rsid w:val="00160FA2"/>
    <w:rsid w:val="00161D03"/>
    <w:rsid w:val="00162E11"/>
    <w:rsid w:val="0016496D"/>
    <w:rsid w:val="00164F80"/>
    <w:rsid w:val="00166B4D"/>
    <w:rsid w:val="00173D91"/>
    <w:rsid w:val="001755E2"/>
    <w:rsid w:val="00181894"/>
    <w:rsid w:val="00182236"/>
    <w:rsid w:val="001824B3"/>
    <w:rsid w:val="00185251"/>
    <w:rsid w:val="0018598E"/>
    <w:rsid w:val="00187788"/>
    <w:rsid w:val="001903CF"/>
    <w:rsid w:val="00191EC1"/>
    <w:rsid w:val="00194074"/>
    <w:rsid w:val="001949FA"/>
    <w:rsid w:val="00194ABA"/>
    <w:rsid w:val="0019631F"/>
    <w:rsid w:val="001965CC"/>
    <w:rsid w:val="00196D37"/>
    <w:rsid w:val="00196FB3"/>
    <w:rsid w:val="001A1061"/>
    <w:rsid w:val="001A1B8C"/>
    <w:rsid w:val="001A20AE"/>
    <w:rsid w:val="001A2C03"/>
    <w:rsid w:val="001A44BD"/>
    <w:rsid w:val="001A4AC2"/>
    <w:rsid w:val="001A534E"/>
    <w:rsid w:val="001A5CB0"/>
    <w:rsid w:val="001A5FEF"/>
    <w:rsid w:val="001A6F89"/>
    <w:rsid w:val="001A7DC3"/>
    <w:rsid w:val="001B078C"/>
    <w:rsid w:val="001B326E"/>
    <w:rsid w:val="001B43B2"/>
    <w:rsid w:val="001B4FF9"/>
    <w:rsid w:val="001B647D"/>
    <w:rsid w:val="001B73E0"/>
    <w:rsid w:val="001C0093"/>
    <w:rsid w:val="001C17FB"/>
    <w:rsid w:val="001C4351"/>
    <w:rsid w:val="001C58C5"/>
    <w:rsid w:val="001C5EB9"/>
    <w:rsid w:val="001C603D"/>
    <w:rsid w:val="001C610E"/>
    <w:rsid w:val="001C7495"/>
    <w:rsid w:val="001C75FA"/>
    <w:rsid w:val="001D0BB7"/>
    <w:rsid w:val="001D1DA3"/>
    <w:rsid w:val="001D44EB"/>
    <w:rsid w:val="001D60B8"/>
    <w:rsid w:val="001D7607"/>
    <w:rsid w:val="001E27B2"/>
    <w:rsid w:val="001E30DC"/>
    <w:rsid w:val="001E40BD"/>
    <w:rsid w:val="001E601E"/>
    <w:rsid w:val="001E6E1F"/>
    <w:rsid w:val="001F02EE"/>
    <w:rsid w:val="001F284C"/>
    <w:rsid w:val="001F3707"/>
    <w:rsid w:val="001F3FEF"/>
    <w:rsid w:val="001F61A2"/>
    <w:rsid w:val="001F7B04"/>
    <w:rsid w:val="001F7E1C"/>
    <w:rsid w:val="00201AD9"/>
    <w:rsid w:val="00202905"/>
    <w:rsid w:val="00203ECD"/>
    <w:rsid w:val="00203F92"/>
    <w:rsid w:val="00210EC8"/>
    <w:rsid w:val="0021154F"/>
    <w:rsid w:val="00211A28"/>
    <w:rsid w:val="00211D62"/>
    <w:rsid w:val="0021351D"/>
    <w:rsid w:val="0021458F"/>
    <w:rsid w:val="002145B0"/>
    <w:rsid w:val="00215CC0"/>
    <w:rsid w:val="002167B6"/>
    <w:rsid w:val="00221413"/>
    <w:rsid w:val="0022406E"/>
    <w:rsid w:val="00224AD4"/>
    <w:rsid w:val="0022647F"/>
    <w:rsid w:val="00230826"/>
    <w:rsid w:val="00230958"/>
    <w:rsid w:val="00233372"/>
    <w:rsid w:val="0023383E"/>
    <w:rsid w:val="002342D7"/>
    <w:rsid w:val="00234D63"/>
    <w:rsid w:val="00234E8A"/>
    <w:rsid w:val="00235DDC"/>
    <w:rsid w:val="00242251"/>
    <w:rsid w:val="00244AD6"/>
    <w:rsid w:val="002451D1"/>
    <w:rsid w:val="002474F7"/>
    <w:rsid w:val="002476CA"/>
    <w:rsid w:val="002503D6"/>
    <w:rsid w:val="00252A3C"/>
    <w:rsid w:val="00252B13"/>
    <w:rsid w:val="00252B4B"/>
    <w:rsid w:val="00253DB2"/>
    <w:rsid w:val="00254D55"/>
    <w:rsid w:val="00256A44"/>
    <w:rsid w:val="00256E2E"/>
    <w:rsid w:val="0025705B"/>
    <w:rsid w:val="00257C06"/>
    <w:rsid w:val="0026625F"/>
    <w:rsid w:val="00270422"/>
    <w:rsid w:val="00272934"/>
    <w:rsid w:val="00274061"/>
    <w:rsid w:val="00274167"/>
    <w:rsid w:val="002746E4"/>
    <w:rsid w:val="00274D04"/>
    <w:rsid w:val="00277F40"/>
    <w:rsid w:val="00282C03"/>
    <w:rsid w:val="00284C36"/>
    <w:rsid w:val="00284DD0"/>
    <w:rsid w:val="002856AD"/>
    <w:rsid w:val="0028630D"/>
    <w:rsid w:val="0028644A"/>
    <w:rsid w:val="00290843"/>
    <w:rsid w:val="00291651"/>
    <w:rsid w:val="002920C8"/>
    <w:rsid w:val="0029221E"/>
    <w:rsid w:val="0029331B"/>
    <w:rsid w:val="0029475F"/>
    <w:rsid w:val="002949A9"/>
    <w:rsid w:val="00294AB5"/>
    <w:rsid w:val="00296BF7"/>
    <w:rsid w:val="002A1032"/>
    <w:rsid w:val="002A11AD"/>
    <w:rsid w:val="002A16F8"/>
    <w:rsid w:val="002A24E6"/>
    <w:rsid w:val="002A25C4"/>
    <w:rsid w:val="002A2F92"/>
    <w:rsid w:val="002A33F3"/>
    <w:rsid w:val="002A5CB3"/>
    <w:rsid w:val="002B1362"/>
    <w:rsid w:val="002B3BAE"/>
    <w:rsid w:val="002B3DBD"/>
    <w:rsid w:val="002B40D8"/>
    <w:rsid w:val="002B6815"/>
    <w:rsid w:val="002B6CE6"/>
    <w:rsid w:val="002C0B75"/>
    <w:rsid w:val="002C143D"/>
    <w:rsid w:val="002C255F"/>
    <w:rsid w:val="002C2DA4"/>
    <w:rsid w:val="002C7B2C"/>
    <w:rsid w:val="002E01B3"/>
    <w:rsid w:val="002E0D0E"/>
    <w:rsid w:val="002E2EC1"/>
    <w:rsid w:val="002E40F4"/>
    <w:rsid w:val="002E4E09"/>
    <w:rsid w:val="002E53CC"/>
    <w:rsid w:val="002E71B7"/>
    <w:rsid w:val="002E7F49"/>
    <w:rsid w:val="002F0B20"/>
    <w:rsid w:val="002F0CD4"/>
    <w:rsid w:val="002F17B9"/>
    <w:rsid w:val="002F17FF"/>
    <w:rsid w:val="002F1EE4"/>
    <w:rsid w:val="002F2A28"/>
    <w:rsid w:val="002F2AE0"/>
    <w:rsid w:val="002F2FA6"/>
    <w:rsid w:val="002F3C7A"/>
    <w:rsid w:val="002F4F4E"/>
    <w:rsid w:val="002F5520"/>
    <w:rsid w:val="002F7343"/>
    <w:rsid w:val="003004DD"/>
    <w:rsid w:val="003018A8"/>
    <w:rsid w:val="003019DA"/>
    <w:rsid w:val="00305E40"/>
    <w:rsid w:val="003063B5"/>
    <w:rsid w:val="003118C8"/>
    <w:rsid w:val="003123AE"/>
    <w:rsid w:val="00312EA1"/>
    <w:rsid w:val="0031513E"/>
    <w:rsid w:val="0032047B"/>
    <w:rsid w:val="003208FE"/>
    <w:rsid w:val="00320ACE"/>
    <w:rsid w:val="003215EE"/>
    <w:rsid w:val="00321AB3"/>
    <w:rsid w:val="003230BD"/>
    <w:rsid w:val="00324BCC"/>
    <w:rsid w:val="003310CB"/>
    <w:rsid w:val="003318EF"/>
    <w:rsid w:val="00331CE2"/>
    <w:rsid w:val="00331FA3"/>
    <w:rsid w:val="00332358"/>
    <w:rsid w:val="003326A3"/>
    <w:rsid w:val="0033307C"/>
    <w:rsid w:val="00333A90"/>
    <w:rsid w:val="00335682"/>
    <w:rsid w:val="00341058"/>
    <w:rsid w:val="00341283"/>
    <w:rsid w:val="0034297A"/>
    <w:rsid w:val="00346357"/>
    <w:rsid w:val="00347598"/>
    <w:rsid w:val="00347B39"/>
    <w:rsid w:val="00350194"/>
    <w:rsid w:val="00351863"/>
    <w:rsid w:val="00352D1A"/>
    <w:rsid w:val="00355505"/>
    <w:rsid w:val="00355EAB"/>
    <w:rsid w:val="0036023E"/>
    <w:rsid w:val="0036086F"/>
    <w:rsid w:val="00361171"/>
    <w:rsid w:val="00361A26"/>
    <w:rsid w:val="00366A80"/>
    <w:rsid w:val="00366C3E"/>
    <w:rsid w:val="003709FB"/>
    <w:rsid w:val="00371665"/>
    <w:rsid w:val="0037418B"/>
    <w:rsid w:val="00374A05"/>
    <w:rsid w:val="00375F4C"/>
    <w:rsid w:val="00376CD7"/>
    <w:rsid w:val="0037712A"/>
    <w:rsid w:val="0037757C"/>
    <w:rsid w:val="0038194D"/>
    <w:rsid w:val="00381C1E"/>
    <w:rsid w:val="003828A4"/>
    <w:rsid w:val="00383052"/>
    <w:rsid w:val="003855FD"/>
    <w:rsid w:val="003857A5"/>
    <w:rsid w:val="003870EE"/>
    <w:rsid w:val="00390754"/>
    <w:rsid w:val="0039107C"/>
    <w:rsid w:val="00392512"/>
    <w:rsid w:val="00394CA6"/>
    <w:rsid w:val="00394D5B"/>
    <w:rsid w:val="00396992"/>
    <w:rsid w:val="0039714A"/>
    <w:rsid w:val="003A039E"/>
    <w:rsid w:val="003A1363"/>
    <w:rsid w:val="003A18DF"/>
    <w:rsid w:val="003A25B7"/>
    <w:rsid w:val="003A2E43"/>
    <w:rsid w:val="003A3A80"/>
    <w:rsid w:val="003A4DB8"/>
    <w:rsid w:val="003A4FB4"/>
    <w:rsid w:val="003A59AC"/>
    <w:rsid w:val="003A75C1"/>
    <w:rsid w:val="003A7A81"/>
    <w:rsid w:val="003B046C"/>
    <w:rsid w:val="003B086F"/>
    <w:rsid w:val="003B1369"/>
    <w:rsid w:val="003B17DD"/>
    <w:rsid w:val="003B1803"/>
    <w:rsid w:val="003B24E8"/>
    <w:rsid w:val="003B3C33"/>
    <w:rsid w:val="003B4CC6"/>
    <w:rsid w:val="003B7D03"/>
    <w:rsid w:val="003C4265"/>
    <w:rsid w:val="003C4574"/>
    <w:rsid w:val="003C4638"/>
    <w:rsid w:val="003C5F4E"/>
    <w:rsid w:val="003C67C2"/>
    <w:rsid w:val="003C747D"/>
    <w:rsid w:val="003D09FE"/>
    <w:rsid w:val="003D4CDE"/>
    <w:rsid w:val="003D5288"/>
    <w:rsid w:val="003D6FA8"/>
    <w:rsid w:val="003D7895"/>
    <w:rsid w:val="003E12C0"/>
    <w:rsid w:val="003E1763"/>
    <w:rsid w:val="003E39A6"/>
    <w:rsid w:val="003E3B12"/>
    <w:rsid w:val="003E51AC"/>
    <w:rsid w:val="003E57AB"/>
    <w:rsid w:val="003E6692"/>
    <w:rsid w:val="003E733A"/>
    <w:rsid w:val="003F454D"/>
    <w:rsid w:val="003F46EE"/>
    <w:rsid w:val="003F4D95"/>
    <w:rsid w:val="00401387"/>
    <w:rsid w:val="00403269"/>
    <w:rsid w:val="00403436"/>
    <w:rsid w:val="00403BA4"/>
    <w:rsid w:val="004047BE"/>
    <w:rsid w:val="004066D5"/>
    <w:rsid w:val="004127E7"/>
    <w:rsid w:val="00413C5A"/>
    <w:rsid w:val="0041670C"/>
    <w:rsid w:val="00417684"/>
    <w:rsid w:val="00417B22"/>
    <w:rsid w:val="0042101D"/>
    <w:rsid w:val="0042224F"/>
    <w:rsid w:val="00422B4C"/>
    <w:rsid w:val="00425A1C"/>
    <w:rsid w:val="00426548"/>
    <w:rsid w:val="004300A6"/>
    <w:rsid w:val="00430863"/>
    <w:rsid w:val="004310E1"/>
    <w:rsid w:val="0043278C"/>
    <w:rsid w:val="00436066"/>
    <w:rsid w:val="004362EF"/>
    <w:rsid w:val="00440C3E"/>
    <w:rsid w:val="00441F4A"/>
    <w:rsid w:val="00442B72"/>
    <w:rsid w:val="00443D36"/>
    <w:rsid w:val="00444ED2"/>
    <w:rsid w:val="00446713"/>
    <w:rsid w:val="004508E3"/>
    <w:rsid w:val="00450DB9"/>
    <w:rsid w:val="00451645"/>
    <w:rsid w:val="00452576"/>
    <w:rsid w:val="004546DA"/>
    <w:rsid w:val="00454AD3"/>
    <w:rsid w:val="004562F7"/>
    <w:rsid w:val="00456414"/>
    <w:rsid w:val="00456736"/>
    <w:rsid w:val="00457075"/>
    <w:rsid w:val="004600F1"/>
    <w:rsid w:val="00460F92"/>
    <w:rsid w:val="00461216"/>
    <w:rsid w:val="00462F1C"/>
    <w:rsid w:val="00463568"/>
    <w:rsid w:val="0046444C"/>
    <w:rsid w:val="00470DDD"/>
    <w:rsid w:val="00471163"/>
    <w:rsid w:val="00472FEA"/>
    <w:rsid w:val="0047391C"/>
    <w:rsid w:val="00473FD8"/>
    <w:rsid w:val="00474766"/>
    <w:rsid w:val="004814A1"/>
    <w:rsid w:val="00481E0A"/>
    <w:rsid w:val="0048310D"/>
    <w:rsid w:val="00483A40"/>
    <w:rsid w:val="0048532B"/>
    <w:rsid w:val="00490C3B"/>
    <w:rsid w:val="004910F8"/>
    <w:rsid w:val="004923B3"/>
    <w:rsid w:val="00493413"/>
    <w:rsid w:val="00493FE6"/>
    <w:rsid w:val="00494C0F"/>
    <w:rsid w:val="004959C4"/>
    <w:rsid w:val="00495BFA"/>
    <w:rsid w:val="00496D70"/>
    <w:rsid w:val="004A0135"/>
    <w:rsid w:val="004A1A7C"/>
    <w:rsid w:val="004A2C13"/>
    <w:rsid w:val="004A4167"/>
    <w:rsid w:val="004A5AA2"/>
    <w:rsid w:val="004A628F"/>
    <w:rsid w:val="004A68A6"/>
    <w:rsid w:val="004A6E23"/>
    <w:rsid w:val="004A762D"/>
    <w:rsid w:val="004B255B"/>
    <w:rsid w:val="004B28D6"/>
    <w:rsid w:val="004B33AB"/>
    <w:rsid w:val="004B6D33"/>
    <w:rsid w:val="004C00A9"/>
    <w:rsid w:val="004C04EE"/>
    <w:rsid w:val="004C2C66"/>
    <w:rsid w:val="004C2F4A"/>
    <w:rsid w:val="004C30AD"/>
    <w:rsid w:val="004C51CB"/>
    <w:rsid w:val="004D0A1E"/>
    <w:rsid w:val="004D0F1A"/>
    <w:rsid w:val="004D1456"/>
    <w:rsid w:val="004D1A0B"/>
    <w:rsid w:val="004D1C77"/>
    <w:rsid w:val="004D2013"/>
    <w:rsid w:val="004D2910"/>
    <w:rsid w:val="004D2AD7"/>
    <w:rsid w:val="004D46DB"/>
    <w:rsid w:val="004D48E1"/>
    <w:rsid w:val="004D74A0"/>
    <w:rsid w:val="004D7A24"/>
    <w:rsid w:val="004E2F08"/>
    <w:rsid w:val="004E440A"/>
    <w:rsid w:val="004E7624"/>
    <w:rsid w:val="004F011E"/>
    <w:rsid w:val="004F49CC"/>
    <w:rsid w:val="004F58CD"/>
    <w:rsid w:val="004F5B8B"/>
    <w:rsid w:val="005002C4"/>
    <w:rsid w:val="005014E8"/>
    <w:rsid w:val="00501DF9"/>
    <w:rsid w:val="0050206A"/>
    <w:rsid w:val="005027A4"/>
    <w:rsid w:val="005067F6"/>
    <w:rsid w:val="00507556"/>
    <w:rsid w:val="005078B2"/>
    <w:rsid w:val="00507DF0"/>
    <w:rsid w:val="0051088F"/>
    <w:rsid w:val="005111BE"/>
    <w:rsid w:val="005127C3"/>
    <w:rsid w:val="005129AF"/>
    <w:rsid w:val="005148D2"/>
    <w:rsid w:val="005151C6"/>
    <w:rsid w:val="00521BF0"/>
    <w:rsid w:val="00522299"/>
    <w:rsid w:val="00522A59"/>
    <w:rsid w:val="00523418"/>
    <w:rsid w:val="00524CB3"/>
    <w:rsid w:val="005259C2"/>
    <w:rsid w:val="0052643A"/>
    <w:rsid w:val="00527D34"/>
    <w:rsid w:val="005310A9"/>
    <w:rsid w:val="0053256D"/>
    <w:rsid w:val="00532E82"/>
    <w:rsid w:val="00535398"/>
    <w:rsid w:val="0053552F"/>
    <w:rsid w:val="005362D5"/>
    <w:rsid w:val="00537868"/>
    <w:rsid w:val="00537DF7"/>
    <w:rsid w:val="00541314"/>
    <w:rsid w:val="0054231E"/>
    <w:rsid w:val="00542525"/>
    <w:rsid w:val="00542EDF"/>
    <w:rsid w:val="00543ED5"/>
    <w:rsid w:val="00544A7E"/>
    <w:rsid w:val="0054573D"/>
    <w:rsid w:val="00547BD9"/>
    <w:rsid w:val="00547F05"/>
    <w:rsid w:val="00550F06"/>
    <w:rsid w:val="005511A4"/>
    <w:rsid w:val="005518A4"/>
    <w:rsid w:val="0055217B"/>
    <w:rsid w:val="00552CE0"/>
    <w:rsid w:val="005544B2"/>
    <w:rsid w:val="005545AF"/>
    <w:rsid w:val="00554F7E"/>
    <w:rsid w:val="005550CA"/>
    <w:rsid w:val="0055586A"/>
    <w:rsid w:val="00561658"/>
    <w:rsid w:val="00562370"/>
    <w:rsid w:val="00563CB4"/>
    <w:rsid w:val="00564213"/>
    <w:rsid w:val="00565A9D"/>
    <w:rsid w:val="00566C3D"/>
    <w:rsid w:val="00566E00"/>
    <w:rsid w:val="005741E2"/>
    <w:rsid w:val="00574C07"/>
    <w:rsid w:val="00576165"/>
    <w:rsid w:val="00576528"/>
    <w:rsid w:val="00577CF2"/>
    <w:rsid w:val="005801B1"/>
    <w:rsid w:val="00582F2D"/>
    <w:rsid w:val="00583028"/>
    <w:rsid w:val="0058387C"/>
    <w:rsid w:val="005841D4"/>
    <w:rsid w:val="005841F7"/>
    <w:rsid w:val="005857EA"/>
    <w:rsid w:val="005859F6"/>
    <w:rsid w:val="00585EEE"/>
    <w:rsid w:val="00586014"/>
    <w:rsid w:val="00591B96"/>
    <w:rsid w:val="00591D28"/>
    <w:rsid w:val="00592B93"/>
    <w:rsid w:val="00593BF9"/>
    <w:rsid w:val="005952F3"/>
    <w:rsid w:val="00596CED"/>
    <w:rsid w:val="005976CB"/>
    <w:rsid w:val="00597E20"/>
    <w:rsid w:val="005A126E"/>
    <w:rsid w:val="005A2971"/>
    <w:rsid w:val="005A44A1"/>
    <w:rsid w:val="005A4F32"/>
    <w:rsid w:val="005A53C3"/>
    <w:rsid w:val="005A581F"/>
    <w:rsid w:val="005A58BC"/>
    <w:rsid w:val="005A651B"/>
    <w:rsid w:val="005A69A9"/>
    <w:rsid w:val="005A766A"/>
    <w:rsid w:val="005A78B7"/>
    <w:rsid w:val="005A7ED6"/>
    <w:rsid w:val="005B2520"/>
    <w:rsid w:val="005B590F"/>
    <w:rsid w:val="005B6173"/>
    <w:rsid w:val="005C0936"/>
    <w:rsid w:val="005C0D2D"/>
    <w:rsid w:val="005C1DDA"/>
    <w:rsid w:val="005C24C7"/>
    <w:rsid w:val="005C5BA3"/>
    <w:rsid w:val="005C60B8"/>
    <w:rsid w:val="005D26E9"/>
    <w:rsid w:val="005D305A"/>
    <w:rsid w:val="005D332A"/>
    <w:rsid w:val="005D40A2"/>
    <w:rsid w:val="005D586C"/>
    <w:rsid w:val="005E0FD2"/>
    <w:rsid w:val="005E1145"/>
    <w:rsid w:val="005E165A"/>
    <w:rsid w:val="005E2784"/>
    <w:rsid w:val="005E28C1"/>
    <w:rsid w:val="005E40F1"/>
    <w:rsid w:val="005E4195"/>
    <w:rsid w:val="005E4721"/>
    <w:rsid w:val="005E7A39"/>
    <w:rsid w:val="005F1A67"/>
    <w:rsid w:val="005F3464"/>
    <w:rsid w:val="005F4A17"/>
    <w:rsid w:val="005F5674"/>
    <w:rsid w:val="005F5C41"/>
    <w:rsid w:val="006003D6"/>
    <w:rsid w:val="006007B6"/>
    <w:rsid w:val="0060295F"/>
    <w:rsid w:val="00603206"/>
    <w:rsid w:val="00603910"/>
    <w:rsid w:val="00611451"/>
    <w:rsid w:val="00611470"/>
    <w:rsid w:val="006124B0"/>
    <w:rsid w:val="00613E9F"/>
    <w:rsid w:val="00615B7E"/>
    <w:rsid w:val="00621B2E"/>
    <w:rsid w:val="006227F2"/>
    <w:rsid w:val="00623CF8"/>
    <w:rsid w:val="0062406D"/>
    <w:rsid w:val="006266E8"/>
    <w:rsid w:val="006269FB"/>
    <w:rsid w:val="00627249"/>
    <w:rsid w:val="0063253C"/>
    <w:rsid w:val="006326D7"/>
    <w:rsid w:val="00632FB1"/>
    <w:rsid w:val="006332DD"/>
    <w:rsid w:val="00634E05"/>
    <w:rsid w:val="00634EA4"/>
    <w:rsid w:val="00635FFB"/>
    <w:rsid w:val="00636BEA"/>
    <w:rsid w:val="00637732"/>
    <w:rsid w:val="00637B89"/>
    <w:rsid w:val="00640471"/>
    <w:rsid w:val="00640AEE"/>
    <w:rsid w:val="00640B4C"/>
    <w:rsid w:val="006426AB"/>
    <w:rsid w:val="00643EBA"/>
    <w:rsid w:val="0064582E"/>
    <w:rsid w:val="00647000"/>
    <w:rsid w:val="00650309"/>
    <w:rsid w:val="006519F9"/>
    <w:rsid w:val="00651D69"/>
    <w:rsid w:val="0065298B"/>
    <w:rsid w:val="00655B4D"/>
    <w:rsid w:val="00664898"/>
    <w:rsid w:val="006650E9"/>
    <w:rsid w:val="00667B57"/>
    <w:rsid w:val="00670F05"/>
    <w:rsid w:val="00673A20"/>
    <w:rsid w:val="00674F83"/>
    <w:rsid w:val="006758B2"/>
    <w:rsid w:val="00677B19"/>
    <w:rsid w:val="00677BE9"/>
    <w:rsid w:val="00677F78"/>
    <w:rsid w:val="0068110D"/>
    <w:rsid w:val="006820C4"/>
    <w:rsid w:val="00682D4A"/>
    <w:rsid w:val="006843B0"/>
    <w:rsid w:val="006855C8"/>
    <w:rsid w:val="00685C87"/>
    <w:rsid w:val="00686100"/>
    <w:rsid w:val="006861F0"/>
    <w:rsid w:val="00686A41"/>
    <w:rsid w:val="00686DAF"/>
    <w:rsid w:val="00692334"/>
    <w:rsid w:val="00692CAB"/>
    <w:rsid w:val="00692E04"/>
    <w:rsid w:val="00696EF6"/>
    <w:rsid w:val="00697344"/>
    <w:rsid w:val="00697AA3"/>
    <w:rsid w:val="006A080C"/>
    <w:rsid w:val="006A08A9"/>
    <w:rsid w:val="006A1CC6"/>
    <w:rsid w:val="006A1E3A"/>
    <w:rsid w:val="006A340F"/>
    <w:rsid w:val="006A5E12"/>
    <w:rsid w:val="006A6192"/>
    <w:rsid w:val="006A6554"/>
    <w:rsid w:val="006A6578"/>
    <w:rsid w:val="006A6B25"/>
    <w:rsid w:val="006B280A"/>
    <w:rsid w:val="006B2F65"/>
    <w:rsid w:val="006B3198"/>
    <w:rsid w:val="006B4BA5"/>
    <w:rsid w:val="006B61E4"/>
    <w:rsid w:val="006B7CE7"/>
    <w:rsid w:val="006C10CD"/>
    <w:rsid w:val="006C291D"/>
    <w:rsid w:val="006C2F94"/>
    <w:rsid w:val="006C6100"/>
    <w:rsid w:val="006C7140"/>
    <w:rsid w:val="006D0C96"/>
    <w:rsid w:val="006D4083"/>
    <w:rsid w:val="006D6F46"/>
    <w:rsid w:val="006D71C3"/>
    <w:rsid w:val="006E1122"/>
    <w:rsid w:val="006E19C1"/>
    <w:rsid w:val="006E308E"/>
    <w:rsid w:val="006E5D8C"/>
    <w:rsid w:val="006E7AED"/>
    <w:rsid w:val="006F0AB2"/>
    <w:rsid w:val="006F0BF4"/>
    <w:rsid w:val="006F1E8E"/>
    <w:rsid w:val="006F26B4"/>
    <w:rsid w:val="006F3068"/>
    <w:rsid w:val="006F5B09"/>
    <w:rsid w:val="006F68F0"/>
    <w:rsid w:val="006F6A8A"/>
    <w:rsid w:val="006F6BF7"/>
    <w:rsid w:val="006F715A"/>
    <w:rsid w:val="006F7E02"/>
    <w:rsid w:val="007014FB"/>
    <w:rsid w:val="007018F5"/>
    <w:rsid w:val="007031F7"/>
    <w:rsid w:val="0070537F"/>
    <w:rsid w:val="00706DD4"/>
    <w:rsid w:val="00707B87"/>
    <w:rsid w:val="00707BC1"/>
    <w:rsid w:val="007104AE"/>
    <w:rsid w:val="00711581"/>
    <w:rsid w:val="00711969"/>
    <w:rsid w:val="00711E11"/>
    <w:rsid w:val="00713A9C"/>
    <w:rsid w:val="00713CAD"/>
    <w:rsid w:val="007161AF"/>
    <w:rsid w:val="007171C6"/>
    <w:rsid w:val="0072290D"/>
    <w:rsid w:val="0072357A"/>
    <w:rsid w:val="007248BB"/>
    <w:rsid w:val="00725627"/>
    <w:rsid w:val="007258E6"/>
    <w:rsid w:val="00726DFB"/>
    <w:rsid w:val="007336EC"/>
    <w:rsid w:val="007342E9"/>
    <w:rsid w:val="00734A63"/>
    <w:rsid w:val="00736019"/>
    <w:rsid w:val="007416F8"/>
    <w:rsid w:val="00741FF6"/>
    <w:rsid w:val="00744939"/>
    <w:rsid w:val="007451BC"/>
    <w:rsid w:val="007506BD"/>
    <w:rsid w:val="00750F24"/>
    <w:rsid w:val="00751A44"/>
    <w:rsid w:val="00751F7F"/>
    <w:rsid w:val="00753225"/>
    <w:rsid w:val="007534B9"/>
    <w:rsid w:val="00755E72"/>
    <w:rsid w:val="007613BB"/>
    <w:rsid w:val="00762F03"/>
    <w:rsid w:val="007630BD"/>
    <w:rsid w:val="007631EC"/>
    <w:rsid w:val="007642BB"/>
    <w:rsid w:val="00765DB8"/>
    <w:rsid w:val="00765FB0"/>
    <w:rsid w:val="00765FBF"/>
    <w:rsid w:val="007660F0"/>
    <w:rsid w:val="00766BC7"/>
    <w:rsid w:val="00766D47"/>
    <w:rsid w:val="007679DA"/>
    <w:rsid w:val="00770675"/>
    <w:rsid w:val="00773C7A"/>
    <w:rsid w:val="007746F2"/>
    <w:rsid w:val="00775AC5"/>
    <w:rsid w:val="0077753C"/>
    <w:rsid w:val="00777856"/>
    <w:rsid w:val="00781766"/>
    <w:rsid w:val="0078265A"/>
    <w:rsid w:val="00782B2F"/>
    <w:rsid w:val="007838AD"/>
    <w:rsid w:val="00783A8D"/>
    <w:rsid w:val="00784837"/>
    <w:rsid w:val="00786CCD"/>
    <w:rsid w:val="0079008F"/>
    <w:rsid w:val="00790841"/>
    <w:rsid w:val="0079106F"/>
    <w:rsid w:val="007913CF"/>
    <w:rsid w:val="00791A3A"/>
    <w:rsid w:val="0079388E"/>
    <w:rsid w:val="00795168"/>
    <w:rsid w:val="007964AC"/>
    <w:rsid w:val="007968E2"/>
    <w:rsid w:val="00796A7F"/>
    <w:rsid w:val="00796AAB"/>
    <w:rsid w:val="007A0B5A"/>
    <w:rsid w:val="007A186E"/>
    <w:rsid w:val="007A29B8"/>
    <w:rsid w:val="007A2A54"/>
    <w:rsid w:val="007A2ED2"/>
    <w:rsid w:val="007A477C"/>
    <w:rsid w:val="007A4EC2"/>
    <w:rsid w:val="007A577E"/>
    <w:rsid w:val="007A59DD"/>
    <w:rsid w:val="007B005C"/>
    <w:rsid w:val="007B4418"/>
    <w:rsid w:val="007B7414"/>
    <w:rsid w:val="007B7D18"/>
    <w:rsid w:val="007B7ED4"/>
    <w:rsid w:val="007C0ADF"/>
    <w:rsid w:val="007C0F65"/>
    <w:rsid w:val="007C3B39"/>
    <w:rsid w:val="007C5BFD"/>
    <w:rsid w:val="007C5E99"/>
    <w:rsid w:val="007C5F02"/>
    <w:rsid w:val="007C637B"/>
    <w:rsid w:val="007D06A6"/>
    <w:rsid w:val="007D19F8"/>
    <w:rsid w:val="007D4AFD"/>
    <w:rsid w:val="007D75E7"/>
    <w:rsid w:val="007E01A5"/>
    <w:rsid w:val="007E15A0"/>
    <w:rsid w:val="007E1FED"/>
    <w:rsid w:val="007E3AC3"/>
    <w:rsid w:val="007E42EC"/>
    <w:rsid w:val="007E47AF"/>
    <w:rsid w:val="007E79AD"/>
    <w:rsid w:val="007F1AF4"/>
    <w:rsid w:val="007F2410"/>
    <w:rsid w:val="007F3668"/>
    <w:rsid w:val="007F3BC9"/>
    <w:rsid w:val="007F3EAA"/>
    <w:rsid w:val="007F4DF5"/>
    <w:rsid w:val="007F5224"/>
    <w:rsid w:val="007F61BF"/>
    <w:rsid w:val="007F6EEE"/>
    <w:rsid w:val="008016E2"/>
    <w:rsid w:val="00802E48"/>
    <w:rsid w:val="008038B5"/>
    <w:rsid w:val="0080390E"/>
    <w:rsid w:val="00805C53"/>
    <w:rsid w:val="0081114E"/>
    <w:rsid w:val="00811EFC"/>
    <w:rsid w:val="00812C67"/>
    <w:rsid w:val="00814909"/>
    <w:rsid w:val="008176A8"/>
    <w:rsid w:val="00820192"/>
    <w:rsid w:val="0082224B"/>
    <w:rsid w:val="00824E7C"/>
    <w:rsid w:val="008279FF"/>
    <w:rsid w:val="00830C9E"/>
    <w:rsid w:val="00831E27"/>
    <w:rsid w:val="00832C63"/>
    <w:rsid w:val="00834405"/>
    <w:rsid w:val="00835A42"/>
    <w:rsid w:val="00835F5D"/>
    <w:rsid w:val="00841E61"/>
    <w:rsid w:val="008422ED"/>
    <w:rsid w:val="00844B43"/>
    <w:rsid w:val="0084716C"/>
    <w:rsid w:val="008510C5"/>
    <w:rsid w:val="00851A4A"/>
    <w:rsid w:val="00851A70"/>
    <w:rsid w:val="0085238A"/>
    <w:rsid w:val="00853469"/>
    <w:rsid w:val="0085490F"/>
    <w:rsid w:val="00854FDD"/>
    <w:rsid w:val="00855006"/>
    <w:rsid w:val="008555E5"/>
    <w:rsid w:val="00860306"/>
    <w:rsid w:val="008617C6"/>
    <w:rsid w:val="00863F64"/>
    <w:rsid w:val="00866A14"/>
    <w:rsid w:val="00867264"/>
    <w:rsid w:val="00872FCD"/>
    <w:rsid w:val="008741E4"/>
    <w:rsid w:val="00874348"/>
    <w:rsid w:val="00874931"/>
    <w:rsid w:val="00874C22"/>
    <w:rsid w:val="00876358"/>
    <w:rsid w:val="00877DCC"/>
    <w:rsid w:val="00881929"/>
    <w:rsid w:val="008820D0"/>
    <w:rsid w:val="00883EA5"/>
    <w:rsid w:val="00884A77"/>
    <w:rsid w:val="00885C09"/>
    <w:rsid w:val="008909D0"/>
    <w:rsid w:val="00892952"/>
    <w:rsid w:val="008A05F7"/>
    <w:rsid w:val="008A0684"/>
    <w:rsid w:val="008A0EA7"/>
    <w:rsid w:val="008A371E"/>
    <w:rsid w:val="008A550E"/>
    <w:rsid w:val="008A67D7"/>
    <w:rsid w:val="008B0A2D"/>
    <w:rsid w:val="008B2459"/>
    <w:rsid w:val="008B28FD"/>
    <w:rsid w:val="008B2E7A"/>
    <w:rsid w:val="008B31AD"/>
    <w:rsid w:val="008B719F"/>
    <w:rsid w:val="008C263A"/>
    <w:rsid w:val="008C26D6"/>
    <w:rsid w:val="008C3AED"/>
    <w:rsid w:val="008C48FB"/>
    <w:rsid w:val="008C58F4"/>
    <w:rsid w:val="008C6CAF"/>
    <w:rsid w:val="008C77D5"/>
    <w:rsid w:val="008D26C1"/>
    <w:rsid w:val="008D4FD1"/>
    <w:rsid w:val="008D5C06"/>
    <w:rsid w:val="008D5DFB"/>
    <w:rsid w:val="008D788A"/>
    <w:rsid w:val="008E0740"/>
    <w:rsid w:val="008E092A"/>
    <w:rsid w:val="008E0B89"/>
    <w:rsid w:val="008E213F"/>
    <w:rsid w:val="008E3110"/>
    <w:rsid w:val="008E392F"/>
    <w:rsid w:val="008E3AB5"/>
    <w:rsid w:val="008E7CCC"/>
    <w:rsid w:val="008F0438"/>
    <w:rsid w:val="008F0D95"/>
    <w:rsid w:val="008F282B"/>
    <w:rsid w:val="008F2D06"/>
    <w:rsid w:val="008F3B25"/>
    <w:rsid w:val="008F4093"/>
    <w:rsid w:val="008F619D"/>
    <w:rsid w:val="0090079E"/>
    <w:rsid w:val="0090114E"/>
    <w:rsid w:val="009048C1"/>
    <w:rsid w:val="00904D1F"/>
    <w:rsid w:val="009056F3"/>
    <w:rsid w:val="00910D0F"/>
    <w:rsid w:val="00910F93"/>
    <w:rsid w:val="00912353"/>
    <w:rsid w:val="00912781"/>
    <w:rsid w:val="00912B19"/>
    <w:rsid w:val="009150E4"/>
    <w:rsid w:val="009158D5"/>
    <w:rsid w:val="00916B25"/>
    <w:rsid w:val="0091791F"/>
    <w:rsid w:val="00920A9D"/>
    <w:rsid w:val="00920C56"/>
    <w:rsid w:val="00921AA3"/>
    <w:rsid w:val="009236BF"/>
    <w:rsid w:val="00923AF2"/>
    <w:rsid w:val="00924A9F"/>
    <w:rsid w:val="00924B29"/>
    <w:rsid w:val="00924F52"/>
    <w:rsid w:val="00924FAE"/>
    <w:rsid w:val="0092594B"/>
    <w:rsid w:val="00930895"/>
    <w:rsid w:val="00932F15"/>
    <w:rsid w:val="00933984"/>
    <w:rsid w:val="00934479"/>
    <w:rsid w:val="00934C28"/>
    <w:rsid w:val="009364BB"/>
    <w:rsid w:val="00936B04"/>
    <w:rsid w:val="009415D7"/>
    <w:rsid w:val="00943440"/>
    <w:rsid w:val="00944FB6"/>
    <w:rsid w:val="00945477"/>
    <w:rsid w:val="009455AA"/>
    <w:rsid w:val="009460A4"/>
    <w:rsid w:val="00947B7A"/>
    <w:rsid w:val="009507E7"/>
    <w:rsid w:val="00950D79"/>
    <w:rsid w:val="0095178B"/>
    <w:rsid w:val="00951CFB"/>
    <w:rsid w:val="009540E5"/>
    <w:rsid w:val="009549F2"/>
    <w:rsid w:val="00955E8E"/>
    <w:rsid w:val="00956912"/>
    <w:rsid w:val="00956F02"/>
    <w:rsid w:val="00960555"/>
    <w:rsid w:val="00960AD7"/>
    <w:rsid w:val="00961986"/>
    <w:rsid w:val="00962EC2"/>
    <w:rsid w:val="009634E6"/>
    <w:rsid w:val="009649C0"/>
    <w:rsid w:val="00964D01"/>
    <w:rsid w:val="009659D4"/>
    <w:rsid w:val="00966810"/>
    <w:rsid w:val="00967FA0"/>
    <w:rsid w:val="00971951"/>
    <w:rsid w:val="00972EC3"/>
    <w:rsid w:val="009732ED"/>
    <w:rsid w:val="009739C2"/>
    <w:rsid w:val="009779D5"/>
    <w:rsid w:val="00977CC3"/>
    <w:rsid w:val="00980157"/>
    <w:rsid w:val="00982E01"/>
    <w:rsid w:val="00984EBD"/>
    <w:rsid w:val="00985FC2"/>
    <w:rsid w:val="00991030"/>
    <w:rsid w:val="00991D1A"/>
    <w:rsid w:val="00992265"/>
    <w:rsid w:val="009934F8"/>
    <w:rsid w:val="00995091"/>
    <w:rsid w:val="00996592"/>
    <w:rsid w:val="00997F4B"/>
    <w:rsid w:val="009A1397"/>
    <w:rsid w:val="009A17D8"/>
    <w:rsid w:val="009A1CC6"/>
    <w:rsid w:val="009A2687"/>
    <w:rsid w:val="009A3A59"/>
    <w:rsid w:val="009A423C"/>
    <w:rsid w:val="009A44B7"/>
    <w:rsid w:val="009A7057"/>
    <w:rsid w:val="009A7254"/>
    <w:rsid w:val="009A7CD0"/>
    <w:rsid w:val="009A7FC0"/>
    <w:rsid w:val="009B02EF"/>
    <w:rsid w:val="009B17BF"/>
    <w:rsid w:val="009B205A"/>
    <w:rsid w:val="009B210C"/>
    <w:rsid w:val="009B27C0"/>
    <w:rsid w:val="009B327D"/>
    <w:rsid w:val="009B3D4E"/>
    <w:rsid w:val="009B626B"/>
    <w:rsid w:val="009B64B3"/>
    <w:rsid w:val="009B6A89"/>
    <w:rsid w:val="009C088D"/>
    <w:rsid w:val="009C0A1E"/>
    <w:rsid w:val="009C0B65"/>
    <w:rsid w:val="009C1913"/>
    <w:rsid w:val="009C1F9F"/>
    <w:rsid w:val="009C272C"/>
    <w:rsid w:val="009C2CEC"/>
    <w:rsid w:val="009C3B2E"/>
    <w:rsid w:val="009C43DE"/>
    <w:rsid w:val="009C48C1"/>
    <w:rsid w:val="009D153F"/>
    <w:rsid w:val="009D1948"/>
    <w:rsid w:val="009D28D1"/>
    <w:rsid w:val="009D3337"/>
    <w:rsid w:val="009D38E2"/>
    <w:rsid w:val="009D3F21"/>
    <w:rsid w:val="009D628E"/>
    <w:rsid w:val="009D79BE"/>
    <w:rsid w:val="009E0197"/>
    <w:rsid w:val="009E2730"/>
    <w:rsid w:val="009E2B3C"/>
    <w:rsid w:val="009E4F89"/>
    <w:rsid w:val="009E6398"/>
    <w:rsid w:val="009E79B3"/>
    <w:rsid w:val="009F2C0A"/>
    <w:rsid w:val="009F533D"/>
    <w:rsid w:val="009F6E76"/>
    <w:rsid w:val="009F7CA9"/>
    <w:rsid w:val="00A00769"/>
    <w:rsid w:val="00A009FF"/>
    <w:rsid w:val="00A00C96"/>
    <w:rsid w:val="00A0273D"/>
    <w:rsid w:val="00A02F64"/>
    <w:rsid w:val="00A0529F"/>
    <w:rsid w:val="00A05442"/>
    <w:rsid w:val="00A055BF"/>
    <w:rsid w:val="00A06058"/>
    <w:rsid w:val="00A060F4"/>
    <w:rsid w:val="00A06634"/>
    <w:rsid w:val="00A06E63"/>
    <w:rsid w:val="00A07650"/>
    <w:rsid w:val="00A07C04"/>
    <w:rsid w:val="00A07C8C"/>
    <w:rsid w:val="00A07FA8"/>
    <w:rsid w:val="00A10182"/>
    <w:rsid w:val="00A110CF"/>
    <w:rsid w:val="00A11708"/>
    <w:rsid w:val="00A11FD1"/>
    <w:rsid w:val="00A17744"/>
    <w:rsid w:val="00A17C31"/>
    <w:rsid w:val="00A17FB7"/>
    <w:rsid w:val="00A22656"/>
    <w:rsid w:val="00A22C22"/>
    <w:rsid w:val="00A23324"/>
    <w:rsid w:val="00A2377C"/>
    <w:rsid w:val="00A242BA"/>
    <w:rsid w:val="00A2550C"/>
    <w:rsid w:val="00A268C9"/>
    <w:rsid w:val="00A26BF7"/>
    <w:rsid w:val="00A27DF9"/>
    <w:rsid w:val="00A3018C"/>
    <w:rsid w:val="00A30573"/>
    <w:rsid w:val="00A30996"/>
    <w:rsid w:val="00A30A48"/>
    <w:rsid w:val="00A30FE3"/>
    <w:rsid w:val="00A3104A"/>
    <w:rsid w:val="00A3116A"/>
    <w:rsid w:val="00A319E4"/>
    <w:rsid w:val="00A325A9"/>
    <w:rsid w:val="00A32B0A"/>
    <w:rsid w:val="00A337ED"/>
    <w:rsid w:val="00A349DF"/>
    <w:rsid w:val="00A35BFA"/>
    <w:rsid w:val="00A35CCB"/>
    <w:rsid w:val="00A367A6"/>
    <w:rsid w:val="00A36CDF"/>
    <w:rsid w:val="00A41740"/>
    <w:rsid w:val="00A41A5E"/>
    <w:rsid w:val="00A43230"/>
    <w:rsid w:val="00A43C95"/>
    <w:rsid w:val="00A44CBE"/>
    <w:rsid w:val="00A44EBD"/>
    <w:rsid w:val="00A44F2B"/>
    <w:rsid w:val="00A454D7"/>
    <w:rsid w:val="00A479CF"/>
    <w:rsid w:val="00A5005E"/>
    <w:rsid w:val="00A50F0C"/>
    <w:rsid w:val="00A52CA8"/>
    <w:rsid w:val="00A540C6"/>
    <w:rsid w:val="00A54278"/>
    <w:rsid w:val="00A55547"/>
    <w:rsid w:val="00A55560"/>
    <w:rsid w:val="00A636D4"/>
    <w:rsid w:val="00A63A79"/>
    <w:rsid w:val="00A63AA3"/>
    <w:rsid w:val="00A63D77"/>
    <w:rsid w:val="00A6464C"/>
    <w:rsid w:val="00A64B2D"/>
    <w:rsid w:val="00A65671"/>
    <w:rsid w:val="00A66882"/>
    <w:rsid w:val="00A668B7"/>
    <w:rsid w:val="00A66D0D"/>
    <w:rsid w:val="00A6772C"/>
    <w:rsid w:val="00A71232"/>
    <w:rsid w:val="00A71470"/>
    <w:rsid w:val="00A725DF"/>
    <w:rsid w:val="00A72EF9"/>
    <w:rsid w:val="00A73682"/>
    <w:rsid w:val="00A73ABD"/>
    <w:rsid w:val="00A73B3F"/>
    <w:rsid w:val="00A759A4"/>
    <w:rsid w:val="00A763D9"/>
    <w:rsid w:val="00A76F93"/>
    <w:rsid w:val="00A775F2"/>
    <w:rsid w:val="00A77E8D"/>
    <w:rsid w:val="00A80AC6"/>
    <w:rsid w:val="00A83DBD"/>
    <w:rsid w:val="00A84F97"/>
    <w:rsid w:val="00A85D74"/>
    <w:rsid w:val="00A86429"/>
    <w:rsid w:val="00A869CA"/>
    <w:rsid w:val="00A91C94"/>
    <w:rsid w:val="00A939FB"/>
    <w:rsid w:val="00A94C2D"/>
    <w:rsid w:val="00A957FE"/>
    <w:rsid w:val="00A961A1"/>
    <w:rsid w:val="00A968D9"/>
    <w:rsid w:val="00AA1EE3"/>
    <w:rsid w:val="00AA1F46"/>
    <w:rsid w:val="00AA26DF"/>
    <w:rsid w:val="00AA3DE6"/>
    <w:rsid w:val="00AA5AE1"/>
    <w:rsid w:val="00AA6D4D"/>
    <w:rsid w:val="00AB1042"/>
    <w:rsid w:val="00AB1CDB"/>
    <w:rsid w:val="00AB48EC"/>
    <w:rsid w:val="00AB4A9E"/>
    <w:rsid w:val="00AB4B2D"/>
    <w:rsid w:val="00AB77D0"/>
    <w:rsid w:val="00AB7D2B"/>
    <w:rsid w:val="00AC037C"/>
    <w:rsid w:val="00AC2C0B"/>
    <w:rsid w:val="00AC54EF"/>
    <w:rsid w:val="00AC65A2"/>
    <w:rsid w:val="00AD036D"/>
    <w:rsid w:val="00AD0C6C"/>
    <w:rsid w:val="00AD2102"/>
    <w:rsid w:val="00AD2142"/>
    <w:rsid w:val="00AD21E2"/>
    <w:rsid w:val="00AD585C"/>
    <w:rsid w:val="00AD5AB4"/>
    <w:rsid w:val="00AD6D6A"/>
    <w:rsid w:val="00AE1976"/>
    <w:rsid w:val="00AE20D7"/>
    <w:rsid w:val="00AE4157"/>
    <w:rsid w:val="00AE4277"/>
    <w:rsid w:val="00AE548B"/>
    <w:rsid w:val="00AE6235"/>
    <w:rsid w:val="00AF010D"/>
    <w:rsid w:val="00AF05CA"/>
    <w:rsid w:val="00AF1724"/>
    <w:rsid w:val="00AF2400"/>
    <w:rsid w:val="00AF32BF"/>
    <w:rsid w:val="00AF3FCF"/>
    <w:rsid w:val="00AF6539"/>
    <w:rsid w:val="00AF6C6F"/>
    <w:rsid w:val="00AF75F7"/>
    <w:rsid w:val="00AF7BC7"/>
    <w:rsid w:val="00B00ECB"/>
    <w:rsid w:val="00B01112"/>
    <w:rsid w:val="00B019D2"/>
    <w:rsid w:val="00B037C8"/>
    <w:rsid w:val="00B049CD"/>
    <w:rsid w:val="00B04EA5"/>
    <w:rsid w:val="00B07263"/>
    <w:rsid w:val="00B1040B"/>
    <w:rsid w:val="00B14B83"/>
    <w:rsid w:val="00B17947"/>
    <w:rsid w:val="00B17BF8"/>
    <w:rsid w:val="00B20249"/>
    <w:rsid w:val="00B20EDA"/>
    <w:rsid w:val="00B2120D"/>
    <w:rsid w:val="00B218E5"/>
    <w:rsid w:val="00B23592"/>
    <w:rsid w:val="00B242BC"/>
    <w:rsid w:val="00B24801"/>
    <w:rsid w:val="00B259C8"/>
    <w:rsid w:val="00B25AA9"/>
    <w:rsid w:val="00B25FEE"/>
    <w:rsid w:val="00B26B6A"/>
    <w:rsid w:val="00B27501"/>
    <w:rsid w:val="00B303AE"/>
    <w:rsid w:val="00B31CFB"/>
    <w:rsid w:val="00B331CC"/>
    <w:rsid w:val="00B35B4C"/>
    <w:rsid w:val="00B4015F"/>
    <w:rsid w:val="00B41B05"/>
    <w:rsid w:val="00B431DF"/>
    <w:rsid w:val="00B46169"/>
    <w:rsid w:val="00B5045B"/>
    <w:rsid w:val="00B5096A"/>
    <w:rsid w:val="00B517C5"/>
    <w:rsid w:val="00B5200A"/>
    <w:rsid w:val="00B52378"/>
    <w:rsid w:val="00B52E33"/>
    <w:rsid w:val="00B53627"/>
    <w:rsid w:val="00B541E2"/>
    <w:rsid w:val="00B54629"/>
    <w:rsid w:val="00B554F1"/>
    <w:rsid w:val="00B5592F"/>
    <w:rsid w:val="00B56D7A"/>
    <w:rsid w:val="00B5719D"/>
    <w:rsid w:val="00B60B4B"/>
    <w:rsid w:val="00B61F73"/>
    <w:rsid w:val="00B629AC"/>
    <w:rsid w:val="00B63B7F"/>
    <w:rsid w:val="00B65174"/>
    <w:rsid w:val="00B65613"/>
    <w:rsid w:val="00B70ECB"/>
    <w:rsid w:val="00B71D36"/>
    <w:rsid w:val="00B72704"/>
    <w:rsid w:val="00B75342"/>
    <w:rsid w:val="00B80E0E"/>
    <w:rsid w:val="00B811EF"/>
    <w:rsid w:val="00B83F07"/>
    <w:rsid w:val="00B84991"/>
    <w:rsid w:val="00B91767"/>
    <w:rsid w:val="00B92DC2"/>
    <w:rsid w:val="00B937A8"/>
    <w:rsid w:val="00B94913"/>
    <w:rsid w:val="00B94A58"/>
    <w:rsid w:val="00B94AF3"/>
    <w:rsid w:val="00BA0495"/>
    <w:rsid w:val="00BA350F"/>
    <w:rsid w:val="00BA4A72"/>
    <w:rsid w:val="00BA6467"/>
    <w:rsid w:val="00BA6558"/>
    <w:rsid w:val="00BB0A1A"/>
    <w:rsid w:val="00BB2F00"/>
    <w:rsid w:val="00BB3EBB"/>
    <w:rsid w:val="00BB5DC1"/>
    <w:rsid w:val="00BB6B4E"/>
    <w:rsid w:val="00BB6C8C"/>
    <w:rsid w:val="00BB6FD7"/>
    <w:rsid w:val="00BB7BC6"/>
    <w:rsid w:val="00BC008D"/>
    <w:rsid w:val="00BC097F"/>
    <w:rsid w:val="00BC1229"/>
    <w:rsid w:val="00BC342B"/>
    <w:rsid w:val="00BC4D5D"/>
    <w:rsid w:val="00BC619A"/>
    <w:rsid w:val="00BC6991"/>
    <w:rsid w:val="00BC6B30"/>
    <w:rsid w:val="00BC7703"/>
    <w:rsid w:val="00BC7EAE"/>
    <w:rsid w:val="00BD0523"/>
    <w:rsid w:val="00BD0607"/>
    <w:rsid w:val="00BD2620"/>
    <w:rsid w:val="00BD370F"/>
    <w:rsid w:val="00BD4B4D"/>
    <w:rsid w:val="00BD5B63"/>
    <w:rsid w:val="00BE17C3"/>
    <w:rsid w:val="00BE32C8"/>
    <w:rsid w:val="00BE35B4"/>
    <w:rsid w:val="00BE6785"/>
    <w:rsid w:val="00BE6A58"/>
    <w:rsid w:val="00BE6FF5"/>
    <w:rsid w:val="00BE72BC"/>
    <w:rsid w:val="00BF0295"/>
    <w:rsid w:val="00BF0D78"/>
    <w:rsid w:val="00BF58FD"/>
    <w:rsid w:val="00BF670D"/>
    <w:rsid w:val="00C00E4B"/>
    <w:rsid w:val="00C023E8"/>
    <w:rsid w:val="00C02D63"/>
    <w:rsid w:val="00C0340B"/>
    <w:rsid w:val="00C03A33"/>
    <w:rsid w:val="00C041C2"/>
    <w:rsid w:val="00C044F4"/>
    <w:rsid w:val="00C05C04"/>
    <w:rsid w:val="00C065BE"/>
    <w:rsid w:val="00C07186"/>
    <w:rsid w:val="00C072D5"/>
    <w:rsid w:val="00C07A49"/>
    <w:rsid w:val="00C10583"/>
    <w:rsid w:val="00C13825"/>
    <w:rsid w:val="00C13C23"/>
    <w:rsid w:val="00C14364"/>
    <w:rsid w:val="00C1589F"/>
    <w:rsid w:val="00C209BF"/>
    <w:rsid w:val="00C20AC0"/>
    <w:rsid w:val="00C219ED"/>
    <w:rsid w:val="00C21B4F"/>
    <w:rsid w:val="00C21D4A"/>
    <w:rsid w:val="00C221D8"/>
    <w:rsid w:val="00C22F93"/>
    <w:rsid w:val="00C240C7"/>
    <w:rsid w:val="00C26311"/>
    <w:rsid w:val="00C27349"/>
    <w:rsid w:val="00C30D15"/>
    <w:rsid w:val="00C3174C"/>
    <w:rsid w:val="00C31F65"/>
    <w:rsid w:val="00C324E2"/>
    <w:rsid w:val="00C32D84"/>
    <w:rsid w:val="00C33D6C"/>
    <w:rsid w:val="00C33DE7"/>
    <w:rsid w:val="00C35812"/>
    <w:rsid w:val="00C41766"/>
    <w:rsid w:val="00C41B04"/>
    <w:rsid w:val="00C423B5"/>
    <w:rsid w:val="00C4644E"/>
    <w:rsid w:val="00C479BB"/>
    <w:rsid w:val="00C47BC8"/>
    <w:rsid w:val="00C500F1"/>
    <w:rsid w:val="00C5233A"/>
    <w:rsid w:val="00C52D78"/>
    <w:rsid w:val="00C53DDC"/>
    <w:rsid w:val="00C5470D"/>
    <w:rsid w:val="00C612D2"/>
    <w:rsid w:val="00C63F44"/>
    <w:rsid w:val="00C648E4"/>
    <w:rsid w:val="00C651F7"/>
    <w:rsid w:val="00C679F7"/>
    <w:rsid w:val="00C67A5D"/>
    <w:rsid w:val="00C70DFC"/>
    <w:rsid w:val="00C72F1C"/>
    <w:rsid w:val="00C74D9E"/>
    <w:rsid w:val="00C75E4B"/>
    <w:rsid w:val="00C76FC3"/>
    <w:rsid w:val="00C80E5D"/>
    <w:rsid w:val="00C82905"/>
    <w:rsid w:val="00C82F79"/>
    <w:rsid w:val="00C8330F"/>
    <w:rsid w:val="00C85856"/>
    <w:rsid w:val="00C85EBC"/>
    <w:rsid w:val="00C87CD7"/>
    <w:rsid w:val="00C9013E"/>
    <w:rsid w:val="00C90BDF"/>
    <w:rsid w:val="00C9279F"/>
    <w:rsid w:val="00C9305D"/>
    <w:rsid w:val="00C93E04"/>
    <w:rsid w:val="00C94035"/>
    <w:rsid w:val="00C96A86"/>
    <w:rsid w:val="00CA0522"/>
    <w:rsid w:val="00CA16AB"/>
    <w:rsid w:val="00CA3C9D"/>
    <w:rsid w:val="00CA3F92"/>
    <w:rsid w:val="00CA5C3A"/>
    <w:rsid w:val="00CA60A1"/>
    <w:rsid w:val="00CA67EF"/>
    <w:rsid w:val="00CA7451"/>
    <w:rsid w:val="00CB03B6"/>
    <w:rsid w:val="00CB0CF8"/>
    <w:rsid w:val="00CB228E"/>
    <w:rsid w:val="00CB569D"/>
    <w:rsid w:val="00CB7737"/>
    <w:rsid w:val="00CC411E"/>
    <w:rsid w:val="00CC4309"/>
    <w:rsid w:val="00CC45F6"/>
    <w:rsid w:val="00CC51D0"/>
    <w:rsid w:val="00CC5A26"/>
    <w:rsid w:val="00CC6295"/>
    <w:rsid w:val="00CC67DE"/>
    <w:rsid w:val="00CC7469"/>
    <w:rsid w:val="00CC77A1"/>
    <w:rsid w:val="00CC79B8"/>
    <w:rsid w:val="00CD0236"/>
    <w:rsid w:val="00CD063C"/>
    <w:rsid w:val="00CD1E93"/>
    <w:rsid w:val="00CD27D5"/>
    <w:rsid w:val="00CD34F9"/>
    <w:rsid w:val="00CD36FD"/>
    <w:rsid w:val="00CD458A"/>
    <w:rsid w:val="00CD465B"/>
    <w:rsid w:val="00CD715B"/>
    <w:rsid w:val="00CE0BC5"/>
    <w:rsid w:val="00CE303C"/>
    <w:rsid w:val="00CE3F11"/>
    <w:rsid w:val="00CE45D6"/>
    <w:rsid w:val="00CE5B1F"/>
    <w:rsid w:val="00CE70F6"/>
    <w:rsid w:val="00CE772C"/>
    <w:rsid w:val="00CF2177"/>
    <w:rsid w:val="00CF2648"/>
    <w:rsid w:val="00CF32A3"/>
    <w:rsid w:val="00CF3FAA"/>
    <w:rsid w:val="00CF4208"/>
    <w:rsid w:val="00CF5B5A"/>
    <w:rsid w:val="00CF7E1B"/>
    <w:rsid w:val="00D01711"/>
    <w:rsid w:val="00D04A32"/>
    <w:rsid w:val="00D04A6D"/>
    <w:rsid w:val="00D04D40"/>
    <w:rsid w:val="00D0505E"/>
    <w:rsid w:val="00D0565D"/>
    <w:rsid w:val="00D05A1C"/>
    <w:rsid w:val="00D069F5"/>
    <w:rsid w:val="00D079C8"/>
    <w:rsid w:val="00D10260"/>
    <w:rsid w:val="00D1225C"/>
    <w:rsid w:val="00D140EC"/>
    <w:rsid w:val="00D14BBC"/>
    <w:rsid w:val="00D165EA"/>
    <w:rsid w:val="00D21C37"/>
    <w:rsid w:val="00D229F6"/>
    <w:rsid w:val="00D22B41"/>
    <w:rsid w:val="00D23BC4"/>
    <w:rsid w:val="00D24A72"/>
    <w:rsid w:val="00D25DFB"/>
    <w:rsid w:val="00D2662C"/>
    <w:rsid w:val="00D2683F"/>
    <w:rsid w:val="00D303BC"/>
    <w:rsid w:val="00D322ED"/>
    <w:rsid w:val="00D33498"/>
    <w:rsid w:val="00D354F7"/>
    <w:rsid w:val="00D36959"/>
    <w:rsid w:val="00D40CE0"/>
    <w:rsid w:val="00D43624"/>
    <w:rsid w:val="00D44A4E"/>
    <w:rsid w:val="00D46AD0"/>
    <w:rsid w:val="00D50363"/>
    <w:rsid w:val="00D50B63"/>
    <w:rsid w:val="00D520B7"/>
    <w:rsid w:val="00D55348"/>
    <w:rsid w:val="00D56718"/>
    <w:rsid w:val="00D57617"/>
    <w:rsid w:val="00D57E0C"/>
    <w:rsid w:val="00D57F5C"/>
    <w:rsid w:val="00D60521"/>
    <w:rsid w:val="00D619CB"/>
    <w:rsid w:val="00D61C42"/>
    <w:rsid w:val="00D649BD"/>
    <w:rsid w:val="00D721DB"/>
    <w:rsid w:val="00D73736"/>
    <w:rsid w:val="00D7710D"/>
    <w:rsid w:val="00D773D0"/>
    <w:rsid w:val="00D77543"/>
    <w:rsid w:val="00D80612"/>
    <w:rsid w:val="00D8079A"/>
    <w:rsid w:val="00D80DB1"/>
    <w:rsid w:val="00D80FA5"/>
    <w:rsid w:val="00D82E81"/>
    <w:rsid w:val="00D85B38"/>
    <w:rsid w:val="00D87C39"/>
    <w:rsid w:val="00D90EC0"/>
    <w:rsid w:val="00D92BE0"/>
    <w:rsid w:val="00D92CEC"/>
    <w:rsid w:val="00D933C3"/>
    <w:rsid w:val="00D93E5A"/>
    <w:rsid w:val="00D966AF"/>
    <w:rsid w:val="00D9704F"/>
    <w:rsid w:val="00DA1C64"/>
    <w:rsid w:val="00DA2805"/>
    <w:rsid w:val="00DA4E8A"/>
    <w:rsid w:val="00DA513C"/>
    <w:rsid w:val="00DA597C"/>
    <w:rsid w:val="00DA64CC"/>
    <w:rsid w:val="00DA6D95"/>
    <w:rsid w:val="00DB061C"/>
    <w:rsid w:val="00DB44F5"/>
    <w:rsid w:val="00DB4E44"/>
    <w:rsid w:val="00DB4E53"/>
    <w:rsid w:val="00DB5664"/>
    <w:rsid w:val="00DB6CC7"/>
    <w:rsid w:val="00DC39DE"/>
    <w:rsid w:val="00DC45CE"/>
    <w:rsid w:val="00DC63D3"/>
    <w:rsid w:val="00DD0F42"/>
    <w:rsid w:val="00DD3CB2"/>
    <w:rsid w:val="00DD3EDD"/>
    <w:rsid w:val="00DD5ED2"/>
    <w:rsid w:val="00DD74F5"/>
    <w:rsid w:val="00DE074D"/>
    <w:rsid w:val="00DE0F0E"/>
    <w:rsid w:val="00DE1D86"/>
    <w:rsid w:val="00DE6366"/>
    <w:rsid w:val="00DE6F76"/>
    <w:rsid w:val="00DF1624"/>
    <w:rsid w:val="00DF3022"/>
    <w:rsid w:val="00DF3232"/>
    <w:rsid w:val="00DF56E3"/>
    <w:rsid w:val="00E00339"/>
    <w:rsid w:val="00E01137"/>
    <w:rsid w:val="00E01B10"/>
    <w:rsid w:val="00E03068"/>
    <w:rsid w:val="00E04A1F"/>
    <w:rsid w:val="00E04DCF"/>
    <w:rsid w:val="00E0576D"/>
    <w:rsid w:val="00E06CBE"/>
    <w:rsid w:val="00E07AB9"/>
    <w:rsid w:val="00E10BD6"/>
    <w:rsid w:val="00E13EC1"/>
    <w:rsid w:val="00E142A8"/>
    <w:rsid w:val="00E1487E"/>
    <w:rsid w:val="00E15606"/>
    <w:rsid w:val="00E17F1C"/>
    <w:rsid w:val="00E20665"/>
    <w:rsid w:val="00E219A7"/>
    <w:rsid w:val="00E222AA"/>
    <w:rsid w:val="00E24297"/>
    <w:rsid w:val="00E264CD"/>
    <w:rsid w:val="00E30AA8"/>
    <w:rsid w:val="00E30E65"/>
    <w:rsid w:val="00E32886"/>
    <w:rsid w:val="00E328C4"/>
    <w:rsid w:val="00E33AF3"/>
    <w:rsid w:val="00E35AD8"/>
    <w:rsid w:val="00E35DF9"/>
    <w:rsid w:val="00E362F2"/>
    <w:rsid w:val="00E3637C"/>
    <w:rsid w:val="00E41E3F"/>
    <w:rsid w:val="00E42288"/>
    <w:rsid w:val="00E42D1B"/>
    <w:rsid w:val="00E43202"/>
    <w:rsid w:val="00E4661A"/>
    <w:rsid w:val="00E474CF"/>
    <w:rsid w:val="00E4763B"/>
    <w:rsid w:val="00E47907"/>
    <w:rsid w:val="00E47B59"/>
    <w:rsid w:val="00E47B75"/>
    <w:rsid w:val="00E47C8B"/>
    <w:rsid w:val="00E521E3"/>
    <w:rsid w:val="00E547CF"/>
    <w:rsid w:val="00E54BF5"/>
    <w:rsid w:val="00E54C14"/>
    <w:rsid w:val="00E56348"/>
    <w:rsid w:val="00E60397"/>
    <w:rsid w:val="00E6134B"/>
    <w:rsid w:val="00E6139D"/>
    <w:rsid w:val="00E63864"/>
    <w:rsid w:val="00E63DA2"/>
    <w:rsid w:val="00E63F31"/>
    <w:rsid w:val="00E6438C"/>
    <w:rsid w:val="00E646D8"/>
    <w:rsid w:val="00E65FB2"/>
    <w:rsid w:val="00E67980"/>
    <w:rsid w:val="00E710DB"/>
    <w:rsid w:val="00E71174"/>
    <w:rsid w:val="00E71804"/>
    <w:rsid w:val="00E72FB4"/>
    <w:rsid w:val="00E7394E"/>
    <w:rsid w:val="00E74BA0"/>
    <w:rsid w:val="00E75736"/>
    <w:rsid w:val="00E76ED8"/>
    <w:rsid w:val="00E77941"/>
    <w:rsid w:val="00E815AA"/>
    <w:rsid w:val="00E81D1F"/>
    <w:rsid w:val="00E85D4D"/>
    <w:rsid w:val="00E86DEE"/>
    <w:rsid w:val="00E86F6D"/>
    <w:rsid w:val="00E87BFB"/>
    <w:rsid w:val="00E917BA"/>
    <w:rsid w:val="00E94A1F"/>
    <w:rsid w:val="00E94B15"/>
    <w:rsid w:val="00E964D0"/>
    <w:rsid w:val="00EA0551"/>
    <w:rsid w:val="00EA0618"/>
    <w:rsid w:val="00EA43F3"/>
    <w:rsid w:val="00EA48D8"/>
    <w:rsid w:val="00EA54F9"/>
    <w:rsid w:val="00EA684E"/>
    <w:rsid w:val="00EB1473"/>
    <w:rsid w:val="00EB2670"/>
    <w:rsid w:val="00EB2BB8"/>
    <w:rsid w:val="00EB714A"/>
    <w:rsid w:val="00EB7C2B"/>
    <w:rsid w:val="00EC027D"/>
    <w:rsid w:val="00EC0562"/>
    <w:rsid w:val="00EC2B61"/>
    <w:rsid w:val="00EC494A"/>
    <w:rsid w:val="00EC5EAB"/>
    <w:rsid w:val="00EC70ED"/>
    <w:rsid w:val="00EC7C9C"/>
    <w:rsid w:val="00ED04B3"/>
    <w:rsid w:val="00ED07ED"/>
    <w:rsid w:val="00ED2700"/>
    <w:rsid w:val="00ED2C3D"/>
    <w:rsid w:val="00ED3AC1"/>
    <w:rsid w:val="00ED3C01"/>
    <w:rsid w:val="00ED5E39"/>
    <w:rsid w:val="00ED69ED"/>
    <w:rsid w:val="00ED6B96"/>
    <w:rsid w:val="00ED70C4"/>
    <w:rsid w:val="00ED7F9B"/>
    <w:rsid w:val="00EE0F43"/>
    <w:rsid w:val="00EE1417"/>
    <w:rsid w:val="00EE2459"/>
    <w:rsid w:val="00EE3AE1"/>
    <w:rsid w:val="00EE4D83"/>
    <w:rsid w:val="00EE58C0"/>
    <w:rsid w:val="00EE5951"/>
    <w:rsid w:val="00EE5AF4"/>
    <w:rsid w:val="00EE6924"/>
    <w:rsid w:val="00EE7700"/>
    <w:rsid w:val="00EF0230"/>
    <w:rsid w:val="00EF0EBC"/>
    <w:rsid w:val="00EF267D"/>
    <w:rsid w:val="00EF487D"/>
    <w:rsid w:val="00EF6D9D"/>
    <w:rsid w:val="00EF739F"/>
    <w:rsid w:val="00F032AC"/>
    <w:rsid w:val="00F04253"/>
    <w:rsid w:val="00F04D6E"/>
    <w:rsid w:val="00F04DA0"/>
    <w:rsid w:val="00F06497"/>
    <w:rsid w:val="00F06C56"/>
    <w:rsid w:val="00F077A4"/>
    <w:rsid w:val="00F10A00"/>
    <w:rsid w:val="00F113E8"/>
    <w:rsid w:val="00F11AF9"/>
    <w:rsid w:val="00F11F93"/>
    <w:rsid w:val="00F127B0"/>
    <w:rsid w:val="00F1317E"/>
    <w:rsid w:val="00F140BF"/>
    <w:rsid w:val="00F16201"/>
    <w:rsid w:val="00F1635D"/>
    <w:rsid w:val="00F16A17"/>
    <w:rsid w:val="00F17945"/>
    <w:rsid w:val="00F17E96"/>
    <w:rsid w:val="00F20E76"/>
    <w:rsid w:val="00F20FCE"/>
    <w:rsid w:val="00F22A7D"/>
    <w:rsid w:val="00F2306A"/>
    <w:rsid w:val="00F23658"/>
    <w:rsid w:val="00F2495B"/>
    <w:rsid w:val="00F27229"/>
    <w:rsid w:val="00F30566"/>
    <w:rsid w:val="00F30642"/>
    <w:rsid w:val="00F31FCA"/>
    <w:rsid w:val="00F32883"/>
    <w:rsid w:val="00F33D25"/>
    <w:rsid w:val="00F358DE"/>
    <w:rsid w:val="00F35903"/>
    <w:rsid w:val="00F36672"/>
    <w:rsid w:val="00F3708F"/>
    <w:rsid w:val="00F376E7"/>
    <w:rsid w:val="00F37C50"/>
    <w:rsid w:val="00F401AD"/>
    <w:rsid w:val="00F4281B"/>
    <w:rsid w:val="00F42990"/>
    <w:rsid w:val="00F43DC5"/>
    <w:rsid w:val="00F444A2"/>
    <w:rsid w:val="00F444D0"/>
    <w:rsid w:val="00F4458A"/>
    <w:rsid w:val="00F454AE"/>
    <w:rsid w:val="00F50CE5"/>
    <w:rsid w:val="00F51993"/>
    <w:rsid w:val="00F5258E"/>
    <w:rsid w:val="00F525CF"/>
    <w:rsid w:val="00F52887"/>
    <w:rsid w:val="00F55085"/>
    <w:rsid w:val="00F563BA"/>
    <w:rsid w:val="00F5684B"/>
    <w:rsid w:val="00F56FF6"/>
    <w:rsid w:val="00F5740C"/>
    <w:rsid w:val="00F57DDB"/>
    <w:rsid w:val="00F60AC7"/>
    <w:rsid w:val="00F61E19"/>
    <w:rsid w:val="00F625F0"/>
    <w:rsid w:val="00F63284"/>
    <w:rsid w:val="00F64522"/>
    <w:rsid w:val="00F65EB8"/>
    <w:rsid w:val="00F66B30"/>
    <w:rsid w:val="00F66C46"/>
    <w:rsid w:val="00F70767"/>
    <w:rsid w:val="00F715EE"/>
    <w:rsid w:val="00F74B9D"/>
    <w:rsid w:val="00F74F47"/>
    <w:rsid w:val="00F7721C"/>
    <w:rsid w:val="00F81617"/>
    <w:rsid w:val="00F84223"/>
    <w:rsid w:val="00F873F3"/>
    <w:rsid w:val="00F87B92"/>
    <w:rsid w:val="00F87D7A"/>
    <w:rsid w:val="00F91716"/>
    <w:rsid w:val="00F91813"/>
    <w:rsid w:val="00F92A00"/>
    <w:rsid w:val="00F9322E"/>
    <w:rsid w:val="00F93520"/>
    <w:rsid w:val="00F93E83"/>
    <w:rsid w:val="00F94FD6"/>
    <w:rsid w:val="00F9503B"/>
    <w:rsid w:val="00F9627A"/>
    <w:rsid w:val="00F967FB"/>
    <w:rsid w:val="00F972A5"/>
    <w:rsid w:val="00FA17C3"/>
    <w:rsid w:val="00FA22D4"/>
    <w:rsid w:val="00FA5EED"/>
    <w:rsid w:val="00FA69A9"/>
    <w:rsid w:val="00FA6E7C"/>
    <w:rsid w:val="00FA753B"/>
    <w:rsid w:val="00FB05AB"/>
    <w:rsid w:val="00FB281B"/>
    <w:rsid w:val="00FB3112"/>
    <w:rsid w:val="00FB5D99"/>
    <w:rsid w:val="00FB5DF0"/>
    <w:rsid w:val="00FB5E51"/>
    <w:rsid w:val="00FB6017"/>
    <w:rsid w:val="00FB6BE2"/>
    <w:rsid w:val="00FB777D"/>
    <w:rsid w:val="00FC2B20"/>
    <w:rsid w:val="00FC3300"/>
    <w:rsid w:val="00FC39F7"/>
    <w:rsid w:val="00FC3EAA"/>
    <w:rsid w:val="00FC4765"/>
    <w:rsid w:val="00FC4877"/>
    <w:rsid w:val="00FC6E66"/>
    <w:rsid w:val="00FC743D"/>
    <w:rsid w:val="00FC75F1"/>
    <w:rsid w:val="00FD0417"/>
    <w:rsid w:val="00FD0B06"/>
    <w:rsid w:val="00FD103B"/>
    <w:rsid w:val="00FD284A"/>
    <w:rsid w:val="00FD3CAD"/>
    <w:rsid w:val="00FD3DFA"/>
    <w:rsid w:val="00FD3FAD"/>
    <w:rsid w:val="00FD4167"/>
    <w:rsid w:val="00FD5767"/>
    <w:rsid w:val="00FD62AF"/>
    <w:rsid w:val="00FD6565"/>
    <w:rsid w:val="00FE0F3D"/>
    <w:rsid w:val="00FE1E1A"/>
    <w:rsid w:val="00FE4284"/>
    <w:rsid w:val="00FF0AD9"/>
    <w:rsid w:val="00FF230E"/>
    <w:rsid w:val="00FF2CCF"/>
    <w:rsid w:val="00FF308B"/>
    <w:rsid w:val="00FF5862"/>
    <w:rsid w:val="00FF7042"/>
    <w:rsid w:val="00FF7DE6"/>
    <w:rsid w:val="02EEFE2C"/>
    <w:rsid w:val="09F806A4"/>
    <w:rsid w:val="10394E87"/>
    <w:rsid w:val="179C52FE"/>
    <w:rsid w:val="1D02409A"/>
    <w:rsid w:val="27994E6B"/>
    <w:rsid w:val="361B8F5A"/>
    <w:rsid w:val="3AEF007D"/>
    <w:rsid w:val="624F9336"/>
    <w:rsid w:val="642E8986"/>
    <w:rsid w:val="66A55924"/>
    <w:rsid w:val="68412985"/>
    <w:rsid w:val="6B4AD0A6"/>
    <w:rsid w:val="7F732FC8"/>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4EE0B8"/>
  <w14:defaultImageDpi w14:val="330"/>
  <w15:docId w15:val="{7FD4D136-50C5-4989-B3B5-4ACD217500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val="en-US"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uiPriority w:val="99"/>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customStyle="1" w:styleId="apple-converted-space">
    <w:name w:val="apple-converted-space"/>
    <w:basedOn w:val="DefaultParagraphFont"/>
    <w:rsid w:val="005014E8"/>
  </w:style>
  <w:style w:type="character" w:customStyle="1" w:styleId="pbtoclink">
    <w:name w:val="pb_toc_link"/>
    <w:basedOn w:val="DefaultParagraphFont"/>
    <w:rsid w:val="003A75C1"/>
  </w:style>
  <w:style w:type="paragraph" w:styleId="NormalWeb">
    <w:name w:val="Normal (Web)"/>
    <w:basedOn w:val="Normal"/>
    <w:uiPriority w:val="99"/>
    <w:semiHidden/>
    <w:unhideWhenUsed/>
    <w:rsid w:val="001B647D"/>
    <w:pPr>
      <w:spacing w:before="100" w:beforeAutospacing="1" w:after="100" w:afterAutospacing="1" w:line="240" w:lineRule="auto"/>
      <w:jc w:val="left"/>
    </w:pPr>
    <w:rPr>
      <w:sz w:val="24"/>
      <w:lang w:eastAsia="en-US"/>
    </w:rPr>
  </w:style>
  <w:style w:type="character" w:customStyle="1" w:styleId="author">
    <w:name w:val="author"/>
    <w:basedOn w:val="DefaultParagraphFont"/>
    <w:rsid w:val="00DA513C"/>
  </w:style>
  <w:style w:type="character" w:customStyle="1" w:styleId="pubyear">
    <w:name w:val="pubyear"/>
    <w:basedOn w:val="DefaultParagraphFont"/>
    <w:rsid w:val="00DA513C"/>
  </w:style>
  <w:style w:type="character" w:customStyle="1" w:styleId="articletitle">
    <w:name w:val="articletitle"/>
    <w:basedOn w:val="DefaultParagraphFont"/>
    <w:rsid w:val="00DA513C"/>
  </w:style>
  <w:style w:type="character" w:customStyle="1" w:styleId="journaltitle">
    <w:name w:val="journaltitle"/>
    <w:basedOn w:val="DefaultParagraphFont"/>
    <w:rsid w:val="00DA513C"/>
  </w:style>
  <w:style w:type="character" w:customStyle="1" w:styleId="vol">
    <w:name w:val="vol"/>
    <w:basedOn w:val="DefaultParagraphFont"/>
    <w:rsid w:val="00DA513C"/>
  </w:style>
  <w:style w:type="character" w:customStyle="1" w:styleId="pbtoclink1">
    <w:name w:val="pb_toc_link1"/>
    <w:basedOn w:val="DefaultParagraphFont"/>
    <w:rsid w:val="00CA16AB"/>
    <w:rPr>
      <w:rFonts w:ascii="Verdana" w:hAnsi="Verdana" w:hint="default"/>
      <w:b w:val="0"/>
      <w:bCs w:val="0"/>
      <w:color w:val="000000"/>
      <w:sz w:val="18"/>
      <w:szCs w:val="18"/>
    </w:rPr>
  </w:style>
  <w:style w:type="character" w:styleId="FollowedHyperlink">
    <w:name w:val="FollowedHyperlink"/>
    <w:basedOn w:val="DefaultParagraphFont"/>
    <w:uiPriority w:val="99"/>
    <w:semiHidden/>
    <w:unhideWhenUsed/>
    <w:rsid w:val="00B70ECB"/>
    <w:rPr>
      <w:color w:val="800080" w:themeColor="followedHyperlink"/>
      <w:u w:val="single"/>
    </w:rPr>
  </w:style>
  <w:style w:type="character" w:styleId="HTMLCite">
    <w:name w:val="HTML Cite"/>
    <w:basedOn w:val="DefaultParagraphFont"/>
    <w:uiPriority w:val="99"/>
    <w:semiHidden/>
    <w:unhideWhenUsed/>
    <w:rsid w:val="00904D1F"/>
    <w:rPr>
      <w:i/>
      <w:iCs/>
    </w:rPr>
  </w:style>
  <w:style w:type="character" w:customStyle="1" w:styleId="citationvolume">
    <w:name w:val="citation_volume"/>
    <w:basedOn w:val="DefaultParagraphFont"/>
    <w:rsid w:val="00904D1F"/>
  </w:style>
  <w:style w:type="character" w:styleId="Strong">
    <w:name w:val="Strong"/>
    <w:basedOn w:val="DefaultParagraphFont"/>
    <w:uiPriority w:val="22"/>
    <w:qFormat/>
    <w:rsid w:val="00904D1F"/>
    <w:rPr>
      <w:b/>
      <w:bCs/>
    </w:rPr>
  </w:style>
  <w:style w:type="character" w:customStyle="1" w:styleId="citationyear">
    <w:name w:val="citation_year"/>
    <w:basedOn w:val="DefaultParagraphFont"/>
    <w:rsid w:val="000F11E6"/>
  </w:style>
  <w:style w:type="table" w:styleId="TableGrid">
    <w:name w:val="Table Grid"/>
    <w:basedOn w:val="TableNormal"/>
    <w:uiPriority w:val="59"/>
    <w:rsid w:val="002C143D"/>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gefirst">
    <w:name w:val="pagefirst"/>
    <w:basedOn w:val="DefaultParagraphFont"/>
    <w:rsid w:val="00164F80"/>
  </w:style>
  <w:style w:type="character" w:customStyle="1" w:styleId="pagelast">
    <w:name w:val="pagelast"/>
    <w:basedOn w:val="DefaultParagraphFont"/>
    <w:rsid w:val="00164F80"/>
  </w:style>
  <w:style w:type="character" w:styleId="Emphasis">
    <w:name w:val="Emphasis"/>
    <w:basedOn w:val="DefaultParagraphFont"/>
    <w:uiPriority w:val="20"/>
    <w:qFormat/>
    <w:rsid w:val="00291651"/>
    <w:rPr>
      <w:rFonts w:cs="Times New Roman"/>
      <w:i/>
      <w:iCs/>
    </w:rPr>
  </w:style>
  <w:style w:type="character" w:styleId="CommentReference">
    <w:name w:val="annotation reference"/>
    <w:basedOn w:val="DefaultParagraphFont"/>
    <w:uiPriority w:val="99"/>
    <w:semiHidden/>
    <w:unhideWhenUsed/>
    <w:rsid w:val="00920A9D"/>
    <w:rPr>
      <w:sz w:val="16"/>
      <w:szCs w:val="16"/>
    </w:rPr>
  </w:style>
  <w:style w:type="paragraph" w:styleId="CommentText">
    <w:name w:val="annotation text"/>
    <w:basedOn w:val="Normal"/>
    <w:link w:val="CommentTextChar"/>
    <w:uiPriority w:val="99"/>
    <w:semiHidden/>
    <w:unhideWhenUsed/>
    <w:rsid w:val="00920A9D"/>
    <w:pPr>
      <w:spacing w:line="240" w:lineRule="auto"/>
    </w:pPr>
    <w:rPr>
      <w:szCs w:val="20"/>
    </w:rPr>
  </w:style>
  <w:style w:type="character" w:customStyle="1" w:styleId="CommentTextChar">
    <w:name w:val="Comment Text Char"/>
    <w:basedOn w:val="DefaultParagraphFont"/>
    <w:link w:val="CommentText"/>
    <w:uiPriority w:val="99"/>
    <w:semiHidden/>
    <w:rsid w:val="00920A9D"/>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920A9D"/>
    <w:rPr>
      <w:b/>
      <w:bCs/>
    </w:rPr>
  </w:style>
  <w:style w:type="character" w:customStyle="1" w:styleId="CommentSubjectChar">
    <w:name w:val="Comment Subject Char"/>
    <w:basedOn w:val="CommentTextChar"/>
    <w:link w:val="CommentSubject"/>
    <w:uiPriority w:val="99"/>
    <w:semiHidden/>
    <w:rsid w:val="00920A9D"/>
    <w:rPr>
      <w:rFonts w:ascii="Times New Roman" w:eastAsia="Times New Roman" w:hAnsi="Times New Roman"/>
      <w:b/>
      <w:bCs/>
      <w:lang w:eastAsia="de-DE"/>
    </w:rPr>
  </w:style>
  <w:style w:type="character" w:styleId="UnresolvedMention">
    <w:name w:val="Unresolved Mention"/>
    <w:basedOn w:val="DefaultParagraphFont"/>
    <w:uiPriority w:val="99"/>
    <w:semiHidden/>
    <w:unhideWhenUsed/>
    <w:rsid w:val="003A25B7"/>
    <w:rPr>
      <w:color w:val="605E5C"/>
      <w:shd w:val="clear" w:color="auto" w:fill="E1DFDD"/>
    </w:rPr>
  </w:style>
  <w:style w:type="character" w:customStyle="1" w:styleId="groupname">
    <w:name w:val="groupname"/>
    <w:basedOn w:val="DefaultParagraphFont"/>
    <w:rsid w:val="00E547CF"/>
  </w:style>
  <w:style w:type="character" w:customStyle="1" w:styleId="booktitle">
    <w:name w:val="booktitle"/>
    <w:basedOn w:val="DefaultParagraphFont"/>
    <w:rsid w:val="00E547CF"/>
  </w:style>
  <w:style w:type="character" w:customStyle="1" w:styleId="editor">
    <w:name w:val="editor"/>
    <w:basedOn w:val="DefaultParagraphFont"/>
    <w:rsid w:val="00E547CF"/>
  </w:style>
  <w:style w:type="character" w:customStyle="1" w:styleId="publisherlocation">
    <w:name w:val="publisherlocation"/>
    <w:basedOn w:val="DefaultParagraphFont"/>
    <w:rsid w:val="00E547CF"/>
  </w:style>
  <w:style w:type="character" w:customStyle="1" w:styleId="a">
    <w:name w:val="_"/>
    <w:basedOn w:val="DefaultParagraphFont"/>
    <w:rsid w:val="00E547CF"/>
  </w:style>
  <w:style w:type="character" w:customStyle="1" w:styleId="lsab">
    <w:name w:val="lsab"/>
    <w:basedOn w:val="DefaultParagraphFont"/>
    <w:rsid w:val="00E547CF"/>
  </w:style>
  <w:style w:type="character" w:customStyle="1" w:styleId="ff4">
    <w:name w:val="ff4"/>
    <w:basedOn w:val="DefaultParagraphFont"/>
    <w:rsid w:val="00E547CF"/>
  </w:style>
  <w:style w:type="character" w:customStyle="1" w:styleId="ff2">
    <w:name w:val="ff2"/>
    <w:basedOn w:val="DefaultParagraphFont"/>
    <w:rsid w:val="00E547CF"/>
  </w:style>
  <w:style w:type="character" w:customStyle="1" w:styleId="ff3">
    <w:name w:val="ff3"/>
    <w:basedOn w:val="DefaultParagraphFont"/>
    <w:rsid w:val="00E547CF"/>
  </w:style>
  <w:style w:type="paragraph" w:customStyle="1" w:styleId="Default">
    <w:name w:val="Default"/>
    <w:rsid w:val="00D93E5A"/>
    <w:pPr>
      <w:autoSpaceDE w:val="0"/>
      <w:autoSpaceDN w:val="0"/>
      <w:adjustRightInd w:val="0"/>
    </w:pPr>
    <w:rPr>
      <w:rFonts w:ascii="M+ 2p regular" w:hAnsi="M+ 2p regular" w:cs="M+ 2p regular"/>
      <w:color w:val="000000"/>
      <w:sz w:val="24"/>
      <w:szCs w:val="24"/>
      <w:lang w:val="en-US"/>
    </w:rPr>
  </w:style>
  <w:style w:type="character" w:customStyle="1" w:styleId="A2">
    <w:name w:val="A2"/>
    <w:uiPriority w:val="99"/>
    <w:rsid w:val="00CC6295"/>
    <w:rPr>
      <w:rFonts w:cs="Memento"/>
      <w:color w:val="211D1E"/>
      <w:sz w:val="11"/>
      <w:szCs w:val="11"/>
    </w:rPr>
  </w:style>
  <w:style w:type="character" w:customStyle="1" w:styleId="uri">
    <w:name w:val="uri"/>
    <w:basedOn w:val="DefaultParagraphFont"/>
    <w:rsid w:val="00707B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187339">
      <w:bodyDiv w:val="1"/>
      <w:marLeft w:val="0"/>
      <w:marRight w:val="0"/>
      <w:marTop w:val="0"/>
      <w:marBottom w:val="0"/>
      <w:divBdr>
        <w:top w:val="none" w:sz="0" w:space="0" w:color="auto"/>
        <w:left w:val="none" w:sz="0" w:space="0" w:color="auto"/>
        <w:bottom w:val="none" w:sz="0" w:space="0" w:color="auto"/>
        <w:right w:val="none" w:sz="0" w:space="0" w:color="auto"/>
      </w:divBdr>
    </w:div>
    <w:div w:id="280495805">
      <w:bodyDiv w:val="1"/>
      <w:marLeft w:val="0"/>
      <w:marRight w:val="0"/>
      <w:marTop w:val="0"/>
      <w:marBottom w:val="0"/>
      <w:divBdr>
        <w:top w:val="none" w:sz="0" w:space="0" w:color="auto"/>
        <w:left w:val="none" w:sz="0" w:space="0" w:color="auto"/>
        <w:bottom w:val="none" w:sz="0" w:space="0" w:color="auto"/>
        <w:right w:val="none" w:sz="0" w:space="0" w:color="auto"/>
      </w:divBdr>
      <w:divsChild>
        <w:div w:id="969441003">
          <w:marLeft w:val="0"/>
          <w:marRight w:val="0"/>
          <w:marTop w:val="0"/>
          <w:marBottom w:val="0"/>
          <w:divBdr>
            <w:top w:val="none" w:sz="0" w:space="0" w:color="auto"/>
            <w:left w:val="none" w:sz="0" w:space="0" w:color="auto"/>
            <w:bottom w:val="none" w:sz="0" w:space="0" w:color="auto"/>
            <w:right w:val="none" w:sz="0" w:space="0" w:color="auto"/>
          </w:divBdr>
        </w:div>
        <w:div w:id="846334119">
          <w:marLeft w:val="0"/>
          <w:marRight w:val="0"/>
          <w:marTop w:val="0"/>
          <w:marBottom w:val="0"/>
          <w:divBdr>
            <w:top w:val="none" w:sz="0" w:space="0" w:color="auto"/>
            <w:left w:val="none" w:sz="0" w:space="0" w:color="auto"/>
            <w:bottom w:val="none" w:sz="0" w:space="0" w:color="auto"/>
            <w:right w:val="none" w:sz="0" w:space="0" w:color="auto"/>
          </w:divBdr>
        </w:div>
        <w:div w:id="1798452311">
          <w:marLeft w:val="0"/>
          <w:marRight w:val="0"/>
          <w:marTop w:val="0"/>
          <w:marBottom w:val="0"/>
          <w:divBdr>
            <w:top w:val="none" w:sz="0" w:space="0" w:color="auto"/>
            <w:left w:val="none" w:sz="0" w:space="0" w:color="auto"/>
            <w:bottom w:val="none" w:sz="0" w:space="0" w:color="auto"/>
            <w:right w:val="none" w:sz="0" w:space="0" w:color="auto"/>
          </w:divBdr>
        </w:div>
      </w:divsChild>
    </w:div>
    <w:div w:id="296376544">
      <w:bodyDiv w:val="1"/>
      <w:marLeft w:val="0"/>
      <w:marRight w:val="0"/>
      <w:marTop w:val="0"/>
      <w:marBottom w:val="0"/>
      <w:divBdr>
        <w:top w:val="none" w:sz="0" w:space="0" w:color="auto"/>
        <w:left w:val="none" w:sz="0" w:space="0" w:color="auto"/>
        <w:bottom w:val="none" w:sz="0" w:space="0" w:color="auto"/>
        <w:right w:val="none" w:sz="0" w:space="0" w:color="auto"/>
      </w:divBdr>
      <w:divsChild>
        <w:div w:id="975061325">
          <w:marLeft w:val="0"/>
          <w:marRight w:val="0"/>
          <w:marTop w:val="0"/>
          <w:marBottom w:val="0"/>
          <w:divBdr>
            <w:top w:val="none" w:sz="0" w:space="0" w:color="auto"/>
            <w:left w:val="none" w:sz="0" w:space="0" w:color="auto"/>
            <w:bottom w:val="none" w:sz="0" w:space="0" w:color="auto"/>
            <w:right w:val="none" w:sz="0" w:space="0" w:color="auto"/>
          </w:divBdr>
          <w:divsChild>
            <w:div w:id="306397223">
              <w:marLeft w:val="0"/>
              <w:marRight w:val="0"/>
              <w:marTop w:val="0"/>
              <w:marBottom w:val="0"/>
              <w:divBdr>
                <w:top w:val="none" w:sz="0" w:space="0" w:color="auto"/>
                <w:left w:val="none" w:sz="0" w:space="0" w:color="auto"/>
                <w:bottom w:val="none" w:sz="0" w:space="0" w:color="auto"/>
                <w:right w:val="none" w:sz="0" w:space="0" w:color="auto"/>
              </w:divBdr>
            </w:div>
          </w:divsChild>
        </w:div>
        <w:div w:id="894973916">
          <w:marLeft w:val="0"/>
          <w:marRight w:val="0"/>
          <w:marTop w:val="0"/>
          <w:marBottom w:val="0"/>
          <w:divBdr>
            <w:top w:val="none" w:sz="0" w:space="0" w:color="auto"/>
            <w:left w:val="none" w:sz="0" w:space="0" w:color="auto"/>
            <w:bottom w:val="none" w:sz="0" w:space="0" w:color="auto"/>
            <w:right w:val="none" w:sz="0" w:space="0" w:color="auto"/>
          </w:divBdr>
        </w:div>
      </w:divsChild>
    </w:div>
    <w:div w:id="355616113">
      <w:bodyDiv w:val="1"/>
      <w:marLeft w:val="0"/>
      <w:marRight w:val="0"/>
      <w:marTop w:val="0"/>
      <w:marBottom w:val="0"/>
      <w:divBdr>
        <w:top w:val="none" w:sz="0" w:space="0" w:color="auto"/>
        <w:left w:val="none" w:sz="0" w:space="0" w:color="auto"/>
        <w:bottom w:val="none" w:sz="0" w:space="0" w:color="auto"/>
        <w:right w:val="none" w:sz="0" w:space="0" w:color="auto"/>
      </w:divBdr>
    </w:div>
    <w:div w:id="379987376">
      <w:bodyDiv w:val="1"/>
      <w:marLeft w:val="0"/>
      <w:marRight w:val="0"/>
      <w:marTop w:val="0"/>
      <w:marBottom w:val="0"/>
      <w:divBdr>
        <w:top w:val="none" w:sz="0" w:space="0" w:color="auto"/>
        <w:left w:val="none" w:sz="0" w:space="0" w:color="auto"/>
        <w:bottom w:val="none" w:sz="0" w:space="0" w:color="auto"/>
        <w:right w:val="none" w:sz="0" w:space="0" w:color="auto"/>
      </w:divBdr>
      <w:divsChild>
        <w:div w:id="1493764524">
          <w:marLeft w:val="0"/>
          <w:marRight w:val="0"/>
          <w:marTop w:val="0"/>
          <w:marBottom w:val="0"/>
          <w:divBdr>
            <w:top w:val="none" w:sz="0" w:space="0" w:color="auto"/>
            <w:left w:val="none" w:sz="0" w:space="0" w:color="auto"/>
            <w:bottom w:val="none" w:sz="0" w:space="0" w:color="auto"/>
            <w:right w:val="none" w:sz="0" w:space="0" w:color="auto"/>
          </w:divBdr>
        </w:div>
      </w:divsChild>
    </w:div>
    <w:div w:id="476536301">
      <w:bodyDiv w:val="1"/>
      <w:marLeft w:val="0"/>
      <w:marRight w:val="0"/>
      <w:marTop w:val="0"/>
      <w:marBottom w:val="0"/>
      <w:divBdr>
        <w:top w:val="none" w:sz="0" w:space="0" w:color="auto"/>
        <w:left w:val="none" w:sz="0" w:space="0" w:color="auto"/>
        <w:bottom w:val="none" w:sz="0" w:space="0" w:color="auto"/>
        <w:right w:val="none" w:sz="0" w:space="0" w:color="auto"/>
      </w:divBdr>
      <w:divsChild>
        <w:div w:id="89816113">
          <w:marLeft w:val="0"/>
          <w:marRight w:val="0"/>
          <w:marTop w:val="0"/>
          <w:marBottom w:val="0"/>
          <w:divBdr>
            <w:top w:val="none" w:sz="0" w:space="0" w:color="auto"/>
            <w:left w:val="none" w:sz="0" w:space="0" w:color="auto"/>
            <w:bottom w:val="none" w:sz="0" w:space="0" w:color="auto"/>
            <w:right w:val="none" w:sz="0" w:space="0" w:color="auto"/>
          </w:divBdr>
        </w:div>
      </w:divsChild>
    </w:div>
    <w:div w:id="596014272">
      <w:bodyDiv w:val="1"/>
      <w:marLeft w:val="0"/>
      <w:marRight w:val="0"/>
      <w:marTop w:val="0"/>
      <w:marBottom w:val="0"/>
      <w:divBdr>
        <w:top w:val="none" w:sz="0" w:space="0" w:color="auto"/>
        <w:left w:val="none" w:sz="0" w:space="0" w:color="auto"/>
        <w:bottom w:val="none" w:sz="0" w:space="0" w:color="auto"/>
        <w:right w:val="none" w:sz="0" w:space="0" w:color="auto"/>
      </w:divBdr>
      <w:divsChild>
        <w:div w:id="101463780">
          <w:marLeft w:val="0"/>
          <w:marRight w:val="0"/>
          <w:marTop w:val="0"/>
          <w:marBottom w:val="0"/>
          <w:divBdr>
            <w:top w:val="none" w:sz="0" w:space="0" w:color="auto"/>
            <w:left w:val="none" w:sz="0" w:space="0" w:color="auto"/>
            <w:bottom w:val="none" w:sz="0" w:space="0" w:color="auto"/>
            <w:right w:val="none" w:sz="0" w:space="0" w:color="auto"/>
          </w:divBdr>
        </w:div>
        <w:div w:id="1634209326">
          <w:marLeft w:val="0"/>
          <w:marRight w:val="0"/>
          <w:marTop w:val="0"/>
          <w:marBottom w:val="0"/>
          <w:divBdr>
            <w:top w:val="none" w:sz="0" w:space="0" w:color="auto"/>
            <w:left w:val="none" w:sz="0" w:space="0" w:color="auto"/>
            <w:bottom w:val="none" w:sz="0" w:space="0" w:color="auto"/>
            <w:right w:val="none" w:sz="0" w:space="0" w:color="auto"/>
          </w:divBdr>
        </w:div>
        <w:div w:id="19212253">
          <w:marLeft w:val="0"/>
          <w:marRight w:val="0"/>
          <w:marTop w:val="0"/>
          <w:marBottom w:val="0"/>
          <w:divBdr>
            <w:top w:val="none" w:sz="0" w:space="0" w:color="auto"/>
            <w:left w:val="none" w:sz="0" w:space="0" w:color="auto"/>
            <w:bottom w:val="none" w:sz="0" w:space="0" w:color="auto"/>
            <w:right w:val="none" w:sz="0" w:space="0" w:color="auto"/>
          </w:divBdr>
        </w:div>
        <w:div w:id="1863323109">
          <w:marLeft w:val="0"/>
          <w:marRight w:val="0"/>
          <w:marTop w:val="0"/>
          <w:marBottom w:val="0"/>
          <w:divBdr>
            <w:top w:val="none" w:sz="0" w:space="0" w:color="auto"/>
            <w:left w:val="none" w:sz="0" w:space="0" w:color="auto"/>
            <w:bottom w:val="none" w:sz="0" w:space="0" w:color="auto"/>
            <w:right w:val="none" w:sz="0" w:space="0" w:color="auto"/>
          </w:divBdr>
        </w:div>
        <w:div w:id="440613433">
          <w:marLeft w:val="0"/>
          <w:marRight w:val="0"/>
          <w:marTop w:val="0"/>
          <w:marBottom w:val="0"/>
          <w:divBdr>
            <w:top w:val="none" w:sz="0" w:space="0" w:color="auto"/>
            <w:left w:val="none" w:sz="0" w:space="0" w:color="auto"/>
            <w:bottom w:val="none" w:sz="0" w:space="0" w:color="auto"/>
            <w:right w:val="none" w:sz="0" w:space="0" w:color="auto"/>
          </w:divBdr>
        </w:div>
        <w:div w:id="1140423574">
          <w:marLeft w:val="0"/>
          <w:marRight w:val="0"/>
          <w:marTop w:val="0"/>
          <w:marBottom w:val="0"/>
          <w:divBdr>
            <w:top w:val="none" w:sz="0" w:space="0" w:color="auto"/>
            <w:left w:val="none" w:sz="0" w:space="0" w:color="auto"/>
            <w:bottom w:val="none" w:sz="0" w:space="0" w:color="auto"/>
            <w:right w:val="none" w:sz="0" w:space="0" w:color="auto"/>
          </w:divBdr>
        </w:div>
        <w:div w:id="1219126637">
          <w:marLeft w:val="0"/>
          <w:marRight w:val="0"/>
          <w:marTop w:val="0"/>
          <w:marBottom w:val="0"/>
          <w:divBdr>
            <w:top w:val="none" w:sz="0" w:space="0" w:color="auto"/>
            <w:left w:val="none" w:sz="0" w:space="0" w:color="auto"/>
            <w:bottom w:val="none" w:sz="0" w:space="0" w:color="auto"/>
            <w:right w:val="none" w:sz="0" w:space="0" w:color="auto"/>
          </w:divBdr>
        </w:div>
        <w:div w:id="474876110">
          <w:marLeft w:val="0"/>
          <w:marRight w:val="0"/>
          <w:marTop w:val="0"/>
          <w:marBottom w:val="0"/>
          <w:divBdr>
            <w:top w:val="none" w:sz="0" w:space="0" w:color="auto"/>
            <w:left w:val="none" w:sz="0" w:space="0" w:color="auto"/>
            <w:bottom w:val="none" w:sz="0" w:space="0" w:color="auto"/>
            <w:right w:val="none" w:sz="0" w:space="0" w:color="auto"/>
          </w:divBdr>
        </w:div>
        <w:div w:id="1073239358">
          <w:marLeft w:val="0"/>
          <w:marRight w:val="0"/>
          <w:marTop w:val="0"/>
          <w:marBottom w:val="0"/>
          <w:divBdr>
            <w:top w:val="none" w:sz="0" w:space="0" w:color="auto"/>
            <w:left w:val="none" w:sz="0" w:space="0" w:color="auto"/>
            <w:bottom w:val="none" w:sz="0" w:space="0" w:color="auto"/>
            <w:right w:val="none" w:sz="0" w:space="0" w:color="auto"/>
          </w:divBdr>
        </w:div>
        <w:div w:id="1361710498">
          <w:marLeft w:val="0"/>
          <w:marRight w:val="0"/>
          <w:marTop w:val="0"/>
          <w:marBottom w:val="0"/>
          <w:divBdr>
            <w:top w:val="none" w:sz="0" w:space="0" w:color="auto"/>
            <w:left w:val="none" w:sz="0" w:space="0" w:color="auto"/>
            <w:bottom w:val="none" w:sz="0" w:space="0" w:color="auto"/>
            <w:right w:val="none" w:sz="0" w:space="0" w:color="auto"/>
          </w:divBdr>
        </w:div>
        <w:div w:id="91319804">
          <w:marLeft w:val="0"/>
          <w:marRight w:val="0"/>
          <w:marTop w:val="0"/>
          <w:marBottom w:val="0"/>
          <w:divBdr>
            <w:top w:val="none" w:sz="0" w:space="0" w:color="auto"/>
            <w:left w:val="none" w:sz="0" w:space="0" w:color="auto"/>
            <w:bottom w:val="none" w:sz="0" w:space="0" w:color="auto"/>
            <w:right w:val="none" w:sz="0" w:space="0" w:color="auto"/>
          </w:divBdr>
        </w:div>
        <w:div w:id="345905592">
          <w:marLeft w:val="0"/>
          <w:marRight w:val="0"/>
          <w:marTop w:val="0"/>
          <w:marBottom w:val="0"/>
          <w:divBdr>
            <w:top w:val="none" w:sz="0" w:space="0" w:color="auto"/>
            <w:left w:val="none" w:sz="0" w:space="0" w:color="auto"/>
            <w:bottom w:val="none" w:sz="0" w:space="0" w:color="auto"/>
            <w:right w:val="none" w:sz="0" w:space="0" w:color="auto"/>
          </w:divBdr>
        </w:div>
        <w:div w:id="943536436">
          <w:marLeft w:val="0"/>
          <w:marRight w:val="0"/>
          <w:marTop w:val="0"/>
          <w:marBottom w:val="0"/>
          <w:divBdr>
            <w:top w:val="none" w:sz="0" w:space="0" w:color="auto"/>
            <w:left w:val="none" w:sz="0" w:space="0" w:color="auto"/>
            <w:bottom w:val="none" w:sz="0" w:space="0" w:color="auto"/>
            <w:right w:val="none" w:sz="0" w:space="0" w:color="auto"/>
          </w:divBdr>
        </w:div>
      </w:divsChild>
    </w:div>
    <w:div w:id="1010183184">
      <w:bodyDiv w:val="1"/>
      <w:marLeft w:val="0"/>
      <w:marRight w:val="0"/>
      <w:marTop w:val="0"/>
      <w:marBottom w:val="0"/>
      <w:divBdr>
        <w:top w:val="none" w:sz="0" w:space="0" w:color="auto"/>
        <w:left w:val="none" w:sz="0" w:space="0" w:color="auto"/>
        <w:bottom w:val="none" w:sz="0" w:space="0" w:color="auto"/>
        <w:right w:val="none" w:sz="0" w:space="0" w:color="auto"/>
      </w:divBdr>
      <w:divsChild>
        <w:div w:id="1030643977">
          <w:marLeft w:val="87"/>
          <w:marRight w:val="87"/>
          <w:marTop w:val="0"/>
          <w:marBottom w:val="0"/>
          <w:divBdr>
            <w:top w:val="none" w:sz="0" w:space="0" w:color="auto"/>
            <w:left w:val="none" w:sz="0" w:space="0" w:color="auto"/>
            <w:bottom w:val="none" w:sz="0" w:space="0" w:color="auto"/>
            <w:right w:val="none" w:sz="0" w:space="0" w:color="auto"/>
          </w:divBdr>
          <w:divsChild>
            <w:div w:id="2016954678">
              <w:marLeft w:val="0"/>
              <w:marRight w:val="0"/>
              <w:marTop w:val="0"/>
              <w:marBottom w:val="0"/>
              <w:divBdr>
                <w:top w:val="none" w:sz="0" w:space="0" w:color="auto"/>
                <w:left w:val="none" w:sz="0" w:space="0" w:color="auto"/>
                <w:bottom w:val="none" w:sz="0" w:space="0" w:color="auto"/>
                <w:right w:val="none" w:sz="0" w:space="0" w:color="auto"/>
              </w:divBdr>
              <w:divsChild>
                <w:div w:id="1878277941">
                  <w:marLeft w:val="0"/>
                  <w:marRight w:val="0"/>
                  <w:marTop w:val="0"/>
                  <w:marBottom w:val="0"/>
                  <w:divBdr>
                    <w:top w:val="none" w:sz="0" w:space="0" w:color="auto"/>
                    <w:left w:val="none" w:sz="0" w:space="0" w:color="auto"/>
                    <w:bottom w:val="none" w:sz="0" w:space="0" w:color="auto"/>
                    <w:right w:val="none" w:sz="0" w:space="0" w:color="auto"/>
                  </w:divBdr>
                  <w:divsChild>
                    <w:div w:id="1563562342">
                      <w:marLeft w:val="0"/>
                      <w:marRight w:val="0"/>
                      <w:marTop w:val="0"/>
                      <w:marBottom w:val="0"/>
                      <w:divBdr>
                        <w:top w:val="none" w:sz="0" w:space="0" w:color="auto"/>
                        <w:left w:val="none" w:sz="0" w:space="0" w:color="auto"/>
                        <w:bottom w:val="none" w:sz="0" w:space="0" w:color="auto"/>
                        <w:right w:val="none" w:sz="0" w:space="0" w:color="auto"/>
                      </w:divBdr>
                      <w:divsChild>
                        <w:div w:id="1185290975">
                          <w:marLeft w:val="0"/>
                          <w:marRight w:val="0"/>
                          <w:marTop w:val="0"/>
                          <w:marBottom w:val="0"/>
                          <w:divBdr>
                            <w:top w:val="none" w:sz="0" w:space="0" w:color="auto"/>
                            <w:left w:val="none" w:sz="0" w:space="0" w:color="auto"/>
                            <w:bottom w:val="none" w:sz="0" w:space="0" w:color="auto"/>
                            <w:right w:val="none" w:sz="0" w:space="0" w:color="auto"/>
                          </w:divBdr>
                          <w:divsChild>
                            <w:div w:id="623119266">
                              <w:marLeft w:val="0"/>
                              <w:marRight w:val="0"/>
                              <w:marTop w:val="0"/>
                              <w:marBottom w:val="0"/>
                              <w:divBdr>
                                <w:top w:val="none" w:sz="0" w:space="0" w:color="auto"/>
                                <w:left w:val="none" w:sz="0" w:space="0" w:color="auto"/>
                                <w:bottom w:val="none" w:sz="0" w:space="0" w:color="auto"/>
                                <w:right w:val="none" w:sz="0" w:space="0" w:color="auto"/>
                              </w:divBdr>
                              <w:divsChild>
                                <w:div w:id="467816651">
                                  <w:marLeft w:val="0"/>
                                  <w:marRight w:val="0"/>
                                  <w:marTop w:val="0"/>
                                  <w:marBottom w:val="0"/>
                                  <w:divBdr>
                                    <w:top w:val="none" w:sz="0" w:space="0" w:color="auto"/>
                                    <w:left w:val="none" w:sz="0" w:space="0" w:color="auto"/>
                                    <w:bottom w:val="none" w:sz="0" w:space="0" w:color="auto"/>
                                    <w:right w:val="none" w:sz="0" w:space="0" w:color="auto"/>
                                  </w:divBdr>
                                  <w:divsChild>
                                    <w:div w:id="1523472838">
                                      <w:marLeft w:val="0"/>
                                      <w:marRight w:val="0"/>
                                      <w:marTop w:val="0"/>
                                      <w:marBottom w:val="0"/>
                                      <w:divBdr>
                                        <w:top w:val="none" w:sz="0" w:space="0" w:color="auto"/>
                                        <w:left w:val="none" w:sz="0" w:space="0" w:color="auto"/>
                                        <w:bottom w:val="none" w:sz="0" w:space="0" w:color="auto"/>
                                        <w:right w:val="none" w:sz="0" w:space="0" w:color="auto"/>
                                      </w:divBdr>
                                      <w:divsChild>
                                        <w:div w:id="437336627">
                                          <w:marLeft w:val="0"/>
                                          <w:marRight w:val="0"/>
                                          <w:marTop w:val="0"/>
                                          <w:marBottom w:val="0"/>
                                          <w:divBdr>
                                            <w:top w:val="none" w:sz="0" w:space="0" w:color="auto"/>
                                            <w:left w:val="none" w:sz="0" w:space="0" w:color="auto"/>
                                            <w:bottom w:val="none" w:sz="0" w:space="0" w:color="auto"/>
                                            <w:right w:val="none" w:sz="0" w:space="0" w:color="auto"/>
                                          </w:divBdr>
                                          <w:divsChild>
                                            <w:div w:id="967468844">
                                              <w:marLeft w:val="0"/>
                                              <w:marRight w:val="0"/>
                                              <w:marTop w:val="0"/>
                                              <w:marBottom w:val="0"/>
                                              <w:divBdr>
                                                <w:top w:val="none" w:sz="0" w:space="0" w:color="auto"/>
                                                <w:left w:val="none" w:sz="0" w:space="0" w:color="auto"/>
                                                <w:bottom w:val="none" w:sz="0" w:space="0" w:color="auto"/>
                                                <w:right w:val="none" w:sz="0" w:space="0" w:color="auto"/>
                                              </w:divBdr>
                                              <w:divsChild>
                                                <w:div w:id="774715791">
                                                  <w:marLeft w:val="0"/>
                                                  <w:marRight w:val="0"/>
                                                  <w:marTop w:val="0"/>
                                                  <w:marBottom w:val="0"/>
                                                  <w:divBdr>
                                                    <w:top w:val="none" w:sz="0" w:space="0" w:color="auto"/>
                                                    <w:left w:val="none" w:sz="0" w:space="0" w:color="auto"/>
                                                    <w:bottom w:val="none" w:sz="0" w:space="0" w:color="auto"/>
                                                    <w:right w:val="none" w:sz="0" w:space="0" w:color="auto"/>
                                                  </w:divBdr>
                                                  <w:divsChild>
                                                    <w:div w:id="844637518">
                                                      <w:marLeft w:val="0"/>
                                                      <w:marRight w:val="0"/>
                                                      <w:marTop w:val="0"/>
                                                      <w:marBottom w:val="0"/>
                                                      <w:divBdr>
                                                        <w:top w:val="none" w:sz="0" w:space="0" w:color="auto"/>
                                                        <w:left w:val="none" w:sz="0" w:space="0" w:color="auto"/>
                                                        <w:bottom w:val="none" w:sz="0" w:space="0" w:color="auto"/>
                                                        <w:right w:val="none" w:sz="0" w:space="0" w:color="auto"/>
                                                      </w:divBdr>
                                                      <w:divsChild>
                                                        <w:div w:id="830874681">
                                                          <w:marLeft w:val="0"/>
                                                          <w:marRight w:val="0"/>
                                                          <w:marTop w:val="0"/>
                                                          <w:marBottom w:val="0"/>
                                                          <w:divBdr>
                                                            <w:top w:val="none" w:sz="0" w:space="0" w:color="auto"/>
                                                            <w:left w:val="none" w:sz="0" w:space="0" w:color="auto"/>
                                                            <w:bottom w:val="none" w:sz="0" w:space="0" w:color="auto"/>
                                                            <w:right w:val="none" w:sz="0" w:space="0" w:color="auto"/>
                                                          </w:divBdr>
                                                          <w:divsChild>
                                                            <w:div w:id="2124038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74568505">
      <w:bodyDiv w:val="1"/>
      <w:marLeft w:val="0"/>
      <w:marRight w:val="0"/>
      <w:marTop w:val="0"/>
      <w:marBottom w:val="0"/>
      <w:divBdr>
        <w:top w:val="none" w:sz="0" w:space="0" w:color="auto"/>
        <w:left w:val="none" w:sz="0" w:space="0" w:color="auto"/>
        <w:bottom w:val="none" w:sz="0" w:space="0" w:color="auto"/>
        <w:right w:val="none" w:sz="0" w:space="0" w:color="auto"/>
      </w:divBdr>
      <w:divsChild>
        <w:div w:id="455566403">
          <w:marLeft w:val="0"/>
          <w:marRight w:val="0"/>
          <w:marTop w:val="0"/>
          <w:marBottom w:val="0"/>
          <w:divBdr>
            <w:top w:val="none" w:sz="0" w:space="0" w:color="auto"/>
            <w:left w:val="none" w:sz="0" w:space="0" w:color="auto"/>
            <w:bottom w:val="none" w:sz="0" w:space="0" w:color="auto"/>
            <w:right w:val="none" w:sz="0" w:space="0" w:color="auto"/>
          </w:divBdr>
        </w:div>
        <w:div w:id="2030443231">
          <w:marLeft w:val="0"/>
          <w:marRight w:val="0"/>
          <w:marTop w:val="0"/>
          <w:marBottom w:val="0"/>
          <w:divBdr>
            <w:top w:val="none" w:sz="0" w:space="0" w:color="auto"/>
            <w:left w:val="none" w:sz="0" w:space="0" w:color="auto"/>
            <w:bottom w:val="none" w:sz="0" w:space="0" w:color="auto"/>
            <w:right w:val="none" w:sz="0" w:space="0" w:color="auto"/>
          </w:divBdr>
        </w:div>
        <w:div w:id="1826315920">
          <w:marLeft w:val="0"/>
          <w:marRight w:val="0"/>
          <w:marTop w:val="0"/>
          <w:marBottom w:val="0"/>
          <w:divBdr>
            <w:top w:val="none" w:sz="0" w:space="0" w:color="auto"/>
            <w:left w:val="none" w:sz="0" w:space="0" w:color="auto"/>
            <w:bottom w:val="none" w:sz="0" w:space="0" w:color="auto"/>
            <w:right w:val="none" w:sz="0" w:space="0" w:color="auto"/>
          </w:divBdr>
        </w:div>
      </w:divsChild>
    </w:div>
    <w:div w:id="1649702097">
      <w:bodyDiv w:val="1"/>
      <w:marLeft w:val="0"/>
      <w:marRight w:val="0"/>
      <w:marTop w:val="0"/>
      <w:marBottom w:val="0"/>
      <w:divBdr>
        <w:top w:val="none" w:sz="0" w:space="0" w:color="auto"/>
        <w:left w:val="none" w:sz="0" w:space="0" w:color="auto"/>
        <w:bottom w:val="none" w:sz="0" w:space="0" w:color="auto"/>
        <w:right w:val="none" w:sz="0" w:space="0" w:color="auto"/>
      </w:divBdr>
      <w:divsChild>
        <w:div w:id="2127044293">
          <w:marLeft w:val="0"/>
          <w:marRight w:val="0"/>
          <w:marTop w:val="0"/>
          <w:marBottom w:val="0"/>
          <w:divBdr>
            <w:top w:val="none" w:sz="0" w:space="0" w:color="auto"/>
            <w:left w:val="none" w:sz="0" w:space="0" w:color="auto"/>
            <w:bottom w:val="none" w:sz="0" w:space="0" w:color="auto"/>
            <w:right w:val="none" w:sz="0" w:space="0" w:color="auto"/>
          </w:divBdr>
        </w:div>
        <w:div w:id="1936589963">
          <w:marLeft w:val="0"/>
          <w:marRight w:val="0"/>
          <w:marTop w:val="0"/>
          <w:marBottom w:val="0"/>
          <w:divBdr>
            <w:top w:val="none" w:sz="0" w:space="0" w:color="auto"/>
            <w:left w:val="none" w:sz="0" w:space="0" w:color="auto"/>
            <w:bottom w:val="none" w:sz="0" w:space="0" w:color="auto"/>
            <w:right w:val="none" w:sz="0" w:space="0" w:color="auto"/>
          </w:divBdr>
        </w:div>
      </w:divsChild>
    </w:div>
    <w:div w:id="1774090182">
      <w:bodyDiv w:val="1"/>
      <w:marLeft w:val="0"/>
      <w:marRight w:val="0"/>
      <w:marTop w:val="0"/>
      <w:marBottom w:val="0"/>
      <w:divBdr>
        <w:top w:val="none" w:sz="0" w:space="0" w:color="auto"/>
        <w:left w:val="none" w:sz="0" w:space="0" w:color="auto"/>
        <w:bottom w:val="none" w:sz="0" w:space="0" w:color="auto"/>
        <w:right w:val="none" w:sz="0" w:space="0" w:color="auto"/>
      </w:divBdr>
      <w:divsChild>
        <w:div w:id="1668240342">
          <w:marLeft w:val="0"/>
          <w:marRight w:val="0"/>
          <w:marTop w:val="0"/>
          <w:marBottom w:val="0"/>
          <w:divBdr>
            <w:top w:val="none" w:sz="0" w:space="0" w:color="auto"/>
            <w:left w:val="none" w:sz="0" w:space="0" w:color="auto"/>
            <w:bottom w:val="none" w:sz="0" w:space="0" w:color="auto"/>
            <w:right w:val="none" w:sz="0" w:space="0" w:color="auto"/>
          </w:divBdr>
          <w:divsChild>
            <w:div w:id="1317221105">
              <w:marLeft w:val="0"/>
              <w:marRight w:val="0"/>
              <w:marTop w:val="0"/>
              <w:marBottom w:val="0"/>
              <w:divBdr>
                <w:top w:val="none" w:sz="0" w:space="0" w:color="auto"/>
                <w:left w:val="none" w:sz="0" w:space="0" w:color="auto"/>
                <w:bottom w:val="none" w:sz="0" w:space="0" w:color="auto"/>
                <w:right w:val="none" w:sz="0" w:space="0" w:color="auto"/>
              </w:divBdr>
            </w:div>
          </w:divsChild>
        </w:div>
        <w:div w:id="120332667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pa.gov/ttn/airs/airsaqs/"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cfpub.epa.gov/si/si_public_record_report.cfm?dirEntryId=307416&amp;fed_org_id=770&amp;SIType=PR&amp;TIMSType=&amp;showCriteria=0&amp;address=nerl/pubs.html&amp;view=citation&amp;personID=15120&amp;role=Author&amp;sortBy=pubDateYear&amp;count=100&amp;dateBeginPublishedPresented=" TargetMode="External"/><Relationship Id="rId3" Type="http://schemas.openxmlformats.org/officeDocument/2006/relationships/styles" Target="styles.xml"/><Relationship Id="rId21" Type="http://schemas.openxmlformats.org/officeDocument/2006/relationships/hyperlink" Target="https://doi.org/10.1175/2011jcli3955.1"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doi.org/10.5194/acp-17-12449-2017"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doi.org/10.5194/acp-20-3397-2020"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gcc02.safelinks.protection.outlook.com/?url=https%3A%2F%2Fdoi.org%2F10.5194%2Facp-18-3839-2018&amp;data=04%7C01%7CMathur.Rohit%40epa.gov%7C9372bdffc2d74674cf8008d8ecdc1367%7C88b378b367484867acf976aacbeca6a7%7C0%7C0%7C637519777701660746%7CUnknown%7CTWFpbGZsb3d8eyJWIjoiMC4wLjAwMDAiLCJQIjoiV2luMzIiLCJBTiI6Ik1haWwiLCJXVCI6Mn0%3D%7C3000&amp;sdata=9dWGB185%2FtOVoJ5hB8xqsX14JHOtL6%2BkrCUG%2Barjdo4%3D&amp;reserved=0" TargetMode="Externa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www.atmos-chem-phys.net/15/12193/2015/" TargetMode="External"/><Relationship Id="rId27"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D19B72-1515-492A-884F-CB9719A991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32</TotalTime>
  <Pages>13</Pages>
  <Words>3343</Words>
  <Characters>19059</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22358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Mathur, Rohit</cp:lastModifiedBy>
  <cp:revision>29</cp:revision>
  <cp:lastPrinted>2017-04-21T13:34:00Z</cp:lastPrinted>
  <dcterms:created xsi:type="dcterms:W3CDTF">2022-02-23T20:31:00Z</dcterms:created>
  <dcterms:modified xsi:type="dcterms:W3CDTF">2022-04-08T20:23:00Z</dcterms:modified>
</cp:coreProperties>
</file>