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2419" w:rsidRDefault="00262419" w:rsidP="00262419">
      <w:pPr>
        <w:spacing w:line="240" w:lineRule="auto"/>
      </w:pPr>
      <w:r>
        <w:rPr>
          <w:noProof/>
        </w:rPr>
        <w:drawing>
          <wp:inline distT="0" distB="0" distL="0" distR="0">
            <wp:extent cx="5600700" cy="4676775"/>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l="2659" t="3165" r="1618" b="7085"/>
                    <a:stretch>
                      <a:fillRect/>
                    </a:stretch>
                  </pic:blipFill>
                  <pic:spPr bwMode="auto">
                    <a:xfrm>
                      <a:off x="0" y="0"/>
                      <a:ext cx="5600700" cy="4676775"/>
                    </a:xfrm>
                    <a:prstGeom prst="rect">
                      <a:avLst/>
                    </a:prstGeom>
                    <a:noFill/>
                    <a:ln w="9525">
                      <a:noFill/>
                      <a:miter lim="800000"/>
                      <a:headEnd/>
                      <a:tailEnd/>
                    </a:ln>
                  </pic:spPr>
                </pic:pic>
              </a:graphicData>
            </a:graphic>
          </wp:inline>
        </w:drawing>
      </w:r>
    </w:p>
    <w:p w:rsidR="00DB682A" w:rsidRDefault="00262419" w:rsidP="00DB682A">
      <w:pPr>
        <w:spacing w:line="240" w:lineRule="auto"/>
      </w:pPr>
      <w:r w:rsidRPr="00781626">
        <w:rPr>
          <w:b/>
        </w:rPr>
        <w:t xml:space="preserve">Figure 1: </w:t>
      </w:r>
      <w:r w:rsidRPr="00EE26F9">
        <w:t>Probable causes</w:t>
      </w:r>
      <w:r>
        <w:t xml:space="preserve"> and mechanisms</w:t>
      </w:r>
      <w:r w:rsidRPr="00EE26F9">
        <w:t xml:space="preserve"> of preterm labour</w:t>
      </w:r>
      <w:r w:rsidR="00512EFC">
        <w:fldChar w:fldCharType="begin" w:fldLock="1"/>
      </w:r>
      <w:r w:rsidR="00DB682A">
        <w:instrText>ADDIN CSL_CITATION {"citationItems":[{"id":"ITEM-1","itemData":{"ISBN":"0309658985","author":[{"dropping-particle":"","family":"Behrman, R. E., &amp; Butler","given":"A. S.","non-dropping-particle":"","parse-names":false,"suffix":""}],"id":"ITEM-1","issued":{"date-parts":[["2007"]]},"title":"Preterm birth: causes, consequences, and prevention.","type":"book"},"uris":["http://www.mendeley.com/documents/?uuid=cfde1d49-77a2-48c2-a648-ff13baa6bfa5"]},{"id":"ITEM-2","itemData":{"DOI":"10.1093/jn/133.5.1722s","ISSN":"00223166","PMID":"12730490","abstract":"This literature review examines whether smoking or alcohol use during pregnancy increases maternal micronutrient requirements and whether smoking or alcohol use interacts with micronutrient deficiencies to affect pregnancy outcomes. Studies suggest that vitamin C requirements increase for pregnant smokers. Studies also indicate that β-carotene, vitamin B-12, vitamin B-6 and folate concentrations appear lower in pregnant smokers than in pregnant nonsmokers, although it is unclear whether lower serum concentrations are due to increased requirements, lower dietary or supplement intakes or other factors. Experimental animal studies suggest that iron supplementation partially ameliorates impaired fetal growth caused by cadmium, a heavy metal inhaled from cigarette smoke, but studies in humans have not substantiated cadmium's effect on fetal growth. Animal studies also suggest chronic alcohol consumption at levels of 20-50% of energy intake during pregnancy may mobilize fetal vitamin A concentration from the liver and result in increases in vitamin A in fetal organs and subsequent defects. Evidence is lacking, however, on whether zinc metabolism is altered by alcohol intake during pregnancy. Health care practitioners should consider increasing nutrient levels in pregnant women who do not meet the Recommended Dietary Allowances through their diet. Future studies that examine the nutrient levels of women exposed to cigarette smoke and alcohol should control for dietary intake. In addition, randomized controlled studies of the health impact of micronutrient supplementation in pregnant women should consider stratification by exposure to cigarette smoke and alcohol use.","author":[{"dropping-particle":"","family":"Cogswell","given":"Mary E.","non-dropping-particle":"","parse-names":false,"suffix":""},{"dropping-particle":"","family":"Weisberg","given":"Pamela","non-dropping-particle":"","parse-names":false,"suffix":""},{"dropping-particle":"","family":"Spong","given":"Catherine","non-dropping-particle":"","parse-names":false,"suffix":""}],"container-title":"Journal of Nutrition","id":"ITEM-2","issue":"5 SUPPL. 1","issued":{"date-parts":[["2003"]]},"page":"1722-1731","title":"Cigarette smoking, alcohol use and adverse pregnancy outcomes: Implications for micronutrient supplementation","type":"article-journal","volume":"133"},"uris":["http://www.mendeley.com/documents/?uuid=2286d65d-15be-4086-bf69-74748a190a2b"]},{"id":"ITEM-3","itemData":{"DOI":"10.1016/j.placenta.2019.12.002","ISSN":"15323102","PMID":"33039030","abstract":"Preterm birth is a leading cause of child morbidity and mortality, so strategies to reduce early birth must remain a priority. One key approach to enhancing birth outcomes is improving maternal dietary intake. Therefore, the purpose of this review is to discuss mechanisms on perinatal status of fat-soluble nutrients (carotenoids, retinol, tocopherols) and omega-3 fatty acids and how they impact risk for preterm birth. Literature review demonstrates that maternal dietary intake and biological (blood and placental tissue) levels of fat-soluble nutrients during pregnancy may provide antioxidative, anti-inflammatory, and immunomodulatory health benefits. Omega-3 fatty acids also promote increased production of specialized pro-resolving mediators, subsequently mediating inflammation resolution. Combined effects of these nutrients support appropriate placental organogenesis and function. Consequently, fat-soluble nutrients and omega-3 fatty acids serve as strong influencers for preterm birth risk. As dietary intake remains a modifiable factor, future intervention would benefit from a focus on optimizing perinatal status of these specific nutrients.","author":[{"dropping-particle":"","family":"Thoene","given":"Melissa","non-dropping-particle":"","parse-names":false,"suffix":""},{"dropping-particle":"","family":"Ormer","given":"Matthew","non-dropping-particle":"Van","parse-names":false,"suffix":""},{"dropping-particle":"","family":"Yuil-Valdes","given":"Ana","non-dropping-particle":"","parse-names":false,"suffix":""},{"dropping-particle":"","family":"Bruett","given":"Taylor","non-dropping-particle":"","parse-names":false,"suffix":""},{"dropping-particle":"","family":"Natarajan","given":"Sathish Kumar","non-dropping-particle":"","parse-names":false,"suffix":""},{"dropping-particle":"","family":"Mukherjee","given":"Maheswari","non-dropping-particle":"","parse-names":false,"suffix":""},{"dropping-particle":"","family":"Thompson","given":"Maranda","non-dropping-particle":"","parse-names":false,"suffix":""},{"dropping-particle":"","family":"Nordgren","given":"Tara M.","non-dropping-particle":"","parse-names":false,"suffix":""},{"dropping-particle":"","family":"Lippevelde","given":"Wendy","non-dropping-particle":"Van","parse-names":false,"suffix":""},{"dropping-particle":"","family":"Overby","given":"Nina C.","non-dropping-particle":"","parse-names":false,"suffix":""},{"dropping-particle":"","family":"Adu-Bonsaffoh","given":"Kwame","non-dropping-particle":"","parse-names":false,"suffix":""},{"dropping-particle":"","family":"Anderson-Berry","given":"Ann","non-dropping-particle":"","parse-names":false,"suffix":""},{"dropping-particle":"","family":"Hanson","given":"Corrine","non-dropping-particle":"","parse-names":false,"suffix":""}],"container-title":"Placenta","id":"ITEM-3","issue":"October 2019","issued":{"date-parts":[["2020"]]},"page":"38-42","publisher":"Elsevier Ltd","title":"Fat-soluble nutrients and Omega-3 fatty acids as modifiable factors influencing preterm birth risk","type":"article-journal","volume":"98"},"uris":["http://www.mendeley.com/documents/?uuid=48c21a5d-d041-48d5-8362-bbb2e72ea860"]}],"mendeley":{"formattedCitation":"(Behrman, R. E., &amp; Butler, 2007; Cogswell et al., 2003; Thoene et al., 2020)","plainTextFormattedCitation":"(Behrman, R. E., &amp; Butler, 2007; Cogswell et al., 2003; Thoene et al., 2020)","previouslyFormattedCitation":"(Behrman, R. E., &amp; Butler, 2007; Cogswell et al., 2003; Thoene et al., 2020)"},"properties":{"noteIndex":0},"schema":"https://github.com/citation-style-language/schema/raw/master/csl-citation.json"}</w:instrText>
      </w:r>
      <w:r w:rsidR="00512EFC">
        <w:fldChar w:fldCharType="separate"/>
      </w:r>
      <w:r w:rsidR="00DB682A" w:rsidRPr="000907F6">
        <w:rPr>
          <w:noProof/>
        </w:rPr>
        <w:t>(Behrman, R. E., &amp; Butler, 2007; Cogswell et al., 2003; Thoene et al., 2020)</w:t>
      </w:r>
      <w:r w:rsidR="00512EFC">
        <w:fldChar w:fldCharType="end"/>
      </w:r>
    </w:p>
    <w:p w:rsidR="00262419" w:rsidRPr="00781626" w:rsidRDefault="00262419" w:rsidP="00262419">
      <w:pPr>
        <w:spacing w:line="240" w:lineRule="auto"/>
        <w:rPr>
          <w:b/>
        </w:rPr>
      </w:pPr>
    </w:p>
    <w:p w:rsidR="004B628E" w:rsidRDefault="004B628E"/>
    <w:p w:rsidR="00262419" w:rsidRDefault="00262419" w:rsidP="00262419">
      <w:pPr>
        <w:autoSpaceDE w:val="0"/>
        <w:autoSpaceDN w:val="0"/>
        <w:adjustRightInd w:val="0"/>
        <w:spacing w:after="0"/>
      </w:pPr>
      <w:r>
        <w:rPr>
          <w:noProof/>
        </w:rPr>
        <w:lastRenderedPageBreak/>
        <w:drawing>
          <wp:inline distT="0" distB="0" distL="0" distR="0">
            <wp:extent cx="5724525" cy="4257675"/>
            <wp:effectExtent l="19050" t="0" r="9525"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l="5817" t="6853" r="7807" b="18669"/>
                    <a:stretch>
                      <a:fillRect/>
                    </a:stretch>
                  </pic:blipFill>
                  <pic:spPr bwMode="auto">
                    <a:xfrm>
                      <a:off x="0" y="0"/>
                      <a:ext cx="5724525" cy="4257675"/>
                    </a:xfrm>
                    <a:prstGeom prst="rect">
                      <a:avLst/>
                    </a:prstGeom>
                    <a:noFill/>
                    <a:ln w="9525">
                      <a:noFill/>
                      <a:miter lim="800000"/>
                      <a:headEnd/>
                      <a:tailEnd/>
                    </a:ln>
                  </pic:spPr>
                </pic:pic>
              </a:graphicData>
            </a:graphic>
          </wp:inline>
        </w:drawing>
      </w:r>
    </w:p>
    <w:p w:rsidR="00C175DA" w:rsidRDefault="006537CA" w:rsidP="00262419">
      <w:pPr>
        <w:autoSpaceDE w:val="0"/>
        <w:autoSpaceDN w:val="0"/>
        <w:adjustRightInd w:val="0"/>
        <w:spacing w:after="0"/>
      </w:pPr>
      <w:r w:rsidRPr="00C168CA">
        <w:rPr>
          <w:b/>
        </w:rPr>
        <w:t>Figure 2: Physiological uterine activity during the non-pregnant state, pregnancy and parturition</w:t>
      </w:r>
      <w:r w:rsidR="00512EFC" w:rsidRPr="00C168CA">
        <w:fldChar w:fldCharType="begin" w:fldLock="1"/>
      </w:r>
      <w:r w:rsidR="0048559A">
        <w:instrText>ADDIN CSL_CITATION {"citationItems":[{"id":"ITEM-1","itemData":{"DOI":"10.1177/1933719118768700","ISBN":"1933719118768","author":[{"dropping-particle":"","family":"Sammali","given":"Federica","non-dropping-particle":"","parse-names":false,"suffix":""},{"dropping-particle":"","family":"Pertronella","given":"Nienke","non-dropping-particle":"","parse-names":false,"suffix":""},{"dropping-particle":"","family":"Kuijsters","given":"Maria","non-dropping-particle":"","parse-names":false,"suffix":""},{"dropping-particle":"","family":"Schoot","given":"Benedictus Christiaan","non-dropping-particle":"","parse-names":false,"suffix":""},{"dropping-particle":"","family":"Mischi","given":"Massimo","non-dropping-particle":"","parse-names":false,"suffix":""},{"dropping-particle":"","family":"Rabotti","given":"Chiara","non-dropping-particle":"","parse-names":false,"suffix":""}],"id":"ITEM-1","issued":{"date-parts":[["2018"]]},"title":"Feasibility of Transabdominal Electrohysterography for Analysis of Uterine Activity in Nonpregnant Women","type":"article-journal"},"uris":["http://www.mendeley.com/documents/?uuid=f30bceea-be3b-47a4-987d-9d667c821f68"]},{"id":"ITEM-2","itemData":{"DOI":"10.1016/S1472-6483(10)60450-6","ISSN":"1472-6483","author":[{"dropping-particle":"","family":"Fanchin","given":"Renato","non-dropping-particle":"","parse-names":false,"suffix":""},{"dropping-particle":"De","family":"Gynécologie-obstétrique","given":"Service","non-dropping-particle":"","parse-names":false,"suffix":""},{"dropping-particle":"","family":"De","given":"Médecine","non-dropping-particle":"","parse-names":false,"suffix":""},{"dropping-particle":"","family":"Béclère","given":"Hôpital Antoine","non-dropping-particle":"","parse-names":false,"suffix":""}],"id":"ITEM-2","issue":"January","issued":{"date-parts":[["2009"]]},"page":"S57-S62","publisher":"Reproductive Healthcare Ltd, Duck End Farm, Dry Drayton, Cambridge CB23 8DB, UK","title":"Review Uterine dynamics : impact on the human reproduction process","type":"article-journal","volume":"18"},"uris":["http://www.mendeley.com/documents/?uuid=4d2f5619-38c2-4e43-8d92-80c9d6978476"]},{"id":"ITEM-3","itemData":{"DOI":"10.1093/humupd/dmg011","author":[{"dropping-particle":"Van","family":"Gestel","given":"I","non-dropping-particle":"","parse-names":false,"suffix":""},{"dropping-particle":"","family":"Ijland","given":"M M","non-dropping-particle":"","parse-names":false,"suffix":""},{"dropping-particle":"","family":"Hoogland","given":"H J","non-dropping-particle":"","parse-names":false,"suffix":""},{"dropping-particle":"","family":"Evers","given":"J L H","non-dropping-particle":"","parse-names":false,"suffix":""}],"id":"ITEM-3","issue":"2","issued":{"date-parts":[["2003"]]},"page":"131-138","title":"Endometrial wave-like activity in the non-pregnant uterus","type":"article-journal","volume":"9"},"uris":["http://www.mendeley.com/documents/?uuid=f63d68d4-9acd-4595-a71a-66ebacc1ebe2"]},{"id":"ITEM-4","itemData":{"author":[{"dropping-particle":"","family":"Ziegler","given":"D D E","non-dropping-particle":"","parse-names":false,"suffix":""},{"dropping-particle":"","family":"Bulletti","given":"C","non-dropping-particle":"","parse-names":false,"suffix":""},{"dropping-particle":"","family":"Fanchin","given":"R","non-dropping-particle":"","parse-names":false,"suffix":""},{"dropping-particle":"","family":"Epiney","given":"M","non-dropping-particle":"","parse-names":false,"suffix":""}],"container-title":"Annals of the New York Academic","id":"ITEM-4","issued":{"date-parts":[["2001"]]},"page":"172-184","title":"Contractility of the Nonpregnant Uterus","type":"article-journal"},"uris":["http://www.mendeley.com/documents/?uuid=a6b4e020-71ac-44f7-b526-521c43d14728"]},{"id":"ITEM-5","itemData":{"ISBN":"9781424492701","author":[{"dropping-particle":"","family":"Rabotti","given":"Chiara","non-dropping-particle":"","parse-names":false,"suffix":""},{"dropping-particle":"","family":"Sammali","given":"Federica","non-dropping-particle":"","parse-names":false,"suffix":""},{"dropping-particle":"","family":"Kuijsters","given":"Nienke","non-dropping-particle":"","parse-names":false,"suffix":""},{"dropping-particle":"","family":"Schoot","given":"Benedictus","non-dropping-particle":"","parse-names":false,"suffix":""},{"dropping-particle":"","family":"Kortenhorst","given":"Mady","non-dropping-particle":"","parse-names":false,"suffix":""},{"dropping-particle":"","family":"Mischi","given":"Massimo","non-dropping-particle":"","parse-names":false,"suffix":""}],"id":"ITEM-5","issued":{"date-parts":[["2015"]]},"page":"5916-5919","publisher":"IEEE","title":"Analysis of uterine activity in nonpregnant women by electrohysterography : a feasibility study","type":"article-journal"},"uris":["http://www.mendeley.com/documents/?uuid=3d1fe6d2-7b2f-4bfb-b059-5974327e332d"]},{"id":"ITEM-6","itemData":{"DOI":"10.1016/j.bpobgyn.2007.05.001","ISSN":"15216934","PMID":"17616441","abstract":"Preterm delivery is a common obstetric problem occurring in about 1 in 10 of all births. Preterm babies have a high risk of morbidity and mortality. Such births account for 75% of all major neonatal problems. At the other end of the spectrum, prolonged pregnancy is also a subject of concern because it too is associated with increased fetal morbidity and mortality. Despite extensive research, the mechanisms that control the length of human pregnancy and signal the onset of labour have not been fully determined. This chapter will discuss basic principles in the biology of parturition and the regulation of contraction-associated proteins including the oxytocin receptor. The major pathways regulating contractions and the transcriptional regulation of the main genes that are known to be involved in the onset of labour and parturition will be examined. Some new potentially therapeutic strategies for the biochemical management of preterm labour will be discussed. © 2007 Elsevier Ltd. All rights reserved.","author":[{"dropping-particle":"","family":"Terzidou","given":"Vasso","non-dropping-particle":"","parse-names":false,"suffix":""}],"container-title":"Best Practice and Research: Clinical Obstetrics and Gynaecology","id":"ITEM-6","issue":"5","issued":{"date-parts":[["2007"]]},"page":"729-756","title":"Biochemical and endocrinological preparation for parturition","type":"article-journal","volume":"21"},"uris":["http://www.mendeley.com/documents/?uuid=75524bbf-64e2-4579-b7d4-14cc4697ac35"]},{"id":"ITEM-7","itemData":{"author":[{"dropping-particle":"","family":"Sanborn","given":"Barbara M","non-dropping-particle":"","parse-names":false,"suffix":""}],"id":"ITEM-7","issued":{"date-parts":[["2001"]]},"title":"Uterine contractility symposium : The Litchfield Lecture Hormones and calcium : mechanisms controlling uterine smooth muscle contractile activity","type":"article-journal"},"uris":["http://www.mendeley.com/documents/?uuid=f39bc784-fb3a-4c2d-a04a-2867f0ae9761"]},{"id":"ITEM-8","itemData":{"DOI":"10.1016/j.ando.2016.04.025","ISSN":"0003-4266","author":[{"dropping-particle":"","family":"Vannuccini","given":"Silvia","non-dropping-particle":"","parse-names":false,"suffix":""},{"dropping-particle":"","family":"Bocchi","given":"Caterina","non-dropping-particle":"","parse-names":false,"suffix":""},{"dropping-particle":"","family":"Severi","given":"Filiberto M","non-dropping-particle":"","parse-names":false,"suffix":""},{"dropping-particle":"","family":"Challis","given":"John R","non-dropping-particle":"","parse-names":false,"suffix":""},{"dropping-particle":"","family":"Petraglia","given":"Felice","non-dropping-particle":"","parse-names":false,"suffix":""}],"container-title":"Annales d'Endocrinologie","id":"ITEM-8","issue":"2","issued":{"date-parts":[["2016"]]},"page":"105-113","publisher":"Elsevier Masson SAS","title":"Endocrinology of human parturition","type":"article-journal","volume":"77"},"uris":["http://www.mendeley.com/documents/?uuid=001dbe87-c6e0-4725-a41c-12c52e63d038"]}],"mendeley":{"formattedCitation":"(Fanchin et al., 2009; Gestel et al., 2003; Rabotti et al., 2015; Sammali et al., 2018; Sanborn, 2001; Terzidou, 2007; Vannuccini et al., 2016; Ziegler et al., 2001)","plainTextFormattedCitation":"(Fanchin et al., 2009; Gestel et al., 2003; Rabotti et al., 2015; Sammali et al., 2018; Sanborn, 2001; Terzidou, 2007; Vannuccini et al., 2016; Ziegler et al., 2001)","previouslyFormattedCitation":"(Fanchin et al., 2009; Gestel et al., 2003; Rabotti et al., 2015; Sammali et al., 2018; Sanborn, 2001; Terzidou, 2007; Ziegler et al., 2001)"},"properties":{"noteIndex":0},"schema":"https://github.com/citation-style-language/schema/raw/master/csl-citation.json"}</w:instrText>
      </w:r>
      <w:r w:rsidR="00512EFC" w:rsidRPr="00C168CA">
        <w:fldChar w:fldCharType="separate"/>
      </w:r>
      <w:r w:rsidR="0048559A" w:rsidRPr="0048559A">
        <w:rPr>
          <w:noProof/>
        </w:rPr>
        <w:t>(</w:t>
      </w:r>
      <w:proofErr w:type="spellStart"/>
      <w:r w:rsidR="0048559A" w:rsidRPr="0048559A">
        <w:rPr>
          <w:noProof/>
        </w:rPr>
        <w:t>Fanchin</w:t>
      </w:r>
      <w:proofErr w:type="spellEnd"/>
      <w:r w:rsidR="0048559A" w:rsidRPr="0048559A">
        <w:rPr>
          <w:noProof/>
        </w:rPr>
        <w:t xml:space="preserve"> et al., 2009; Gestel et al., 2003; Rabotti et al., 2015; Sammali et al., 2018; Sanborn, 2001; Terzidou, 2007; Vannuccini et al., 2016; Ziegler et al., 2001)</w:t>
      </w:r>
      <w:r w:rsidR="00512EFC" w:rsidRPr="00C168CA">
        <w:fldChar w:fldCharType="end"/>
      </w:r>
      <w:r w:rsidR="00834F44">
        <w:t xml:space="preserve"> </w:t>
      </w:r>
    </w:p>
    <w:p w:rsidR="00262419" w:rsidRDefault="00262419" w:rsidP="00262419">
      <w:pPr>
        <w:autoSpaceDE w:val="0"/>
        <w:autoSpaceDN w:val="0"/>
        <w:adjustRightInd w:val="0"/>
        <w:spacing w:after="0" w:line="240" w:lineRule="auto"/>
        <w:rPr>
          <w:b/>
        </w:rPr>
      </w:pPr>
    </w:p>
    <w:p w:rsidR="00262419" w:rsidRDefault="00262419" w:rsidP="00262419">
      <w:pPr>
        <w:autoSpaceDE w:val="0"/>
        <w:autoSpaceDN w:val="0"/>
        <w:adjustRightInd w:val="0"/>
        <w:spacing w:after="0" w:line="240" w:lineRule="auto"/>
        <w:rPr>
          <w:b/>
        </w:rPr>
      </w:pPr>
    </w:p>
    <w:p w:rsidR="00262419" w:rsidRDefault="00262419" w:rsidP="00262419">
      <w:pPr>
        <w:autoSpaceDE w:val="0"/>
        <w:autoSpaceDN w:val="0"/>
        <w:adjustRightInd w:val="0"/>
        <w:spacing w:after="0" w:line="240" w:lineRule="auto"/>
        <w:rPr>
          <w:b/>
        </w:rPr>
      </w:pPr>
    </w:p>
    <w:p w:rsidR="00262419" w:rsidRDefault="00262419" w:rsidP="00262419">
      <w:pPr>
        <w:autoSpaceDE w:val="0"/>
        <w:autoSpaceDN w:val="0"/>
        <w:adjustRightInd w:val="0"/>
        <w:spacing w:after="0" w:line="240" w:lineRule="auto"/>
        <w:rPr>
          <w:b/>
        </w:rPr>
      </w:pPr>
    </w:p>
    <w:p w:rsidR="00262419" w:rsidRDefault="00262419" w:rsidP="00262419">
      <w:pPr>
        <w:spacing w:line="240" w:lineRule="auto"/>
        <w:rPr>
          <w:b/>
        </w:rPr>
      </w:pPr>
    </w:p>
    <w:p w:rsidR="00262419" w:rsidRDefault="00262419" w:rsidP="00262419">
      <w:pPr>
        <w:spacing w:line="240" w:lineRule="auto"/>
        <w:rPr>
          <w:b/>
        </w:rPr>
      </w:pPr>
    </w:p>
    <w:p w:rsidR="00262419" w:rsidRDefault="00262419" w:rsidP="00262419">
      <w:pPr>
        <w:spacing w:line="240" w:lineRule="auto"/>
        <w:rPr>
          <w:b/>
        </w:rPr>
      </w:pPr>
    </w:p>
    <w:p w:rsidR="00262419" w:rsidRDefault="00262419" w:rsidP="00262419">
      <w:pPr>
        <w:spacing w:line="240" w:lineRule="auto"/>
        <w:rPr>
          <w:b/>
        </w:rPr>
      </w:pPr>
    </w:p>
    <w:p w:rsidR="00262419" w:rsidRDefault="00262419" w:rsidP="00262419">
      <w:pPr>
        <w:spacing w:line="240" w:lineRule="auto"/>
        <w:rPr>
          <w:b/>
        </w:rPr>
      </w:pPr>
    </w:p>
    <w:p w:rsidR="00262419" w:rsidRDefault="00262419" w:rsidP="00262419">
      <w:pPr>
        <w:spacing w:line="240" w:lineRule="auto"/>
        <w:rPr>
          <w:b/>
        </w:rPr>
      </w:pPr>
    </w:p>
    <w:p w:rsidR="00262419" w:rsidRDefault="00262419" w:rsidP="00262419">
      <w:pPr>
        <w:spacing w:line="240" w:lineRule="auto"/>
        <w:rPr>
          <w:b/>
        </w:rPr>
      </w:pPr>
    </w:p>
    <w:p w:rsidR="00262419" w:rsidRDefault="00262419">
      <w:r w:rsidRPr="00262419">
        <w:rPr>
          <w:noProof/>
        </w:rPr>
        <w:lastRenderedPageBreak/>
        <w:drawing>
          <wp:inline distT="0" distB="0" distL="0" distR="0">
            <wp:extent cx="5719961" cy="4334608"/>
            <wp:effectExtent l="19050" t="19050" r="14089" b="27842"/>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5731510" cy="4343360"/>
                    </a:xfrm>
                    <a:prstGeom prst="rect">
                      <a:avLst/>
                    </a:prstGeom>
                    <a:noFill/>
                    <a:ln w="9525">
                      <a:solidFill>
                        <a:schemeClr val="accent4"/>
                      </a:solidFill>
                      <a:miter lim="800000"/>
                      <a:headEnd/>
                      <a:tailEnd/>
                    </a:ln>
                  </pic:spPr>
                </pic:pic>
              </a:graphicData>
            </a:graphic>
          </wp:inline>
        </w:drawing>
      </w:r>
    </w:p>
    <w:p w:rsidR="00262419" w:rsidRDefault="000907F6" w:rsidP="00262419">
      <w:pPr>
        <w:autoSpaceDE w:val="0"/>
        <w:autoSpaceDN w:val="0"/>
        <w:adjustRightInd w:val="0"/>
        <w:spacing w:after="0" w:line="480" w:lineRule="auto"/>
        <w:rPr>
          <w:color w:val="231F20"/>
        </w:rPr>
      </w:pPr>
      <w:r>
        <w:rPr>
          <w:color w:val="231F20"/>
        </w:rPr>
        <w:t xml:space="preserve">Figure 3: Inflammatory pathway of preterm labour </w:t>
      </w:r>
      <w:r w:rsidR="00512EFC">
        <w:rPr>
          <w:color w:val="231F20"/>
        </w:rPr>
        <w:fldChar w:fldCharType="begin" w:fldLock="1"/>
      </w:r>
      <w:r w:rsidR="00DB682A">
        <w:rPr>
          <w:color w:val="231F20"/>
        </w:rPr>
        <w:instrText>ADDIN CSL_CITATION {"citationItems":[{"id":"ITEM-1","itemData":{"DOI":"10.1016/j.jri.2016.11.008","ISSN":"18727603","PMID":"28122664","abstract":"Preterm birth (PTB) is the leading cause of childhood mortality in children under 5 and accounts for approximately 11% of births worldwide. Premature babies are at risk of a number of health complications, notably cerebral palsy, but also respiratory and gastrointestinal disorders. Preterm deliveries can be medically indicated/elective procedures or they can occur spontaneously. Spontaneous PTB is commonly associated with intrauterine infection/inflammation. The presence of inflammatory mediators in utero has been associated with fetal injury, particularly affecting the fetal lungs and brain. This review will outline (i) the role of inflammation in term and PTB, (ii) the effect infection/inflammation has on fetal development and (iii) recent strategies to target PTB. Further research is urgently required to develop effective methods for the prevention and treatment of PTB and above all, to reduce fetal injury.","author":[{"dropping-particle":"","family":"Boyle","given":"Ashley K.","non-dropping-particle":"","parse-names":false,"suffix":""},{"dropping-particle":"","family":"Rinaldi","given":"Sara F.","non-dropping-particle":"","parse-names":false,"suffix":""},{"dropping-particle":"","family":"Norman","given":"Jane E.","non-dropping-particle":"","parse-names":false,"suffix":""},{"dropping-particle":"","family":"Stock","given":"Sarah J.","non-dropping-particle":"","parse-names":false,"suffix":""}],"container-title":"Journal of Reproductive Immunology","id":"ITEM-1","issued":{"date-parts":[["2017"]]},"page":"62-66","publisher":"Elsevier Ireland Ltd","title":"Preterm birth: Inflammation, fetal injury and treatment strategies","type":"article-journal","volume":"119"},"uris":["http://www.mendeley.com/documents/?uuid=45cd05f3-05b1-495f-9b72-88f9484f022b"]},{"id":"ITEM-2","itemData":{"DOI":"10.1177/1933719108329095","author":[{"dropping-particle":"","family":"John R. Challis, PhD, Charles J. Lockwood, MD, Leslie Myatt, PhD","given":"","non-dropping-particle":"","parse-names":false,"suffix":""},{"dropping-particle":"","family":"Jane E. Norman, MD, Jerome F. Strauss III, MD, PhD, and Felice Petraglia","given":"MD","non-dropping-particle":"","parse-names":false,"suffix":""}],"container-title":"Society for Gynecologic Investigation","id":"ITEM-2","issued":{"date-parts":[["2009"]]},"page":"206-215","title":"Inflammation and Pregnancy","type":"article-journal","volume":"16"},"uris":["http://www.mendeley.com/documents/?uuid=15242921-960b-4ef4-a167-85f46114d319"]},{"id":"ITEM-3","itemData":{"DOI":"10.1097/AOG.0b013e3181e6dbc0","ISSN":"1873233X","PMID":"20664401","author":[{"dropping-particle":"","family":"Wei","given":"Shu Qin","non-dropping-particle":"","parse-names":false,"suffix":""},{"dropping-particle":"","family":"Fraser","given":"William","non-dropping-particle":"","parse-names":false,"suffix":""},{"dropping-particle":"","family":"Luo","given":"Zhong Cheng","non-dropping-particle":"","parse-names":false,"suffix":""}],"container-title":"Obstetrics and Gynecology","id":"ITEM-3","issue":"2","issued":{"date-parts":[["2010"]]},"page":"393-401","title":"Inflammatory cytokines and spontaneous preterm birth in asymptomatic women: A systematic review","type":"article-journal","volume":"116"},"uris":["http://www.mendeley.com/documents/?uuid=8269e9d5-1586-4a7b-b398-21e5bbe6499a"]},{"id":"ITEM-4","itemData":{"DOI":"10.1161/01.RES.0000070112.80711.3D","author":[{"dropping-particle":"","family":"Robert Visse","given":"Hideaki Nagase","non-dropping-particle":"","parse-names":false,"suffix":""}],"id":"ITEM-4","issued":{"date-parts":[["2003"]]},"page":"827-839","title":"Matrix Metalloproteinases and Tissue Inhibitors of Metalloproteinases","type":"article-journal"},"uris":["http://www.mendeley.com/documents/?uuid=49b180cb-c038-403b-a934-c2089d39c7e1"]}],"mendeley":{"formattedCitation":"(Boyle et al., 2017; John R. Challis, PhD, Charles J. Lockwood, MD, Leslie Myatt, PhD &amp; Jane E. Norman, MD, Jerome F. Strauss III, MD, PhD, and Felice Petraglia, 2009; Robert Visse, 2003; Wei et al., 2010)","plainTextFormattedCitation":"(Boyle et al., 2017; John R. Challis, PhD, Charles J. Lockwood, MD, Leslie Myatt, PhD &amp; Jane E. Norman, MD, Jerome F. Strauss III, MD, PhD, and Felice Petraglia, 2009; Robert Visse, 2003; Wei et al., 2010)","previouslyFormattedCitation":"(Boyle et al., 2017; John R. Challis, PhD, Charles J. Lockwood, MD, Leslie Myatt, PhD &amp; Jane E. Norman, MD, Jerome F. Strauss III, MD, PhD, and Felice Petraglia, 2009; Robert Visse, 2003; Wei et al., 2010)"},"properties":{"noteIndex":0},"schema":"https://github.com/citation-style-language/schema/raw/master/csl-citation.json"}</w:instrText>
      </w:r>
      <w:r w:rsidR="00512EFC">
        <w:rPr>
          <w:color w:val="231F20"/>
        </w:rPr>
        <w:fldChar w:fldCharType="separate"/>
      </w:r>
      <w:r w:rsidRPr="000907F6">
        <w:rPr>
          <w:noProof/>
          <w:color w:val="231F20"/>
        </w:rPr>
        <w:t>(Boyle et al., 2017; John R. Challis, PhD, Charles J. Lockwood, MD, Leslie Myatt, PhD &amp; Jane E. Norman, MD, Jerome F. Strauss III, MD, PhD, and Felice Petraglia, 2009; Robert Visse, 2003; Wei et al., 2010)</w:t>
      </w:r>
      <w:r w:rsidR="00512EFC">
        <w:rPr>
          <w:color w:val="231F20"/>
        </w:rPr>
        <w:fldChar w:fldCharType="end"/>
      </w:r>
    </w:p>
    <w:p w:rsidR="00262419" w:rsidRDefault="00262419" w:rsidP="00262419">
      <w:pPr>
        <w:autoSpaceDE w:val="0"/>
        <w:autoSpaceDN w:val="0"/>
        <w:adjustRightInd w:val="0"/>
        <w:spacing w:after="0" w:line="240" w:lineRule="auto"/>
        <w:rPr>
          <w:color w:val="231F20"/>
        </w:rPr>
      </w:pPr>
      <w:r>
        <w:rPr>
          <w:noProof/>
          <w:color w:val="231F20"/>
        </w:rPr>
        <w:lastRenderedPageBreak/>
        <w:drawing>
          <wp:inline distT="0" distB="0" distL="0" distR="0">
            <wp:extent cx="5705475" cy="4848225"/>
            <wp:effectExtent l="19050" t="0" r="9525" b="0"/>
            <wp:docPr id="8" name="Picture 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l="831" t="5505" r="1661" b="4743"/>
                    <a:stretch>
                      <a:fillRect/>
                    </a:stretch>
                  </pic:blipFill>
                  <pic:spPr bwMode="auto">
                    <a:xfrm>
                      <a:off x="0" y="0"/>
                      <a:ext cx="5705475" cy="4848225"/>
                    </a:xfrm>
                    <a:prstGeom prst="rect">
                      <a:avLst/>
                    </a:prstGeom>
                    <a:noFill/>
                    <a:ln w="9525">
                      <a:noFill/>
                      <a:miter lim="800000"/>
                      <a:headEnd/>
                      <a:tailEnd/>
                    </a:ln>
                  </pic:spPr>
                </pic:pic>
              </a:graphicData>
            </a:graphic>
          </wp:inline>
        </w:drawing>
      </w:r>
    </w:p>
    <w:p w:rsidR="00F87B66" w:rsidRDefault="006537CA" w:rsidP="00262419">
      <w:pPr>
        <w:autoSpaceDE w:val="0"/>
        <w:autoSpaceDN w:val="0"/>
        <w:adjustRightInd w:val="0"/>
        <w:spacing w:after="0" w:line="240" w:lineRule="auto"/>
        <w:rPr>
          <w:color w:val="231F20"/>
        </w:rPr>
      </w:pPr>
      <w:r w:rsidRPr="00C168CA">
        <w:rPr>
          <w:b/>
          <w:color w:val="231F20"/>
        </w:rPr>
        <w:t>Figure 4</w:t>
      </w:r>
      <w:r w:rsidRPr="00C168CA">
        <w:rPr>
          <w:color w:val="231F20"/>
        </w:rPr>
        <w:t xml:space="preserve">: </w:t>
      </w:r>
      <w:r w:rsidRPr="00C168CA">
        <w:rPr>
          <w:b/>
          <w:color w:val="231F20"/>
        </w:rPr>
        <w:t>Physiological pathways and biological mechanisms of uterine activity</w:t>
      </w:r>
    </w:p>
    <w:p w:rsidR="00F87B66" w:rsidRDefault="00512EFC" w:rsidP="00262419">
      <w:pPr>
        <w:autoSpaceDE w:val="0"/>
        <w:autoSpaceDN w:val="0"/>
        <w:adjustRightInd w:val="0"/>
        <w:spacing w:after="0" w:line="240" w:lineRule="auto"/>
        <w:rPr>
          <w:color w:val="231F20"/>
        </w:rPr>
      </w:pPr>
      <w:r>
        <w:rPr>
          <w:color w:val="231F20"/>
        </w:rPr>
        <w:fldChar w:fldCharType="begin" w:fldLock="1"/>
      </w:r>
      <w:r w:rsidR="00DB682A">
        <w:rPr>
          <w:color w:val="231F20"/>
        </w:rPr>
        <w:instrText>ADDIN CSL_CITATION {"citationItems":[{"id":"ITEM-1","itemData":{"DOI":"10.1093/humupd/dmq016","author":[{"dropping-particle":"","family":"Aguilar","given":"Hector N","non-dropping-particle":"","parse-names":false,"suffix":""},{"dropping-particle":"","family":"Mitchell","given":"B F","non-dropping-particle":"","parse-names":false,"suffix":""}],"id":"ITEM-1","issue":"6","issued":{"date-parts":[["2010"]]},"page":"725-744","title":"Physiological pathways and molecular mechanisms regulating uterine contractility","type":"article-journal","volume":"16"},"uris":["http://www.mendeley.com/documents/?uuid=49171dba-65bc-46f9-bced-5fc904918c9a"]}],"mendeley":{"formattedCitation":"(Aguilar &amp; Mitchell, 2010)","plainTextFormattedCitation":"(Aguilar &amp; Mitchell, 2010)","previouslyFormattedCitation":"(Aguilar &amp; Mitchell, 2010)"},"properties":{"noteIndex":0},"schema":"https://github.com/citation-style-language/schema/raw/master/csl-citation.json"}</w:instrText>
      </w:r>
      <w:r>
        <w:rPr>
          <w:color w:val="231F20"/>
        </w:rPr>
        <w:fldChar w:fldCharType="separate"/>
      </w:r>
      <w:r w:rsidR="000907F6" w:rsidRPr="000907F6">
        <w:rPr>
          <w:noProof/>
          <w:color w:val="231F20"/>
        </w:rPr>
        <w:t>(Aguilar &amp; Mitchell, 2010)</w:t>
      </w:r>
      <w:r>
        <w:rPr>
          <w:color w:val="231F20"/>
        </w:rPr>
        <w:fldChar w:fldCharType="end"/>
      </w:r>
    </w:p>
    <w:p w:rsidR="000203A9" w:rsidRDefault="000203A9" w:rsidP="00262419">
      <w:pPr>
        <w:autoSpaceDE w:val="0"/>
        <w:autoSpaceDN w:val="0"/>
        <w:adjustRightInd w:val="0"/>
        <w:spacing w:after="0" w:line="240" w:lineRule="auto"/>
        <w:rPr>
          <w:color w:val="231F20"/>
        </w:rPr>
      </w:pPr>
    </w:p>
    <w:p w:rsidR="000203A9" w:rsidRDefault="000203A9" w:rsidP="00262419">
      <w:pPr>
        <w:autoSpaceDE w:val="0"/>
        <w:autoSpaceDN w:val="0"/>
        <w:adjustRightInd w:val="0"/>
        <w:spacing w:after="0" w:line="240" w:lineRule="auto"/>
        <w:rPr>
          <w:color w:val="231F20"/>
        </w:rPr>
      </w:pPr>
    </w:p>
    <w:sectPr w:rsidR="000203A9" w:rsidSect="004B628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62419"/>
    <w:rsid w:val="00012525"/>
    <w:rsid w:val="0002008A"/>
    <w:rsid w:val="000203A9"/>
    <w:rsid w:val="000907F6"/>
    <w:rsid w:val="001012BD"/>
    <w:rsid w:val="001228E1"/>
    <w:rsid w:val="0015672C"/>
    <w:rsid w:val="001C30E3"/>
    <w:rsid w:val="001E05DB"/>
    <w:rsid w:val="001F1F40"/>
    <w:rsid w:val="00220BA8"/>
    <w:rsid w:val="00234B2F"/>
    <w:rsid w:val="002558B2"/>
    <w:rsid w:val="002573F0"/>
    <w:rsid w:val="00262419"/>
    <w:rsid w:val="00262512"/>
    <w:rsid w:val="00281AC1"/>
    <w:rsid w:val="002A4F1B"/>
    <w:rsid w:val="002D4530"/>
    <w:rsid w:val="002D5F50"/>
    <w:rsid w:val="0034123C"/>
    <w:rsid w:val="003617AC"/>
    <w:rsid w:val="00365073"/>
    <w:rsid w:val="0039163E"/>
    <w:rsid w:val="003934D2"/>
    <w:rsid w:val="003F7624"/>
    <w:rsid w:val="00400B9D"/>
    <w:rsid w:val="00433FFC"/>
    <w:rsid w:val="0048559A"/>
    <w:rsid w:val="004A08EB"/>
    <w:rsid w:val="004B628E"/>
    <w:rsid w:val="004C58F9"/>
    <w:rsid w:val="0051284F"/>
    <w:rsid w:val="00512EFC"/>
    <w:rsid w:val="00581607"/>
    <w:rsid w:val="00595D1C"/>
    <w:rsid w:val="00603404"/>
    <w:rsid w:val="006537CA"/>
    <w:rsid w:val="006603B0"/>
    <w:rsid w:val="006D29D9"/>
    <w:rsid w:val="00764DA4"/>
    <w:rsid w:val="0079349D"/>
    <w:rsid w:val="007A3F98"/>
    <w:rsid w:val="007C79CA"/>
    <w:rsid w:val="007F2ACF"/>
    <w:rsid w:val="00834F44"/>
    <w:rsid w:val="008621AB"/>
    <w:rsid w:val="00881AF2"/>
    <w:rsid w:val="008D30F5"/>
    <w:rsid w:val="00913915"/>
    <w:rsid w:val="009C1A7A"/>
    <w:rsid w:val="009C4363"/>
    <w:rsid w:val="009F7E67"/>
    <w:rsid w:val="00AC4719"/>
    <w:rsid w:val="00AC5115"/>
    <w:rsid w:val="00AC5458"/>
    <w:rsid w:val="00AF2E47"/>
    <w:rsid w:val="00B06E1D"/>
    <w:rsid w:val="00B1476C"/>
    <w:rsid w:val="00B23200"/>
    <w:rsid w:val="00C00C09"/>
    <w:rsid w:val="00C14623"/>
    <w:rsid w:val="00C175DA"/>
    <w:rsid w:val="00C43995"/>
    <w:rsid w:val="00C4646E"/>
    <w:rsid w:val="00C64C5B"/>
    <w:rsid w:val="00C900CA"/>
    <w:rsid w:val="00D55C1B"/>
    <w:rsid w:val="00DB682A"/>
    <w:rsid w:val="00DE78A5"/>
    <w:rsid w:val="00E34190"/>
    <w:rsid w:val="00EE5BE3"/>
    <w:rsid w:val="00F739FF"/>
    <w:rsid w:val="00F758FE"/>
    <w:rsid w:val="00F87B66"/>
    <w:rsid w:val="00F87F23"/>
    <w:rsid w:val="00FC2CFD"/>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2419"/>
    <w:pPr>
      <w:spacing w:after="120" w:line="360" w:lineRule="auto"/>
      <w:jc w:val="both"/>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624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2419"/>
    <w:rPr>
      <w:rFonts w:ascii="Tahoma" w:eastAsia="Times New Roman" w:hAnsi="Tahoma" w:cs="Tahoma"/>
      <w:sz w:val="16"/>
      <w:szCs w:val="16"/>
      <w:lang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758B9A-D642-49D2-98F3-646C0AE00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4</Pages>
  <Words>3265</Words>
  <Characters>18611</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21833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MILLIFID</dc:creator>
  <cp:lastModifiedBy>MILLIFID</cp:lastModifiedBy>
  <cp:revision>6</cp:revision>
  <dcterms:created xsi:type="dcterms:W3CDTF">2021-04-09T23:14:00Z</dcterms:created>
  <dcterms:modified xsi:type="dcterms:W3CDTF">2021-04-13T09:48:00Z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7th edition</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 6th edition</vt:lpwstr>
  </property>
  <property fmtid="{D5CDD505-2E9C-101B-9397-08002B2CF9AE}" pid="6" name="Mendeley Recent Style Id 2_1">
    <vt:lpwstr>http://www.zotero.org/styles/harvard-cite-them-right</vt:lpwstr>
  </property>
  <property fmtid="{D5CDD505-2E9C-101B-9397-08002B2CF9AE}" pid="7" name="Mendeley Recent Style Name 2_1">
    <vt:lpwstr>Cite Them Right 10th edition - Harvard</vt:lpwstr>
  </property>
  <property fmtid="{D5CDD505-2E9C-101B-9397-08002B2CF9AE}" pid="8" name="Mendeley Recent Style Id 3_1">
    <vt:lpwstr>http://www.zotero.org/styles/harvard1</vt:lpwstr>
  </property>
  <property fmtid="{D5CDD505-2E9C-101B-9397-08002B2CF9AE}" pid="9" name="Mendeley Recent Style Name 3_1">
    <vt:lpwstr>Harvard reference format 1 (deprecated)</vt:lpwstr>
  </property>
  <property fmtid="{D5CDD505-2E9C-101B-9397-08002B2CF9AE}" pid="10" name="Mendeley Recent Style Id 4_1">
    <vt:lpwstr>http://www.zotero.org/styles/ieee</vt:lpwstr>
  </property>
  <property fmtid="{D5CDD505-2E9C-101B-9397-08002B2CF9AE}" pid="11" name="Mendeley Recent Style Name 4_1">
    <vt:lpwstr>IEEE</vt:lpwstr>
  </property>
  <property fmtid="{D5CDD505-2E9C-101B-9397-08002B2CF9AE}" pid="12" name="Mendeley Recent Style Id 5_1">
    <vt:lpwstr>http://www.zotero.org/styles/modern-humanities-research-association</vt:lpwstr>
  </property>
  <property fmtid="{D5CDD505-2E9C-101B-9397-08002B2CF9AE}" pid="13" name="Mendeley Recent Style Name 5_1">
    <vt:lpwstr>Modern Humanities Research Association 3rd edition (note with bibliography)</vt:lpwstr>
  </property>
  <property fmtid="{D5CDD505-2E9C-101B-9397-08002B2CF9AE}" pid="14" name="Mendeley Recent Style Id 6_1">
    <vt:lpwstr>http://www.zotero.org/styles/modern-language-association</vt:lpwstr>
  </property>
  <property fmtid="{D5CDD505-2E9C-101B-9397-08002B2CF9AE}" pid="15" name="Mendeley Recent Style Name 6_1">
    <vt:lpwstr>Modern Language Association 8th edition</vt:lpwstr>
  </property>
  <property fmtid="{D5CDD505-2E9C-101B-9397-08002B2CF9AE}" pid="16" name="Mendeley Recent Style Id 7_1">
    <vt:lpwstr>http://www.zotero.org/styles/national-library-of-medicine</vt:lpwstr>
  </property>
  <property fmtid="{D5CDD505-2E9C-101B-9397-08002B2CF9AE}" pid="17" name="Mendeley Recent Style Name 7_1">
    <vt:lpwstr>National Library of Medicine</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55ca6b23-b1dc-3620-996e-9dd0c3d09bca</vt:lpwstr>
  </property>
  <property fmtid="{D5CDD505-2E9C-101B-9397-08002B2CF9AE}" pid="24" name="Mendeley Citation Style_1">
    <vt:lpwstr>http://www.zotero.org/styles/apa</vt:lpwstr>
  </property>
</Properties>
</file>