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745D2F" w14:textId="3BE064EB" w:rsidR="004945DF" w:rsidRPr="00E95D03" w:rsidRDefault="00D6416D" w:rsidP="00D46E28">
      <w:pPr>
        <w:spacing w:line="480" w:lineRule="auto"/>
        <w:rPr>
          <w:b/>
          <w:bCs/>
        </w:rPr>
      </w:pPr>
      <w:r>
        <w:rPr>
          <w:b/>
          <w:bCs/>
        </w:rPr>
        <w:t xml:space="preserve">Multisensory integration by polymodal sensory neurons dictates larval settlement in a </w:t>
      </w:r>
      <w:r w:rsidR="00CD0C18">
        <w:rPr>
          <w:b/>
          <w:bCs/>
        </w:rPr>
        <w:t xml:space="preserve">brainless </w:t>
      </w:r>
      <w:r>
        <w:rPr>
          <w:b/>
          <w:bCs/>
        </w:rPr>
        <w:t>cnidarian larva</w:t>
      </w:r>
    </w:p>
    <w:p w14:paraId="7B15CFAA" w14:textId="1C2BFEA8" w:rsidR="00E95D03" w:rsidRDefault="00E95D03" w:rsidP="00D46E28">
      <w:pPr>
        <w:spacing w:line="480" w:lineRule="auto"/>
      </w:pPr>
    </w:p>
    <w:p w14:paraId="5ED5393D" w14:textId="5BE9A8E6" w:rsidR="00E95D03" w:rsidRDefault="00E95D03" w:rsidP="00D46E28">
      <w:pPr>
        <w:spacing w:line="480" w:lineRule="auto"/>
      </w:pPr>
      <w:r>
        <w:t>Sydney Birch</w:t>
      </w:r>
      <w:r w:rsidR="00E81AAE">
        <w:t>*</w:t>
      </w:r>
      <w:r>
        <w:rPr>
          <w:vertAlign w:val="superscript"/>
        </w:rPr>
        <w:t>1</w:t>
      </w:r>
      <w:r w:rsidR="00093FF9">
        <w:rPr>
          <w:vertAlign w:val="superscript"/>
        </w:rPr>
        <w:t>,</w:t>
      </w:r>
      <w:r w:rsidR="00AE56CD">
        <w:rPr>
          <w:vertAlign w:val="superscript"/>
        </w:rPr>
        <w:t>2</w:t>
      </w:r>
      <w:r>
        <w:t>, David Plachetzki</w:t>
      </w:r>
      <w:r w:rsidR="00AE56CD">
        <w:rPr>
          <w:vertAlign w:val="superscript"/>
        </w:rPr>
        <w:t>1</w:t>
      </w:r>
    </w:p>
    <w:p w14:paraId="1539A956" w14:textId="10012892" w:rsidR="00E95D03" w:rsidRDefault="00E95D03" w:rsidP="00D46E28">
      <w:pPr>
        <w:spacing w:line="480" w:lineRule="auto"/>
      </w:pPr>
    </w:p>
    <w:p w14:paraId="3E4535B2" w14:textId="5FDE3EB0" w:rsidR="00E95D03" w:rsidRDefault="00AE56CD" w:rsidP="00D46E28">
      <w:pPr>
        <w:spacing w:line="480" w:lineRule="auto"/>
      </w:pPr>
      <w:r>
        <w:rPr>
          <w:vertAlign w:val="superscript"/>
        </w:rPr>
        <w:t>1</w:t>
      </w:r>
      <w:r w:rsidR="00E95D03">
        <w:t>Department of Molecular, Cellular, and Biomedical Sciences</w:t>
      </w:r>
      <w:r w:rsidR="0048246E">
        <w:t>;</w:t>
      </w:r>
      <w:r w:rsidR="00E95D03">
        <w:t xml:space="preserve"> University of New Hampshire</w:t>
      </w:r>
      <w:r w:rsidR="0048246E">
        <w:t>;</w:t>
      </w:r>
      <w:r w:rsidR="00E95D03">
        <w:t xml:space="preserve"> Durham</w:t>
      </w:r>
      <w:r w:rsidR="0048246E">
        <w:t>, NH, 03824; USA</w:t>
      </w:r>
    </w:p>
    <w:p w14:paraId="4823CDDD" w14:textId="7755CADB" w:rsidR="00AE56CD" w:rsidRDefault="00AE56CD" w:rsidP="00D46E28">
      <w:pPr>
        <w:spacing w:line="480" w:lineRule="auto"/>
      </w:pPr>
    </w:p>
    <w:p w14:paraId="1B27A646" w14:textId="254FCF3E" w:rsidR="004945DF" w:rsidRDefault="00AE56CD" w:rsidP="00D46E28">
      <w:pPr>
        <w:spacing w:line="480" w:lineRule="auto"/>
      </w:pPr>
      <w:r>
        <w:rPr>
          <w:vertAlign w:val="superscript"/>
        </w:rPr>
        <w:t>2</w:t>
      </w:r>
      <w:r>
        <w:t>Department of Biological Sciences; University of North Carolina Charlotte; Charlotte, NC, 28223; USA</w:t>
      </w:r>
    </w:p>
    <w:p w14:paraId="01CE41A3" w14:textId="77777777" w:rsidR="00B02F06" w:rsidRDefault="00B02F06" w:rsidP="00D46E28">
      <w:pPr>
        <w:spacing w:line="480" w:lineRule="auto"/>
      </w:pPr>
    </w:p>
    <w:p w14:paraId="12CC61BD" w14:textId="3E4DBE30" w:rsidR="0048246E" w:rsidRDefault="0048246E" w:rsidP="00D46E28">
      <w:pPr>
        <w:spacing w:line="480" w:lineRule="auto"/>
      </w:pPr>
      <w:r>
        <w:t>Corresponding authors:</w:t>
      </w:r>
    </w:p>
    <w:p w14:paraId="588EB017" w14:textId="6178D9B8" w:rsidR="0048246E" w:rsidRDefault="00000000" w:rsidP="00D46E28">
      <w:pPr>
        <w:spacing w:line="480" w:lineRule="auto"/>
      </w:pPr>
      <w:hyperlink r:id="rId7" w:history="1">
        <w:r w:rsidR="004750DE" w:rsidRPr="004750DE">
          <w:rPr>
            <w:rStyle w:val="Hyperlink"/>
          </w:rPr>
          <w:t>sbirch1@uncc.edu</w:t>
        </w:r>
      </w:hyperlink>
      <w:r w:rsidR="00834365">
        <w:t xml:space="preserve"> </w:t>
      </w:r>
    </w:p>
    <w:p w14:paraId="3B35AC05" w14:textId="130C8299" w:rsidR="0048246E" w:rsidRDefault="0048246E" w:rsidP="00D46E28">
      <w:pPr>
        <w:spacing w:line="480" w:lineRule="auto"/>
      </w:pPr>
    </w:p>
    <w:p w14:paraId="61FADE81" w14:textId="2F34FC31" w:rsidR="00011364" w:rsidRDefault="00011364" w:rsidP="00D46E28">
      <w:pPr>
        <w:spacing w:line="480" w:lineRule="auto"/>
      </w:pPr>
    </w:p>
    <w:p w14:paraId="1EBBA13F" w14:textId="3AA0B22F" w:rsidR="00011364" w:rsidRDefault="00011364" w:rsidP="00D46E28">
      <w:pPr>
        <w:spacing w:line="480" w:lineRule="auto"/>
      </w:pPr>
    </w:p>
    <w:p w14:paraId="41E09A9A" w14:textId="4F5F0EF5" w:rsidR="00011364" w:rsidRDefault="00011364" w:rsidP="00D46E28">
      <w:pPr>
        <w:spacing w:line="480" w:lineRule="auto"/>
      </w:pPr>
    </w:p>
    <w:p w14:paraId="0CCDB48F" w14:textId="36BB59A1" w:rsidR="00011364" w:rsidRDefault="00011364" w:rsidP="00D46E28">
      <w:pPr>
        <w:spacing w:line="480" w:lineRule="auto"/>
      </w:pPr>
    </w:p>
    <w:p w14:paraId="4C6A558C" w14:textId="060463D4" w:rsidR="00011364" w:rsidRDefault="00011364" w:rsidP="00D46E28">
      <w:pPr>
        <w:spacing w:line="480" w:lineRule="auto"/>
      </w:pPr>
    </w:p>
    <w:p w14:paraId="71767316" w14:textId="77777777" w:rsidR="00011364" w:rsidRDefault="00011364" w:rsidP="00D46E28">
      <w:pPr>
        <w:spacing w:line="480" w:lineRule="auto"/>
      </w:pPr>
    </w:p>
    <w:p w14:paraId="6B3EDC83" w14:textId="6A53B101" w:rsidR="00011364" w:rsidRDefault="00011364" w:rsidP="00D46E28">
      <w:pPr>
        <w:spacing w:line="480" w:lineRule="auto"/>
      </w:pPr>
    </w:p>
    <w:p w14:paraId="27BA5D04" w14:textId="77777777" w:rsidR="00B02F06" w:rsidRDefault="00B02F06" w:rsidP="00D46E28">
      <w:pPr>
        <w:spacing w:line="480" w:lineRule="auto"/>
      </w:pPr>
    </w:p>
    <w:p w14:paraId="56E9AAC0" w14:textId="7224AA94" w:rsidR="004945DF" w:rsidRDefault="00011364" w:rsidP="00D46E28">
      <w:pPr>
        <w:spacing w:line="480" w:lineRule="auto"/>
      </w:pPr>
      <w:r>
        <w:rPr>
          <w:b/>
          <w:bCs/>
        </w:rPr>
        <w:lastRenderedPageBreak/>
        <w:t>Abstract</w:t>
      </w:r>
    </w:p>
    <w:p w14:paraId="2B375503" w14:textId="2E3815C8" w:rsidR="0065397C" w:rsidRDefault="00654B8B" w:rsidP="00011364">
      <w:pPr>
        <w:spacing w:line="480" w:lineRule="auto"/>
        <w:jc w:val="both"/>
        <w:rPr>
          <w:rFonts w:eastAsia="Times New Roman" w:cstheme="minorHAnsi"/>
          <w:color w:val="1D1C1D"/>
        </w:rPr>
      </w:pPr>
      <w:r>
        <w:rPr>
          <w:rFonts w:eastAsia="Times New Roman" w:cstheme="minorHAnsi"/>
          <w:color w:val="1D1C1D"/>
        </w:rPr>
        <w:t>M</w:t>
      </w:r>
      <w:r w:rsidR="00B738F8">
        <w:rPr>
          <w:rFonts w:eastAsia="Times New Roman" w:cstheme="minorHAnsi"/>
          <w:color w:val="1D1C1D"/>
        </w:rPr>
        <w:t xml:space="preserve">ultisensory integration (MSI) </w:t>
      </w:r>
      <w:r w:rsidR="00AE56CD" w:rsidRPr="004E4C2D">
        <w:rPr>
          <w:rFonts w:eastAsia="Times New Roman" w:cstheme="minorHAnsi"/>
          <w:color w:val="1D1C1D"/>
        </w:rPr>
        <w:t xml:space="preserve">combines information from more than one </w:t>
      </w:r>
      <w:r w:rsidR="00FE7278">
        <w:rPr>
          <w:rFonts w:eastAsia="Times New Roman" w:cstheme="minorHAnsi"/>
          <w:color w:val="1D1C1D"/>
        </w:rPr>
        <w:t xml:space="preserve">sensory </w:t>
      </w:r>
      <w:r w:rsidR="00AE56CD" w:rsidRPr="004E4C2D">
        <w:rPr>
          <w:rFonts w:eastAsia="Times New Roman" w:cstheme="minorHAnsi"/>
          <w:color w:val="1D1C1D"/>
        </w:rPr>
        <w:t xml:space="preserve">modality to elicit behaviors distinct from </w:t>
      </w:r>
      <w:r w:rsidR="00AE56CD">
        <w:rPr>
          <w:rFonts w:eastAsia="Times New Roman" w:cstheme="minorHAnsi"/>
          <w:color w:val="1D1C1D"/>
        </w:rPr>
        <w:t>unisensory behaviors</w:t>
      </w:r>
      <w:r w:rsidR="00B738F8">
        <w:rPr>
          <w:rFonts w:eastAsia="Times New Roman" w:cstheme="minorHAnsi"/>
          <w:color w:val="1D1C1D"/>
        </w:rPr>
        <w:t>.</w:t>
      </w:r>
      <w:r w:rsidR="00AE56CD">
        <w:rPr>
          <w:rFonts w:eastAsia="Times New Roman" w:cstheme="minorHAnsi"/>
          <w:color w:val="1D1C1D"/>
        </w:rPr>
        <w:t xml:space="preserve"> MSI is best understood in animals with complex brains and specialized centers </w:t>
      </w:r>
      <w:r w:rsidR="00A35218">
        <w:rPr>
          <w:rFonts w:eastAsia="Times New Roman" w:cstheme="minorHAnsi"/>
          <w:color w:val="1D1C1D"/>
        </w:rPr>
        <w:t>for</w:t>
      </w:r>
      <w:r w:rsidR="00AE56CD">
        <w:rPr>
          <w:rFonts w:eastAsia="Times New Roman" w:cstheme="minorHAnsi"/>
          <w:color w:val="1D1C1D"/>
        </w:rPr>
        <w:t xml:space="preserve"> pars</w:t>
      </w:r>
      <w:r w:rsidR="00A35218">
        <w:rPr>
          <w:rFonts w:eastAsia="Times New Roman" w:cstheme="minorHAnsi"/>
          <w:color w:val="1D1C1D"/>
        </w:rPr>
        <w:t>ing</w:t>
      </w:r>
      <w:r w:rsidR="00AE56CD">
        <w:rPr>
          <w:rFonts w:eastAsia="Times New Roman" w:cstheme="minorHAnsi"/>
          <w:color w:val="1D1C1D"/>
        </w:rPr>
        <w:t xml:space="preserve"> sensory information</w:t>
      </w:r>
      <w:r w:rsidR="00FE7278">
        <w:rPr>
          <w:rFonts w:eastAsia="Times New Roman" w:cstheme="minorHAnsi"/>
          <w:color w:val="1D1C1D"/>
        </w:rPr>
        <w:t xml:space="preserve">, but </w:t>
      </w:r>
      <w:r w:rsidR="0073154C">
        <w:rPr>
          <w:rFonts w:eastAsia="Times New Roman" w:cstheme="minorHAnsi"/>
          <w:color w:val="1D1C1D"/>
        </w:rPr>
        <w:t xml:space="preserve">the dispersive </w:t>
      </w:r>
      <w:r w:rsidR="00FE7278">
        <w:rPr>
          <w:rFonts w:eastAsia="Times New Roman" w:cstheme="minorHAnsi"/>
          <w:color w:val="1D1C1D"/>
        </w:rPr>
        <w:t>l</w:t>
      </w:r>
      <w:r w:rsidR="0090630D">
        <w:rPr>
          <w:rFonts w:eastAsia="Times New Roman" w:cstheme="minorHAnsi"/>
          <w:color w:val="1D1C1D"/>
        </w:rPr>
        <w:t xml:space="preserve">arvae of sessile marine invertebrates </w:t>
      </w:r>
      <w:r w:rsidR="00FE7278">
        <w:rPr>
          <w:rFonts w:eastAsia="Times New Roman" w:cstheme="minorHAnsi"/>
          <w:color w:val="1D1C1D"/>
        </w:rPr>
        <w:t xml:space="preserve">utilize multimodal </w:t>
      </w:r>
      <w:r w:rsidR="00563198">
        <w:rPr>
          <w:rFonts w:eastAsia="Times New Roman" w:cstheme="minorHAnsi"/>
          <w:color w:val="1D1C1D"/>
        </w:rPr>
        <w:t xml:space="preserve">environmental </w:t>
      </w:r>
      <w:r w:rsidR="00B738F8">
        <w:rPr>
          <w:rFonts w:eastAsia="Times New Roman" w:cstheme="minorHAnsi"/>
          <w:color w:val="1D1C1D"/>
        </w:rPr>
        <w:t>sensory stimuli to</w:t>
      </w:r>
      <w:r w:rsidR="00FE7278">
        <w:rPr>
          <w:rFonts w:eastAsia="Times New Roman" w:cstheme="minorHAnsi"/>
          <w:color w:val="1D1C1D"/>
        </w:rPr>
        <w:t xml:space="preserve"> base</w:t>
      </w:r>
      <w:r w:rsidR="00B738F8">
        <w:rPr>
          <w:rFonts w:eastAsia="Times New Roman" w:cstheme="minorHAnsi"/>
          <w:color w:val="1D1C1D"/>
        </w:rPr>
        <w:t xml:space="preserve"> </w:t>
      </w:r>
      <w:r w:rsidR="00FE7278">
        <w:rPr>
          <w:rFonts w:eastAsia="Times New Roman" w:cstheme="minorHAnsi"/>
          <w:color w:val="1D1C1D"/>
        </w:rPr>
        <w:t xml:space="preserve">irreversible </w:t>
      </w:r>
      <w:r w:rsidR="00B738F8">
        <w:rPr>
          <w:rFonts w:eastAsia="Times New Roman" w:cstheme="minorHAnsi"/>
          <w:color w:val="1D1C1D"/>
        </w:rPr>
        <w:t>settle</w:t>
      </w:r>
      <w:r w:rsidR="00FE7278">
        <w:rPr>
          <w:rFonts w:eastAsia="Times New Roman" w:cstheme="minorHAnsi"/>
          <w:color w:val="1D1C1D"/>
        </w:rPr>
        <w:t>ment</w:t>
      </w:r>
      <w:r w:rsidR="00B738F8">
        <w:rPr>
          <w:rFonts w:eastAsia="Times New Roman" w:cstheme="minorHAnsi"/>
          <w:color w:val="1D1C1D"/>
        </w:rPr>
        <w:t xml:space="preserve"> </w:t>
      </w:r>
      <w:r w:rsidR="00FE7278">
        <w:rPr>
          <w:rFonts w:eastAsia="Times New Roman" w:cstheme="minorHAnsi"/>
          <w:color w:val="1D1C1D"/>
        </w:rPr>
        <w:t>decisions</w:t>
      </w:r>
      <w:r w:rsidR="00A35218">
        <w:rPr>
          <w:rFonts w:eastAsia="Times New Roman" w:cstheme="minorHAnsi"/>
          <w:color w:val="1D1C1D"/>
        </w:rPr>
        <w:t xml:space="preserve"> on</w:t>
      </w:r>
      <w:r w:rsidR="002B57A3">
        <w:rPr>
          <w:rFonts w:eastAsia="Times New Roman" w:cstheme="minorHAnsi"/>
          <w:color w:val="1D1C1D"/>
        </w:rPr>
        <w:t>,</w:t>
      </w:r>
      <w:r w:rsidR="004053DE">
        <w:rPr>
          <w:rFonts w:eastAsia="Times New Roman" w:cstheme="minorHAnsi"/>
          <w:color w:val="1D1C1D"/>
        </w:rPr>
        <w:t xml:space="preserve"> and</w:t>
      </w:r>
      <w:r w:rsidR="00AE56CD">
        <w:rPr>
          <w:rFonts w:eastAsia="Times New Roman" w:cstheme="minorHAnsi"/>
          <w:color w:val="1D1C1D"/>
        </w:rPr>
        <w:t xml:space="preserve"> most lack complex brains</w:t>
      </w:r>
      <w:r w:rsidR="00B738F8">
        <w:rPr>
          <w:rFonts w:eastAsia="Times New Roman" w:cstheme="minorHAnsi"/>
          <w:color w:val="1D1C1D"/>
        </w:rPr>
        <w:t xml:space="preserve">. </w:t>
      </w:r>
      <w:r w:rsidR="00D2341A">
        <w:rPr>
          <w:rFonts w:eastAsia="Times New Roman" w:cstheme="minorHAnsi"/>
          <w:color w:val="1D1C1D"/>
        </w:rPr>
        <w:t xml:space="preserve">Here, we examined the </w:t>
      </w:r>
      <w:r w:rsidR="00A35218">
        <w:rPr>
          <w:rFonts w:eastAsia="Times New Roman" w:cstheme="minorHAnsi"/>
          <w:color w:val="1D1C1D"/>
        </w:rPr>
        <w:t xml:space="preserve">sensory determinants of </w:t>
      </w:r>
      <w:r w:rsidR="00D2341A">
        <w:rPr>
          <w:rFonts w:eastAsia="Times New Roman" w:cstheme="minorHAnsi"/>
          <w:color w:val="1D1C1D"/>
        </w:rPr>
        <w:t xml:space="preserve">settlement </w:t>
      </w:r>
      <w:r w:rsidR="00A35218">
        <w:rPr>
          <w:rFonts w:eastAsia="Times New Roman" w:cstheme="minorHAnsi"/>
          <w:color w:val="1D1C1D"/>
        </w:rPr>
        <w:t>in a</w:t>
      </w:r>
      <w:r w:rsidR="00D2341A">
        <w:rPr>
          <w:rFonts w:eastAsia="Times New Roman" w:cstheme="minorHAnsi"/>
          <w:color w:val="1D1C1D"/>
        </w:rPr>
        <w:t>ctinula larva</w:t>
      </w:r>
      <w:r w:rsidR="00D06631">
        <w:rPr>
          <w:rFonts w:eastAsia="Times New Roman" w:cstheme="minorHAnsi"/>
          <w:color w:val="1D1C1D"/>
        </w:rPr>
        <w:t>e</w:t>
      </w:r>
      <w:r w:rsidR="00D2341A">
        <w:rPr>
          <w:rFonts w:eastAsia="Times New Roman" w:cstheme="minorHAnsi"/>
          <w:color w:val="1D1C1D"/>
        </w:rPr>
        <w:t xml:space="preserve"> of the hydrozoan </w:t>
      </w:r>
      <w:r w:rsidR="00D2341A" w:rsidRPr="007411DA">
        <w:rPr>
          <w:rFonts w:eastAsia="Times New Roman" w:cstheme="minorHAnsi"/>
          <w:i/>
          <w:iCs/>
          <w:color w:val="1D1C1D"/>
        </w:rPr>
        <w:t>Ectopleura crocea</w:t>
      </w:r>
      <w:r w:rsidR="00563198">
        <w:rPr>
          <w:rFonts w:eastAsia="Times New Roman" w:cstheme="minorHAnsi"/>
          <w:i/>
          <w:iCs/>
          <w:color w:val="1D1C1D"/>
        </w:rPr>
        <w:t xml:space="preserve"> </w:t>
      </w:r>
      <w:r w:rsidR="00563198" w:rsidRPr="0065397C">
        <w:rPr>
          <w:rFonts w:eastAsia="Times New Roman" w:cstheme="minorHAnsi"/>
          <w:color w:val="1D1C1D"/>
        </w:rPr>
        <w:t>(</w:t>
      </w:r>
      <w:r w:rsidR="00563198">
        <w:rPr>
          <w:rFonts w:eastAsia="Times New Roman" w:cstheme="minorHAnsi"/>
          <w:color w:val="1D1C1D"/>
        </w:rPr>
        <w:t>Cnidaria)</w:t>
      </w:r>
      <w:r w:rsidR="00D2341A">
        <w:rPr>
          <w:rFonts w:eastAsia="Times New Roman" w:cstheme="minorHAnsi"/>
          <w:color w:val="1D1C1D"/>
        </w:rPr>
        <w:t xml:space="preserve">, which possess a diffuse nerve net. </w:t>
      </w:r>
      <w:r w:rsidR="00FE7278">
        <w:rPr>
          <w:rFonts w:eastAsia="Times New Roman" w:cstheme="minorHAnsi"/>
          <w:color w:val="1D1C1D"/>
        </w:rPr>
        <w:t>A</w:t>
      </w:r>
      <w:r w:rsidR="00D2341A">
        <w:rPr>
          <w:rFonts w:eastAsia="Times New Roman" w:cstheme="minorHAnsi"/>
          <w:color w:val="1D1C1D"/>
        </w:rPr>
        <w:t xml:space="preserve"> factorial settlement study revealed </w:t>
      </w:r>
      <w:r w:rsidR="0083272F">
        <w:rPr>
          <w:rFonts w:eastAsia="Times New Roman" w:cstheme="minorHAnsi"/>
          <w:color w:val="1D1C1D"/>
        </w:rPr>
        <w:t xml:space="preserve">that </w:t>
      </w:r>
      <w:r w:rsidR="0090630D">
        <w:rPr>
          <w:rFonts w:eastAsia="Times New Roman" w:cstheme="minorHAnsi"/>
          <w:color w:val="1D1C1D"/>
        </w:rPr>
        <w:t>photo-</w:t>
      </w:r>
      <w:r w:rsidR="00A5065B">
        <w:rPr>
          <w:rFonts w:eastAsia="Times New Roman" w:cstheme="minorHAnsi"/>
          <w:color w:val="1D1C1D"/>
        </w:rPr>
        <w:t>,</w:t>
      </w:r>
      <w:r w:rsidR="0090630D">
        <w:rPr>
          <w:rFonts w:eastAsia="Times New Roman" w:cstheme="minorHAnsi"/>
          <w:color w:val="1D1C1D"/>
        </w:rPr>
        <w:t xml:space="preserve"> chemo-</w:t>
      </w:r>
      <w:r w:rsidR="00A5065B">
        <w:rPr>
          <w:rFonts w:eastAsia="Times New Roman" w:cstheme="minorHAnsi"/>
          <w:color w:val="1D1C1D"/>
        </w:rPr>
        <w:t>,</w:t>
      </w:r>
      <w:r w:rsidR="0090630D">
        <w:rPr>
          <w:rFonts w:eastAsia="Times New Roman" w:cstheme="minorHAnsi"/>
          <w:color w:val="1D1C1D"/>
        </w:rPr>
        <w:t xml:space="preserve"> and mechano</w:t>
      </w:r>
      <w:r w:rsidR="0083272F">
        <w:rPr>
          <w:rFonts w:eastAsia="Times New Roman" w:cstheme="minorHAnsi"/>
          <w:color w:val="1D1C1D"/>
        </w:rPr>
        <w:t>-</w:t>
      </w:r>
      <w:r w:rsidR="0090630D">
        <w:rPr>
          <w:rFonts w:eastAsia="Times New Roman" w:cstheme="minorHAnsi"/>
          <w:color w:val="1D1C1D"/>
        </w:rPr>
        <w:t xml:space="preserve">sensory cues </w:t>
      </w:r>
      <w:r w:rsidR="0073154C">
        <w:rPr>
          <w:rFonts w:eastAsia="Times New Roman" w:cstheme="minorHAnsi"/>
          <w:color w:val="1D1C1D"/>
        </w:rPr>
        <w:t xml:space="preserve">each </w:t>
      </w:r>
      <w:r w:rsidR="0083272F">
        <w:rPr>
          <w:rFonts w:eastAsia="Times New Roman" w:cstheme="minorHAnsi"/>
          <w:color w:val="1D1C1D"/>
        </w:rPr>
        <w:t>influence</w:t>
      </w:r>
      <w:r w:rsidR="00FE7278">
        <w:rPr>
          <w:rFonts w:eastAsia="Times New Roman" w:cstheme="minorHAnsi"/>
          <w:color w:val="1D1C1D"/>
        </w:rPr>
        <w:t xml:space="preserve"> the settlement response</w:t>
      </w:r>
      <w:r w:rsidR="0083272F">
        <w:rPr>
          <w:rFonts w:eastAsia="Times New Roman" w:cstheme="minorHAnsi"/>
          <w:color w:val="1D1C1D"/>
        </w:rPr>
        <w:t>, which</w:t>
      </w:r>
      <w:r w:rsidR="00FE7278">
        <w:rPr>
          <w:rFonts w:eastAsia="Times New Roman" w:cstheme="minorHAnsi"/>
          <w:color w:val="1D1C1D"/>
        </w:rPr>
        <w:t xml:space="preserve"> </w:t>
      </w:r>
      <w:r w:rsidR="004E4209">
        <w:rPr>
          <w:rFonts w:eastAsia="Times New Roman" w:cstheme="minorHAnsi"/>
          <w:color w:val="1D1C1D"/>
        </w:rPr>
        <w:t>was</w:t>
      </w:r>
      <w:r w:rsidR="00FE7278">
        <w:rPr>
          <w:rFonts w:eastAsia="Times New Roman" w:cstheme="minorHAnsi"/>
          <w:color w:val="1D1C1D"/>
        </w:rPr>
        <w:t xml:space="preserve"> complex and dependent on specific </w:t>
      </w:r>
      <w:r w:rsidR="0090630D">
        <w:rPr>
          <w:rFonts w:eastAsia="Times New Roman" w:cstheme="minorHAnsi"/>
          <w:color w:val="1D1C1D"/>
        </w:rPr>
        <w:t>combinations of cues</w:t>
      </w:r>
      <w:r w:rsidR="00C4396C">
        <w:rPr>
          <w:rFonts w:eastAsia="Times New Roman" w:cstheme="minorHAnsi"/>
          <w:color w:val="1D1C1D"/>
        </w:rPr>
        <w:t>,</w:t>
      </w:r>
      <w:r w:rsidR="00545EB4">
        <w:rPr>
          <w:rFonts w:eastAsia="Times New Roman" w:cstheme="minorHAnsi"/>
          <w:color w:val="1D1C1D"/>
        </w:rPr>
        <w:t xml:space="preserve"> therefore</w:t>
      </w:r>
      <w:r w:rsidR="00C4396C">
        <w:rPr>
          <w:rFonts w:eastAsia="Times New Roman" w:cstheme="minorHAnsi"/>
          <w:color w:val="1D1C1D"/>
        </w:rPr>
        <w:t xml:space="preserve"> indicating MSI</w:t>
      </w:r>
      <w:r w:rsidR="0090630D">
        <w:rPr>
          <w:rFonts w:eastAsia="Times New Roman" w:cstheme="minorHAnsi"/>
          <w:color w:val="1D1C1D"/>
        </w:rPr>
        <w:t>.</w:t>
      </w:r>
      <w:r w:rsidR="0073154C">
        <w:rPr>
          <w:rFonts w:eastAsia="Times New Roman" w:cstheme="minorHAnsi"/>
          <w:color w:val="1D1C1D"/>
        </w:rPr>
        <w:t xml:space="preserve"> Mechanosensory cues either inhibited or enhanced settlement rates depending on the presence </w:t>
      </w:r>
      <w:r w:rsidR="004E4209">
        <w:rPr>
          <w:rFonts w:eastAsia="Times New Roman" w:cstheme="minorHAnsi"/>
          <w:color w:val="1D1C1D"/>
        </w:rPr>
        <w:t xml:space="preserve">or absence </w:t>
      </w:r>
      <w:r w:rsidR="0073154C">
        <w:rPr>
          <w:rFonts w:eastAsia="Times New Roman" w:cstheme="minorHAnsi"/>
          <w:color w:val="1D1C1D"/>
        </w:rPr>
        <w:t xml:space="preserve">of chemical and light cues in the </w:t>
      </w:r>
      <w:r w:rsidR="0083272F">
        <w:rPr>
          <w:rFonts w:eastAsia="Times New Roman" w:cstheme="minorHAnsi"/>
          <w:color w:val="1D1C1D"/>
        </w:rPr>
        <w:t>environment</w:t>
      </w:r>
      <w:r w:rsidR="0073154C">
        <w:rPr>
          <w:rFonts w:eastAsia="Times New Roman" w:cstheme="minorHAnsi"/>
          <w:color w:val="1D1C1D"/>
        </w:rPr>
        <w:t>.</w:t>
      </w:r>
      <w:r w:rsidR="0090630D">
        <w:rPr>
          <w:rFonts w:eastAsia="Times New Roman" w:cstheme="minorHAnsi"/>
          <w:color w:val="1D1C1D"/>
        </w:rPr>
        <w:t xml:space="preserve"> </w:t>
      </w:r>
      <w:r w:rsidR="0083272F">
        <w:rPr>
          <w:rFonts w:eastAsia="Times New Roman" w:cstheme="minorHAnsi"/>
          <w:color w:val="1D1C1D"/>
        </w:rPr>
        <w:t>Sensory g</w:t>
      </w:r>
      <w:r w:rsidR="0073154C">
        <w:rPr>
          <w:rFonts w:eastAsia="Times New Roman" w:cstheme="minorHAnsi"/>
          <w:color w:val="1D1C1D"/>
        </w:rPr>
        <w:t>ene expression over</w:t>
      </w:r>
      <w:r w:rsidR="00D2341A">
        <w:rPr>
          <w:rFonts w:eastAsia="Times New Roman" w:cstheme="minorHAnsi"/>
          <w:color w:val="1D1C1D"/>
        </w:rPr>
        <w:t xml:space="preserve"> developmen</w:t>
      </w:r>
      <w:r w:rsidR="00434138">
        <w:rPr>
          <w:rFonts w:eastAsia="Times New Roman" w:cstheme="minorHAnsi"/>
          <w:color w:val="1D1C1D"/>
        </w:rPr>
        <w:t>t</w:t>
      </w:r>
      <w:r w:rsidR="0073154C">
        <w:rPr>
          <w:rFonts w:eastAsia="Times New Roman" w:cstheme="minorHAnsi"/>
          <w:color w:val="1D1C1D"/>
        </w:rPr>
        <w:t xml:space="preserve"> </w:t>
      </w:r>
      <w:r w:rsidR="00D2341A">
        <w:rPr>
          <w:rFonts w:eastAsia="Times New Roman" w:cstheme="minorHAnsi"/>
          <w:color w:val="1D1C1D"/>
        </w:rPr>
        <w:t>peak</w:t>
      </w:r>
      <w:r w:rsidR="00A35218">
        <w:rPr>
          <w:rFonts w:eastAsia="Times New Roman" w:cstheme="minorHAnsi"/>
          <w:color w:val="1D1C1D"/>
        </w:rPr>
        <w:t>ed</w:t>
      </w:r>
      <w:r w:rsidR="00D2341A">
        <w:rPr>
          <w:rFonts w:eastAsia="Times New Roman" w:cstheme="minorHAnsi"/>
          <w:color w:val="1D1C1D"/>
        </w:rPr>
        <w:t xml:space="preserve"> </w:t>
      </w:r>
      <w:r w:rsidR="004053DE">
        <w:rPr>
          <w:rFonts w:eastAsia="Times New Roman" w:cstheme="minorHAnsi"/>
          <w:color w:val="1D1C1D"/>
        </w:rPr>
        <w:t>with</w:t>
      </w:r>
      <w:r w:rsidR="00D2341A" w:rsidRPr="005F1F04">
        <w:rPr>
          <w:rFonts w:eastAsia="Times New Roman" w:cstheme="minorHAnsi"/>
          <w:color w:val="1D1C1D"/>
        </w:rPr>
        <w:t xml:space="preserve"> </w:t>
      </w:r>
      <w:r w:rsidR="004053DE">
        <w:rPr>
          <w:rFonts w:eastAsia="Times New Roman" w:cstheme="minorHAnsi"/>
          <w:color w:val="1D1C1D"/>
        </w:rPr>
        <w:t xml:space="preserve">developmental </w:t>
      </w:r>
      <w:r w:rsidR="004053DE" w:rsidRPr="005F1F04">
        <w:rPr>
          <w:rFonts w:eastAsia="Times New Roman" w:cstheme="minorHAnsi"/>
          <w:color w:val="1D1C1D"/>
        </w:rPr>
        <w:t>competenc</w:t>
      </w:r>
      <w:r w:rsidR="004053DE">
        <w:rPr>
          <w:rFonts w:eastAsia="Times New Roman" w:cstheme="minorHAnsi"/>
          <w:color w:val="1D1C1D"/>
        </w:rPr>
        <w:t>e</w:t>
      </w:r>
      <w:r w:rsidR="00D2341A" w:rsidRPr="005F1F04">
        <w:rPr>
          <w:rFonts w:eastAsia="Times New Roman" w:cstheme="minorHAnsi"/>
          <w:color w:val="1D1C1D"/>
        </w:rPr>
        <w:t xml:space="preserve"> to settle</w:t>
      </w:r>
      <w:r w:rsidR="00563198">
        <w:rPr>
          <w:rFonts w:eastAsia="Times New Roman" w:cstheme="minorHAnsi"/>
          <w:color w:val="1D1C1D"/>
        </w:rPr>
        <w:t>,</w:t>
      </w:r>
      <w:r w:rsidR="004053DE">
        <w:rPr>
          <w:rFonts w:eastAsia="Times New Roman" w:cstheme="minorHAnsi"/>
          <w:color w:val="1D1C1D"/>
        </w:rPr>
        <w:t xml:space="preserve"> which </w:t>
      </w:r>
      <w:r w:rsidR="0073154C">
        <w:rPr>
          <w:rFonts w:eastAsia="Times New Roman" w:cstheme="minorHAnsi"/>
          <w:color w:val="1D1C1D"/>
        </w:rPr>
        <w:t xml:space="preserve">in actinulae, </w:t>
      </w:r>
      <w:r w:rsidR="004053DE">
        <w:rPr>
          <w:rFonts w:eastAsia="Times New Roman" w:cstheme="minorHAnsi"/>
          <w:color w:val="1D1C1D"/>
        </w:rPr>
        <w:t>requires cnidocyte discharge.</w:t>
      </w:r>
      <w:r w:rsidR="00563198">
        <w:rPr>
          <w:rFonts w:eastAsia="Times New Roman" w:cstheme="minorHAnsi"/>
          <w:color w:val="1D1C1D"/>
        </w:rPr>
        <w:t xml:space="preserve"> </w:t>
      </w:r>
      <w:r w:rsidR="00545EB4">
        <w:rPr>
          <w:rFonts w:eastAsia="Times New Roman" w:cstheme="minorHAnsi"/>
          <w:color w:val="1D1C1D"/>
        </w:rPr>
        <w:t>T</w:t>
      </w:r>
      <w:r w:rsidR="00A35218">
        <w:rPr>
          <w:rFonts w:eastAsia="Times New Roman" w:cstheme="minorHAnsi"/>
          <w:color w:val="1D1C1D"/>
        </w:rPr>
        <w:t>ranscriptome</w:t>
      </w:r>
      <w:r w:rsidR="00545EB4">
        <w:rPr>
          <w:rFonts w:eastAsia="Times New Roman" w:cstheme="minorHAnsi"/>
          <w:color w:val="1D1C1D"/>
        </w:rPr>
        <w:t xml:space="preserve"> analyses</w:t>
      </w:r>
      <w:r w:rsidR="004053DE">
        <w:rPr>
          <w:rFonts w:eastAsia="Times New Roman" w:cstheme="minorHAnsi"/>
          <w:color w:val="1D1C1D"/>
        </w:rPr>
        <w:t xml:space="preserve"> also</w:t>
      </w:r>
      <w:r w:rsidR="00FE7278">
        <w:rPr>
          <w:rFonts w:eastAsia="Times New Roman" w:cstheme="minorHAnsi"/>
          <w:color w:val="1D1C1D"/>
        </w:rPr>
        <w:t xml:space="preserve"> </w:t>
      </w:r>
      <w:r w:rsidR="00563198">
        <w:rPr>
          <w:rFonts w:eastAsia="Times New Roman" w:cstheme="minorHAnsi"/>
          <w:color w:val="1D1C1D"/>
        </w:rPr>
        <w:t>highlight</w:t>
      </w:r>
      <w:r w:rsidR="004E4209">
        <w:rPr>
          <w:rFonts w:eastAsia="Times New Roman" w:cstheme="minorHAnsi"/>
          <w:color w:val="1D1C1D"/>
        </w:rPr>
        <w:t>ed</w:t>
      </w:r>
      <w:r w:rsidR="00563198">
        <w:rPr>
          <w:rFonts w:eastAsia="Times New Roman" w:cstheme="minorHAnsi"/>
          <w:color w:val="1D1C1D"/>
        </w:rPr>
        <w:t xml:space="preserve"> several deep homological links </w:t>
      </w:r>
      <w:r w:rsidR="00545EB4">
        <w:rPr>
          <w:rFonts w:eastAsia="Times New Roman" w:cstheme="minorHAnsi"/>
          <w:color w:val="1D1C1D"/>
        </w:rPr>
        <w:t xml:space="preserve">between </w:t>
      </w:r>
      <w:r w:rsidR="00A35218">
        <w:rPr>
          <w:rFonts w:eastAsia="Times New Roman" w:cstheme="minorHAnsi"/>
          <w:color w:val="1D1C1D"/>
        </w:rPr>
        <w:t>cnidarian</w:t>
      </w:r>
      <w:r w:rsidR="00545EB4">
        <w:rPr>
          <w:rFonts w:eastAsia="Times New Roman" w:cstheme="minorHAnsi"/>
          <w:color w:val="1D1C1D"/>
        </w:rPr>
        <w:t xml:space="preserve"> and</w:t>
      </w:r>
      <w:r w:rsidR="00563198">
        <w:rPr>
          <w:rFonts w:eastAsia="Times New Roman" w:cstheme="minorHAnsi"/>
          <w:color w:val="1D1C1D"/>
        </w:rPr>
        <w:t xml:space="preserve"> bilaterian mechano- chemo- and photo-sensory pathways</w:t>
      </w:r>
      <w:r w:rsidR="00D2341A" w:rsidRPr="005F1F04">
        <w:rPr>
          <w:rFonts w:eastAsia="Times New Roman" w:cstheme="minorHAnsi"/>
          <w:color w:val="1D1C1D"/>
        </w:rPr>
        <w:t>.</w:t>
      </w:r>
      <w:r w:rsidR="00D2341A">
        <w:rPr>
          <w:rFonts w:eastAsia="Times New Roman" w:cstheme="minorHAnsi"/>
          <w:color w:val="1D1C1D"/>
        </w:rPr>
        <w:t xml:space="preserve"> </w:t>
      </w:r>
      <w:r w:rsidR="00563198">
        <w:rPr>
          <w:rFonts w:eastAsia="Times New Roman" w:cstheme="minorHAnsi"/>
          <w:color w:val="1D1C1D"/>
        </w:rPr>
        <w:t>F</w:t>
      </w:r>
      <w:r w:rsidR="0008263A">
        <w:rPr>
          <w:rFonts w:eastAsia="Times New Roman" w:cstheme="minorHAnsi"/>
          <w:color w:val="1D1C1D"/>
        </w:rPr>
        <w:t xml:space="preserve">luorescent </w:t>
      </w:r>
      <w:r w:rsidR="00D2341A" w:rsidRPr="0008263A">
        <w:rPr>
          <w:rFonts w:eastAsia="Times New Roman" w:cstheme="minorHAnsi"/>
          <w:i/>
          <w:iCs/>
          <w:color w:val="1D1C1D"/>
        </w:rPr>
        <w:t>in</w:t>
      </w:r>
      <w:r w:rsidR="0008263A">
        <w:rPr>
          <w:rFonts w:eastAsia="Times New Roman" w:cstheme="minorHAnsi"/>
          <w:i/>
          <w:iCs/>
          <w:color w:val="1D1C1D"/>
        </w:rPr>
        <w:t xml:space="preserve"> </w:t>
      </w:r>
      <w:r w:rsidR="00D2341A" w:rsidRPr="0008263A">
        <w:rPr>
          <w:rFonts w:eastAsia="Times New Roman" w:cstheme="minorHAnsi"/>
          <w:i/>
          <w:iCs/>
          <w:color w:val="1D1C1D"/>
        </w:rPr>
        <w:t>situ</w:t>
      </w:r>
      <w:r w:rsidR="00D2341A">
        <w:rPr>
          <w:rFonts w:eastAsia="Times New Roman" w:cstheme="minorHAnsi"/>
          <w:color w:val="1D1C1D"/>
        </w:rPr>
        <w:t xml:space="preserve"> hybridization studies of candidate </w:t>
      </w:r>
      <w:r w:rsidR="00563198">
        <w:rPr>
          <w:rFonts w:eastAsia="Times New Roman" w:cstheme="minorHAnsi"/>
          <w:color w:val="1D1C1D"/>
        </w:rPr>
        <w:t xml:space="preserve">transcripts </w:t>
      </w:r>
      <w:r w:rsidR="0083272F">
        <w:rPr>
          <w:rFonts w:eastAsia="Times New Roman" w:cstheme="minorHAnsi"/>
          <w:color w:val="1D1C1D"/>
        </w:rPr>
        <w:t>suggest</w:t>
      </w:r>
      <w:r w:rsidR="004E4209">
        <w:rPr>
          <w:rFonts w:eastAsia="Times New Roman" w:cstheme="minorHAnsi"/>
          <w:color w:val="1D1C1D"/>
        </w:rPr>
        <w:t>ed</w:t>
      </w:r>
      <w:r w:rsidR="00FE7278">
        <w:rPr>
          <w:rFonts w:eastAsia="Times New Roman" w:cstheme="minorHAnsi"/>
          <w:color w:val="1D1C1D"/>
        </w:rPr>
        <w:t xml:space="preserve"> cellular partitioning </w:t>
      </w:r>
      <w:r w:rsidR="0073154C">
        <w:rPr>
          <w:rFonts w:eastAsia="Times New Roman" w:cstheme="minorHAnsi"/>
          <w:color w:val="1D1C1D"/>
        </w:rPr>
        <w:t xml:space="preserve">of sensory function </w:t>
      </w:r>
      <w:r w:rsidR="00FE7278">
        <w:rPr>
          <w:rFonts w:eastAsia="Times New Roman" w:cstheme="minorHAnsi"/>
          <w:color w:val="1D1C1D"/>
        </w:rPr>
        <w:t xml:space="preserve">among </w:t>
      </w:r>
      <w:r w:rsidR="0073154C">
        <w:rPr>
          <w:rFonts w:eastAsia="Times New Roman" w:cstheme="minorHAnsi"/>
          <w:color w:val="1D1C1D"/>
        </w:rPr>
        <w:t xml:space="preserve">the few </w:t>
      </w:r>
      <w:r w:rsidR="00FE7278">
        <w:rPr>
          <w:rFonts w:eastAsia="Times New Roman" w:cstheme="minorHAnsi"/>
          <w:color w:val="1D1C1D"/>
        </w:rPr>
        <w:t>cell types</w:t>
      </w:r>
      <w:r w:rsidR="0073154C">
        <w:rPr>
          <w:rFonts w:eastAsia="Times New Roman" w:cstheme="minorHAnsi"/>
          <w:color w:val="1D1C1D"/>
        </w:rPr>
        <w:t xml:space="preserve"> that comprise the actinula nervous system</w:t>
      </w:r>
      <w:r w:rsidR="00A35218">
        <w:rPr>
          <w:rFonts w:eastAsia="Times New Roman" w:cstheme="minorHAnsi"/>
          <w:color w:val="1D1C1D"/>
        </w:rPr>
        <w:t>,</w:t>
      </w:r>
      <w:r w:rsidR="0073154C">
        <w:rPr>
          <w:rFonts w:eastAsia="Times New Roman" w:cstheme="minorHAnsi"/>
          <w:color w:val="1D1C1D"/>
        </w:rPr>
        <w:t xml:space="preserve"> where</w:t>
      </w:r>
      <w:r w:rsidR="00FE7278">
        <w:rPr>
          <w:rFonts w:eastAsia="Times New Roman" w:cstheme="minorHAnsi"/>
          <w:color w:val="1D1C1D"/>
        </w:rPr>
        <w:t xml:space="preserve"> </w:t>
      </w:r>
      <w:r w:rsidR="00563198">
        <w:rPr>
          <w:rFonts w:eastAsia="Times New Roman" w:cstheme="minorHAnsi"/>
          <w:color w:val="1D1C1D"/>
        </w:rPr>
        <w:t xml:space="preserve">ubiquitous </w:t>
      </w:r>
      <w:r w:rsidR="00FE7278">
        <w:rPr>
          <w:rFonts w:eastAsia="Times New Roman" w:cstheme="minorHAnsi"/>
          <w:color w:val="1D1C1D"/>
        </w:rPr>
        <w:t>polymodal sensory neurons</w:t>
      </w:r>
      <w:r w:rsidR="00563198">
        <w:rPr>
          <w:rFonts w:eastAsia="Times New Roman" w:cstheme="minorHAnsi"/>
          <w:color w:val="1D1C1D"/>
        </w:rPr>
        <w:t xml:space="preserve"> with putative </w:t>
      </w:r>
      <w:r w:rsidR="0083272F">
        <w:rPr>
          <w:rFonts w:eastAsia="Times New Roman" w:cstheme="minorHAnsi"/>
          <w:color w:val="1D1C1D"/>
        </w:rPr>
        <w:t xml:space="preserve">chemo- </w:t>
      </w:r>
      <w:r w:rsidR="00563198">
        <w:rPr>
          <w:rFonts w:eastAsia="Times New Roman" w:cstheme="minorHAnsi"/>
          <w:color w:val="1D1C1D"/>
        </w:rPr>
        <w:t>and photo</w:t>
      </w:r>
      <w:r w:rsidR="0083272F">
        <w:rPr>
          <w:rFonts w:eastAsia="Times New Roman" w:cstheme="minorHAnsi"/>
          <w:color w:val="1D1C1D"/>
        </w:rPr>
        <w:t>-</w:t>
      </w:r>
      <w:r w:rsidR="004053DE">
        <w:rPr>
          <w:rFonts w:eastAsia="Times New Roman" w:cstheme="minorHAnsi"/>
          <w:color w:val="1D1C1D"/>
        </w:rPr>
        <w:t>sensitivity</w:t>
      </w:r>
      <w:r w:rsidR="0073154C">
        <w:rPr>
          <w:rFonts w:eastAsia="Times New Roman" w:cstheme="minorHAnsi"/>
          <w:color w:val="1D1C1D"/>
        </w:rPr>
        <w:t xml:space="preserve"> </w:t>
      </w:r>
      <w:r w:rsidR="004053DE">
        <w:rPr>
          <w:rFonts w:eastAsia="Times New Roman" w:cstheme="minorHAnsi"/>
          <w:color w:val="1D1C1D"/>
        </w:rPr>
        <w:t>interface with mechanoreceptive</w:t>
      </w:r>
      <w:r w:rsidR="0073154C">
        <w:rPr>
          <w:rFonts w:eastAsia="Times New Roman" w:cstheme="minorHAnsi"/>
          <w:color w:val="1D1C1D"/>
        </w:rPr>
        <w:t xml:space="preserve"> </w:t>
      </w:r>
      <w:r w:rsidR="004053DE">
        <w:rPr>
          <w:rFonts w:eastAsia="Times New Roman" w:cstheme="minorHAnsi"/>
          <w:color w:val="1D1C1D"/>
        </w:rPr>
        <w:t xml:space="preserve">cnidocytes. We </w:t>
      </w:r>
      <w:r w:rsidR="0073154C">
        <w:rPr>
          <w:rFonts w:eastAsia="Times New Roman" w:cstheme="minorHAnsi"/>
          <w:color w:val="1D1C1D"/>
        </w:rPr>
        <w:t xml:space="preserve">propose that </w:t>
      </w:r>
      <w:r w:rsidR="002B334D">
        <w:rPr>
          <w:rFonts w:eastAsia="Times New Roman" w:cstheme="minorHAnsi"/>
          <w:color w:val="1D1C1D"/>
        </w:rPr>
        <w:t xml:space="preserve">a </w:t>
      </w:r>
      <w:r w:rsidR="0073154C">
        <w:rPr>
          <w:rFonts w:eastAsia="Times New Roman" w:cstheme="minorHAnsi"/>
          <w:color w:val="1D1C1D"/>
        </w:rPr>
        <w:t xml:space="preserve">simple </w:t>
      </w:r>
      <w:r w:rsidR="0083272F">
        <w:rPr>
          <w:rFonts w:eastAsia="Times New Roman" w:cstheme="minorHAnsi"/>
          <w:color w:val="1D1C1D"/>
        </w:rPr>
        <w:t xml:space="preserve">multisensory processing </w:t>
      </w:r>
      <w:r w:rsidR="0073154C">
        <w:rPr>
          <w:rFonts w:eastAsia="Times New Roman" w:cstheme="minorHAnsi"/>
          <w:color w:val="1D1C1D"/>
        </w:rPr>
        <w:t>circuit</w:t>
      </w:r>
      <w:r w:rsidR="0083272F">
        <w:rPr>
          <w:rFonts w:eastAsia="Times New Roman" w:cstheme="minorHAnsi"/>
          <w:color w:val="1D1C1D"/>
        </w:rPr>
        <w:t xml:space="preserve">, involving polymodal </w:t>
      </w:r>
      <w:r w:rsidR="00994169">
        <w:rPr>
          <w:rFonts w:eastAsia="Times New Roman" w:cstheme="minorHAnsi"/>
          <w:color w:val="1D1C1D"/>
        </w:rPr>
        <w:t>chemo/photo</w:t>
      </w:r>
      <w:r w:rsidR="0083272F">
        <w:rPr>
          <w:rFonts w:eastAsia="Times New Roman" w:cstheme="minorHAnsi"/>
          <w:color w:val="1D1C1D"/>
        </w:rPr>
        <w:t>sensory neurons and mechanoreceptive cnidocytes</w:t>
      </w:r>
      <w:r w:rsidR="00545EB4">
        <w:rPr>
          <w:rFonts w:eastAsia="Times New Roman" w:cstheme="minorHAnsi"/>
          <w:color w:val="1D1C1D"/>
        </w:rPr>
        <w:t>,</w:t>
      </w:r>
      <w:r w:rsidR="0083272F">
        <w:rPr>
          <w:rFonts w:eastAsia="Times New Roman" w:cstheme="minorHAnsi"/>
          <w:color w:val="1D1C1D"/>
        </w:rPr>
        <w:t xml:space="preserve"> is sufficient </w:t>
      </w:r>
      <w:r w:rsidR="00994169">
        <w:rPr>
          <w:rFonts w:eastAsia="Times New Roman" w:cstheme="minorHAnsi"/>
          <w:color w:val="1D1C1D"/>
        </w:rPr>
        <w:t>to explain</w:t>
      </w:r>
      <w:r w:rsidR="0083272F">
        <w:rPr>
          <w:rFonts w:eastAsia="Times New Roman" w:cstheme="minorHAnsi"/>
          <w:color w:val="1D1C1D"/>
        </w:rPr>
        <w:t xml:space="preserve"> MSI in actinulae</w:t>
      </w:r>
      <w:r w:rsidR="00434138">
        <w:rPr>
          <w:rFonts w:eastAsia="Times New Roman" w:cstheme="minorHAnsi"/>
          <w:color w:val="1D1C1D"/>
        </w:rPr>
        <w:t xml:space="preserve"> settlement</w:t>
      </w:r>
      <w:r w:rsidR="0083272F">
        <w:rPr>
          <w:rFonts w:eastAsia="Times New Roman" w:cstheme="minorHAnsi"/>
          <w:color w:val="1D1C1D"/>
        </w:rPr>
        <w:t>.</w:t>
      </w:r>
      <w:r w:rsidR="00434138">
        <w:rPr>
          <w:rFonts w:eastAsia="Times New Roman" w:cstheme="minorHAnsi"/>
          <w:color w:val="1D1C1D"/>
        </w:rPr>
        <w:t xml:space="preserve"> Our study demonstrates that MSI is not exclusive to complex brains</w:t>
      </w:r>
      <w:r w:rsidR="004E4209">
        <w:rPr>
          <w:rFonts w:eastAsia="Times New Roman" w:cstheme="minorHAnsi"/>
          <w:color w:val="1D1C1D"/>
        </w:rPr>
        <w:t>, but likely predated and contextualized the</w:t>
      </w:r>
      <w:r w:rsidR="00663443">
        <w:rPr>
          <w:rFonts w:eastAsia="Times New Roman" w:cstheme="minorHAnsi"/>
          <w:color w:val="1D1C1D"/>
        </w:rPr>
        <w:t>ir</w:t>
      </w:r>
      <w:r w:rsidR="004E4209">
        <w:rPr>
          <w:rFonts w:eastAsia="Times New Roman" w:cstheme="minorHAnsi"/>
          <w:color w:val="1D1C1D"/>
        </w:rPr>
        <w:t xml:space="preserve"> evolution.</w:t>
      </w:r>
      <w:r w:rsidR="0083272F">
        <w:rPr>
          <w:rFonts w:eastAsia="Times New Roman" w:cstheme="minorHAnsi"/>
          <w:color w:val="1D1C1D"/>
        </w:rPr>
        <w:t xml:space="preserve"> </w:t>
      </w:r>
    </w:p>
    <w:p w14:paraId="4180784E" w14:textId="0AD13592" w:rsidR="0065397C" w:rsidRDefault="00087B19" w:rsidP="00D46E28">
      <w:pPr>
        <w:spacing w:line="480" w:lineRule="auto"/>
        <w:rPr>
          <w:rFonts w:eastAsia="Times New Roman" w:cstheme="minorHAnsi"/>
          <w:color w:val="1D1C1D"/>
        </w:rPr>
      </w:pPr>
      <w:r w:rsidRPr="00011364">
        <w:rPr>
          <w:rFonts w:eastAsia="Times New Roman" w:cstheme="minorHAnsi"/>
          <w:b/>
          <w:bCs/>
          <w:color w:val="1D1C1D"/>
        </w:rPr>
        <w:lastRenderedPageBreak/>
        <w:t>Key Words</w:t>
      </w:r>
      <w:r>
        <w:rPr>
          <w:rFonts w:eastAsia="Times New Roman" w:cstheme="minorHAnsi"/>
          <w:color w:val="1D1C1D"/>
        </w:rPr>
        <w:t xml:space="preserve"> (4-6):</w:t>
      </w:r>
      <w:r w:rsidR="00B02F06">
        <w:rPr>
          <w:rFonts w:eastAsia="Times New Roman" w:cstheme="minorHAnsi"/>
          <w:color w:val="1D1C1D"/>
        </w:rPr>
        <w:t xml:space="preserve"> Multisensory Integration; MSI; Larval Settlement; Sensory Cue Hierarchy; Cnidaria; Hydrozoa</w:t>
      </w:r>
    </w:p>
    <w:p w14:paraId="154C6C8C" w14:textId="77777777" w:rsidR="00011364" w:rsidRDefault="00011364" w:rsidP="00D46E28">
      <w:pPr>
        <w:spacing w:line="480" w:lineRule="auto"/>
        <w:rPr>
          <w:rFonts w:eastAsia="Times New Roman" w:cstheme="minorHAnsi"/>
          <w:color w:val="1D1C1D"/>
        </w:rPr>
      </w:pPr>
    </w:p>
    <w:p w14:paraId="56AAFF83" w14:textId="301422D2" w:rsidR="00240112" w:rsidRPr="005C756E" w:rsidRDefault="004945DF" w:rsidP="00D46E28">
      <w:pPr>
        <w:spacing w:line="480" w:lineRule="auto"/>
        <w:jc w:val="both"/>
        <w:rPr>
          <w:rFonts w:eastAsia="Times New Roman" w:cstheme="minorHAnsi"/>
          <w:b/>
          <w:bCs/>
          <w:color w:val="1D1C1D"/>
        </w:rPr>
      </w:pPr>
      <w:r w:rsidRPr="00862731">
        <w:rPr>
          <w:rFonts w:eastAsia="Times New Roman" w:cstheme="minorHAnsi"/>
          <w:b/>
          <w:bCs/>
          <w:color w:val="1D1C1D"/>
        </w:rPr>
        <w:t>Introduction</w:t>
      </w:r>
      <w:r w:rsidR="00514738">
        <w:rPr>
          <w:rFonts w:eastAsia="Times New Roman" w:cstheme="minorHAnsi"/>
          <w:b/>
          <w:bCs/>
          <w:color w:val="1D1C1D"/>
        </w:rPr>
        <w:t xml:space="preserve"> </w:t>
      </w:r>
    </w:p>
    <w:p w14:paraId="128C79C8" w14:textId="5DB2F82A" w:rsidR="0044478B" w:rsidRDefault="00654B8B" w:rsidP="00D46E28">
      <w:pPr>
        <w:spacing w:line="480" w:lineRule="auto"/>
        <w:jc w:val="both"/>
        <w:rPr>
          <w:rFonts w:eastAsia="Times New Roman" w:cstheme="minorHAnsi"/>
          <w:color w:val="1D1C1D"/>
        </w:rPr>
      </w:pPr>
      <w:r w:rsidRPr="004E4C2D">
        <w:rPr>
          <w:rFonts w:eastAsia="Times New Roman" w:cstheme="minorHAnsi"/>
          <w:color w:val="1D1C1D"/>
        </w:rPr>
        <w:t xml:space="preserve">A </w:t>
      </w:r>
      <w:r w:rsidR="00BA531A" w:rsidRPr="004E4C2D">
        <w:rPr>
          <w:rFonts w:eastAsia="Times New Roman" w:cstheme="minorHAnsi"/>
          <w:color w:val="1D1C1D"/>
        </w:rPr>
        <w:t xml:space="preserve">distinguishing feature of animals is their exquisite capacity to receive sensory information </w:t>
      </w:r>
      <w:r w:rsidR="005001D2" w:rsidRPr="004E4C2D">
        <w:rPr>
          <w:rFonts w:eastAsia="Times New Roman" w:cstheme="minorHAnsi"/>
          <w:color w:val="1D1C1D"/>
        </w:rPr>
        <w:t xml:space="preserve">from the environment </w:t>
      </w:r>
      <w:r w:rsidR="00BA531A" w:rsidRPr="004E4C2D">
        <w:rPr>
          <w:rFonts w:eastAsia="Times New Roman" w:cstheme="minorHAnsi"/>
          <w:color w:val="1D1C1D"/>
        </w:rPr>
        <w:t>and integrate it into behavior. Animals</w:t>
      </w:r>
      <w:r w:rsidR="00B1274F" w:rsidRPr="004E4C2D">
        <w:rPr>
          <w:rFonts w:eastAsia="Times New Roman" w:cstheme="minorHAnsi"/>
          <w:color w:val="1D1C1D"/>
        </w:rPr>
        <w:t xml:space="preserve"> </w:t>
      </w:r>
      <w:r w:rsidR="00C3245E" w:rsidRPr="004E4C2D">
        <w:rPr>
          <w:rFonts w:eastAsia="Times New Roman" w:cstheme="minorHAnsi"/>
          <w:color w:val="1D1C1D"/>
        </w:rPr>
        <w:t xml:space="preserve">may </w:t>
      </w:r>
      <w:r w:rsidR="00B1274F" w:rsidRPr="004E4C2D">
        <w:rPr>
          <w:rFonts w:eastAsia="Times New Roman" w:cstheme="minorHAnsi"/>
          <w:color w:val="1D1C1D"/>
        </w:rPr>
        <w:t xml:space="preserve">integrate sensory signals </w:t>
      </w:r>
      <w:r w:rsidR="00C3245E" w:rsidRPr="004E4C2D">
        <w:rPr>
          <w:rFonts w:eastAsia="Times New Roman" w:cstheme="minorHAnsi"/>
          <w:color w:val="1D1C1D"/>
        </w:rPr>
        <w:t xml:space="preserve">from </w:t>
      </w:r>
      <w:r w:rsidR="00B1274F" w:rsidRPr="004E4C2D">
        <w:rPr>
          <w:rFonts w:eastAsia="Times New Roman" w:cstheme="minorHAnsi"/>
          <w:color w:val="1D1C1D"/>
        </w:rPr>
        <w:t>individual modali</w:t>
      </w:r>
      <w:r w:rsidR="00C006D0" w:rsidRPr="004E4C2D">
        <w:rPr>
          <w:rFonts w:eastAsia="Times New Roman" w:cstheme="minorHAnsi"/>
          <w:color w:val="1D1C1D"/>
        </w:rPr>
        <w:t>ties</w:t>
      </w:r>
      <w:r w:rsidR="00B1274F" w:rsidRPr="004E4C2D">
        <w:rPr>
          <w:rFonts w:eastAsia="Times New Roman" w:cstheme="minorHAnsi"/>
          <w:color w:val="1D1C1D"/>
        </w:rPr>
        <w:t xml:space="preserve"> (</w:t>
      </w:r>
      <w:r w:rsidR="00C3245E" w:rsidRPr="004E4C2D">
        <w:rPr>
          <w:rFonts w:eastAsia="Times New Roman" w:cstheme="minorHAnsi"/>
          <w:color w:val="1D1C1D"/>
        </w:rPr>
        <w:t xml:space="preserve">e.g. vision </w:t>
      </w:r>
      <w:r w:rsidR="00F5691C" w:rsidRPr="004E4C2D">
        <w:rPr>
          <w:rFonts w:eastAsia="Times New Roman" w:cstheme="minorHAnsi"/>
          <w:color w:val="1D1C1D"/>
        </w:rPr>
        <w:t xml:space="preserve">or </w:t>
      </w:r>
      <w:r w:rsidR="00C3245E" w:rsidRPr="004E4C2D">
        <w:rPr>
          <w:rFonts w:eastAsia="Times New Roman" w:cstheme="minorHAnsi"/>
          <w:color w:val="1D1C1D"/>
        </w:rPr>
        <w:t>taste</w:t>
      </w:r>
      <w:r w:rsidR="00B1274F" w:rsidRPr="004E4C2D">
        <w:rPr>
          <w:rFonts w:eastAsia="Times New Roman" w:cstheme="minorHAnsi"/>
          <w:color w:val="1D1C1D"/>
        </w:rPr>
        <w:t>), or</w:t>
      </w:r>
      <w:r w:rsidR="0050630B" w:rsidRPr="004E4C2D">
        <w:rPr>
          <w:rFonts w:eastAsia="Times New Roman" w:cstheme="minorHAnsi"/>
          <w:color w:val="1D1C1D"/>
        </w:rPr>
        <w:t xml:space="preserve"> they</w:t>
      </w:r>
      <w:r w:rsidR="00B1274F" w:rsidRPr="004E4C2D">
        <w:rPr>
          <w:rFonts w:eastAsia="Times New Roman" w:cstheme="minorHAnsi"/>
          <w:color w:val="1D1C1D"/>
        </w:rPr>
        <w:t xml:space="preserve"> </w:t>
      </w:r>
      <w:r w:rsidR="00C3245E" w:rsidRPr="004E4C2D">
        <w:rPr>
          <w:rFonts w:eastAsia="Times New Roman" w:cstheme="minorHAnsi"/>
          <w:color w:val="1D1C1D"/>
        </w:rPr>
        <w:t xml:space="preserve">may </w:t>
      </w:r>
      <w:r w:rsidR="00B1274F" w:rsidRPr="004E4C2D">
        <w:rPr>
          <w:rFonts w:eastAsia="Times New Roman" w:cstheme="minorHAnsi"/>
          <w:color w:val="1D1C1D"/>
        </w:rPr>
        <w:t>perform m</w:t>
      </w:r>
      <w:r w:rsidR="00075496" w:rsidRPr="004E4C2D">
        <w:rPr>
          <w:rFonts w:eastAsia="Times New Roman" w:cstheme="minorHAnsi"/>
          <w:color w:val="1D1C1D"/>
        </w:rPr>
        <w:t>ultisensory integration (MSI)</w:t>
      </w:r>
      <w:r w:rsidR="00C3245E" w:rsidRPr="004E4C2D">
        <w:rPr>
          <w:rFonts w:eastAsia="Times New Roman" w:cstheme="minorHAnsi"/>
          <w:color w:val="1D1C1D"/>
        </w:rPr>
        <w:t>,</w:t>
      </w:r>
      <w:r w:rsidR="00075496" w:rsidRPr="004E4C2D">
        <w:rPr>
          <w:rFonts w:eastAsia="Times New Roman" w:cstheme="minorHAnsi"/>
          <w:color w:val="1D1C1D"/>
        </w:rPr>
        <w:t xml:space="preserve"> </w:t>
      </w:r>
      <w:r w:rsidR="00B1274F" w:rsidRPr="004E4C2D">
        <w:rPr>
          <w:rFonts w:eastAsia="Times New Roman" w:cstheme="minorHAnsi"/>
          <w:color w:val="1D1C1D"/>
        </w:rPr>
        <w:t>which combines</w:t>
      </w:r>
      <w:r w:rsidR="00407260" w:rsidRPr="004E4C2D">
        <w:rPr>
          <w:rFonts w:eastAsia="Times New Roman" w:cstheme="minorHAnsi"/>
          <w:color w:val="1D1C1D"/>
        </w:rPr>
        <w:t xml:space="preserve"> information from more than one modality to </w:t>
      </w:r>
      <w:r w:rsidR="00564522" w:rsidRPr="004E4C2D">
        <w:rPr>
          <w:rFonts w:eastAsia="Times New Roman" w:cstheme="minorHAnsi"/>
          <w:color w:val="1D1C1D"/>
        </w:rPr>
        <w:t xml:space="preserve">elicit </w:t>
      </w:r>
      <w:r w:rsidR="00407260" w:rsidRPr="004E4C2D">
        <w:rPr>
          <w:rFonts w:eastAsia="Times New Roman" w:cstheme="minorHAnsi"/>
          <w:color w:val="1D1C1D"/>
        </w:rPr>
        <w:t>behavior</w:t>
      </w:r>
      <w:r w:rsidR="00564522" w:rsidRPr="004E4C2D">
        <w:rPr>
          <w:rFonts w:eastAsia="Times New Roman" w:cstheme="minorHAnsi"/>
          <w:color w:val="1D1C1D"/>
        </w:rPr>
        <w:t>s</w:t>
      </w:r>
      <w:r w:rsidR="00407260" w:rsidRPr="004E4C2D">
        <w:rPr>
          <w:rFonts w:eastAsia="Times New Roman" w:cstheme="minorHAnsi"/>
          <w:color w:val="1D1C1D"/>
        </w:rPr>
        <w:t xml:space="preserve"> that </w:t>
      </w:r>
      <w:r w:rsidR="00564522" w:rsidRPr="004E4C2D">
        <w:rPr>
          <w:rFonts w:eastAsia="Times New Roman" w:cstheme="minorHAnsi"/>
          <w:color w:val="1D1C1D"/>
        </w:rPr>
        <w:t xml:space="preserve">are </w:t>
      </w:r>
      <w:r w:rsidR="00407260" w:rsidRPr="004E4C2D">
        <w:rPr>
          <w:rFonts w:eastAsia="Times New Roman" w:cstheme="minorHAnsi"/>
          <w:color w:val="1D1C1D"/>
        </w:rPr>
        <w:t>distinct from</w:t>
      </w:r>
      <w:r w:rsidR="00CE331F" w:rsidRPr="004E4C2D">
        <w:rPr>
          <w:rFonts w:eastAsia="Times New Roman" w:cstheme="minorHAnsi"/>
          <w:color w:val="1D1C1D"/>
        </w:rPr>
        <w:t xml:space="preserve"> </w:t>
      </w:r>
      <w:r w:rsidR="00E838EE">
        <w:rPr>
          <w:rFonts w:eastAsia="Times New Roman" w:cstheme="minorHAnsi"/>
          <w:color w:val="1D1C1D"/>
        </w:rPr>
        <w:t xml:space="preserve">those elicited by </w:t>
      </w:r>
      <w:r w:rsidR="002D5116">
        <w:rPr>
          <w:rFonts w:eastAsia="Times New Roman" w:cstheme="minorHAnsi"/>
          <w:color w:val="1D1C1D"/>
        </w:rPr>
        <w:t>unisensory behavior</w:t>
      </w:r>
      <w:r w:rsidR="0044478B">
        <w:rPr>
          <w:rFonts w:eastAsia="Times New Roman" w:cstheme="minorHAnsi"/>
          <w:color w:val="1D1C1D"/>
        </w:rPr>
        <w:t>s</w:t>
      </w:r>
      <w:r w:rsidR="00407260" w:rsidRPr="004E4C2D">
        <w:rPr>
          <w:rFonts w:eastAsia="Times New Roman" w:cstheme="minorHAnsi"/>
          <w:color w:val="1D1C1D"/>
        </w:rPr>
        <w:t xml:space="preserve"> </w:t>
      </w:r>
      <w:r w:rsidR="00631105" w:rsidRPr="004E4C2D">
        <w:rPr>
          <w:rFonts w:eastAsia="Times New Roman" w:cstheme="minorHAnsi"/>
          <w:color w:val="1D1C1D"/>
        </w:rPr>
        <w:fldChar w:fldCharType="begin" w:fldLock="1"/>
      </w:r>
      <w:r w:rsidR="00B02F06">
        <w:rPr>
          <w:rFonts w:eastAsia="Times New Roman" w:cstheme="minorHAnsi"/>
          <w:color w:val="1D1C1D"/>
        </w:rPr>
        <w:instrText>ADDIN CSL_CITATION {"citationItems":[{"id":"ITEM-1","itemData":{"DOI":"10.1038/nrn3742","ISSN":"14710048","PMID":"25158358","abstract":"The ability to use cues from multiple senses in concert is a fundamental aspect of brain function. It maximizes the brain's use of the information available to it at any given moment and enhances the physiological salience of external events. Because each sense conveys a unique perspective of the external world, synthesizing information across senses affords computational benefits that cannot otherwise be achieved. Multisensory integration not only has substantial survival value but can also create unique experiences that emerge when signals from different sensory channels are bound together. However, neurons in a newborn's brain are not capable of multisensory integration, and studies in the midbrain have shown that the development of this process is not predetermined. Rather, its emergence and maturation critically depend on cross-modal experiences that alter the underlying neural circuit in such a way that optimizes multisensory integrative capabilities for the environment in which the animal will function.© 2014 Macmillan Publishers Limited. All rights reserved.","author":[{"dropping-particle":"","family":"Stein","given":"Barry E.","non-dropping-particle":"","parse-names":false,"suffix":""},{"dropping-particle":"","family":"Stanford","given":"Terrence R.","non-dropping-particle":"","parse-names":false,"suffix":""},{"dropping-particle":"","family":"Rowland","given":"Benjamin A.","non-dropping-particle":"","parse-names":false,"suffix":""}],"container-title":"Nature Reviews Neuroscience","id":"ITEM-1","issue":"8","issued":{"date-parts":[["2014"]]},"page":"520-535","title":"Development of multisensory integration from the perspective of the individual neuron","type":"article-journal","volume":"15"},"uris":["http://www.mendeley.com/documents/?uuid=952d6385-d326-4a12-9de5-450964854db9"]},{"id":"ITEM-2","itemData":{"DOI":"10.1007/s00221-009-1880-8","ISSN":"00144819","PMID":"19551377","abstract":"Single-neuron studies provide a foundation for understanding many facets of multisensory integration. These studies have used a variety of criteria for identifying and quantifying multisensory integration. While a number of techniques have been used, an explicit discussion of the assumptions, criteria, and analytical methods traditionally used to define the principles of multisensory integration is lacking. This was not problematic when the field was small, but with rapid growth a number of alternative techniques and models have been introduced, each with its own criteria and sets of implicit assumptions to define and characterize what is thought to be the same phenomenon. The potential for misconception prompted this reexamination of traditional approaches in order to clarify their underlying assumptions and analytic techniques. The objective here is to review and discuss traditional quantitative methods advanced in the study of single-neuron physiology in order to appreciate the process of multisensory integration and its impact. © 2009 Springer-Verlag.","author":[{"dropping-particle":"","family":"Stein","given":"Barry E.","non-dropping-particle":"","parse-names":false,"suffix":""},{"dropping-particle":"","family":"Stanford","given":"Terrence R.","non-dropping-particle":"","parse-names":false,"suffix":""},{"dropping-particle":"","family":"Ramachandran","given":"Ramnarayan","non-dropping-particle":"","parse-names":false,"suffix":""},{"dropping-particle":"","family":"Perrault","given":"Thomas J.","non-dropping-particle":"","parse-names":false,"suffix":""},{"dropping-particle":"","family":"Rowland","given":"Benjamin A.","non-dropping-particle":"","parse-names":false,"suffix":""}],"container-title":"Experimental Brain Research","id":"ITEM-2","issue":"2-3","issued":{"date-parts":[["2009"]]},"page":"113-126","title":"Challenges in quantifying multisensory integration: Alternative criteria, models, and inverse effectiveness","type":"article-journal","volume":"198"},"uris":["http://www.mendeley.com/documents/?uuid=f131e31e-b09d-44ae-ac2a-2fd82c710204"]},{"id":"ITEM-3","itemData":{"DOI":"10.1523/JNEUROSCI.4678-12.2013","ISSN":"02706474","PMID":"23616552","abstract":"The combined use of multisensory signals is often beneficial. Based on neuronal recordings in the superior colliculus of cats, three basic rules were formulated to describe the effectiveness of multisensory signals: the enhancement of neuronal responses to multisensory compared with unisensory signals is largest when signals occur at the same location (\"spatial rule\"), when signals are presented at the same time (\"temporal rule\"), and when signals are rather weak (\"principle of inverse effectiveness\"). These rules are also considered with respect to multisensory benefits as observed with behavioral measures, but do they capture these benefits best? To uncover the principles that rule benefits in multisensory behavior, we here investigated the classical redundant signal effect (RSE; i.e., the speedup of response times in multisensory compared with unisensory conditions) in humans. Based on theoretical considerations using probability summation, we derived two alternative principles to explain the effect. First, the \"principle of congruent effectiveness\" states that the benefit in multisensory behavior (here the speedup of response times) is largest when behavioral performance in corresponding unisensory conditions is similar. Second, the \"variability rule\" states that the benefit is largest when performance in corresponding unisensory conditions is unreliable.Wethen tested these predictions in two experiments, in which we manipulated the relative onset and the physical strength of distinct audiovisual signals. Our results, which are based on a systematic analysis of response time distributions, show that the RSE follows these principles very well, thereby providing compelling evidence in favor of probability summation as the underlying combination rule. © 2013 the authors.","author":[{"dropping-particle":"","family":"Otto","given":"Thomas U.","non-dropping-particle":"","parse-names":false,"suffix":""},{"dropping-particle":"","family":"Dassy","given":"Brice","non-dropping-particle":"","parse-names":false,"suffix":""},{"dropping-particle":"","family":"Mamassian","given":"Pascal","non-dropping-particle":"","parse-names":false,"suffix":""}],"container-title":"Journal of Neuroscience","id":"ITEM-3","issue":"17","issued":{"date-parts":[["2013"]]},"page":"7463-7474","title":"Principles of multisensory behavior","type":"article-journal","volume":"33"},"uris":["http://www.mendeley.com/documents/?uuid=1541d81b-fe4a-4f3f-a028-9a38aaf18c74"]},{"id":"ITEM-4","itemData":{"DOI":"10.1007/s10548-014-0365-7","ISSN":"15736792","PMID":"24722880","abstract":"We process information from the world through multiple senses, and the brain must decide what information belongs together and what information should be segregated. One challenge in studying such multisensory integration is how to quantify the multisensory interactions, a challenge that is amplified by the host of methods that are now used to measure neural, behavioral, and perceptual responses. Many of the measures that have been developed to quantify multisensory integration (and which have been derived from single unit analyses), have been applied to these different measures without much consideration for the nature of the process being studied. Here, we provide a review focused on the means with which experimenters quantify multisensory processes and integration across a range of commonly used experimental methodologies. We emphasize the most commonly employed measures, including single- and multiunit responses, local field potentials, functional magnetic resonance imaging, and electroencephalography, along with behavioral measures of detection, accuracy, and response times. In each section, we will discuss the different metrics commonly used to quantify multisensory interactions, including the rationale for their use, their advantages, and the drawbacks and caveats associated with them. Also discussed are possible alternatives to the most commonly used metrics.","author":[{"dropping-particle":"","family":"Stevenson","given":"Ryan A.","non-dropping-particle":"","parse-names":false,"suffix":""},{"dropping-particle":"","family":"Ghose","given":"Dipanwita","non-dropping-particle":"","parse-names":false,"suffix":""},{"dropping-particle":"","family":"Fister","given":"Juliane Krueger","non-dropping-particle":"","parse-names":false,"suffix":""},{"dropping-particle":"","family":"Sarko","given":"Diana K.","non-dropping-particle":"","parse-names":false,"suffix":""},{"dropping-particle":"","family":"Altieri","given":"Nicholas A.","non-dropping-particle":"","parse-names":false,"suffix":""},{"dropping-particle":"","family":"Nidiffer","given":"Aaron R.","non-dropping-particle":"","parse-names":false,"suffix":""},{"dropping-particle":"","family":"Kurela","given":"Le Anne R.","non-dropping-particle":"","parse-names":false,"suffix":""},{"dropping-particle":"","family":"Siemann","given":"Justin K.","non-dropping-particle":"","parse-names":false,"suffix":""},{"dropping-particle":"","family":"James","given":"Thomas W.","non-dropping-particle":"","parse-names":false,"suffix":""},{"dropping-particle":"","family":"Wallace","given":"Mark T.","non-dropping-particle":"","parse-names":false,"suffix":""}],"container-title":"Brain Topography","id":"ITEM-4","issue":"6","issued":{"date-parts":[["2014"]]},"page":"707-730","title":"Identifying and Quantifying Multisensory Integration: A Tutorial Review","type":"article-journal","volume":"27"},"uris":["http://www.mendeley.com/documents/?uuid=c8c0e407-fb50-493b-bda1-6f90df2ffb1a"]},{"id":"ITEM-5","itemData":{"DOI":"10.1162/jocn.1989.1.1.12","ISSN":"0898929X","abstract":"Physiological studies have demonstrated that inputs from different sensory modalities converge on, and are integrated by, individual superior colliculus neurons and that this integration is governed by specific spatial rules. The present experiments were an attempt to relate these neural processes to overt behavior by determining if behaviors believed to involve the circuitry of the superior colliculus would show similar multisensory dependencies and be subject to the same rules of integration. The neurophysiological-behavioral parallels proved to be striking. The effectiveness of a stimulus of one modality in eliciting attentive and orientation behaviors was dramatically affected by the presence of a stimulus from another modality in each of the three behavioral paradigms used here. Animals trained to approach a low intensity visual cue had their performance significantly enhanced when a brief, low intensity auditory stimulus was presented at the same location as the visual cue, but their performance was significantly depressed when the auditory stimulus was disparate to it. These effects were independent of the animals' experience with the modifying (i.e. auditory) stimulus and exceeded what might have been predicted statistically based on the animals' performance with each single-modality cue. The multiplicative nature of these multisensory interactions and their dependence on the relative positions and intensities of the two stimuli were all very similar to those observed physiologically for single cells. The few differences that were observed appeared to reflect the fact that understanding integration at the level of the single cell requires reference to the individual cell's multisensory receptive field properties, while at the behavioral level populations of receptive fields must be evaluated. These data illustrate that the rules governing multisensory integration at the level of the single cell also predict responses to these stimuli in the intact behaving organism.","author":[{"dropping-particle":"","family":"Stein","given":"B. E.","non-dropping-particle":"","parse-names":false,"suffix":""},{"dropping-particle":"","family":"Meredith","given":"M. A.","non-dropping-particle":"","parse-names":false,"suffix":""},{"dropping-particle":"","family":"Huneycutt","given":"W. S.","non-dropping-particle":"","parse-names":false,"suffix":""},{"dropping-particle":"","family":"McDade","given":"L.","non-dropping-particle":"","parse-names":false,"suffix":""}],"container-title":"Journal of Cognitive Neuroscience","id":"ITEM-5","issue":"1","issued":{"date-parts":[["1989"]]},"page":"12-24","title":"Behavioral indices of multisensory integration: Orientation to visual cues is affected by auditory stimuli","type":"article-journal","volume":"1"},"uris":["http://www.mendeley.com/documents/?uuid=6bab47e8-e2b2-45ff-b6fa-cc7f4d987a48"]},{"id":"ITEM-6","itemData":{"author":[{"dropping-particle":"","family":"Stein","given":"Barry E.","non-dropping-particle":"","parse-names":false,"suffix":""},{"dropping-particle":"","family":"Meredith","given":"M. A.","non-dropping-particle":"","parse-names":false,"suffix":""}],"id":"ITEM-6","issued":{"date-parts":[["1993"]]},"publisher":"The MIT press","title":"The merging of the senses","type":"book"},"uris":["http://www.mendeley.com/documents/?uuid=96936e41-6ffb-4fcb-8aba-b5481a39e98b"]},{"id":"ITEM-7","itemData":{"DOI":"10.1152/jn.00018.2007","ISSN":"00223077","PMID":"17329632","abstract":"The present study suggests that the neural computations used to integrate information from different senses are distinct from those used to integrate information from within the same sense. Using superior colliculus neurons as a model, it was found that multisensory integration of cross-modal stimulus combinations yielded responses that were significantly greater than those evoked by the best component stimulus. In contrast, unisensory integration of within-modal stimulus pairs yielded responses that were similar to or less than those evoked by the best component stimulus. This difference is exemplified by the disproportionate representations of superadditive responses during multisensory integration and the predominance of subadditive responses during unisensory integration. These observations suggest that different rules have evolved for integrating sensory information, one (unisensory) reflecting the inherent characteristics of the individual sense and, the other (multisensory), unique supramodal characteristics designed to enhance the salience of the initiating event. Copyright © 2007 The American Physiological Society.","author":[{"dropping-particle":"","family":"Alvarado","given":"Juan Carlos","non-dropping-particle":"","parse-names":false,"suffix":""},{"dropping-particle":"","family":"Vaughan","given":"J. William","non-dropping-particle":"","parse-names":false,"suffix":""},{"dropping-particle":"","family":"Stanford","given":"Terrence R.","non-dropping-particle":"","parse-names":false,"suffix":""},{"dropping-particle":"","family":"Stein","given":"Barry E.","non-dropping-particle":"","parse-names":false,"suffix":""}],"container-title":"Journal of Neurophysiology","id":"ITEM-7","issue":"5","issued":{"date-parts":[["2007"]]},"page":"3193-3205","title":"Multisensory versus unisensory integration: Contrasting modes in the superior colliculus","type":"article-journal","volume":"97"},"uris":["http://www.mendeley.com/documents/?uuid=cae9237b-12c5-4433-b26a-f9b0a20a9b34"]}],"mendeley":{"formattedCitation":"(Alvarado, Vaughan, Stanford, &amp; Stein, 2007; Otto, Dassy, &amp; Mamassian, 2013; B. E. Stein, Meredith, Huneycutt, &amp; McDade, 1989; Barry E. Stein &amp; Meredith, 1993; Barry E. Stein, Stanford, Ramachandran, Perrault, &amp; Rowland, 2009; Barry E. Stein, Stanford, &amp; Rowland, 2014; Stevenson et al., 2014)","plainTextFormattedCitation":"(Alvarado, Vaughan, Stanford, &amp; Stein, 2007; Otto, Dassy, &amp; Mamassian, 2013; B. E. Stein, Meredith, Huneycutt, &amp; McDade, 1989; Barry E. Stein &amp; Meredith, 1993; Barry E. Stein, Stanford, Ramachandran, Perrault, &amp; Rowland, 2009; Barry E. Stein, Stanford, &amp; Rowland, 2014; Stevenson et al., 2014)","previouslyFormattedCitation":"(Stein et al. 1989, 2009, 2014; Stein and Meredith 1993; Alvarado et al. 2007; Otto et al. 2013; Stevenson et al. 2014)"},"properties":{"noteIndex":0},"schema":"https://github.com/citation-style-language/schema/raw/master/csl-citation.json"}</w:instrText>
      </w:r>
      <w:r w:rsidR="00631105" w:rsidRPr="004E4C2D">
        <w:rPr>
          <w:rFonts w:eastAsia="Times New Roman" w:cstheme="minorHAnsi"/>
          <w:color w:val="1D1C1D"/>
        </w:rPr>
        <w:fldChar w:fldCharType="separate"/>
      </w:r>
      <w:r w:rsidR="00B02F06" w:rsidRPr="00B02F06">
        <w:rPr>
          <w:rFonts w:eastAsia="Times New Roman" w:cstheme="minorHAnsi"/>
          <w:noProof/>
          <w:color w:val="1D1C1D"/>
        </w:rPr>
        <w:t>(Alvarado, Vaughan, Stanford, &amp; Stein, 2007; Otto, Dassy, &amp; Mamassian, 2013; B. E. Stein, Meredith, Huneycutt, &amp; McDade, 1989; Barry E. Stein &amp; Meredith, 1993; Barry E. Stein, Stanford, Ramachandran, Perrault, &amp; Rowland, 2009; Barry E. Stein, Stanford, &amp; Rowland, 2014; Stevenson et al., 2014)</w:t>
      </w:r>
      <w:r w:rsidR="00631105" w:rsidRPr="004E4C2D">
        <w:rPr>
          <w:rFonts w:eastAsia="Times New Roman" w:cstheme="minorHAnsi"/>
          <w:color w:val="1D1C1D"/>
        </w:rPr>
        <w:fldChar w:fldCharType="end"/>
      </w:r>
      <w:r w:rsidR="00BB6A4E" w:rsidRPr="004E4C2D">
        <w:rPr>
          <w:rFonts w:eastAsia="Times New Roman" w:cstheme="minorHAnsi"/>
          <w:color w:val="1D1C1D"/>
        </w:rPr>
        <w:t xml:space="preserve">. </w:t>
      </w:r>
    </w:p>
    <w:p w14:paraId="296578D3" w14:textId="77777777" w:rsidR="0044478B" w:rsidRDefault="0044478B" w:rsidP="00D46E28">
      <w:pPr>
        <w:spacing w:line="480" w:lineRule="auto"/>
        <w:jc w:val="both"/>
        <w:rPr>
          <w:rFonts w:eastAsia="Times New Roman" w:cstheme="minorHAnsi"/>
          <w:color w:val="1D1C1D"/>
        </w:rPr>
      </w:pPr>
    </w:p>
    <w:p w14:paraId="33852CAF" w14:textId="234BF931" w:rsidR="002D5116" w:rsidRDefault="00A373E3" w:rsidP="00D46E28">
      <w:pPr>
        <w:spacing w:line="480" w:lineRule="auto"/>
        <w:jc w:val="both"/>
        <w:rPr>
          <w:rFonts w:eastAsia="Times New Roman" w:cstheme="minorHAnsi"/>
          <w:color w:val="1D1C1D"/>
        </w:rPr>
      </w:pPr>
      <w:r w:rsidRPr="004E4C2D">
        <w:rPr>
          <w:rFonts w:eastAsia="Times New Roman" w:cstheme="minorHAnsi"/>
          <w:color w:val="1D1C1D"/>
        </w:rPr>
        <w:t>MSI is best understood in bilaterian animals with complex nervous systems</w:t>
      </w:r>
      <w:r w:rsidR="0043276A">
        <w:rPr>
          <w:rFonts w:eastAsia="Times New Roman" w:cstheme="minorHAnsi"/>
          <w:color w:val="1D1C1D"/>
        </w:rPr>
        <w:t xml:space="preserve"> that include specialized centers for information processing</w:t>
      </w:r>
      <w:r w:rsidR="006B346A">
        <w:rPr>
          <w:rFonts w:eastAsia="Times New Roman" w:cstheme="minorHAnsi"/>
          <w:color w:val="1D1C1D"/>
        </w:rPr>
        <w:t xml:space="preserve"> and</w:t>
      </w:r>
      <w:r w:rsidR="0043276A">
        <w:rPr>
          <w:rFonts w:eastAsia="Times New Roman" w:cstheme="minorHAnsi"/>
          <w:color w:val="1D1C1D"/>
        </w:rPr>
        <w:t xml:space="preserve"> exchange</w:t>
      </w:r>
      <w:r w:rsidRPr="004E4C2D">
        <w:rPr>
          <w:rFonts w:eastAsia="Times New Roman" w:cstheme="minorHAnsi"/>
          <w:color w:val="1D1C1D"/>
        </w:rPr>
        <w:t xml:space="preserve"> </w:t>
      </w:r>
      <w:r w:rsidRPr="004E4C2D">
        <w:rPr>
          <w:rFonts w:eastAsia="Times New Roman" w:cstheme="minorHAnsi"/>
          <w:color w:val="1D1C1D"/>
        </w:rPr>
        <w:fldChar w:fldCharType="begin" w:fldLock="1"/>
      </w:r>
      <w:r w:rsidR="00B02F06">
        <w:rPr>
          <w:rFonts w:eastAsia="Times New Roman" w:cstheme="minorHAnsi"/>
          <w:color w:val="1D1C1D"/>
        </w:rPr>
        <w:instrText>ADDIN CSL_CITATION {"citationItems":[{"id":"ITEM-1","itemData":{"DOI":"10.1038/nrn3742","ISSN":"14710048","PMID":"25158358","abstract":"The ability to use cues from multiple senses in concert is a fundamental aspect of brain function. It maximizes the brain's use of the information available to it at any given moment and enhances the physiological salience of external events. Because each sense conveys a unique perspective of the external world, synthesizing information across senses affords computational benefits that cannot otherwise be achieved. Multisensory integration not only has substantial survival value but can also create unique experiences that emerge when signals from different sensory channels are bound together. However, neurons in a newborn's brain are not capable of multisensory integration, and studies in the midbrain have shown that the development of this process is not predetermined. Rather, its emergence and maturation critically depend on cross-modal experiences that alter the underlying neural circuit in such a way that optimizes multisensory integrative capabilities for the environment in which the animal will function.© 2014 Macmillan Publishers Limited. All rights reserved.","author":[{"dropping-particle":"","family":"Stein","given":"Barry E.","non-dropping-particle":"","parse-names":false,"suffix":""},{"dropping-particle":"","family":"Stanford","given":"Terrence R.","non-dropping-particle":"","parse-names":false,"suffix":""},{"dropping-particle":"","family":"Rowland","given":"Benjamin A.","non-dropping-particle":"","parse-names":false,"suffix":""}],"container-title":"Nature Reviews Neuroscience","id":"ITEM-1","issue":"8","issued":{"date-parts":[["2014"]]},"page":"520-535","title":"Development of multisensory integration from the perspective of the individual neuron","type":"article-journal","volume":"15"},"uris":["http://www.mendeley.com/documents/?uuid=952d6385-d326-4a12-9de5-450964854db9"]},{"id":"ITEM-2","itemData":{"DOI":"10.1007/s002210050553","ISSN":"00144819","PMID":"9835401","abstract":"The ability to integrate information from different sensory systems is a fundamental characteristic of the brain. Because different bits of information are derived from different sensory channels, their synthesis markedly enhances the detection and identification of external stimuli. The neural substrate for such 'multisensory' integration is provided by neurons that receive convergent input from two or more sensory modalities. Many such multisensory neurons are found in the superior colliculus (SC), a midbrain structure that plays a significant role in overt attentive and orientation behaviors. The various principles governing the integration of visual, auditory, and somatosensory inputs in SC neurons have been explored in several species. Thus far, the evidence suggests a remarkable conservation of integrative features during vertebrate evolution. One of the most robust of these principles is based on spatial relationships: a striking enhancement in activity is induced in a multisensory neuron when two different sensory stimuli (e.g., visual and auditory) are in spatial concordance, whereas a profound response depression can be induced when these cues are spatially discordant. The most extensive physiological observations have been made in cat, and in this species the same principles that have been shown to govern multisensory integration at the level of the individual SC neuron have also been shown to govern overt attentive and orientation responses to multisensory stimuli. Most surprising, however, is the critical role played by association (i.e. anterior ectosylvian) cortex in facilitating these midbrain processes. In the absence of the modulating corticotectal influences, multisensory SC neurons in cat are unable to integrate the different sensory cues converging upon them in an adult-like fashion, and are unable to mediate overt multisensory behaviors. This situation appears quite similar to that observed during early postnatal life. When multisensory SC neurons first appear, they are able to respond to multiple sensory inputs but are unable to synthesize these inputs to significantly enhance or degrade their responses. During ontogeny, in dividual multisensory neurons develop this capacity abruptly, but at very different ages, until the mature population condition is reached after several postnatal months. It appears likely that the abrupt onset of this capacity in any individual SC neuron reflects the maturation of inputs from anterior ectosylv…","author":[{"dropping-particle":"","family":"Stein","given":"Barry E.","non-dropping-particle":"","parse-names":false,"suffix":""}],"container-title":"Experimental Brain Research","id":"ITEM-2","issue":"1-2","issued":{"date-parts":[["1998"]]},"page":"124-135","title":"Neural mechanisms for synthesizing sensory information and producing adaptive behaviors","type":"article-journal","volume":"123"},"uris":["http://www.mendeley.com/documents/?uuid=02def8c9-57e8-4c65-abb2-b12d44e1adec"]},{"id":"ITEM-3","itemData":{"DOI":"10.1523/JNEUROSCI.4678-12.2013","ISSN":"02706474","PMID":"23616552","abstract":"The combined use of multisensory signals is often beneficial. Based on neuronal recordings in the superior colliculus of cats, three basic rules were formulated to describe the effectiveness of multisensory signals: the enhancement of neuronal responses to multisensory compared with unisensory signals is largest when signals occur at the same location (\"spatial rule\"), when signals are presented at the same time (\"temporal rule\"), and when signals are rather weak (\"principle of inverse effectiveness\"). These rules are also considered with respect to multisensory benefits as observed with behavioral measures, but do they capture these benefits best? To uncover the principles that rule benefits in multisensory behavior, we here investigated the classical redundant signal effect (RSE; i.e., the speedup of response times in multisensory compared with unisensory conditions) in humans. Based on theoretical considerations using probability summation, we derived two alternative principles to explain the effect. First, the \"principle of congruent effectiveness\" states that the benefit in multisensory behavior (here the speedup of response times) is largest when behavioral performance in corresponding unisensory conditions is similar. Second, the \"variability rule\" states that the benefit is largest when performance in corresponding unisensory conditions is unreliable.Wethen tested these predictions in two experiments, in which we manipulated the relative onset and the physical strength of distinct audiovisual signals. Our results, which are based on a systematic analysis of response time distributions, show that the RSE follows these principles very well, thereby providing compelling evidence in favor of probability summation as the underlying combination rule. © 2013 the authors.","author":[{"dropping-particle":"","family":"Otto","given":"Thomas U.","non-dropping-particle":"","parse-names":false,"suffix":""},{"dropping-particle":"","family":"Dassy","given":"Brice","non-dropping-particle":"","parse-names":false,"suffix":""},{"dropping-particle":"","family":"Mamassian","given":"Pascal","non-dropping-particle":"","parse-names":false,"suffix":""}],"container-title":"Journal of Neuroscience","id":"ITEM-3","issue":"17","issued":{"date-parts":[["2013"]]},"page":"7463-7474","title":"Principles of multisensory behavior","type":"article-journal","volume":"33"},"uris":["http://www.mendeley.com/documents/?uuid=1541d81b-fe4a-4f3f-a028-9a38aaf18c74"]},{"id":"ITEM-4","itemData":{"DOI":"10.1016/j.conb.2019.11.017","ISSN":"18736882","PMID":"31841944","abstract":"Spatial navigation is influenced by cues from nearly every sensory modality and thus provides an excellent model for understanding how different sensory streams are integrated to drive behavior. Here we review recent work on multisensory control of navigation in the model organism Drosophila melanogaster, which allows for detailed circuit dissection. We identify four modes of integration that have been described in the literature—suppression, gating, summation, and association—and describe regions of the larval and adult brain that have been implicated in sensory integration. Finally we discuss what circuit architectures might support these different forms of integration. We argue that Drosophila is an excellent model to discover these circuit and biophysical motifs","author":[{"dropping-particle":"","family":"Currier","given":"Timothy A.","non-dropping-particle":"","parse-names":false,"suffix":""},{"dropping-particle":"","family":"Nagel","given":"Katherine I.","non-dropping-particle":"","parse-names":false,"suffix":""}],"container-title":"Current Opinion in Neurobiology","id":"ITEM-4","issued":{"date-parts":[["2020"]]},"page":"10-16","publisher":"Elsevier Ltd","title":"Multisensory control of navigation in the fruit fly","type":"article-journal","volume":"64"},"uris":["http://www.mendeley.com/documents/?uuid=3071e3b1-2fdb-442b-b7ce-6f1f07a51dfd"]},{"id":"ITEM-5","itemData":{"DOI":"10.1016/j.conb.2017.01.005","ISSN":"18736882","PMID":"28273525","abstract":"Multisensory integration is a neural process by which signals from two or more distinct sensory channels are simultaneously processed to form a more coherent representation of the environment. Multisensory integration, especially when combined with a survey of internal states, provides selective advantages for animals navigating complex environments. Despite appreciation of the importance of multisensory integration in behavior, the underlying molecular and cellular mechanisms remain poorly understood. Recent work looking at how Caenorhabditis elegans makes multisensory decisions has yielded mechanistic insights into how a relatively simple and well-defined nervous system employs circuit motifs of defined features, synaptic signals and extrasynaptic neurotransmission, as well as neuromodulators in processing and integrating multiple sensory inputs to generate flexible and adaptive behavioral outputs.","author":[{"dropping-particle":"","family":"Ghosh","given":"D. Dipon","non-dropping-particle":"","parse-names":false,"suffix":""},{"dropping-particle":"","family":"Nitabach","given":"Michael N.","non-dropping-particle":"","parse-names":false,"suffix":""},{"dropping-particle":"","family":"Zhang","given":"Yun","non-dropping-particle":"","parse-names":false,"suffix":""},{"dropping-particle":"","family":"Harris","given":"Gareth","non-dropping-particle":"","parse-names":false,"suffix":""}],"container-title":"Current Opinion in Neurobiology","id":"ITEM-5","issued":{"date-parts":[["2017"]]},"page":"110-118","publisher":"Elsevier Ltd","title":"Multisensory integration in C. elegans","type":"article-journal","volume":"43"},"uris":["http://www.mendeley.com/documents/?uuid=0a94e10e-2840-4792-96f5-85e070cf9f2d"]}],"mendeley":{"formattedCitation":"(Currier &amp; Nagel, 2020; Ghosh, Nitabach, Zhang, &amp; Harris, 2017; Otto et al., 2013; Barry E. Stein, 1998; Barry E. Stein et al., 2014)","plainTextFormattedCitation":"(Currier &amp; Nagel, 2020; Ghosh, Nitabach, Zhang, &amp; Harris, 2017; Otto et al., 2013; Barry E. Stein, 1998; Barry E. Stein et al., 2014)","previouslyFormattedCitation":"(Stein 1998; Otto et al. 2013; Stein et al. 2014; Ghosh et al. 2017; Currier and Nagel 2020)"},"properties":{"noteIndex":0},"schema":"https://github.com/citation-style-language/schema/raw/master/csl-citation.json"}</w:instrText>
      </w:r>
      <w:r w:rsidRPr="004E4C2D">
        <w:rPr>
          <w:rFonts w:eastAsia="Times New Roman" w:cstheme="minorHAnsi"/>
          <w:color w:val="1D1C1D"/>
        </w:rPr>
        <w:fldChar w:fldCharType="separate"/>
      </w:r>
      <w:r w:rsidR="00B02F06" w:rsidRPr="00B02F06">
        <w:rPr>
          <w:rFonts w:eastAsia="Times New Roman" w:cstheme="minorHAnsi"/>
          <w:noProof/>
          <w:color w:val="1D1C1D"/>
        </w:rPr>
        <w:t>(Currier &amp; Nagel, 2020; Ghosh, Nitabach, Zhang, &amp; Harris, 2017; Otto et al., 2013; Barry E. Stein, 1998; Barry E. Stein et al., 2014)</w:t>
      </w:r>
      <w:r w:rsidRPr="004E4C2D">
        <w:rPr>
          <w:rFonts w:eastAsia="Times New Roman" w:cstheme="minorHAnsi"/>
          <w:color w:val="1D1C1D"/>
        </w:rPr>
        <w:fldChar w:fldCharType="end"/>
      </w:r>
      <w:r w:rsidRPr="004E4C2D">
        <w:rPr>
          <w:rFonts w:eastAsia="Times New Roman" w:cstheme="minorHAnsi"/>
          <w:color w:val="1D1C1D"/>
        </w:rPr>
        <w:t xml:space="preserve">. </w:t>
      </w:r>
      <w:r w:rsidR="002D5116" w:rsidRPr="00DC6945">
        <w:rPr>
          <w:rFonts w:eastAsia="Times New Roman" w:cstheme="minorHAnsi"/>
          <w:color w:val="1D1C1D"/>
        </w:rPr>
        <w:t>Classically, MSI studies are conducted at the neuron level where neuronal signals are processed in the brain to make behavioral decisions</w:t>
      </w:r>
      <w:r w:rsidR="00F24E1D">
        <w:rPr>
          <w:rFonts w:eastAsia="Times New Roman" w:cstheme="minorHAnsi"/>
          <w:color w:val="1D1C1D"/>
        </w:rPr>
        <w:t xml:space="preserve"> </w:t>
      </w:r>
      <w:r w:rsidR="00F24E1D">
        <w:rPr>
          <w:rFonts w:eastAsia="Times New Roman" w:cstheme="minorHAnsi"/>
          <w:color w:val="1D1C1D"/>
        </w:rPr>
        <w:fldChar w:fldCharType="begin" w:fldLock="1"/>
      </w:r>
      <w:r w:rsidR="00B02F06">
        <w:rPr>
          <w:rFonts w:eastAsia="Times New Roman" w:cstheme="minorHAnsi"/>
          <w:color w:val="1D1C1D"/>
        </w:rPr>
        <w:instrText>ADDIN CSL_CITATION {"citationItems":[{"id":"ITEM-1","itemData":{"DOI":"10.1007/s002210050553","ISSN":"00144819","PMID":"9835401","abstract":"The ability to integrate information from different sensory systems is a fundamental characteristic of the brain. Because different bits of information are derived from different sensory channels, their synthesis markedly enhances the detection and identification of external stimuli. The neural substrate for such 'multisensory' integration is provided by neurons that receive convergent input from two or more sensory modalities. Many such multisensory neurons are found in the superior colliculus (SC), a midbrain structure that plays a significant role in overt attentive and orientation behaviors. The various principles governing the integration of visual, auditory, and somatosensory inputs in SC neurons have been explored in several species. Thus far, the evidence suggests a remarkable conservation of integrative features during vertebrate evolution. One of the most robust of these principles is based on spatial relationships: a striking enhancement in activity is induced in a multisensory neuron when two different sensory stimuli (e.g., visual and auditory) are in spatial concordance, whereas a profound response depression can be induced when these cues are spatially discordant. The most extensive physiological observations have been made in cat, and in this species the same principles that have been shown to govern multisensory integration at the level of the individual SC neuron have also been shown to govern overt attentive and orientation responses to multisensory stimuli. Most surprising, however, is the critical role played by association (i.e. anterior ectosylvian) cortex in facilitating these midbrain processes. In the absence of the modulating corticotectal influences, multisensory SC neurons in cat are unable to integrate the different sensory cues converging upon them in an adult-like fashion, and are unable to mediate overt multisensory behaviors. This situation appears quite similar to that observed during early postnatal life. When multisensory SC neurons first appear, they are able to respond to multiple sensory inputs but are unable to synthesize these inputs to significantly enhance or degrade their responses. During ontogeny, in dividual multisensory neurons develop this capacity abruptly, but at very different ages, until the mature population condition is reached after several postnatal months. It appears likely that the abrupt onset of this capacity in any individual SC neuron reflects the maturation of inputs from anterior ectosylv…","author":[{"dropping-particle":"","family":"Stein","given":"Barry E.","non-dropping-particle":"","parse-names":false,"suffix":""}],"container-title":"Experimental Brain Research","id":"ITEM-1","issue":"1-2","issued":{"date-parts":[["1998"]]},"page":"124-135","title":"Neural mechanisms for synthesizing sensory information and producing adaptive behaviors","type":"article-journal","volume":"123"},"uris":["http://www.mendeley.com/documents/?uuid=02def8c9-57e8-4c65-abb2-b12d44e1adec"]},{"id":"ITEM-2","itemData":{"abstract":"The responses of superior colliculus cells to a given sensory stimulus were influenced by the presence or absence of other sensory cues. By pooling sensory inputs, many superior colliculus cells seem to amplify the effects of subtle environmental cues in certain conditions, whereas in others, responses to normally effective stimuli can be blocked. The observations illustrate the dynamic, interactive nature of the multisensory inputs which characterize the deeper laminae of the superior colliculus.","author":[{"dropping-particle":"","family":"Meredith","given":"M. A.","non-dropping-particle":"","parse-names":false,"suffix":""},{"dropping-particle":"","family":"Stein","given":"B. E.","non-dropping-particle":"","parse-names":false,"suffix":""}],"container-title":"Science","id":"ITEM-2","issue":"4608","issued":{"date-parts":[["1983"]]},"page":"389-391","title":"Interactions among converging sensory inputs in the superior colliculus.","type":"article-journal","volume":"221"},"uris":["http://www.mendeley.com/documents/?uuid=7bda66cd-448c-4fc2-8016-54116daa82c0"]},{"id":"ITEM-3","itemData":{"DOI":"10.1523/JNEUROSCI.4678-12.2013","ISSN":"02706474","PMID":"23616552","abstract":"The combined use of multisensory signals is often beneficial. Based on neuronal recordings in the superior colliculus of cats, three basic rules were formulated to describe the effectiveness of multisensory signals: the enhancement of neuronal responses to multisensory compared with unisensory signals is largest when signals occur at the same location (\"spatial rule\"), when signals are presented at the same time (\"temporal rule\"), and when signals are rather weak (\"principle of inverse effectiveness\"). These rules are also considered with respect to multisensory benefits as observed with behavioral measures, but do they capture these benefits best? To uncover the principles that rule benefits in multisensory behavior, we here investigated the classical redundant signal effect (RSE; i.e., the speedup of response times in multisensory compared with unisensory conditions) in humans. Based on theoretical considerations using probability summation, we derived two alternative principles to explain the effect. First, the \"principle of congruent effectiveness\" states that the benefit in multisensory behavior (here the speedup of response times) is largest when behavioral performance in corresponding unisensory conditions is similar. Second, the \"variability rule\" states that the benefit is largest when performance in corresponding unisensory conditions is unreliable.Wethen tested these predictions in two experiments, in which we manipulated the relative onset and the physical strength of distinct audiovisual signals. Our results, which are based on a systematic analysis of response time distributions, show that the RSE follows these principles very well, thereby providing compelling evidence in favor of probability summation as the underlying combination rule. © 2013 the authors.","author":[{"dropping-particle":"","family":"Otto","given":"Thomas U.","non-dropping-particle":"","parse-names":false,"suffix":""},{"dropping-particle":"","family":"Dassy","given":"Brice","non-dropping-particle":"","parse-names":false,"suffix":""},{"dropping-particle":"","family":"Mamassian","given":"Pascal","non-dropping-particle":"","parse-names":false,"suffix":""}],"container-title":"Journal of Neuroscience","id":"ITEM-3","issue":"17","issued":{"date-parts":[["2013"]]},"page":"7463-7474","title":"Principles of multisensory behavior","type":"article-journal","volume":"33"},"uris":["http://www.mendeley.com/documents/?uuid=1541d81b-fe4a-4f3f-a028-9a38aaf18c74"]},{"id":"ITEM-4","itemData":{"DOI":"10.1038/nrn2377","ISSN":"1471003X","author":[{"dropping-particle":"","family":"Stein","given":"Barry E.","non-dropping-particle":"","parse-names":false,"suffix":""},{"dropping-particle":"","family":"Stanford","given":"Terrence R.","non-dropping-particle":"","parse-names":false,"suffix":""}],"container-title":"Nature Reviews Neuroscience","id":"ITEM-4","issue":"5","issued":{"date-parts":[["2008"]]},"page":"406","title":"Multisensory integration: Current issues from the perspective of the single neuron","type":"article-journal","volume":"9"},"uris":["http://www.mendeley.com/documents/?uuid=9425dda2-9217-4ac8-ad83-7322021100a4"]}],"mendeley":{"formattedCitation":"(Meredith &amp; Stein, 1983; Otto et al., 2013; Barry E. Stein, 1998; Barry E. Stein &amp; Stanford, 2008)","plainTextFormattedCitation":"(Meredith &amp; Stein, 1983; Otto et al., 2013; Barry E. Stein, 1998; Barry E. Stein &amp; Stanford, 2008)","previouslyFormattedCitation":"(Meredith and Stein 1983; Stein 1998; Stein and Stanford 2008; Otto et al. 2013)"},"properties":{"noteIndex":0},"schema":"https://github.com/citation-style-language/schema/raw/master/csl-citation.json"}</w:instrText>
      </w:r>
      <w:r w:rsidR="00F24E1D">
        <w:rPr>
          <w:rFonts w:eastAsia="Times New Roman" w:cstheme="minorHAnsi"/>
          <w:color w:val="1D1C1D"/>
        </w:rPr>
        <w:fldChar w:fldCharType="separate"/>
      </w:r>
      <w:r w:rsidR="00B02F06" w:rsidRPr="00B02F06">
        <w:rPr>
          <w:rFonts w:eastAsia="Times New Roman" w:cstheme="minorHAnsi"/>
          <w:noProof/>
          <w:color w:val="1D1C1D"/>
        </w:rPr>
        <w:t>(Meredith &amp; Stein, 1983; Otto et al., 2013; Barry E. Stein, 1998; Barry E. Stein &amp; Stanford, 2008)</w:t>
      </w:r>
      <w:r w:rsidR="00F24E1D">
        <w:rPr>
          <w:rFonts w:eastAsia="Times New Roman" w:cstheme="minorHAnsi"/>
          <w:color w:val="1D1C1D"/>
        </w:rPr>
        <w:fldChar w:fldCharType="end"/>
      </w:r>
      <w:r w:rsidR="002D5116" w:rsidRPr="00DC6945">
        <w:rPr>
          <w:rFonts w:eastAsia="Times New Roman" w:cstheme="minorHAnsi"/>
          <w:color w:val="1D1C1D"/>
        </w:rPr>
        <w:t xml:space="preserve">. However, much less research has been conducted on organisms without complex nervous systems or brains. </w:t>
      </w:r>
      <w:r w:rsidR="00CD11A0">
        <w:rPr>
          <w:rFonts w:eastAsia="Times New Roman" w:cstheme="minorHAnsi"/>
          <w:color w:val="1D1C1D"/>
        </w:rPr>
        <w:t xml:space="preserve">Moreover, it has been shown </w:t>
      </w:r>
      <w:r w:rsidR="002D5116" w:rsidRPr="00DC6945">
        <w:rPr>
          <w:rFonts w:eastAsia="Times New Roman" w:cstheme="minorHAnsi"/>
          <w:color w:val="1D1C1D"/>
        </w:rPr>
        <w:t xml:space="preserve">that zoospores of an </w:t>
      </w:r>
      <w:proofErr w:type="spellStart"/>
      <w:r w:rsidR="002D5116" w:rsidRPr="00DC6945">
        <w:rPr>
          <w:rFonts w:eastAsia="Times New Roman" w:cstheme="minorHAnsi"/>
          <w:i/>
          <w:iCs/>
          <w:color w:val="1D1C1D"/>
        </w:rPr>
        <w:t>Allomyces</w:t>
      </w:r>
      <w:proofErr w:type="spellEnd"/>
      <w:r w:rsidR="002D5116" w:rsidRPr="00DC6945">
        <w:rPr>
          <w:rFonts w:eastAsia="Times New Roman" w:cstheme="minorHAnsi"/>
          <w:color w:val="1D1C1D"/>
        </w:rPr>
        <w:t xml:space="preserve"> fungus </w:t>
      </w:r>
      <w:r w:rsidR="00D26B72">
        <w:rPr>
          <w:rFonts w:eastAsia="Times New Roman" w:cstheme="minorHAnsi"/>
          <w:color w:val="1D1C1D"/>
        </w:rPr>
        <w:t>utilize</w:t>
      </w:r>
      <w:r w:rsidR="00D26B72" w:rsidRPr="00DC6945">
        <w:rPr>
          <w:rFonts w:eastAsia="Times New Roman" w:cstheme="minorHAnsi"/>
          <w:color w:val="1D1C1D"/>
        </w:rPr>
        <w:t xml:space="preserve"> </w:t>
      </w:r>
      <w:r w:rsidR="00ED38F6">
        <w:rPr>
          <w:rFonts w:eastAsia="Times New Roman" w:cstheme="minorHAnsi"/>
          <w:color w:val="1D1C1D"/>
        </w:rPr>
        <w:t>a multisensory system involving chemo- and photo-taxis</w:t>
      </w:r>
      <w:r w:rsidR="002D5116" w:rsidRPr="00DC6945">
        <w:rPr>
          <w:rFonts w:eastAsia="Times New Roman" w:cstheme="minorHAnsi"/>
          <w:color w:val="1D1C1D"/>
        </w:rPr>
        <w:t xml:space="preserve"> </w:t>
      </w:r>
      <w:r w:rsidR="002D5116" w:rsidRPr="00DC6945">
        <w:rPr>
          <w:rFonts w:eastAsia="Times New Roman" w:cstheme="minorHAnsi"/>
          <w:color w:val="1D1C1D"/>
        </w:rPr>
        <w:lastRenderedPageBreak/>
        <w:fldChar w:fldCharType="begin" w:fldLock="1"/>
      </w:r>
      <w:r w:rsidR="00B02F06">
        <w:rPr>
          <w:rFonts w:eastAsia="Times New Roman" w:cstheme="minorHAnsi"/>
          <w:color w:val="1D1C1D"/>
        </w:rPr>
        <w:instrText>ADDIN CSL_CITATION {"citationItems":[{"id":"ITEM-1","itemData":{"DOI":"10.1242/jeb.163196","ISSN":"00220949","PMID":"29170260","abstract":"Complex sensory systems often underlie critical behaviors, including avoiding predators and locating prey, mates and shelter. Multisensory systems that control motor behavior even appear in unicellular eukaryotes, such as Chlamydomonas, which are important laboratory models for sensory biology. However, we know of no unicellular opisthokonts that control motor behavior using a multimodal sensory system. Therefore, existing single-celled models for multimodal sensorimotor integration are very distantly related to animals. Here, we describe a multisensory system that controls the motor function of unicellular fungal zoospores. We found that zoospores of Allomyces arbusculus exhibit both phototaxis and chemotaxis. Furthermore, we report that closely related Allomyces species respond to either the chemical or the light stimuli presented in this study, not both, and likely do not share this multisensory system. This diversity of sensory systems within Allomyces provides a rare example of a comparative framework that can be used to examine the evolution of sensory systems following the gain/loss of available sensory modalities. The tractability of Allomyces and related fungi as laboratory organisms will facilitate detailed mechanistic investigations into the genetic underpinnings of novel photosensory systems, and how multisensory systems may have functioned in early opisthokonts before multicellularity allowed for the evolution of specialized cell types.","author":[{"dropping-particle":"","family":"Swafford","given":"Andrew J.M.","non-dropping-particle":"","parse-names":false,"suffix":""},{"dropping-particle":"","family":"Oakley","given":"Todd H.","non-dropping-particle":"","parse-names":false,"suffix":""}],"container-title":"Journal of Experimental Biology","id":"ITEM-1","issue":"2","issued":{"date-parts":[["2018"]]},"title":"Multimodal sensorimotor system in unicellular zoospores of a fungus","type":"article-journal","volume":"221"},"uris":["http://www.mendeley.com/documents/?uuid=2239ffe1-54fb-4d56-84f5-367ba8bf0261"]}],"mendeley":{"formattedCitation":"(Swafford &amp; Oakley, 2018)","plainTextFormattedCitation":"(Swafford &amp; Oakley, 2018)","previouslyFormattedCitation":"(Swafford and Oakley 2018)"},"properties":{"noteIndex":0},"schema":"https://github.com/citation-style-language/schema/raw/master/csl-citation.json"}</w:instrText>
      </w:r>
      <w:r w:rsidR="002D5116" w:rsidRPr="00DC6945">
        <w:rPr>
          <w:rFonts w:eastAsia="Times New Roman" w:cstheme="minorHAnsi"/>
          <w:color w:val="1D1C1D"/>
        </w:rPr>
        <w:fldChar w:fldCharType="separate"/>
      </w:r>
      <w:r w:rsidR="00B02F06" w:rsidRPr="00B02F06">
        <w:rPr>
          <w:rFonts w:eastAsia="Times New Roman" w:cstheme="minorHAnsi"/>
          <w:noProof/>
          <w:color w:val="1D1C1D"/>
        </w:rPr>
        <w:t>(Swafford &amp; Oakley, 2018)</w:t>
      </w:r>
      <w:r w:rsidR="002D5116" w:rsidRPr="00DC6945">
        <w:rPr>
          <w:rFonts w:eastAsia="Times New Roman" w:cstheme="minorHAnsi"/>
          <w:color w:val="1D1C1D"/>
        </w:rPr>
        <w:fldChar w:fldCharType="end"/>
      </w:r>
      <w:r w:rsidR="002D5116" w:rsidRPr="00DC6945">
        <w:rPr>
          <w:rFonts w:eastAsia="Times New Roman" w:cstheme="minorHAnsi"/>
          <w:color w:val="1D1C1D"/>
        </w:rPr>
        <w:t xml:space="preserve"> which suggests </w:t>
      </w:r>
      <w:r w:rsidR="000C733F">
        <w:rPr>
          <w:rFonts w:eastAsia="Times New Roman" w:cstheme="minorHAnsi"/>
          <w:color w:val="1D1C1D"/>
        </w:rPr>
        <w:t xml:space="preserve">the possibility that MSI </w:t>
      </w:r>
      <w:r w:rsidR="002D5116" w:rsidRPr="00DC6945">
        <w:rPr>
          <w:rFonts w:eastAsia="Times New Roman" w:cstheme="minorHAnsi"/>
          <w:color w:val="1D1C1D"/>
        </w:rPr>
        <w:t xml:space="preserve">evolved </w:t>
      </w:r>
      <w:r w:rsidR="000C733F">
        <w:rPr>
          <w:rFonts w:eastAsia="Times New Roman" w:cstheme="minorHAnsi"/>
          <w:color w:val="1D1C1D"/>
        </w:rPr>
        <w:t>prior to the evolution</w:t>
      </w:r>
      <w:r w:rsidR="002D5116" w:rsidRPr="00DC6945">
        <w:rPr>
          <w:rFonts w:eastAsia="Times New Roman" w:cstheme="minorHAnsi"/>
          <w:color w:val="1D1C1D"/>
        </w:rPr>
        <w:t xml:space="preserve"> of complex nervous systems.</w:t>
      </w:r>
    </w:p>
    <w:p w14:paraId="20BA9628" w14:textId="77777777" w:rsidR="002D5116" w:rsidRDefault="002D5116" w:rsidP="00D46E28">
      <w:pPr>
        <w:spacing w:line="480" w:lineRule="auto"/>
        <w:jc w:val="both"/>
        <w:rPr>
          <w:rFonts w:eastAsia="Times New Roman" w:cstheme="minorHAnsi"/>
          <w:color w:val="1D1C1D"/>
        </w:rPr>
      </w:pPr>
    </w:p>
    <w:p w14:paraId="0B25C4A3" w14:textId="7E12BE47" w:rsidR="00CD11A0" w:rsidRDefault="004E4C2D" w:rsidP="00D46E28">
      <w:pPr>
        <w:spacing w:line="480" w:lineRule="auto"/>
        <w:jc w:val="both"/>
        <w:rPr>
          <w:rFonts w:cstheme="minorHAnsi"/>
          <w:color w:val="000000"/>
        </w:rPr>
      </w:pPr>
      <w:r w:rsidRPr="004E4C2D">
        <w:rPr>
          <w:rFonts w:cstheme="minorHAnsi"/>
          <w:color w:val="000000"/>
        </w:rPr>
        <w:t xml:space="preserve">Sensory integration is </w:t>
      </w:r>
      <w:r w:rsidR="006B346A">
        <w:rPr>
          <w:rFonts w:cstheme="minorHAnsi"/>
          <w:color w:val="000000"/>
        </w:rPr>
        <w:t xml:space="preserve">critically </w:t>
      </w:r>
      <w:r w:rsidRPr="004E4C2D">
        <w:rPr>
          <w:rFonts w:cstheme="minorHAnsi"/>
          <w:color w:val="000000"/>
        </w:rPr>
        <w:t xml:space="preserve">important for sessile marine invertebrates that utilize larvae for dispersal and often </w:t>
      </w:r>
      <w:r w:rsidR="0090668C">
        <w:rPr>
          <w:rFonts w:cstheme="minorHAnsi"/>
          <w:color w:val="000000"/>
        </w:rPr>
        <w:t xml:space="preserve">make </w:t>
      </w:r>
      <w:r w:rsidRPr="004E4C2D">
        <w:rPr>
          <w:rFonts w:cstheme="minorHAnsi"/>
          <w:color w:val="000000"/>
        </w:rPr>
        <w:t xml:space="preserve">irreversible settlement decisions. </w:t>
      </w:r>
      <w:r w:rsidR="00CD11A0" w:rsidRPr="00DC6945">
        <w:rPr>
          <w:rFonts w:eastAsia="Times New Roman" w:cstheme="minorHAnsi"/>
          <w:color w:val="1D1C1D"/>
        </w:rPr>
        <w:t xml:space="preserve">Because some sensory cues may be better indicators of site quality than others, it has been proposed that larvae place emphasis on select cues, leading to a hierarchy of sensory cues that determine where settlement occurs </w:t>
      </w:r>
      <w:r w:rsidR="00CD11A0" w:rsidRPr="00DC6945">
        <w:rPr>
          <w:rFonts w:eastAsia="Times New Roman" w:cstheme="minorHAnsi"/>
          <w:color w:val="1D1C1D"/>
        </w:rPr>
        <w:fldChar w:fldCharType="begin" w:fldLock="1"/>
      </w:r>
      <w:r w:rsidR="00B02F06">
        <w:rPr>
          <w:rFonts w:eastAsia="Times New Roman" w:cstheme="minorHAnsi"/>
          <w:color w:val="1D1C1D"/>
        </w:rPr>
        <w:instrText>ADDIN CSL_CITATION {"citationItems":[{"id":"ITEM-1","itemData":{"abstract":"A commonality among oceanic life cycles is a process known as settlement, where dispersing propagules transition to the sea 8oor. For many marine invertebrates, this transition is irreversible, and therefore involves a crucial decision-making process through which larvae evaluate their juvenile habitat-to-be. In this chapter, we consider aspects of the external environment that could in8uence successful settlement. Speci&lt;cally, we discuss water 8ow across scales, and how larvae can engage behaviors to in8uence where ocean currents take them, and enhance the likelihood of their being carried towards suitable settlement locations. Next, we consider what senses larvae utilize to evaluate their external environment and properly time such behavioral modi&lt;cations, and settlement generally. We hypothesize that larvae integrate these various external cues in a hierarchical fashion, with di&gt;ering arrangements being employed across ontogeny and among species. We conclude with a brief discussion of the future promises of larval biology, ecology and evolution","author":[{"dropping-particle":"","family":"Hodin","given":"Jason","non-dropping-particle":"","parse-names":false,"suffix":""},{"dropping-particle":"","family":"Ferner","given":"Matthew","non-dropping-particle":"","parse-names":false,"suffix":""},{"dropping-particle":"","family":"Heyland","given":"Andreas","non-dropping-particle":"","parse-names":false,"suffix":""},{"dropping-particle":"","family":"Gaylord","given":"Brian","non-dropping-particle":"","parse-names":false,"suffix":""}],"chapter-number":"Chapter 13","container-title":"Evolutionary Ecology of Marine Invertebrate Larvae","id":"ITEM-1","issued":{"date-parts":[["2018"]]},"page":"190-207","title":"I feel that! Fluid dynamics and sensory aspects of larval settlement across scales","type":"chapter"},"uris":["http://www.mendeley.com/documents/?uuid=79bd2d90-194e-4e37-bf8a-067627beb3b3"]},{"id":"ITEM-2","itemData":{"DOI":"10.3354/meps330163","ISSN":"01718630","abstract":"Fine-scale water column structure was mimicked in a laboratory plane jet flume to examine responses of the calanoid copepods Temora longicornis and Acartia tonsa to layers consisting of a velocity gradient, density gradient, phytoplankton exudates and food (phytoplankton). Copepods were exposed to isolated layers and combinations of cues as defined by in situ conditions. Behaviors elicited by the velocity gradient and chemical exudate layers included increased swimming speed and turn frequency consistent with excited area-restricted search behavior, which led to increased proportional residence time in the layers. Both species had significant responses to isolated layers of velocity gradients and chemical exudates, with T. longicornis responding more intensely to chemical cues than velocity gradients and A. tonsa responding equally to both. Combined fluid mechanical and chemical cues elicited species-specific responses. For T. longicornis, chemical presence induced responses that strengthened or cancelled initial reactions to the velocity gradient. These results suggest a cue hierarchy where a velocity gradient acts as an initial cue for narrowing search regions, and chemical cues and food presence determine consequent responses. For A. tonsa, combining velocity gradient and chemical cues had the same effect on copepod behavior as the individual cues, which suggests both cues are equal sources of information but are not closely associated. In both species, physical contact with particles or cells initiated feeding behavior, resulting in lower swimming speeds. Fluid density had a potentially aversive effect, as neither species responded with an area-restricted search response and individuals rarely crossed a strong density gradient. Observed behaviors may lead to aggregation, especially when superimposed on rhythmic movements such as diel vertical migration. © Inter-Research 2007.","author":[{"dropping-particle":"","family":"Woodson","given":"C. B.","non-dropping-particle":"","parse-names":false,"suffix":""},{"dropping-particle":"","family":"Webster","given":"D. R.","non-dropping-particle":"","parse-names":false,"suffix":""},{"dropping-particle":"","family":"Weissburg","given":"M. J.","non-dropping-particle":"","parse-names":false,"suffix":""},{"dropping-particle":"","family":"Yen","given":"J.","non-dropping-particle":"","parse-names":false,"suffix":""}],"container-title":"Marine Ecology Progress Series","id":"ITEM-2","issued":{"date-parts":[["2007"]]},"page":"163-177","title":"Cue hierarchy and foraging in calanoid copepods: Ecological implications of oceanographic structure","type":"article-journal","volume":"330"},"uris":["http://www.mendeley.com/documents/?uuid=f37eb5fd-9352-4890-9cfc-5d9c01b7716b"]},{"id":"ITEM-3","itemData":{"ISSN":"00074977","abstract":"Models of larval dispersal rarely incorporate the behavior of larvae, yet many potential settlers of marine invertebrates and fishes may navigate toward suitable settlement sites by responding to gradients of environmental stimuli. Accordingly, a variety of stimuli may be used for navigation (directed movements to the source of stimuli) and partial navigation (e.g., migration to a current that may favor transport to a settlement site) in the pelagic environment. A broad diversity of taxa have senses that allow them to detect variation in: water chemistry (biotic sources, e.g., amino acids and abiotic sources, e.g., salinity), sound and vibration (biotic sources, e.g., grunting fishes, abiotic sources, e.g., waves breaking), white light gradients and images, polarized light, current direction, magnetism and water pressure. Some organisms can detect multiple stimuli (e.g., decapods and fishes) and integrated sensory responses are likely to be common; many potential settlers of these taxa are good swimmers. Demonstrations of strong orientation to stimuli and navigation over short (centimeters to meters) and broad spatial scales (tens of meters to tens of kilometers) are most common for these groups. Partial navigation, revolving vertical migration, is common for invertebrate larvae. A consequence of vertical migration can be transportation that favors movement to suitable settlement habitat. Navigation over a range of spatial scales may use stimuli that are very predictable regardless of location (e.g., water pressure, gravity). The gradients of other stimuli may be more useful for environment-specific signals and even the location of natal habitats, locations and conspecifics (e.g., using sound or smell of specific taxa). We argue that some larvae may use a hierarchy of sensory cues to find suitable settlement sites and that some of the same types of stimuli may be used at more than one spatial scale (as demonstrated for adult salmonid fishes). There are good demonstrations of the use of cues for orientation and navigation at small spatial scales (less than a few meters). More information, however, is required at spatial scales that are relevant to navigation over kilometers before behavior can be incorporated more accurately into models of larval dispersal.","author":[{"dropping-particle":"","family":"Kingsford","given":"Michael J.","non-dropping-particle":"","parse-names":false,"suffix":""},{"dropping-particle":"","family":"Leis","given":"Jeffrey M.","non-dropping-particle":"","parse-names":false,"suffix":""},{"dropping-particle":"","family":"Shanks","given":"Alan","non-dropping-particle":"","parse-names":false,"suffix":""},{"dropping-particle":"","family":"Lindeman","given":"Kenyon C.","non-dropping-particle":"","parse-names":false,"suffix":""},{"dropping-particle":"","family":"Morgan","given":"Steven G.","non-dropping-particle":"","parse-names":false,"suffix":""},{"dropping-particle":"","family":"Pineda","given":"Jesús","non-dropping-particle":"","parse-names":false,"suffix":""}],"container-title":"Bulletin of Marine Science","id":"ITEM-3","issue":"1 SUPPL.","issued":{"date-parts":[["2002"]]},"page":"309-340","title":"Sensory environments, larval abilities and local self-recruitment","type":"article-journal","volume":"70"},"uris":["http://www.mendeley.com/documents/?uuid=2bd59e80-aa07-48ca-b109-3c2261cfd6a7"]},{"id":"ITEM-4","itemData":{"DOI":"10.1139/z02-130","ISBN":"0008-4301","ISSN":"0008-4301","abstract":"The free-living stages of sedentary organisms are an adaptation that enables immobile species to exploit scattered or transient ecological niches. In the Cnidaria the task of prospecting for and identifying a congenial habitat is consigned to tiny planula larvae or larva-like buds, stages that actually transform into the sessile polyp. However, the sensory equipment of these larvae does not qualify them to locate an appropriate habitat from a distance. They therefore depend on a hierarchy of key stimuli indicative of an environment that is congenial to them; this is exemplified by genera of the Anthozoa (Nematostella, Acropora), Scyphozoa (Cassiopea), and Hydrozoa (Coryne, Proboscidactyla, Hydractinia). In many instances the final stimulus that triggers settlement and metamorphosis derives from substrateborne bacteria or other biogenic cues which can be explored by mechanochemical sensory cells. Upon stimulation, the sensory cells release, or cause the release of, internal signals such as neuropeptides that can spread throughout the body, triggering decomposition of the larval tissue and acquisition of an adult cellular inventory. Progenitor cells may be preprogrammed to adopt their new tasks quickly. Gregarious settlement favours the exchange of alleles, but also can be a cause of civil war. A rare and spatially restricted substrate must be defended. Cnidarians are able to discriminate between isogeneic and allogeneic members of a community, and may use particular nematocysts to eliminate allogeneic competitors. Paradigms for most of the issues addressed are provided by the hydroid genus Hydractinia.","author":[{"dropping-particle":"","family":"Müller","given":"Werner A","non-dropping-particle":"","parse-names":false,"suffix":""},{"dropping-particle":"","family":"Leitz","given":"Thomas","non-dropping-particle":"","parse-names":false,"suffix":""}],"container-title":"Canadian Journal of Zoology","id":"ITEM-4","issue":"10","issued":{"date-parts":[["2002"]]},"page":"1755-1771","title":"Metamorphosis in the Cnidaria","type":"article-journal","volume":"80"},"uris":["http://www.mendeley.com/documents/?uuid=057b2a14-c9ca-445d-803b-e2181537357d"]}],"mendeley":{"formattedCitation":"(Hodin, Ferner, Heyland, &amp; Gaylord, 2018; Kingsford et al., 2002; Müller &amp; Leitz, 2002; Woodson, Webster, Weissburg, &amp; Yen, 2007)","plainTextFormattedCitation":"(Hodin, Ferner, Heyland, &amp; Gaylord, 2018; Kingsford et al., 2002; Müller &amp; Leitz, 2002; Woodson, Webster, Weissburg, &amp; Yen, 2007)","previouslyFormattedCitation":"(Kingsford et al. 2002; Müller and Leitz 2002; Woodson et al. 2007; Hodin et al. 2018)"},"properties":{"noteIndex":0},"schema":"https://github.com/citation-style-language/schema/raw/master/csl-citation.json"}</w:instrText>
      </w:r>
      <w:r w:rsidR="00CD11A0" w:rsidRPr="00DC6945">
        <w:rPr>
          <w:rFonts w:eastAsia="Times New Roman" w:cstheme="minorHAnsi"/>
          <w:color w:val="1D1C1D"/>
        </w:rPr>
        <w:fldChar w:fldCharType="separate"/>
      </w:r>
      <w:r w:rsidR="00B02F06" w:rsidRPr="00B02F06">
        <w:rPr>
          <w:rFonts w:eastAsia="Times New Roman" w:cstheme="minorHAnsi"/>
          <w:noProof/>
          <w:color w:val="1D1C1D"/>
        </w:rPr>
        <w:t>(Hodin, Ferner, Heyland, &amp; Gaylord, 2018; Kingsford et al., 2002; Müller &amp; Leitz, 2002; Woodson, Webster, Weissburg, &amp; Yen, 2007)</w:t>
      </w:r>
      <w:r w:rsidR="00CD11A0" w:rsidRPr="00DC6945">
        <w:rPr>
          <w:rFonts w:eastAsia="Times New Roman" w:cstheme="minorHAnsi"/>
          <w:color w:val="1D1C1D"/>
        </w:rPr>
        <w:fldChar w:fldCharType="end"/>
      </w:r>
      <w:r w:rsidR="00CD11A0" w:rsidRPr="00DC6945">
        <w:rPr>
          <w:rFonts w:eastAsia="Times New Roman" w:cstheme="minorHAnsi"/>
          <w:color w:val="1D1C1D"/>
        </w:rPr>
        <w:t>.</w:t>
      </w:r>
      <w:r w:rsidR="00922530" w:rsidRPr="00922530">
        <w:rPr>
          <w:rFonts w:eastAsia="Times New Roman" w:cstheme="minorHAnsi"/>
          <w:color w:val="1D1C1D"/>
        </w:rPr>
        <w:t xml:space="preserve"> </w:t>
      </w:r>
      <w:r w:rsidRPr="004E4C2D">
        <w:rPr>
          <w:rFonts w:cstheme="minorHAnsi"/>
          <w:color w:val="000000"/>
        </w:rPr>
        <w:t>However, MSI has yet to be demonstrated in marine invertebrate</w:t>
      </w:r>
      <w:r>
        <w:rPr>
          <w:rFonts w:cstheme="minorHAnsi"/>
          <w:color w:val="000000"/>
        </w:rPr>
        <w:t xml:space="preserve"> </w:t>
      </w:r>
      <w:r w:rsidRPr="004E4C2D">
        <w:rPr>
          <w:rFonts w:cstheme="minorHAnsi"/>
          <w:color w:val="000000"/>
        </w:rPr>
        <w:t>larval settlement</w:t>
      </w:r>
      <w:r>
        <w:rPr>
          <w:rFonts w:cstheme="minorHAnsi"/>
          <w:color w:val="000000"/>
        </w:rPr>
        <w:t>,</w:t>
      </w:r>
      <w:r w:rsidRPr="004E4C2D">
        <w:rPr>
          <w:rFonts w:cstheme="minorHAnsi"/>
          <w:color w:val="000000"/>
        </w:rPr>
        <w:t xml:space="preserve"> and little is known about the potential for MSI in such organisms that lack complex nervous systems or brains.</w:t>
      </w:r>
    </w:p>
    <w:p w14:paraId="61178799" w14:textId="77777777" w:rsidR="00CD11A0" w:rsidRDefault="00CD11A0" w:rsidP="00D46E28">
      <w:pPr>
        <w:spacing w:line="480" w:lineRule="auto"/>
        <w:jc w:val="both"/>
        <w:rPr>
          <w:rFonts w:cstheme="minorHAnsi"/>
          <w:color w:val="000000"/>
        </w:rPr>
      </w:pPr>
    </w:p>
    <w:p w14:paraId="47C6A4FC" w14:textId="5F34A604" w:rsidR="004945DF" w:rsidRPr="00922530" w:rsidRDefault="00CD11A0" w:rsidP="00D46E28">
      <w:pPr>
        <w:spacing w:line="480" w:lineRule="auto"/>
        <w:jc w:val="both"/>
        <w:rPr>
          <w:rFonts w:eastAsia="Times New Roman" w:cstheme="minorHAnsi"/>
          <w:color w:val="1D1C1D"/>
        </w:rPr>
      </w:pPr>
      <w:r>
        <w:rPr>
          <w:rFonts w:eastAsia="Times New Roman" w:cstheme="minorHAnsi"/>
          <w:color w:val="1D1C1D"/>
        </w:rPr>
        <w:t xml:space="preserve">The marine hydrozoan </w:t>
      </w:r>
      <w:r w:rsidRPr="00F10717">
        <w:rPr>
          <w:rFonts w:eastAsia="Times New Roman" w:cstheme="minorHAnsi"/>
          <w:i/>
          <w:iCs/>
          <w:color w:val="1D1C1D"/>
        </w:rPr>
        <w:t>Ectopleura crocea</w:t>
      </w:r>
      <w:r>
        <w:rPr>
          <w:rFonts w:eastAsia="Times New Roman" w:cstheme="minorHAnsi"/>
          <w:color w:val="1D1C1D"/>
        </w:rPr>
        <w:t xml:space="preserve"> is a benthic colonial species with a pan-global distribution in temperate coastal regions</w:t>
      </w:r>
      <w:r w:rsidRPr="00922530">
        <w:rPr>
          <w:rFonts w:eastAsia="Times New Roman" w:cstheme="minorHAnsi"/>
          <w:color w:val="1D1C1D"/>
        </w:rPr>
        <w:t xml:space="preserve">. </w:t>
      </w:r>
      <w:r w:rsidR="0044478B" w:rsidRPr="00922530">
        <w:rPr>
          <w:rFonts w:eastAsia="Times New Roman" w:cstheme="minorHAnsi"/>
          <w:color w:val="1D1C1D"/>
        </w:rPr>
        <w:t>U</w:t>
      </w:r>
      <w:r w:rsidRPr="00922530">
        <w:rPr>
          <w:rFonts w:eastAsia="Times New Roman" w:cstheme="minorHAnsi"/>
          <w:color w:val="1D1C1D"/>
        </w:rPr>
        <w:t xml:space="preserve">nlike many other cnidarians, </w:t>
      </w:r>
      <w:r w:rsidRPr="00922530">
        <w:rPr>
          <w:rFonts w:eastAsia="Times New Roman" w:cstheme="minorHAnsi"/>
          <w:i/>
          <w:iCs/>
          <w:color w:val="1D1C1D"/>
        </w:rPr>
        <w:t>E. crocea</w:t>
      </w:r>
      <w:r w:rsidRPr="00922530">
        <w:rPr>
          <w:rFonts w:eastAsia="Times New Roman" w:cstheme="minorHAnsi"/>
          <w:color w:val="1D1C1D"/>
        </w:rPr>
        <w:t xml:space="preserve"> possesses an actinula larva (Fig 1C). </w:t>
      </w:r>
      <w:r w:rsidR="000C733F">
        <w:rPr>
          <w:rFonts w:eastAsia="Times New Roman" w:cstheme="minorHAnsi"/>
          <w:color w:val="1D1C1D"/>
        </w:rPr>
        <w:t>Actinulae</w:t>
      </w:r>
      <w:r w:rsidR="0044478B" w:rsidRPr="00922530">
        <w:rPr>
          <w:rFonts w:eastAsia="Times New Roman" w:cstheme="minorHAnsi"/>
          <w:color w:val="1D1C1D"/>
        </w:rPr>
        <w:t xml:space="preserve"> </w:t>
      </w:r>
      <w:r w:rsidR="000C733F">
        <w:rPr>
          <w:rFonts w:eastAsia="Times New Roman" w:cstheme="minorHAnsi"/>
          <w:color w:val="1D1C1D"/>
        </w:rPr>
        <w:t>are</w:t>
      </w:r>
      <w:r w:rsidR="000C733F" w:rsidRPr="00922530">
        <w:rPr>
          <w:rFonts w:eastAsia="Times New Roman" w:cstheme="minorHAnsi"/>
          <w:color w:val="1D1C1D"/>
        </w:rPr>
        <w:t xml:space="preserve"> </w:t>
      </w:r>
      <w:r w:rsidR="0044478B" w:rsidRPr="00922530">
        <w:rPr>
          <w:rFonts w:eastAsia="Times New Roman" w:cstheme="minorHAnsi"/>
          <w:color w:val="1D1C1D"/>
        </w:rPr>
        <w:t>motile lecithotrophic larva</w:t>
      </w:r>
      <w:r w:rsidR="000C733F">
        <w:rPr>
          <w:rFonts w:eastAsia="Times New Roman" w:cstheme="minorHAnsi"/>
          <w:color w:val="1D1C1D"/>
        </w:rPr>
        <w:t>e</w:t>
      </w:r>
      <w:r w:rsidR="0044478B" w:rsidRPr="00922530">
        <w:rPr>
          <w:rFonts w:eastAsia="Times New Roman" w:cstheme="minorHAnsi"/>
          <w:color w:val="1D1C1D"/>
        </w:rPr>
        <w:t xml:space="preserve"> that develop in the following five stages: the star embryo, preactinula, actinula, nematocyte-printing (settling) actinula, and settled actinula</w:t>
      </w:r>
      <w:r w:rsidR="0090668C" w:rsidRPr="00922530">
        <w:rPr>
          <w:rFonts w:eastAsia="Times New Roman" w:cstheme="minorHAnsi"/>
          <w:color w:val="1D1C1D"/>
        </w:rPr>
        <w:t xml:space="preserve">. </w:t>
      </w:r>
      <w:r w:rsidRPr="00922530">
        <w:rPr>
          <w:rFonts w:eastAsia="Times New Roman" w:cstheme="minorHAnsi"/>
          <w:i/>
          <w:iCs/>
          <w:color w:val="1D1C1D"/>
        </w:rPr>
        <w:t>E. crocea</w:t>
      </w:r>
      <w:r w:rsidRPr="00922530">
        <w:rPr>
          <w:rFonts w:eastAsia="Times New Roman" w:cstheme="minorHAnsi"/>
          <w:color w:val="1D1C1D"/>
        </w:rPr>
        <w:t xml:space="preserve"> actinulae larvae begin settlement using a larval behavior called nematocyte-printing, which serves to tether actinula to the substrate </w:t>
      </w:r>
      <w:r w:rsidRPr="00922530">
        <w:rPr>
          <w:rFonts w:eastAsia="Times New Roman" w:cstheme="minorHAnsi"/>
          <w:color w:val="1D1C1D"/>
        </w:rPr>
        <w:fldChar w:fldCharType="begin" w:fldLock="1"/>
      </w:r>
      <w:r w:rsidR="00B02F06">
        <w:rPr>
          <w:rFonts w:eastAsia="Times New Roman" w:cstheme="minorHAnsi"/>
          <w:color w:val="1D1C1D"/>
        </w:rPr>
        <w:instrText>ADDIN CSL_CITATION {"citationItems":[{"id":"ITEM-1","itemData":{"author":[{"dropping-particle":"","family":"Yamashita","given":"Keiji","non-dropping-particle":"","parse-names":false,"suffix":""}],"container-title":"Biological Bulletin","id":"ITEM-1","issued":{"date-parts":[["2003"]]},"page":"256-269","title":"Larval Behavioral, Morphological Changes, and Nematocyte Dynamics During Settlement of Actinulae of Tubularia mesembryanthemum, Allman 1871 (Hydrozoa: Tubulariidae)","type":"article-journal","volume":"204"},"uris":["http://www.mendeley.com/documents/?uuid=f20a1cce-5224-449d-9ce6-230c4676dcc6"]}],"mendeley":{"formattedCitation":"(Yamashita, 2003)","plainTextFormattedCitation":"(Yamashita, 2003)","previouslyFormattedCitation":"(Yamashita 2003)"},"properties":{"noteIndex":0},"schema":"https://github.com/citation-style-language/schema/raw/master/csl-citation.json"}</w:instrText>
      </w:r>
      <w:r w:rsidRPr="00922530">
        <w:rPr>
          <w:rFonts w:eastAsia="Times New Roman" w:cstheme="minorHAnsi"/>
          <w:color w:val="1D1C1D"/>
        </w:rPr>
        <w:fldChar w:fldCharType="separate"/>
      </w:r>
      <w:r w:rsidR="00B02F06" w:rsidRPr="00B02F06">
        <w:rPr>
          <w:rFonts w:eastAsia="Times New Roman" w:cstheme="minorHAnsi"/>
          <w:noProof/>
          <w:color w:val="1D1C1D"/>
        </w:rPr>
        <w:t>(Yamashita, 2003)</w:t>
      </w:r>
      <w:r w:rsidRPr="00922530">
        <w:rPr>
          <w:rFonts w:eastAsia="Times New Roman" w:cstheme="minorHAnsi"/>
          <w:color w:val="1D1C1D"/>
        </w:rPr>
        <w:fldChar w:fldCharType="end"/>
      </w:r>
      <w:r w:rsidRPr="00922530">
        <w:rPr>
          <w:rFonts w:eastAsia="Times New Roman" w:cstheme="minorHAnsi"/>
          <w:color w:val="1D1C1D"/>
        </w:rPr>
        <w:t>. However, little is known about the sensory cues that determine this process, the cell types that receive such information, or the underlying genetic machinery of sensation that coordinates such settlement decisions.</w:t>
      </w:r>
      <w:r w:rsidR="004E4C2D" w:rsidRPr="00922530">
        <w:rPr>
          <w:rFonts w:cstheme="minorHAnsi"/>
          <w:color w:val="000000"/>
        </w:rPr>
        <w:t xml:space="preserve"> </w:t>
      </w:r>
    </w:p>
    <w:p w14:paraId="2AB43822" w14:textId="77777777" w:rsidR="004945DF" w:rsidRDefault="004945DF" w:rsidP="00D46E28">
      <w:pPr>
        <w:spacing w:line="480" w:lineRule="auto"/>
        <w:jc w:val="both"/>
        <w:rPr>
          <w:rFonts w:eastAsia="Times New Roman" w:cstheme="minorHAnsi"/>
          <w:color w:val="1D1C1D"/>
        </w:rPr>
      </w:pPr>
    </w:p>
    <w:p w14:paraId="1E8FE7FF" w14:textId="62464937" w:rsidR="001F5A4A" w:rsidRPr="00862731" w:rsidRDefault="004945DF" w:rsidP="00D46E28">
      <w:pPr>
        <w:widowControl w:val="0"/>
        <w:spacing w:line="480" w:lineRule="auto"/>
        <w:jc w:val="both"/>
        <w:rPr>
          <w:rFonts w:eastAsia="Times New Roman" w:cstheme="minorHAnsi"/>
          <w:color w:val="1D1C1D"/>
        </w:rPr>
      </w:pPr>
      <w:r>
        <w:lastRenderedPageBreak/>
        <w:t>Here we describe integrative stud</w:t>
      </w:r>
      <w:r w:rsidR="004278C9">
        <w:t>ies on</w:t>
      </w:r>
      <w:r>
        <w:t xml:space="preserve"> the sensory biology of </w:t>
      </w:r>
      <w:r w:rsidR="00587A4E">
        <w:t xml:space="preserve">settlement in </w:t>
      </w:r>
      <w:r w:rsidR="00862731">
        <w:t>the</w:t>
      </w:r>
      <w:r w:rsidR="000C733F">
        <w:t xml:space="preserve"> actinulae of</w:t>
      </w:r>
      <w:r w:rsidR="00862731">
        <w:t xml:space="preserve"> </w:t>
      </w:r>
      <w:r w:rsidR="00862731" w:rsidRPr="00862731">
        <w:rPr>
          <w:i/>
          <w:iCs/>
        </w:rPr>
        <w:t>Ectopleura crocea</w:t>
      </w:r>
      <w:r w:rsidR="004B762D">
        <w:rPr>
          <w:rFonts w:eastAsia="Times New Roman" w:cstheme="minorHAnsi"/>
          <w:color w:val="1D1C1D"/>
        </w:rPr>
        <w:t>.</w:t>
      </w:r>
      <w:r w:rsidR="00FA09FD">
        <w:rPr>
          <w:rFonts w:eastAsia="Times New Roman" w:cstheme="minorHAnsi"/>
          <w:color w:val="1D1C1D"/>
        </w:rPr>
        <w:t xml:space="preserve"> </w:t>
      </w:r>
      <w:r w:rsidR="004E4C2D">
        <w:t>I</w:t>
      </w:r>
      <w:r w:rsidR="004278C9">
        <w:t>mmunohistochemical studies of</w:t>
      </w:r>
      <w:r w:rsidRPr="00AC11F5">
        <w:t xml:space="preserve"> larval neural network</w:t>
      </w:r>
      <w:r w:rsidR="004278C9">
        <w:t xml:space="preserve"> development</w:t>
      </w:r>
      <w:r w:rsidR="00FA09FD">
        <w:t xml:space="preserve"> indicate</w:t>
      </w:r>
      <w:r w:rsidR="000D68DB">
        <w:t xml:space="preserve"> that</w:t>
      </w:r>
      <w:r>
        <w:t xml:space="preserve"> </w:t>
      </w:r>
      <w:r w:rsidR="004B762D" w:rsidRPr="00862731">
        <w:rPr>
          <w:rFonts w:eastAsia="Times New Roman" w:cstheme="minorHAnsi"/>
          <w:i/>
          <w:iCs/>
          <w:color w:val="1D1C1D"/>
        </w:rPr>
        <w:t>E. crocea</w:t>
      </w:r>
      <w:r w:rsidR="004B762D">
        <w:t xml:space="preserve"> </w:t>
      </w:r>
      <w:r w:rsidR="00654B8B">
        <w:t xml:space="preserve">larvae </w:t>
      </w:r>
      <w:r w:rsidR="00FA09FD">
        <w:t xml:space="preserve">first </w:t>
      </w:r>
      <w:r>
        <w:t>possess</w:t>
      </w:r>
      <w:r w:rsidR="00FA09FD">
        <w:t xml:space="preserve"> a</w:t>
      </w:r>
      <w:r w:rsidR="00AF0622">
        <w:t xml:space="preserve"> </w:t>
      </w:r>
      <w:r w:rsidR="00B2785E">
        <w:t>defined</w:t>
      </w:r>
      <w:r>
        <w:t xml:space="preserve"> nervous </w:t>
      </w:r>
      <w:r w:rsidR="00F25A26">
        <w:t xml:space="preserve">system </w:t>
      </w:r>
      <w:r w:rsidR="000D68DB">
        <w:rPr>
          <w:rFonts w:eastAsia="Times New Roman" w:cstheme="minorHAnsi"/>
          <w:color w:val="1D1C1D"/>
        </w:rPr>
        <w:t xml:space="preserve">complete with robust </w:t>
      </w:r>
      <w:r w:rsidR="00980A4A">
        <w:rPr>
          <w:rFonts w:eastAsia="Times New Roman" w:cstheme="minorHAnsi"/>
          <w:color w:val="1D1C1D"/>
        </w:rPr>
        <w:t xml:space="preserve">tentacular </w:t>
      </w:r>
      <w:r w:rsidR="000D68DB">
        <w:rPr>
          <w:rFonts w:eastAsia="Times New Roman" w:cstheme="minorHAnsi"/>
          <w:color w:val="1D1C1D"/>
        </w:rPr>
        <w:t>cnidocytes</w:t>
      </w:r>
      <w:r w:rsidR="00FA09FD">
        <w:rPr>
          <w:rFonts w:eastAsia="Times New Roman" w:cstheme="minorHAnsi"/>
          <w:color w:val="1D1C1D"/>
        </w:rPr>
        <w:t xml:space="preserve"> and sensory neurons</w:t>
      </w:r>
      <w:r w:rsidR="000D68DB">
        <w:rPr>
          <w:rFonts w:eastAsia="Times New Roman" w:cstheme="minorHAnsi"/>
          <w:color w:val="1D1C1D"/>
        </w:rPr>
        <w:t xml:space="preserve"> </w:t>
      </w:r>
      <w:r w:rsidR="00A65829">
        <w:rPr>
          <w:rFonts w:eastAsia="Times New Roman" w:cstheme="minorHAnsi"/>
          <w:color w:val="1D1C1D"/>
        </w:rPr>
        <w:t>by the actinula stage</w:t>
      </w:r>
      <w:r w:rsidR="000D68DB">
        <w:rPr>
          <w:rFonts w:eastAsia="Times New Roman" w:cstheme="minorHAnsi"/>
          <w:color w:val="1D1C1D"/>
        </w:rPr>
        <w:t xml:space="preserve"> </w:t>
      </w:r>
      <w:r w:rsidR="004278C9">
        <w:rPr>
          <w:rFonts w:eastAsia="Times New Roman" w:cstheme="minorHAnsi"/>
          <w:color w:val="1D1C1D"/>
        </w:rPr>
        <w:t xml:space="preserve">of development. </w:t>
      </w:r>
      <w:r w:rsidR="004278C9">
        <w:t xml:space="preserve">Next, </w:t>
      </w:r>
      <w:r w:rsidR="00C14B0A">
        <w:t xml:space="preserve">to </w:t>
      </w:r>
      <w:r w:rsidR="002154E8">
        <w:t>identify</w:t>
      </w:r>
      <w:r w:rsidR="00C14B0A" w:rsidRPr="00AC11F5">
        <w:t xml:space="preserve"> the sensory cues involved in settlement</w:t>
      </w:r>
      <w:r w:rsidR="00C14B0A">
        <w:t xml:space="preserve">, </w:t>
      </w:r>
      <w:r w:rsidR="004278C9">
        <w:t xml:space="preserve">we </w:t>
      </w:r>
      <w:r w:rsidRPr="00AC11F5">
        <w:t xml:space="preserve">performed a </w:t>
      </w:r>
      <w:r>
        <w:t xml:space="preserve">factorial </w:t>
      </w:r>
      <w:r w:rsidRPr="00AC11F5">
        <w:t>larval settlement study</w:t>
      </w:r>
      <w:r>
        <w:t xml:space="preserve"> that investigated </w:t>
      </w:r>
      <w:r w:rsidR="00AF0622">
        <w:t xml:space="preserve">the </w:t>
      </w:r>
      <w:r>
        <w:t xml:space="preserve">effects of </w:t>
      </w:r>
      <w:r w:rsidR="00C14B0A">
        <w:t xml:space="preserve">individual and combined </w:t>
      </w:r>
      <w:r>
        <w:t xml:space="preserve">cues </w:t>
      </w:r>
      <w:r w:rsidR="002154E8">
        <w:t>(e.g., light, chemical</w:t>
      </w:r>
      <w:r w:rsidR="00862731">
        <w:t xml:space="preserve"> (biofilm)</w:t>
      </w:r>
      <w:r w:rsidR="002154E8">
        <w:t>, and mechanical</w:t>
      </w:r>
      <w:r w:rsidR="004B762D">
        <w:t>/</w:t>
      </w:r>
      <w:r w:rsidR="00FA09FD">
        <w:t xml:space="preserve">surface </w:t>
      </w:r>
      <w:r w:rsidR="004B762D">
        <w:t>textur</w:t>
      </w:r>
      <w:r w:rsidR="00FA09FD">
        <w:t>e</w:t>
      </w:r>
      <w:r w:rsidR="002154E8">
        <w:t xml:space="preserve">) </w:t>
      </w:r>
      <w:r>
        <w:t xml:space="preserve">corresponding to three </w:t>
      </w:r>
      <w:r w:rsidR="00FA09FD">
        <w:t xml:space="preserve">prominent </w:t>
      </w:r>
      <w:r>
        <w:t>sensory modalities</w:t>
      </w:r>
      <w:r w:rsidR="002154E8">
        <w:t>.</w:t>
      </w:r>
      <w:r>
        <w:t xml:space="preserve"> </w:t>
      </w:r>
      <w:r w:rsidR="000D68DB">
        <w:rPr>
          <w:rFonts w:eastAsia="Times New Roman" w:cstheme="minorHAnsi"/>
          <w:color w:val="1D1C1D"/>
        </w:rPr>
        <w:t xml:space="preserve">We found strong evidence of MSI during </w:t>
      </w:r>
      <w:r w:rsidR="004278C9">
        <w:rPr>
          <w:rFonts w:eastAsia="Times New Roman" w:cstheme="minorHAnsi"/>
          <w:color w:val="1D1C1D"/>
        </w:rPr>
        <w:t xml:space="preserve">larval </w:t>
      </w:r>
      <w:r w:rsidR="000D68DB">
        <w:rPr>
          <w:rFonts w:eastAsia="Times New Roman" w:cstheme="minorHAnsi"/>
          <w:color w:val="1D1C1D"/>
        </w:rPr>
        <w:t>settlement</w:t>
      </w:r>
      <w:r w:rsidR="004278C9">
        <w:rPr>
          <w:rFonts w:eastAsia="Times New Roman" w:cstheme="minorHAnsi"/>
          <w:color w:val="1D1C1D"/>
        </w:rPr>
        <w:t xml:space="preserve"> where the highest rates of settlement occurred in the presence of all three sensory cues</w:t>
      </w:r>
      <w:r w:rsidR="00DC4F93">
        <w:rPr>
          <w:rFonts w:eastAsia="Times New Roman" w:cstheme="minorHAnsi"/>
          <w:color w:val="1D1C1D"/>
        </w:rPr>
        <w:t xml:space="preserve"> and </w:t>
      </w:r>
      <w:r w:rsidR="00862731">
        <w:rPr>
          <w:rFonts w:eastAsia="Times New Roman" w:cstheme="minorHAnsi"/>
          <w:color w:val="1D1C1D"/>
        </w:rPr>
        <w:t xml:space="preserve">where the effects of cues changed in the presence or absence of other cues, resulting in a sensory cue hierarchy. </w:t>
      </w:r>
      <w:r w:rsidR="00BE50E5">
        <w:rPr>
          <w:rFonts w:eastAsia="Times New Roman" w:cstheme="minorHAnsi"/>
          <w:color w:val="1D1C1D"/>
        </w:rPr>
        <w:t>Developmental</w:t>
      </w:r>
      <w:r w:rsidRPr="00AC11F5">
        <w:t xml:space="preserve"> transcriptome </w:t>
      </w:r>
      <w:r w:rsidR="000C733F">
        <w:t xml:space="preserve">analyses </w:t>
      </w:r>
      <w:r w:rsidR="00C14B0A">
        <w:rPr>
          <w:rFonts w:eastAsia="Times New Roman" w:cstheme="minorHAnsi"/>
          <w:color w:val="1D1C1D"/>
        </w:rPr>
        <w:t>reveal</w:t>
      </w:r>
      <w:r w:rsidR="004B762D">
        <w:rPr>
          <w:rFonts w:eastAsia="Times New Roman" w:cstheme="minorHAnsi"/>
          <w:color w:val="1D1C1D"/>
        </w:rPr>
        <w:t>ed</w:t>
      </w:r>
      <w:r w:rsidR="00C14B0A">
        <w:rPr>
          <w:rFonts w:eastAsia="Times New Roman" w:cstheme="minorHAnsi"/>
          <w:color w:val="1D1C1D"/>
        </w:rPr>
        <w:t xml:space="preserve"> </w:t>
      </w:r>
      <w:r w:rsidR="008C4D86">
        <w:rPr>
          <w:rFonts w:eastAsia="Times New Roman" w:cstheme="minorHAnsi"/>
          <w:color w:val="1D1C1D"/>
        </w:rPr>
        <w:t xml:space="preserve">previously undescribed, </w:t>
      </w:r>
      <w:r w:rsidR="00FA09FD">
        <w:rPr>
          <w:rFonts w:eastAsia="Times New Roman" w:cstheme="minorHAnsi"/>
          <w:color w:val="1D1C1D"/>
        </w:rPr>
        <w:t xml:space="preserve">deep homological links with bilaterian sensory system development and </w:t>
      </w:r>
      <w:r w:rsidR="00C14B0A">
        <w:rPr>
          <w:rFonts w:eastAsia="Times New Roman" w:cstheme="minorHAnsi"/>
          <w:color w:val="1D1C1D"/>
        </w:rPr>
        <w:t>a</w:t>
      </w:r>
      <w:r w:rsidR="004278C9">
        <w:rPr>
          <w:rFonts w:eastAsia="Times New Roman" w:cstheme="minorHAnsi"/>
          <w:color w:val="1D1C1D"/>
        </w:rPr>
        <w:t xml:space="preserve"> peak expression of sensory transduction components </w:t>
      </w:r>
      <w:r w:rsidR="00C14B0A">
        <w:rPr>
          <w:rFonts w:eastAsia="Times New Roman" w:cstheme="minorHAnsi"/>
          <w:color w:val="1D1C1D"/>
        </w:rPr>
        <w:t xml:space="preserve">for each of </w:t>
      </w:r>
      <w:r w:rsidR="00862731">
        <w:rPr>
          <w:rFonts w:eastAsia="Times New Roman" w:cstheme="minorHAnsi"/>
          <w:color w:val="1D1C1D"/>
        </w:rPr>
        <w:t xml:space="preserve">the </w:t>
      </w:r>
      <w:r w:rsidR="00C14B0A">
        <w:rPr>
          <w:rFonts w:eastAsia="Times New Roman" w:cstheme="minorHAnsi"/>
          <w:color w:val="1D1C1D"/>
        </w:rPr>
        <w:t xml:space="preserve">three modalities </w:t>
      </w:r>
      <w:r w:rsidR="00A65829">
        <w:rPr>
          <w:rFonts w:eastAsia="Times New Roman" w:cstheme="minorHAnsi"/>
          <w:color w:val="1D1C1D"/>
        </w:rPr>
        <w:t>in actinulae</w:t>
      </w:r>
      <w:r w:rsidR="004E4C2D">
        <w:rPr>
          <w:rFonts w:eastAsia="Times New Roman" w:cstheme="minorHAnsi"/>
          <w:color w:val="1D1C1D"/>
        </w:rPr>
        <w:t xml:space="preserve"> stage larvae</w:t>
      </w:r>
      <w:r w:rsidR="00673BB9">
        <w:rPr>
          <w:rFonts w:eastAsia="Times New Roman" w:cstheme="minorHAnsi"/>
          <w:color w:val="1D1C1D"/>
        </w:rPr>
        <w:t xml:space="preserve">. Lastly, </w:t>
      </w:r>
      <w:r w:rsidR="00E67B22">
        <w:rPr>
          <w:rFonts w:eastAsia="Times New Roman" w:cstheme="minorHAnsi"/>
          <w:color w:val="1D1C1D"/>
        </w:rPr>
        <w:t xml:space="preserve">RNA Fluorescent </w:t>
      </w:r>
      <w:r w:rsidR="00E67B22" w:rsidRPr="00010B08">
        <w:rPr>
          <w:rFonts w:eastAsia="Times New Roman" w:cstheme="minorHAnsi"/>
          <w:i/>
          <w:iCs/>
          <w:color w:val="1D1C1D"/>
        </w:rPr>
        <w:t>in situ</w:t>
      </w:r>
      <w:r w:rsidR="00E67B22">
        <w:rPr>
          <w:rFonts w:eastAsia="Times New Roman" w:cstheme="minorHAnsi"/>
          <w:color w:val="1D1C1D"/>
        </w:rPr>
        <w:t xml:space="preserve"> Hybridization (FISH) </w:t>
      </w:r>
      <w:r w:rsidR="00673BB9">
        <w:rPr>
          <w:rFonts w:eastAsia="Times New Roman" w:cstheme="minorHAnsi"/>
          <w:color w:val="1D1C1D"/>
        </w:rPr>
        <w:t>studies localize several prominent sensory transcript</w:t>
      </w:r>
      <w:r w:rsidR="0011749F">
        <w:rPr>
          <w:rFonts w:eastAsia="Times New Roman" w:cstheme="minorHAnsi"/>
          <w:color w:val="1D1C1D"/>
        </w:rPr>
        <w:t>s</w:t>
      </w:r>
      <w:r w:rsidR="00673BB9">
        <w:rPr>
          <w:rFonts w:eastAsia="Times New Roman" w:cstheme="minorHAnsi"/>
          <w:color w:val="1D1C1D"/>
        </w:rPr>
        <w:t xml:space="preserve"> </w:t>
      </w:r>
      <w:r w:rsidR="0011749F">
        <w:rPr>
          <w:rFonts w:eastAsia="Times New Roman" w:cstheme="minorHAnsi"/>
          <w:color w:val="1D1C1D"/>
        </w:rPr>
        <w:t>including</w:t>
      </w:r>
      <w:r w:rsidR="00673BB9">
        <w:rPr>
          <w:rFonts w:eastAsia="Times New Roman" w:cstheme="minorHAnsi"/>
          <w:color w:val="1D1C1D"/>
        </w:rPr>
        <w:t xml:space="preserve"> opsin</w:t>
      </w:r>
      <w:r w:rsidR="00F5691C">
        <w:rPr>
          <w:rFonts w:eastAsia="Times New Roman" w:cstheme="minorHAnsi"/>
          <w:color w:val="1D1C1D"/>
        </w:rPr>
        <w:t xml:space="preserve"> (photosensitivity)</w:t>
      </w:r>
      <w:r w:rsidR="00673BB9">
        <w:rPr>
          <w:rFonts w:eastAsia="Times New Roman" w:cstheme="minorHAnsi"/>
          <w:color w:val="1D1C1D"/>
        </w:rPr>
        <w:t xml:space="preserve">, </w:t>
      </w:r>
      <w:r w:rsidR="005B703F">
        <w:t>PKD2L1, and PKD</w:t>
      </w:r>
      <w:r w:rsidR="004750DE">
        <w:t>1</w:t>
      </w:r>
      <w:r w:rsidR="005B703F">
        <w:t>L3</w:t>
      </w:r>
      <w:r w:rsidR="00F5691C">
        <w:t xml:space="preserve"> (chemosensitivity)</w:t>
      </w:r>
      <w:r w:rsidR="00673BB9">
        <w:rPr>
          <w:rFonts w:eastAsia="Times New Roman" w:cstheme="minorHAnsi"/>
          <w:color w:val="1D1C1D"/>
        </w:rPr>
        <w:t>,</w:t>
      </w:r>
      <w:r w:rsidR="00F5691C">
        <w:rPr>
          <w:rFonts w:eastAsia="Times New Roman" w:cstheme="minorHAnsi"/>
          <w:color w:val="1D1C1D"/>
        </w:rPr>
        <w:t xml:space="preserve"> and</w:t>
      </w:r>
      <w:r w:rsidR="00673BB9">
        <w:rPr>
          <w:rFonts w:eastAsia="Times New Roman" w:cstheme="minorHAnsi"/>
          <w:color w:val="1D1C1D"/>
        </w:rPr>
        <w:t xml:space="preserve"> </w:t>
      </w:r>
      <w:r w:rsidR="00F5691C">
        <w:t xml:space="preserve">ASIC, </w:t>
      </w:r>
      <w:r w:rsidR="004750DE">
        <w:rPr>
          <w:rFonts w:eastAsia="Times New Roman" w:cstheme="minorHAnsi"/>
          <w:color w:val="1D1C1D"/>
        </w:rPr>
        <w:t>P</w:t>
      </w:r>
      <w:r w:rsidR="0011749F">
        <w:rPr>
          <w:rFonts w:eastAsia="Times New Roman" w:cstheme="minorHAnsi"/>
          <w:color w:val="1D1C1D"/>
        </w:rPr>
        <w:t>iezo</w:t>
      </w:r>
      <w:r w:rsidR="00F25A26">
        <w:rPr>
          <w:rFonts w:eastAsia="Times New Roman" w:cstheme="minorHAnsi"/>
          <w:color w:val="1D1C1D"/>
        </w:rPr>
        <w:t>,</w:t>
      </w:r>
      <w:r w:rsidR="0011749F">
        <w:rPr>
          <w:rFonts w:eastAsia="Times New Roman" w:cstheme="minorHAnsi"/>
          <w:color w:val="1D1C1D"/>
        </w:rPr>
        <w:t xml:space="preserve"> and TRPA</w:t>
      </w:r>
      <w:r w:rsidR="00F5691C">
        <w:rPr>
          <w:rFonts w:eastAsia="Times New Roman" w:cstheme="minorHAnsi"/>
          <w:color w:val="1D1C1D"/>
        </w:rPr>
        <w:t xml:space="preserve"> (mechanosensitivity)</w:t>
      </w:r>
      <w:r w:rsidR="0011749F">
        <w:rPr>
          <w:rFonts w:eastAsia="Times New Roman" w:cstheme="minorHAnsi"/>
          <w:color w:val="1D1C1D"/>
        </w:rPr>
        <w:t xml:space="preserve"> to cnidocytes and their attendant sensory neurons</w:t>
      </w:r>
      <w:r w:rsidR="002154E8">
        <w:rPr>
          <w:rFonts w:eastAsia="Times New Roman" w:cstheme="minorHAnsi"/>
          <w:color w:val="1D1C1D"/>
        </w:rPr>
        <w:t xml:space="preserve"> in competent actinulae</w:t>
      </w:r>
      <w:r w:rsidR="0011749F">
        <w:rPr>
          <w:rFonts w:eastAsia="Times New Roman" w:cstheme="minorHAnsi"/>
          <w:color w:val="1D1C1D"/>
        </w:rPr>
        <w:t xml:space="preserve">. Our results demonstrate MSI in </w:t>
      </w:r>
      <w:r w:rsidR="00980A4A">
        <w:rPr>
          <w:rFonts w:eastAsia="Times New Roman" w:cstheme="minorHAnsi"/>
          <w:color w:val="1D1C1D"/>
        </w:rPr>
        <w:t xml:space="preserve">the brainless </w:t>
      </w:r>
      <w:r w:rsidR="0011749F">
        <w:rPr>
          <w:rFonts w:eastAsia="Times New Roman" w:cstheme="minorHAnsi"/>
          <w:color w:val="1D1C1D"/>
        </w:rPr>
        <w:t xml:space="preserve">actinula </w:t>
      </w:r>
      <w:r w:rsidR="00980A4A">
        <w:rPr>
          <w:rFonts w:eastAsia="Times New Roman" w:cstheme="minorHAnsi"/>
          <w:color w:val="1D1C1D"/>
        </w:rPr>
        <w:t xml:space="preserve">of </w:t>
      </w:r>
      <w:r w:rsidR="00980A4A" w:rsidRPr="00F10717">
        <w:rPr>
          <w:rFonts w:eastAsia="Times New Roman" w:cstheme="minorHAnsi"/>
          <w:i/>
          <w:iCs/>
          <w:color w:val="1D1C1D"/>
        </w:rPr>
        <w:t>E</w:t>
      </w:r>
      <w:r w:rsidR="00980A4A">
        <w:rPr>
          <w:rFonts w:eastAsia="Times New Roman" w:cstheme="minorHAnsi"/>
          <w:i/>
          <w:iCs/>
          <w:color w:val="1D1C1D"/>
        </w:rPr>
        <w:t>.</w:t>
      </w:r>
      <w:r w:rsidR="00980A4A" w:rsidRPr="00F10717">
        <w:rPr>
          <w:rFonts w:eastAsia="Times New Roman" w:cstheme="minorHAnsi"/>
          <w:i/>
          <w:iCs/>
          <w:color w:val="1D1C1D"/>
        </w:rPr>
        <w:t xml:space="preserve"> crocea</w:t>
      </w:r>
      <w:r w:rsidR="00240112">
        <w:rPr>
          <w:rFonts w:eastAsia="Times New Roman" w:cstheme="minorHAnsi"/>
          <w:color w:val="1D1C1D"/>
        </w:rPr>
        <w:t xml:space="preserve"> and suggest that this capacity </w:t>
      </w:r>
      <w:r w:rsidR="00BE50E5">
        <w:rPr>
          <w:rFonts w:eastAsia="Times New Roman" w:cstheme="minorHAnsi"/>
          <w:color w:val="1D1C1D"/>
        </w:rPr>
        <w:t>is</w:t>
      </w:r>
      <w:r w:rsidR="00240112">
        <w:rPr>
          <w:rFonts w:eastAsia="Times New Roman" w:cstheme="minorHAnsi"/>
          <w:color w:val="1D1C1D"/>
        </w:rPr>
        <w:t xml:space="preserve"> </w:t>
      </w:r>
      <w:r w:rsidR="00BE50E5">
        <w:rPr>
          <w:rFonts w:eastAsia="Times New Roman" w:cstheme="minorHAnsi"/>
          <w:color w:val="1D1C1D"/>
        </w:rPr>
        <w:t>facilitated</w:t>
      </w:r>
      <w:r w:rsidR="00240112">
        <w:rPr>
          <w:rFonts w:eastAsia="Times New Roman" w:cstheme="minorHAnsi"/>
          <w:color w:val="1D1C1D"/>
        </w:rPr>
        <w:t xml:space="preserve"> by the activities of polymodal</w:t>
      </w:r>
      <w:r w:rsidR="00BE50E5">
        <w:rPr>
          <w:rFonts w:eastAsia="Times New Roman" w:cstheme="minorHAnsi"/>
          <w:color w:val="1D1C1D"/>
        </w:rPr>
        <w:t>, chemo-photo-mechanoreceptive</w:t>
      </w:r>
      <w:r w:rsidR="00240112">
        <w:rPr>
          <w:rFonts w:eastAsia="Times New Roman" w:cstheme="minorHAnsi"/>
          <w:color w:val="1D1C1D"/>
        </w:rPr>
        <w:t xml:space="preserve"> sensory neurons</w:t>
      </w:r>
      <w:r w:rsidR="008C4D86">
        <w:rPr>
          <w:rFonts w:eastAsia="Times New Roman" w:cstheme="minorHAnsi"/>
          <w:color w:val="1D1C1D"/>
        </w:rPr>
        <w:t xml:space="preserve"> with distant ancestry to unimodal primary sensory neurons</w:t>
      </w:r>
      <w:r w:rsidR="00E838EE">
        <w:rPr>
          <w:rFonts w:eastAsia="Times New Roman" w:cstheme="minorHAnsi"/>
          <w:color w:val="1D1C1D"/>
        </w:rPr>
        <w:t xml:space="preserve"> known from bilaterian animals</w:t>
      </w:r>
      <w:r w:rsidR="00240112">
        <w:rPr>
          <w:rFonts w:eastAsia="Times New Roman" w:cstheme="minorHAnsi"/>
          <w:color w:val="1D1C1D"/>
        </w:rPr>
        <w:t xml:space="preserve">. </w:t>
      </w:r>
      <w:r w:rsidR="00673BB9">
        <w:rPr>
          <w:rFonts w:eastAsia="Times New Roman" w:cstheme="minorHAnsi"/>
          <w:color w:val="1D1C1D"/>
        </w:rPr>
        <w:t xml:space="preserve"> </w:t>
      </w:r>
    </w:p>
    <w:p w14:paraId="77BB2CE1" w14:textId="166A2DAD" w:rsidR="004945DF" w:rsidRDefault="004945DF" w:rsidP="00D46E28">
      <w:pPr>
        <w:spacing w:line="480" w:lineRule="auto"/>
        <w:jc w:val="both"/>
        <w:rPr>
          <w:rFonts w:eastAsia="Times New Roman" w:cstheme="minorHAnsi"/>
          <w:b/>
          <w:bCs/>
          <w:color w:val="1D1C1D"/>
        </w:rPr>
      </w:pPr>
    </w:p>
    <w:p w14:paraId="614A0D1E" w14:textId="77777777" w:rsidR="00087B19" w:rsidRDefault="00087B19" w:rsidP="00D46E28">
      <w:pPr>
        <w:spacing w:line="480" w:lineRule="auto"/>
        <w:rPr>
          <w:b/>
          <w:bCs/>
        </w:rPr>
      </w:pPr>
      <w:r>
        <w:rPr>
          <w:b/>
          <w:bCs/>
        </w:rPr>
        <w:t xml:space="preserve">Materials and </w:t>
      </w:r>
      <w:r w:rsidRPr="00862731">
        <w:rPr>
          <w:b/>
          <w:bCs/>
        </w:rPr>
        <w:t>Methods</w:t>
      </w:r>
    </w:p>
    <w:p w14:paraId="70E61B40" w14:textId="77777777" w:rsidR="00087B19" w:rsidRDefault="00087B19" w:rsidP="00D46E28">
      <w:pPr>
        <w:spacing w:line="480" w:lineRule="auto"/>
        <w:rPr>
          <w:b/>
          <w:bCs/>
        </w:rPr>
      </w:pPr>
    </w:p>
    <w:p w14:paraId="46B060E8" w14:textId="77777777" w:rsidR="00087B19" w:rsidRPr="001B7A01" w:rsidRDefault="00087B19" w:rsidP="00D46E28">
      <w:pPr>
        <w:spacing w:line="480" w:lineRule="auto"/>
        <w:jc w:val="both"/>
        <w:rPr>
          <w:b/>
          <w:bCs/>
        </w:rPr>
      </w:pPr>
      <w:r w:rsidRPr="008D441A">
        <w:rPr>
          <w:b/>
          <w:bCs/>
        </w:rPr>
        <w:lastRenderedPageBreak/>
        <w:t>Field collection</w:t>
      </w:r>
      <w:r>
        <w:rPr>
          <w:b/>
          <w:bCs/>
        </w:rPr>
        <w:t xml:space="preserve"> of </w:t>
      </w:r>
      <w:r w:rsidRPr="00C55CD9">
        <w:rPr>
          <w:b/>
          <w:bCs/>
          <w:i/>
          <w:iCs/>
        </w:rPr>
        <w:t xml:space="preserve">E. crocea </w:t>
      </w:r>
      <w:r>
        <w:rPr>
          <w:b/>
          <w:bCs/>
        </w:rPr>
        <w:t>Colonies</w:t>
      </w:r>
    </w:p>
    <w:p w14:paraId="77828B74" w14:textId="653D3463" w:rsidR="00087B19" w:rsidRDefault="00087B19" w:rsidP="00D46E28">
      <w:pPr>
        <w:spacing w:line="480" w:lineRule="auto"/>
        <w:jc w:val="both"/>
      </w:pPr>
      <w:r>
        <w:t xml:space="preserve">Larva were obtained by collecting adult </w:t>
      </w:r>
      <w:r w:rsidRPr="002A2ED9">
        <w:rPr>
          <w:i/>
          <w:iCs/>
        </w:rPr>
        <w:t xml:space="preserve">E. crocea </w:t>
      </w:r>
      <w:r>
        <w:t xml:space="preserve">colonies at the UNH Coastal Marine Lab (CML) pier in New Castle, NH in </w:t>
      </w:r>
      <w:proofErr w:type="gramStart"/>
      <w:r>
        <w:t>June</w:t>
      </w:r>
      <w:proofErr w:type="gramEnd"/>
      <w:r>
        <w:t xml:space="preserve"> and July 2020. Colonies were transported to UNH in unfiltered sea water immediately after collection. The colonies were cultured and maintained according to </w:t>
      </w:r>
      <w:r>
        <w:fldChar w:fldCharType="begin" w:fldLock="1"/>
      </w:r>
      <w:r w:rsidR="00B02F06">
        <w:instrText>ADDIN CSL_CITATION {"citationItems":[{"id":"ITEM-1","itemData":{"author":[{"dropping-particle":"","family":"Mackie","given":"G. O.","non-dropping-particle":"","parse-names":false,"suffix":""}],"container-title":"The Cnidaria and their Evolution","id":"ITEM-1","issued":{"date-parts":[["1966"]]},"page":"397-412","title":"Growth of the hydroid Tubularia in culture","type":"chapter"},"uris":["http://www.mendeley.com/documents/?uuid=c0f4037a-1d2a-469d-8573-4d76e192b508"]}],"mendeley":{"formattedCitation":"(Mackie, 1966)","manualFormatting":"Mackie (1966)","plainTextFormattedCitation":"(Mackie, 1966)","previouslyFormattedCitation":"(Mackie 1966)"},"properties":{"noteIndex":0},"schema":"https://github.com/citation-style-language/schema/raw/master/csl-citation.json"}</w:instrText>
      </w:r>
      <w:r>
        <w:fldChar w:fldCharType="separate"/>
      </w:r>
      <w:r w:rsidRPr="002F7C52">
        <w:rPr>
          <w:noProof/>
        </w:rPr>
        <w:t xml:space="preserve">Mackie </w:t>
      </w:r>
      <w:r>
        <w:rPr>
          <w:noProof/>
        </w:rPr>
        <w:t>(</w:t>
      </w:r>
      <w:r w:rsidRPr="002F7C52">
        <w:rPr>
          <w:noProof/>
        </w:rPr>
        <w:t>1966)</w:t>
      </w:r>
      <w:r>
        <w:fldChar w:fldCharType="end"/>
      </w:r>
      <w:r>
        <w:t xml:space="preserve"> where colonies were placed in large glass bowls for predator and dirt removal. Once cleaned, colonies were moved to new bowls filled with unfiltered sea water and were placed in an incubator with an aeration stone connected to a bubbler at a 12/12 L:D cycle at 18</w:t>
      </w:r>
      <w:r>
        <w:rPr>
          <w:rFonts w:ascii="Calibri" w:hAnsi="Calibri" w:cs="Calibri"/>
        </w:rPr>
        <w:t>°</w:t>
      </w:r>
      <w:r>
        <w:t xml:space="preserve">C. Colonies were undisturbed overnight to allow spawning and actinula release. Actinula were identified and collected the following day for settlement experiments or for staining. </w:t>
      </w:r>
    </w:p>
    <w:p w14:paraId="662CE5E9" w14:textId="77777777" w:rsidR="00087B19" w:rsidRDefault="00087B19" w:rsidP="00D46E28">
      <w:pPr>
        <w:spacing w:line="480" w:lineRule="auto"/>
        <w:jc w:val="both"/>
      </w:pPr>
    </w:p>
    <w:p w14:paraId="637D16C0" w14:textId="77777777" w:rsidR="00087B19" w:rsidRDefault="00087B19" w:rsidP="00D46E28">
      <w:pPr>
        <w:spacing w:line="480" w:lineRule="auto"/>
        <w:jc w:val="both"/>
      </w:pPr>
      <w:r w:rsidRPr="008D441A">
        <w:rPr>
          <w:b/>
          <w:bCs/>
        </w:rPr>
        <w:t>Immunohistochemistry</w:t>
      </w:r>
      <w:r>
        <w:rPr>
          <w:b/>
          <w:bCs/>
        </w:rPr>
        <w:t xml:space="preserve"> and Confocal Microcopy</w:t>
      </w:r>
    </w:p>
    <w:p w14:paraId="50DEAE4C" w14:textId="6AA2EA15" w:rsidR="00087B19" w:rsidRDefault="00087B19" w:rsidP="00D46E28">
      <w:pPr>
        <w:spacing w:line="480" w:lineRule="auto"/>
        <w:jc w:val="both"/>
      </w:pPr>
      <w:r>
        <w:t xml:space="preserve">Immunohistochemistry was performed on four developmental stages: embryos, pre-actinulae, actinula larvae, and juvenile polyps, </w:t>
      </w:r>
      <w:r w:rsidRPr="00916B79">
        <w:t>which were obtained as described above</w:t>
      </w:r>
      <w:r>
        <w:t>. Samples were fixed overnight at 4</w:t>
      </w:r>
      <w:r>
        <w:rPr>
          <w:rFonts w:ascii="Calibri" w:hAnsi="Calibri" w:cs="Calibri"/>
        </w:rPr>
        <w:t>°</w:t>
      </w:r>
      <w:r>
        <w:t xml:space="preserve">C in 4% paraformaldehyde (Sigma) in </w:t>
      </w:r>
      <w:r w:rsidRPr="000977C0">
        <w:t>PBST.</w:t>
      </w:r>
      <w:r>
        <w:t xml:space="preserve"> We followed the protocol from </w:t>
      </w:r>
      <w:r>
        <w:fldChar w:fldCharType="begin" w:fldLock="1"/>
      </w:r>
      <w:r w:rsidR="00B02F06">
        <w:instrText>ADDIN CSL_CITATION {"citationItems":[{"id":"ITEM-1","itemData":{"DOI":"10.1186/1741-7007-10-17","ISSN":"17417007","abstract":"Cnidocytes, the eponymous cell type of the Cnidaria, facilitate both sensory and secretory functions and are among the most complex animal cell types known. In addition to their structural complexity, cnidocytes display complex sensory attributes, integrating both chemical and mechanical cues from the environment into their discharge behavior. Despite more than a century of work aimed at understanding the sensory biology of cnidocytes, the specific sensory receptor genes that regulate their function remain unknown.","author":[{"dropping-particle":"","family":"Plachetzki","given":"David C.","non-dropping-particle":"","parse-names":false,"suffix":""},{"dropping-particle":"","family":"Fong","given":"Caitlin R.","non-dropping-particle":"","parse-names":false,"suffix":""},{"dropping-particle":"","family":"Oakley","given":"Todd H.","non-dropping-particle":"","parse-names":false,"suffix":""}],"container-title":"BMC Biology","id":"ITEM-1","issue":"March","issued":{"date-parts":[["2012"]]},"title":"Cnidocyte discharge is regulated by light and opsin-mediated phototransduction","type":"article-journal","volume":"10"},"uris":["http://www.mendeley.com/documents/?uuid=d177d978-3a15-4114-987e-1b1100d9de31"]}],"mendeley":{"formattedCitation":"(Plachetzki, Fong, &amp; Oakley, 2012a)","manualFormatting":"Plachetzki et al. (2012)","plainTextFormattedCitation":"(Plachetzki, Fong, &amp; Oakley, 2012a)","previouslyFormattedCitation":"(Plachetzki et al. 2012a)"},"properties":{"noteIndex":0},"schema":"https://github.com/citation-style-language/schema/raw/master/csl-citation.json"}</w:instrText>
      </w:r>
      <w:r>
        <w:fldChar w:fldCharType="separate"/>
      </w:r>
      <w:r w:rsidRPr="00054E51">
        <w:rPr>
          <w:noProof/>
        </w:rPr>
        <w:t>Plachetzki</w:t>
      </w:r>
      <w:r>
        <w:rPr>
          <w:noProof/>
        </w:rPr>
        <w:t xml:space="preserve"> et al. (</w:t>
      </w:r>
      <w:r w:rsidRPr="00054E51">
        <w:rPr>
          <w:noProof/>
        </w:rPr>
        <w:t>2012)</w:t>
      </w:r>
      <w:r>
        <w:fldChar w:fldCharType="end"/>
      </w:r>
      <w:r>
        <w:t xml:space="preserve"> with minor alterations for staining. Samples were washed five times with </w:t>
      </w:r>
      <w:proofErr w:type="gramStart"/>
      <w:r>
        <w:t>5 minute</w:t>
      </w:r>
      <w:proofErr w:type="gramEnd"/>
      <w:r>
        <w:t xml:space="preserve"> incubations in PBST </w:t>
      </w:r>
      <w:r w:rsidRPr="00054E51">
        <w:t xml:space="preserve">(3.2 mM Na2HPO4, 0.5 mM KH2PO4, 1.3 mM </w:t>
      </w:r>
      <w:proofErr w:type="spellStart"/>
      <w:r w:rsidRPr="00054E51">
        <w:t>KCl</w:t>
      </w:r>
      <w:proofErr w:type="spellEnd"/>
      <w:r w:rsidRPr="00054E51">
        <w:t xml:space="preserve">, 135 mM NaCl, 0.1% Tween 20, pH 7.4) and blocked for 2 h in PBST + 20% normal goat serum (NGS; Sigma) at room temperature. </w:t>
      </w:r>
      <w:r>
        <w:t>Samples</w:t>
      </w:r>
      <w:r w:rsidRPr="00054E51">
        <w:t xml:space="preserve"> were then incubated with primary antibody, anti-acetylated </w:t>
      </w:r>
      <m:oMath>
        <m:r>
          <w:rPr>
            <w:rFonts w:ascii="Cambria Math" w:hAnsi="Cambria Math"/>
          </w:rPr>
          <m:t xml:space="preserve">α </m:t>
        </m:r>
      </m:oMath>
      <w:r w:rsidRPr="00054E51">
        <w:t xml:space="preserve">tubulin </w:t>
      </w:r>
      <w:r w:rsidRPr="00425C4B">
        <w:t>(1:</w:t>
      </w:r>
      <w:r>
        <w:t>500</w:t>
      </w:r>
      <w:r w:rsidRPr="00054E51">
        <w:t>; Sigma), in blocking solution over</w:t>
      </w:r>
      <w:r>
        <w:t xml:space="preserve"> </w:t>
      </w:r>
      <w:r w:rsidRPr="00054E51">
        <w:t xml:space="preserve">night at 4°C. Following </w:t>
      </w:r>
      <w:r>
        <w:t xml:space="preserve">the </w:t>
      </w:r>
      <w:r w:rsidRPr="00054E51">
        <w:t xml:space="preserve">primary antibody, </w:t>
      </w:r>
      <w:r>
        <w:t>samples</w:t>
      </w:r>
      <w:r w:rsidRPr="00054E51">
        <w:t xml:space="preserve"> were washed five times </w:t>
      </w:r>
      <w:r>
        <w:t>with</w:t>
      </w:r>
      <w:r w:rsidRPr="00054E51">
        <w:t xml:space="preserve"> 5 min </w:t>
      </w:r>
      <w:r>
        <w:t xml:space="preserve">incubations </w:t>
      </w:r>
      <w:r w:rsidRPr="00054E51">
        <w:t>in PBST and blocked as before</w:t>
      </w:r>
      <w:r w:rsidRPr="00425C4B">
        <w:t xml:space="preserve">. </w:t>
      </w:r>
      <w:r>
        <w:t>Samples were then incubated with the s</w:t>
      </w:r>
      <w:r w:rsidRPr="00425C4B">
        <w:t>econdary antibody,</w:t>
      </w:r>
      <w:r w:rsidRPr="00054E51">
        <w:t xml:space="preserve"> Cy2-conjugated anti mouse Ig</w:t>
      </w:r>
      <w:r>
        <w:t>G</w:t>
      </w:r>
      <w:r w:rsidRPr="00054E51">
        <w:t xml:space="preserve"> (</w:t>
      </w:r>
      <w:r>
        <w:t xml:space="preserve">1:1000; </w:t>
      </w:r>
      <w:r w:rsidRPr="00054E51">
        <w:t>Jackson</w:t>
      </w:r>
      <w:proofErr w:type="gramStart"/>
      <w:r w:rsidRPr="00054E51">
        <w:t xml:space="preserve">), </w:t>
      </w:r>
      <w:r>
        <w:t>and</w:t>
      </w:r>
      <w:proofErr w:type="gramEnd"/>
      <w:r>
        <w:t xml:space="preserve"> blocking reagent </w:t>
      </w:r>
      <w:r w:rsidRPr="00054E51">
        <w:t xml:space="preserve">overnight at 4°C. Samples were then washed five times </w:t>
      </w:r>
      <w:r>
        <w:t>with</w:t>
      </w:r>
      <w:r w:rsidRPr="00054E51">
        <w:t xml:space="preserve"> 5 min</w:t>
      </w:r>
      <w:r>
        <w:t xml:space="preserve"> </w:t>
      </w:r>
      <w:r>
        <w:lastRenderedPageBreak/>
        <w:t>incubations</w:t>
      </w:r>
      <w:r w:rsidRPr="00054E51">
        <w:t xml:space="preserve"> in PBST</w:t>
      </w:r>
      <w:r>
        <w:t>. Afterwards, a</w:t>
      </w:r>
      <w:r w:rsidRPr="00054E51">
        <w:t xml:space="preserve"> solution </w:t>
      </w:r>
      <w:r>
        <w:t xml:space="preserve">containing </w:t>
      </w:r>
      <w:r w:rsidRPr="00054E51">
        <w:t>Alexa Fluor 488-labeled phalloidin stock (</w:t>
      </w:r>
      <w:r w:rsidRPr="00425C4B">
        <w:t>1:4</w:t>
      </w:r>
      <w:r>
        <w:t xml:space="preserve">0; </w:t>
      </w:r>
      <w:r w:rsidRPr="00054E51">
        <w:t xml:space="preserve">Invitrogen) </w:t>
      </w:r>
      <w:r>
        <w:t>in</w:t>
      </w:r>
      <w:r w:rsidRPr="00054E51">
        <w:t xml:space="preserve"> PBST was added for 1 h. Samples were then washed five times </w:t>
      </w:r>
      <w:r>
        <w:t>with</w:t>
      </w:r>
      <w:r w:rsidRPr="00054E51">
        <w:t xml:space="preserve"> </w:t>
      </w:r>
      <w:r>
        <w:t>10</w:t>
      </w:r>
      <w:r w:rsidRPr="00054E51">
        <w:t xml:space="preserve"> min </w:t>
      </w:r>
      <w:r>
        <w:t xml:space="preserve">incubations </w:t>
      </w:r>
      <w:r w:rsidRPr="00054E51">
        <w:t xml:space="preserve">and </w:t>
      </w:r>
      <w:r>
        <w:t xml:space="preserve">were then </w:t>
      </w:r>
      <w:r w:rsidRPr="00054E51">
        <w:t xml:space="preserve">mounted in </w:t>
      </w:r>
      <w:proofErr w:type="spellStart"/>
      <w:r w:rsidRPr="000977C0">
        <w:t>ProLong</w:t>
      </w:r>
      <w:proofErr w:type="spellEnd"/>
      <w:r w:rsidRPr="000977C0">
        <w:t xml:space="preserve"> Antifade </w:t>
      </w:r>
      <w:proofErr w:type="spellStart"/>
      <w:r w:rsidRPr="000977C0">
        <w:t>Mountant</w:t>
      </w:r>
      <w:proofErr w:type="spellEnd"/>
      <w:r w:rsidRPr="000977C0">
        <w:t xml:space="preserve"> with DAPI</w:t>
      </w:r>
      <w:r>
        <w:t xml:space="preserve"> (</w:t>
      </w:r>
      <w:proofErr w:type="spellStart"/>
      <w:r>
        <w:t>ThermoFisher</w:t>
      </w:r>
      <w:proofErr w:type="spellEnd"/>
      <w:r>
        <w:t xml:space="preserve">). Samples were imaged on the UNH Nikon A1R HD confocal Microscope. </w:t>
      </w:r>
    </w:p>
    <w:p w14:paraId="09D17EB1" w14:textId="77777777" w:rsidR="00087B19" w:rsidRDefault="00087B19" w:rsidP="00D46E28">
      <w:pPr>
        <w:spacing w:line="480" w:lineRule="auto"/>
        <w:jc w:val="both"/>
        <w:rPr>
          <w:b/>
          <w:bCs/>
        </w:rPr>
      </w:pPr>
    </w:p>
    <w:p w14:paraId="44F6010D" w14:textId="77777777" w:rsidR="00087B19" w:rsidRDefault="00087B19" w:rsidP="00D46E28">
      <w:pPr>
        <w:spacing w:line="480" w:lineRule="auto"/>
        <w:jc w:val="both"/>
        <w:rPr>
          <w:b/>
          <w:bCs/>
        </w:rPr>
      </w:pPr>
      <w:r>
        <w:rPr>
          <w:b/>
          <w:bCs/>
        </w:rPr>
        <w:t xml:space="preserve">Larval Settlement Study Experimental Design and Materials </w:t>
      </w:r>
    </w:p>
    <w:p w14:paraId="2C9324C5" w14:textId="77777777" w:rsidR="00087B19" w:rsidRDefault="00087B19" w:rsidP="00D46E28">
      <w:pPr>
        <w:spacing w:line="480" w:lineRule="auto"/>
        <w:jc w:val="both"/>
      </w:pPr>
      <w:r>
        <w:t xml:space="preserve">The larval settlement study was designed as a 7x2x2 </w:t>
      </w:r>
      <w:proofErr w:type="gramStart"/>
      <w:r>
        <w:t>split-plot</w:t>
      </w:r>
      <w:proofErr w:type="gramEnd"/>
      <w:r>
        <w:t xml:space="preserve"> Randomized Complete Block Design (RCBD) with 10 blocks, </w:t>
      </w:r>
      <w:r w:rsidRPr="00862731">
        <w:t>Fig 1A</w:t>
      </w:r>
      <w:r>
        <w:t xml:space="preserve">. The blocking variable was the experimental day that replicates were performed on where larvae in one block were from colonies collected at the same time and location the day prior to the experiment. The purpose of the blocking variable was to account for environmental variation between colonies and days across the study, and each block contained all 28 treatments. An experimental unit was a single petri dish that contained 10 actinula larvae, this allowed us to use the area under the curve (AUC) as our response variable. </w:t>
      </w:r>
      <w:r w:rsidRPr="005D44CA">
        <w:t xml:space="preserve">The three treatment factors were the sensory cues of interest which included </w:t>
      </w:r>
      <w:r>
        <w:t xml:space="preserve">seven levels of </w:t>
      </w:r>
      <w:r w:rsidRPr="005D44CA">
        <w:t>light condition</w:t>
      </w:r>
      <w:r>
        <w:t>s</w:t>
      </w:r>
      <w:r w:rsidRPr="005D44CA">
        <w:t xml:space="preserve">, </w:t>
      </w:r>
      <w:r>
        <w:t xml:space="preserve">two levels of </w:t>
      </w:r>
      <w:r w:rsidRPr="005D44CA">
        <w:t xml:space="preserve">chemosensitive treatments, and </w:t>
      </w:r>
      <w:r>
        <w:t xml:space="preserve">two levels of </w:t>
      </w:r>
      <w:r w:rsidRPr="005D44CA">
        <w:t>mechanosensitive treatments.</w:t>
      </w:r>
      <w:r>
        <w:t xml:space="preserve"> Replicates were performed in four hand-made light boxes where each light box had two chambers (described below). The first randomization of the split-plot design, which was applied at the chamber level, were the seven light conditions described in </w:t>
      </w:r>
      <w:r w:rsidRPr="00862731">
        <w:t>Table 1. The</w:t>
      </w:r>
      <w:r>
        <w:t xml:space="preserve"> second randomization was comprised of the chemical and mechanical cues and were applied at the petri-dish level in a factorial presence/absence structure and can be seen in </w:t>
      </w:r>
      <w:r w:rsidRPr="00862731">
        <w:t>Table 2.</w:t>
      </w:r>
      <w:r>
        <w:t xml:space="preserve"> </w:t>
      </w:r>
    </w:p>
    <w:p w14:paraId="23F65343" w14:textId="77777777" w:rsidR="00087B19" w:rsidRDefault="00087B19" w:rsidP="00087B19">
      <w:pPr>
        <w:jc w:val="both"/>
      </w:pPr>
    </w:p>
    <w:p w14:paraId="3BE505EF" w14:textId="77777777" w:rsidR="00087B19" w:rsidRDefault="00087B19" w:rsidP="00087B19">
      <w:pPr>
        <w:jc w:val="both"/>
      </w:pPr>
      <w:r>
        <w:t xml:space="preserve">Table 1. The seven levels of the light condition factor with their corresponding measurements </w:t>
      </w:r>
    </w:p>
    <w:tbl>
      <w:tblPr>
        <w:tblW w:w="0" w:type="auto"/>
        <w:tblLook w:val="04A0" w:firstRow="1" w:lastRow="0" w:firstColumn="1" w:lastColumn="0" w:noHBand="0" w:noVBand="1"/>
      </w:tblPr>
      <w:tblGrid>
        <w:gridCol w:w="3207"/>
        <w:gridCol w:w="3392"/>
        <w:gridCol w:w="2761"/>
      </w:tblGrid>
      <w:tr w:rsidR="00087B19" w14:paraId="2A970D6D" w14:textId="77777777" w:rsidTr="009B47BE">
        <w:tc>
          <w:tcPr>
            <w:tcW w:w="3207" w:type="dxa"/>
            <w:tcBorders>
              <w:top w:val="single" w:sz="4" w:space="0" w:color="auto"/>
              <w:bottom w:val="single" w:sz="4" w:space="0" w:color="auto"/>
            </w:tcBorders>
          </w:tcPr>
          <w:p w14:paraId="5C217E6F" w14:textId="77777777" w:rsidR="00087B19" w:rsidRPr="00AE321C" w:rsidRDefault="00087B19" w:rsidP="009B47BE">
            <w:pPr>
              <w:jc w:val="both"/>
              <w:rPr>
                <w:b/>
                <w:bCs/>
              </w:rPr>
            </w:pPr>
            <w:r w:rsidRPr="00AE321C">
              <w:rPr>
                <w:b/>
                <w:bCs/>
              </w:rPr>
              <w:t>Light Conditions</w:t>
            </w:r>
            <w:r>
              <w:rPr>
                <w:b/>
                <w:bCs/>
              </w:rPr>
              <w:t xml:space="preserve"> in Study</w:t>
            </w:r>
          </w:p>
        </w:tc>
        <w:tc>
          <w:tcPr>
            <w:tcW w:w="3392" w:type="dxa"/>
            <w:tcBorders>
              <w:top w:val="single" w:sz="4" w:space="0" w:color="auto"/>
              <w:bottom w:val="single" w:sz="4" w:space="0" w:color="auto"/>
            </w:tcBorders>
          </w:tcPr>
          <w:p w14:paraId="0BFC55A6" w14:textId="77777777" w:rsidR="00087B19" w:rsidRPr="00AE321C" w:rsidRDefault="00087B19" w:rsidP="009B47BE">
            <w:pPr>
              <w:jc w:val="both"/>
              <w:rPr>
                <w:b/>
                <w:bCs/>
              </w:rPr>
            </w:pPr>
            <w:r>
              <w:rPr>
                <w:b/>
                <w:bCs/>
              </w:rPr>
              <w:t>Wavelength</w:t>
            </w:r>
          </w:p>
        </w:tc>
        <w:tc>
          <w:tcPr>
            <w:tcW w:w="2761" w:type="dxa"/>
            <w:tcBorders>
              <w:top w:val="single" w:sz="4" w:space="0" w:color="auto"/>
              <w:bottom w:val="single" w:sz="4" w:space="0" w:color="auto"/>
            </w:tcBorders>
          </w:tcPr>
          <w:p w14:paraId="6A6E754D" w14:textId="77777777" w:rsidR="00087B19" w:rsidRPr="00AE321C" w:rsidRDefault="00087B19" w:rsidP="009B47BE">
            <w:pPr>
              <w:jc w:val="both"/>
              <w:rPr>
                <w:b/>
                <w:bCs/>
              </w:rPr>
            </w:pPr>
            <w:r>
              <w:rPr>
                <w:b/>
                <w:bCs/>
              </w:rPr>
              <w:t>Intensity</w:t>
            </w:r>
          </w:p>
        </w:tc>
      </w:tr>
      <w:tr w:rsidR="00087B19" w14:paraId="261FA674" w14:textId="77777777" w:rsidTr="009B47BE">
        <w:tc>
          <w:tcPr>
            <w:tcW w:w="3207" w:type="dxa"/>
            <w:tcBorders>
              <w:top w:val="single" w:sz="4" w:space="0" w:color="auto"/>
            </w:tcBorders>
          </w:tcPr>
          <w:p w14:paraId="7FEACB23" w14:textId="77777777" w:rsidR="00087B19" w:rsidRPr="00AE321C" w:rsidRDefault="00087B19" w:rsidP="009B47BE">
            <w:pPr>
              <w:jc w:val="both"/>
              <w:rPr>
                <w:b/>
                <w:bCs/>
              </w:rPr>
            </w:pPr>
            <w:r w:rsidRPr="00AE321C">
              <w:rPr>
                <w:b/>
                <w:bCs/>
              </w:rPr>
              <w:t>Red Light, High Intensity</w:t>
            </w:r>
          </w:p>
        </w:tc>
        <w:tc>
          <w:tcPr>
            <w:tcW w:w="3392" w:type="dxa"/>
            <w:tcBorders>
              <w:top w:val="single" w:sz="4" w:space="0" w:color="auto"/>
            </w:tcBorders>
          </w:tcPr>
          <w:p w14:paraId="6D7FF4EC" w14:textId="77777777" w:rsidR="00087B19" w:rsidRDefault="00087B19" w:rsidP="009B47BE">
            <w:pPr>
              <w:jc w:val="both"/>
            </w:pPr>
            <w:r>
              <w:t>630nm</w:t>
            </w:r>
          </w:p>
        </w:tc>
        <w:tc>
          <w:tcPr>
            <w:tcW w:w="2761" w:type="dxa"/>
            <w:tcBorders>
              <w:top w:val="single" w:sz="4" w:space="0" w:color="auto"/>
            </w:tcBorders>
          </w:tcPr>
          <w:p w14:paraId="60E401A3" w14:textId="77777777" w:rsidR="00087B19" w:rsidRDefault="00087B19" w:rsidP="009B47BE">
            <w:pPr>
              <w:jc w:val="both"/>
            </w:pPr>
            <w:r>
              <w:t xml:space="preserve">10 </w:t>
            </w:r>
            <w:r>
              <w:rPr>
                <w:rFonts w:ascii="Calibri" w:hAnsi="Calibri" w:cs="Calibri"/>
              </w:rPr>
              <w:t>µ</w:t>
            </w:r>
            <w:r>
              <w:t>mol m-2 s-1</w:t>
            </w:r>
          </w:p>
        </w:tc>
      </w:tr>
      <w:tr w:rsidR="00087B19" w14:paraId="2805CBF0" w14:textId="77777777" w:rsidTr="009B47BE">
        <w:tc>
          <w:tcPr>
            <w:tcW w:w="3207" w:type="dxa"/>
          </w:tcPr>
          <w:p w14:paraId="27417A9F" w14:textId="77777777" w:rsidR="00087B19" w:rsidRPr="00AE321C" w:rsidRDefault="00087B19" w:rsidP="009B47BE">
            <w:pPr>
              <w:jc w:val="both"/>
              <w:rPr>
                <w:b/>
                <w:bCs/>
              </w:rPr>
            </w:pPr>
            <w:r w:rsidRPr="00AE321C">
              <w:rPr>
                <w:b/>
                <w:bCs/>
              </w:rPr>
              <w:lastRenderedPageBreak/>
              <w:t>Red Light, Low Intensity</w:t>
            </w:r>
          </w:p>
        </w:tc>
        <w:tc>
          <w:tcPr>
            <w:tcW w:w="3392" w:type="dxa"/>
          </w:tcPr>
          <w:p w14:paraId="1609EE5F" w14:textId="77777777" w:rsidR="00087B19" w:rsidRDefault="00087B19" w:rsidP="009B47BE">
            <w:pPr>
              <w:jc w:val="both"/>
            </w:pPr>
            <w:r>
              <w:t>630nm</w:t>
            </w:r>
          </w:p>
        </w:tc>
        <w:tc>
          <w:tcPr>
            <w:tcW w:w="2761" w:type="dxa"/>
          </w:tcPr>
          <w:p w14:paraId="160A665D" w14:textId="77777777" w:rsidR="00087B19" w:rsidRDefault="00087B19" w:rsidP="009B47BE">
            <w:pPr>
              <w:jc w:val="both"/>
            </w:pPr>
            <w:r>
              <w:t xml:space="preserve">5 </w:t>
            </w:r>
            <w:r>
              <w:rPr>
                <w:rFonts w:ascii="Calibri" w:hAnsi="Calibri" w:cs="Calibri"/>
              </w:rPr>
              <w:t>µ</w:t>
            </w:r>
            <w:r>
              <w:t>mol m-2 s-1</w:t>
            </w:r>
          </w:p>
        </w:tc>
      </w:tr>
      <w:tr w:rsidR="00087B19" w14:paraId="60D78639" w14:textId="77777777" w:rsidTr="009B47BE">
        <w:tc>
          <w:tcPr>
            <w:tcW w:w="3207" w:type="dxa"/>
          </w:tcPr>
          <w:p w14:paraId="016D7AFA" w14:textId="77777777" w:rsidR="00087B19" w:rsidRPr="00AE321C" w:rsidRDefault="00087B19" w:rsidP="009B47BE">
            <w:pPr>
              <w:jc w:val="both"/>
              <w:rPr>
                <w:b/>
                <w:bCs/>
              </w:rPr>
            </w:pPr>
            <w:r w:rsidRPr="00AE321C">
              <w:rPr>
                <w:b/>
                <w:bCs/>
              </w:rPr>
              <w:t>Green Light, High Intensity</w:t>
            </w:r>
          </w:p>
        </w:tc>
        <w:tc>
          <w:tcPr>
            <w:tcW w:w="3392" w:type="dxa"/>
          </w:tcPr>
          <w:p w14:paraId="6013728E" w14:textId="77777777" w:rsidR="00087B19" w:rsidRDefault="00087B19" w:rsidP="009B47BE">
            <w:pPr>
              <w:jc w:val="both"/>
            </w:pPr>
            <w:r>
              <w:t>520 nm</w:t>
            </w:r>
          </w:p>
        </w:tc>
        <w:tc>
          <w:tcPr>
            <w:tcW w:w="2761" w:type="dxa"/>
          </w:tcPr>
          <w:p w14:paraId="651E9218" w14:textId="77777777" w:rsidR="00087B19" w:rsidRDefault="00087B19" w:rsidP="009B47BE">
            <w:pPr>
              <w:jc w:val="both"/>
            </w:pPr>
            <w:r>
              <w:t xml:space="preserve">10 </w:t>
            </w:r>
            <w:r>
              <w:rPr>
                <w:rFonts w:ascii="Calibri" w:hAnsi="Calibri" w:cs="Calibri"/>
              </w:rPr>
              <w:t>µ</w:t>
            </w:r>
            <w:r>
              <w:t>mol m-2 s-1</w:t>
            </w:r>
          </w:p>
        </w:tc>
      </w:tr>
      <w:tr w:rsidR="00087B19" w14:paraId="7BCB0F0B" w14:textId="77777777" w:rsidTr="009B47BE">
        <w:tc>
          <w:tcPr>
            <w:tcW w:w="3207" w:type="dxa"/>
          </w:tcPr>
          <w:p w14:paraId="47451AF0" w14:textId="77777777" w:rsidR="00087B19" w:rsidRPr="00AE321C" w:rsidRDefault="00087B19" w:rsidP="009B47BE">
            <w:pPr>
              <w:jc w:val="both"/>
              <w:rPr>
                <w:b/>
                <w:bCs/>
              </w:rPr>
            </w:pPr>
            <w:r w:rsidRPr="00AE321C">
              <w:rPr>
                <w:b/>
                <w:bCs/>
              </w:rPr>
              <w:t>Green Light, Low Intensity</w:t>
            </w:r>
          </w:p>
        </w:tc>
        <w:tc>
          <w:tcPr>
            <w:tcW w:w="3392" w:type="dxa"/>
          </w:tcPr>
          <w:p w14:paraId="4127480C" w14:textId="77777777" w:rsidR="00087B19" w:rsidRDefault="00087B19" w:rsidP="009B47BE">
            <w:pPr>
              <w:jc w:val="both"/>
            </w:pPr>
            <w:r>
              <w:t>520 nm</w:t>
            </w:r>
          </w:p>
        </w:tc>
        <w:tc>
          <w:tcPr>
            <w:tcW w:w="2761" w:type="dxa"/>
          </w:tcPr>
          <w:p w14:paraId="1B03CC8D" w14:textId="77777777" w:rsidR="00087B19" w:rsidRDefault="00087B19" w:rsidP="009B47BE">
            <w:pPr>
              <w:jc w:val="both"/>
            </w:pPr>
            <w:r>
              <w:t xml:space="preserve">5 </w:t>
            </w:r>
            <w:r>
              <w:rPr>
                <w:rFonts w:ascii="Calibri" w:hAnsi="Calibri" w:cs="Calibri"/>
              </w:rPr>
              <w:t>µ</w:t>
            </w:r>
            <w:r>
              <w:t>mol m-2 s-1</w:t>
            </w:r>
          </w:p>
        </w:tc>
      </w:tr>
      <w:tr w:rsidR="00087B19" w14:paraId="7A75F82A" w14:textId="77777777" w:rsidTr="009B47BE">
        <w:tc>
          <w:tcPr>
            <w:tcW w:w="3207" w:type="dxa"/>
          </w:tcPr>
          <w:p w14:paraId="380D0053" w14:textId="77777777" w:rsidR="00087B19" w:rsidRPr="00AE321C" w:rsidRDefault="00087B19" w:rsidP="009B47BE">
            <w:pPr>
              <w:jc w:val="both"/>
              <w:rPr>
                <w:b/>
                <w:bCs/>
              </w:rPr>
            </w:pPr>
            <w:r w:rsidRPr="00AE321C">
              <w:rPr>
                <w:b/>
                <w:bCs/>
              </w:rPr>
              <w:t>Blue Light, High Intensity</w:t>
            </w:r>
          </w:p>
        </w:tc>
        <w:tc>
          <w:tcPr>
            <w:tcW w:w="3392" w:type="dxa"/>
          </w:tcPr>
          <w:p w14:paraId="65D23635" w14:textId="77777777" w:rsidR="00087B19" w:rsidRDefault="00087B19" w:rsidP="009B47BE">
            <w:pPr>
              <w:jc w:val="both"/>
            </w:pPr>
            <w:r>
              <w:t>460nm</w:t>
            </w:r>
          </w:p>
        </w:tc>
        <w:tc>
          <w:tcPr>
            <w:tcW w:w="2761" w:type="dxa"/>
          </w:tcPr>
          <w:p w14:paraId="4C768916" w14:textId="77777777" w:rsidR="00087B19" w:rsidRDefault="00087B19" w:rsidP="009B47BE">
            <w:pPr>
              <w:jc w:val="both"/>
            </w:pPr>
            <w:r>
              <w:t xml:space="preserve">10 </w:t>
            </w:r>
            <w:r>
              <w:rPr>
                <w:rFonts w:ascii="Calibri" w:hAnsi="Calibri" w:cs="Calibri"/>
              </w:rPr>
              <w:t>µ</w:t>
            </w:r>
            <w:r>
              <w:t>mol m-2 s-1</w:t>
            </w:r>
          </w:p>
        </w:tc>
      </w:tr>
      <w:tr w:rsidR="00087B19" w14:paraId="650A7946" w14:textId="77777777" w:rsidTr="009B47BE">
        <w:tc>
          <w:tcPr>
            <w:tcW w:w="3207" w:type="dxa"/>
          </w:tcPr>
          <w:p w14:paraId="1ABE6809" w14:textId="77777777" w:rsidR="00087B19" w:rsidRPr="00AE321C" w:rsidRDefault="00087B19" w:rsidP="009B47BE">
            <w:pPr>
              <w:jc w:val="both"/>
              <w:rPr>
                <w:b/>
                <w:bCs/>
              </w:rPr>
            </w:pPr>
            <w:r w:rsidRPr="00AE321C">
              <w:rPr>
                <w:b/>
                <w:bCs/>
              </w:rPr>
              <w:t>Blue Light, Low Intensity</w:t>
            </w:r>
          </w:p>
        </w:tc>
        <w:tc>
          <w:tcPr>
            <w:tcW w:w="3392" w:type="dxa"/>
          </w:tcPr>
          <w:p w14:paraId="15A9CFA7" w14:textId="77777777" w:rsidR="00087B19" w:rsidRDefault="00087B19" w:rsidP="009B47BE">
            <w:pPr>
              <w:jc w:val="both"/>
            </w:pPr>
            <w:r>
              <w:t>460nm</w:t>
            </w:r>
          </w:p>
        </w:tc>
        <w:tc>
          <w:tcPr>
            <w:tcW w:w="2761" w:type="dxa"/>
          </w:tcPr>
          <w:p w14:paraId="2E8FFDDB" w14:textId="77777777" w:rsidR="00087B19" w:rsidRDefault="00087B19" w:rsidP="009B47BE">
            <w:pPr>
              <w:jc w:val="both"/>
            </w:pPr>
            <w:r>
              <w:t xml:space="preserve">5 </w:t>
            </w:r>
            <w:r>
              <w:rPr>
                <w:rFonts w:ascii="Calibri" w:hAnsi="Calibri" w:cs="Calibri"/>
              </w:rPr>
              <w:t>µ</w:t>
            </w:r>
            <w:r>
              <w:t>mol m-2 s-1</w:t>
            </w:r>
          </w:p>
        </w:tc>
      </w:tr>
      <w:tr w:rsidR="00087B19" w14:paraId="4FFBF465" w14:textId="77777777" w:rsidTr="009B47BE">
        <w:tc>
          <w:tcPr>
            <w:tcW w:w="3207" w:type="dxa"/>
            <w:tcBorders>
              <w:bottom w:val="single" w:sz="4" w:space="0" w:color="auto"/>
            </w:tcBorders>
          </w:tcPr>
          <w:p w14:paraId="5DDB4D8A" w14:textId="77777777" w:rsidR="00087B19" w:rsidRPr="00AE321C" w:rsidRDefault="00087B19" w:rsidP="009B47BE">
            <w:pPr>
              <w:jc w:val="both"/>
              <w:rPr>
                <w:b/>
                <w:bCs/>
              </w:rPr>
            </w:pPr>
            <w:r w:rsidRPr="00AE321C">
              <w:rPr>
                <w:b/>
                <w:bCs/>
              </w:rPr>
              <w:t>Darkness</w:t>
            </w:r>
          </w:p>
        </w:tc>
        <w:tc>
          <w:tcPr>
            <w:tcW w:w="3392" w:type="dxa"/>
            <w:tcBorders>
              <w:bottom w:val="single" w:sz="4" w:space="0" w:color="auto"/>
            </w:tcBorders>
          </w:tcPr>
          <w:p w14:paraId="413AA28A" w14:textId="77777777" w:rsidR="00087B19" w:rsidRDefault="00087B19" w:rsidP="009B47BE">
            <w:pPr>
              <w:jc w:val="both"/>
            </w:pPr>
            <w:r>
              <w:t>0nm</w:t>
            </w:r>
          </w:p>
        </w:tc>
        <w:tc>
          <w:tcPr>
            <w:tcW w:w="2761" w:type="dxa"/>
            <w:tcBorders>
              <w:bottom w:val="single" w:sz="4" w:space="0" w:color="auto"/>
            </w:tcBorders>
          </w:tcPr>
          <w:p w14:paraId="017A6832" w14:textId="77777777" w:rsidR="00087B19" w:rsidRDefault="00087B19" w:rsidP="009B47BE">
            <w:pPr>
              <w:jc w:val="both"/>
            </w:pPr>
            <w:r>
              <w:t xml:space="preserve">0 </w:t>
            </w:r>
            <w:r>
              <w:rPr>
                <w:rFonts w:ascii="Calibri" w:hAnsi="Calibri" w:cs="Calibri"/>
              </w:rPr>
              <w:t>µ</w:t>
            </w:r>
            <w:r>
              <w:t>mol m-2 s-1</w:t>
            </w:r>
          </w:p>
        </w:tc>
      </w:tr>
    </w:tbl>
    <w:p w14:paraId="0FDBA34F" w14:textId="77777777" w:rsidR="00087B19" w:rsidRDefault="00087B19" w:rsidP="00087B19">
      <w:pPr>
        <w:jc w:val="both"/>
      </w:pPr>
    </w:p>
    <w:p w14:paraId="7814B9C1" w14:textId="77777777" w:rsidR="00087B19" w:rsidRDefault="00087B19" w:rsidP="00087B19">
      <w:pPr>
        <w:jc w:val="both"/>
      </w:pPr>
      <w:r>
        <w:t xml:space="preserve">Table 2. Factorial Structure of Chemical and Mechanical Cue Dish Treatments </w:t>
      </w:r>
    </w:p>
    <w:tbl>
      <w:tblPr>
        <w:tblW w:w="0" w:type="auto"/>
        <w:tblLook w:val="04A0" w:firstRow="1" w:lastRow="0" w:firstColumn="1" w:lastColumn="0" w:noHBand="0" w:noVBand="1"/>
      </w:tblPr>
      <w:tblGrid>
        <w:gridCol w:w="3116"/>
        <w:gridCol w:w="3117"/>
        <w:gridCol w:w="3117"/>
      </w:tblGrid>
      <w:tr w:rsidR="00087B19" w14:paraId="55323FCC" w14:textId="77777777" w:rsidTr="009B47BE">
        <w:tc>
          <w:tcPr>
            <w:tcW w:w="3116" w:type="dxa"/>
            <w:tcBorders>
              <w:top w:val="single" w:sz="4" w:space="0" w:color="auto"/>
            </w:tcBorders>
          </w:tcPr>
          <w:p w14:paraId="4E2719D2" w14:textId="77777777" w:rsidR="00087B19" w:rsidRDefault="00087B19" w:rsidP="009B47BE">
            <w:pPr>
              <w:jc w:val="both"/>
            </w:pPr>
          </w:p>
        </w:tc>
        <w:tc>
          <w:tcPr>
            <w:tcW w:w="3117" w:type="dxa"/>
            <w:tcBorders>
              <w:top w:val="single" w:sz="4" w:space="0" w:color="auto"/>
            </w:tcBorders>
          </w:tcPr>
          <w:p w14:paraId="4D167F1B" w14:textId="77777777" w:rsidR="00087B19" w:rsidRPr="00242717" w:rsidRDefault="00087B19" w:rsidP="009B47BE">
            <w:pPr>
              <w:jc w:val="both"/>
              <w:rPr>
                <w:b/>
                <w:bCs/>
              </w:rPr>
            </w:pPr>
            <w:r w:rsidRPr="00242717">
              <w:rPr>
                <w:b/>
                <w:bCs/>
              </w:rPr>
              <w:t>Chemical Cue Absent</w:t>
            </w:r>
          </w:p>
        </w:tc>
        <w:tc>
          <w:tcPr>
            <w:tcW w:w="3117" w:type="dxa"/>
            <w:tcBorders>
              <w:top w:val="single" w:sz="4" w:space="0" w:color="auto"/>
            </w:tcBorders>
          </w:tcPr>
          <w:p w14:paraId="73170546" w14:textId="77777777" w:rsidR="00087B19" w:rsidRPr="00242717" w:rsidRDefault="00087B19" w:rsidP="009B47BE">
            <w:pPr>
              <w:jc w:val="both"/>
              <w:rPr>
                <w:b/>
                <w:bCs/>
              </w:rPr>
            </w:pPr>
            <w:r w:rsidRPr="00242717">
              <w:rPr>
                <w:b/>
                <w:bCs/>
              </w:rPr>
              <w:t>Chemical Cue Present</w:t>
            </w:r>
          </w:p>
        </w:tc>
      </w:tr>
      <w:tr w:rsidR="00087B19" w14:paraId="242F6C19" w14:textId="77777777" w:rsidTr="009B47BE">
        <w:tc>
          <w:tcPr>
            <w:tcW w:w="3116" w:type="dxa"/>
          </w:tcPr>
          <w:p w14:paraId="03C64835" w14:textId="77777777" w:rsidR="00087B19" w:rsidRPr="00242717" w:rsidRDefault="00087B19" w:rsidP="009B47BE">
            <w:pPr>
              <w:jc w:val="both"/>
              <w:rPr>
                <w:b/>
                <w:bCs/>
              </w:rPr>
            </w:pPr>
            <w:r w:rsidRPr="00242717">
              <w:rPr>
                <w:b/>
                <w:bCs/>
              </w:rPr>
              <w:t>Mechanical Cue Absent</w:t>
            </w:r>
          </w:p>
        </w:tc>
        <w:tc>
          <w:tcPr>
            <w:tcW w:w="3117" w:type="dxa"/>
          </w:tcPr>
          <w:p w14:paraId="68CCDD96" w14:textId="77777777" w:rsidR="00087B19" w:rsidRDefault="00087B19" w:rsidP="009B47BE">
            <w:pPr>
              <w:jc w:val="both"/>
            </w:pPr>
            <w:r>
              <w:t>Dish Treatment A</w:t>
            </w:r>
          </w:p>
        </w:tc>
        <w:tc>
          <w:tcPr>
            <w:tcW w:w="3117" w:type="dxa"/>
          </w:tcPr>
          <w:p w14:paraId="165DB683" w14:textId="77777777" w:rsidR="00087B19" w:rsidRDefault="00087B19" w:rsidP="009B47BE">
            <w:pPr>
              <w:jc w:val="both"/>
            </w:pPr>
            <w:r>
              <w:t>Dish Treatment B</w:t>
            </w:r>
          </w:p>
        </w:tc>
      </w:tr>
      <w:tr w:rsidR="00087B19" w14:paraId="5C8ED942" w14:textId="77777777" w:rsidTr="009B47BE">
        <w:tc>
          <w:tcPr>
            <w:tcW w:w="3116" w:type="dxa"/>
            <w:tcBorders>
              <w:bottom w:val="single" w:sz="4" w:space="0" w:color="auto"/>
            </w:tcBorders>
          </w:tcPr>
          <w:p w14:paraId="4A52D0E0" w14:textId="77777777" w:rsidR="00087B19" w:rsidRPr="00242717" w:rsidRDefault="00087B19" w:rsidP="009B47BE">
            <w:pPr>
              <w:jc w:val="both"/>
              <w:rPr>
                <w:b/>
                <w:bCs/>
              </w:rPr>
            </w:pPr>
            <w:r w:rsidRPr="00242717">
              <w:rPr>
                <w:b/>
                <w:bCs/>
              </w:rPr>
              <w:t>Mechanical Cue Present</w:t>
            </w:r>
          </w:p>
        </w:tc>
        <w:tc>
          <w:tcPr>
            <w:tcW w:w="3117" w:type="dxa"/>
            <w:tcBorders>
              <w:bottom w:val="single" w:sz="4" w:space="0" w:color="auto"/>
            </w:tcBorders>
          </w:tcPr>
          <w:p w14:paraId="6623FA63" w14:textId="77777777" w:rsidR="00087B19" w:rsidRDefault="00087B19" w:rsidP="009B47BE">
            <w:pPr>
              <w:jc w:val="both"/>
            </w:pPr>
            <w:r>
              <w:t>Dish Treatment C</w:t>
            </w:r>
          </w:p>
        </w:tc>
        <w:tc>
          <w:tcPr>
            <w:tcW w:w="3117" w:type="dxa"/>
            <w:tcBorders>
              <w:bottom w:val="single" w:sz="4" w:space="0" w:color="auto"/>
            </w:tcBorders>
          </w:tcPr>
          <w:p w14:paraId="0D49A014" w14:textId="77777777" w:rsidR="00087B19" w:rsidRDefault="00087B19" w:rsidP="009B47BE">
            <w:pPr>
              <w:jc w:val="both"/>
            </w:pPr>
            <w:r>
              <w:t>Dish Treatment D</w:t>
            </w:r>
          </w:p>
        </w:tc>
      </w:tr>
    </w:tbl>
    <w:p w14:paraId="6F31A971" w14:textId="77777777" w:rsidR="00087B19" w:rsidRDefault="00087B19" w:rsidP="00087B19">
      <w:pPr>
        <w:jc w:val="both"/>
      </w:pPr>
    </w:p>
    <w:p w14:paraId="5F3E468A" w14:textId="77777777" w:rsidR="00087B19" w:rsidRDefault="00087B19" w:rsidP="00D46E28">
      <w:pPr>
        <w:spacing w:line="480" w:lineRule="auto"/>
        <w:jc w:val="both"/>
      </w:pPr>
      <w:r>
        <w:t>Prior to settlement experiments, four five-sided light boxes were created with black opaque acrylic (</w:t>
      </w:r>
      <w:proofErr w:type="spellStart"/>
      <w:r>
        <w:t>Acrylite</w:t>
      </w:r>
      <w:proofErr w:type="spellEnd"/>
      <w:r>
        <w:t xml:space="preserve">; </w:t>
      </w:r>
      <w:r w:rsidRPr="009F6C55">
        <w:t>Extruded 9M001</w:t>
      </w:r>
      <w:r>
        <w:t xml:space="preserve">) with a thickness of 0.177 inch (in) and 16in x 12in x 12in dimensions with two centered, circular holes with diameters of 85mm cut out of the top. An additional piece of acrylic with the same thickness with 12in x 12in dimensions was placed in the center of the box to create two separate chambers. Super Bright LEDs heatless lights (part #: </w:t>
      </w:r>
      <w:r w:rsidRPr="009F6C55">
        <w:t>WRLFA-RGB6W-60</w:t>
      </w:r>
      <w:r>
        <w:t xml:space="preserve">) were placed in the cutout holes which allowed control of four different light intensity settings for the wavelengths red (630 nm), green (520 nm), and blue (460 nm). Light intensity was measured using an LI-1000 </w:t>
      </w:r>
      <w:proofErr w:type="spellStart"/>
      <w:r>
        <w:t>DataLogger</w:t>
      </w:r>
      <w:proofErr w:type="spellEnd"/>
      <w:r>
        <w:t xml:space="preserve">. </w:t>
      </w:r>
      <w:r w:rsidRPr="002B1A7E">
        <w:t>For replicability the boxes were placed in the same position for each replicate. The positions of petri-dishes were</w:t>
      </w:r>
      <w:r>
        <w:t xml:space="preserve"> also</w:t>
      </w:r>
      <w:r w:rsidRPr="002B1A7E">
        <w:t xml:space="preserve"> marked at high and low intensities for each wavelength in each chamber for replicabilit</w:t>
      </w:r>
      <w:r>
        <w:t>y</w:t>
      </w:r>
      <w:r w:rsidRPr="00862731">
        <w:t>, Fig S1B.</w:t>
      </w:r>
      <w:r>
        <w:t xml:space="preserve">  </w:t>
      </w:r>
    </w:p>
    <w:p w14:paraId="73250AF3" w14:textId="77777777" w:rsidR="00087B19" w:rsidRDefault="00087B19" w:rsidP="00D46E28">
      <w:pPr>
        <w:spacing w:line="480" w:lineRule="auto"/>
        <w:jc w:val="both"/>
      </w:pPr>
    </w:p>
    <w:p w14:paraId="6F21FEEA" w14:textId="2DAEAABD" w:rsidR="00087B19" w:rsidRDefault="00087B19" w:rsidP="00D46E28">
      <w:pPr>
        <w:spacing w:line="480" w:lineRule="auto"/>
        <w:jc w:val="both"/>
      </w:pPr>
      <w:r>
        <w:t xml:space="preserve">To obtain chemical cues, we allowed petri-dishes to generate biofilms by placing dishes in mesh dive bags and attached them to the UNH CML pier for 1 week at a depth of 1.5 m </w:t>
      </w:r>
      <w:r>
        <w:fldChar w:fldCharType="begin" w:fldLock="1"/>
      </w:r>
      <w:r w:rsidR="00B02F06">
        <w:instrText>ADDIN CSL_CITATION {"citationItems":[{"id":"ITEM-1","itemData":{"DOI":"10.1007/s12275-008-0032-3","ISSN":"12258873","PMID":"18545967","abstract":"Succession of bacterial communities during the first 36 h of biofilm formation in coastal water was investigated at 3 approximately 15 h intervals. Three kinds of surfaces (i.e., acryl, glass, and steel substratum) were submerged in situ at Sacheon harbor, Korea. Biofilms were harvested by scraping the surfaces, and the compositions of bacterial communities were analyzed by terminal restriction fragment length polymorphism (T-RFLP), and cloning and sequencing of 16S rRNA genes. While community structure based on T-RFLP analysis showed slight differences by substratum, dramatic changes were commonly observed for all substrata between 9 and 24 h. Identification of major populations by 16S rRNA gene sequences indicated that gamma-Proteobacteria (Pseudomonas, Acinetobacter, Alteromonas, and uncultured gamma-Proteobacteria) were predominant in the community during 0 approximately 9 h, while the ratio of alpha-Proteobacteria (Loktanella, Methylobacterium, Pelagibacter, and uncultured alpha-Proteobacteria) increased 2.6 approximately 4.8 folds during 24 approximately 36 h of the biofilm formation, emerging as the most predominant group. Previously, alpha-Proteobacteria were recognized as the pioneering organisms in marine biofilm formation. However, results of this study, which revealed the bacterial succession with finer temporal resolution, indicated some species of gamma-Proteobacteria were more important as the pioneering population. Measures to control pioneering activities of these species can be useful in prevention of marine biofilm formation.","author":[{"dropping-particle":"","family":"Lee","given":"Jin Woo","non-dropping-particle":"","parse-names":false,"suffix":""},{"dropping-particle":"","family":"Nam","given":"Ji Hyun","non-dropping-particle":"","parse-names":false,"suffix":""},{"dropping-particle":"","family":"Kim","given":"Yang Hoon","non-dropping-particle":"","parse-names":false,"suffix":""},{"dropping-particle":"","family":"Lee","given":"Kyu Ho","non-dropping-particle":"","parse-names":false,"suffix":""},{"dropping-particle":"","family":"Lee","given":"Dong Hun","non-dropping-particle":"","parse-names":false,"suffix":""}],"container-title":"Journal of Microbiology","id":"ITEM-1","issue":"2","issued":{"date-parts":[["2008"]]},"page":"174-182","title":"Bacterial communities in the initial stage of marine biofilm formation on artificial surfaces","type":"article-journal","volume":"46"},"uris":["http://www.mendeley.com/documents/?uuid=c638b083-2829-48e0-8921-f63d214d34f8"]},{"id":"ITEM-2","itemData":{"DOI":"10.1007/s00248-013-0348-3","ISSN":"00953628","abstract":"Biofilm microbial communities play an important role in the larval settlement response of marine invertebrates. However, the underlying mechanism has yet to be resolved, mainly because of the uncertainties in characterizing members in the communities using traditional 16S rRNA gene-based molecular methods and in identifying the chemical signals involved. In this study, pyrosequencing was used to characterize the bacterial communities in intertidal and subtidal marine biofilms developed during two seasons. We revealed highly diverse biofilm bacterial communities that varied with season and tidal level. Over 3,000 operational taxonomic units with estimates of up to 8,000 species were recovered in a biofilm sample, which is by far the highest number recorded in subtropical marine biofilms. Nineteen phyla were found, of which Cyanobacteria and Proteobacteria were the most dominant one in the intertidal and subtidal biofilms, respectively. Apart from these, Actinobacteria, Bacteroidetes, and Planctomycetes were the major groups recovered in both intertidal and subtidal biofilms, although their relative abundance varied among samples. Full-length 16S rRNA gene clone libraries were constructed for the four biofilm samples and showed similar bacterial compositions at the phylum level to those revealed by pyrosequencing. Laboratory assays confirmed that cyrids of the barnacle Balanus amphitrite preferred to settle on the intertidal rather than subtidal biofilms. This preference was independent of the biofilm bacterial density or biomass but was probably related to the biofilm community structure, particularly, the Proteobacterial and Cyanobacterial groups.","author":[{"dropping-particle":"","family":"Lee","given":"On On","non-dropping-particle":"","parse-names":false,"suffix":""},{"dropping-particle":"","family":"Chung","given":"Hong Chun","non-dropping-particle":"","parse-names":false,"suffix":""},{"dropping-particle":"","family":"Yang","given":"Jiangke","non-dropping-particle":"","parse-names":false,"suffix":""},{"dropping-particle":"","family":"Wang","given":"Yong","non-dropping-particle":"","parse-names":false,"suffix":""},{"dropping-particle":"","family":"Dash","given":"Swagatika","non-dropping-particle":"","parse-names":false,"suffix":""},{"dropping-particle":"","family":"Wang","given":"Hao","non-dropping-particle":"","parse-names":false,"suffix":""},{"dropping-particle":"","family":"Qian","given":"Pei Yuan","non-dropping-particle":"","parse-names":false,"suffix":""}],"container-title":"Microbial Ecology","id":"ITEM-2","issue":"1","issued":{"date-parts":[["2014"]]},"page":"81-93","title":"Molecular Techniques Revealed Highly Diverse Microbial Communities in Natural Marine Biofilms on Polystyrene Dishes for Invertebrate Larval Settlement","type":"article-journal","volume":"68"},"uris":["http://www.mendeley.com/documents/?uuid=1009d5e1-834e-49d2-a657-877ef4212d75"]}],"mendeley":{"formattedCitation":"(J. W. Lee, Nam, Kim, Lee, &amp; Lee, 2008; O. O. Lee et al., 2014)","plainTextFormattedCitation":"(J. W. Lee, Nam, Kim, Lee, &amp; Lee, 2008; O. O. Lee et al., 2014)","previouslyFormattedCitation":"(Lee et al. 2008, 2014)"},"properties":{"noteIndex":0},"schema":"https://github.com/citation-style-language/schema/raw/master/csl-citation.json"}</w:instrText>
      </w:r>
      <w:r>
        <w:fldChar w:fldCharType="separate"/>
      </w:r>
      <w:r w:rsidR="00B02F06" w:rsidRPr="00B02F06">
        <w:rPr>
          <w:noProof/>
        </w:rPr>
        <w:t>(J. W. Lee, Nam, Kim, Lee, &amp; Lee, 2008; O. O. Lee et al., 2014)</w:t>
      </w:r>
      <w:r>
        <w:fldChar w:fldCharType="end"/>
      </w:r>
      <w:r>
        <w:t xml:space="preserve">. Colonized dishes were then transported to the laboratory in seawater collected at the site and were used in settlement studies and for biofilm sequencing </w:t>
      </w:r>
      <w:r>
        <w:fldChar w:fldCharType="begin" w:fldLock="1"/>
      </w:r>
      <w:r w:rsidR="00B02F06">
        <w:instrText>ADDIN CSL_CITATION {"citationItems":[{"id":"ITEM-1","itemData":{"DOI":"10.1093/femsle/fnx139","ISBN":"0000000216609","ISSN":"15746968","abstract":"Tom Grys‏ @GrysClinMicro  Jun 30\\r\\nMore\\r\\nTom Grys Retweeted Cameron Thrash\\r\\nWe need more studies like this. A reminder to do the work before the work to understand your system.\\r\\n\\r\\n\\r\\nHigh-throughput DNA sequencing technologies are increasingly used for the metagenomic characterization of microbial biodiversity. However, basic issues, such as the choice of an appropriate DNA extraction method, are still not resolved for non-model microbial communities. This study evaluates four commonly used DNA extraction methods for marine periphyton biofilms in terms of DNA yield, efficiency, purity, integrity and resulting 16S rRNA bacterial diversity. Among the tested methods, the Plant DNAzol® Reagent (PlantDNAzol) and the Fast DNATM SPIN Kit for Soil (FastDNA Soil) methods were best suited to extract high quantities of DNA (77 - 130 μg g wet wt−1). Lower amounts of DNA were obtained (&lt; 37 μg g wet wt−1) with the Power Plant® Pro DNA Isolation Kit (PowerPlant) and the Power Biofilm® DNA Isolation Kit (PowerBiofilm) methods, but integrity and purity of the extracted DNA were higher. Results from 16S rRNA amplicon sequencing demonstrate that the choice of a DNA extraction method significantly influences the bacterial community profiles generated. A higher number of bacterial OTUs were detected when DNA was extracted with the PowerBiofilm and the PlantDNAzol methods. Overall, this study demonstrates the potential bias in metagenomic diversity estimates associated with different DNA extraction methods.\\r\\n","author":[{"dropping-particle":"","family":"Corcoll","given":"Natàlia","non-dropping-particle":"","parse-names":false,"suffix":""},{"dropping-particle":"","family":"Österlund","given":"Tobias","non-dropping-particle":"","parse-names":false,"suffix":""},{"dropping-particle":"","family":"Sinclair","given":"Lucas","non-dropping-particle":"","parse-names":false,"suffix":""},{"dropping-particle":"","family":"Eiler","given":"Alexander","non-dropping-particle":"","parse-names":false,"suffix":""},{"dropping-particle":"","family":"Kristiansson","given":"Erik","non-dropping-particle":"","parse-names":false,"suffix":""},{"dropping-particle":"","family":"Backhaus","given":"Thomas","non-dropping-particle":"","parse-names":false,"suffix":""},{"dropping-particle":"","family":"Martin Eriksson","given":"K.","non-dropping-particle":"","parse-names":false,"suffix":""}],"container-title":"FEMS Microbiology Letters","id":"ITEM-1","issue":"14","issued":{"date-parts":[["2017"]]},"page":"1-9","title":"Comparison of four DNA extraction methods for comprehensive assessment of 16S rRNA bacterial diversity in marine biofilms using high-throughput sequencing","type":"article-journal","volume":"364"},"uris":["http://www.mendeley.com/documents/?uuid=c3e4fe8e-a9a8-4aae-9ff7-a938c330ebca"]}],"mendeley":{"formattedCitation":"(Corcoll et al., 2017)","plainTextFormattedCitation":"(Corcoll et al., 2017)","previouslyFormattedCitation":"(Corcoll et al. 2017)"},"properties":{"noteIndex":0},"schema":"https://github.com/citation-style-language/schema/raw/master/csl-citation.json"}</w:instrText>
      </w:r>
      <w:r>
        <w:fldChar w:fldCharType="separate"/>
      </w:r>
      <w:r w:rsidR="00B02F06" w:rsidRPr="00B02F06">
        <w:rPr>
          <w:noProof/>
        </w:rPr>
        <w:t>(Corcoll et al., 2017)</w:t>
      </w:r>
      <w:r>
        <w:fldChar w:fldCharType="end"/>
      </w:r>
      <w:r>
        <w:t xml:space="preserve">. To obtain mechanical stimuli, petri-dishes were scratched by </w:t>
      </w:r>
      <w:r>
        <w:lastRenderedPageBreak/>
        <w:t xml:space="preserve">36-Grit Ceramic Alumina Sandpaper </w:t>
      </w:r>
      <w:r w:rsidRPr="002F7C52">
        <w:t>(Lowes</w:t>
      </w:r>
      <w:r>
        <w:t>;</w:t>
      </w:r>
      <w:r w:rsidRPr="002F7C52">
        <w:t xml:space="preserve"> Model #: 9150-052) </w:t>
      </w:r>
      <w:r w:rsidRPr="00294CAE">
        <w:t>in a circular motion on the outer part of the dish, then with three scratches, non-overlapping, going from one side to the other in the center of the dish to ensure full coverage</w:t>
      </w:r>
      <w:r>
        <w:t xml:space="preserve">. Dishes were then rinsed twice, once with DI water to remove any plastic shavings, and then a second time with sea water immediately prior of use in a replicate to ensure removal of plastic shavings. </w:t>
      </w:r>
    </w:p>
    <w:p w14:paraId="063D53EB" w14:textId="77777777" w:rsidR="00087B19" w:rsidRDefault="00087B19" w:rsidP="00D46E28">
      <w:pPr>
        <w:spacing w:line="480" w:lineRule="auto"/>
        <w:jc w:val="both"/>
        <w:rPr>
          <w:b/>
          <w:bCs/>
        </w:rPr>
      </w:pPr>
    </w:p>
    <w:p w14:paraId="79C90A0D" w14:textId="77777777" w:rsidR="00087B19" w:rsidRPr="008D441A" w:rsidRDefault="00087B19" w:rsidP="00D46E28">
      <w:pPr>
        <w:spacing w:line="480" w:lineRule="auto"/>
        <w:jc w:val="both"/>
        <w:rPr>
          <w:b/>
          <w:bCs/>
        </w:rPr>
      </w:pPr>
      <w:r>
        <w:rPr>
          <w:b/>
          <w:bCs/>
        </w:rPr>
        <w:t>Larval S</w:t>
      </w:r>
      <w:r w:rsidRPr="008D441A">
        <w:rPr>
          <w:b/>
          <w:bCs/>
        </w:rPr>
        <w:t xml:space="preserve">ettlement </w:t>
      </w:r>
      <w:r>
        <w:rPr>
          <w:b/>
          <w:bCs/>
        </w:rPr>
        <w:t>S</w:t>
      </w:r>
      <w:r w:rsidRPr="008D441A">
        <w:rPr>
          <w:b/>
          <w:bCs/>
        </w:rPr>
        <w:t>tudy</w:t>
      </w:r>
    </w:p>
    <w:p w14:paraId="309390F4" w14:textId="472995FB" w:rsidR="00087B19" w:rsidRDefault="00087B19" w:rsidP="00D46E28">
      <w:pPr>
        <w:spacing w:line="480" w:lineRule="auto"/>
        <w:jc w:val="both"/>
      </w:pPr>
      <w:r>
        <w:t xml:space="preserve">Larva were obtained by collecting adult </w:t>
      </w:r>
      <w:r w:rsidRPr="002A2ED9">
        <w:rPr>
          <w:i/>
          <w:iCs/>
        </w:rPr>
        <w:t xml:space="preserve">E. crocea </w:t>
      </w:r>
      <w:r>
        <w:t xml:space="preserve">colonies at the UNH CML pier in New Castle, NH in </w:t>
      </w:r>
      <w:proofErr w:type="gramStart"/>
      <w:r>
        <w:t>June</w:t>
      </w:r>
      <w:proofErr w:type="gramEnd"/>
      <w:r>
        <w:t xml:space="preserve"> and July 2020. Colonies were cultured and maintained according to </w:t>
      </w:r>
      <w:r>
        <w:fldChar w:fldCharType="begin" w:fldLock="1"/>
      </w:r>
      <w:r w:rsidR="00B02F06">
        <w:instrText>ADDIN CSL_CITATION {"citationItems":[{"id":"ITEM-1","itemData":{"author":[{"dropping-particle":"","family":"Mackie","given":"G. O.","non-dropping-particle":"","parse-names":false,"suffix":""}],"container-title":"The Cnidaria and their Evolution","id":"ITEM-1","issued":{"date-parts":[["1966"]]},"page":"397-412","title":"Growth of the hydroid Tubularia in culture","type":"chapter"},"uris":["http://www.mendeley.com/documents/?uuid=c0f4037a-1d2a-469d-8573-4d76e192b508"]}],"mendeley":{"formattedCitation":"(Mackie, 1966)","manualFormatting":"Mackie (1966)","plainTextFormattedCitation":"(Mackie, 1966)","previouslyFormattedCitation":"(Mackie 1966)"},"properties":{"noteIndex":0},"schema":"https://github.com/citation-style-language/schema/raw/master/csl-citation.json"}</w:instrText>
      </w:r>
      <w:r>
        <w:fldChar w:fldCharType="separate"/>
      </w:r>
      <w:r w:rsidRPr="002F7C52">
        <w:rPr>
          <w:noProof/>
        </w:rPr>
        <w:t xml:space="preserve">Mackie </w:t>
      </w:r>
      <w:r>
        <w:rPr>
          <w:noProof/>
        </w:rPr>
        <w:t>(</w:t>
      </w:r>
      <w:r w:rsidRPr="002F7C52">
        <w:rPr>
          <w:noProof/>
        </w:rPr>
        <w:t>1966)</w:t>
      </w:r>
      <w:r>
        <w:fldChar w:fldCharType="end"/>
      </w:r>
      <w:r>
        <w:t xml:space="preserve"> as described above. Colonies of </w:t>
      </w:r>
      <w:r w:rsidRPr="002A2ED9">
        <w:rPr>
          <w:i/>
          <w:iCs/>
        </w:rPr>
        <w:t>E. crocea</w:t>
      </w:r>
      <w:r>
        <w:t xml:space="preserve"> were undisturbed overnight (12-15 hours) to allow spawning and actinula release. The following day, larvae at the actinula stage were collected and placed in 100mm x 15mm plastic petri </w:t>
      </w:r>
      <w:r w:rsidRPr="005338EB">
        <w:t>dish</w:t>
      </w:r>
      <w:r>
        <w:t>es</w:t>
      </w:r>
      <w:r w:rsidRPr="005338EB">
        <w:t xml:space="preserve"> (</w:t>
      </w:r>
      <w:proofErr w:type="spellStart"/>
      <w:r w:rsidRPr="005338EB">
        <w:t>Thermo</w:t>
      </w:r>
      <w:proofErr w:type="spellEnd"/>
      <w:r w:rsidRPr="005338EB">
        <w:t xml:space="preserve"> Scientific</w:t>
      </w:r>
      <w:r>
        <w:t xml:space="preserve">) where each petri dish contained 10 larvae and the dish treatments corresponded to the predetermined randomized dish conditions for the 28 experimental treatments. Larvae were identified under a microscope following </w:t>
      </w:r>
      <w:r>
        <w:fldChar w:fldCharType="begin" w:fldLock="1"/>
      </w:r>
      <w:r w:rsidR="00B02F06">
        <w:instrText>ADDIN CSL_CITATION {"citationItems":[{"id":"ITEM-1","itemData":{"author":[{"dropping-particle":"","family":"Yamashita","given":"Keiji","non-dropping-particle":"","parse-names":false,"suffix":""}],"container-title":"Biological Bulletin","id":"ITEM-1","issued":{"date-parts":[["2003"]]},"page":"256-269","title":"Larval Behavioral, Morphological Changes, and Nematocyte Dynamics During Settlement of Actinulae of Tubularia mesembryanthemum, Allman 1871 (Hydrozoa: Tubulariidae)","type":"article-journal","volume":"204"},"uris":["http://www.mendeley.com/documents/?uuid=f20a1cce-5224-449d-9ce6-230c4676dcc6"]}],"mendeley":{"formattedCitation":"(Yamashita, 2003)","manualFormatting":"Yamashita et al. (2003)","plainTextFormattedCitation":"(Yamashita, 2003)","previouslyFormattedCitation":"(Yamashita 2003)"},"properties":{"noteIndex":0},"schema":"https://github.com/citation-style-language/schema/raw/master/csl-citation.json"}</w:instrText>
      </w:r>
      <w:r>
        <w:fldChar w:fldCharType="separate"/>
      </w:r>
      <w:r w:rsidRPr="00424054">
        <w:rPr>
          <w:noProof/>
        </w:rPr>
        <w:t>Yamashita</w:t>
      </w:r>
      <w:r>
        <w:rPr>
          <w:noProof/>
        </w:rPr>
        <w:t xml:space="preserve"> et al.</w:t>
      </w:r>
      <w:r w:rsidRPr="00424054">
        <w:rPr>
          <w:noProof/>
        </w:rPr>
        <w:t xml:space="preserve"> </w:t>
      </w:r>
      <w:r>
        <w:rPr>
          <w:noProof/>
        </w:rPr>
        <w:t>(</w:t>
      </w:r>
      <w:r w:rsidRPr="00424054">
        <w:rPr>
          <w:noProof/>
        </w:rPr>
        <w:t>2003)</w:t>
      </w:r>
      <w:r>
        <w:fldChar w:fldCharType="end"/>
      </w:r>
      <w:r>
        <w:t xml:space="preserve"> where we sought out young actinula with stiff tentacles, small and circular bodies, and short aboral poles. </w:t>
      </w:r>
    </w:p>
    <w:p w14:paraId="282CC0C7" w14:textId="77777777" w:rsidR="00087B19" w:rsidRDefault="00087B19" w:rsidP="00D46E28">
      <w:pPr>
        <w:spacing w:line="480" w:lineRule="auto"/>
        <w:jc w:val="both"/>
      </w:pPr>
    </w:p>
    <w:p w14:paraId="57EC477E" w14:textId="77777777" w:rsidR="00087B19" w:rsidRDefault="00087B19" w:rsidP="00D46E28">
      <w:pPr>
        <w:spacing w:line="480" w:lineRule="auto"/>
        <w:jc w:val="both"/>
      </w:pPr>
      <w:r>
        <w:t>One block (replicate) of all 28 treatment conditions began once larvae were collected at the actinula stage where start times were staggered by chamber which had four petri dishes with a total of 40 larvae. Dishes from the four chemical and mechanical treatment conditions were placed at the appropriate positions and</w:t>
      </w:r>
      <w:r w:rsidRPr="003912DA">
        <w:t xml:space="preserve"> </w:t>
      </w:r>
      <w:r>
        <w:t xml:space="preserve">wavelength and light intensity were adjusted according to the predetermined randomized treatment conditions per chamber. Metamorphic stages were </w:t>
      </w:r>
      <w:r>
        <w:lastRenderedPageBreak/>
        <w:t>recorded at the following time points: 0 hours (</w:t>
      </w:r>
      <w:proofErr w:type="spellStart"/>
      <w:r>
        <w:t>hrs</w:t>
      </w:r>
      <w:proofErr w:type="spellEnd"/>
      <w:r>
        <w:t xml:space="preserve">), 2hrs, 4hrs, 6hrs, 8hrs, 12hrs, and 24hrs. At each time point, dishes were taken out of the light box and placed under a microscope where each individual larva was observed and quantified based on their metamorphic stage (detailed below). Immediately following quantification, the replicate dish was placed back into the light box until the next time point for quantification, this procedure was performed for each of the 28 dishes at each time point. </w:t>
      </w:r>
    </w:p>
    <w:p w14:paraId="1E7F8544" w14:textId="77777777" w:rsidR="00087B19" w:rsidRDefault="00087B19" w:rsidP="00D46E28">
      <w:pPr>
        <w:spacing w:line="480" w:lineRule="auto"/>
        <w:jc w:val="both"/>
      </w:pPr>
    </w:p>
    <w:p w14:paraId="2D86B51D" w14:textId="69A75603" w:rsidR="00087B19" w:rsidRDefault="00087B19" w:rsidP="005C756E">
      <w:pPr>
        <w:spacing w:line="480" w:lineRule="auto"/>
        <w:jc w:val="both"/>
      </w:pPr>
      <w:r>
        <w:t xml:space="preserve">Larval quantification was assessed on a presence/absence metamorphosis scale with three levels. </w:t>
      </w:r>
      <w:proofErr w:type="gramStart"/>
      <w:r>
        <w:t>A 0 signified larvae</w:t>
      </w:r>
      <w:proofErr w:type="gramEnd"/>
      <w:r>
        <w:t xml:space="preserve"> were still in the actinula phase and had not metamorphosed or settled, a 1 indicated that larvae had settled (attached to the substrate but had not completed metamorphosis), and a 2 signified that larvae had completed metamorphosis into a juvenile polyp. At each time point, we counted and recorded the total number of larvae for each condition under the scale. From this information, we then calculated the area under the curve using the settlement percentages at each time point, which combined the number of settled and metamorphosed larvae (# of Settled + # of Metamorphosed/total # of larvae in dish). The following equation was used to calculate the area under the curve (AUC) which was used as the response variable in statistical analyses </w:t>
      </w:r>
      <w:r>
        <w:fldChar w:fldCharType="begin" w:fldLock="1"/>
      </w:r>
      <w:r w:rsidR="00B02F06">
        <w:instrText>ADDIN CSL_CITATION {"citationItems":[{"id":"ITEM-1","itemData":{"DOI":"10.1094/phyto-67-1051","ISSN":"0031949X","abstract":"SHANER, G., and R. E. FINNEY. 1977. The effect of nitrogen fertilization on the expression of slow-mildewing resistance in Knox wheat. Phytopathology 67: 1051-1056. Powdery mildew development on the slow-mildewing conditions disease severity increased greatly on Vermillion wheat cultivar Knox was compared to that on the susceptible but increased little on Knox. The area under the disease cultivar Vermillion over a period of 4 yr in the field at progress curve had a lower error variance than statistics Lafayette, Indiana. Cultivars received three levels of nitrogen associated with the logit transformation of severity data and fertilizer to determine if high levels of N affected the hence was a superior measurement of slow-mildewing. Slow-expression of slow-mildewing in Knox wheat. Knox's mildewing remains effective under the highest rates of resistance was evident under conditions favoring moderate to nitrogen fertilization likely to be applied to wheat. In severe disease on Vermillion. Under low nitrogen fertility or breeding for slow-mildewing, high rates of N provide optimal unfavorable weather there was little difference in level of conditions for recognition of this resistance. mildew on the two cultivars; under more favorable Additional key words: Erysiphe graminis, Triticum aestivum, epidemiology, general resistance, breeding for disease resistance, nitrogen fertilization effects.","author":[{"dropping-particle":"","family":"Shaner","given":"Gregory","non-dropping-particle":"","parse-names":false,"suffix":""}],"container-title":"Phytopathology","id":"ITEM-1","issue":"8","issued":{"date-parts":[["1977"]]},"page":"1051","title":"The Effect of Nitrogen Fertilization on the Expression of Slow-Mildewing Resistance in Knox Wheat","type":"article-journal","volume":"77"},"uris":["http://www.mendeley.com/documents/?uuid=bf1ed965-3fbd-4068-8abc-0b8e540845e2"]},{"id":"ITEM-2","itemData":{"DOI":"10.9734/ajea/2014/3756","abstract":"Aim: To evaluate and identify the most suitable parameter for easy and quick recognisation of rice genotypes possessing partial resistance to rice blast disease. Experimental Design: The tested varieties were grown in one meter long single-row plots surrounded by the blast susceptible spreader rows of Karuna, with a spacing of 10 x 5 cm in a Uniform Blast Nursery pattern. The experiment was conducted in a randomized complete block design with three replications. Place and Duration of Study: The experiments were conducted at the Central Rice Research Institute farm, Cuttack, continuously for nine seasons from 1998 to 2001. Methodology: The disease severity was recorded at every alternate day intervals from disease initiation till end of epidemic. The disease scores were subjected to estimation of 12 parameters for evaluation of resistance. The data on 12 parameters for 42 rice genotypes tested across nine seasons were subjected to principal component analysis, in order to classify and ordinate the response of the genotypes and determine the relative Research Article American Journal of Experimental Agriculture, 4(1): 58-79, 2014 59 importance of parameters. Results: The cluster analysis classified the 42 genotypes into 4 groups of A&amp;B as susceptible and C&amp;D as partial resistant (PR) clusters, during each season of study. The PR genotype groups were characterized by lower estimates of Final disease severity(FDS), Mean disease severity(MDS), Area under disease progress curve(AUDPC), Relative AUDPC(RAUDPC), logistic infection rate(r), Gompertz infection rate(k), genotype score on first(PC-1) and second(PC-2) principal components, logit line intercept(logit-a), Gompit line intercept(gompit-a), and higher estimates of days to reach 50% severity in logistic model(T 50r) and Gompertz model(T 50k).Ordination of genotypes onto the PC-1 &amp; PC-2 planes recognized 19 genotypes in group C and 12 genotypes in group D as PR, while rest of the 11 genotypes in cluster-A &amp; B were susceptible. The relative importance of the parameters analyzed by factor analysis revealed that FDS, MDS, AUDPC, RAUDPC, r, k and PC-1 were the top ranking parameters with highly significant correlation among them. Conclusion: One can choose any of the above seven top ranking parameters for easy identification of PR genotypes, depending upon the available resources for computation. Among the 42 rice genotypes, 12 in cluster-D and 19 in cluster-C were identified as possessing partial resistance. T…","author":[{"dropping-particle":"","family":"Mohapatra","given":"N.","non-dropping-particle":"","parse-names":false,"suffix":""},{"dropping-particle":"","family":"Mukherjee","given":"A.","non-dropping-particle":"","parse-names":false,"suffix":""},{"dropping-particle":"","family":"Suriya Rao","given":"A.","non-dropping-particle":"","parse-names":false,"suffix":""},{"dropping-particle":"","family":"Jambhulkar","given":"N.","non-dropping-particle":"","parse-names":false,"suffix":""},{"dropping-particle":"","family":"Nayak","given":"P.","non-dropping-particle":"","parse-names":false,"suffix":""}],"container-title":"American Journal of Experimental Agriculture","id":"ITEM-2","issue":"1","issued":{"date-parts":[["2014"]]},"page":"58-79","title":"Comparison of Different Parameters for Evaluation of Partial Resistance to Rice Blast Disease","type":"article-journal","volume":"4"},"uris":["http://www.mendeley.com/documents/?uuid=2c97295d-93e8-4c3c-87fe-5842e2ef830e"]}],"mendeley":{"formattedCitation":"(Mohapatra, Mukherjee, Suriya Rao, Jambhulkar, &amp; Nayak, 2014; Shaner, 1977)","manualFormatting":"(Mohapatra et al, 2014; Shaner, 1977)","plainTextFormattedCitation":"(Mohapatra, Mukherjee, Suriya Rao, Jambhulkar, &amp; Nayak, 2014; Shaner, 1977)","previouslyFormattedCitation":"(Shaner 1977; Mohapatra et al. 2014)"},"properties":{"noteIndex":0},"schema":"https://github.com/citation-style-language/schema/raw/master/csl-citation.json"}</w:instrText>
      </w:r>
      <w:r>
        <w:fldChar w:fldCharType="separate"/>
      </w:r>
      <w:r w:rsidRPr="00B52520">
        <w:rPr>
          <w:noProof/>
        </w:rPr>
        <w:t>(Mohapatra</w:t>
      </w:r>
      <w:r>
        <w:rPr>
          <w:noProof/>
        </w:rPr>
        <w:t xml:space="preserve"> et al,</w:t>
      </w:r>
      <w:r w:rsidRPr="00B52520">
        <w:rPr>
          <w:noProof/>
        </w:rPr>
        <w:t xml:space="preserve"> 2014; Shaner, 1977)</w:t>
      </w:r>
      <w:r>
        <w:fldChar w:fldCharType="end"/>
      </w:r>
      <w:r>
        <w:t>:</w:t>
      </w:r>
    </w:p>
    <w:p w14:paraId="386B3B3C" w14:textId="517CB0A4" w:rsidR="00087B19" w:rsidRPr="005C756E" w:rsidRDefault="00087B19" w:rsidP="005C756E">
      <w:pPr>
        <w:spacing w:line="480" w:lineRule="auto"/>
        <w:jc w:val="center"/>
        <w:rPr>
          <w:rFonts w:eastAsiaTheme="minorEastAsia"/>
        </w:rPr>
      </w:pPr>
      <w:r>
        <w:t xml:space="preserve">AUC = </w:t>
      </w:r>
      <m:oMath>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d>
              <m:dPr>
                <m:beg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i+1</m:t>
                    </m:r>
                  </m:sub>
                </m:sSub>
              </m:e>
            </m:d>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e>
        </m:nary>
      </m:oMath>
    </w:p>
    <w:p w14:paraId="04CC2C0A" w14:textId="77777777" w:rsidR="00087B19" w:rsidRDefault="00087B19" w:rsidP="00D46E28">
      <w:pPr>
        <w:spacing w:line="480" w:lineRule="auto"/>
        <w:jc w:val="both"/>
      </w:pPr>
      <w:r>
        <w:t xml:space="preserve">Where </w:t>
      </w:r>
      <w:proofErr w:type="spellStart"/>
      <w:r w:rsidRPr="00B52520">
        <w:rPr>
          <w:i/>
          <w:iCs/>
        </w:rPr>
        <w:t>y</w:t>
      </w:r>
      <w:r w:rsidRPr="00B52520">
        <w:rPr>
          <w:i/>
          <w:iCs/>
          <w:vertAlign w:val="subscript"/>
        </w:rPr>
        <w:t>i</w:t>
      </w:r>
      <w:proofErr w:type="spellEnd"/>
      <w:r>
        <w:t xml:space="preserve"> is the proportion of settled and metamorphosed larvae at the </w:t>
      </w:r>
      <w:proofErr w:type="spellStart"/>
      <w:r w:rsidRPr="00B52520">
        <w:rPr>
          <w:i/>
          <w:iCs/>
        </w:rPr>
        <w:t>i</w:t>
      </w:r>
      <w:r w:rsidRPr="00B52520">
        <w:rPr>
          <w:vertAlign w:val="superscript"/>
        </w:rPr>
        <w:t>th</w:t>
      </w:r>
      <w:proofErr w:type="spellEnd"/>
      <w:r>
        <w:t xml:space="preserve"> time point; </w:t>
      </w:r>
      <w:proofErr w:type="spellStart"/>
      <w:r w:rsidRPr="00B52520">
        <w:rPr>
          <w:i/>
          <w:iCs/>
        </w:rPr>
        <w:t>t</w:t>
      </w:r>
      <w:r w:rsidRPr="00B52520">
        <w:rPr>
          <w:i/>
          <w:iCs/>
          <w:vertAlign w:val="subscript"/>
        </w:rPr>
        <w:t>i</w:t>
      </w:r>
      <w:proofErr w:type="spellEnd"/>
      <w:r>
        <w:t xml:space="preserve"> is the timepoint in hours where larvae were observed, and </w:t>
      </w:r>
      <w:r w:rsidRPr="00B52520">
        <w:rPr>
          <w:i/>
          <w:iCs/>
        </w:rPr>
        <w:t>n</w:t>
      </w:r>
      <w:r>
        <w:t xml:space="preserve"> is the total number of observations per petri-dish in a replicate. Normally distributed data were compared statistically by a split-plot </w:t>
      </w:r>
      <w:r>
        <w:lastRenderedPageBreak/>
        <w:t xml:space="preserve">RCBD three-way analysis of variance (ANOVA) and with orthogonal contrasts in the R environment. </w:t>
      </w:r>
    </w:p>
    <w:p w14:paraId="27C23ACD" w14:textId="77777777" w:rsidR="00087B19" w:rsidRPr="0070621E" w:rsidRDefault="00087B19" w:rsidP="00D46E28">
      <w:pPr>
        <w:spacing w:line="480" w:lineRule="auto"/>
        <w:jc w:val="both"/>
      </w:pPr>
    </w:p>
    <w:p w14:paraId="615682AB" w14:textId="77777777" w:rsidR="00087B19" w:rsidRPr="008D441A" w:rsidRDefault="00087B19" w:rsidP="00D46E28">
      <w:pPr>
        <w:spacing w:line="480" w:lineRule="auto"/>
        <w:jc w:val="both"/>
        <w:rPr>
          <w:b/>
          <w:bCs/>
        </w:rPr>
      </w:pPr>
      <w:r w:rsidRPr="008D441A">
        <w:rPr>
          <w:b/>
          <w:bCs/>
        </w:rPr>
        <w:t>Library preparation, sequencing and read processing</w:t>
      </w:r>
    </w:p>
    <w:p w14:paraId="4EDFBCCD" w14:textId="6370225B" w:rsidR="00087B19" w:rsidRDefault="00087B19" w:rsidP="00D46E28">
      <w:pPr>
        <w:spacing w:line="480" w:lineRule="auto"/>
        <w:jc w:val="both"/>
      </w:pPr>
      <w:r>
        <w:t xml:space="preserve">Colonies of </w:t>
      </w:r>
      <w:r w:rsidRPr="002A2ED9">
        <w:rPr>
          <w:i/>
          <w:iCs/>
        </w:rPr>
        <w:t xml:space="preserve">E. crocea </w:t>
      </w:r>
      <w:r>
        <w:t xml:space="preserve">were collected at the UNH CML pier in May and June 2019. Colonies were maintained and larva were obtained as previously mentioned above. We collected six replicates of the six developmental stages: embryos, pre-actinula, actinula (younger), settling actinula (older), settled actinula, and metamorphosed juvenile polyps  </w:t>
      </w:r>
      <w:r>
        <w:fldChar w:fldCharType="begin" w:fldLock="1"/>
      </w:r>
      <w:r w:rsidR="00B02F06">
        <w:instrText>ADDIN CSL_CITATION {"citationItems":[{"id":"ITEM-1","itemData":{"author":[{"dropping-particle":"","family":"Yamashita","given":"Keiji","non-dropping-particle":"","parse-names":false,"suffix":""}],"container-title":"Biological Bulletin","id":"ITEM-1","issued":{"date-parts":[["2003"]]},"page":"256-269","title":"Larval Behavioral, Morphological Changes, and Nematocyte Dynamics During Settlement of Actinulae of Tubularia mesembryanthemum, Allman 1871 (Hydrozoa: Tubulariidae)","type":"article-journal","volume":"204"},"uris":["http://www.mendeley.com/documents/?uuid=f20a1cce-5224-449d-9ce6-230c4676dcc6"]}],"mendeley":{"formattedCitation":"(Yamashita, 2003)","plainTextFormattedCitation":"(Yamashita, 2003)","previouslyFormattedCitation":"(Yamashita 2003)"},"properties":{"noteIndex":0},"schema":"https://github.com/citation-style-language/schema/raw/master/csl-citation.json"}</w:instrText>
      </w:r>
      <w:r>
        <w:fldChar w:fldCharType="separate"/>
      </w:r>
      <w:r w:rsidR="00B02F06" w:rsidRPr="00B02F06">
        <w:rPr>
          <w:noProof/>
        </w:rPr>
        <w:t>(Yamashita, 2003)</w:t>
      </w:r>
      <w:r>
        <w:fldChar w:fldCharType="end"/>
      </w:r>
      <w:r>
        <w:t xml:space="preserve">, where each stage had a total of 125 larva collected. Samples were stored in </w:t>
      </w:r>
      <w:proofErr w:type="spellStart"/>
      <w:r>
        <w:t>RNA</w:t>
      </w:r>
      <w:r w:rsidRPr="00425C4B">
        <w:rPr>
          <w:i/>
          <w:iCs/>
        </w:rPr>
        <w:t>later</w:t>
      </w:r>
      <w:proofErr w:type="spellEnd"/>
      <w:r>
        <w:t xml:space="preserve"> (</w:t>
      </w:r>
      <w:proofErr w:type="spellStart"/>
      <w:r>
        <w:t>Thermo</w:t>
      </w:r>
      <w:proofErr w:type="spellEnd"/>
      <w:r>
        <w:t xml:space="preserve"> Fisher Scientific) in -20</w:t>
      </w:r>
      <w:r>
        <w:rPr>
          <w:rFonts w:ascii="Calibri" w:hAnsi="Calibri" w:cs="Calibri"/>
        </w:rPr>
        <w:t>°</w:t>
      </w:r>
      <w:r>
        <w:t xml:space="preserve">C until total RNA was extracted using the </w:t>
      </w:r>
      <w:proofErr w:type="spellStart"/>
      <w:r>
        <w:t>PureLink</w:t>
      </w:r>
      <w:proofErr w:type="spellEnd"/>
      <w:r>
        <w:t xml:space="preserve"> RNA Mini Kit (</w:t>
      </w:r>
      <w:proofErr w:type="spellStart"/>
      <w:r>
        <w:t>Thermo</w:t>
      </w:r>
      <w:proofErr w:type="spellEnd"/>
      <w:r>
        <w:t xml:space="preserve"> Fisher Scientific; Cat no. 12183018A) according to the manufacturer’s instructions and quantified using </w:t>
      </w:r>
      <w:proofErr w:type="spellStart"/>
      <w:r>
        <w:t>NanoDrop</w:t>
      </w:r>
      <w:proofErr w:type="spellEnd"/>
      <w:r>
        <w:t xml:space="preserve"> (</w:t>
      </w:r>
      <w:proofErr w:type="spellStart"/>
      <w:r>
        <w:t>Thermo</w:t>
      </w:r>
      <w:proofErr w:type="spellEnd"/>
      <w:r>
        <w:t xml:space="preserve"> Scientific). Libraries were created using 1000ng of total RNA with the </w:t>
      </w:r>
      <w:proofErr w:type="spellStart"/>
      <w:r w:rsidRPr="00CB48CB">
        <w:t>NEBNext</w:t>
      </w:r>
      <w:proofErr w:type="spellEnd"/>
      <w:r w:rsidRPr="00CB48CB">
        <w:t xml:space="preserve"> Ultra 2 Directional RNA Library Kit </w:t>
      </w:r>
      <w:r>
        <w:t xml:space="preserve">following the Poly(A) mRNA Magnetic Isolation module (NEB #E7490). </w:t>
      </w:r>
      <w:r w:rsidRPr="00425C4B">
        <w:t xml:space="preserve">Libraries were sent to </w:t>
      </w:r>
      <w:proofErr w:type="spellStart"/>
      <w:r w:rsidRPr="00425C4B">
        <w:t>Novogene</w:t>
      </w:r>
      <w:proofErr w:type="spellEnd"/>
      <w:r w:rsidRPr="00425C4B">
        <w:t xml:space="preserve"> for Illumina Hi-Seq.</w:t>
      </w:r>
      <w:r>
        <w:t xml:space="preserve"> After sequencing, reads </w:t>
      </w:r>
      <w:r w:rsidR="00D40BEE">
        <w:t xml:space="preserve">(Accession: PRJNA929505) </w:t>
      </w:r>
      <w:r>
        <w:t xml:space="preserve">were processed using custom python scripts </w:t>
      </w:r>
      <w:r w:rsidR="00D40BEE">
        <w:t>that</w:t>
      </w:r>
      <w:r>
        <w:t xml:space="preserve"> executed </w:t>
      </w:r>
      <w:proofErr w:type="spellStart"/>
      <w:r>
        <w:t>FastQC</w:t>
      </w:r>
      <w:proofErr w:type="spellEnd"/>
      <w:r>
        <w:t xml:space="preserve"> and selected the highest quality replicate for each of the 6 stages. It then concatenated the highest quality replicate for each of the 6 stages to generate representative R1 and R2 read files to be used in </w:t>
      </w:r>
      <w:r w:rsidRPr="00CB48CB">
        <w:rPr>
          <w:i/>
          <w:iCs/>
        </w:rPr>
        <w:t>de novo</w:t>
      </w:r>
      <w:r>
        <w:t xml:space="preserve"> transcriptome assembly. The Oyster River Protocol (ORP) was used as the assembler which performs read trimming, read normalization, read error correction, and generates an assembly using a multi-</w:t>
      </w:r>
      <w:proofErr w:type="spellStart"/>
      <w:r>
        <w:t>kmer</w:t>
      </w:r>
      <w:proofErr w:type="spellEnd"/>
      <w:r>
        <w:t xml:space="preserve"> and multi-assembler approach and then merges those assemblies into one final high-quality assembly </w:t>
      </w:r>
      <w:r>
        <w:fldChar w:fldCharType="begin" w:fldLock="1"/>
      </w:r>
      <w:r w:rsidR="00B02F06">
        <w:instrText>ADDIN CSL_CITATION {"citationItems":[{"id":"ITEM-1","itemData":{"DOI":"10.7717/peerj.5428","abstract":" Characterizing transcriptomes in non-model organisms has resulted in a massive increase in our understanding of biological phenomena. This boon, largely made possible via high-throughput sequencing, means that studies of functional, evolutionary, and population genomics are now being done by hundreds or even thousands of labs around the world. For many, these studies begin with a de novo transcriptome assembly, which is a technically complicated process involving several discrete steps. The Oyster River Protocol (ORP), described here, implements a standardized and benchmarked set of bioinformatic processes, resulting in an assembly with enhanced qualities over other standard assembly methods. Specifically, ORP produced assemblies have higher Detonate and TransRate scores and mapping rates, which is largely a product of the fact that it leverages a multi-assembler and kmer assembly process, thereby bypassing the shortcomings of any one approach. These improvements are important, as previously unassembled transcripts are included in ORP assemblies, resulting in a significant enhancement of the power of downstream analysis. Further, as part of this study, I show that assembly quality is unrelated with the number of reads generated, above 30 million reads. Code Availability: The version controlled open-source code is available at https://github.com/macmanes-lab/Oyster_River_Protocol . Instructions for software installation and use, and other details are available at http://oyster-river-protocol.rtfd.org/ . ","author":[{"dropping-particle":"","family":"MacManes","given":"Matthew D.","non-dropping-particle":"","parse-names":false,"suffix":""}],"container-title":"PeerJ","id":"ITEM-1","issued":{"date-parts":[["2018"]]},"page":"e5428","title":"The Oyster River Protocol: a multi-assembler and kmer approach for de novo transcriptome assembly","type":"article-journal","volume":"6"},"uris":["http://www.mendeley.com/documents/?uuid=1120638e-1561-4bfc-885e-c4dd64c59a26"]}],"mendeley":{"formattedCitation":"(MacManes, 2018)","plainTextFormattedCitation":"(MacManes, 2018)","previouslyFormattedCitation":"(MacManes 2018)"},"properties":{"noteIndex":0},"schema":"https://github.com/citation-style-language/schema/raw/master/csl-citation.json"}</w:instrText>
      </w:r>
      <w:r>
        <w:fldChar w:fldCharType="separate"/>
      </w:r>
      <w:r w:rsidR="00B02F06" w:rsidRPr="00B02F06">
        <w:rPr>
          <w:noProof/>
        </w:rPr>
        <w:t>(MacManes, 2018)</w:t>
      </w:r>
      <w:r>
        <w:fldChar w:fldCharType="end"/>
      </w:r>
      <w:r>
        <w:t xml:space="preserve">. The ORP also produced quality metrics from </w:t>
      </w:r>
      <w:proofErr w:type="spellStart"/>
      <w:r>
        <w:t>TransRate</w:t>
      </w:r>
      <w:proofErr w:type="spellEnd"/>
      <w:r>
        <w:t xml:space="preserve"> and BUSCO. </w:t>
      </w:r>
    </w:p>
    <w:p w14:paraId="785AE6C7" w14:textId="77777777" w:rsidR="00087B19" w:rsidRDefault="00087B19" w:rsidP="00D46E28">
      <w:pPr>
        <w:spacing w:line="480" w:lineRule="auto"/>
        <w:jc w:val="both"/>
      </w:pPr>
    </w:p>
    <w:p w14:paraId="5254461F" w14:textId="77777777" w:rsidR="00087B19" w:rsidRPr="008D441A" w:rsidRDefault="00087B19" w:rsidP="00D46E28">
      <w:pPr>
        <w:spacing w:line="480" w:lineRule="auto"/>
        <w:jc w:val="both"/>
        <w:rPr>
          <w:b/>
          <w:bCs/>
        </w:rPr>
      </w:pPr>
      <w:r w:rsidRPr="0064175A">
        <w:rPr>
          <w:b/>
          <w:bCs/>
        </w:rPr>
        <w:t>Gene expression analysis</w:t>
      </w:r>
      <w:r w:rsidRPr="008D441A">
        <w:rPr>
          <w:b/>
          <w:bCs/>
        </w:rPr>
        <w:t xml:space="preserve"> </w:t>
      </w:r>
    </w:p>
    <w:p w14:paraId="0612E769" w14:textId="19CFF1CF" w:rsidR="00087B19" w:rsidRDefault="00087B19" w:rsidP="00D46E28">
      <w:pPr>
        <w:spacing w:line="480" w:lineRule="auto"/>
        <w:jc w:val="both"/>
      </w:pPr>
      <w:r>
        <w:t xml:space="preserve">To prepare for gene expression analyses performed later in the workflow, two sub-steps were completed. First, the program Salmon was executed to quantify transcripts in the </w:t>
      </w:r>
      <w:proofErr w:type="spellStart"/>
      <w:r>
        <w:t>linux</w:t>
      </w:r>
      <w:proofErr w:type="spellEnd"/>
      <w:r>
        <w:t xml:space="preserve"> environment </w:t>
      </w:r>
      <w:r>
        <w:fldChar w:fldCharType="begin" w:fldLock="1"/>
      </w:r>
      <w:r w:rsidR="00B02F06">
        <w:instrText>ADDIN CSL_CITATION {"citationItems":[{"id":"ITEM-1","itemData":{"DOI":"10.1038/nmeth.4197.Salmon","abstract":"We introduce Salmon, a method for quantifying transcript abundance from RNA-seq reads that is accurate and fast. Salmon is the first transcriptome-wide quantifier to correct for fragment GC content bias, which we demonstrate substantially improves the accuracy of abundance estimates and the reliability of subsequent differential expression analysis. Salmon combines a new dual-phase parallel inference algorithm and feature-rich bias models with an ultra-fast read mapping procedure. ","author":[{"dropping-particle":"","family":"Patro","given":"Rob","non-dropping-particle":"","parse-names":false,"suffix":""},{"dropping-particle":"","family":"Duggal","given":"Geet","non-dropping-particle":"","parse-names":false,"suffix":""},{"dropping-particle":"","family":"Love","given":"Michael I","non-dropping-particle":"","parse-names":false,"suffix":""},{"dropping-particle":"","family":"Irizarry","given":"Rafael A","non-dropping-particle":"","parse-names":false,"suffix":""},{"dropping-particle":"","family":"Kingsford","given":"Carl","non-dropping-particle":"","parse-names":false,"suffix":""}],"container-title":"Nature Methods","id":"ITEM-1","issue":"4","issued":{"date-parts":[["2017"]]},"page":"417-419","title":"Salmon: fast and bias-aware quantification of transcript expression using dual-phase inference","type":"article-journal","volume":"14"},"uris":["http://www.mendeley.com/documents/?uuid=2aaed11f-071a-4f74-81c2-e403f6c16233"]}],"mendeley":{"formattedCitation":"(Patro, Duggal, Love, Irizarry, &amp; Kingsford, 2017)","manualFormatting":"(Patro et al., 2017)","plainTextFormattedCitation":"(Patro, Duggal, Love, Irizarry, &amp; Kingsford, 2017)","previouslyFormattedCitation":"(Patro et al. 2017)"},"properties":{"noteIndex":0},"schema":"https://github.com/citation-style-language/schema/raw/master/csl-citation.json"}</w:instrText>
      </w:r>
      <w:r>
        <w:fldChar w:fldCharType="separate"/>
      </w:r>
      <w:r w:rsidRPr="007832BC">
        <w:rPr>
          <w:noProof/>
        </w:rPr>
        <w:t>(Patro</w:t>
      </w:r>
      <w:r>
        <w:rPr>
          <w:noProof/>
        </w:rPr>
        <w:t xml:space="preserve"> et al.</w:t>
      </w:r>
      <w:r w:rsidRPr="007832BC">
        <w:rPr>
          <w:noProof/>
        </w:rPr>
        <w:t>, 2017)</w:t>
      </w:r>
      <w:r>
        <w:fldChar w:fldCharType="end"/>
      </w:r>
      <w:r>
        <w:t xml:space="preserve">. Next, </w:t>
      </w:r>
      <w:proofErr w:type="spellStart"/>
      <w:r>
        <w:t>EdgeR</w:t>
      </w:r>
      <w:proofErr w:type="spellEnd"/>
      <w:r>
        <w:t xml:space="preserve"> was implemented in the R environment to identify significant differential gene expression between pair-wise comparisons of the six developmental stages </w:t>
      </w:r>
      <w:r>
        <w:fldChar w:fldCharType="begin" w:fldLock="1"/>
      </w:r>
      <w:r w:rsidR="00B02F06">
        <w:instrText>ADDIN CSL_CITATION {"citationItems":[{"id":"ITEM-1","itemData":{"author":[{"dropping-particle":"","family":"Chen","given":"Yunshun","non-dropping-particle":"","parse-names":false,"suffix":""},{"dropping-particle":"","family":"McCarthy","given":"Davis","non-dropping-particle":"","parse-names":false,"suffix":""},{"dropping-particle":"","family":"Ritchie","given":"Matthew","non-dropping-particle":"","parse-names":false,"suffix":""},{"dropping-particle":"","family":"Robinson","given":"Mark","non-dropping-particle":"","parse-names":false,"suffix":""},{"dropping-particle":"","family":"Smyth","given":"Gordon","non-dropping-particle":"","parse-names":false,"suffix":""},{"dropping-particle":"","family":"Hall","given":"Eliza","non-dropping-particle":"","parse-names":false,"suffix":""}],"container-title":"R package","id":"ITEM-1","issue":"June","issued":{"date-parts":[["2020"]]},"page":"1-121","title":"edgeR: differential analysis of sequence read count data User's Guide","type":"article-journal"},"uris":["http://www.mendeley.com/documents/?uuid=613b35b4-eb35-4868-a3d6-3e4616801508"]}],"mendeley":{"formattedCitation":"(Chen et al., 2020)","plainTextFormattedCitation":"(Chen et al., 2020)","previouslyFormattedCitation":"(Chen et al. 2020)"},"properties":{"noteIndex":0},"schema":"https://github.com/citation-style-language/schema/raw/master/csl-citation.json"}</w:instrText>
      </w:r>
      <w:r>
        <w:fldChar w:fldCharType="separate"/>
      </w:r>
      <w:r w:rsidR="00B02F06" w:rsidRPr="00B02F06">
        <w:rPr>
          <w:noProof/>
        </w:rPr>
        <w:t>(Chen et al., 2020)</w:t>
      </w:r>
      <w:r>
        <w:fldChar w:fldCharType="end"/>
      </w:r>
      <w:r>
        <w:t>. Count data was reduced by requiring transcripts to have 10 counts in a library to be considered expressed and were filtered by counts-per-million (CPM)</w:t>
      </w:r>
      <w:r>
        <w:fldChar w:fldCharType="begin" w:fldLock="1"/>
      </w:r>
      <w:r w:rsidR="00B02F06">
        <w:instrText>ADDIN CSL_CITATION {"citationItems":[{"id":"ITEM-1","itemData":{"author":[{"dropping-particle":"","family":"Chen","given":"Yunshun","non-dropping-particle":"","parse-names":false,"suffix":""},{"dropping-particle":"","family":"McCarthy","given":"Davis","non-dropping-particle":"","parse-names":false,"suffix":""},{"dropping-particle":"","family":"Ritchie","given":"Matthew","non-dropping-particle":"","parse-names":false,"suffix":""},{"dropping-particle":"","family":"Robinson","given":"Mark","non-dropping-particle":"","parse-names":false,"suffix":""},{"dropping-particle":"","family":"Smyth","given":"Gordon","non-dropping-particle":"","parse-names":false,"suffix":""},{"dropping-particle":"","family":"Hall","given":"Eliza","non-dropping-particle":"","parse-names":false,"suffix":""}],"container-title":"R package","id":"ITEM-1","issue":"June","issued":{"date-parts":[["2020"]]},"page":"1-121","title":"edgeR: differential analysis of sequence read count data User's Guide","type":"article-journal"},"uris":["http://www.mendeley.com/documents/?uuid=613b35b4-eb35-4868-a3d6-3e4616801508"]}],"mendeley":{"formattedCitation":"(Chen et al., 2020)","plainTextFormattedCitation":"(Chen et al., 2020)","previouslyFormattedCitation":"(Chen et al. 2020)"},"properties":{"noteIndex":0},"schema":"https://github.com/citation-style-language/schema/raw/master/csl-citation.json"}</w:instrText>
      </w:r>
      <w:r>
        <w:fldChar w:fldCharType="separate"/>
      </w:r>
      <w:r w:rsidR="00B02F06" w:rsidRPr="00B02F06">
        <w:rPr>
          <w:noProof/>
        </w:rPr>
        <w:t>(Chen et al., 2020)</w:t>
      </w:r>
      <w:r>
        <w:fldChar w:fldCharType="end"/>
      </w:r>
      <w:r>
        <w:t xml:space="preserve">. The </w:t>
      </w:r>
      <w:proofErr w:type="spellStart"/>
      <w:r>
        <w:t>calcNormFactors</w:t>
      </w:r>
      <w:proofErr w:type="spellEnd"/>
      <w:r>
        <w:t xml:space="preserve"> function was used to normalize library sizes which used a trimmed mean of M-values (TMM) method. To estimate dispersion, a quantile-adjusted conditional maximum likelihood (</w:t>
      </w:r>
      <w:proofErr w:type="spellStart"/>
      <w:r>
        <w:t>qCML</w:t>
      </w:r>
      <w:proofErr w:type="spellEnd"/>
      <w:r>
        <w:t xml:space="preserve">) method was employed. Differentially expressed genes (DEGs) were identified at a p-value of 0.05 and results from each comparison was exported to the terminal and included the transcript header, </w:t>
      </w:r>
      <w:proofErr w:type="spellStart"/>
      <w:r>
        <w:t>logFC</w:t>
      </w:r>
      <w:proofErr w:type="spellEnd"/>
      <w:r>
        <w:t xml:space="preserve">, </w:t>
      </w:r>
      <w:proofErr w:type="spellStart"/>
      <w:r>
        <w:t>logCPM</w:t>
      </w:r>
      <w:proofErr w:type="spellEnd"/>
      <w:r>
        <w:t xml:space="preserve">, </w:t>
      </w:r>
      <w:proofErr w:type="spellStart"/>
      <w:r>
        <w:t>PValue</w:t>
      </w:r>
      <w:proofErr w:type="spellEnd"/>
      <w:r>
        <w:t xml:space="preserve">, and FDR which was used in a later step. </w:t>
      </w:r>
    </w:p>
    <w:p w14:paraId="1E4459F3" w14:textId="77777777" w:rsidR="00087B19" w:rsidRDefault="00087B19" w:rsidP="00D46E28">
      <w:pPr>
        <w:spacing w:line="480" w:lineRule="auto"/>
        <w:jc w:val="both"/>
      </w:pPr>
    </w:p>
    <w:p w14:paraId="3F3B7899" w14:textId="77777777" w:rsidR="00087B19" w:rsidRDefault="00087B19" w:rsidP="00D46E28">
      <w:pPr>
        <w:spacing w:line="480" w:lineRule="auto"/>
        <w:jc w:val="both"/>
      </w:pPr>
      <w:proofErr w:type="spellStart"/>
      <w:r>
        <w:t>TransDecoder</w:t>
      </w:r>
      <w:proofErr w:type="spellEnd"/>
      <w:r>
        <w:t xml:space="preserve"> was then implemented to translate the assembly from nucleotide space into protein space. To reduce the amount of duplicate protein models, we ran cd-hit on the actinula protein FASTA. The reduced actinula FASTA was then used in </w:t>
      </w:r>
      <w:proofErr w:type="spellStart"/>
      <w:r>
        <w:t>OrthoFinder</w:t>
      </w:r>
      <w:proofErr w:type="spellEnd"/>
      <w:r>
        <w:t xml:space="preserve"> along with the following taxa from publicly available data on NCBI: </w:t>
      </w:r>
      <w:r w:rsidRPr="00CB48CB">
        <w:rPr>
          <w:i/>
          <w:iCs/>
        </w:rPr>
        <w:t>Homo sapiens</w:t>
      </w:r>
      <w:r>
        <w:t xml:space="preserve">, </w:t>
      </w:r>
      <w:r w:rsidRPr="00CB48CB">
        <w:rPr>
          <w:i/>
          <w:iCs/>
        </w:rPr>
        <w:t>Drosophila</w:t>
      </w:r>
      <w:r>
        <w:t xml:space="preserve">, </w:t>
      </w:r>
      <w:r w:rsidRPr="00CB48CB">
        <w:rPr>
          <w:i/>
          <w:iCs/>
        </w:rPr>
        <w:t>Hydra</w:t>
      </w:r>
      <w:r>
        <w:t xml:space="preserve">, </w:t>
      </w:r>
      <w:r w:rsidRPr="00CB48CB">
        <w:rPr>
          <w:i/>
          <w:iCs/>
        </w:rPr>
        <w:t>Hydractinia</w:t>
      </w:r>
      <w:r>
        <w:t xml:space="preserve"> (adult and larval forms), and </w:t>
      </w:r>
      <w:r w:rsidRPr="00CB48CB">
        <w:rPr>
          <w:i/>
          <w:iCs/>
        </w:rPr>
        <w:t>Nematostella</w:t>
      </w:r>
      <w:r>
        <w:t xml:space="preserve">. </w:t>
      </w:r>
    </w:p>
    <w:p w14:paraId="678E5DB2" w14:textId="77777777" w:rsidR="00087B19" w:rsidRDefault="00087B19" w:rsidP="00D46E28">
      <w:pPr>
        <w:spacing w:line="480" w:lineRule="auto"/>
        <w:jc w:val="both"/>
      </w:pPr>
    </w:p>
    <w:p w14:paraId="5BAD66E1" w14:textId="3AC4C582" w:rsidR="00087B19" w:rsidRDefault="00087B19" w:rsidP="00D46E28">
      <w:pPr>
        <w:spacing w:line="480" w:lineRule="auto"/>
        <w:jc w:val="both"/>
      </w:pPr>
      <w:r>
        <w:lastRenderedPageBreak/>
        <w:t xml:space="preserve">While </w:t>
      </w:r>
      <w:proofErr w:type="spellStart"/>
      <w:r>
        <w:t>OrthoFinder</w:t>
      </w:r>
      <w:proofErr w:type="spellEnd"/>
      <w:r>
        <w:t xml:space="preserve"> was running, we obtained sensory gene sets from the Gene Set Enrichment Analysis (GSEA) created by the Broad Institute and UC San Diego </w:t>
      </w:r>
      <w:r>
        <w:fldChar w:fldCharType="begin" w:fldLock="1"/>
      </w:r>
      <w:r w:rsidR="00B02F06">
        <w:instrText>ADDIN CSL_CITATION {"citationItems":[{"id":"ITEM-1","itemData":{"DOI":"10.1073/pnas.0506580102","ISSN":"00278424","PMID":"16199517","abstract":"Although genomewide RNA expression analysis has become a routine tool in biomedical research, extracting biological insight from such information remains a major challenge. Here, we describe a powerful analytical method called Gene Set Enrichment Analysis (GSEA) for interpreting gene expression data. The method derives its power by focusing on gene sets, that is, groups of genes that share common biological function, chromosomal location, or regulation. We demonstrate how GSEA yields insights into several cancer-related data sets, including leukemia and lung cancer. Notably, where single-gene analysis finds little similarity between two independent studies of patient survival in lung cancer, GSEA reveals many biological pathways in common. The GSEA method is embodied in a freely available software package, together with an initial database of 1,325 biologically defined gene sets. © 2005 by The National Academy of Sciences of the USA.","author":[{"dropping-particle":"","family":"Subramanian","given":"Aravind","non-dropping-particle":"","parse-names":false,"suffix":""},{"dropping-particle":"","family":"Tamayo","given":"Pablo","non-dropping-particle":"","parse-names":false,"suffix":""},{"dropping-particle":"","family":"Mootha","given":"Vamsi K.","non-dropping-particle":"","parse-names":false,"suffix":""},{"dropping-particle":"","family":"Mukherjee","given":"Sayan","non-dropping-particle":"","parse-names":false,"suffix":""},{"dropping-particle":"","family":"Ebert","given":"Benjamin L.","non-dropping-particle":"","parse-names":false,"suffix":""},{"dropping-particle":"","family":"Gillette","given":"Michael A.","non-dropping-particle":"","parse-names":false,"suffix":""},{"dropping-particle":"","family":"Paulovich","given":"Amanda","non-dropping-particle":"","parse-names":false,"suffix":""},{"dropping-particle":"","family":"Pomeroy","given":"Scott L.","non-dropping-particle":"","parse-names":false,"suffix":""},{"dropping-particle":"","family":"Golub","given":"Todd R.","non-dropping-particle":"","parse-names":false,"suffix":""},{"dropping-particle":"","family":"Lander","given":"Eric S.","non-dropping-particle":"","parse-names":false,"suffix":""},{"dropping-particle":"","family":"Mesirov","given":"Jill P.","non-dropping-particle":"","parse-names":false,"suffix":""}],"container-title":"Proceedings of the National Academy of Sciences of the United States of America","id":"ITEM-1","issue":"43","issued":{"date-parts":[["2005"]]},"page":"15545-15550","title":"Gene set enrichment analysis: A knowledge-based approach for interpreting genome-wide expression profiles","type":"article-journal","volume":"102"},"uris":["http://www.mendeley.com/documents/?uuid=bf6caddb-a431-4282-9f4f-b4b47544ee54"]},{"id":"ITEM-2","itemData":{"DOI":"10.1016/j.cels.2015.12.004","ISSN":"24054712","abstract":"Summary The Molecular Signatures Database (MSigDB) is one of the most widely used and comprehensive databases of gene sets for performing gene set enrichment analysis. Since its creation, MSigDB has grown beyond its roots in metabolic disease and cancer to include &gt;10,000 gene sets. These better represent a wider range of biological processes and diseases, but the utility of the database is reduced by increased redundancy across, and heterogeneity within, gene sets. To address this challenge, here we use a combination of automated approaches and expert curation to develop a collection of \"hallmark\" gene sets as part of MSigDB. Each hallmark in this collection consists of a \"refined\" gene set, derived from multiple \"founder\" sets, that conveys a specific biological state or process and displays coherent expression. The hallmarks effectively summarize most of the relevant information of the original founder sets and, by reducing both variation and redundancy, provide more refined and concise inputs for gene set enrichment analysis.","author":[{"dropping-particle":"","family":"Liberzon","given":"Arthur","non-dropping-particle":"","parse-names":false,"suffix":""},{"dropping-particle":"","family":"Birger","given":"Chet","non-dropping-particle":"","parse-names":false,"suffix":""},{"dropping-particle":"","family":"Thorvaldsdóttir","given":"Helga","non-dropping-particle":"","parse-names":false,"suffix":""},{"dropping-particle":"","family":"Ghandi","given":"Mahmoud","non-dropping-particle":"","parse-names":false,"suffix":""},{"dropping-particle":"","family":"Mesirov","given":"Jill P.","non-dropping-particle":"","parse-names":false,"suffix":""},{"dropping-particle":"","family":"Tamayo","given":"Pablo","non-dropping-particle":"","parse-names":false,"suffix":""}],"container-title":"Cell Systems","id":"ITEM-2","issue":"6","issued":{"date-parts":[["2015"]]},"page":"417-425","title":"The Molecular Signatures Database Hallmark Gene Set Collection","type":"article-journal","volume":"1"},"uris":["http://www.mendeley.com/documents/?uuid=44e8eb37-2ce9-4cd1-b3ac-586e1ed6517a"]},{"id":"ITEM-3","itemData":{"DOI":"10.1093/bioinformatics/btr260","ISSN":"13674803","PMID":"21546393","abstract":"Motivation: Well-annotated gene sets representing the universe of the biological processes are critical for meaningful and insightful interpretation of large-scale genomic data. The Molecular Signatures Database (MSigDB) is one of the most widely used repositories of such sets.Results: We report the availability of a new version of the database, MSigDB 3.0, with over 6700 gene sets, a complete revision of the collection of canonical pathways and experimental signatures from publications, enhanced annotations and upgrades to the web site. © The Author 2011. Published by Oxford University Press. All rights reserved.","author":[{"dropping-particle":"","family":"Liberzon","given":"Arthur","non-dropping-particle":"","parse-names":false,"suffix":""},{"dropping-particle":"","family":"Subramanian","given":"Aravind","non-dropping-particle":"","parse-names":false,"suffix":""},{"dropping-particle":"","family":"Pinchback","given":"Reid","non-dropping-particle":"","parse-names":false,"suffix":""},{"dropping-particle":"","family":"Thorvaldsdóttir","given":"Helga","non-dropping-particle":"","parse-names":false,"suffix":""},{"dropping-particle":"","family":"Tamayo","given":"Pablo","non-dropping-particle":"","parse-names":false,"suffix":""},{"dropping-particle":"","family":"Mesirov","given":"Jill P.","non-dropping-particle":"","parse-names":false,"suffix":""}],"container-title":"Bioinformatics","id":"ITEM-3","issue":"12","issued":{"date-parts":[["2011"]]},"page":"1739-1740","title":"Molecular signatures database (MSigDB) 3.0","type":"article-journal","volume":"27"},"uris":["http://www.mendeley.com/documents/?uuid=6754fd28-581c-4c75-b610-921ec2606d90"]}],"mendeley":{"formattedCitation":"(Liberzon et al., 2015, 2011; Subramanian et al., 2005)","plainTextFormattedCitation":"(Liberzon et al., 2015, 2011; Subramanian et al., 2005)","previouslyFormattedCitation":"(Subramanian et al. 2005; Liberzon et al. 2011, 2015)"},"properties":{"noteIndex":0},"schema":"https://github.com/citation-style-language/schema/raw/master/csl-citation.json"}</w:instrText>
      </w:r>
      <w:r>
        <w:fldChar w:fldCharType="separate"/>
      </w:r>
      <w:r w:rsidR="00B02F06" w:rsidRPr="00B02F06">
        <w:rPr>
          <w:noProof/>
        </w:rPr>
        <w:t>(Liberzon et al., 2015, 2011; Subramanian et al., 2005)</w:t>
      </w:r>
      <w:r>
        <w:fldChar w:fldCharType="end"/>
      </w:r>
      <w:r>
        <w:t xml:space="preserve">. We selected the following three gene sets: </w:t>
      </w:r>
      <w:proofErr w:type="spellStart"/>
      <w:r w:rsidRPr="00CB48CB">
        <w:t>GO_Sensory_Percep_Of_Light_Stimulus</w:t>
      </w:r>
      <w:proofErr w:type="spellEnd"/>
      <w:r>
        <w:t xml:space="preserve">, </w:t>
      </w:r>
      <w:proofErr w:type="spellStart"/>
      <w:r>
        <w:t>GO_Sensory_Perception_of_Chemical_Stimulus</w:t>
      </w:r>
      <w:proofErr w:type="spellEnd"/>
      <w:r>
        <w:t xml:space="preserve">, and </w:t>
      </w:r>
      <w:proofErr w:type="spellStart"/>
      <w:r>
        <w:t>GO_Sensory_Perception_of_Mechanical_Stimulus</w:t>
      </w:r>
      <w:proofErr w:type="spellEnd"/>
      <w:r>
        <w:t>. We then imported the Entrez IDs, gene symbols, and descriptions of the members in the gene sets</w:t>
      </w:r>
      <w:r w:rsidRPr="00BB0737">
        <w:t xml:space="preserve"> </w:t>
      </w:r>
      <w:r>
        <w:t xml:space="preserve">as a CSV file into the terminal. Using custom made python scripts we reformatted the gene set information and searched the Entrez IDs using the </w:t>
      </w:r>
      <w:proofErr w:type="spellStart"/>
      <w:r>
        <w:t>Bio.Entrez</w:t>
      </w:r>
      <w:proofErr w:type="spellEnd"/>
      <w:r>
        <w:t xml:space="preserve"> module in python to obtain the protein sequences for each gene across the three gene sets. </w:t>
      </w:r>
    </w:p>
    <w:p w14:paraId="2650B130" w14:textId="77777777" w:rsidR="00087B19" w:rsidRDefault="00087B19" w:rsidP="00D46E28">
      <w:pPr>
        <w:spacing w:line="480" w:lineRule="auto"/>
        <w:jc w:val="both"/>
      </w:pPr>
    </w:p>
    <w:p w14:paraId="00AA440D" w14:textId="77777777" w:rsidR="00087B19" w:rsidRDefault="00087B19" w:rsidP="00D46E28">
      <w:pPr>
        <w:spacing w:line="480" w:lineRule="auto"/>
        <w:jc w:val="both"/>
      </w:pPr>
      <w:r>
        <w:t xml:space="preserve">Our human protein sequences used in </w:t>
      </w:r>
      <w:proofErr w:type="spellStart"/>
      <w:r>
        <w:t>OrthoFinder</w:t>
      </w:r>
      <w:proofErr w:type="spellEnd"/>
      <w:r>
        <w:t xml:space="preserve"> contained altered headers, therefore we performed three </w:t>
      </w:r>
      <w:proofErr w:type="spellStart"/>
      <w:r>
        <w:t>BLASTp</w:t>
      </w:r>
      <w:proofErr w:type="spellEnd"/>
      <w:r>
        <w:t xml:space="preserve"> searches on our human protein sequences using the genes from the sensory gene sets as queries. The search allowed one target sequence result at an e-value of 0.00001. The output from the three searches included the official NCBI headers and the corresponding altered header used in our human protein models. </w:t>
      </w:r>
      <w:r w:rsidRPr="00CD72E5">
        <w:t xml:space="preserve">This was used to annotate the altered human protein models used in </w:t>
      </w:r>
      <w:proofErr w:type="spellStart"/>
      <w:r w:rsidRPr="00CD72E5">
        <w:t>OrthoFinder</w:t>
      </w:r>
      <w:proofErr w:type="spellEnd"/>
      <w:r w:rsidRPr="00CD72E5">
        <w:t xml:space="preserve"> with the various sensory genes in the following step.</w:t>
      </w:r>
      <w:r>
        <w:t xml:space="preserve"> Additionally, we generated another output file that was composed of human sequence IDs from the NCBI database and their corresponding gene symbols.</w:t>
      </w:r>
    </w:p>
    <w:p w14:paraId="1F015063" w14:textId="77777777" w:rsidR="00087B19" w:rsidRDefault="00087B19" w:rsidP="00D46E28">
      <w:pPr>
        <w:spacing w:line="480" w:lineRule="auto"/>
        <w:jc w:val="both"/>
      </w:pPr>
    </w:p>
    <w:p w14:paraId="10759925" w14:textId="77777777" w:rsidR="00087B19" w:rsidRDefault="00087B19" w:rsidP="00D46E28">
      <w:pPr>
        <w:spacing w:line="480" w:lineRule="auto"/>
        <w:jc w:val="both"/>
      </w:pPr>
      <w:r>
        <w:t xml:space="preserve">To identify actinula transcripts that shared orthogroups with human transcripts of sensory genes, we imported the following results into the R environment to be used in a custom R script: </w:t>
      </w:r>
      <w:proofErr w:type="spellStart"/>
      <w:r>
        <w:t>OrthoFinder</w:t>
      </w:r>
      <w:proofErr w:type="spellEnd"/>
      <w:r>
        <w:t xml:space="preserve"> (</w:t>
      </w:r>
      <w:proofErr w:type="spellStart"/>
      <w:r>
        <w:t>orthogroup.tsv</w:t>
      </w:r>
      <w:proofErr w:type="spellEnd"/>
      <w:r>
        <w:t xml:space="preserve"> file and counts file), the BLAST results with the two human headers </w:t>
      </w:r>
      <w:r>
        <w:lastRenderedPageBreak/>
        <w:t xml:space="preserve">(NCBI and the altered headers used in our human protein FASTA), and the file with the NCBI headers and its corresponding gene symbol. This R script then identified and re-labeled the orthogroups that contained the genes from the sensory gene sets with the gene symbols and reported the actinula transcripts that were contained in those orthogroups with the gene symbol labels. The lists of actinula headers with their corresponding gene symbols were exported from R into the terminal and were used with a custom python script and the </w:t>
      </w:r>
      <w:proofErr w:type="spellStart"/>
      <w:r>
        <w:t>edgeR</w:t>
      </w:r>
      <w:proofErr w:type="spellEnd"/>
      <w:r>
        <w:t xml:space="preserve"> output to identify significantly differentially expressed genes within the gene sets. The significant DEGs were then visualized as heatmaps for each gene set in the R environment. </w:t>
      </w:r>
    </w:p>
    <w:p w14:paraId="0A80E1BF" w14:textId="77777777" w:rsidR="00087B19" w:rsidRDefault="00087B19" w:rsidP="00D46E28">
      <w:pPr>
        <w:spacing w:line="480" w:lineRule="auto"/>
        <w:jc w:val="both"/>
      </w:pPr>
    </w:p>
    <w:p w14:paraId="0D610830" w14:textId="77777777" w:rsidR="00087B19" w:rsidRDefault="00087B19" w:rsidP="00D46E28">
      <w:pPr>
        <w:spacing w:line="480" w:lineRule="auto"/>
        <w:jc w:val="both"/>
      </w:pPr>
      <w:r>
        <w:rPr>
          <w:b/>
          <w:bCs/>
        </w:rPr>
        <w:t xml:space="preserve">RNA </w:t>
      </w:r>
      <w:r w:rsidRPr="00E21CA5">
        <w:rPr>
          <w:b/>
          <w:bCs/>
        </w:rPr>
        <w:t xml:space="preserve">Fluorescent </w:t>
      </w:r>
      <w:r w:rsidRPr="00E21CA5">
        <w:rPr>
          <w:b/>
          <w:bCs/>
          <w:i/>
          <w:iCs/>
        </w:rPr>
        <w:t>in situ</w:t>
      </w:r>
      <w:r w:rsidRPr="00E21CA5">
        <w:rPr>
          <w:b/>
          <w:bCs/>
        </w:rPr>
        <w:t xml:space="preserve"> Hybridization</w:t>
      </w:r>
      <w:r>
        <w:rPr>
          <w:b/>
          <w:bCs/>
        </w:rPr>
        <w:t xml:space="preserve"> Study</w:t>
      </w:r>
      <w:r w:rsidRPr="00E21CA5">
        <w:rPr>
          <w:b/>
          <w:bCs/>
        </w:rPr>
        <w:t xml:space="preserve"> </w:t>
      </w:r>
    </w:p>
    <w:p w14:paraId="5E83C036" w14:textId="77777777" w:rsidR="00087B19" w:rsidRDefault="00087B19" w:rsidP="00D46E28">
      <w:pPr>
        <w:spacing w:line="480" w:lineRule="auto"/>
        <w:jc w:val="both"/>
      </w:pPr>
      <w:r>
        <w:t xml:space="preserve">Sequences were identified to make RNA probes for </w:t>
      </w:r>
      <w:r w:rsidRPr="003C144E">
        <w:rPr>
          <w:i/>
          <w:iCs/>
        </w:rPr>
        <w:t>in</w:t>
      </w:r>
      <w:r>
        <w:rPr>
          <w:i/>
          <w:iCs/>
        </w:rPr>
        <w:t xml:space="preserve"> </w:t>
      </w:r>
      <w:r w:rsidRPr="003C144E">
        <w:rPr>
          <w:i/>
          <w:iCs/>
        </w:rPr>
        <w:t>situ</w:t>
      </w:r>
      <w:r>
        <w:t xml:space="preserve"> hybridizations using the transcriptomic expression data from the developmental transcriptome study. We identified the highest expressed transcripts of key sensory genes from the three sensory gene sets. We then designed RNA-probes for our target sequences using the Stellaris RNA FISH platform (</w:t>
      </w:r>
      <w:proofErr w:type="spellStart"/>
      <w:r>
        <w:t>Biosearch</w:t>
      </w:r>
      <w:proofErr w:type="spellEnd"/>
      <w:r>
        <w:t xml:space="preserve"> Technologies) with the custom probe design service following their recommendations for probe design</w:t>
      </w:r>
      <w:r w:rsidRPr="00862731">
        <w:t>.</w:t>
      </w:r>
      <w:r>
        <w:t xml:space="preserve"> </w:t>
      </w:r>
    </w:p>
    <w:p w14:paraId="7F71C499" w14:textId="77777777" w:rsidR="00087B19" w:rsidRDefault="00087B19" w:rsidP="00D46E28">
      <w:pPr>
        <w:spacing w:line="480" w:lineRule="auto"/>
        <w:jc w:val="both"/>
      </w:pPr>
    </w:p>
    <w:p w14:paraId="02670DC8" w14:textId="4A90162C" w:rsidR="00087B19" w:rsidRDefault="00087B19" w:rsidP="00D46E28">
      <w:pPr>
        <w:spacing w:line="480" w:lineRule="auto"/>
        <w:jc w:val="both"/>
        <w:rPr>
          <w:rFonts w:eastAsia="Times New Roman" w:cstheme="minorHAnsi"/>
          <w:b/>
          <w:bCs/>
          <w:color w:val="1D1C1D"/>
        </w:rPr>
      </w:pPr>
      <w:r>
        <w:t>Actinula larvae were obtained as previously described above. Samples were stained according to the Stellaris FISH protocol with alterations to the protocol. Samples were fixed overnight at 4</w:t>
      </w:r>
      <w:r>
        <w:rPr>
          <w:rFonts w:ascii="Calibri" w:hAnsi="Calibri" w:cs="Calibri"/>
        </w:rPr>
        <w:t>°</w:t>
      </w:r>
      <w:r>
        <w:t xml:space="preserve">C in 4% paraformaldehyde (Sigma) in </w:t>
      </w:r>
      <w:r w:rsidRPr="000977C0">
        <w:t>PBS.</w:t>
      </w:r>
      <w:r>
        <w:t xml:space="preserve"> The following day samples were washed five times with </w:t>
      </w:r>
      <w:proofErr w:type="gramStart"/>
      <w:r>
        <w:t>5 minute</w:t>
      </w:r>
      <w:proofErr w:type="gramEnd"/>
      <w:r>
        <w:t xml:space="preserve"> incubations in PBST. Samples were then incubated in </w:t>
      </w:r>
      <w:proofErr w:type="spellStart"/>
      <w:r>
        <w:t>Prot</w:t>
      </w:r>
      <w:proofErr w:type="spellEnd"/>
      <w:r>
        <w:t xml:space="preserve"> K (1ug/</w:t>
      </w:r>
      <w:proofErr w:type="spellStart"/>
      <w:r>
        <w:t>ul</w:t>
      </w:r>
      <w:proofErr w:type="spellEnd"/>
      <w:r>
        <w:t xml:space="preserve">) for 10 minutes at room temperature. Immediately following the </w:t>
      </w:r>
      <w:proofErr w:type="spellStart"/>
      <w:r>
        <w:t>Prot</w:t>
      </w:r>
      <w:proofErr w:type="spellEnd"/>
      <w:r>
        <w:t xml:space="preserve"> K incubation, the solution was removed, and </w:t>
      </w:r>
      <w:r>
        <w:lastRenderedPageBreak/>
        <w:t>samples were incubated in glycine (4ug/</w:t>
      </w:r>
      <w:proofErr w:type="spellStart"/>
      <w:r>
        <w:t>ul</w:t>
      </w:r>
      <w:proofErr w:type="spellEnd"/>
      <w:r>
        <w:t xml:space="preserve">) for 10 minutes at room temperature to stop the </w:t>
      </w:r>
      <w:proofErr w:type="spellStart"/>
      <w:r>
        <w:t>Prot</w:t>
      </w:r>
      <w:proofErr w:type="spellEnd"/>
      <w:r>
        <w:t xml:space="preserve"> K reaction. Samples were then washed twice with </w:t>
      </w:r>
      <w:proofErr w:type="gramStart"/>
      <w:r>
        <w:t>5 minute</w:t>
      </w:r>
      <w:proofErr w:type="gramEnd"/>
      <w:r>
        <w:t xml:space="preserve"> incubations in PBST. We then refixed samples in 4% PF for 30 minutes at room temperature. Following refixation, samples were washed five times with </w:t>
      </w:r>
      <w:proofErr w:type="gramStart"/>
      <w:r>
        <w:t>5 minute</w:t>
      </w:r>
      <w:proofErr w:type="gramEnd"/>
      <w:r>
        <w:t xml:space="preserve"> incubations in PBST. We then transferred samples to 1.5ml microcentrifuge tubes and incubated samples in Wash Buffer A (Catalog# SMF-WA1-60) for 5 minutes at room temperature. We then ran a prehybridization step using the stellaris hybridization buffer (Catalog# SMF-HB1-10) at 37C for 1 hour in a </w:t>
      </w:r>
      <w:r w:rsidRPr="00862731">
        <w:t>shake ‘N’ bake Hybridization</w:t>
      </w:r>
      <w:r>
        <w:t xml:space="preserve"> Oven. Following the prehybridization step, we added the hybridization buffer with probes (10ul of each probe for a total of 30ul of probe) to our samples and incubated them at 37C overnight in the dark. The following day, the hybridization buffer with probe solution was removed and samples were incubated in Wash Buffer A at 37C for 30 minutes in the dark. Samples were then incubated in Wash buffer B (Catalog# SMF-WB1-20) for 5 minutes at room temperature in the dark. We resuspended samples in PBST and mounted</w:t>
      </w:r>
      <w:r w:rsidRPr="00054E51">
        <w:t xml:space="preserve"> </w:t>
      </w:r>
      <w:r>
        <w:t xml:space="preserve">them </w:t>
      </w:r>
      <w:r w:rsidRPr="00054E51">
        <w:t xml:space="preserve">in </w:t>
      </w:r>
      <w:proofErr w:type="spellStart"/>
      <w:r w:rsidRPr="000977C0">
        <w:t>ProLong</w:t>
      </w:r>
      <w:proofErr w:type="spellEnd"/>
      <w:r w:rsidRPr="000977C0">
        <w:t xml:space="preserve"> Antifade </w:t>
      </w:r>
      <w:proofErr w:type="spellStart"/>
      <w:r w:rsidRPr="000977C0">
        <w:t>Mountant</w:t>
      </w:r>
      <w:proofErr w:type="spellEnd"/>
      <w:r w:rsidRPr="000977C0">
        <w:t xml:space="preserve"> with DAPI</w:t>
      </w:r>
      <w:r>
        <w:t xml:space="preserve"> (</w:t>
      </w:r>
      <w:proofErr w:type="spellStart"/>
      <w:r>
        <w:t>ThermoFisher</w:t>
      </w:r>
      <w:proofErr w:type="spellEnd"/>
      <w:r>
        <w:t>). Samples were imaged on the UNH Nikon A1R HD confocal Microscope.</w:t>
      </w:r>
    </w:p>
    <w:p w14:paraId="5BAC924E" w14:textId="77777777" w:rsidR="00087B19" w:rsidRDefault="00087B19" w:rsidP="00D46E28">
      <w:pPr>
        <w:spacing w:line="480" w:lineRule="auto"/>
        <w:jc w:val="both"/>
        <w:rPr>
          <w:rFonts w:eastAsia="Times New Roman" w:cstheme="minorHAnsi"/>
          <w:b/>
          <w:bCs/>
          <w:color w:val="1D1C1D"/>
        </w:rPr>
      </w:pPr>
    </w:p>
    <w:p w14:paraId="62B5A70D" w14:textId="77777777" w:rsidR="004945DF" w:rsidRDefault="004945DF" w:rsidP="00D46E28">
      <w:pPr>
        <w:spacing w:line="480" w:lineRule="auto"/>
        <w:jc w:val="both"/>
        <w:rPr>
          <w:b/>
          <w:bCs/>
        </w:rPr>
      </w:pPr>
      <w:r w:rsidRPr="00862731">
        <w:rPr>
          <w:b/>
          <w:bCs/>
        </w:rPr>
        <w:t>Results</w:t>
      </w:r>
    </w:p>
    <w:p w14:paraId="0AF18E7A" w14:textId="77777777" w:rsidR="004945DF" w:rsidRDefault="004945DF" w:rsidP="00D46E28">
      <w:pPr>
        <w:spacing w:line="480" w:lineRule="auto"/>
        <w:jc w:val="both"/>
      </w:pPr>
    </w:p>
    <w:p w14:paraId="2D899A33" w14:textId="54A42945" w:rsidR="00A47113" w:rsidRDefault="0015066A" w:rsidP="00D46E28">
      <w:pPr>
        <w:spacing w:line="480" w:lineRule="auto"/>
        <w:jc w:val="both"/>
      </w:pPr>
      <w:r>
        <w:rPr>
          <w:b/>
          <w:bCs/>
        </w:rPr>
        <w:t>L</w:t>
      </w:r>
      <w:r w:rsidRPr="00C9781F">
        <w:rPr>
          <w:b/>
          <w:bCs/>
        </w:rPr>
        <w:t>arva</w:t>
      </w:r>
      <w:r>
        <w:rPr>
          <w:b/>
          <w:bCs/>
        </w:rPr>
        <w:t>l</w:t>
      </w:r>
      <w:r w:rsidRPr="00C9781F">
        <w:rPr>
          <w:b/>
          <w:bCs/>
        </w:rPr>
        <w:t xml:space="preserve"> </w:t>
      </w:r>
      <w:r>
        <w:rPr>
          <w:b/>
          <w:bCs/>
        </w:rPr>
        <w:t xml:space="preserve">nervous systems </w:t>
      </w:r>
      <w:r w:rsidR="00F26C53">
        <w:rPr>
          <w:b/>
          <w:bCs/>
        </w:rPr>
        <w:t>reach full</w:t>
      </w:r>
      <w:r>
        <w:rPr>
          <w:b/>
          <w:bCs/>
        </w:rPr>
        <w:t xml:space="preserve"> </w:t>
      </w:r>
      <w:r w:rsidR="00F26C53">
        <w:rPr>
          <w:b/>
          <w:bCs/>
        </w:rPr>
        <w:t xml:space="preserve">development </w:t>
      </w:r>
      <w:r>
        <w:rPr>
          <w:b/>
          <w:bCs/>
        </w:rPr>
        <w:t>by the actinula stage of development</w:t>
      </w:r>
      <w:r>
        <w:t xml:space="preserve"> </w:t>
      </w:r>
    </w:p>
    <w:p w14:paraId="7071AA3F" w14:textId="0CBA5AEA" w:rsidR="006B7DEF" w:rsidRDefault="006B7DEF" w:rsidP="00D46E28">
      <w:pPr>
        <w:spacing w:line="480" w:lineRule="auto"/>
        <w:jc w:val="both"/>
      </w:pPr>
      <w:r>
        <w:t xml:space="preserve">The actinula stage of </w:t>
      </w:r>
      <w:r w:rsidRPr="00192FC0">
        <w:rPr>
          <w:i/>
          <w:iCs/>
        </w:rPr>
        <w:t>E. crocea</w:t>
      </w:r>
      <w:r>
        <w:t xml:space="preserve"> possesses morphological and cellular features</w:t>
      </w:r>
      <w:r w:rsidR="00A65829">
        <w:t xml:space="preserve"> </w:t>
      </w:r>
      <w:r w:rsidR="00010B08">
        <w:t>such as</w:t>
      </w:r>
      <w:r>
        <w:t xml:space="preserve"> the basal protrusion and tentacles replete with cnidocytes, that are associated with larval settlement</w:t>
      </w:r>
      <w:r w:rsidR="00E7156C">
        <w:t xml:space="preserve"> </w:t>
      </w:r>
      <w:r>
        <w:fldChar w:fldCharType="begin" w:fldLock="1"/>
      </w:r>
      <w:r w:rsidR="00B02F06">
        <w:instrText>ADDIN CSL_CITATION {"citationItems":[{"id":"ITEM-1","itemData":{"author":[{"dropping-particle":"","family":"Yamashita","given":"Keiji","non-dropping-particle":"","parse-names":false,"suffix":""}],"container-title":"Biological Bulletin","id":"ITEM-1","issued":{"date-parts":[["2003"]]},"page":"256-269","title":"Larval Behavioral, Morphological Changes, and Nematocyte Dynamics During Settlement of Actinulae of Tubularia mesembryanthemum, Allman 1871 (Hydrozoa: Tubulariidae)","type":"article-journal","volume":"204"},"uris":["http://www.mendeley.com/documents/?uuid=f20a1cce-5224-449d-9ce6-230c4676dcc6"]}],"mendeley":{"formattedCitation":"(Yamashita, 2003)","plainTextFormattedCitation":"(Yamashita, 2003)","previouslyFormattedCitation":"(Yamashita 2003)"},"properties":{"noteIndex":0},"schema":"https://github.com/citation-style-language/schema/raw/master/csl-citation.json"}</w:instrText>
      </w:r>
      <w:r>
        <w:fldChar w:fldCharType="separate"/>
      </w:r>
      <w:r w:rsidR="00B02F06" w:rsidRPr="00B02F06">
        <w:rPr>
          <w:noProof/>
        </w:rPr>
        <w:t>(Yamashita, 2003)</w:t>
      </w:r>
      <w:r>
        <w:fldChar w:fldCharType="end"/>
      </w:r>
      <w:r>
        <w:t xml:space="preserve">. However, the structure of the nervous system throughout larval development has not been examined. </w:t>
      </w:r>
      <w:r w:rsidR="00151F4A">
        <w:t>We</w:t>
      </w:r>
      <w:r>
        <w:t xml:space="preserve"> </w:t>
      </w:r>
      <w:r w:rsidR="00E838EE">
        <w:t xml:space="preserve">examined </w:t>
      </w:r>
      <w:r>
        <w:t xml:space="preserve">larvae at four developmental </w:t>
      </w:r>
      <w:r w:rsidRPr="00DB1436">
        <w:t>stages,</w:t>
      </w:r>
      <w:r>
        <w:t xml:space="preserve"> including the </w:t>
      </w:r>
      <w:r>
        <w:lastRenderedPageBreak/>
        <w:t>metamorphosed juvenile polyp stage, using immunohistochemistry (IHC) and confocal microscopy</w:t>
      </w:r>
      <w:r w:rsidR="00654B8B">
        <w:t xml:space="preserve"> (Fig 1)</w:t>
      </w:r>
      <w:r>
        <w:t>. The state of the nervous system at the earliest stage, the star embryo</w:t>
      </w:r>
      <w:r w:rsidR="00EB7868">
        <w:t xml:space="preserve"> </w:t>
      </w:r>
      <w:r w:rsidR="00EB7868" w:rsidRPr="00DB1436">
        <w:t>(Fig 1A</w:t>
      </w:r>
      <w:r w:rsidR="00EB7868">
        <w:t>)</w:t>
      </w:r>
      <w:r>
        <w:t>, appears granular and undifferentiated, which we interpret as a contiguous assemblage of neural progenitor cells</w:t>
      </w:r>
      <w:r w:rsidR="001C5353">
        <w:t xml:space="preserve"> </w:t>
      </w:r>
      <w:r>
        <w:fldChar w:fldCharType="begin" w:fldLock="1"/>
      </w:r>
      <w:r w:rsidR="00B02F06">
        <w:instrText>ADDIN CSL_CITATION {"citationItems":[{"id":"ITEM-1","itemData":{"DOI":"10.1002/wdev.257","ISBN":"17597684 (ISSN)","ISSN":"17597692","PMID":"27882698","abstract":"Neurogenesis initiates during early development and it continues through later developmental stages and in adult animals to enable expansion, remodeling, and homeostasis of the nervous system. The generation of nerve cells has been ana-lyzed in detail in few bilaterian model organisms, leaving open many questions about the evolution of this process. As the sister group to bilaterians, cnidarians occupy an informative phylogenetic position to address the early evolution of cellular and molecular aspects of neurogenesis and to understand common prin-ciples of neural development. Here we review studies in several cnidarian model systems that have revealed significant similarities and interesting differences compared to neurogenesis in bilaterian species, and between different cnidarian taxa. Cnidarian neurogenesis is currently best understood in the sea anemone Nematostella vectensis, where it includes epithelial neural progenitor cells that express transcription factors of the soxB and atonal families. Notch signaling reg-ulates the number of these neural progenitor cells, achaete-scute and dmrt genes are required for their further development and Wnt and BMP signaling appear to be involved in the patterning of the nervous system. In contrast to many verte-brates and Drosophila, cnidarians have a high capacity to generate neurons throughout their lifetime and during regeneration. Utilizing this feature of cni-darian biology will likely allow gaining new insights into the similarities and dif-ferences of embryonic and regenerative neurogenesis. The use of different cnidarian model systems and their expanding experimental toolkits will thus continue to provide a better understanding of evolutionary and developmental aspects of nervous system formation.","author":[{"dropping-particle":"","family":"Rentzsch","given":"Fabian","non-dropping-particle":"","parse-names":false,"suffix":""},{"dropping-particle":"","family":"Layden","given":"Michael","non-dropping-particle":"","parse-names":false,"suffix":""},{"dropping-particle":"","family":"Manuel","given":"Michaël","non-dropping-particle":"","parse-names":false,"suffix":""}],"container-title":"Wiley Interdisciplinary Reviews: Developmental Biology","id":"ITEM-1","issue":"1","issued":{"date-parts":[["2017"]]},"page":"1-19","title":"The cellular and molecular basis of cnidarian neurogenesis","type":"article-journal","volume":"6"},"uris":["http://www.mendeley.com/documents/?uuid=a62a4e34-1d06-4f2f-9239-aa3e4b7db898"]}],"mendeley":{"formattedCitation":"(Rentzsch, Layden, &amp; Manuel, 2017)","plainTextFormattedCitation":"(Rentzsch, Layden, &amp; Manuel, 2017)","previouslyFormattedCitation":"(Rentzsch et al. 2017)"},"properties":{"noteIndex":0},"schema":"https://github.com/citation-style-language/schema/raw/master/csl-citation.json"}</w:instrText>
      </w:r>
      <w:r>
        <w:fldChar w:fldCharType="separate"/>
      </w:r>
      <w:r w:rsidR="00B02F06" w:rsidRPr="00B02F06">
        <w:rPr>
          <w:noProof/>
        </w:rPr>
        <w:t>(Rentzsch, Layden, &amp; Manuel, 2017)</w:t>
      </w:r>
      <w:r>
        <w:fldChar w:fldCharType="end"/>
      </w:r>
      <w:r>
        <w:t xml:space="preserve">. The larval nervous system becomes increasingly </w:t>
      </w:r>
      <w:r w:rsidR="006A7C0C">
        <w:t xml:space="preserve">differentiated </w:t>
      </w:r>
      <w:r>
        <w:t xml:space="preserve">as development proceeds </w:t>
      </w:r>
      <w:r w:rsidR="006A7C0C">
        <w:t xml:space="preserve">from the preactinula (Fig 1B) </w:t>
      </w:r>
      <w:r>
        <w:t xml:space="preserve">to the actinula stage </w:t>
      </w:r>
      <w:r w:rsidRPr="00DB1436">
        <w:t>(</w:t>
      </w:r>
      <w:r w:rsidR="001C5353" w:rsidRPr="00DB1436">
        <w:t>F</w:t>
      </w:r>
      <w:r w:rsidRPr="00DB1436">
        <w:t>i</w:t>
      </w:r>
      <w:r w:rsidR="001C5353" w:rsidRPr="00DB1436">
        <w:t xml:space="preserve">g </w:t>
      </w:r>
      <w:r w:rsidRPr="00DB1436">
        <w:t>1</w:t>
      </w:r>
      <w:r w:rsidR="001C5353" w:rsidRPr="00DB1436">
        <w:t>C-F</w:t>
      </w:r>
      <w:r w:rsidRPr="00DB1436">
        <w:t>),</w:t>
      </w:r>
      <w:r>
        <w:t xml:space="preserve"> </w:t>
      </w:r>
      <w:r w:rsidR="006A7C0C">
        <w:t>whereupon</w:t>
      </w:r>
      <w:r>
        <w:t xml:space="preserve"> the tentacles are loaded with neurons and cnidocytes (</w:t>
      </w:r>
      <w:r w:rsidRPr="00DB1436">
        <w:t>Fig 1</w:t>
      </w:r>
      <w:r w:rsidR="00986457" w:rsidRPr="00DB1436">
        <w:t>F</w:t>
      </w:r>
      <w:r>
        <w:t>). Additionally, the basal protrusion, the structure that c</w:t>
      </w:r>
      <w:r w:rsidR="00E838EE">
        <w:t>ontacts</w:t>
      </w:r>
      <w:r>
        <w:t xml:space="preserve"> </w:t>
      </w:r>
      <w:r w:rsidR="00D61EEE">
        <w:t xml:space="preserve">the </w:t>
      </w:r>
      <w:r>
        <w:t xml:space="preserve">substrate during settlement, contains a concentrated ring of neural cells </w:t>
      </w:r>
      <w:r w:rsidRPr="00DB1436">
        <w:t>(</w:t>
      </w:r>
      <w:r w:rsidR="005308DE" w:rsidRPr="00DB1436">
        <w:t>F</w:t>
      </w:r>
      <w:r w:rsidRPr="00DB1436">
        <w:t>i</w:t>
      </w:r>
      <w:r w:rsidR="00986457" w:rsidRPr="00DB1436">
        <w:t>g</w:t>
      </w:r>
      <w:r w:rsidRPr="00DB1436">
        <w:t xml:space="preserve"> 1</w:t>
      </w:r>
      <w:r w:rsidR="00BF50F3">
        <w:t>D</w:t>
      </w:r>
      <w:r w:rsidRPr="00DB1436">
        <w:t>).</w:t>
      </w:r>
      <w:r w:rsidRPr="007F7279">
        <w:t xml:space="preserve"> </w:t>
      </w:r>
      <w:r>
        <w:t>These data are consistent with</w:t>
      </w:r>
      <w:r w:rsidRPr="007F7279">
        <w:t xml:space="preserve"> </w:t>
      </w:r>
      <w:r>
        <w:t xml:space="preserve">the actinula stage being the competent stage for settlement and </w:t>
      </w:r>
      <w:r w:rsidR="00D61EEE">
        <w:t>suggest</w:t>
      </w:r>
      <w:r>
        <w:t xml:space="preserve"> that </w:t>
      </w:r>
      <w:r w:rsidR="00550145">
        <w:t>actinulae have</w:t>
      </w:r>
      <w:r>
        <w:t xml:space="preserve"> the capacity to integrate sensory information using the tentacles and the basal protrusion. </w:t>
      </w:r>
    </w:p>
    <w:p w14:paraId="1708339B" w14:textId="77777777" w:rsidR="004945DF" w:rsidRDefault="004945DF" w:rsidP="00D46E28">
      <w:pPr>
        <w:spacing w:line="480" w:lineRule="auto"/>
        <w:jc w:val="both"/>
        <w:rPr>
          <w:b/>
          <w:bCs/>
          <w:u w:val="single"/>
        </w:rPr>
      </w:pPr>
    </w:p>
    <w:p w14:paraId="10132CBB" w14:textId="44B326B3" w:rsidR="00A47113" w:rsidRDefault="00831E3C" w:rsidP="00D46E28">
      <w:pPr>
        <w:spacing w:line="480" w:lineRule="auto"/>
        <w:jc w:val="both"/>
        <w:rPr>
          <w:b/>
          <w:bCs/>
        </w:rPr>
      </w:pPr>
      <w:r>
        <w:rPr>
          <w:b/>
          <w:bCs/>
        </w:rPr>
        <w:t xml:space="preserve">Differences in the sensory environment </w:t>
      </w:r>
      <w:r w:rsidR="00111354">
        <w:rPr>
          <w:b/>
          <w:bCs/>
        </w:rPr>
        <w:t>impact larval settlement</w:t>
      </w:r>
      <w:r w:rsidR="00A47113">
        <w:rPr>
          <w:b/>
          <w:bCs/>
        </w:rPr>
        <w:t xml:space="preserve"> </w:t>
      </w:r>
    </w:p>
    <w:p w14:paraId="655F538A" w14:textId="0C48F23E" w:rsidR="00400479" w:rsidRPr="00597269" w:rsidRDefault="00BA600E" w:rsidP="00D46E28">
      <w:pPr>
        <w:spacing w:line="480" w:lineRule="auto"/>
        <w:jc w:val="both"/>
      </w:pPr>
      <w:r>
        <w:t>N</w:t>
      </w:r>
      <w:r w:rsidR="00495478">
        <w:t>ext</w:t>
      </w:r>
      <w:r w:rsidR="00D61EEE">
        <w:t>,</w:t>
      </w:r>
      <w:r w:rsidR="00495478">
        <w:t xml:space="preserve"> </w:t>
      </w:r>
      <w:r>
        <w:t>we investigated</w:t>
      </w:r>
      <w:r w:rsidR="00495478">
        <w:t xml:space="preserve"> the sensory information actinula integrate in support of the settlement decision. We performed a factorial</w:t>
      </w:r>
      <w:r w:rsidR="00537E8B">
        <w:t xml:space="preserve"> settlement</w:t>
      </w:r>
      <w:r w:rsidR="00495478">
        <w:t xml:space="preserve"> </w:t>
      </w:r>
      <w:r w:rsidR="00495478" w:rsidRPr="00862731">
        <w:t xml:space="preserve">study (Fig </w:t>
      </w:r>
      <w:r w:rsidR="00597269" w:rsidRPr="00862731">
        <w:t>2</w:t>
      </w:r>
      <w:r w:rsidR="00495478" w:rsidRPr="00862731">
        <w:t>)</w:t>
      </w:r>
      <w:r w:rsidR="00495478">
        <w:t xml:space="preserve"> assessing the impact of photosensory, chemosensory, and mechanosensory cues on larval settlement</w:t>
      </w:r>
      <w:r w:rsidR="00597269">
        <w:t>,</w:t>
      </w:r>
      <w:r w:rsidR="00495478">
        <w:t xml:space="preserve"> which we analyzed using a three-way analysis of variance (ANOVA</w:t>
      </w:r>
      <w:r w:rsidR="00597269">
        <w:t>).</w:t>
      </w:r>
      <w:r w:rsidR="00021AC7">
        <w:t xml:space="preserve"> </w:t>
      </w:r>
      <w:r w:rsidR="00EB0ECD">
        <w:t>Our experiment included</w:t>
      </w:r>
      <w:r w:rsidR="00BE7394">
        <w:t xml:space="preserve"> 10 blocks (replicates) where each block had</w:t>
      </w:r>
      <w:r w:rsidR="00EB0ECD">
        <w:t xml:space="preserve"> </w:t>
      </w:r>
      <w:r w:rsidR="00F7704C">
        <w:t>28</w:t>
      </w:r>
      <w:r w:rsidR="00BE7394">
        <w:t xml:space="preserve"> treatments of all possible combinations of cues </w:t>
      </w:r>
      <w:r w:rsidR="00682795">
        <w:t xml:space="preserve">and examined a total of </w:t>
      </w:r>
      <w:r w:rsidR="00BE7394">
        <w:t>2,800</w:t>
      </w:r>
      <w:r w:rsidR="00EB0ECD">
        <w:t xml:space="preserve"> individual actinula</w:t>
      </w:r>
      <w:r w:rsidR="00722924">
        <w:t xml:space="preserve"> larvae</w:t>
      </w:r>
      <w:r w:rsidR="00682795">
        <w:t xml:space="preserve"> </w:t>
      </w:r>
      <w:r w:rsidR="007A21BE">
        <w:t>(</w:t>
      </w:r>
      <w:r w:rsidR="00682795">
        <w:t>Fig</w:t>
      </w:r>
      <w:r w:rsidR="00312702">
        <w:t xml:space="preserve"> 2</w:t>
      </w:r>
      <w:r w:rsidR="00682795">
        <w:t>A</w:t>
      </w:r>
      <w:r w:rsidR="007A21BE">
        <w:t>)</w:t>
      </w:r>
      <w:r w:rsidR="00682795">
        <w:t xml:space="preserve">. </w:t>
      </w:r>
      <w:r w:rsidR="004D00EB">
        <w:t xml:space="preserve">While the </w:t>
      </w:r>
      <w:r w:rsidR="0057690B">
        <w:t>block</w:t>
      </w:r>
      <w:r w:rsidR="003B66BD">
        <w:t>ing variable</w:t>
      </w:r>
      <w:r w:rsidR="00722924">
        <w:t xml:space="preserve">, which was the </w:t>
      </w:r>
      <w:r w:rsidR="003B66BD">
        <w:t>experimental day</w:t>
      </w:r>
      <w:r w:rsidR="00722924">
        <w:t>,</w:t>
      </w:r>
      <w:r w:rsidR="0057690B">
        <w:t xml:space="preserve"> </w:t>
      </w:r>
      <w:r w:rsidR="004D00EB">
        <w:t xml:space="preserve">did not </w:t>
      </w:r>
      <w:r w:rsidR="0057690B">
        <w:t xml:space="preserve">influence the </w:t>
      </w:r>
      <w:r w:rsidR="00597269">
        <w:t>response</w:t>
      </w:r>
      <w:r w:rsidR="0057690B">
        <w:t xml:space="preserve">, larval settlement </w:t>
      </w:r>
      <w:r w:rsidR="00F26C53">
        <w:t xml:space="preserve">did </w:t>
      </w:r>
      <w:r w:rsidR="0057690B">
        <w:t xml:space="preserve">increase as </w:t>
      </w:r>
      <w:r w:rsidR="004D00EB">
        <w:t>the season</w:t>
      </w:r>
      <w:r w:rsidR="0057690B">
        <w:t xml:space="preserve"> progressed, similar to </w:t>
      </w:r>
      <w:r w:rsidR="0057690B">
        <w:fldChar w:fldCharType="begin" w:fldLock="1"/>
      </w:r>
      <w:r w:rsidR="00B02F06">
        <w:instrText>ADDIN CSL_CITATION {"citationItems":[{"id":"ITEM-1","itemData":{"author":[{"dropping-particle":"","family":"Yamashita","given":"Keiji","non-dropping-particle":"","parse-names":false,"suffix":""}],"container-title":"Biological Bulletin","id":"ITEM-1","issued":{"date-parts":[["2003"]]},"page":"256-269","title":"Larval Behavioral, Morphological Changes, and Nematocyte Dynamics During Settlement of Actinulae of Tubularia mesembryanthemum, Allman 1871 (Hydrozoa: Tubulariidae)","type":"article-journal","volume":"204"},"uris":["http://www.mendeley.com/documents/?uuid=f20a1cce-5224-449d-9ce6-230c4676dcc6"]}],"mendeley":{"formattedCitation":"(Yamashita, 2003)","manualFormatting":"Yamashita et al (2003)","plainTextFormattedCitation":"(Yamashita, 2003)","previouslyFormattedCitation":"(Yamashita 2003)"},"properties":{"noteIndex":0},"schema":"https://github.com/citation-style-language/schema/raw/master/csl-citation.json"}</w:instrText>
      </w:r>
      <w:r w:rsidR="0057690B">
        <w:fldChar w:fldCharType="separate"/>
      </w:r>
      <w:r w:rsidR="0057690B" w:rsidRPr="002320E0">
        <w:rPr>
          <w:noProof/>
        </w:rPr>
        <w:t>Yamashita</w:t>
      </w:r>
      <w:r w:rsidR="0057690B">
        <w:rPr>
          <w:noProof/>
        </w:rPr>
        <w:t xml:space="preserve"> et al</w:t>
      </w:r>
      <w:r w:rsidR="0057690B" w:rsidRPr="002320E0">
        <w:rPr>
          <w:noProof/>
        </w:rPr>
        <w:t xml:space="preserve"> </w:t>
      </w:r>
      <w:r w:rsidR="0057690B">
        <w:rPr>
          <w:noProof/>
        </w:rPr>
        <w:t>(</w:t>
      </w:r>
      <w:r w:rsidR="0057690B" w:rsidRPr="002320E0">
        <w:rPr>
          <w:noProof/>
        </w:rPr>
        <w:t>2003)</w:t>
      </w:r>
      <w:r w:rsidR="0057690B">
        <w:fldChar w:fldCharType="end"/>
      </w:r>
      <w:r w:rsidR="007A21BE">
        <w:t xml:space="preserve"> (</w:t>
      </w:r>
      <w:r w:rsidR="00722924">
        <w:t>Fig S2</w:t>
      </w:r>
      <w:r w:rsidR="00392827">
        <w:t>; Table S2</w:t>
      </w:r>
      <w:r w:rsidR="007A21BE">
        <w:t>)</w:t>
      </w:r>
      <w:r w:rsidR="0057690B">
        <w:t>.</w:t>
      </w:r>
      <w:r w:rsidR="004D00EB">
        <w:t xml:space="preserve"> </w:t>
      </w:r>
      <w:r w:rsidR="00E838EE">
        <w:t>Each</w:t>
      </w:r>
      <w:r w:rsidR="00400479" w:rsidRPr="00597269">
        <w:t xml:space="preserve"> individual sensory cues </w:t>
      </w:r>
      <w:r w:rsidR="008D2970">
        <w:t xml:space="preserve">significantly impacted </w:t>
      </w:r>
      <w:r w:rsidR="00400479" w:rsidRPr="00597269">
        <w:t>settlement</w:t>
      </w:r>
      <w:r w:rsidR="009629FE">
        <w:t xml:space="preserve"> when assessed i</w:t>
      </w:r>
      <w:r w:rsidR="009629FE" w:rsidRPr="00312702">
        <w:t>ndividually</w:t>
      </w:r>
      <w:r w:rsidR="009629FE">
        <w:t xml:space="preserve"> </w:t>
      </w:r>
      <w:r w:rsidR="008D2970">
        <w:t>(</w:t>
      </w:r>
      <w:r w:rsidR="00400479" w:rsidRPr="00597269">
        <w:t>light</w:t>
      </w:r>
      <w:r w:rsidR="008D2970">
        <w:t xml:space="preserve">, </w:t>
      </w:r>
      <w:r w:rsidR="00400479" w:rsidRPr="00597269">
        <w:rPr>
          <w:i/>
          <w:iCs/>
        </w:rPr>
        <w:t>p</w:t>
      </w:r>
      <w:r w:rsidR="00400479" w:rsidRPr="00597269">
        <w:t>=0.0482</w:t>
      </w:r>
      <w:r w:rsidR="008D2970">
        <w:t>;</w:t>
      </w:r>
      <w:r w:rsidR="008D2970" w:rsidRPr="00597269">
        <w:t xml:space="preserve"> </w:t>
      </w:r>
      <w:r w:rsidR="00400479" w:rsidRPr="00597269">
        <w:t>chemical</w:t>
      </w:r>
      <w:r w:rsidR="008D2970">
        <w:t>,</w:t>
      </w:r>
      <w:r w:rsidR="00400479" w:rsidRPr="00597269">
        <w:t xml:space="preserve"> </w:t>
      </w:r>
      <w:r w:rsidR="00400479" w:rsidRPr="00597269">
        <w:rPr>
          <w:i/>
          <w:iCs/>
        </w:rPr>
        <w:t>p</w:t>
      </w:r>
      <w:r w:rsidR="00400479" w:rsidRPr="00597269">
        <w:t>=&lt;2e-16</w:t>
      </w:r>
      <w:r w:rsidR="008D2970">
        <w:t xml:space="preserve">; </w:t>
      </w:r>
      <w:r w:rsidR="00400479" w:rsidRPr="00597269">
        <w:t>mechanical</w:t>
      </w:r>
      <w:r w:rsidR="008D2970">
        <w:t>,</w:t>
      </w:r>
      <w:r w:rsidR="00400479" w:rsidRPr="00597269">
        <w:t xml:space="preserve"> </w:t>
      </w:r>
      <w:r w:rsidR="00400479" w:rsidRPr="00597269">
        <w:rPr>
          <w:i/>
          <w:iCs/>
        </w:rPr>
        <w:t>p</w:t>
      </w:r>
      <w:r w:rsidR="00400479" w:rsidRPr="00597269">
        <w:t>=&lt;2e-16</w:t>
      </w:r>
      <w:r w:rsidR="00F26C53">
        <w:t xml:space="preserve">; </w:t>
      </w:r>
      <w:r w:rsidR="00400479" w:rsidRPr="00862731">
        <w:t xml:space="preserve">Fig </w:t>
      </w:r>
      <w:r w:rsidR="00533C74" w:rsidRPr="00862731">
        <w:t>2</w:t>
      </w:r>
      <w:r w:rsidR="00312702" w:rsidRPr="00862731">
        <w:t>B</w:t>
      </w:r>
      <w:r w:rsidR="00400479" w:rsidRPr="00862731">
        <w:t>-</w:t>
      </w:r>
      <w:r w:rsidR="00312702" w:rsidRPr="00862731">
        <w:t>D</w:t>
      </w:r>
      <w:r w:rsidR="00862731" w:rsidRPr="00862731">
        <w:t>; Table S1</w:t>
      </w:r>
      <w:r w:rsidR="00A803A7" w:rsidRPr="00862731">
        <w:t>)</w:t>
      </w:r>
      <w:r w:rsidR="00400479" w:rsidRPr="00862731">
        <w:t xml:space="preserve">. </w:t>
      </w:r>
      <w:r w:rsidR="007652A3" w:rsidRPr="00862731">
        <w:t>Specifically, t</w:t>
      </w:r>
      <w:r w:rsidR="006820D0" w:rsidRPr="00862731">
        <w:t>he</w:t>
      </w:r>
      <w:r w:rsidR="00400479" w:rsidRPr="00862731">
        <w:t xml:space="preserve"> rate of larval settlement increased </w:t>
      </w:r>
      <w:r w:rsidR="004A7A4B" w:rsidRPr="00862731">
        <w:t xml:space="preserve">significantly </w:t>
      </w:r>
      <w:r w:rsidR="00400479" w:rsidRPr="00862731">
        <w:t xml:space="preserve">in the </w:t>
      </w:r>
      <w:r w:rsidR="00400479" w:rsidRPr="00862731">
        <w:lastRenderedPageBreak/>
        <w:t>presence of light compared to darkness (</w:t>
      </w:r>
      <w:r w:rsidR="00400479" w:rsidRPr="00862731">
        <w:rPr>
          <w:i/>
          <w:iCs/>
        </w:rPr>
        <w:t>p</w:t>
      </w:r>
      <w:r w:rsidR="00400479" w:rsidRPr="00862731">
        <w:t>=0.0482</w:t>
      </w:r>
      <w:r w:rsidR="00A803A7" w:rsidRPr="00862731">
        <w:t xml:space="preserve">; Fig </w:t>
      </w:r>
      <w:r w:rsidR="00533C74" w:rsidRPr="00862731">
        <w:t>2</w:t>
      </w:r>
      <w:r w:rsidR="00312702" w:rsidRPr="00862731">
        <w:t>B</w:t>
      </w:r>
      <w:r w:rsidR="00831E3C" w:rsidRPr="00862731">
        <w:t>)</w:t>
      </w:r>
      <w:r w:rsidR="0025749F" w:rsidRPr="00862731">
        <w:t>,</w:t>
      </w:r>
      <w:r w:rsidR="00831E3C" w:rsidRPr="00862731">
        <w:t xml:space="preserve"> and</w:t>
      </w:r>
      <w:r w:rsidR="00400479" w:rsidRPr="00862731">
        <w:t xml:space="preserve"> in the presence of </w:t>
      </w:r>
      <w:r w:rsidR="0000733C" w:rsidRPr="00862731">
        <w:t>the</w:t>
      </w:r>
      <w:r w:rsidR="00400479" w:rsidRPr="00862731">
        <w:t xml:space="preserve"> chemical cue</w:t>
      </w:r>
      <w:r w:rsidR="00F26C53" w:rsidRPr="00862731">
        <w:t xml:space="preserve"> compared to its absence</w:t>
      </w:r>
      <w:r w:rsidR="00400479" w:rsidRPr="00862731">
        <w:t xml:space="preserve"> (</w:t>
      </w:r>
      <w:r w:rsidR="006A45BA" w:rsidRPr="00862731">
        <w:rPr>
          <w:i/>
          <w:iCs/>
        </w:rPr>
        <w:t>p</w:t>
      </w:r>
      <w:r w:rsidR="006A45BA" w:rsidRPr="00862731">
        <w:t>=</w:t>
      </w:r>
      <w:r w:rsidR="006F16E9" w:rsidRPr="00862731">
        <w:t>&lt;2e-16</w:t>
      </w:r>
      <w:r w:rsidR="006A45BA" w:rsidRPr="00862731">
        <w:t xml:space="preserve">; </w:t>
      </w:r>
      <w:r w:rsidR="00400479" w:rsidRPr="00862731">
        <w:t xml:space="preserve">Fig </w:t>
      </w:r>
      <w:r w:rsidR="00533C74" w:rsidRPr="00862731">
        <w:t>2</w:t>
      </w:r>
      <w:r w:rsidR="00312702" w:rsidRPr="00862731">
        <w:t>C</w:t>
      </w:r>
      <w:r w:rsidR="007A21BE" w:rsidRPr="00862731">
        <w:t>) but</w:t>
      </w:r>
      <w:r w:rsidR="00400479" w:rsidRPr="00862731">
        <w:t xml:space="preserve"> decreased in the presence of a mechanical </w:t>
      </w:r>
      <w:r w:rsidR="00B327F9" w:rsidRPr="00862731">
        <w:t xml:space="preserve">cue </w:t>
      </w:r>
      <w:r w:rsidR="00F001A4" w:rsidRPr="00862731">
        <w:t>(</w:t>
      </w:r>
      <w:r w:rsidR="00F001A4" w:rsidRPr="00862731">
        <w:rPr>
          <w:i/>
          <w:iCs/>
        </w:rPr>
        <w:t>p</w:t>
      </w:r>
      <w:r w:rsidR="00F001A4" w:rsidRPr="00862731">
        <w:t xml:space="preserve">=&lt;2e-16; Fig </w:t>
      </w:r>
      <w:r w:rsidR="00533C74" w:rsidRPr="00862731">
        <w:t>2</w:t>
      </w:r>
      <w:r w:rsidR="00312702" w:rsidRPr="00862731">
        <w:t>D</w:t>
      </w:r>
      <w:r w:rsidR="00F001A4" w:rsidRPr="00862731">
        <w:t>)</w:t>
      </w:r>
      <w:r w:rsidR="009629FE" w:rsidRPr="00862731">
        <w:t>,</w:t>
      </w:r>
      <w:r w:rsidR="00F001A4" w:rsidRPr="00597269">
        <w:t xml:space="preserve"> </w:t>
      </w:r>
      <w:r w:rsidR="00B327F9" w:rsidRPr="00597269">
        <w:t>when</w:t>
      </w:r>
      <w:r w:rsidR="00542BE3" w:rsidRPr="00597269">
        <w:t xml:space="preserve"> no other cues were present</w:t>
      </w:r>
      <w:r w:rsidR="00400479" w:rsidRPr="00597269">
        <w:t xml:space="preserve">. </w:t>
      </w:r>
    </w:p>
    <w:p w14:paraId="70D0C1E6" w14:textId="77777777" w:rsidR="004945DF" w:rsidRDefault="004945DF" w:rsidP="00D46E28">
      <w:pPr>
        <w:spacing w:line="480" w:lineRule="auto"/>
        <w:jc w:val="both"/>
      </w:pPr>
    </w:p>
    <w:p w14:paraId="036F6D66" w14:textId="6DB77436" w:rsidR="004D6B4F" w:rsidRDefault="004D6B4F" w:rsidP="00D46E28">
      <w:pPr>
        <w:spacing w:line="480" w:lineRule="auto"/>
        <w:jc w:val="both"/>
      </w:pPr>
      <w:r>
        <w:t>The effect of photosensory cues</w:t>
      </w:r>
      <w:r w:rsidR="00862731">
        <w:t xml:space="preserve"> </w:t>
      </w:r>
      <w:r w:rsidR="0000733C">
        <w:t>on settlement</w:t>
      </w:r>
      <w:r w:rsidR="00862731">
        <w:t xml:space="preserve"> (wavelengths of light)</w:t>
      </w:r>
      <w:r w:rsidR="00BD62DF">
        <w:t xml:space="preserve"> was investigated in the light-only treatment (</w:t>
      </w:r>
      <w:r w:rsidR="00BD62DF" w:rsidRPr="00862731">
        <w:t>Fig 2</w:t>
      </w:r>
      <w:r w:rsidR="00312702" w:rsidRPr="00862731">
        <w:t>E</w:t>
      </w:r>
      <w:r w:rsidR="00BD62DF" w:rsidRPr="00862731">
        <w:t>)</w:t>
      </w:r>
      <w:r w:rsidR="00BD62DF">
        <w:t xml:space="preserve"> using contrast analyses</w:t>
      </w:r>
      <w:r w:rsidR="00111354">
        <w:t>,</w:t>
      </w:r>
      <w:r w:rsidR="0025749F">
        <w:t xml:space="preserve"> </w:t>
      </w:r>
      <w:r w:rsidR="00BD62DF">
        <w:t xml:space="preserve">since </w:t>
      </w:r>
      <w:r w:rsidR="00A2462D">
        <w:t>this</w:t>
      </w:r>
      <w:r w:rsidR="00E02EDC">
        <w:t xml:space="preserve"> treatment </w:t>
      </w:r>
      <w:r w:rsidR="0025749F">
        <w:t xml:space="preserve">included additional dimensions compared to chemical and mechanical cues (e.g., </w:t>
      </w:r>
      <w:r w:rsidR="00111354">
        <w:t xml:space="preserve">presence/absence of light, </w:t>
      </w:r>
      <w:r w:rsidR="00AF16DD">
        <w:t xml:space="preserve">three </w:t>
      </w:r>
      <w:r w:rsidR="00111354">
        <w:t>wavelength</w:t>
      </w:r>
      <w:r w:rsidR="00AF16DD">
        <w:t>s</w:t>
      </w:r>
      <w:r w:rsidR="00E075BE">
        <w:t>,</w:t>
      </w:r>
      <w:r w:rsidR="00111354">
        <w:t xml:space="preserve"> and </w:t>
      </w:r>
      <w:r w:rsidR="00AF16DD">
        <w:t xml:space="preserve">two </w:t>
      </w:r>
      <w:r w:rsidR="00111354">
        <w:t>intensit</w:t>
      </w:r>
      <w:r w:rsidR="00AF16DD">
        <w:t>ies</w:t>
      </w:r>
      <w:r w:rsidR="00E02EDC">
        <w:t xml:space="preserve">, totaling 7 </w:t>
      </w:r>
      <w:r w:rsidR="008B2BF3">
        <w:t xml:space="preserve">light </w:t>
      </w:r>
      <w:proofErr w:type="gramStart"/>
      <w:r w:rsidR="008B2BF3">
        <w:t>conditions</w:t>
      </w:r>
      <w:r w:rsidR="007A21BE">
        <w:t>;</w:t>
      </w:r>
      <w:proofErr w:type="gramEnd"/>
      <w:r w:rsidR="00E02EDC">
        <w:t xml:space="preserve"> </w:t>
      </w:r>
      <w:r w:rsidR="009629FE">
        <w:t>Fig</w:t>
      </w:r>
      <w:r w:rsidR="008B2BF3">
        <w:t xml:space="preserve"> 2</w:t>
      </w:r>
      <w:r w:rsidR="00E02EDC">
        <w:t>A</w:t>
      </w:r>
      <w:r w:rsidR="007A21BE">
        <w:t>)</w:t>
      </w:r>
      <w:r w:rsidR="00E02EDC">
        <w:t>.</w:t>
      </w:r>
      <w:r>
        <w:t xml:space="preserve"> </w:t>
      </w:r>
      <w:r w:rsidR="004D00EB">
        <w:t>Settlement</w:t>
      </w:r>
      <w:r>
        <w:t xml:space="preserve"> increased in the presence of light compared to darkness (</w:t>
      </w:r>
      <w:r w:rsidRPr="007843EB">
        <w:rPr>
          <w:i/>
          <w:iCs/>
        </w:rPr>
        <w:t>p</w:t>
      </w:r>
      <w:r>
        <w:t>=0.</w:t>
      </w:r>
      <w:r w:rsidRPr="00862731">
        <w:t>0027</w:t>
      </w:r>
      <w:r w:rsidR="00B00924" w:rsidRPr="00862731">
        <w:t>;</w:t>
      </w:r>
      <w:r w:rsidRPr="00862731">
        <w:t xml:space="preserve"> Fi</w:t>
      </w:r>
      <w:r w:rsidR="003D08DA" w:rsidRPr="00862731">
        <w:t>g</w:t>
      </w:r>
      <w:r w:rsidRPr="00862731">
        <w:t xml:space="preserve"> </w:t>
      </w:r>
      <w:r w:rsidR="001D1A4B" w:rsidRPr="00862731">
        <w:t>2</w:t>
      </w:r>
      <w:r w:rsidR="008B2BF3" w:rsidRPr="00862731">
        <w:t>E</w:t>
      </w:r>
      <w:r w:rsidR="007A21BE" w:rsidRPr="00862731">
        <w:t xml:space="preserve"> and </w:t>
      </w:r>
      <w:r w:rsidRPr="00862731">
        <w:t xml:space="preserve">Fig </w:t>
      </w:r>
      <w:r w:rsidR="001D1A4B" w:rsidRPr="00862731">
        <w:t>2</w:t>
      </w:r>
      <w:r w:rsidR="008B2BF3" w:rsidRPr="00862731">
        <w:t>B</w:t>
      </w:r>
      <w:r w:rsidR="007A21BE" w:rsidRPr="00862731">
        <w:t>,</w:t>
      </w:r>
      <w:r w:rsidR="004D00EB" w:rsidRPr="00862731">
        <w:t xml:space="preserve"> Table</w:t>
      </w:r>
      <w:r w:rsidR="00232130" w:rsidRPr="00862731">
        <w:t xml:space="preserve"> S3</w:t>
      </w:r>
      <w:r w:rsidR="00B00924" w:rsidRPr="00862731">
        <w:t>)</w:t>
      </w:r>
      <w:r w:rsidRPr="00862731">
        <w:t xml:space="preserve">. </w:t>
      </w:r>
      <w:r w:rsidR="008B2BF3" w:rsidRPr="00862731">
        <w:t>In addition</w:t>
      </w:r>
      <w:r w:rsidR="00232130" w:rsidRPr="00862731">
        <w:t>, s</w:t>
      </w:r>
      <w:r w:rsidRPr="00862731">
        <w:t>ignificantly higher settlement</w:t>
      </w:r>
      <w:r w:rsidR="00631F5B" w:rsidRPr="00862731">
        <w:t xml:space="preserve"> </w:t>
      </w:r>
      <w:r w:rsidR="0000733C" w:rsidRPr="00862731">
        <w:t xml:space="preserve">occurred </w:t>
      </w:r>
      <w:r w:rsidRPr="00862731">
        <w:t>in green wavelengths of light (</w:t>
      </w:r>
      <w:r w:rsidRPr="00862731">
        <w:rPr>
          <w:i/>
          <w:iCs/>
        </w:rPr>
        <w:t>p</w:t>
      </w:r>
      <w:r w:rsidRPr="00862731">
        <w:t>=0.00167</w:t>
      </w:r>
      <w:r w:rsidR="00021AC7" w:rsidRPr="00862731">
        <w:t xml:space="preserve">; </w:t>
      </w:r>
      <w:r w:rsidR="00631F5B" w:rsidRPr="00862731">
        <w:t xml:space="preserve">Fig </w:t>
      </w:r>
      <w:r w:rsidR="001D1A4B" w:rsidRPr="00862731">
        <w:t>2</w:t>
      </w:r>
      <w:r w:rsidR="008B2BF3" w:rsidRPr="00862731">
        <w:t>E</w:t>
      </w:r>
      <w:r w:rsidR="00021AC7" w:rsidRPr="00862731">
        <w:t>)</w:t>
      </w:r>
      <w:r w:rsidR="00385250" w:rsidRPr="00862731">
        <w:t>,</w:t>
      </w:r>
      <w:r>
        <w:t xml:space="preserve"> </w:t>
      </w:r>
      <w:r w:rsidR="00385250">
        <w:t>whereas</w:t>
      </w:r>
      <w:r>
        <w:t xml:space="preserve"> significantly lower settlement</w:t>
      </w:r>
      <w:r w:rsidR="00631F5B">
        <w:t xml:space="preserve"> occur</w:t>
      </w:r>
      <w:r w:rsidR="0000733C">
        <w:t>red</w:t>
      </w:r>
      <w:r>
        <w:t xml:space="preserve"> in red wavelengths (</w:t>
      </w:r>
      <w:r w:rsidRPr="007843EB">
        <w:rPr>
          <w:i/>
          <w:iCs/>
        </w:rPr>
        <w:t>p</w:t>
      </w:r>
      <w:r>
        <w:t>=0.01137</w:t>
      </w:r>
      <w:r w:rsidR="00021AC7">
        <w:t>; Fig</w:t>
      </w:r>
      <w:r w:rsidR="00232130">
        <w:t xml:space="preserve"> 2</w:t>
      </w:r>
      <w:r w:rsidR="008B2BF3">
        <w:t>E</w:t>
      </w:r>
      <w:r>
        <w:t>)</w:t>
      </w:r>
      <w:r w:rsidR="00715BDA">
        <w:t>,</w:t>
      </w:r>
      <w:r>
        <w:t xml:space="preserve"> compared to the other two wavelengths. </w:t>
      </w:r>
      <w:r w:rsidR="008B2BF3">
        <w:t>N</w:t>
      </w:r>
      <w:r w:rsidR="0000733C">
        <w:t xml:space="preserve">o significant </w:t>
      </w:r>
      <w:r>
        <w:t xml:space="preserve">interaction between light intensity and </w:t>
      </w:r>
      <w:r w:rsidR="0000733C">
        <w:t>light wavelength</w:t>
      </w:r>
      <w:r>
        <w:t xml:space="preserve"> </w:t>
      </w:r>
      <w:r w:rsidR="00385250">
        <w:t xml:space="preserve">was </w:t>
      </w:r>
      <w:r w:rsidR="0000733C">
        <w:t>detected</w:t>
      </w:r>
      <w:r w:rsidR="00EB0ECD">
        <w:t>.</w:t>
      </w:r>
      <w:r>
        <w:t xml:space="preserve"> </w:t>
      </w:r>
    </w:p>
    <w:p w14:paraId="360CA3F4" w14:textId="291A4C42" w:rsidR="004945DF" w:rsidRDefault="004945DF" w:rsidP="00D46E28">
      <w:pPr>
        <w:spacing w:line="480" w:lineRule="auto"/>
        <w:jc w:val="both"/>
      </w:pPr>
    </w:p>
    <w:p w14:paraId="2A264A81" w14:textId="6D8C739D" w:rsidR="004E4C2D" w:rsidRPr="005C756E" w:rsidRDefault="004E4C2D" w:rsidP="00D46E28">
      <w:pPr>
        <w:spacing w:line="480" w:lineRule="auto"/>
        <w:jc w:val="both"/>
        <w:rPr>
          <w:b/>
          <w:bCs/>
        </w:rPr>
      </w:pPr>
      <w:r>
        <w:rPr>
          <w:b/>
          <w:bCs/>
        </w:rPr>
        <w:t>Multisensory integration and a</w:t>
      </w:r>
      <w:r w:rsidRPr="009F6C3B">
        <w:rPr>
          <w:b/>
          <w:bCs/>
        </w:rPr>
        <w:t xml:space="preserve"> </w:t>
      </w:r>
      <w:r>
        <w:rPr>
          <w:b/>
          <w:bCs/>
        </w:rPr>
        <w:t>s</w:t>
      </w:r>
      <w:r w:rsidRPr="009F6C3B">
        <w:rPr>
          <w:b/>
          <w:bCs/>
        </w:rPr>
        <w:t xml:space="preserve">ensory cue hierarchy </w:t>
      </w:r>
      <w:r>
        <w:rPr>
          <w:b/>
          <w:bCs/>
        </w:rPr>
        <w:t xml:space="preserve">determine settlement in actinulae </w:t>
      </w:r>
    </w:p>
    <w:p w14:paraId="1A05035E" w14:textId="32D06DC4" w:rsidR="004E4C2D" w:rsidRDefault="004E4C2D" w:rsidP="00D46E28">
      <w:pPr>
        <w:spacing w:line="480" w:lineRule="auto"/>
        <w:jc w:val="both"/>
      </w:pPr>
      <w:r>
        <w:t>Multisensory integration is detected by examining statistical interactions between different sensory conditions</w:t>
      </w:r>
      <w:r w:rsidR="00E838EE">
        <w:t xml:space="preserve"> </w:t>
      </w:r>
      <w:r>
        <w:fldChar w:fldCharType="begin" w:fldLock="1"/>
      </w:r>
      <w:r w:rsidR="00B02F06">
        <w:instrText>ADDIN CSL_CITATION {"citationItems":[{"id":"ITEM-1","itemData":{"DOI":"10.1007/s00221-009-1880-8","ISSN":"00144819","PMID":"19551377","abstract":"Single-neuron studies provide a foundation for understanding many facets of multisensory integration. These studies have used a variety of criteria for identifying and quantifying multisensory integration. While a number of techniques have been used, an explicit discussion of the assumptions, criteria, and analytical methods traditionally used to define the principles of multisensory integration is lacking. This was not problematic when the field was small, but with rapid growth a number of alternative techniques and models have been introduced, each with its own criteria and sets of implicit assumptions to define and characterize what is thought to be the same phenomenon. The potential for misconception prompted this reexamination of traditional approaches in order to clarify their underlying assumptions and analytic techniques. The objective here is to review and discuss traditional quantitative methods advanced in the study of single-neuron physiology in order to appreciate the process of multisensory integration and its impact. © 2009 Springer-Verlag.","author":[{"dropping-particle":"","family":"Stein","given":"Barry E.","non-dropping-particle":"","parse-names":false,"suffix":""},{"dropping-particle":"","family":"Stanford","given":"Terrence R.","non-dropping-particle":"","parse-names":false,"suffix":""},{"dropping-particle":"","family":"Ramachandran","given":"Ramnarayan","non-dropping-particle":"","parse-names":false,"suffix":""},{"dropping-particle":"","family":"Perrault","given":"Thomas J.","non-dropping-particle":"","parse-names":false,"suffix":""},{"dropping-particle":"","family":"Rowland","given":"Benjamin A.","non-dropping-particle":"","parse-names":false,"suffix":""}],"container-title":"Experimental Brain Research","id":"ITEM-1","issue":"2-3","issued":{"date-parts":[["2009"]]},"page":"113-126","title":"Challenges in quantifying multisensory integration: Alternative criteria, models, and inverse effectiveness","type":"article-journal","volume":"198"},"uris":["http://www.mendeley.com/documents/?uuid=f131e31e-b09d-44ae-ac2a-2fd82c710204"]}],"mendeley":{"formattedCitation":"(Barry E. Stein et al., 2009)","plainTextFormattedCitation":"(Barry E. Stein et al., 2009)","previouslyFormattedCitation":"(Stein et al. 2009)"},"properties":{"noteIndex":0},"schema":"https://github.com/citation-style-language/schema/raw/master/csl-citation.json"}</w:instrText>
      </w:r>
      <w:r>
        <w:fldChar w:fldCharType="separate"/>
      </w:r>
      <w:r w:rsidR="00B02F06" w:rsidRPr="00B02F06">
        <w:rPr>
          <w:noProof/>
        </w:rPr>
        <w:t>(Barry E. Stein et al., 2009)</w:t>
      </w:r>
      <w:r>
        <w:fldChar w:fldCharType="end"/>
      </w:r>
      <w:r>
        <w:t>.  Here we examined interactions between sensory cues</w:t>
      </w:r>
      <w:r w:rsidR="00D26B72">
        <w:t xml:space="preserve"> as they relate to settlement rate</w:t>
      </w:r>
      <w:r>
        <w:t xml:space="preserve"> using a three-way ANOVA and contrasts </w:t>
      </w:r>
      <w:r w:rsidRPr="00862731">
        <w:t xml:space="preserve">based on our experimental approach (Fig 2A; Table S4). No interaction between light and chemical cues </w:t>
      </w:r>
      <w:r w:rsidR="007478CC">
        <w:t>was</w:t>
      </w:r>
      <w:r w:rsidRPr="00862731">
        <w:t xml:space="preserve"> identified across experiments (</w:t>
      </w:r>
      <w:r w:rsidRPr="00862731">
        <w:rPr>
          <w:i/>
          <w:iCs/>
        </w:rPr>
        <w:t>p</w:t>
      </w:r>
      <w:r w:rsidRPr="00862731">
        <w:t>=0.33; 70 experiments total; Fig 2F</w:t>
      </w:r>
      <w:r>
        <w:t xml:space="preserve"> and Fig 2I). Similarly, no significant interaction (</w:t>
      </w:r>
      <w:r w:rsidRPr="00DB04D0">
        <w:rPr>
          <w:i/>
          <w:iCs/>
        </w:rPr>
        <w:t>p</w:t>
      </w:r>
      <w:r>
        <w:t>=0.89) was observed between light and mechanical cues (Fig 2G and Fig 2J).</w:t>
      </w:r>
      <w:r w:rsidRPr="006A15F5">
        <w:t xml:space="preserve"> </w:t>
      </w:r>
      <w:r>
        <w:t xml:space="preserve">Conversely, </w:t>
      </w:r>
      <w:proofErr w:type="gramStart"/>
      <w:r>
        <w:t>chemical</w:t>
      </w:r>
      <w:proofErr w:type="gramEnd"/>
      <w:r>
        <w:t xml:space="preserve"> and mechanical cues displayed a significan</w:t>
      </w:r>
      <w:r w:rsidRPr="00862731">
        <w:t>t positive interaction (</w:t>
      </w:r>
      <w:r w:rsidRPr="00862731">
        <w:rPr>
          <w:i/>
          <w:iCs/>
        </w:rPr>
        <w:t>p</w:t>
      </w:r>
      <w:r w:rsidRPr="00862731">
        <w:t>=&lt;2e-</w:t>
      </w:r>
      <w:r w:rsidRPr="00862731">
        <w:lastRenderedPageBreak/>
        <w:t>16; Fig 2K). Alone, chemosensory cues were a strong determinant of larval settlement. However, in the combined presence of the mechanical cue, settlement rates were significantly enhanced, indicating an inversion in the sign of the mechanical cue in the presence of the chemical cue (biofilm). Recall that when the chemical cue was absent, the mechanical cue had a significant negative influence on settlement</w:t>
      </w:r>
      <w:r w:rsidR="005905F9">
        <w:t xml:space="preserve"> rate</w:t>
      </w:r>
      <w:r w:rsidRPr="00862731">
        <w:t xml:space="preserve"> (</w:t>
      </w:r>
      <w:r w:rsidRPr="00862731">
        <w:rPr>
          <w:i/>
          <w:iCs/>
        </w:rPr>
        <w:t>p</w:t>
      </w:r>
      <w:r w:rsidRPr="00862731">
        <w:t>=&lt;2e-16; Fig 2K).</w:t>
      </w:r>
      <w:r>
        <w:t xml:space="preserve"> </w:t>
      </w:r>
    </w:p>
    <w:p w14:paraId="5AC9F3F5" w14:textId="1A6311CF" w:rsidR="001D5665" w:rsidRDefault="001D5665" w:rsidP="00D46E28">
      <w:pPr>
        <w:spacing w:line="480" w:lineRule="auto"/>
        <w:jc w:val="both"/>
      </w:pPr>
    </w:p>
    <w:p w14:paraId="23530965" w14:textId="252E7793" w:rsidR="003719C5" w:rsidRDefault="005905F9" w:rsidP="00D46E28">
      <w:pPr>
        <w:spacing w:line="480" w:lineRule="auto"/>
        <w:jc w:val="both"/>
      </w:pPr>
      <w:r>
        <w:t>T</w:t>
      </w:r>
      <w:r w:rsidR="0058479F">
        <w:t>he three-way interaction</w:t>
      </w:r>
      <w:r w:rsidR="00F55274">
        <w:t xml:space="preserve"> between photo-, chemo</w:t>
      </w:r>
      <w:r w:rsidR="00DF4815">
        <w:t>-</w:t>
      </w:r>
      <w:r w:rsidR="00F55274">
        <w:t>, and mechanosensory cues</w:t>
      </w:r>
      <w:r w:rsidR="0058479F">
        <w:t xml:space="preserve"> from </w:t>
      </w:r>
      <w:r w:rsidR="004643FA">
        <w:t xml:space="preserve">the </w:t>
      </w:r>
      <w:r w:rsidR="0058479F">
        <w:t>ANOVA is also significant (</w:t>
      </w:r>
      <w:r w:rsidR="0058479F" w:rsidRPr="00DB04D0">
        <w:rPr>
          <w:i/>
          <w:iCs/>
        </w:rPr>
        <w:t>p</w:t>
      </w:r>
      <w:r w:rsidR="0058479F">
        <w:t xml:space="preserve">=0.022) and indicates MSI by enhancement (Stein et al. 2009). The multisensory response has a significantly </w:t>
      </w:r>
      <w:r w:rsidR="00654B8B">
        <w:t xml:space="preserve">higher </w:t>
      </w:r>
      <w:r w:rsidR="0058479F">
        <w:t>mean than the largest unisensory response</w:t>
      </w:r>
      <w:r w:rsidR="00DF4815">
        <w:t xml:space="preserve"> (chemosensory)</w:t>
      </w:r>
      <w:r w:rsidR="00B00924">
        <w:t xml:space="preserve"> and the chemo-mechanical response in the absence of light</w:t>
      </w:r>
      <w:r w:rsidR="0058479F">
        <w:t xml:space="preserve"> </w:t>
      </w:r>
      <w:r w:rsidR="00550145">
        <w:t>(</w:t>
      </w:r>
      <w:r w:rsidR="0058479F">
        <w:t>Fig</w:t>
      </w:r>
      <w:r w:rsidR="004643FA">
        <w:t xml:space="preserve"> </w:t>
      </w:r>
      <w:r w:rsidR="0058479F">
        <w:t>3</w:t>
      </w:r>
      <w:r w:rsidR="009C7CC9">
        <w:t>; Fig 2H;</w:t>
      </w:r>
      <w:r w:rsidR="004643FA">
        <w:t xml:space="preserve"> Fig 2L</w:t>
      </w:r>
      <w:r w:rsidR="00550145">
        <w:t>).</w:t>
      </w:r>
      <w:r w:rsidR="0058479F">
        <w:t xml:space="preserve"> </w:t>
      </w:r>
      <w:r w:rsidR="001F5A4A">
        <w:t>Among</w:t>
      </w:r>
      <w:r w:rsidR="0015058C">
        <w:t xml:space="preserve"> t</w:t>
      </w:r>
      <w:r w:rsidR="00635D32">
        <w:t>he three-way interaction</w:t>
      </w:r>
      <w:r w:rsidR="0015058C">
        <w:t xml:space="preserve">, </w:t>
      </w:r>
      <w:r w:rsidR="00635D32">
        <w:t xml:space="preserve">larval settlement </w:t>
      </w:r>
      <w:r w:rsidR="0015058C">
        <w:t xml:space="preserve">was </w:t>
      </w:r>
      <w:r w:rsidR="00635D32">
        <w:t xml:space="preserve">significantly lower in darkness when chemical and </w:t>
      </w:r>
      <w:r w:rsidR="00635D32" w:rsidRPr="00862731">
        <w:t xml:space="preserve">mechanical cues </w:t>
      </w:r>
      <w:r w:rsidR="003D1220" w:rsidRPr="00862731">
        <w:t xml:space="preserve">were </w:t>
      </w:r>
      <w:r w:rsidR="00635D32" w:rsidRPr="00862731">
        <w:t>present (</w:t>
      </w:r>
      <w:r w:rsidR="00635D32" w:rsidRPr="00862731">
        <w:rPr>
          <w:i/>
          <w:iCs/>
        </w:rPr>
        <w:t>p</w:t>
      </w:r>
      <w:r w:rsidR="00635D32" w:rsidRPr="00862731">
        <w:t>=0.03</w:t>
      </w:r>
      <w:r w:rsidR="00550145" w:rsidRPr="00862731">
        <w:t xml:space="preserve">; </w:t>
      </w:r>
      <w:r w:rsidR="00635D32" w:rsidRPr="00862731">
        <w:t xml:space="preserve">Fig </w:t>
      </w:r>
      <w:r w:rsidR="00724ABF" w:rsidRPr="00862731">
        <w:t>2</w:t>
      </w:r>
      <w:r w:rsidR="004643FA" w:rsidRPr="00862731">
        <w:t>H</w:t>
      </w:r>
      <w:r w:rsidR="00635D32" w:rsidRPr="00862731">
        <w:t xml:space="preserve"> and </w:t>
      </w:r>
      <w:r w:rsidR="004643FA" w:rsidRPr="00862731">
        <w:t>L</w:t>
      </w:r>
      <w:r w:rsidR="0058479F" w:rsidRPr="00862731">
        <w:t>).</w:t>
      </w:r>
      <w:r w:rsidR="003719C5" w:rsidRPr="00862731">
        <w:t xml:space="preserve"> Additionally,</w:t>
      </w:r>
      <w:r w:rsidR="004A11FB" w:rsidRPr="00862731">
        <w:t xml:space="preserve"> </w:t>
      </w:r>
      <w:r w:rsidR="003719C5" w:rsidRPr="00862731">
        <w:t xml:space="preserve">the rate of settlement </w:t>
      </w:r>
      <w:r w:rsidR="004A11FB" w:rsidRPr="00862731">
        <w:t xml:space="preserve">is </w:t>
      </w:r>
      <w:r w:rsidR="003719C5" w:rsidRPr="00862731">
        <w:t xml:space="preserve">significantly higher </w:t>
      </w:r>
      <w:r w:rsidR="004A11FB" w:rsidRPr="00862731">
        <w:t xml:space="preserve">in green light </w:t>
      </w:r>
      <w:r w:rsidR="003719C5" w:rsidRPr="00862731">
        <w:t>in the presence of chemical and mechanical cues (</w:t>
      </w:r>
      <w:r w:rsidR="003719C5" w:rsidRPr="00862731">
        <w:rPr>
          <w:i/>
          <w:iCs/>
        </w:rPr>
        <w:t>p</w:t>
      </w:r>
      <w:r w:rsidR="003719C5" w:rsidRPr="00862731">
        <w:t>=0.026)</w:t>
      </w:r>
      <w:r w:rsidR="004643FA" w:rsidRPr="00862731">
        <w:t>,</w:t>
      </w:r>
      <w:r w:rsidR="003719C5" w:rsidRPr="00862731">
        <w:t xml:space="preserve"> and significantly lower in red light (</w:t>
      </w:r>
      <w:r w:rsidR="003719C5" w:rsidRPr="00862731">
        <w:rPr>
          <w:i/>
          <w:iCs/>
        </w:rPr>
        <w:t>p</w:t>
      </w:r>
      <w:r w:rsidR="003719C5" w:rsidRPr="00862731">
        <w:t>=0.003</w:t>
      </w:r>
      <w:r w:rsidR="00550145" w:rsidRPr="00862731">
        <w:t>;</w:t>
      </w:r>
      <w:r w:rsidR="004A11FB" w:rsidRPr="00862731">
        <w:t xml:space="preserve"> Fig </w:t>
      </w:r>
      <w:r w:rsidR="00724ABF" w:rsidRPr="00862731">
        <w:t>2</w:t>
      </w:r>
      <w:r w:rsidR="004643FA" w:rsidRPr="00862731">
        <w:t>H</w:t>
      </w:r>
      <w:r w:rsidR="004A11FB" w:rsidRPr="00862731">
        <w:t xml:space="preserve"> and </w:t>
      </w:r>
      <w:r w:rsidR="004643FA" w:rsidRPr="00862731">
        <w:t>L</w:t>
      </w:r>
      <w:r w:rsidR="00550145" w:rsidRPr="00862731">
        <w:t>).</w:t>
      </w:r>
      <w:r w:rsidR="003719C5" w:rsidRPr="00862731">
        <w:t xml:space="preserve"> This interaction can be seen in </w:t>
      </w:r>
      <w:r w:rsidR="003D08DA" w:rsidRPr="00862731">
        <w:t>Fig</w:t>
      </w:r>
      <w:r w:rsidR="003719C5" w:rsidRPr="00862731">
        <w:t xml:space="preserve"> 2</w:t>
      </w:r>
      <w:r w:rsidR="004643FA" w:rsidRPr="00862731">
        <w:t>L</w:t>
      </w:r>
      <w:r w:rsidR="003719C5" w:rsidRPr="00862731">
        <w:t xml:space="preserve">, which shows that green light at both intensities </w:t>
      </w:r>
      <w:r w:rsidR="00550145" w:rsidRPr="00862731">
        <w:t xml:space="preserve">induce </w:t>
      </w:r>
      <w:r w:rsidR="003719C5" w:rsidRPr="00862731">
        <w:t>higher settlement rates under</w:t>
      </w:r>
      <w:r w:rsidR="004A11FB" w:rsidRPr="00862731">
        <w:t xml:space="preserve"> chemical, and mechanical cues,</w:t>
      </w:r>
      <w:r w:rsidR="003719C5" w:rsidRPr="00862731">
        <w:t xml:space="preserve"> and lower settlement rates</w:t>
      </w:r>
      <w:r w:rsidR="00221733">
        <w:t xml:space="preserve"> occur</w:t>
      </w:r>
      <w:r w:rsidR="003719C5" w:rsidRPr="00862731">
        <w:t xml:space="preserve"> </w:t>
      </w:r>
      <w:r w:rsidR="004A11FB" w:rsidRPr="00862731">
        <w:t>in</w:t>
      </w:r>
      <w:r w:rsidR="003719C5" w:rsidRPr="00862731">
        <w:t xml:space="preserve"> red light. </w:t>
      </w:r>
      <w:r w:rsidR="00550145" w:rsidRPr="00862731">
        <w:t>Together</w:t>
      </w:r>
      <w:r w:rsidR="00926FEB" w:rsidRPr="00862731">
        <w:t xml:space="preserve">, the </w:t>
      </w:r>
      <w:r w:rsidR="007340CC" w:rsidRPr="00862731">
        <w:t>A</w:t>
      </w:r>
      <w:r w:rsidR="009C1B9D" w:rsidRPr="00862731">
        <w:t xml:space="preserve">rea under curve </w:t>
      </w:r>
      <w:r w:rsidR="0077602D" w:rsidRPr="00862731">
        <w:t>(</w:t>
      </w:r>
      <w:r w:rsidR="009C1B9D" w:rsidRPr="00862731">
        <w:t>AUC</w:t>
      </w:r>
      <w:r w:rsidR="0077602D" w:rsidRPr="00862731">
        <w:t>)</w:t>
      </w:r>
      <w:r w:rsidR="009C1B9D" w:rsidRPr="00862731">
        <w:t xml:space="preserve"> data for the </w:t>
      </w:r>
      <w:r w:rsidR="0077602D" w:rsidRPr="00862731">
        <w:t>different</w:t>
      </w:r>
      <w:r w:rsidR="009C1B9D" w:rsidRPr="00862731">
        <w:t xml:space="preserve"> combinations</w:t>
      </w:r>
      <w:r w:rsidR="00C849DF" w:rsidRPr="00862731">
        <w:t xml:space="preserve"> of cues</w:t>
      </w:r>
      <w:r w:rsidR="009C1B9D" w:rsidRPr="00862731">
        <w:t xml:space="preserve"> </w:t>
      </w:r>
      <w:r w:rsidR="007340CC" w:rsidRPr="00862731">
        <w:t>depict a sensory cue hierarchy</w:t>
      </w:r>
      <w:r w:rsidR="00747DF5" w:rsidRPr="00862731">
        <w:t xml:space="preserve"> </w:t>
      </w:r>
      <w:r w:rsidR="00926FEB" w:rsidRPr="00862731">
        <w:t xml:space="preserve">(Fig 3) </w:t>
      </w:r>
      <w:r w:rsidR="00747DF5" w:rsidRPr="00862731">
        <w:t>where t</w:t>
      </w:r>
      <w:r w:rsidR="003719C5" w:rsidRPr="00862731">
        <w:t>he</w:t>
      </w:r>
      <w:r w:rsidR="00D160B4" w:rsidRPr="00862731">
        <w:t xml:space="preserve"> highest rates </w:t>
      </w:r>
      <w:r w:rsidR="0077602D" w:rsidRPr="00862731">
        <w:t>of</w:t>
      </w:r>
      <w:r w:rsidR="00D160B4" w:rsidRPr="00862731">
        <w:t xml:space="preserve"> settlement occur in the presence of</w:t>
      </w:r>
      <w:r w:rsidR="003719C5" w:rsidRPr="00862731">
        <w:t xml:space="preserve"> </w:t>
      </w:r>
      <w:r w:rsidR="00D160B4" w:rsidRPr="00862731">
        <w:t xml:space="preserve">light, </w:t>
      </w:r>
      <w:r w:rsidR="003719C5" w:rsidRPr="00862731">
        <w:t xml:space="preserve">chemical, </w:t>
      </w:r>
      <w:r w:rsidR="00D160B4" w:rsidRPr="00862731">
        <w:t xml:space="preserve">and </w:t>
      </w:r>
      <w:r w:rsidR="003719C5" w:rsidRPr="00862731">
        <w:t>mechanical cues</w:t>
      </w:r>
      <w:r w:rsidR="00747DF5" w:rsidRPr="00862731">
        <w:t>.</w:t>
      </w:r>
      <w:r w:rsidR="00747DF5">
        <w:t xml:space="preserve"> </w:t>
      </w:r>
    </w:p>
    <w:p w14:paraId="59B0F4BD" w14:textId="653866ED" w:rsidR="00587A4E" w:rsidRDefault="00587A4E" w:rsidP="00D46E28">
      <w:pPr>
        <w:spacing w:line="480" w:lineRule="auto"/>
        <w:jc w:val="both"/>
      </w:pPr>
    </w:p>
    <w:p w14:paraId="3106DA2B" w14:textId="6672A7DA" w:rsidR="004E4C2D" w:rsidRPr="005563F3" w:rsidRDefault="004E4C2D" w:rsidP="00D46E28">
      <w:pPr>
        <w:spacing w:line="480" w:lineRule="auto"/>
        <w:jc w:val="both"/>
        <w:rPr>
          <w:b/>
          <w:bCs/>
        </w:rPr>
      </w:pPr>
      <w:r>
        <w:rPr>
          <w:b/>
          <w:bCs/>
        </w:rPr>
        <w:t>Sensory gene expression peaks in competent larvae and diminishes during and after metamorphosis</w:t>
      </w:r>
    </w:p>
    <w:p w14:paraId="6EEC6149" w14:textId="6F6F2768" w:rsidR="004E4C2D" w:rsidRDefault="004E4C2D" w:rsidP="00D46E28">
      <w:pPr>
        <w:spacing w:line="480" w:lineRule="auto"/>
        <w:jc w:val="both"/>
      </w:pPr>
      <w:r>
        <w:lastRenderedPageBreak/>
        <w:t xml:space="preserve">We performed a comparative transcriptome study on six developmental stages of </w:t>
      </w:r>
      <w:r w:rsidRPr="00D632C4">
        <w:rPr>
          <w:i/>
          <w:iCs/>
        </w:rPr>
        <w:t>E. crocea</w:t>
      </w:r>
      <w:r>
        <w:rPr>
          <w:i/>
          <w:iCs/>
        </w:rPr>
        <w:t>,</w:t>
      </w:r>
      <w:r>
        <w:t xml:space="preserve"> from star embryo to metamorphosed juvenile polyp,</w:t>
      </w:r>
      <w:r w:rsidRPr="006820D0">
        <w:t xml:space="preserve"> </w:t>
      </w:r>
      <w:r>
        <w:t xml:space="preserve">to assess genetic correlates of the observed sensory response. Illumina Hi-seq sequencing resulted in an average of </w:t>
      </w:r>
      <w:r w:rsidRPr="00ED432C">
        <w:t>38</w:t>
      </w:r>
      <w:r>
        <w:t xml:space="preserve"> million reads per replicate, with six replicates for each of the six developmental stages. We first used </w:t>
      </w:r>
      <w:proofErr w:type="spellStart"/>
      <w:r>
        <w:t>orthology</w:t>
      </w:r>
      <w:proofErr w:type="spellEnd"/>
      <w:r>
        <w:t xml:space="preserve"> analyses to place assembled </w:t>
      </w:r>
      <w:r w:rsidRPr="00D632C4">
        <w:rPr>
          <w:i/>
          <w:iCs/>
        </w:rPr>
        <w:t>E. crocea</w:t>
      </w:r>
      <w:r>
        <w:t xml:space="preserve"> transcripts into orthogroups that included sequence data from a selection of metazoan genomes including human. We then used the Gene Set Enrichment Analysis (GSEA) database </w:t>
      </w:r>
      <w:r>
        <w:fldChar w:fldCharType="begin" w:fldLock="1"/>
      </w:r>
      <w:r w:rsidR="00B02F06">
        <w:instrText>ADDIN CSL_CITATION {"citationItems":[{"id":"ITEM-1","itemData":{"DOI":"10.1073/pnas.0506580102","ISSN":"00278424","PMID":"16199517","abstract":"Although genomewide RNA expression analysis has become a routine tool in biomedical research, extracting biological insight from such information remains a major challenge. Here, we describe a powerful analytical method called Gene Set Enrichment Analysis (GSEA) for interpreting gene expression data. The method derives its power by focusing on gene sets, that is, groups of genes that share common biological function, chromosomal location, or regulation. We demonstrate how GSEA yields insights into several cancer-related data sets, including leukemia and lung cancer. Notably, where single-gene analysis finds little similarity between two independent studies of patient survival in lung cancer, GSEA reveals many biological pathways in common. The GSEA method is embodied in a freely available software package, together with an initial database of 1,325 biologically defined gene sets. © 2005 by The National Academy of Sciences of the USA.","author":[{"dropping-particle":"","family":"Subramanian","given":"Aravind","non-dropping-particle":"","parse-names":false,"suffix":""},{"dropping-particle":"","family":"Tamayo","given":"Pablo","non-dropping-particle":"","parse-names":false,"suffix":""},{"dropping-particle":"","family":"Mootha","given":"Vamsi K.","non-dropping-particle":"","parse-names":false,"suffix":""},{"dropping-particle":"","family":"Mukherjee","given":"Sayan","non-dropping-particle":"","parse-names":false,"suffix":""},{"dropping-particle":"","family":"Ebert","given":"Benjamin L.","non-dropping-particle":"","parse-names":false,"suffix":""},{"dropping-particle":"","family":"Gillette","given":"Michael A.","non-dropping-particle":"","parse-names":false,"suffix":""},{"dropping-particle":"","family":"Paulovich","given":"Amanda","non-dropping-particle":"","parse-names":false,"suffix":""},{"dropping-particle":"","family":"Pomeroy","given":"Scott L.","non-dropping-particle":"","parse-names":false,"suffix":""},{"dropping-particle":"","family":"Golub","given":"Todd R.","non-dropping-particle":"","parse-names":false,"suffix":""},{"dropping-particle":"","family":"Lander","given":"Eric S.","non-dropping-particle":"","parse-names":false,"suffix":""},{"dropping-particle":"","family":"Mesirov","given":"Jill P.","non-dropping-particle":"","parse-names":false,"suffix":""}],"container-title":"Proceedings of the National Academy of Sciences of the United States of America","id":"ITEM-1","issue":"43","issued":{"date-parts":[["2005"]]},"page":"15545-15550","title":"Gene set enrichment analysis: A knowledge-based approach for interpreting genome-wide expression profiles","type":"article-journal","volume":"102"},"uris":["http://www.mendeley.com/documents/?uuid=bf6caddb-a431-4282-9f4f-b4b47544ee54"]},{"id":"ITEM-2","itemData":{"DOI":"10.1016/j.cels.2015.12.004","ISSN":"24054712","abstract":"Summary The Molecular Signatures Database (MSigDB) is one of the most widely used and comprehensive databases of gene sets for performing gene set enrichment analysis. Since its creation, MSigDB has grown beyond its roots in metabolic disease and cancer to include &gt;10,000 gene sets. These better represent a wider range of biological processes and diseases, but the utility of the database is reduced by increased redundancy across, and heterogeneity within, gene sets. To address this challenge, here we use a combination of automated approaches and expert curation to develop a collection of \"hallmark\" gene sets as part of MSigDB. Each hallmark in this collection consists of a \"refined\" gene set, derived from multiple \"founder\" sets, that conveys a specific biological state or process and displays coherent expression. The hallmarks effectively summarize most of the relevant information of the original founder sets and, by reducing both variation and redundancy, provide more refined and concise inputs for gene set enrichment analysis.","author":[{"dropping-particle":"","family":"Liberzon","given":"Arthur","non-dropping-particle":"","parse-names":false,"suffix":""},{"dropping-particle":"","family":"Birger","given":"Chet","non-dropping-particle":"","parse-names":false,"suffix":""},{"dropping-particle":"","family":"Thorvaldsdóttir","given":"Helga","non-dropping-particle":"","parse-names":false,"suffix":""},{"dropping-particle":"","family":"Ghandi","given":"Mahmoud","non-dropping-particle":"","parse-names":false,"suffix":""},{"dropping-particle":"","family":"Mesirov","given":"Jill P.","non-dropping-particle":"","parse-names":false,"suffix":""},{"dropping-particle":"","family":"Tamayo","given":"Pablo","non-dropping-particle":"","parse-names":false,"suffix":""}],"container-title":"Cell Systems","id":"ITEM-2","issue":"6","issued":{"date-parts":[["2015"]]},"page":"417-425","title":"The Molecular Signatures Database Hallmark Gene Set Collection","type":"article-journal","volume":"1"},"uris":["http://www.mendeley.com/documents/?uuid=44e8eb37-2ce9-4cd1-b3ac-586e1ed6517a"]},{"id":"ITEM-3","itemData":{"DOI":"10.1093/bioinformatics/btr260","ISSN":"13674803","PMID":"21546393","abstract":"Motivation: Well-annotated gene sets representing the universe of the biological processes are critical for meaningful and insightful interpretation of large-scale genomic data. The Molecular Signatures Database (MSigDB) is one of the most widely used repositories of such sets.Results: We report the availability of a new version of the database, MSigDB 3.0, with over 6700 gene sets, a complete revision of the collection of canonical pathways and experimental signatures from publications, enhanced annotations and upgrades to the web site. © The Author 2011. Published by Oxford University Press. All rights reserved.","author":[{"dropping-particle":"","family":"Liberzon","given":"Arthur","non-dropping-particle":"","parse-names":false,"suffix":""},{"dropping-particle":"","family":"Subramanian","given":"Aravind","non-dropping-particle":"","parse-names":false,"suffix":""},{"dropping-particle":"","family":"Pinchback","given":"Reid","non-dropping-particle":"","parse-names":false,"suffix":""},{"dropping-particle":"","family":"Thorvaldsdóttir","given":"Helga","non-dropping-particle":"","parse-names":false,"suffix":""},{"dropping-particle":"","family":"Tamayo","given":"Pablo","non-dropping-particle":"","parse-names":false,"suffix":""},{"dropping-particle":"","family":"Mesirov","given":"Jill P.","non-dropping-particle":"","parse-names":false,"suffix":""}],"container-title":"Bioinformatics","id":"ITEM-3","issue":"12","issued":{"date-parts":[["2011"]]},"page":"1739-1740","title":"Molecular signatures database (MSigDB) 3.0","type":"article-journal","volume":"27"},"uris":["http://www.mendeley.com/documents/?uuid=6754fd28-581c-4c75-b610-921ec2606d90"]}],"mendeley":{"formattedCitation":"(Liberzon et al., 2015, 2011; Subramanian et al., 2005)","plainTextFormattedCitation":"(Liberzon et al., 2015, 2011; Subramanian et al., 2005)","previouslyFormattedCitation":"(Subramanian et al. 2005; Liberzon et al. 2011, 2015)"},"properties":{"noteIndex":0},"schema":"https://github.com/citation-style-language/schema/raw/master/csl-citation.json"}</w:instrText>
      </w:r>
      <w:r>
        <w:fldChar w:fldCharType="separate"/>
      </w:r>
      <w:r w:rsidR="00B02F06" w:rsidRPr="00B02F06">
        <w:rPr>
          <w:noProof/>
        </w:rPr>
        <w:t>(Liberzon et al., 2015, 2011; Subramanian et al., 2005)</w:t>
      </w:r>
      <w:r>
        <w:fldChar w:fldCharType="end"/>
      </w:r>
      <w:r>
        <w:t xml:space="preserve"> and </w:t>
      </w:r>
      <w:proofErr w:type="spellStart"/>
      <w:r>
        <w:t>EdgeR</w:t>
      </w:r>
      <w:proofErr w:type="spellEnd"/>
      <w:r>
        <w:t xml:space="preserve"> to identify transcripts with significant differences in expression between any developmental stage that were present in three gene sets: Sensory perception of light stimulus (212 genes in gene set</w:t>
      </w:r>
      <w:r w:rsidRPr="00862731">
        <w:t>; Fig 4A), Sensory perception of chemical stimulus (501 genes in gene set; Fig 4B), and sensory perception of mechanical stimulus (164 genes in gene set; Fig 4C).</w:t>
      </w:r>
      <w:r>
        <w:t xml:space="preserve"> </w:t>
      </w:r>
    </w:p>
    <w:p w14:paraId="4415832A" w14:textId="22E530BD" w:rsidR="004945DF" w:rsidRDefault="004945DF" w:rsidP="00D46E28">
      <w:pPr>
        <w:spacing w:line="480" w:lineRule="auto"/>
        <w:jc w:val="both"/>
        <w:rPr>
          <w:b/>
          <w:bCs/>
        </w:rPr>
      </w:pPr>
    </w:p>
    <w:p w14:paraId="7657DE5A" w14:textId="68D69B83" w:rsidR="004E4C2D" w:rsidRDefault="00C2611F" w:rsidP="00D46E28">
      <w:pPr>
        <w:spacing w:line="480" w:lineRule="auto"/>
        <w:jc w:val="both"/>
      </w:pPr>
      <w:r>
        <w:t>G</w:t>
      </w:r>
      <w:r w:rsidR="004E4C2D">
        <w:t xml:space="preserve">ene expression </w:t>
      </w:r>
      <w:r>
        <w:t xml:space="preserve">for both </w:t>
      </w:r>
      <w:r w:rsidR="004E4C2D">
        <w:t>the photo- and mechanosensory gene sets share similarities</w:t>
      </w:r>
      <w:r>
        <w:t xml:space="preserve"> across larval development</w:t>
      </w:r>
      <w:r w:rsidR="004E4C2D">
        <w:t xml:space="preserve"> (Fig 4). First, genes involved in neurogenesis, cellular morphogenesis, and sensory cell type specification show maximum expression early and peak at stage 2 of development (preactinula). Examples of these for the sensory perception of light stimulus gene set include </w:t>
      </w:r>
      <w:r w:rsidR="004E4C2D" w:rsidRPr="009D6B31">
        <w:rPr>
          <w:i/>
          <w:iCs/>
        </w:rPr>
        <w:t>E. cr</w:t>
      </w:r>
      <w:r w:rsidR="004E4C2D">
        <w:rPr>
          <w:i/>
          <w:iCs/>
        </w:rPr>
        <w:t>o</w:t>
      </w:r>
      <w:r w:rsidR="004E4C2D" w:rsidRPr="009D6B31">
        <w:rPr>
          <w:i/>
          <w:iCs/>
        </w:rPr>
        <w:t>cea</w:t>
      </w:r>
      <w:r w:rsidR="004E4C2D">
        <w:t xml:space="preserve"> homologs of SEMA5B (axonal guidance), homologs of CRX, VSX1, VSX2, and RAX2 (transcription factors</w:t>
      </w:r>
      <w:r>
        <w:t>,</w:t>
      </w:r>
      <w:r w:rsidR="004E4C2D">
        <w:t xml:space="preserve"> photoreceptor specification), NRL2E3 (</w:t>
      </w:r>
      <w:r>
        <w:t xml:space="preserve">transcription factor, </w:t>
      </w:r>
      <w:r w:rsidR="004E4C2D">
        <w:t>rod specification), RRH (</w:t>
      </w:r>
      <w:r>
        <w:t xml:space="preserve">opsin, </w:t>
      </w:r>
      <w:r w:rsidR="004E4C2D">
        <w:t>detection of light) and others</w:t>
      </w:r>
      <w:r w:rsidR="00537E8B">
        <w:t xml:space="preserve"> (Fig 4A)</w:t>
      </w:r>
      <w:r w:rsidR="004E4C2D">
        <w:t>. A similar pattern is observed for the perception of mechanical stimuli gene set and include</w:t>
      </w:r>
      <w:r w:rsidR="004E4C2D" w:rsidRPr="006820D0">
        <w:rPr>
          <w:i/>
          <w:iCs/>
        </w:rPr>
        <w:t xml:space="preserve"> </w:t>
      </w:r>
      <w:r w:rsidR="004E4C2D" w:rsidRPr="00B23593">
        <w:rPr>
          <w:i/>
          <w:iCs/>
        </w:rPr>
        <w:t>E. cr</w:t>
      </w:r>
      <w:r w:rsidR="004E4C2D">
        <w:rPr>
          <w:i/>
          <w:iCs/>
        </w:rPr>
        <w:t>o</w:t>
      </w:r>
      <w:r w:rsidR="004E4C2D" w:rsidRPr="00B23593">
        <w:rPr>
          <w:i/>
          <w:iCs/>
        </w:rPr>
        <w:t>cea</w:t>
      </w:r>
      <w:r w:rsidR="004E4C2D">
        <w:rPr>
          <w:i/>
          <w:iCs/>
        </w:rPr>
        <w:t xml:space="preserve"> </w:t>
      </w:r>
      <w:r w:rsidR="004E4C2D">
        <w:t>homologs of MYH14 (cell shape and cytokinesis), EPS8L2 (stereocilia maintenance), DRGX (nociceptive sensory neuron development) and others</w:t>
      </w:r>
      <w:r>
        <w:t xml:space="preserve"> (Fig 4</w:t>
      </w:r>
      <w:r w:rsidR="00537E8B">
        <w:t>C</w:t>
      </w:r>
      <w:r>
        <w:t>)</w:t>
      </w:r>
      <w:r w:rsidR="004E4C2D">
        <w:t xml:space="preserve">. </w:t>
      </w:r>
    </w:p>
    <w:p w14:paraId="23FA21A0" w14:textId="77777777" w:rsidR="004E4C2D" w:rsidRDefault="004E4C2D" w:rsidP="00D46E28">
      <w:pPr>
        <w:spacing w:line="480" w:lineRule="auto"/>
        <w:jc w:val="both"/>
      </w:pPr>
    </w:p>
    <w:p w14:paraId="617B16A7" w14:textId="10BAA611" w:rsidR="004E4C2D" w:rsidRDefault="004E4C2D" w:rsidP="00D46E28">
      <w:pPr>
        <w:spacing w:line="480" w:lineRule="auto"/>
        <w:jc w:val="both"/>
      </w:pPr>
      <w:r>
        <w:t>Next, a later pulse of gene expression associated with sensory physiology, cellular structure and morphogenesis, and another round of sensory cell type specification characterizes both gene sets. Examples of these later expressed transcripts</w:t>
      </w:r>
      <w:r w:rsidRPr="006820D0">
        <w:t xml:space="preserve"> </w:t>
      </w:r>
      <w:r>
        <w:t>for the perception of light stimuli gene set include homologs of GUCY2F and RRH (phototransduction), MYO3B (photoreceptor cell maintenance), ADGRV1 (development of hearing and vision), CNNM4 (retinal function), WHRN (periciliary membrane complex maintenance), and POU4F2 (retinal ganglion cell development). Genes that peak at stages 3 and 4 (actinula) from the perception of mechanical stimuli gene set include CLIC5 (stereocilia formation), MYO3B (cochlear hair bundle morphogenesis), POU4F2 (terminal differentiation of hair cells), SLC25A5 (motor protein, modulates auditory stimuli),</w:t>
      </w:r>
      <w:r w:rsidR="00FD4DFF">
        <w:t xml:space="preserve"> </w:t>
      </w:r>
      <w:r>
        <w:t xml:space="preserve">ASIC2-3 (mechanoreception, potentiated by </w:t>
      </w:r>
      <w:proofErr w:type="spellStart"/>
      <w:r>
        <w:t>FMRFamide</w:t>
      </w:r>
      <w:proofErr w:type="spellEnd"/>
      <w:r>
        <w:t>-related peptides), TRPA1 (mechanoreceptor transduction channel), and PIEZO2 (component of a mechanosensitive channel). Finally, transcript expression for both gene sets strongly diminishes at stages 5 and 6, which correspond to metamorphosis and the establishment of the primary polyp. This drop-off in expression is specific to the sensory gene sets used to interrogate our data and is not a general feature of our transcriptome data (Fig S3</w:t>
      </w:r>
      <w:r w:rsidR="006C6543">
        <w:t>, Table S5</w:t>
      </w:r>
      <w:r>
        <w:t xml:space="preserve">). It is noteworthy that many of the transcripts that show differential expression in development for either the photo- or mechanosensory gene sets have shared functions in both.  </w:t>
      </w:r>
    </w:p>
    <w:p w14:paraId="793C8A35" w14:textId="346FE80F" w:rsidR="006820D0" w:rsidRDefault="006820D0" w:rsidP="00D46E28">
      <w:pPr>
        <w:spacing w:line="480" w:lineRule="auto"/>
        <w:jc w:val="both"/>
      </w:pPr>
    </w:p>
    <w:p w14:paraId="00ED6581" w14:textId="5A881AB2" w:rsidR="00817267" w:rsidRPr="006820D0" w:rsidRDefault="006820D0" w:rsidP="00D46E28">
      <w:pPr>
        <w:spacing w:line="480" w:lineRule="auto"/>
        <w:jc w:val="both"/>
      </w:pPr>
      <w:r>
        <w:t xml:space="preserve">Similar analyses for the sensory perception of chemical stimulus gene </w:t>
      </w:r>
      <w:r w:rsidR="00DC5BC6">
        <w:t xml:space="preserve">set </w:t>
      </w:r>
      <w:r>
        <w:t>indicate a markedly different trend as few developmentally differentially expressed transcripts were recovered for this set</w:t>
      </w:r>
      <w:r w:rsidR="00FD4DFF">
        <w:t xml:space="preserve"> (Fig 4B)</w:t>
      </w:r>
      <w:r>
        <w:t xml:space="preserve">. However, they </w:t>
      </w:r>
      <w:r w:rsidR="00817267">
        <w:t xml:space="preserve">do </w:t>
      </w:r>
      <w:r>
        <w:t xml:space="preserve">indicate strong </w:t>
      </w:r>
      <w:r w:rsidR="00DC5BC6">
        <w:t>stage</w:t>
      </w:r>
      <w:r>
        <w:t xml:space="preserve"> 4 </w:t>
      </w:r>
      <w:r w:rsidR="00DC5BC6">
        <w:t xml:space="preserve">(actinula) </w:t>
      </w:r>
      <w:r w:rsidR="007A21BE">
        <w:t xml:space="preserve">differential </w:t>
      </w:r>
      <w:r>
        <w:t xml:space="preserve">expression of </w:t>
      </w:r>
      <w:r>
        <w:lastRenderedPageBreak/>
        <w:t>homologs of both PKD2L1 and PKD1L3, which dimerize and facilitate sour taste perception</w:t>
      </w:r>
      <w:r w:rsidR="00B00924">
        <w:t xml:space="preserve"> in mammals</w:t>
      </w:r>
      <w:r w:rsidR="00304C3B">
        <w:t xml:space="preserve"> </w:t>
      </w:r>
      <w:r w:rsidR="00304C3B">
        <w:fldChar w:fldCharType="begin" w:fldLock="1"/>
      </w:r>
      <w:r w:rsidR="00B02F06">
        <w:instrText>ADDIN CSL_CITATION {"citationItems":[{"id":"ITEM-1","itemData":{"author":[{"dropping-particle":"","family":"Fain","given":"Gordon L.","non-dropping-particle":"","parse-names":false,"suffix":""}],"chapter-number":"Chapter 8","container-title":"Sensory Transduction","edition":"2nd","id":"ITEM-1","issued":{"date-parts":[["2020"]]},"page":"159-177","publisher":"Oxford University Press","title":"Taste","type":"chapter"},"uris":["http://www.mendeley.com/documents/?uuid=5f4d5749-4d1e-4a5f-83b2-a48c94a08be8"]},{"id":"ITEM-2","itemData":{"DOI":"10.1073/pnas.0602702103","ISSN":"00278424","PMID":"16891422","abstract":"Animals use their gustatory systems to evaluate the nutritious value, toxicity, sodium content, and acidity of food. Although characterization of molecular identities that receive taste chemicals is essential, molecular receptors underlying sour taste sensation remain unclear. Here, we show that two transient receptor potential (TRP) channel members, PKD1L3 and PKD2L1, are coexpressed in a subset of taste receptor cells in specific taste areas. Cells expressing these molecules are distinct from taste cells having receptors for bitter, sweet, or umami tastants. The PKD2L1 proteins are accumulated at the taste pore region, where taste chemicals are detected. PKD1L3 and PKD2L1 proteins can interact with each other, and coexpression of the PKD1L3 and PKD2L1 is necessary for their functional cell surface expression. Finally, PKD1L3 and PKD2L1 are activated by various acids when coexpressed in heterologous cells but not by other classes of tastants. These results suggest that PKD1L3 and PKD2L1 heteromers may function as sour taste receptors. © 2006 by The National Academy of Sciences of the USA.","author":[{"dropping-particle":"","family":"Ishimaru","given":"Yoshiro","non-dropping-particle":"","parse-names":false,"suffix":""},{"dropping-particle":"","family":"Inada","given":"Hitoshi","non-dropping-particle":"","parse-names":false,"suffix":""},{"dropping-particle":"","family":"Kubota","given":"Momoka","non-dropping-particle":"","parse-names":false,"suffix":""},{"dropping-particle":"","family":"Zhuang","given":"Hanyi","non-dropping-particle":"","parse-names":false,"suffix":""},{"dropping-particle":"","family":"Tominaga","given":"Makoto","non-dropping-particle":"","parse-names":false,"suffix":""},{"dropping-particle":"","family":"Matsunami","given":"Hiroaki","non-dropping-particle":"","parse-names":false,"suffix":""}],"container-title":"Proceedings of the National Academy of Sciences of the United States of America","id":"ITEM-2","issue":"33","issued":{"date-parts":[["2006"]]},"page":"12569-12574","title":"Transient receptor potential family members PKD1L3 and PKD2L1 form a candidate sour taste receptor","type":"article-journal","volume":"103"},"uris":["http://www.mendeley.com/documents/?uuid=2ccf516e-1134-4a33-a306-69cae88fb935"]}],"mendeley":{"formattedCitation":"(Fain, 2020; Ishimaru et al., 2006)","plainTextFormattedCitation":"(Fain, 2020; Ishimaru et al., 2006)","previouslyFormattedCitation":"(Ishimaru et al. 2006; Fain 2020)"},"properties":{"noteIndex":0},"schema":"https://github.com/citation-style-language/schema/raw/master/csl-citation.json"}</w:instrText>
      </w:r>
      <w:r w:rsidR="00304C3B">
        <w:fldChar w:fldCharType="separate"/>
      </w:r>
      <w:r w:rsidR="00B02F06" w:rsidRPr="00B02F06">
        <w:rPr>
          <w:noProof/>
        </w:rPr>
        <w:t>(Fain, 2020; Ishimaru et al., 2006)</w:t>
      </w:r>
      <w:r w:rsidR="00304C3B">
        <w:fldChar w:fldCharType="end"/>
      </w:r>
      <w:r w:rsidR="00817267">
        <w:t xml:space="preserve">. </w:t>
      </w:r>
    </w:p>
    <w:p w14:paraId="531F001A" w14:textId="1F0C2694" w:rsidR="00506A8E" w:rsidRDefault="00506A8E" w:rsidP="00D46E28">
      <w:pPr>
        <w:spacing w:line="480" w:lineRule="auto"/>
        <w:jc w:val="both"/>
      </w:pPr>
    </w:p>
    <w:p w14:paraId="66871FDB" w14:textId="7AA3E715" w:rsidR="006820D0" w:rsidRDefault="004B7E09" w:rsidP="00D46E28">
      <w:pPr>
        <w:spacing w:line="480" w:lineRule="auto"/>
        <w:jc w:val="both"/>
        <w:rPr>
          <w:b/>
          <w:bCs/>
        </w:rPr>
      </w:pPr>
      <w:r>
        <w:rPr>
          <w:b/>
          <w:bCs/>
        </w:rPr>
        <w:t xml:space="preserve">RNA </w:t>
      </w:r>
      <w:r w:rsidR="00577360" w:rsidRPr="00577360">
        <w:rPr>
          <w:b/>
          <w:bCs/>
        </w:rPr>
        <w:t>F</w:t>
      </w:r>
      <w:r w:rsidR="00577360">
        <w:rPr>
          <w:b/>
          <w:bCs/>
        </w:rPr>
        <w:t xml:space="preserve">luorescent </w:t>
      </w:r>
      <w:r w:rsidR="00577360" w:rsidRPr="00577360">
        <w:rPr>
          <w:b/>
          <w:bCs/>
          <w:i/>
          <w:iCs/>
        </w:rPr>
        <w:t>in situ</w:t>
      </w:r>
      <w:r w:rsidR="00577360">
        <w:rPr>
          <w:b/>
          <w:bCs/>
        </w:rPr>
        <w:t xml:space="preserve"> hybridization reveal evidence for polymoda</w:t>
      </w:r>
      <w:r w:rsidR="007B5EE8">
        <w:rPr>
          <w:b/>
          <w:bCs/>
        </w:rPr>
        <w:t>l sensory cells</w:t>
      </w:r>
    </w:p>
    <w:p w14:paraId="24AC5B98" w14:textId="72DC73A9" w:rsidR="00351488" w:rsidRPr="00577360" w:rsidRDefault="00C73181" w:rsidP="00D46E28">
      <w:pPr>
        <w:spacing w:line="480" w:lineRule="auto"/>
        <w:jc w:val="both"/>
      </w:pPr>
      <w:r>
        <w:t xml:space="preserve">Our studies of larval nervous system development, settlement behavior, and developmental transcriptomics portray an inflection of sensory capacity at </w:t>
      </w:r>
      <w:r w:rsidR="00DC5BC6">
        <w:t>stage</w:t>
      </w:r>
      <w:r>
        <w:t xml:space="preserve"> 4</w:t>
      </w:r>
      <w:r w:rsidR="00DC5BC6">
        <w:t xml:space="preserve"> </w:t>
      </w:r>
      <w:r>
        <w:t xml:space="preserve">when actinulae are competent to settle. </w:t>
      </w:r>
      <w:proofErr w:type="gramStart"/>
      <w:r>
        <w:t>In order to</w:t>
      </w:r>
      <w:proofErr w:type="gramEnd"/>
      <w:r>
        <w:t xml:space="preserve"> </w:t>
      </w:r>
      <w:r w:rsidR="00550145">
        <w:t xml:space="preserve">elucidate </w:t>
      </w:r>
      <w:r>
        <w:t xml:space="preserve">the cell types associated with enhanced sensory capacity, and potential cellular partitioning among the different sensory modalities, we conducted </w:t>
      </w:r>
      <w:r w:rsidR="00351488">
        <w:t xml:space="preserve">fluorescent </w:t>
      </w:r>
      <w:r w:rsidR="00351488" w:rsidRPr="00577360">
        <w:rPr>
          <w:i/>
          <w:iCs/>
        </w:rPr>
        <w:t>in situ</w:t>
      </w:r>
      <w:r w:rsidR="00351488">
        <w:t xml:space="preserve"> hybridization</w:t>
      </w:r>
      <w:r>
        <w:t xml:space="preserve"> (FISH)</w:t>
      </w:r>
      <w:r w:rsidR="00351488">
        <w:t xml:space="preserve"> </w:t>
      </w:r>
      <w:r>
        <w:t>using RNA probes against selected, highly differentiated</w:t>
      </w:r>
      <w:r w:rsidR="00351488">
        <w:t xml:space="preserve"> sensory </w:t>
      </w:r>
      <w:r>
        <w:t xml:space="preserve">transcripts </w:t>
      </w:r>
      <w:r w:rsidRPr="00D36FDC">
        <w:t xml:space="preserve">(Fig </w:t>
      </w:r>
      <w:r w:rsidR="00481533" w:rsidRPr="00D36FDC">
        <w:t>4</w:t>
      </w:r>
      <w:r w:rsidRPr="00D36FDC">
        <w:t>)</w:t>
      </w:r>
      <w:r>
        <w:t xml:space="preserve"> </w:t>
      </w:r>
      <w:r w:rsidR="00550145">
        <w:t xml:space="preserve">in </w:t>
      </w:r>
      <w:r w:rsidR="00481533">
        <w:t>stage</w:t>
      </w:r>
      <w:r>
        <w:t xml:space="preserve"> 4 </w:t>
      </w:r>
      <w:r w:rsidRPr="00481533">
        <w:rPr>
          <w:i/>
          <w:iCs/>
        </w:rPr>
        <w:t>E. crocea</w:t>
      </w:r>
      <w:r>
        <w:t xml:space="preserve"> actinulae</w:t>
      </w:r>
      <w:r w:rsidR="00351488">
        <w:t xml:space="preserve">. </w:t>
      </w:r>
      <w:r>
        <w:t>Our targeted transcripts include opsin (</w:t>
      </w:r>
      <w:r w:rsidRPr="00C73181">
        <w:t>Ec_t.72976</w:t>
      </w:r>
      <w:r>
        <w:t>, photoreception), Piezo and TRPA1 (</w:t>
      </w:r>
      <w:r w:rsidRPr="00C73181">
        <w:t>Ec_t.17544 and Ec_t.66269</w:t>
      </w:r>
      <w:r>
        <w:t xml:space="preserve"> respectively, mechanotransduction), and ASIC, PKD2L1, and PKD2L3 (</w:t>
      </w:r>
      <w:r w:rsidRPr="00C73181">
        <w:t>Ec_t.82119, Ec_t.81080 and Ec_t.66208</w:t>
      </w:r>
      <w:r>
        <w:t xml:space="preserve"> respectively, chemotransduction)</w:t>
      </w:r>
      <w:r w:rsidR="00DB2F63">
        <w:t>, Fig S6</w:t>
      </w:r>
      <w:r>
        <w:t xml:space="preserve">. We examined </w:t>
      </w:r>
      <w:r w:rsidR="00481533">
        <w:t xml:space="preserve">the </w:t>
      </w:r>
      <w:r>
        <w:t xml:space="preserve">cellular and spatial expression of these transcripts using </w:t>
      </w:r>
      <w:r w:rsidR="00550145">
        <w:t xml:space="preserve">the </w:t>
      </w:r>
      <w:r>
        <w:t>opsin</w:t>
      </w:r>
      <w:r w:rsidR="00550145">
        <w:t xml:space="preserve"> probe</w:t>
      </w:r>
      <w:r>
        <w:t xml:space="preserve"> as a reference present in all FISH experiments. </w:t>
      </w:r>
      <w:r w:rsidR="00B00924">
        <w:t>Confocal o</w:t>
      </w:r>
      <w:r>
        <w:t xml:space="preserve">ptical sections (0.2 </w:t>
      </w:r>
      <w:r>
        <w:sym w:font="Symbol" w:char="F06D"/>
      </w:r>
      <w:r>
        <w:t xml:space="preserve">m) indicate </w:t>
      </w:r>
      <w:r w:rsidR="00D36FDC">
        <w:t xml:space="preserve">strong </w:t>
      </w:r>
      <w:r>
        <w:t xml:space="preserve">colocalization between </w:t>
      </w:r>
      <w:r w:rsidR="00D36FDC">
        <w:t xml:space="preserve">opsin (Fig </w:t>
      </w:r>
      <w:r w:rsidR="00D26B72">
        <w:t>5</w:t>
      </w:r>
      <w:r w:rsidR="00D36FDC">
        <w:t xml:space="preserve"> A-I), PKD1L3 (Fig </w:t>
      </w:r>
      <w:r w:rsidR="00D26B72">
        <w:t>5</w:t>
      </w:r>
      <w:r w:rsidR="00D36FDC">
        <w:t xml:space="preserve"> A and C) PKD2L1 (Fig </w:t>
      </w:r>
      <w:r w:rsidR="00D26B72">
        <w:t>5</w:t>
      </w:r>
      <w:r w:rsidR="00D36FDC">
        <w:t xml:space="preserve"> D,</w:t>
      </w:r>
      <w:r w:rsidR="00DA38A3">
        <w:t xml:space="preserve"> F</w:t>
      </w:r>
      <w:r w:rsidR="00D36FDC">
        <w:t xml:space="preserve">, G, </w:t>
      </w:r>
      <w:r w:rsidR="00DA38A3">
        <w:t>I</w:t>
      </w:r>
      <w:r w:rsidR="00D36FDC">
        <w:t xml:space="preserve">), and ASIC (Fig </w:t>
      </w:r>
      <w:r w:rsidR="00DA38A3">
        <w:t>5</w:t>
      </w:r>
      <w:r w:rsidR="00D36FDC">
        <w:t xml:space="preserve"> A</w:t>
      </w:r>
      <w:r w:rsidR="00460148">
        <w:t xml:space="preserve"> and B) </w:t>
      </w:r>
      <w:r w:rsidR="00D36FDC">
        <w:t>in</w:t>
      </w:r>
      <w:r>
        <w:t xml:space="preserve"> </w:t>
      </w:r>
      <w:r w:rsidR="00D36FDC">
        <w:t xml:space="preserve">sensory neurons </w:t>
      </w:r>
      <w:r w:rsidR="00460148">
        <w:t>that are adjacent to</w:t>
      </w:r>
      <w:r w:rsidR="00D36FDC">
        <w:t xml:space="preserve"> </w:t>
      </w:r>
      <w:r>
        <w:t>cnidocytes</w:t>
      </w:r>
      <w:r w:rsidR="00D36FDC">
        <w:t xml:space="preserve"> in all experiments. </w:t>
      </w:r>
      <w:r>
        <w:t xml:space="preserve">Conversely, </w:t>
      </w:r>
      <w:r w:rsidR="00481533">
        <w:t>P</w:t>
      </w:r>
      <w:r>
        <w:t xml:space="preserve">iezo is strongly expressed in cnidocytes, with weaker expression of opsin </w:t>
      </w:r>
      <w:r w:rsidR="00460148">
        <w:t xml:space="preserve">also detected </w:t>
      </w:r>
      <w:r>
        <w:t xml:space="preserve">in cnidocytes (Fig </w:t>
      </w:r>
      <w:r w:rsidR="00DA38A3">
        <w:t>5</w:t>
      </w:r>
      <w:r>
        <w:t xml:space="preserve"> </w:t>
      </w:r>
      <w:r w:rsidR="00DA38A3">
        <w:t>G</w:t>
      </w:r>
      <w:r w:rsidR="00D96253">
        <w:t>-I</w:t>
      </w:r>
      <w:r>
        <w:t>). Finally, opsin and PKD2L1 show some co</w:t>
      </w:r>
      <w:r w:rsidR="00481533">
        <w:t>-</w:t>
      </w:r>
      <w:r>
        <w:t xml:space="preserve">expression with TRPA, but most TRPA expression is observed in cnidocytes to the exclusion of opsin and PKD2L1, which are expressed primarily in sensory neurons (Fig </w:t>
      </w:r>
      <w:r w:rsidR="00DA38A3">
        <w:t>5</w:t>
      </w:r>
      <w:r>
        <w:t xml:space="preserve"> </w:t>
      </w:r>
      <w:r w:rsidR="00D96253">
        <w:t>D-F</w:t>
      </w:r>
      <w:r>
        <w:t xml:space="preserve">). Our results were confirmed by </w:t>
      </w:r>
      <w:r w:rsidR="00D632C4">
        <w:t>quantifying</w:t>
      </w:r>
      <w:r w:rsidR="002640B9">
        <w:t xml:space="preserve"> colocalization using </w:t>
      </w:r>
      <w:proofErr w:type="spellStart"/>
      <w:r w:rsidR="002640B9">
        <w:t>Manders</w:t>
      </w:r>
      <w:proofErr w:type="spellEnd"/>
      <w:r w:rsidR="002640B9">
        <w:t>’ Overlap</w:t>
      </w:r>
      <w:r w:rsidR="00023788">
        <w:t xml:space="preserve"> </w:t>
      </w:r>
      <w:r w:rsidR="00023788" w:rsidRPr="00862731">
        <w:t>(</w:t>
      </w:r>
      <w:r w:rsidR="00D96253">
        <w:t>Fig S4</w:t>
      </w:r>
      <w:r w:rsidR="00023788" w:rsidRPr="00862731">
        <w:t>)</w:t>
      </w:r>
      <w:r w:rsidR="00CE3C21">
        <w:t xml:space="preserve"> and control experiments were conducted to validate expression (Fig S5)</w:t>
      </w:r>
      <w:r w:rsidRPr="00862731">
        <w:t>.</w:t>
      </w:r>
      <w:r w:rsidR="00023788" w:rsidRPr="008363E0">
        <w:t xml:space="preserve"> </w:t>
      </w:r>
    </w:p>
    <w:p w14:paraId="050D500C" w14:textId="77777777" w:rsidR="00587A4E" w:rsidRDefault="00587A4E" w:rsidP="00D46E28">
      <w:pPr>
        <w:spacing w:line="480" w:lineRule="auto"/>
        <w:jc w:val="both"/>
        <w:rPr>
          <w:b/>
          <w:bCs/>
          <w:highlight w:val="green"/>
          <w:u w:val="single"/>
        </w:rPr>
      </w:pPr>
    </w:p>
    <w:p w14:paraId="7C248468" w14:textId="1091AB65" w:rsidR="00B904A5" w:rsidRDefault="00B904A5" w:rsidP="00D46E28">
      <w:pPr>
        <w:spacing w:line="480" w:lineRule="auto"/>
        <w:jc w:val="both"/>
        <w:rPr>
          <w:b/>
          <w:bCs/>
        </w:rPr>
      </w:pPr>
      <w:r>
        <w:rPr>
          <w:b/>
          <w:bCs/>
        </w:rPr>
        <w:t>Discussion</w:t>
      </w:r>
    </w:p>
    <w:p w14:paraId="192283A3" w14:textId="77777777" w:rsidR="00B904A5" w:rsidRDefault="00B904A5" w:rsidP="00D46E28">
      <w:pPr>
        <w:spacing w:line="480" w:lineRule="auto"/>
        <w:jc w:val="both"/>
        <w:rPr>
          <w:b/>
          <w:bCs/>
        </w:rPr>
      </w:pPr>
    </w:p>
    <w:p w14:paraId="73D77BCE" w14:textId="67773621" w:rsidR="00B904A5" w:rsidRDefault="00B904A5" w:rsidP="00D46E28">
      <w:pPr>
        <w:spacing w:line="480" w:lineRule="auto"/>
        <w:jc w:val="both"/>
        <w:rPr>
          <w:b/>
          <w:bCs/>
        </w:rPr>
      </w:pPr>
      <w:r>
        <w:rPr>
          <w:b/>
          <w:bCs/>
        </w:rPr>
        <w:t xml:space="preserve">Competence to settle is associated with cnidocyte and nervous system maturation  </w:t>
      </w:r>
    </w:p>
    <w:p w14:paraId="2CB59156" w14:textId="4175B4AB" w:rsidR="00B904A5" w:rsidRDefault="00B904A5" w:rsidP="00D46E28">
      <w:pPr>
        <w:spacing w:line="480" w:lineRule="auto"/>
        <w:jc w:val="both"/>
      </w:pPr>
      <w:r>
        <w:t xml:space="preserve">Our immunohistochemical analysis </w:t>
      </w:r>
      <w:r w:rsidR="00FE1FB6">
        <w:t>demonstrates</w:t>
      </w:r>
      <w:r>
        <w:t xml:space="preserve"> that actinula (stage 4) larvae possess </w:t>
      </w:r>
      <w:r w:rsidR="00FE1FB6">
        <w:t>an</w:t>
      </w:r>
      <w:r>
        <w:t xml:space="preserve"> elaborated nervous system with an abundance of cnidocytes located at the tips of the aboral tentacles and the basal protrusion. This is consistent with the findings of </w:t>
      </w:r>
      <w:r>
        <w:fldChar w:fldCharType="begin" w:fldLock="1"/>
      </w:r>
      <w:r w:rsidR="00B02F06">
        <w:instrText>ADDIN CSL_CITATION {"citationItems":[{"id":"ITEM-1","itemData":{"author":[{"dropping-particle":"","family":"Yamashita","given":"Keiji","non-dropping-particle":"","parse-names":false,"suffix":""}],"container-title":"Biological Bulletin","id":"ITEM-1","issued":{"date-parts":[["2003"]]},"page":"256-269","title":"Larval Behavioral, Morphological Changes, and Nematocyte Dynamics During Settlement of Actinulae of Tubularia mesembryanthemum, Allman 1871 (Hydrozoa: Tubulariidae)","type":"article-journal","volume":"204"},"uris":["http://www.mendeley.com/documents/?uuid=f20a1cce-5224-449d-9ce6-230c4676dcc6"]}],"mendeley":{"formattedCitation":"(Yamashita, 2003)","manualFormatting":"Yamashita et al. (2003)","plainTextFormattedCitation":"(Yamashita, 2003)","previouslyFormattedCitation":"(Yamashita 2003)"},"properties":{"noteIndex":0},"schema":"https://github.com/citation-style-language/schema/raw/master/csl-citation.json"}</w:instrText>
      </w:r>
      <w:r>
        <w:fldChar w:fldCharType="separate"/>
      </w:r>
      <w:r w:rsidRPr="0015670E">
        <w:rPr>
          <w:noProof/>
        </w:rPr>
        <w:t>Yamashita</w:t>
      </w:r>
      <w:r>
        <w:rPr>
          <w:noProof/>
        </w:rPr>
        <w:t xml:space="preserve"> et al. (</w:t>
      </w:r>
      <w:r w:rsidRPr="0015670E">
        <w:rPr>
          <w:noProof/>
        </w:rPr>
        <w:t>2003)</w:t>
      </w:r>
      <w:r>
        <w:fldChar w:fldCharType="end"/>
      </w:r>
      <w:r>
        <w:t>, who described the cnidocyte composition of actinula larva</w:t>
      </w:r>
      <w:r w:rsidR="00222138">
        <w:t>e</w:t>
      </w:r>
      <w:r>
        <w:t xml:space="preserve"> and showed that atrichous isorhizas are used to temporarily attach to surfaces in a behavior referred to as nematocyte-printing. In hydrozoans like </w:t>
      </w:r>
      <w:r w:rsidRPr="009146CF">
        <w:rPr>
          <w:i/>
          <w:iCs/>
        </w:rPr>
        <w:t>E. crocea</w:t>
      </w:r>
      <w:r>
        <w:t xml:space="preserve">, cnidocyte discharge is modulated by adjacent sensory neurons, with which they form synapses </w:t>
      </w:r>
      <w:r>
        <w:fldChar w:fldCharType="begin" w:fldLock="1"/>
      </w:r>
      <w:r w:rsidR="00B02F06">
        <w:instrText>ADDIN CSL_CITATION {"citationItems":[{"id":"ITEM-1","itemData":{"DOI":"10.1007/s10750-004-2678-0","ISSN":"00188158","abstract":"Our previously published studies are here reviewed detailing neuro-cnidocyte synapses, demonstrating putative neurotransmitter substances, and identifying complex neural pathways in sea anemones. Synapses were traced to their contacts on nematocytes and spirocytes by transmission electron microscopy of serial thin sections of tentacles. In five animals, cells containing microbasic p-mastigophores had synapses with clear vesicles, whereas cells containing basitrichous isorhizas had synapses with dense-cored vesicles, providing preliminary evidence for a selectivity of neurotransmitter types for different nematocysts. Either clear or dense-cored synaptic vesicles were also present at neuro-spirocyte contacts. Antho-RFamide immunoreactivity occurred in some anthozoan synaptic vesicles and immunogold labeling of serotonin was found at a neuro-spirocyte synapse. Neural pathways included direct innervation of spirocytes by sensory cells, sequential neuro-neuro-spirocyte and neuro-neuro-nematocyte synapses and reciprocal synapses involving axons of both sensory cells and ganglion cells. Such synaptic patterns resemble neuro-effector pathways found in higher animals and lay to rest the independent effector hypothesis for cnidocyte dis- charge in tentacles of sea anemones.","author":[{"dropping-particle":"","family":"Westfall","given":"Jane A.","non-dropping-particle":"","parse-names":false,"suffix":""}],"container-title":"Hydrobiologia","id":"ITEM-1","issued":{"date-parts":[["2004"]]},"page":"117-121","title":"Neural pathways and innervation of cnidocytes in tentacles of sea anemones","type":"article-journal","volume":"530-531"},"uris":["http://www.mendeley.com/documents/?uuid=b9e5a379-2ca1-4d42-98f9-e25af0ec787b"]},{"id":"ITEM-2","itemData":{"DOI":"10.1016/j.toxicon.2009.02.023","ISBN":"1879-3150 (Electronic)\\r0041-0101 (Linking)","ISSN":"00410101","PMID":"19268492","abstract":"Because cnidocytes are exceedingly complex cells which can only be used once, their discharge is highly regulated by way of a variety of chemosensory, mechanosensory and endogenous pathways. The integration of these various inputs ultimately results in exocytosis and then discharge of the cnidocyte's diagnostic organelle, the cnidocyst. Here we review what is known about the sensory pathways that regulate cnidocytes, the electrical events that manifest in cnidocytes following sensory stimulation and the ionic mechanisms that underlie discharge. © 2008.","author":[{"dropping-particle":"","family":"Anderson","given":"Peter A.V.","non-dropping-particle":"","parse-names":false,"suffix":""},{"dropping-particle":"","family":"Bouchard","given":"Christelle","non-dropping-particle":"","parse-names":false,"suffix":""}],"container-title":"Toxicon","id":"ITEM-2","issue":"8","issued":{"date-parts":[["2009"]]},"page":"1046-1053","publisher":"Elsevier Ltd","title":"The regulation of cnidocyte discharge","type":"article-journal","volume":"54"},"uris":["http://www.mendeley.com/documents/?uuid=df04798a-5dc7-47f1-a411-bdd75111b547"]},{"id":"ITEM-3","itemData":{"author":[{"dropping-particle":"V","family":"Anderson","given":"Peter A","non-dropping-particle":"","parse-names":false,"suffix":""},{"dropping-particle":"","family":"Thompson","given":"Louise F","non-dropping-particle":"","parse-names":false,"suffix":""},{"dropping-particle":"","family":"Moneypenny","given":"Craig G","non-dropping-particle":"","parse-names":false,"suffix":""},{"dropping-particle":"V","family":"Anderson","given":"Peter A","non-dropping-particle":"","parse-names":false,"suffix":""},{"dropping-particle":"","family":"Thompson","given":"Louise F","non-dropping-particle":"","parse-names":false,"suffix":""},{"dropping-particle":"","family":"Moneypenny","given":"Craig G","non-dropping-particle":"","parse-names":false,"suffix":""}],"container-title":"Biological Bulletin","id":"ITEM-3","issue":"2","issued":{"date-parts":[["2004"]]},"page":"141-146","title":"Evidence for a Common Pattern of Peptidergic Innervation of Cnidocytes","type":"article-journal","volume":"207"},"uris":["http://www.mendeley.com/documents/?uuid=fde3c744-2df5-4bf1-b9fe-91d6eb631439","http://www.mendeley.com/documents/?uuid=aa77d284-b9f2-452c-99ac-2755d72f850c"]},{"id":"ITEM-4","itemData":{"DOI":"10.1242/dev.109.4.897","ISSN":"09501991","abstract":"Differentiation of sensory nerve cells in tentacles of Hydra magnipapillata was investigated using the monoclonal antibody NV1. NV1+ sensory nerve cells form specific complexes with battery cells in tentacles. NV1+ cells can only be formed by differentiation from interstitial cell precursors. These precursors complete a terminal cell cycle in the distal gastric region at the base of tentacles; differentiation from the S/G2 boundary to expression of the NV1 antigen requires 30 h. During this time, precursors move from the distal gastric region into the tentacles, differentiate to morphologically fully formed nerve cells and then begin expressing NV1 antigen. The neuropeptide head activator stimualtes NV1+ differentiation in S-phase of the precursor's cell cycle.","author":[{"dropping-particle":"","family":"Hobmayer","given":"E.","non-dropping-particle":"","parse-names":false,"suffix":""},{"dropping-particle":"","family":"Holstein","given":"T. W.","non-dropping-particle":"","parse-names":false,"suffix":""},{"dropping-particle":"","family":"David","given":"C. N.","non-dropping-particle":"","parse-names":false,"suffix":""}],"container-title":"Development","id":"ITEM-4","issue":"4","issued":{"date-parts":[["1990"]]},"page":"897-904","title":"Tentacle morphogenesis in hydra. II. Formation of a complex between a sensory nerve cell and a battery cell","type":"article-journal","volume":"109"},"uris":["http://www.mendeley.com/documents/?uuid=90706292-44dd-49c1-80c0-e42167a0df96"]},{"id":"ITEM-5","itemData":{"DOI":"10.1186/1741-7007-10-17","ISSN":"17417007","PMID":"22390726","abstract":"Background: Cnidocytes, the eponymous cell type of the Cnidaria, facilitate both sensory and secretory functions and are among the most complex animal cell types known. In addition to their structural complexity, cnidocytes display complex sensory attributes, integrating both chemical and mechanical cues from the environment into their discharge behavior. Despite more than a century of work aimed at understanding the sensory biology of cnidocytes, the specific sensory receptor genes that regulate their function remain unknown.Results: Here we report that light also regulates cnidocyte function. We show that non-cnidocyte neurons located in battery complexes of the freshwater polyp Hydra magnipapillata specifically express opsin, cyclic nucleotide gated (CNG) ion channel and arrestin, which are all known components of bilaterian phototransduction cascades. We infer from behavioral trials that different light intensities elicit significant effects on cnidocyte discharge propensity. Harpoon-like stenotele cnidocytes show a pronounced diminution of discharge behavior under bright light conditions as compared to dim light. Further, we show that suppression of firing by bright light is ablated by cis-diltiazem, a specific inhibitor of CNG ion channels.Conclusions: Our results implicate an ancient opsin-mediated phototransduction pathway and a previously unknown layer of sensory complexity in the control of cnidocyte discharge. These findings also suggest a molecular mechanism for the regulation of other cnidarian behaviors that involve both photosensitivity and cnidocyte function, including diurnal feeding repertoires and/or substrate-based locomotion. More broadly, our findings highlight one novel, non-visual function for opsin-mediated phototransduction in a cnidarian, the origins of which might have preceded the evolution of cnidarian eyes. © 2012 Plachetzki et al; licensee BioMed Central Ltd.","author":[{"dropping-particle":"","family":"Plachetzki","given":"David C.","non-dropping-particle":"","parse-names":false,"suffix":""},{"dropping-particle":"","family":"Fong","given":"Caitlin R.","non-dropping-particle":"","parse-names":false,"suffix":""},{"dropping-particle":"","family":"Oakley","given":"Todd H.","non-dropping-particle":"","parse-names":false,"suffix":""}],"container-title":"BMC Biology","id":"ITEM-5","issue":"March","issued":{"date-parts":[["2012"]]},"title":"Cnidocyte discharge is regulated by light and opsin-mediated phototransduction","type":"article-journal","volume":"10"},"uris":["http://www.mendeley.com/documents/?uuid=bbc4756c-ef34-4e5a-98d9-7651a81cafc0"]}],"mendeley":{"formattedCitation":"(P. A. V. Anderson &amp; Bouchard, 2009; P. A. V Anderson et al., 2004; Hobmayer, Holstein, &amp; David, 1990; Plachetzki, Fong, &amp; Oakley, 2012b; Westfall, 2004)","manualFormatting":"(Hobmayer et al. 1990; Anderson et al. 2004; Westfall 2004; Anderson and Bouchard 2009; Plachetzki et al. 2012)","plainTextFormattedCitation":"(P. A. V. Anderson &amp; Bouchard, 2009; P. A. V Anderson et al., 2004; Hobmayer, Holstein, &amp; David, 1990; Plachetzki, Fong, &amp; Oakley, 2012b; Westfall, 2004)","previouslyFormattedCitation":"(Hobmayer et al. 1990; Anderson et al. 2004; Westfall 2004; Anderson and Bouchard 2009; Plachetzki et al. 2012b)"},"properties":{"noteIndex":0},"schema":"https://github.com/citation-style-language/schema/raw/master/csl-citation.json"}</w:instrText>
      </w:r>
      <w:r>
        <w:fldChar w:fldCharType="separate"/>
      </w:r>
      <w:r w:rsidR="00FE1FB6" w:rsidRPr="00FE1FB6">
        <w:rPr>
          <w:noProof/>
        </w:rPr>
        <w:t>(Hobmayer et al. 1990; Anderson et al. 2004; Westfall 2004; Anderson and Bouchard 2009; Plachetzki et al. 2012)</w:t>
      </w:r>
      <w:r>
        <w:fldChar w:fldCharType="end"/>
      </w:r>
      <w:r>
        <w:t xml:space="preserve">. The cnidocytes that facilitate nematocyte printing </w:t>
      </w:r>
      <w:proofErr w:type="gramStart"/>
      <w:r>
        <w:t>are located in</w:t>
      </w:r>
      <w:proofErr w:type="gramEnd"/>
      <w:r>
        <w:t xml:space="preserve"> the </w:t>
      </w:r>
      <w:r w:rsidR="00222138">
        <w:t xml:space="preserve">tentacles </w:t>
      </w:r>
      <w:r w:rsidR="00222138" w:rsidRPr="009F133E">
        <w:t xml:space="preserve">and </w:t>
      </w:r>
      <w:r w:rsidR="00C91725" w:rsidRPr="009F133E">
        <w:t xml:space="preserve">a ring of neurons is present </w:t>
      </w:r>
      <w:r w:rsidR="00303631" w:rsidRPr="009F133E">
        <w:t>at</w:t>
      </w:r>
      <w:r w:rsidR="00C91725" w:rsidRPr="009F133E">
        <w:t xml:space="preserve"> the </w:t>
      </w:r>
      <w:r w:rsidRPr="009F133E">
        <w:t>basal protrusion located on the aboral end of actinulae</w:t>
      </w:r>
      <w:r w:rsidR="00C91725">
        <w:t xml:space="preserve"> (Fig 1D)</w:t>
      </w:r>
      <w:r>
        <w:t xml:space="preserve">. The aboral region is also the site for sensory integration in other hydrozoan larvae </w:t>
      </w:r>
      <w:r>
        <w:fldChar w:fldCharType="begin" w:fldLock="1"/>
      </w:r>
      <w:r w:rsidR="00B02F06">
        <w:instrText>ADDIN CSL_CITATION {"citationItems":[{"id":"ITEM-1","itemData":{"DOI":"10.1111/ivb.12025","ISSN":"10778306","abstract":"Coral planulae are induced to settle and metamorphose by contact with either crustose coralline algae or marine bacterial biofilms. Larvae of two coral species, Pocillopora damicornis and Montipora capitata, which respond to different metamorphic cues, were utilized to investigate the sensory mechanisms used to detect metamorphic cues. Because the aboral pole of the coral planula is the point of attachment to the substratum, we predicted that it is also the point of detection for cues. To determine where sensory cells for cues are localized along the body, individual larvae were transversely cut into oral and aboral portions at various levels along the oral–aboral axis, and exposed to settlement-inducing substrata. Aboral ends of M. capitata metamorphosed, while oral ends continued to swim. However, in larvae of P. damicornis, ¾ oral ends (i.e., lacking the aboral pole) were also able to metamorphose, indicating that the cells that detect cues may be distributed along the sides of the body. These cells do not correspond to FMRFamide-immunoreactive cells that are present throughout the body. Cesium ions induced both aboral and oral ends of larvae of both species to settle, suggesting that oral ends have not lost their capacity to metamorphose, despite lacking sensory cells to detect natural cues. To determine whether sensory cells in larvae of P. damicornis are restricted to one side of the body, swimming behavior over substrata was observed in larvae labeled with diI, a red fluorescent lipophilic membrane stain. The larvae were found to rotate around the oral–aboral axis, with their surface against the substratum, not favoring a particular side for detecting cues. While clarifying the regions of the larval body important for settlement and metamorphosis in coral planulae, we conclude that significant differences between coral species may be due to differences in the distribution of sensory structures in relation to different planular sizes.","author":[{"dropping-particle":"","family":"Tran","given":"Cawa","non-dropping-particle":"","parse-names":false,"suffix":""},{"dropping-particle":"","family":"Hadfield","given":"Michael G.","non-dropping-particle":"","parse-names":false,"suffix":""}],"container-title":"Invertebrate Biology","id":"ITEM-1","issue":"3","issued":{"date-parts":[["2013"]]},"page":"195-206","title":"Localization of sensory mechanisms utilized by coral planulae to detect settlement cues","type":"article-journal","volume":"132"},"uris":["http://www.mendeley.com/documents/?uuid=ed4f9332-6a78-49fd-b08e-337d8aaf577f"]},{"id":"ITEM-2","itemData":{"DOI":"10.3755/galaxea.12.77","ISSN":"1883-0838","abstract":"Planula larvae of the coral genus Acropora ini-tiate metamorphosis in response to microorganisms on the undersea substrate. Since planulae move forward in the direction of the aboral side, it is supposed that initial metamorphic signaling localizes on this side of planula. We dissected planulae of Acropora tenuis into fragments perpendicularly to the oral-aboral axis, and tested their response to a metamorphosis-inducing neuropeptide. Aboral 1/3 fragments metamorphosed in response to the neu-ropeptide with high efficiency while most oral 2/3 frag-ments did not. The results suggest that the tissue in the aboral 1/3 region receives the metamorphic neuropeptide and releases downstream signals to complete metamor-phosis of the oral side in A. tenuis larvae. In addition, oral fragments gained a metamorphic ability in several days, revealing regeneration of the aboral tissue.","author":[{"dropping-particle":"","family":"Matsushima","given":"Kanae","non-dropping-particle":"","parse-names":false,"suffix":""},{"dropping-particle":"","family":"Kiyomoto","given":"Masato","non-dropping-particle":"","parse-names":false,"suffix":""},{"dropping-particle":"","family":"Hatta","given":"Masayuki","non-dropping-particle":"","parse-names":false,"suffix":""}],"container-title":"Galaxea, Journal of Coral Reef Studies","id":"ITEM-2","issue":"2","issued":{"date-parts":[["2010"]]},"page":"77-81","title":"Aboral localization of responsiveness to a metamorphic neuropeptide in the planula larva of Acropora tenuis","type":"article-journal","volume":"12"},"uris":["http://www.mendeley.com/documents/?uuid=7bbd36fb-260c-4b0f-b9c4-e13575058ddf"]}],"mendeley":{"formattedCitation":"(Matsushima, Kiyomoto, &amp; Hatta, 2010; Tran &amp; Hadfield, 2013)","plainTextFormattedCitation":"(Matsushima, Kiyomoto, &amp; Hatta, 2010; Tran &amp; Hadfield, 2013)","previouslyFormattedCitation":"(Matsushima et al. 2010; Tran and Hadfield 2013)"},"properties":{"noteIndex":0},"schema":"https://github.com/citation-style-language/schema/raw/master/csl-citation.json"}</w:instrText>
      </w:r>
      <w:r>
        <w:fldChar w:fldCharType="separate"/>
      </w:r>
      <w:r w:rsidR="00B02F06" w:rsidRPr="00B02F06">
        <w:rPr>
          <w:noProof/>
        </w:rPr>
        <w:t>(Matsushima, Kiyomoto, &amp; Hatta, 2010; Tran &amp; Hadfield, 2013)</w:t>
      </w:r>
      <w:r>
        <w:fldChar w:fldCharType="end"/>
      </w:r>
      <w:r>
        <w:t xml:space="preserve">. We propose that the sensory interplay between </w:t>
      </w:r>
      <w:r w:rsidR="00C91725">
        <w:t xml:space="preserve">cnidocytes </w:t>
      </w:r>
      <w:r>
        <w:t>and their adjacent sensory neurons</w:t>
      </w:r>
      <w:r w:rsidR="00460148">
        <w:t xml:space="preserve"> </w:t>
      </w:r>
      <w:r w:rsidR="00C91725">
        <w:t>facilitate</w:t>
      </w:r>
      <w:r>
        <w:t xml:space="preserve"> sensory integration during settlement. </w:t>
      </w:r>
    </w:p>
    <w:p w14:paraId="4C9561B0" w14:textId="77777777" w:rsidR="00B904A5" w:rsidRDefault="00B904A5" w:rsidP="00D46E28">
      <w:pPr>
        <w:spacing w:line="480" w:lineRule="auto"/>
        <w:jc w:val="both"/>
        <w:rPr>
          <w:b/>
          <w:bCs/>
        </w:rPr>
      </w:pPr>
    </w:p>
    <w:p w14:paraId="1653049C" w14:textId="277830BC" w:rsidR="00B904A5" w:rsidRDefault="00B904A5" w:rsidP="00D46E28">
      <w:pPr>
        <w:spacing w:line="480" w:lineRule="auto"/>
        <w:jc w:val="both"/>
        <w:rPr>
          <w:b/>
          <w:bCs/>
        </w:rPr>
      </w:pPr>
      <w:r>
        <w:rPr>
          <w:b/>
          <w:bCs/>
        </w:rPr>
        <w:t xml:space="preserve">A sensory cue hierarchy and MSI during the larval settlement decision </w:t>
      </w:r>
    </w:p>
    <w:p w14:paraId="09E49F4E" w14:textId="54B9A156" w:rsidR="00B904A5" w:rsidRDefault="00B904A5" w:rsidP="00D46E28">
      <w:pPr>
        <w:spacing w:line="480" w:lineRule="auto"/>
        <w:jc w:val="both"/>
      </w:pPr>
      <w:r>
        <w:t>Our larval settlement studies identified a sensory cue hierarchy, where the highest rates of settlement occurred in the presence of chemical, mechanical</w:t>
      </w:r>
      <w:r w:rsidR="0019770A">
        <w:t>,</w:t>
      </w:r>
      <w:r>
        <w:t xml:space="preserve"> and light cues, with green light being the most permissive to settlement</w:t>
      </w:r>
      <w:r w:rsidR="0019770A">
        <w:t xml:space="preserve"> (Fig 3)</w:t>
      </w:r>
      <w:r>
        <w:t xml:space="preserve">. This is not surprising as marine invertebrate </w:t>
      </w:r>
      <w:r>
        <w:lastRenderedPageBreak/>
        <w:t xml:space="preserve">larvae in general are known to integrate information from different modalities </w:t>
      </w:r>
      <w:r>
        <w:fldChar w:fldCharType="begin" w:fldLock="1"/>
      </w:r>
      <w:r w:rsidR="00B02F06">
        <w:instrText>ADDIN CSL_CITATION {"citationItems":[{"id":"ITEM-1","itemData":{"DOI":"10.1201/9781420036602.ch13","ISBN":"978-0-8493-9064-7","ISSN":"01718630","PMID":"25246403","abstract":"Most benthic marine invertebrates produce planktonic larvae that remain in their larval phases for minutes to months, sometimes dispersing over great distances before settling on suitable substrata. Abundant literature attests that larvae of many species are influenced ... \\n","author":[{"dropping-particle":"","family":"Hadfield","given":"Michael","non-dropping-particle":"","parse-names":false,"suffix":""},{"dropping-particle":"","family":"Paul","given":"Valerie","non-dropping-particle":"","parse-names":false,"suffix":""}],"id":"ITEM-1","issue":"June","issued":{"date-parts":[["2001"]]},"number-of-pages":"431-461","title":"Natural Chemical Cues for Settlement and Metamorphosis of Marine-Invertebrate Larvae","type":"book"},"uris":["http://www.mendeley.com/documents/?uuid=a59148ab-5a61-4981-a09d-b68b21f7c81a"]},{"id":"ITEM-2","itemData":{"DOI":"10.1146/annurev-marine-120709-142753","ISBN":"1941-1405\\n978-0-8243-4503-7","ISSN":"1941-1405","PMID":"21329213","abstract":"Communities of microorganisms form thin coats across solid surfaces in the sea. Larvae of many marine invertebrates use biofilm components as cues to appropriate settlement sites. Research on the tube-dwelling polychaete worm Hydroides elegans, a globally common member of biofouling communi-ties, is described to exemplify approaches to understanding biofilm bacteria as a source of settlement cues and larvae as bearers of receptors for bacterial cues. The association of species of the bacterial genus Pseudoalteromonas with larval settlement in many phyla is described, and the question of whether cues are soluble or surface-bound is reviewed, concluding that most evidence points to surface-bound cues. Seemingly contradictory data for stimulation of barnacle settlement are discussed; possibly both explanations are true. Paleontological evidence reveals a relationship between metazoans and biofilms very early in metazoan evolution, and thus the receptors for bac-terial cues of invertebrate larvae are very old and possibly unique. Finally, despite more than 60 years of intense investigation, we still know very lit-tle about either the bacterial ligands that stimulate larval settlement or the cellular basis of their detection by larvae.","author":[{"dropping-particle":"","family":"Hadfield","given":"Michael G.","non-dropping-particle":"","parse-names":false,"suffix":""}],"container-title":"Annual Review of Marine Science","id":"ITEM-2","issue":"1","issued":{"date-parts":[["2011"]]},"page":"453-470","title":"Biofilms and Marine Invertebrate Larvae: What Bacteria Produce That Larvae Use to Choose Settlement Sites","type":"article-journal","volume":"3"},"uris":["http://www.mendeley.com/documents/?uuid=12851693-7473-44d5-b325-5d4bd2f58047"]},{"id":"ITEM-3","itemData":{"DOI":"10.1371/journal.pone.0117675","ISSN":"19326203","PMID":"25671562","abstract":"&lt;p&gt;For sessile marine invertebrates with complex life cycles, habitat choice is directed by the larval phase. Defining which habitat-linked cues are implicated in sessile invertebrate larval settlement has largely concentrated on chemical cues which are thought to signal optimal habitat. There has been less effort establishing physical settlement cues, including the role of surface microtopography. This laboratory based study tested whether surface microtopography alone (without chemical cues) plays an important contributing role in the settlement of larvae of coral reef sessile invertebrates. We measured settlement to tiles, engineered with surface microtopography (holes) that closely matched the sizes (width) of larvae of a range of corals and sponges, in addition to surfaces with holes that were markedly larger than larvae. Larvae from two species of scleractinian corals (&lt;italic&gt;Acropora millepora&lt;/italic&gt; and &lt;italic&gt;Ctenactis crassa&lt;/italic&gt;) and three species of coral reef sponges (&lt;italic&gt;Luffariella variabilis&lt;/italic&gt;, &lt;italic&gt;Carteriospongia foliascens&lt;/italic&gt; and &lt;italic&gt;Ircinia&lt;/italic&gt; sp.,) were used in experiments. &lt;italic&gt;L. variabilis&lt;/italic&gt;, &lt;italic&gt;A. millepora&lt;/italic&gt; and &lt;italic&gt;C. crassa&lt;/italic&gt; showed markedly higher settlement to surface microtopography that closely matched their larval width. &lt;italic&gt;C. foliascens&lt;/italic&gt; and &lt;italic&gt;Ircinia&lt;/italic&gt; sp., showed no specificity to surface microtopography, settling just as often to microtopography as to flat surfaces. The findings of this study question the sole reliance on chemical based larval settlement cues, previously established for some coral and sponge species, and demonstrate that specific physical cues (surface complexity) can also play an important role in larval settlement of coral reef sessile invertebrates.&lt;/p&gt;","author":[{"dropping-particle":"","family":"Whalan","given":"Steve","non-dropping-particle":"","parse-names":false,"suffix":""},{"dropping-particle":"","family":"Abdul Wahab","given":"Muhammad A.","non-dropping-particle":"","parse-names":false,"suffix":""},{"dropping-particle":"","family":"Sprungala","given":"Susanne","non-dropping-particle":"","parse-names":false,"suffix":""},{"dropping-particle":"","family":"Poole","given":"Andrew J.","non-dropping-particle":"","parse-names":false,"suffix":""},{"dropping-particle":"","family":"Nys","given":"Rocky","non-dropping-particle":"De","parse-names":false,"suffix":""}],"container-title":"PLoS ONE","id":"ITEM-3","issue":"2","issued":{"date-parts":[["2015"]]},"page":"1-17","title":"Larval settlement: The role of surface topography for sessile coral reef invertebrates","type":"article-journal","volume":"10"},"uris":["http://www.mendeley.com/documents/?uuid=4d6ebb87-5305-420f-9cf0-92cc3fe10b57"]},{"id":"ITEM-4","itemData":{"DOI":"10.1002/(SICI)1097-010X(19970801)278:5&lt;299::AID-JEZ4&gt;3.0.CO;2-K","ISSN":"0022104X","abstract":"The discharge of atrichous isorhiza (AI) from the aboral tentacle tips (ATT) is an integral process during settlement of actinula larvae of the marine hydroid Tubularia mesembryanthemum, since discharged adhesive tubules from AI anchor actinula to settlement substrata. Under experimental conditions, AI discharge was triggered either by contact with bacterial film-coated micropipettes or by exposure to artificial seawater (ASW) containing high concentrations of K+ ions (K+-ASW). Triggering of AI discharge required both contact by ATT with the substrata and the presence of Ca2+ions in the bathing solution. Changes in intracellular Ca2+ion concentration ([Ca2+]i) were monitored by measuring fluorescence images obtained from ATT of intact actinulae loaded with fura-2. An initial low [Ca2+]i(R340/380=1.0) value was rapidly elevated by K+-ASW treatment (R340/380=1.9) and simultaneously accompanied by AI discharge. These results suggest that Ca2+ions present in the bathing solution flow into nematocytes during the AI discharge process. J. Exp. Zool. 278:299–307, 1997. © 1997 Wiley-Liss, Inc.","author":[{"dropping-particle":"","family":"Kawaii","given":"S.","non-dropping-particle":"","parse-names":false,"suffix":""},{"dropping-particle":"","family":"Yamashita","given":"K.","non-dropping-particle":"","parse-names":false,"suffix":""},{"dropping-particle":"","family":"Nakai","given":"N.","non-dropping-particle":"","parse-names":false,"suffix":""},{"dropping-particle":"","family":"Fusetani","given":"N.","non-dropping-particle":"","parse-names":false,"suffix":""}],"container-title":"Journal of Experimental Zoology","id":"ITEM-4","issue":"5","issued":{"date-parts":[["1997"]]},"page":"299-307","title":"Intracellular calcium transients during nematocyst discharge in actinulae of the hydroid, tubularia mesembryanthemum","type":"article-journal","volume":"278"},"uris":["http://www.mendeley.com/documents/?uuid=759e7788-689f-4bc9-a020-ab05080a3cbc"]},{"id":"ITEM-5","itemData":{"DOI":"10.1111/mec.15318","ISSN":"1365294X","PMID":"31791111","abstract":"Marine pelagic larvae use a hierarchy of environmental cues to identify a suitable benthic habitat on which to settle and metamorphose into the adult phase of the life cycle. Most larvae are induced to settle by biochemical cues and many species have long been known to preferentially settle in the dark. Combined, these data suggest that larval responses to light and biochemical cues may be linked, but this has yet to be explored at the molecular level. Here, we track the vertical position of larvae of the sponge Amphimedon queenslandica to show that they descend to the benthos at twilight, by which time they are competent to respond to biochemical cues, consistent with them naturally settling in the dark. We use larval settlement assays under three different light regimes, combined with transcriptomics on individual larvae, to identify candidate molecular pathways underlying larval settlement. We find that larvae do not settle in response to biochemical cues if maintained in constant light. Our transcriptome data suggest that constant light actively represses settlement via the sustained up-regulation of two putative inactivators of chemotransduction in constant light only. Our data suggest that photo- and chemosensory systems interact to regulate larval settlement via nitric oxide and cyclic guanosine monophosphate signalling in this sponge, which belongs to one of the earliest-branching animal phyla.","author":[{"dropping-particle":"","family":"Say","given":"Tahsha E.","non-dropping-particle":"","parse-names":false,"suffix":""},{"dropping-particle":"","family":"Degnan","given":"Sandie M.","non-dropping-particle":"","parse-names":false,"suffix":""}],"container-title":"Molecular Ecology","id":"ITEM-5","issue":"2","issued":{"date-parts":[["2020"]]},"page":"247-261","title":"Molecular and behavioural evidence that interdependent photo - and chemosensory systems regulate larval settlement in a marine sponge","type":"article-journal","volume":"29"},"uris":["http://www.mendeley.com/documents/?uuid=47b44870-df3b-44cf-a8ce-9abc73cc75b0"]},{"id":"ITEM-6","itemData":{"DOI":"10.1098/rsos.150358","ISSN":"20545703","abstract":"Reef-building corals produce planktonic planula larvae that must select an appropriate habitat to settle and spend the rest of their life, a behaviour that plays a critical role in survival. Here, we report that larvae obtained from a deep-water population of Pseudodiploria strigosa settled more readily under blue light and in the dark, which aligns well with the light field characteristics of their natal habitat. By contrast, larvae of the shallow-water coral Acropora millepora settled in high proportions under blue and green light while settlement was less in the dark. Acropora millepora larvae also showed reduced settlement under red light, which should be abundant at shallow depth. Hypothesizing that this might be a mechanism preventing the larvae from settling on the exposed upwards-facing surfaces, we quantified A. millepora settlement in manipulated light chambers in situ on the reef. While A. millepora larvae naturally preferred settling on vertical rather than exposed horizontal surfaces, swapping the colours of upwards-facing and sideways-facing light fields was sufficient to invert this preference. We also tested if the variation in intrinsic red fluorescence in A. millepora larvae correlates with settlement rates, as has been suggested previously. We observed this correlation only in the absence of light, indicating that larval red fluorescent protein is probably not directly involved in light sensing. Our study reveals previously under-appreciated light-sensory capabilities in coral larvae, which could be an important axis of ecological differentiation between coral species and/or populations.","author":[{"dropping-particle":"","family":"Strader","given":"Marie E.","non-dropping-particle":"","parse-names":false,"suffix":""},{"dropping-particle":"","family":"Davies","given":"Sarah W.","non-dropping-particle":"","parse-names":false,"suffix":""},{"dropping-particle":"V.","family":"Matz","given":"Mikhail","non-dropping-particle":"","parse-names":false,"suffix":""}],"container-title":"Royal Society Open Science","id":"ITEM-6","issue":"10","issued":{"date-parts":[["2015"]]},"title":"Differential responses of coral larvae to the colour of ambient light guide them to suitable settlement microhabitat","type":"article-journal","volume":"2"},"uris":["http://www.mendeley.com/documents/?uuid=e47c201e-a0b5-4edc-a0fd-5c2f90950385"]},{"id":"ITEM-7","itemData":{"DOI":"10.1086/BBLv222n2p88","ISSN":"00063185","abstract":"Light influences the swimming behavior and settlement of the planktonic planula larvae of coral, but little is known regarding the photosensory biology of coral at this or any life-history stage. Here we used changes in the electrical activity of coral planula tissue upon light flashes to investigate the photosensitivity of the larvae. Recordings were made from five species: two whose larvae are brooded and contain algal symbionts (Porites astreoides and Agaricia agaricites), and three whose larvae are spawned and lack algal symbionts (Acropora cervicornis, Acropora palmata, and Montastrea faveolata). Photosensitivity originated from the coral larva rather than from, or in addition to, its algal symbionts as species with and without symbionts displayed similar tissue-level electrical responses to light. All species exhibited as much (or more) sensitivity to red stimuli as to blue/green stimuli, which is consistent with a role for long-wavelength visible light in the preference for substrata observed during settlement and in facilitating vertical positioning of larvae in the water column.","author":[{"dropping-particle":"","family":"Mason","given":"Benjamin M.","non-dropping-particle":"","parse-names":false,"suffix":""},{"dropping-particle":"","family":"Cohen","given":"Jonathan H.","non-dropping-particle":"","parse-names":false,"suffix":""}],"container-title":"Biological Bulletin","id":"ITEM-7","issue":"2","issued":{"date-parts":[["2012"]]},"page":"88-92","title":"Long-Wavelength Photosensitivity in Coral planula larvae","type":"article-journal","volume":"222"},"uris":["http://www.mendeley.com/documents/?uuid=e2d220a4-e24d-4aca-ad61-8dddbe53bb4f"]},{"id":"ITEM-8","itemData":{"DOI":"10.1007/s00227-006-0530-y","ISBN":"0025-3162","ISSN":"00253162","abstract":"The settlement behaviour of planula larvae and their development to young polyps was investigated in laboratory experiments in five scyphozoan species [Aurelia aurita (L.), Cyanea capillata (L.), Cyanea lamarckii Péron and Leseur, Chrysaora hysoscella (L.), and Rhizostoma octopus (L.)]. The undersides of settling plates were strongly preferred for settlement. Shells, the only natural substrate type offered, were less attractive than artificial substrates (concrete, machined wood, polyethylene, and glass). The advantages of colonization of substrate undersides for survival and reproduction of polyps are discussed. It is supposed that the increase of artificial substrates in our seas, due to marine litter pollution and submarine building activities, enlarge the areas of distribution of scyphozoan polyps, in coastal as well as in off-shore regions. Subsequent increases in ephyra production by polyps are probably one reason for the increase in mass occurrences of jellyfish recognized worldwide during the last few decades. It is suggested that the early developmental stages in the cnidarian life cycle, the planula larvae, and the polyps, play the key role in the development of jellyfish outbursts. © 2006 Springer-Verlag.","author":[{"dropping-particle":"","family":"Holst","given":"Sabine","non-dropping-particle":"","parse-names":false,"suffix":""},{"dropping-particle":"","family":"Jarms","given":"Gerhard","non-dropping-particle":"","parse-names":false,"suffix":""}],"container-title":"Marine Biology","id":"ITEM-8","issue":"3","issued":{"date-parts":[["2007"]]},"page":"863-871","title":"Substrate choice and settlement preferences of planula larvae of five Scyphozoa (Cnidaria) from German Bight, North Sea","type":"article-journal","volume":"151"},"uris":["http://www.mendeley.com/documents/?uuid=da714536-f314-46fc-81cb-c8987a8df8d8"]},{"id":"ITEM-9","itemData":{"ISBN":"0078-3218","ISSN":"0078-3218","abstract":"Most benthic marine invertebrates produce planktonic larvae that must locate a suitable substratum on which to settle. This review considers evidence for chemical cues that promote or deter the settlement of marine invertebrates, with a particular focus on the isolation and identification of naturally occurring inducers of settlement. Chemoreception by marine invertebrate larvae is discussed, with a review of information on the larval sensory organs involved in the perception of chemical cues and with comparisons of chemoreception by marine and terrestrial invertebrates. While there is considerable evidence for the existence of site-specific chemical cues that promote larval settlement, naturally occurring inductive compounds have been isolated and identified in only a few instances, and it is unclear whether any of these induce settlement under natural conditions. Conversely, a wealth of natural products have been characterised from extracts of unfouled sessile marine invertebrates to which an antifouling role has been ascribed, yet there is little evidence that these putative fouling inhibitors are released at concentrations that would influence settling larvae. The acknowledged importance of settlement and recruitment in structuring benthic communities warrants further interdisciplinary research on the identification, production, and perception of chemical signals in the marine environment.","author":[{"dropping-particle":"","family":"Pawlik","given":"J R","non-dropping-particle":"","parse-names":false,"suffix":""}],"container-title":"Oceanography and Marine Biology","id":"ITEM-9","issued":{"date-parts":[["1992"]]},"page":"273-335","title":"Chemical Ecology of the Settlement of Benthic Marine-Invertebrates","type":"article","volume":"30"},"uris":["http://www.mendeley.com/documents/?uuid=5c6154d3-a357-49b6-9cb1-6a9fb5806483"]}],"mendeley":{"formattedCitation":"(M. G. Hadfield, 2011; M. Hadfield &amp; Paul, 2001; Holst &amp; Jarms, 2007; Kawaii, Yamashita, Nakai, &amp; Fusetani, 1997; Mason &amp; Cohen, 2012; Pawlik, 1992; Say &amp; Degnan, 2020; Strader, Davies, &amp; Matz, 2015; Whalan, Abdul Wahab, Sprungala, Poole, &amp; De Nys, 2015)","plainTextFormattedCitation":"(M. G. Hadfield, 2011; M. Hadfield &amp; Paul, 2001; Holst &amp; Jarms, 2007; Kawaii, Yamashita, Nakai, &amp; Fusetani, 1997; Mason &amp; Cohen, 2012; Pawlik, 1992; Say &amp; Degnan, 2020; Strader, Davies, &amp; Matz, 2015; Whalan, Abdul Wahab, Sprungala, Poole, &amp; De Nys, 2015)","previouslyFormattedCitation":"(Pawlik 1992; Kawaii et al. 1997; Hadfield and Paul 2001; Holst and Jarms 2007; Hadfield 2011; Mason and Cohen 2012; Strader et al. 2015; Whalan et al. 2015; Say and Degnan 2020)"},"properties":{"noteIndex":0},"schema":"https://github.com/citation-style-language/schema/raw/master/csl-citation.json"}</w:instrText>
      </w:r>
      <w:r>
        <w:fldChar w:fldCharType="separate"/>
      </w:r>
      <w:r w:rsidR="00B02F06" w:rsidRPr="00B02F06">
        <w:rPr>
          <w:noProof/>
        </w:rPr>
        <w:t>(M. G. Hadfield, 2011; M. Hadfield &amp; Paul, 2001; Holst &amp; Jarms, 2007; Kawaii, Yamashita, Nakai, &amp; Fusetani, 1997; Mason &amp; Cohen, 2012; Pawlik, 1992; Say &amp; Degnan, 2020; Strader, Davies, &amp; Matz, 2015; Whalan, Abdul Wahab, Sprungala, Poole, &amp; De Nys, 2015)</w:t>
      </w:r>
      <w:r>
        <w:fldChar w:fldCharType="end"/>
      </w:r>
      <w:r>
        <w:t>. This type of sensory integration, and the likelihood that some cues are more important than others, was the basis for the proposal that a hierarchy of sensory cues dictate</w:t>
      </w:r>
      <w:r w:rsidR="005D0D1A">
        <w:t>s</w:t>
      </w:r>
      <w:r>
        <w:t xml:space="preserve"> larval settlement in a species-specific manner</w:t>
      </w:r>
      <w:r w:rsidR="00222138">
        <w:t xml:space="preserve"> </w:t>
      </w:r>
      <w:r w:rsidR="00222138">
        <w:fldChar w:fldCharType="begin" w:fldLock="1"/>
      </w:r>
      <w:r w:rsidR="00B02F06">
        <w:instrText>ADDIN CSL_CITATION {"citationItems":[{"id":"ITEM-1","itemData":{"abstract":"A commonality among oceanic life cycles is a process known as settlement, where dispersing propagules transition to the sea 8oor. For many marine invertebrates, this transition is irreversible, and therefore involves a crucial decision-making process through which larvae evaluate their juvenile habitat-to-be. In this chapter, we consider aspects of the external environment that could in8uence successful settlement. Speci&lt;cally, we discuss water 8ow across scales, and how larvae can engage behaviors to in8uence where ocean currents take them, and enhance the likelihood of their being carried towards suitable settlement locations. Next, we consider what senses larvae utilize to evaluate their external environment and properly time such behavioral modi&lt;cations, and settlement generally. We hypothesize that larvae integrate these various external cues in a hierarchical fashion, with di&gt;ering arrangements being employed across ontogeny and among species. We conclude with a brief discussion of the future promises of larval biology, ecology and evolution","author":[{"dropping-particle":"","family":"Hodin","given":"Jason","non-dropping-particle":"","parse-names":false,"suffix":""},{"dropping-particle":"","family":"Ferner","given":"Matthew","non-dropping-particle":"","parse-names":false,"suffix":""},{"dropping-particle":"","family":"Heyland","given":"Andreas","non-dropping-particle":"","parse-names":false,"suffix":""},{"dropping-particle":"","family":"Gaylord","given":"Brian","non-dropping-particle":"","parse-names":false,"suffix":""}],"chapter-number":"Chapter 13","container-title":"Evolutionary Ecology of Marine Invertebrate Larvae","id":"ITEM-1","issued":{"date-parts":[["2018"]]},"page":"190-207","title":"I feel that! Fluid dynamics and sensory aspects of larval settlement across scales","type":"chapter"},"uris":["http://www.mendeley.com/documents/?uuid=79bd2d90-194e-4e37-bf8a-067627beb3b3"]},{"id":"ITEM-2","itemData":{"ISSN":"00074977","abstract":"Models of larval dispersal rarely incorporate the behavior of larvae, yet many potential settlers of marine invertebrates and fishes may navigate toward suitable settlement sites by responding to gradients of environmental stimuli. Accordingly, a variety of stimuli may be used for navigation (directed movements to the source of stimuli) and partial navigation (e.g., migration to a current that may favor transport to a settlement site) in the pelagic environment. A broad diversity of taxa have senses that allow them to detect variation in: water chemistry (biotic sources, e.g., amino acids and abiotic sources, e.g., salinity), sound and vibration (biotic sources, e.g., grunting fishes, abiotic sources, e.g., waves breaking), white light gradients and images, polarized light, current direction, magnetism and water pressure. Some organisms can detect multiple stimuli (e.g., decapods and fishes) and integrated sensory responses are likely to be common; many potential settlers of these taxa are good swimmers. Demonstrations of strong orientation to stimuli and navigation over short (centimeters to meters) and broad spatial scales (tens of meters to tens of kilometers) are most common for these groups. Partial navigation, revolving vertical migration, is common for invertebrate larvae. A consequence of vertical migration can be transportation that favors movement to suitable settlement habitat. Navigation over a range of spatial scales may use stimuli that are very predictable regardless of location (e.g., water pressure, gravity). The gradients of other stimuli may be more useful for environment-specific signals and even the location of natal habitats, locations and conspecifics (e.g., using sound or smell of specific taxa). We argue that some larvae may use a hierarchy of sensory cues to find suitable settlement sites and that some of the same types of stimuli may be used at more than one spatial scale (as demonstrated for adult salmonid fishes). There are good demonstrations of the use of cues for orientation and navigation at small spatial scales (less than a few meters). More information, however, is required at spatial scales that are relevant to navigation over kilometers before behavior can be incorporated more accurately into models of larval dispersal.","author":[{"dropping-particle":"","family":"Kingsford","given":"Michael J.","non-dropping-particle":"","parse-names":false,"suffix":""},{"dropping-particle":"","family":"Leis","given":"Jeffrey M.","non-dropping-particle":"","parse-names":false,"suffix":""},{"dropping-particle":"","family":"Shanks","given":"Alan","non-dropping-particle":"","parse-names":false,"suffix":""},{"dropping-particle":"","family":"Lindeman","given":"Kenyon C.","non-dropping-particle":"","parse-names":false,"suffix":""},{"dropping-particle":"","family":"Morgan","given":"Steven G.","non-dropping-particle":"","parse-names":false,"suffix":""},{"dropping-particle":"","family":"Pineda","given":"Jesús","non-dropping-particle":"","parse-names":false,"suffix":""}],"container-title":"Bulletin of Marine Science","id":"ITEM-2","issue":"1 SUPPL.","issued":{"date-parts":[["2002"]]},"page":"309-340","title":"Sensory environments, larval abilities and local self-recruitment","type":"article-journal","volume":"70"},"uris":["http://www.mendeley.com/documents/?uuid=2bd59e80-aa07-48ca-b109-3c2261cfd6a7"]}],"mendeley":{"formattedCitation":"(Hodin et al., 2018; Kingsford et al., 2002)","plainTextFormattedCitation":"(Hodin et al., 2018; Kingsford et al., 2002)","previouslyFormattedCitation":"(Kingsford et al. 2002; Hodin et al. 2018)"},"properties":{"noteIndex":0},"schema":"https://github.com/citation-style-language/schema/raw/master/csl-citation.json"}</w:instrText>
      </w:r>
      <w:r w:rsidR="00222138">
        <w:fldChar w:fldCharType="separate"/>
      </w:r>
      <w:r w:rsidR="00B02F06" w:rsidRPr="00B02F06">
        <w:rPr>
          <w:noProof/>
        </w:rPr>
        <w:t>(Hodin et al., 2018; Kingsford et al., 2002)</w:t>
      </w:r>
      <w:r w:rsidR="00222138">
        <w:fldChar w:fldCharType="end"/>
      </w:r>
      <w:r>
        <w:t xml:space="preserve">. However, the existence of such a hierarchy has not been experimentally validated until now. At the top of the sensory cue hierarchy for </w:t>
      </w:r>
      <w:r w:rsidRPr="009146CF">
        <w:rPr>
          <w:i/>
          <w:iCs/>
        </w:rPr>
        <w:t>E. crocea</w:t>
      </w:r>
      <w:r>
        <w:t xml:space="preserve"> larval settlement are chemical cues produced by microbial biofilms. This is consistent with larval settlement studies in other metazoan species (e.g., annelids</w:t>
      </w:r>
      <w:r w:rsidR="003A14AD">
        <w:t xml:space="preserve">: </w:t>
      </w:r>
      <w:r w:rsidR="003A14AD">
        <w:fldChar w:fldCharType="begin" w:fldLock="1"/>
      </w:r>
      <w:r w:rsidR="00B02F06">
        <w:instrText>ADDIN CSL_CITATION {"citationItems":[{"id":"ITEM-1","itemData":{"DOI":"10.1201/9781420036602.ch13","ISBN":"978-0-8493-9064-7","ISSN":"01718630","PMID":"25246403","abstract":"Most benthic marine invertebrates produce planktonic larvae that remain in their larval phases for minutes to months, sometimes dispersing over great distances before settling on suitable substrata. Abundant literature attests that larvae of many species are influenced ... \\n","author":[{"dropping-particle":"","family":"Hadfield","given":"Michael","non-dropping-particle":"","parse-names":false,"suffix":""},{"dropping-particle":"","family":"Paul","given":"Valerie","non-dropping-particle":"","parse-names":false,"suffix":""}],"id":"ITEM-1","issue":"June","issued":{"date-parts":[["2001"]]},"number-of-pages":"431-461","title":"Natural Chemical Cues for Settlement and Metamorphosis of Marine-Invertebrate Larvae","type":"book"},"uris":["http://www.mendeley.com/documents/?uuid=a59148ab-5a61-4981-a09d-b68b21f7c81a"]},{"id":"ITEM-2","itemData":{"DOI":"10.1146/annurev-marine-120709-142753","ISBN":"1941-1405\\n978-0-8243-4503-7","ISSN":"1941-1405","PMID":"21329213","abstract":"Communities of microorganisms form thin coats across solid surfaces in the sea. Larvae of many marine invertebrates use biofilm components as cues to appropriate settlement sites. Research on the tube-dwelling polychaete worm Hydroides elegans, a globally common member of biofouling communi-ties, is described to exemplify approaches to understanding biofilm bacteria as a source of settlement cues and larvae as bearers of receptors for bacterial cues. The association of species of the bacterial genus Pseudoalteromonas with larval settlement in many phyla is described, and the question of whether cues are soluble or surface-bound is reviewed, concluding that most evidence points to surface-bound cues. Seemingly contradictory data for stimulation of barnacle settlement are discussed; possibly both explanations are true. Paleontological evidence reveals a relationship between metazoans and biofilms very early in metazoan evolution, and thus the receptors for bac-terial cues of invertebrate larvae are very old and possibly unique. Finally, despite more than 60 years of intense investigation, we still know very lit-tle about either the bacterial ligands that stimulate larval settlement or the cellular basis of their detection by larvae.","author":[{"dropping-particle":"","family":"Hadfield","given":"Michael G.","non-dropping-particle":"","parse-names":false,"suffix":""}],"container-title":"Annual Review of Marine Science","id":"ITEM-2","issue":"1","issued":{"date-parts":[["2011"]]},"page":"453-470","title":"Biofilms and Marine Invertebrate Larvae: What Bacteria Produce That Larvae Use to Choose Settlement Sites","type":"article-journal","volume":"3"},"uris":["http://www.mendeley.com/documents/?uuid=12851693-7473-44d5-b325-5d4bd2f58047"]},{"id":"ITEM-3","itemData":{"DOI":"10.3354/meps260161","ISSN":"01718630","abstract":"Larvae of the polychaete worm Hydroides elegans settle and metamorphose in response to marine biofilms. Phylogenetic relationships among 4 marine-biofilm bacterial species identified by 16S rDNA sequences were not predictive of their inductive capacity. Two bacterial species separated by a genetic distance of 30% shared the greatest capacity for inducing metamorphosis in H. elegans. Two bacterial strains with only a 3% divergence in 16S rRNA gene sequences were very different; one strain induced metamorphosis strongly while the other one did not. The percent of larvae that metamorphosed correlated positively with bacterial density in either natural biofilms or biofilms composed of a single bacterial species. When results of tests across 4 bacterial species were compared, the most inductive bacterial species was effective in much lower biofilm densities than weakly or non-inductive bacteria. Evidence presented here indicates that the cue that triggers settlement and metamorphosis in larvae of H. elegans is not unique to a single bacterial taxon and is likely to be an insoluble, surface-bound material.","author":[{"dropping-particle":"","family":"Huang","given":"Shuyi","non-dropping-particle":"","parse-names":false,"suffix":""},{"dropping-particle":"","family":"Hadfield","given":"Michael G.","non-dropping-particle":"","parse-names":false,"suffix":""}],"container-title":"Marine Ecology Progress Series","id":"ITEM-3","issued":{"date-parts":[["2003"]]},"page":"161-172","title":"Composition and density of bacterial biofilms determine larval settlement of the polychaete Hydroides elegans","type":"article-journal","volume":"260"},"uris":["http://www.mendeley.com/documents/?uuid=d66394d0-bdb1-4751-b8d8-fdea65817daf"]},{"id":"ITEM-4","itemData":{"DOI":"10.1023/A:1020702028715","ISSN":"00980331","PMID":"12474898","abstract":"The bacterial component of marine biofilms plays an important role in the induction of larval settlement in the polychaete Hydroides elegans. In this study, we provide experimental evidence that bacterial metabolites comprise the chemical signal for larval settlement. Bacteria were isolated from biofilms, purified and cultured according to standard procedures. Bacterial metabolites were isolated from spent culture broth by chloroform extraction as well as by closed-loop stripping and adsorption of volatile components on surface-modified silica gel. A pronounced biological activity was exclusively observed when concentrated metabolites were adsorbed on activated charcoal. Larvae did not respond to waterborne metabolites when prevented from contacting the bacterial film surface. These results indicate that an association of the chemical signal with a sorbent-like substratum may be an essential cofactor for the expression of biological activity. The functional role of bacterial exopolymers as an adsorptive matrix for larval settlement signals is discussed.","author":[{"dropping-particle":"","family":"Harder","given":"Tilmann","non-dropping-particle":"","parse-names":false,"suffix":""},{"dropping-particle":"","family":"Lau","given":"Stanley Chun Kwan","non-dropping-particle":"","parse-names":false,"suffix":""},{"dropping-particle":"","family":"Dahms","given":"Hans Uwe","non-dropping-particle":"","parse-names":false,"suffix":""},{"dropping-particle":"","family":"Qian","given":"Pei Yuan","non-dropping-particle":"","parse-names":false,"suffix":""}],"container-title":"Journal of Chemical Ecology","id":"ITEM-4","issue":"10","issued":{"date-parts":[["2002"]]},"page":"2029-2043","title":"Isolation of bacterial metabolites as natural inducers for larval settlement in the marine polychaete Hydroides elegans (HASWELL)","type":"article-journal","volume":"28"},"uris":["http://www.mendeley.com/documents/?uuid=5a4c50e0-0a12-4533-9f09-6f7f87bfc766"]},{"id":"ITEM-5","itemData":{"DOI":"10.3354/meps226301","ISSN":"01718630","abstract":"In the present study, 38 bacterial isolates were obtained from a marine biofilm, identified by the comparison of 16S rRNA gene sequences, and investigated by laboratory bioassays for their effects on larval settlement of the marine polychaete Hydroides elegans (Haswell). The bacterial isolates belonged to 3 phylogenetic branches: gamma-Proteobacteria (26 isolates), Gram-positive (8 isolates) and Cytophaga-Flexibacter-Bacteroides (4 isolates). Most of the isolates were affiliated to the genera Vibrio (7 isolates), Alteromonas (8 isolates) or Pseudoalteromonas (8 isolates), which are in the gamma-Proteobacteria branch. According to their efficacy to induce larval settlement of H. elegans in laboratory bioassays, the isolates were categorized as strongly, moderately, and non-inductive for larval settlement, About 42% of the isolates were categorized as non-inductive and the rest of the isolates contained equal numbers of highly and moderately inductive strains. The results indicated that larval settlement of 14, elegans could be induced by bacteria in a wide range of taxa, The isolates that induced high and moderate levels of larval settlement belonged to the genus Cytophaga in the Cytophaga-Flexibacter-Bacteroides branch; the genera Bacillus, Brevibacterium, Micrococcus and Staphylococcus in the Gram-positive branch; and the genera Alteromonas, Pseudoalteromonas and Vibrio in the gamma-Proteobacteria branch, Results also showed that isolates affiliating to the Same genus might have tremendously different activities for the induction of larval settlement. For example, isolates that were affiliated to the genus Alteromonas or Pseudoalteromonas distributed over the 3 categories of activity for induction of larval settlement.","author":[{"dropping-particle":"","family":"Lau","given":"Stanley C.K.","non-dropping-particle":"","parse-names":false,"suffix":""},{"dropping-particle":"","family":"Mak","given":"Karen K.W.","non-dropping-particle":"","parse-names":false,"suffix":""},{"dropping-particle":"","family":"Chen","given":"Feng","non-dropping-particle":"","parse-names":false,"suffix":""},{"dropping-particle":"","family":"Qian","given":"Pei Yuan","non-dropping-particle":"","parse-names":false,"suffix":""}],"container-title":"Marine Ecology Progress Series","id":"ITEM-5","issued":{"date-parts":[["2002"]]},"page":"301-310","title":"Bioactivity of bacterial strains isolated from marine biofilms in Hong Kong waters for the induction of larval settlement in the marine polychaete Hydroides elegans","type":"article-journal","volume":"226"},"uris":["http://www.mendeley.com/documents/?uuid=fdd39620-2125-475c-b1f9-613a9a208948"]},{"id":"ITEM-6","itemData":{"DOI":"10.1128/AEM.00578-07","ISSN":"00992240","PMID":"17704279","abstract":"The effects of culture conditions and chloramphenicol treatment on the induction of the marine bacterium Pseudoalteromonas spongiae to larval settlement of Hydroides elegans were investigated. The results showed that P. spongiae cells grown in the medium containing both yeast extract and peptone (YP-grown P. spongiae) was highly inductive to larval settlement, whereas P. spongiae cells grown in the medium containing only peptone (P-grown P. spongiae) or YP-grown P. spongiae cells treated with chloramphenicol at the onset of biofilm development (YPC-grown P. spongiae) did not induce larval settlement. Analysis of biofilm formation, biofilm structure, and the surface protein profile indicated that only the induction-capable YP-grown P. spongiae formed a well-developed biofilm, while the P-grown P. spongiae and the YPC-grown P. spongiae did not. We report here for the first time that bacterial biofilm formation was associated with its induction of larval settlement. Copyright © 2007, American Society for Microbiology. All Rights Reserved.","author":[{"dropping-particle":"","family":"Huang","given":"Yi Li","non-dropping-particle":"","parse-names":false,"suffix":""},{"dropping-particle":"","family":"Dobretsov","given":"Sergey","non-dropping-particle":"","parse-names":false,"suffix":""},{"dropping-particle":"","family":"Xiong","given":"Hairong","non-dropping-particle":"","parse-names":false,"suffix":""},{"dropping-particle":"","family":"Qian","given":"Pei Yuan","non-dropping-particle":"","parse-names":false,"suffix":""}],"container-title":"Applied and Environmental Microbiology","id":"ITEM-6","issue":"19","issued":{"date-parts":[["2007"]]},"page":"6284-6288","title":"Effect of biofilm formation by Pseudoalteromonas spongiae on induction of larval settlement of the polychaete Hydroides elegans","type":"article-journal","volume":"73"},"uris":["http://www.mendeley.com/documents/?uuid=654750a0-126c-41ba-acb6-a284b7b973a5"]},{"id":"ITEM-7","itemData":{"DOI":"10.1038/srep42557","ISSN":"20452322","PMID":"28195220","abstract":"Recruitment via settlement of pelagic larvae is critical for the persistence of benthic marine populations. For many benthic invertebrates, larval settlement occurs in response to surface microbial films. Larvae of the serpulid polychaete Hydroides elegans can be induced to settle by single bacterial species. Until now, only Pseudoalteromonas luteoviolacea had been subjected to detailed genetic and mechanistic studies. To determine if the complex structures, termed tailocins, derived from phage-tail gene assemblies and hypothesized to be the settlement cue in P. luteoviolacea were present in all inductive bacteria, genomic comparisons with inductive strains of Cellulophaga lytica, Bacillus aquimaris and Staphylococcus warneri were undertaken. They revealed that the gene assemblies for tailocins are lacking in these other bacteria. Negatively stained TEM images confirmed the absence of tailocins and revealed instead large numbers of extracellular vesicles in settlement-inductive fractions from all three bacteria. TEM imaging confirmed for C. lytica that the vesicles are budded from cell surfaces in a manner consistent with the production of outer membrane vesicles. Finding multiple bacteria settlement cues highlights the importance of further studies into the role of bacterial extracellular vesicles in eliciting settlement and metamorphosis of benthic marine larvae.","author":[{"dropping-particle":"","family":"Freckelton","given":"Marnie L.","non-dropping-particle":"","parse-names":false,"suffix":""},{"dropping-particle":"","family":"Nedved","given":"Brian T.","non-dropping-particle":"","parse-names":false,"suffix":""},{"dropping-particle":"","family":"Hadfield","given":"Michael G.","non-dropping-particle":"","parse-names":false,"suffix":""}],"container-title":"Scientific Reports","id":"ITEM-7","issue":"January","issued":{"date-parts":[["2017"]]},"page":"1-11","publisher":"Nature Publishing Group","title":"Induction of Invertebrate Larval Settlement; Different Bacteria, Different Mechanisms?","type":"article-journal","volume":"7"},"uris":["http://www.mendeley.com/documents/?uuid=309e63f9-438c-4519-acd2-4bccdc4ab746"]}],"mendeley":{"formattedCitation":"(Freckelton, Nedved, &amp; Hadfield, 2017; M. G. Hadfield, 2011; M. Hadfield &amp; Paul, 2001; Harder, Lau, Dahms, &amp; Qian, 2002; S. Huang &amp; Hadfield, 2003; Y. L. Huang, Dobretsov, Xiong, &amp; Qian, 2007; Lau, Mak, Chen, &amp; Qian, 2002)","plainTextFormattedCitation":"(Freckelton, Nedved, &amp; Hadfield, 2017; M. G. Hadfield, 2011; M. Hadfield &amp; Paul, 2001; Harder, Lau, Dahms, &amp; Qian, 2002; S. Huang &amp; Hadfield, 2003; Y. L. Huang, Dobretsov, Xiong, &amp; Qian, 2007; Lau, Mak, Chen, &amp; Qian, 2002)","previouslyFormattedCitation":"(Hadfield and Paul 2001; Harder et al. 2002; Lau et al. 2002; Huang and Hadfield 2003; Huang et al. 2007; Hadfield 2011; Freckelton et al. 2017)"},"properties":{"noteIndex":0},"schema":"https://github.com/citation-style-language/schema/raw/master/csl-citation.json"}</w:instrText>
      </w:r>
      <w:r w:rsidR="003A14AD">
        <w:fldChar w:fldCharType="separate"/>
      </w:r>
      <w:r w:rsidR="00B02F06" w:rsidRPr="00B02F06">
        <w:rPr>
          <w:noProof/>
        </w:rPr>
        <w:t>(Freckelton, Nedved, &amp; Hadfield, 2017; M. G. Hadfield, 2011; M. Hadfield &amp; Paul, 2001; Harder, Lau, Dahms, &amp; Qian, 2002; S. Huang &amp; Hadfield, 2003; Y. L. Huang, Dobretsov, Xiong, &amp; Qian, 2007; Lau, Mak, Chen, &amp; Qian, 2002)</w:t>
      </w:r>
      <w:r w:rsidR="003A14AD">
        <w:fldChar w:fldCharType="end"/>
      </w:r>
      <w:r w:rsidR="003A14AD">
        <w:t>; barnacles</w:t>
      </w:r>
      <w:r w:rsidR="007D6A39">
        <w:t xml:space="preserve"> and bry</w:t>
      </w:r>
      <w:r w:rsidR="004E22CB">
        <w:t>o</w:t>
      </w:r>
      <w:r w:rsidR="007D6A39">
        <w:t>zoans</w:t>
      </w:r>
      <w:r w:rsidR="003A14AD">
        <w:t xml:space="preserve">: </w:t>
      </w:r>
      <w:r w:rsidR="007D6A39">
        <w:fldChar w:fldCharType="begin" w:fldLock="1"/>
      </w:r>
      <w:r w:rsidR="00B02F06">
        <w:instrText>ADDIN CSL_CITATION {"citationItems":[{"id":"ITEM-1","itemData":{"DOI":"10.3354/ame033225","ISSN":"09483055","abstract":"The relationship between bacterial community profile in biofilm and attachment of the acorn barnacle Balanus amphitrite was investigated using a double-dish choice larval attachment bioassay and the DNA fingerprinting technique T-RFLP (terminal-restriction fragment length polymorphism). Biofilms for bioassays were either developed at 3 intertidal heights (i.e. high, mid and low) for 6 d or at the mid-intertidal height for 3 to 12 d. A clear distinction among biofilm communities at the 3 intertidal heights was revealed in the bacterial community profiles (determined by T-RFLP), biomass (determined by total organic carbon analysis), and abundance of bacteria and diatoms. Overall, cyprids of B. amphitrite preferred intertidal biofilms (i.e. 6 d old) over unfilmed surfaces for attachment. Moreover, cyprids also preferred to attach on biofilms of mid-intertidal height over high-intertidal or subtidal heights. There was no correlation between cypris attachment and any of the 3 biofilm attributes (i.e. biomass, abundance of bacteria and diatoms). Therefore, it was concluded that changes in the bacterial community profile in the biofilm affect the attractiveness of the biofilm to barnacle larvae and, thus, may determine the behavior (accepting or rejecting a surface) of settling larvae. We hypothesize that the temporal and spatial changes in the microbial community profile lead to the temporal and spatial recruitment pattern of marine invertebrates at a microscopic scale.","author":[{"dropping-particle":"","family":"Qian","given":"Pei Yuan","non-dropping-particle":"","parse-names":false,"suffix":""},{"dropping-particle":"","family":"Thiyagarajan","given":"Vengatesen","non-dropping-particle":"","parse-names":false,"suffix":""},{"dropping-particle":"","family":"Lau","given":"Stanley Chun Kwan","non-dropping-particle":"","parse-names":false,"suffix":""},{"dropping-particle":"","family":"Cheung","given":"Sam Chi Kin","non-dropping-particle":"","parse-names":false,"suffix":""}],"container-title":"Aquatic Microbial Ecology","id":"ITEM-1","issue":"3","issued":{"date-parts":[["2003"]]},"page":"225-237","title":"Relationship between bacterial community profile in biofilm and attachment of the acorn barnacle Balanus amphitrite","type":"article-journal","volume":"33"},"uris":["http://www.mendeley.com/documents/?uuid=5ba303cd-42cd-4d9b-96e9-8fa1b44b47eb"]},{"id":"ITEM-2","itemData":{"DOI":"10.2307/25066663","ISBN":"0006-3185","ISSN":"0006-3185","PMID":"18258779","author":[{"dropping-particle":"","family":"Zardus","given":"John D.","non-dropping-particle":"","parse-names":false,"suffix":""},{"dropping-particle":"","family":"Nedved","given":"Brian T.","non-dropping-particle":"","parse-names":false,"suffix":""},{"dropping-particle":"","family":"Huang","given":"Ying","non-dropping-particle":"","parse-names":false,"suffix":""},{"dropping-particle":"","family":"Tran","given":"Cawa","non-dropping-particle":"","parse-names":false,"suffix":""},{"dropping-particle":"","family":"Hadfield","given":"Michael G.","non-dropping-particle":"","parse-names":false,"suffix":""}],"container-title":"Biol. Bull.","id":"ITEM-2","issue":"February","issued":{"date-parts":[["2008"]]},"page":"91-98","title":"Microbial Biofilms Facilitate Adhesion in Biofouling Invertebrates","type":"article-journal","volume":"214"},"uris":["http://www.mendeley.com/documents/?uuid=f096676c-dc0a-4643-aef2-ead647e3073c"]},{"id":"ITEM-3","itemData":{"DOI":"10.1016/j.jembe.2003.12.019","ISSN":"00220981","abstract":"The settlement of marine larvae is influenced by a wide range of physical and biological factors. It is still poorly known how the nature of substrate and the biofilm can interact in regulating settlement patterns of invertebrate larvae. Here we use laboratory experiments focused on settlement behaviour of the barnacle Balanus amphitrite. The aim of this work is to understand whether: (i) the nature of substratum can affect biofilm formation and its structure, (ii) the nature of substratum can affect B. amphitrite larval settlement, (iii) the age of the biofilms and the nature of substrate can interact in influencing larval settlement. Four kinds of substrata (marble, quartz, glass, and cembonit) were biofilmed under laboratory conditions for 5, 10 and 20 days at the temperature of 28°C. Settlement response was investigated with 5-day-old cyprids. Biofilms were quantitatively and qualitatively analysed by scanning electron microscopy. The settlement of B. amphitrite larvae significantly differed among substrata; also, the patterns of development of biofilm assemblages changed with substrate. In addition, the larval attractiveness of different substrates tends to disappear with biofilm age. © 2004 Elsevier B.V. All rights reserved.","author":[{"dropping-particle":"","family":"Faimali","given":"Marco","non-dropping-particle":"","parse-names":false,"suffix":""},{"dropping-particle":"","family":"Garaventa","given":"Francesca","non-dropping-particle":"","parse-names":false,"suffix":""},{"dropping-particle":"","family":"Terlizzi","given":"Antonio","non-dropping-particle":"","parse-names":false,"suffix":""},{"dropping-particle":"","family":"Chiantore","given":"Mariachiara","non-dropping-particle":"","parse-names":false,"suffix":""},{"dropping-particle":"","family":"Cattaneo-Vietti","given":"Riccardo","non-dropping-particle":"","parse-names":false,"suffix":""}],"container-title":"Journal of Experimental Marine Biology and Ecology","id":"ITEM-3","issue":"1","issued":{"date-parts":[["2004"]]},"page":"37-50","title":"The interplay of substrate nature and biofilm formation in regulating Balanus amphitrite Darwin, 1854 larval settlement","type":"article-journal","volume":"306"},"uris":["http://www.mendeley.com/documents/?uuid=8420d6bf-051b-4de3-af0e-1740b7a0f48e"]},{"id":"ITEM-4","itemData":{"DOI":"10.1016/j.jembe.2006.01.019","ISSN":"00220981","abstract":"In this study, we investigated the effect of mono-species and multi-species biofilms on larval attachment of the bryozoan Bugula neritina. The effect of biofilms was examined through a double-dish choice bioassay in which larvae were given the choice of attaching either to a clean surface of a container or to surfaces covered with biofilms. Larvae attached in response to mono-species biofilms of 5 out of 7 bacterial isolates from a subtidal region, but they avoided surfaces covered by biofilms of 7 out of 8 isolates obtained from an intertidal region. In the follow-up choice experiments with multi-species biofilms developed for 2 days, 7 days, 14 days, 28 days and 30 days, larvae preferentially attached to filmed surfaces over the unfilmed surfaces. When biofilms from 2 different tidal regions (intertidal and subtidal) were offered as choices in the double-dish bioassay, larvae in all cases attached on the subtidal biofilms. Two-day-old subtidal biofilms with low densities of bacteria induced significantly higher (p &lt; 0.05) attachment than did 30- day-old intertidal biofilms, which had high bacterial density. Terminal Restriction Fragment Polymorphism (T-RFLP) analysis revealed that the bacterial communities were substantially different in the subtidal and intertidal regions during all periods of the experiment. Attachment of B. neritina on subtidal biofilms did not depend on the bacterial density but rather was negatively correlated with diatom density, thickness of the exopolysaccharide layer and biofilm age. Our results suggest that the larvae of B. neritina can discriminate between biofilmed and clean surfaces and between biofilms developed under different tidal zones. © 2006 Elsevier B.V. All rights reserved.","author":[{"dropping-particle":"","family":"Dobretsov","given":"Sergey","non-dropping-particle":"","parse-names":false,"suffix":""},{"dropping-particle":"","family":"Qian","given":"Pei Yuan","non-dropping-particle":"","parse-names":false,"suffix":""}],"container-title":"Journal of Experimental Marine Biology and Ecology","id":"ITEM-4","issue":"2","issued":{"date-parts":[["2006"]]},"page":"263-274","title":"Facilitation and inhibition of larval attachment of the bryozoan Bugula neritina in association with mono-species and multi-species biofilms","type":"article-journal","volume":"333"},"uris":["http://www.mendeley.com/documents/?uuid=c42d6a6e-212c-45b7-a5d2-1991a64c9bb6"]},{"id":"ITEM-5","itemData":{"author":[{"dropping-particle":"","family":"Dobretsov","given":"Sergey","non-dropping-particle":"","parse-names":false,"suffix":""},{"dropping-particle":"","family":"Rittschof","given":"Daniel","non-dropping-particle":"","parse-names":false,"suffix":""}],"id":"ITEM-5","issued":{"date-parts":[["2020"]]},"title":"Love at First Taste : Induction of Larval Settlement by Marine Microbes","type":"article-journal"},"uris":["http://www.mendeley.com/documents/?uuid=62f9ec17-195c-466b-85fe-a999c5bd9123"]}],"mendeley":{"formattedCitation":"(Dobretsov &amp; Qian, 2006; Dobretsov &amp; Rittschof, 2020; Faimali, Garaventa, Terlizzi, Chiantore, &amp; Cattaneo-Vietti, 2004; Qian, Thiyagarajan, Lau, &amp; Cheung, 2003; Zardus, Nedved, Huang, Tran, &amp; Hadfield, 2008)","plainTextFormattedCitation":"(Dobretsov &amp; Qian, 2006; Dobretsov &amp; Rittschof, 2020; Faimali, Garaventa, Terlizzi, Chiantore, &amp; Cattaneo-Vietti, 2004; Qian, Thiyagarajan, Lau, &amp; Cheung, 2003; Zardus, Nedved, Huang, Tran, &amp; Hadfield, 2008)","previouslyFormattedCitation":"(Qian et al. 2003; Faimali et al. 2004; Dobretsov and Qian 2006; Zardus et al. 2008; Dobretsov and Rittschof 2020)"},"properties":{"noteIndex":0},"schema":"https://github.com/citation-style-language/schema/raw/master/csl-citation.json"}</w:instrText>
      </w:r>
      <w:r w:rsidR="007D6A39">
        <w:fldChar w:fldCharType="separate"/>
      </w:r>
      <w:r w:rsidR="00B02F06" w:rsidRPr="00B02F06">
        <w:rPr>
          <w:noProof/>
        </w:rPr>
        <w:t>(Dobretsov &amp; Qian, 2006; Dobretsov &amp; Rittschof, 2020; Faimali, Garaventa, Terlizzi, Chiantore, &amp; Cattaneo-Vietti, 2004; Qian, Thiyagarajan, Lau, &amp; Cheung, 2003; Zardus, Nedved, Huang, Tran, &amp; Hadfield, 2008)</w:t>
      </w:r>
      <w:r w:rsidR="007D6A39">
        <w:fldChar w:fldCharType="end"/>
      </w:r>
      <w:r w:rsidR="00304C3B">
        <w:t>)</w:t>
      </w:r>
      <w:r>
        <w:t xml:space="preserve"> that identified </w:t>
      </w:r>
      <w:r w:rsidR="00222138">
        <w:t>biofilm-derived</w:t>
      </w:r>
      <w:r>
        <w:t xml:space="preserve"> cues for larval settlemen</w:t>
      </w:r>
      <w:r w:rsidR="007D6A39">
        <w:t>t</w:t>
      </w:r>
      <w:r>
        <w:t xml:space="preserve">. It is likely that </w:t>
      </w:r>
      <w:r w:rsidR="00222138">
        <w:t>biofilm-derived</w:t>
      </w:r>
      <w:r>
        <w:t xml:space="preserve"> chemical cues serve as a general indicator of habitat quality across sessile metazoan species with dispersive larval stages</w:t>
      </w:r>
      <w:r w:rsidR="007D6A39">
        <w:t xml:space="preserve"> </w:t>
      </w:r>
      <w:r w:rsidR="007D6A39">
        <w:fldChar w:fldCharType="begin" w:fldLock="1"/>
      </w:r>
      <w:r w:rsidR="00B02F06">
        <w:instrText>ADDIN CSL_CITATION {"citationItems":[{"id":"ITEM-1","itemData":{"DOI":"10.1146/annurev-marine-120709-142753","ISBN":"1941-1405\\n978-0-8243-4503-7","ISSN":"1941-1405","PMID":"21329213","abstract":"Communities of microorganisms form thin coats across solid surfaces in the sea. Larvae of many marine invertebrates use biofilm components as cues to appropriate settlement sites. Research on the tube-dwelling polychaete worm Hydroides elegans, a globally common member of biofouling communi-ties, is described to exemplify approaches to understanding biofilm bacteria as a source of settlement cues and larvae as bearers of receptors for bacterial cues. The association of species of the bacterial genus Pseudoalteromonas with larval settlement in many phyla is described, and the question of whether cues are soluble or surface-bound is reviewed, concluding that most evidence points to surface-bound cues. Seemingly contradictory data for stimulation of barnacle settlement are discussed; possibly both explanations are true. Paleontological evidence reveals a relationship between metazoans and biofilms very early in metazoan evolution, and thus the receptors for bac-terial cues of invertebrate larvae are very old and possibly unique. Finally, despite more than 60 years of intense investigation, we still know very lit-tle about either the bacterial ligands that stimulate larval settlement or the cellular basis of their detection by larvae.","author":[{"dropping-particle":"","family":"Hadfield","given":"Michael G.","non-dropping-particle":"","parse-names":false,"suffix":""}],"container-title":"Annual Review of Marine Science","id":"ITEM-1","issue":"1","issued":{"date-parts":[["2011"]]},"page":"453-470","title":"Biofilms and Marine Invertebrate Larvae: What Bacteria Produce That Larvae Use to Choose Settlement Sites","type":"article-journal","volume":"3"},"uris":["http://www.mendeley.com/documents/?uuid=12851693-7473-44d5-b325-5d4bd2f58047"]},{"id":"ITEM-2","itemData":{"DOI":"10.1080/08927019809378348","ISBN":"0892-7014","ISSN":"08927014","abstract":"The methodologies applied in laboratory and field studies of the effects of biofilm cues on marine invertebrate larval settlement on hard substrata are briefly reviewed and some of the general problems (such as experimental repeatability, handling effects) that may be encountered, and the ecological representativeness of the species utilized are discussed. The review focuses also on the range of bioassay approaches and highlights the wide range of larval densities, substrata and biofilm sources that have been variously applied. It is important to consider all of these features in any attempt at formulating general principles and trends relating to larval settlement responses in natural assemblages. This review also highlights the prevalence of reports of facilitatory, rather than neutral or inhibitory, effects amongst the various species investigated and considers the possible role(s) of larva-larva interactions, cue perception distances, hierarchical effects and whether or not biofilm cues are surface-bound or waterborne in determining and affecting these responses. With specific reference to natural hard substratum assemblages, the putative adaptive significance of biofilm-mediated facilitation and inhibition of larval settlement is assessed and additional possible lines of future research are suggested.","author":[{"dropping-particle":"","family":"Wieczorek","given":"Sabine K.","non-dropping-particle":"","parse-names":false,"suffix":""},{"dropping-particle":"","family":"Todd","given":"Christopher D.","non-dropping-particle":"","parse-names":false,"suffix":""}],"container-title":"Biofouling","id":"ITEM-2","issue":"1-3","issued":{"date-parts":[["1998"]]},"page":"81-118","title":"Inhibition and facilitation of settlement of epifaunal marine invertebrate larvae by microbial biofilm cues","type":"article-journal","volume":"12"},"uris":["http://www.mendeley.com/documents/?uuid=abacc178-22ca-401e-afc8-76224d278720"]},{"id":"ITEM-3","itemData":{"DOI":"10.3354/ame038041","ISSN":"09483055","abstract":": This study investigated (1) the effects of salinity and temperature on the bacterial community composition of developing biofilms, and (2) the responses of marine invertebrate larvae (the polychaete Hydroides elegansand the barnacles Balanus amphitriteand B. trigonus ) to these biofilms during settlement (i.e. attachment to a surface and metamorphosis into juveniles). Biofilms developed in a 3 × 3 array of salinity and temperature treatments resulted in different bacterial community compositions (revealed by DGGE and T-RFLP), bacterial densities and total biomasses. Larval settlement of B. amphitriteand B. trigonus was induced by biofilms developed at high temperatures (23 and 30°C), but was unaffected (B. amphitrite) or inhibited (B. trigonus ) by those developed at a low temperature (16°C). The settlement response of these barnacles did not correlate with the biomass or the bacterial density of the biofilms, but did coincide with the marked differences in bacterial community composition between the biofilms developed at different temperatures. In contrast, larval settlement of H. elegans differed slightly among biofilms developed in different salinities, but not among those developed at different temperatures. This settlement response was moderately correlated with bacterial density but had no apparent relationship with bacterial community composition of the biofilms. Our results implied that the community composition and cell density of bacteria in biofilms, which can vary with local environmental conditions, may allow larvae of the 2 barnacles and H. elegans , respectively, to distinguish between habitats with different environmental conditions.","author":[{"dropping-particle":"","family":"Lau","given":"Stanley C.K.","non-dropping-particle":"","parse-names":false,"suffix":""},{"dropping-particle":"","family":"Thiyagarajan","given":"Vengatesen","non-dropping-particle":"","parse-names":false,"suffix":""},{"dropping-particle":"","family":"Cheung","given":"Sam C.K.","non-dropping-particle":"","parse-names":false,"suffix":""},{"dropping-particle":"","family":"Qian","given":"Pei Yuan","non-dropping-particle":"","parse-names":false,"suffix":""}],"container-title":"Aquatic Microbial Ecology","id":"ITEM-3","issue":"1","issued":{"date-parts":[["2005"]]},"page":"41-51","title":"Roles of bacterial community composition in biofilms as a mediator for larval settlement of three marine invertebrates","type":"article-journal","volume":"38"},"uris":["http://www.mendeley.com/documents/?uuid=053a49a2-2506-4c20-9c60-3629c762d15e"]}],"mendeley":{"formattedCitation":"(M. G. Hadfield, 2011; Lau, Thiyagarajan, Cheung, &amp; Qian, 2005; Wieczorek &amp; Todd, 1998)","plainTextFormattedCitation":"(M. G. Hadfield, 2011; Lau, Thiyagarajan, Cheung, &amp; Qian, 2005; Wieczorek &amp; Todd, 1998)","previouslyFormattedCitation":"(Wieczorek and Todd 1998; Lau et al. 2005; Hadfield 2011)"},"properties":{"noteIndex":0},"schema":"https://github.com/citation-style-language/schema/raw/master/csl-citation.json"}</w:instrText>
      </w:r>
      <w:r w:rsidR="007D6A39">
        <w:fldChar w:fldCharType="separate"/>
      </w:r>
      <w:r w:rsidR="00B02F06" w:rsidRPr="00B02F06">
        <w:rPr>
          <w:noProof/>
        </w:rPr>
        <w:t>(M. G. Hadfield, 2011; Lau, Thiyagarajan, Cheung, &amp; Qian, 2005; Wieczorek &amp; Todd, 1998)</w:t>
      </w:r>
      <w:r w:rsidR="007D6A39">
        <w:fldChar w:fldCharType="end"/>
      </w:r>
      <w:r>
        <w:t xml:space="preserve">. </w:t>
      </w:r>
    </w:p>
    <w:p w14:paraId="22C02384" w14:textId="77777777" w:rsidR="00B904A5" w:rsidRDefault="00B904A5" w:rsidP="00D46E28">
      <w:pPr>
        <w:spacing w:line="480" w:lineRule="auto"/>
        <w:jc w:val="both"/>
      </w:pPr>
    </w:p>
    <w:p w14:paraId="401F50ED" w14:textId="677BF74A" w:rsidR="00B904A5" w:rsidRDefault="00B904A5" w:rsidP="00D46E28">
      <w:pPr>
        <w:spacing w:line="480" w:lineRule="auto"/>
        <w:jc w:val="both"/>
      </w:pPr>
      <w:r>
        <w:t xml:space="preserve">We also found a significant effect of light wavelength </w:t>
      </w:r>
      <w:r w:rsidR="00222138">
        <w:t>on</w:t>
      </w:r>
      <w:r>
        <w:t xml:space="preserve"> larval settlement in </w:t>
      </w:r>
      <w:r w:rsidRPr="009146CF">
        <w:rPr>
          <w:i/>
          <w:iCs/>
        </w:rPr>
        <w:t>E. crocea</w:t>
      </w:r>
      <w:r>
        <w:t xml:space="preserve">. Previous work in hydrozoan species noted similar findings where animals are more sensitive to light in the blue to blue–green spectrum compared to red light </w:t>
      </w:r>
      <w:r w:rsidRPr="004E22CB">
        <w:fldChar w:fldCharType="begin" w:fldLock="1"/>
      </w:r>
      <w:r w:rsidR="00B02F06">
        <w:instrText>ADDIN CSL_CITATION {"citationItems":[{"id":"ITEM-1","itemData":{"DOI":"10.1016/j.cbpa.2015.02.016","ISSN":"15314332","abstract":"Previous electrophysiological studies on the cnidarian Hydra vulgaris have shown that hydra have a highly developed and specific photoresponse despite their lack of any structure recognizable as a traditional photoreceptor. In an effort to identify the site of hydra's photoreceptors, we recorded extracellularly from single excised tentacles and from ablated hypostomes lacking tentacles in absolute darkness and during exposure to light of various wavelengths. During recording, after an initial period of absolute darkness, tentacles or hypostomes were exposed to light from 450. nm to 600. nm, red, and white light. Exposure to light caused a change in the pattern and frequency of impulses in the tentacles that varied with color. The number of large tentacle pulses (TPs) increased at 550 and 600. nm relative to darkness, whereas the number of small tentacle pulses (STPs) tended to decrease in 500. nm light. Impulse frequency was significantly different among the different wavelengths. In addition to bursts of tentacle contraction pulses, long trains of pulses were observed. A change in lighting caused a switch from bursting to trains or vice versa. In contrast to excised tentacles, no change in electrical activity was seen in ablated hypostomes at any of the wavelengths relative to each other or relative to darkness. These results indicate that isolated tentacles can distinguish among and respond to various colors across the visible spectrum and suggest that electromagnetic information is transmitted from the tentacles to the hypostome where it may be integrated by the hypostomal nervous system, ultimately contributing to hydra's photoreceptive behavior.","author":[{"dropping-particle":"","family":"Guertin","given":"S.","non-dropping-particle":"","parse-names":false,"suffix":""},{"dropping-particle":"","family":"Kass-Simon","given":"G.","non-dropping-particle":"","parse-names":false,"suffix":""}],"container-title":"Comparative Biochemistry and Physiology -Part A : Molecular and Integrative Physiology","id":"ITEM-1","issued":{"date-parts":[["2015"]]},"page":"163-170","publisher":"Elsevier Inc.","title":"Extraocular spectral photosensitivity in the tentacles of Hydra vulgaris","type":"article-journal","volume":"184"},"uris":["http://www.mendeley.com/documents/?uuid=b49d8f1a-4ef5-405e-8f5f-9858d127b537"]},{"id":"ITEM-2","itemData":{"DOI":"10.1098/rsos.150358","ISSN":"20545703","abstract":"Reef-building corals produce planktonic planula larvae that must select an appropriate habitat to settle and spend the rest of their life, a behaviour that plays a critical role in survival. Here, we report that larvae obtained from a deep-water population of Pseudodiploria strigosa settled more readily under blue light and in the dark, which aligns well with the light field characteristics of their natal habitat. By contrast, larvae of the shallow-water coral Acropora millepora settled in high proportions under blue and green light while settlement was less in the dark. Acropora millepora larvae also showed reduced settlement under red light, which should be abundant at shallow depth. Hypothesizing that this might be a mechanism preventing the larvae from settling on the exposed upwards-facing surfaces, we quantified A. millepora settlement in manipulated light chambers in situ on the reef. While A. millepora larvae naturally preferred settling on vertical rather than exposed horizontal surfaces, swapping the colours of upwards-facing and sideways-facing light fields was sufficient to invert this preference. We also tested if the variation in intrinsic red fluorescence in A. millepora larvae correlates with settlement rates, as has been suggested previously. We observed this correlation only in the absence of light, indicating that larval red fluorescent protein is probably not directly involved in light sensing. Our study reveals previously under-appreciated light-sensory capabilities in coral larvae, which could be an important axis of ecological differentiation between coral species and/or populations.","author":[{"dropping-particle":"","family":"Strader","given":"Marie E.","non-dropping-particle":"","parse-names":false,"suffix":""},{"dropping-particle":"","family":"Davies","given":"Sarah W.","non-dropping-particle":"","parse-names":false,"suffix":""},{"dropping-particle":"V.","family":"Matz","given":"Mikhail","non-dropping-particle":"","parse-names":false,"suffix":""}],"container-title":"Royal Society Open Science","id":"ITEM-2","issue":"10","issued":{"date-parts":[["2015"]]},"title":"Differential responses of coral larvae to the colour of ambient light guide them to suitable settlement microhabitat","type":"article-journal","volume":"2"},"uris":["http://www.mendeley.com/documents/?uuid=e47c201e-a0b5-4edc-a0fd-5c2f90950385"]},{"id":"ITEM-3","itemData":{"DOI":"10.1007/s10750-004-2680-6","ISBN":"0018-8158","ISSN":"00188158","abstract":"Hydra's response to a light pulse is a phase shift of the state of bioelectric activity correlated with the periodic shortening-elongation behaviour. The direction and absolute value of a phase shift depend on intensity, direction, application phase (along the periodic activity state), and wavelength of the light pulse. Repetitive pulses entrain the behavioural cycle. The period of the behavioural cycle depends on intensity and wavelength of steady background illumination; however, the light effect is not exerted isotropically along all the phases of the behavioural cycle. Inferences are drawn on light influence on the behaviour pacemaking mechanism. By using polyclonal antibodies against squid rhodopsin, an opsin-like protein has been identified in the ectodermal layer, presumably in sensory cells.","author":[{"dropping-particle":"","family":"Taddei-Ferretti","given":"Cloe","non-dropping-particle":"","parse-names":false,"suffix":""},{"dropping-particle":"","family":"Musio","given":"Carlo","non-dropping-particle":"","parse-names":false,"suffix":""},{"dropping-particle":"","family":"Santillo","given":"Silvia","non-dropping-particle":"","parse-names":false,"suffix":""},{"dropping-particle":"","family":"Cotugno","given":"Antonio","non-dropping-particle":"","parse-names":false,"suffix":""}],"container-title":"Hydrobiologia","id":"ITEM-3","issued":{"date-parts":[["2004"]]},"page":"129-134","title":"The photobiology of Hydra's periodic activity","type":"article-journal","volume":"530-531"},"uris":["http://www.mendeley.com/documents/?uuid=9ec44098-6079-4701-8179-048a1f7eca3d"]}],"mendeley":{"formattedCitation":"(Guertin &amp; Kass-Simon, 2015; Strader et al., 2015; Taddei-Ferretti, Musio, Santillo, &amp; Cotugno, 2004)","plainTextFormattedCitation":"(Guertin &amp; Kass-Simon, 2015; Strader et al., 2015; Taddei-Ferretti, Musio, Santillo, &amp; Cotugno, 2004)","previouslyFormattedCitation":"(Taddei-Ferretti et al. 2004; Guertin and Kass-Simon 2015; Strader et al. 2015)"},"properties":{"noteIndex":0},"schema":"https://github.com/citation-style-language/schema/raw/master/csl-citation.json"}</w:instrText>
      </w:r>
      <w:r w:rsidRPr="004E22CB">
        <w:fldChar w:fldCharType="separate"/>
      </w:r>
      <w:r w:rsidR="00B02F06" w:rsidRPr="00B02F06">
        <w:rPr>
          <w:noProof/>
        </w:rPr>
        <w:t xml:space="preserve">(Guertin &amp; Kass-Simon, 2015; Strader et al., </w:t>
      </w:r>
      <w:r w:rsidR="00B02F06" w:rsidRPr="00B02F06">
        <w:rPr>
          <w:noProof/>
        </w:rPr>
        <w:lastRenderedPageBreak/>
        <w:t>2015; Taddei-Ferretti, Musio, Santillo, &amp; Cotugno, 2004)</w:t>
      </w:r>
      <w:r w:rsidRPr="004E22CB">
        <w:fldChar w:fldCharType="end"/>
      </w:r>
      <w:r w:rsidRPr="004E22CB">
        <w:t>.</w:t>
      </w:r>
      <w:r>
        <w:t xml:space="preserve"> In the case of </w:t>
      </w:r>
      <w:r w:rsidRPr="009146CF">
        <w:rPr>
          <w:i/>
          <w:iCs/>
        </w:rPr>
        <w:t>E. crocea</w:t>
      </w:r>
      <w:r>
        <w:t xml:space="preserve"> larval settlement, green light, which penetrates only to shallow depths in the water column, may serve as a depth meter ensuring that colonies of </w:t>
      </w:r>
      <w:r w:rsidRPr="009F133E">
        <w:rPr>
          <w:i/>
          <w:iCs/>
        </w:rPr>
        <w:t>E. crocea</w:t>
      </w:r>
      <w:r>
        <w:t xml:space="preserve"> settle at shallow depths where prey items like plankton are abundant. We note that our finding </w:t>
      </w:r>
      <w:r w:rsidR="0034437C">
        <w:t xml:space="preserve">of the preference of </w:t>
      </w:r>
      <w:r w:rsidRPr="009F133E">
        <w:rPr>
          <w:i/>
          <w:iCs/>
        </w:rPr>
        <w:t>E. crocea</w:t>
      </w:r>
      <w:r>
        <w:t xml:space="preserve"> </w:t>
      </w:r>
      <w:r w:rsidR="00222138">
        <w:t>larvae</w:t>
      </w:r>
      <w:r>
        <w:t xml:space="preserve"> to settle in areas illuminated in green light does not in itself indicate the capacity for discrimination between wavelengths of light in </w:t>
      </w:r>
      <w:r w:rsidRPr="009146CF">
        <w:rPr>
          <w:i/>
          <w:iCs/>
        </w:rPr>
        <w:t>E. crocea</w:t>
      </w:r>
      <w:r>
        <w:t xml:space="preserve"> larvae. It is more likely that actinulae larvae are </w:t>
      </w:r>
      <w:r w:rsidR="00222138">
        <w:t>effectively</w:t>
      </w:r>
      <w:r>
        <w:t xml:space="preserve"> “color blind” but show a higher sensitivity to green light due to a limited photoreceptor palate with sensitivity in that range. Indeed, we uncovered only two closely related opsin transcripts from </w:t>
      </w:r>
      <w:r w:rsidRPr="009F133E">
        <w:rPr>
          <w:i/>
          <w:iCs/>
        </w:rPr>
        <w:t>E. crocea</w:t>
      </w:r>
      <w:r>
        <w:t xml:space="preserve"> larval stages.</w:t>
      </w:r>
    </w:p>
    <w:p w14:paraId="0C706300" w14:textId="77777777" w:rsidR="00B904A5" w:rsidRDefault="00B904A5" w:rsidP="00D46E28">
      <w:pPr>
        <w:spacing w:line="480" w:lineRule="auto"/>
        <w:jc w:val="both"/>
      </w:pPr>
    </w:p>
    <w:p w14:paraId="4E92B4BE" w14:textId="3BFE91A3" w:rsidR="00B904A5" w:rsidRDefault="00B904A5" w:rsidP="00D46E28">
      <w:pPr>
        <w:spacing w:line="480" w:lineRule="auto"/>
        <w:jc w:val="both"/>
      </w:pPr>
      <w:r>
        <w:t>Many of the same sensory cues that we investigated here have been investigated previously in other species. However, in most cases</w:t>
      </w:r>
      <w:r w:rsidR="0034437C">
        <w:t>,</w:t>
      </w:r>
      <w:r>
        <w:t xml:space="preserve"> studies have focused on one or </w:t>
      </w:r>
      <w:r w:rsidR="0034437C">
        <w:t>two</w:t>
      </w:r>
      <w:r>
        <w:t xml:space="preserve"> cues of interest</w:t>
      </w:r>
      <w:r w:rsidR="00CF29A7">
        <w:t xml:space="preserve"> </w:t>
      </w:r>
      <w:r w:rsidR="00CF29A7">
        <w:fldChar w:fldCharType="begin" w:fldLock="1"/>
      </w:r>
      <w:r w:rsidR="00B02F06">
        <w:instrText>ADDIN CSL_CITATION {"citationItems":[{"id":"ITEM-1","itemData":{"DOI":"10.2307/25066663","ISBN":"0006-3185","ISSN":"0006-3185","PMID":"18258779","author":[{"dropping-particle":"","family":"Zardus","given":"John D.","non-dropping-particle":"","parse-names":false,"suffix":""},{"dropping-particle":"","family":"Nedved","given":"Brian T.","non-dropping-particle":"","parse-names":false,"suffix":""},{"dropping-particle":"","family":"Huang","given":"Ying","non-dropping-particle":"","parse-names":false,"suffix":""},{"dropping-particle":"","family":"Tran","given":"Cawa","non-dropping-particle":"","parse-names":false,"suffix":""},{"dropping-particle":"","family":"Hadfield","given":"Michael G.","non-dropping-particle":"","parse-names":false,"suffix":""}],"container-title":"Biol. Bull.","id":"ITEM-1","issue":"February","issued":{"date-parts":[["2008"]]},"page":"91-98","title":"Microbial Biofilms Facilitate Adhesion in Biofouling Invertebrates","type":"article-journal","volume":"214"},"uris":["http://www.mendeley.com/documents/?uuid=f096676c-dc0a-4643-aef2-ead647e3073c"]},{"id":"ITEM-2","itemData":{"DOI":"10.1080/08927019809378348","ISBN":"0892-7014","ISSN":"08927014","abstract":"The methodologies applied in laboratory and field studies of the effects of biofilm cues on marine invertebrate larval settlement on hard substrata are briefly reviewed and some of the general problems (such as experimental repeatability, handling effects) that may be encountered, and the ecological representativeness of the species utilized are discussed. The review focuses also on the range of bioassay approaches and highlights the wide range of larval densities, substrata and biofilm sources that have been variously applied. It is important to consider all of these features in any attempt at formulating general principles and trends relating to larval settlement responses in natural assemblages. This review also highlights the prevalence of reports of facilitatory, rather than neutral or inhibitory, effects amongst the various species investigated and considers the possible role(s) of larva-larva interactions, cue perception distances, hierarchical effects and whether or not biofilm cues are surface-bound or waterborne in determining and affecting these responses. With specific reference to natural hard substratum assemblages, the putative adaptive significance of biofilm-mediated facilitation and inhibition of larval settlement is assessed and additional possible lines of future research are suggested.","author":[{"dropping-particle":"","family":"Wieczorek","given":"Sabine K.","non-dropping-particle":"","parse-names":false,"suffix":""},{"dropping-particle":"","family":"Todd","given":"Christopher D.","non-dropping-particle":"","parse-names":false,"suffix":""}],"container-title":"Biofouling","id":"ITEM-2","issue":"1-3","issued":{"date-parts":[["1998"]]},"page":"81-118","title":"Inhibition and facilitation of settlement of epifaunal marine invertebrate larvae by microbial biofilm cues","type":"article-journal","volume":"12"},"uris":["http://www.mendeley.com/documents/?uuid=abacc178-22ca-401e-afc8-76224d278720"]},{"id":"ITEM-3","itemData":{"DOI":"10.1111/mec.15318","ISSN":"1365294X","PMID":"31791111","abstract":"Marine pelagic larvae use a hierarchy of environmental cues to identify a suitable benthic habitat on which to settle and metamorphose into the adult phase of the life cycle. Most larvae are induced to settle by biochemical cues and many species have long been known to preferentially settle in the dark. Combined, these data suggest that larval responses to light and biochemical cues may be linked, but this has yet to be explored at the molecular level. Here, we track the vertical position of larvae of the sponge Amphimedon queenslandica to show that they descend to the benthos at twilight, by which time they are competent to respond to biochemical cues, consistent with them naturally settling in the dark. We use larval settlement assays under three different light regimes, combined with transcriptomics on individual larvae, to identify candidate molecular pathways underlying larval settlement. We find that larvae do not settle in response to biochemical cues if maintained in constant light. Our transcriptome data suggest that constant light actively represses settlement via the sustained up-regulation of two putative inactivators of chemotransduction in constant light only. Our data suggest that photo- and chemosensory systems interact to regulate larval settlement via nitric oxide and cyclic guanosine monophosphate signalling in this sponge, which belongs to one of the earliest-branching animal phyla.","author":[{"dropping-particle":"","family":"Say","given":"Tahsha E.","non-dropping-particle":"","parse-names":false,"suffix":""},{"dropping-particle":"","family":"Degnan","given":"Sandie M.","non-dropping-particle":"","parse-names":false,"suffix":""}],"container-title":"Molecular Ecology","id":"ITEM-3","issue":"2","issued":{"date-parts":[["2020"]]},"page":"247-261","title":"Molecular and behavioural evidence that interdependent photo - and chemosensory systems regulate larval settlement in a marine sponge","type":"article-journal","volume":"29"},"uris":["http://www.mendeley.com/documents/?uuid=47b44870-df3b-44cf-a8ce-9abc73cc75b0"]},{"id":"ITEM-4","itemData":{"DOI":"10.1086/BBLv222n2p88","ISSN":"00063185","abstract":"Light influences the swimming behavior and settlement of the planktonic planula larvae of coral, but little is known regarding the photosensory biology of coral at this or any life-history stage. Here we used changes in the electrical activity of coral planula tissue upon light flashes to investigate the photosensitivity of the larvae. Recordings were made from five species: two whose larvae are brooded and contain algal symbionts (Porites astreoides and Agaricia agaricites), and three whose larvae are spawned and lack algal symbionts (Acropora cervicornis, Acropora palmata, and Montastrea faveolata). Photosensitivity originated from the coral larva rather than from, or in addition to, its algal symbionts as species with and without symbionts displayed similar tissue-level electrical responses to light. All species exhibited as much (or more) sensitivity to red stimuli as to blue/green stimuli, which is consistent with a role for long-wavelength visible light in the preference for substrata observed during settlement and in facilitating vertical positioning of larvae in the water column.","author":[{"dropping-particle":"","family":"Mason","given":"Benjamin M.","non-dropping-particle":"","parse-names":false,"suffix":""},{"dropping-particle":"","family":"Cohen","given":"Jonathan H.","non-dropping-particle":"","parse-names":false,"suffix":""}],"container-title":"Biological Bulletin","id":"ITEM-4","issue":"2","issued":{"date-parts":[["2012"]]},"page":"88-92","title":"Long-Wavelength Photosensitivity in Coral planula larvae","type":"article-journal","volume":"222"},"uris":["http://www.mendeley.com/documents/?uuid=e2d220a4-e24d-4aca-ad61-8dddbe53bb4f"]},{"id":"ITEM-5","itemData":{"DOI":"10.1098/rsos.150358","ISSN":"20545703","abstract":"Reef-building corals produce planktonic planula larvae that must select an appropriate habitat to settle and spend the rest of their life, a behaviour that plays a critical role in survival. Here, we report that larvae obtained from a deep-water population of Pseudodiploria strigosa settled more readily under blue light and in the dark, which aligns well with the light field characteristics of their natal habitat. By contrast, larvae of the shallow-water coral Acropora millepora settled in high proportions under blue and green light while settlement was less in the dark. Acropora millepora larvae also showed reduced settlement under red light, which should be abundant at shallow depth. Hypothesizing that this might be a mechanism preventing the larvae from settling on the exposed upwards-facing surfaces, we quantified A. millepora settlement in manipulated light chambers in situ on the reef. While A. millepora larvae naturally preferred settling on vertical rather than exposed horizontal surfaces, swapping the colours of upwards-facing and sideways-facing light fields was sufficient to invert this preference. We also tested if the variation in intrinsic red fluorescence in A. millepora larvae correlates with settlement rates, as has been suggested previously. We observed this correlation only in the absence of light, indicating that larval red fluorescent protein is probably not directly involved in light sensing. Our study reveals previously under-appreciated light-sensory capabilities in coral larvae, which could be an important axis of ecological differentiation between coral species and/or populations.","author":[{"dropping-particle":"","family":"Strader","given":"Marie E.","non-dropping-particle":"","parse-names":false,"suffix":""},{"dropping-particle":"","family":"Davies","given":"Sarah W.","non-dropping-particle":"","parse-names":false,"suffix":""},{"dropping-particle":"V.","family":"Matz","given":"Mikhail","non-dropping-particle":"","parse-names":false,"suffix":""}],"container-title":"Royal Society Open Science","id":"ITEM-5","issue":"10","issued":{"date-parts":[["2015"]]},"title":"Differential responses of coral larvae to the colour of ambient light guide them to suitable settlement microhabitat","type":"article-journal","volume":"2"},"uris":["http://www.mendeley.com/documents/?uuid=e47c201e-a0b5-4edc-a0fd-5c2f90950385"]},{"id":"ITEM-6","itemData":{"DOI":"10.1016/0022-0981(94)00171-9","ISBN":"0022-0981","ISSN":"00220981","abstract":"The planula and the ascidian tadpole larva represent structurally and evolutionary opposites in a continum. In the planula, external stimuli are percieved at the cellular level and no sensory organs can be found while in the simple ascidian tadpole, external stimuli are perceived by well-defined sensory organs. A comparative experimental laboratory study was carried out to investigate effects of light intensity on phototactic and geotactic behaviour at settlement of the planulae of the scyphozoan Cyanea capillata L. and the tadpole of the solitary ascidian Ascidia mentula O.F. Müller. In the field, scyphistomae of Cyanea and juveniles of Ascidia are mostly found in shaded habitats and downward facing substrata most likely as a result of larval behaviour. Field measurements of light conditions were made in habitats where the two species commonly occur. The planula and the tadpole responded significantly to light as low as 2 × 1017Quanta·s-1· m-2equalent to 10 Lux and 6 × 1014Quanta·s-1· m-2equalent to 0.1 Lux, respectively. In both larval types, no effect of light intensity on negative geotaxis was evident. Ecological aspects of the larval behavioural patterns are discussed. © 1995.","author":[{"dropping-particle":"","family":"Svane","given":"Ib","non-dropping-particle":"","parse-names":false,"suffix":""},{"dropping-particle":"","family":"Dolmer","given":"Per","non-dropping-particle":"","parse-names":false,"suffix":""}],"container-title":"Journal of Experimental Marine Biology and Ecology","id":"ITEM-6","issue":"1","issued":{"date-parts":[["1995"]]},"page":"51-61","title":"Perception of light at settlement: a comparative study of two invertebrate larvae, a scyphozoan planula and a simple ascidian tadpole","type":"article-journal","volume":"187"},"uris":["http://www.mendeley.com/documents/?uuid=1f7dc058-2823-493a-bf88-5078fadd9214"]},{"id":"ITEM-7","itemData":{"DOI":"10.3354/meps140123","ISBN":"0171-8630","ISSN":"01718630","abstract":"Field observations using settlement panels, which were carried out in Port Daniel Bay, Bale des Chaleurs, Quebec, Canada, in 1992, showed recruitment by the hydroid Tubularia larynx to be unevenly distributed with depth. Multiple regression on residuals indicated that 2 physical factors, water temperature and light intensity, out of 5 tested explained 45% of the observed variance in the recruitment of T. larynx on the panels. In laboratory experiments, warm temperatures increased settlement significantly. Contrary to field results, Light intensity did not seem to influence the settlement of T. larynx in the laboratory. The influence of small scale (&lt;mm) substrate heterogeneity was also tested in the laboratory. Highest settlement rates occurred on smooth surfaces, but field experiments carried out in 1993 did not show any heterogeneity preference by T. larynx. The influence of extracts and metabolites of conspecific adults on larval settlement was also tested in the laboratory and field. Adult extracts had some influence on settlement in some laboratory trials, but not in others. In general, T. larynx settled more abundantly on surfaces treated with high concentrations of extract solutions than on other surfaces. As was the case for substratum heterogeneity, there was no influence of adult extracts detected in the field. In contrast, adult metabolites showed little influence on settlement under laboratory conditions and no influence on recruitment in field experiments.","author":[{"dropping-particle":"","family":"Nellis","given":"Pierre","non-dropping-particle":"","parse-names":false,"suffix":""},{"dropping-particle":"","family":"Bourget","given":"Edwin","non-dropping-particle":"","parse-names":false,"suffix":""}],"container-title":"Marine Ecology Progress Series","id":"ITEM-7","issue":"1-3","issued":{"date-parts":[["1996"]]},"page":"123-139","title":"Influence of physical and chemical factors on settlement and recruitment of the hydroid Tubularia larynx","type":"article-journal","volume":"140"},"uris":["http://www.mendeley.com/documents/?uuid=1c8048d3-172c-4d7d-8a74-44963014e4c5"]},{"id":"ITEM-8","itemData":{"abstract":"A commonality among oceanic life cycles is a process known as settlement, where dispersing propagules transition to the sea 8oor. For many marine invertebrates, this transition is irreversible, and therefore involves a crucial decision-making process through which larvae evaluate their juvenile habitat-to-be. In this chapter, we consider aspects of the external environment that could in8uence successful settlement. Speci&lt;cally, we discuss water 8ow across scales, and how larvae can engage behaviors to in8uence where ocean currents take them, and enhance the likelihood of their being carried towards suitable settlement locations. Next, we consider what senses larvae utilize to evaluate their external environment and properly time such behavioral modi&lt;cations, and settlement generally. We hypothesize that larvae integrate these various external cues in a hierarchical fashion, with di&gt;ering arrangements being employed across ontogeny and among species. We conclude with a brief discussion of the future promises of larval biology, ecology and evolution","author":[{"dropping-particle":"","family":"Hodin","given":"Jason","non-dropping-particle":"","parse-names":false,"suffix":""},{"dropping-particle":"","family":"Ferner","given":"Matthew","non-dropping-particle":"","parse-names":false,"suffix":""},{"dropping-particle":"","family":"Heyland","given":"Andreas","non-dropping-particle":"","parse-names":false,"suffix":""},{"dropping-particle":"","family":"Gaylord","given":"Brian","non-dropping-particle":"","parse-names":false,"suffix":""}],"chapter-number":"Chapter 13","container-title":"Evolutionary Ecology of Marine Invertebrate Larvae","id":"ITEM-8","issued":{"date-parts":[["2018"]]},"page":"190-207","title":"I feel that! Fluid dynamics and sensory aspects of larval settlement across scales","type":"chapter"},"uris":["http://www.mendeley.com/documents/?uuid=79bd2d90-194e-4e37-bf8a-067627beb3b3"]}],"mendeley":{"formattedCitation":"(Hodin et al., 2018; Mason &amp; Cohen, 2012; Nellis &amp; Bourget, 1996; Say &amp; Degnan, 2020; Strader et al., 2015; Svane &amp; Dolmer, 1995; Wieczorek &amp; Todd, 1998; Zardus et al., 2008)","plainTextFormattedCitation":"(Hodin et al., 2018; Mason &amp; Cohen, 2012; Nellis &amp; Bourget, 1996; Say &amp; Degnan, 2020; Strader et al., 2015; Svane &amp; Dolmer, 1995; Wieczorek &amp; Todd, 1998; Zardus et al., 2008)","previouslyFormattedCitation":"(Svane and Dolmer 1995; Nellis and Bourget 1996; Wieczorek and Todd 1998; Zardus et al. 2008; Mason and Cohen 2012; Strader et al. 2015; Hodin et al. 2018; Say and Degnan 2020)"},"properties":{"noteIndex":0},"schema":"https://github.com/citation-style-language/schema/raw/master/csl-citation.json"}</w:instrText>
      </w:r>
      <w:r w:rsidR="00CF29A7">
        <w:fldChar w:fldCharType="separate"/>
      </w:r>
      <w:r w:rsidR="00B02F06" w:rsidRPr="00B02F06">
        <w:rPr>
          <w:noProof/>
        </w:rPr>
        <w:t>(Hodin et al., 2018; Mason &amp; Cohen, 2012; Nellis &amp; Bourget, 1996; Say &amp; Degnan, 2020; Strader et al., 2015; Svane &amp; Dolmer, 1995; Wieczorek &amp; Todd, 1998; Zardus et al., 2008)</w:t>
      </w:r>
      <w:r w:rsidR="00CF29A7">
        <w:fldChar w:fldCharType="end"/>
      </w:r>
      <w:r>
        <w:t>. Our factorial experimental design allowed us to identify interactions between sensory modalities and to test the possibility of MSI. Surprisingly, we found a significant interaction between mechanical (surface texture) and chemical (biofilm) cues whereas</w:t>
      </w:r>
      <w:r w:rsidR="007C0665">
        <w:t>,</w:t>
      </w:r>
      <w:r>
        <w:t xml:space="preserve"> in the presence of chemical cues, surface texture enhances settlement rates, but in the absence of chemical cues</w:t>
      </w:r>
      <w:r w:rsidR="0034437C">
        <w:t>,</w:t>
      </w:r>
      <w:r>
        <w:t xml:space="preserve"> surface texture is inhibitory. This significant and </w:t>
      </w:r>
      <w:r w:rsidR="0034437C">
        <w:t>sign-reversing</w:t>
      </w:r>
      <w:r>
        <w:t xml:space="preserve"> sensory interaction constitutes MSI by enhancement</w:t>
      </w:r>
      <w:r w:rsidR="00283846">
        <w:t xml:space="preserve"> </w:t>
      </w:r>
      <w:r w:rsidR="00283846">
        <w:fldChar w:fldCharType="begin" w:fldLock="1"/>
      </w:r>
      <w:r w:rsidR="00B02F06">
        <w:instrText>ADDIN CSL_CITATION {"citationItems":[{"id":"ITEM-1","itemData":{"DOI":"10.1007/s00221-009-1880-8","ISSN":"00144819","PMID":"19551377","abstract":"Single-neuron studies provide a foundation for understanding many facets of multisensory integration. These studies have used a variety of criteria for identifying and quantifying multisensory integration. While a number of techniques have been used, an explicit discussion of the assumptions, criteria, and analytical methods traditionally used to define the principles of multisensory integration is lacking. This was not problematic when the field was small, but with rapid growth a number of alternative techniques and models have been introduced, each with its own criteria and sets of implicit assumptions to define and characterize what is thought to be the same phenomenon. The potential for misconception prompted this reexamination of traditional approaches in order to clarify their underlying assumptions and analytic techniques. The objective here is to review and discuss traditional quantitative methods advanced in the study of single-neuron physiology in order to appreciate the process of multisensory integration and its impact. © 2009 Springer-Verlag.","author":[{"dropping-particle":"","family":"Stein","given":"Barry E.","non-dropping-particle":"","parse-names":false,"suffix":""},{"dropping-particle":"","family":"Stanford","given":"Terrence R.","non-dropping-particle":"","parse-names":false,"suffix":""},{"dropping-particle":"","family":"Ramachandran","given":"Ramnarayan","non-dropping-particle":"","parse-names":false,"suffix":""},{"dropping-particle":"","family":"Perrault","given":"Thomas J.","non-dropping-particle":"","parse-names":false,"suffix":""},{"dropping-particle":"","family":"Rowland","given":"Benjamin A.","non-dropping-particle":"","parse-names":false,"suffix":""}],"container-title":"Experimental Brain Research","id":"ITEM-1","issue":"2-3","issued":{"date-parts":[["2009"]]},"page":"113-126","title":"Challenges in quantifying multisensory integration: Alternative criteria, models, and inverse effectiveness","type":"article-journal","volume":"198"},"uris":["http://www.mendeley.com/documents/?uuid=f131e31e-b09d-44ae-ac2a-2fd82c710204"]}],"mendeley":{"formattedCitation":"(Barry E. Stein et al., 2009)","plainTextFormattedCitation":"(Barry E. Stein et al., 2009)","previouslyFormattedCitation":"(Stein et al. 2009)"},"properties":{"noteIndex":0},"schema":"https://github.com/citation-style-language/schema/raw/master/csl-citation.json"}</w:instrText>
      </w:r>
      <w:r w:rsidR="00283846">
        <w:fldChar w:fldCharType="separate"/>
      </w:r>
      <w:r w:rsidR="00B02F06" w:rsidRPr="00B02F06">
        <w:rPr>
          <w:noProof/>
        </w:rPr>
        <w:t>(Barry E. Stein et al., 2009)</w:t>
      </w:r>
      <w:r w:rsidR="00283846">
        <w:fldChar w:fldCharType="end"/>
      </w:r>
      <w:r>
        <w:t xml:space="preserve"> and is likely mediated by signaling between sensory neurons and their adjacent cnidocytes. MSI by enhancement is stronger when light is present in </w:t>
      </w:r>
      <w:r>
        <w:lastRenderedPageBreak/>
        <w:t xml:space="preserve">addition to chemical and mechanical cues, suggesting that both photosensitivity and chemosensitivity have positive impacts on settlement when mechanical cues are present. </w:t>
      </w:r>
    </w:p>
    <w:p w14:paraId="6D2CAA46" w14:textId="77777777" w:rsidR="00B904A5" w:rsidRDefault="00B904A5" w:rsidP="00D46E28">
      <w:pPr>
        <w:spacing w:line="480" w:lineRule="auto"/>
        <w:jc w:val="both"/>
      </w:pPr>
    </w:p>
    <w:p w14:paraId="729ECBE9" w14:textId="0C2EA9F2" w:rsidR="00B904A5" w:rsidRPr="005C756E" w:rsidRDefault="00B904A5" w:rsidP="00D46E28">
      <w:pPr>
        <w:spacing w:line="480" w:lineRule="auto"/>
        <w:jc w:val="both"/>
        <w:rPr>
          <w:b/>
          <w:bCs/>
        </w:rPr>
      </w:pPr>
      <w:r w:rsidRPr="009146CF">
        <w:rPr>
          <w:b/>
          <w:bCs/>
        </w:rPr>
        <w:t>The cellular basis for MSI in actinulae</w:t>
      </w:r>
    </w:p>
    <w:p w14:paraId="09F55308" w14:textId="70A905D2" w:rsidR="008F046E" w:rsidRDefault="00B904A5" w:rsidP="00D46E28">
      <w:pPr>
        <w:spacing w:line="480" w:lineRule="auto"/>
        <w:jc w:val="both"/>
      </w:pPr>
      <w:r>
        <w:t xml:space="preserve">Temporal patterns of gene expression also illuminate the sensory determinants of the settlement decision in </w:t>
      </w:r>
      <w:r w:rsidRPr="009146CF">
        <w:rPr>
          <w:i/>
          <w:iCs/>
        </w:rPr>
        <w:t>E. crocea</w:t>
      </w:r>
      <w:r>
        <w:t xml:space="preserve">. Our analytical approach, a type of GSEA, filtered transcripts based on their phylogenetic membership into clades containing genes annotated as having sensory function and then interrogated such transcripts based on their differential expression between stages. While each of the three gene sets used for interrogation contained greater than 200 genes, only a subset of those genes have orthologs in the </w:t>
      </w:r>
      <w:r w:rsidRPr="009146CF">
        <w:rPr>
          <w:i/>
          <w:iCs/>
        </w:rPr>
        <w:t>E. crocea</w:t>
      </w:r>
      <w:r>
        <w:t xml:space="preserve"> transcriptome and are differentially expressed between stages</w:t>
      </w:r>
      <w:r w:rsidR="00283846">
        <w:t xml:space="preserve"> (Fig 4)</w:t>
      </w:r>
      <w:r>
        <w:t>. The mechanosensory gene set includes the largest number of active genes while the chemosens</w:t>
      </w:r>
      <w:r w:rsidR="00532FDA">
        <w:t>ory</w:t>
      </w:r>
      <w:r>
        <w:t xml:space="preserve"> gene set contains the least number of genes. This disparity is partly due to the relative degree of conservation in gene function between cnidarian genomes and those of model organisms from which annotations are based, and partly due to genes that are differentially expressed in </w:t>
      </w:r>
      <w:r w:rsidRPr="009146CF">
        <w:rPr>
          <w:i/>
          <w:iCs/>
        </w:rPr>
        <w:t>E. crocea</w:t>
      </w:r>
      <w:r>
        <w:t xml:space="preserve"> larval development. In addition, the mechanosensory and photosensory gene sets share </w:t>
      </w:r>
      <w:proofErr w:type="gramStart"/>
      <w:r>
        <w:t>a number of</w:t>
      </w:r>
      <w:proofErr w:type="gramEnd"/>
      <w:r>
        <w:t xml:space="preserve"> genes in common due to pleiotropic expression. It is somewhat surprising that so few chemosensory genes were recovered by our screen given that chemosensitivity is the predominant sensory cue in larval settlement. However, we did identify orthologs of both PKD1L3 and PKD2L1, which have been </w:t>
      </w:r>
      <w:r w:rsidR="009A01F6">
        <w:t xml:space="preserve">implicated as key components of the </w:t>
      </w:r>
      <w:r>
        <w:t xml:space="preserve"> sour taste </w:t>
      </w:r>
      <w:r w:rsidR="009A01F6">
        <w:t xml:space="preserve">(pH) transduction pathway </w:t>
      </w:r>
      <w:r>
        <w:t xml:space="preserve">in mammals </w:t>
      </w:r>
      <w:r w:rsidR="009A01F6">
        <w:fldChar w:fldCharType="begin" w:fldLock="1"/>
      </w:r>
      <w:r w:rsidR="00B02F06">
        <w:instrText>ADDIN CSL_CITATION {"citationItems":[{"id":"ITEM-1","itemData":{"author":[{"dropping-particle":"","family":"Fain","given":"Gordon L.","non-dropping-particle":"","parse-names":false,"suffix":""}],"chapter-number":"Chapter 8","container-title":"Sensory Transduction","edition":"2nd","id":"ITEM-1","issued":{"date-parts":[["2020"]]},"page":"159-177","publisher":"Oxford University Press","title":"Taste","type":"chapter"},"uris":["http://www.mendeley.com/documents/?uuid=5f4d5749-4d1e-4a5f-83b2-a48c94a08be8"]},{"id":"ITEM-2","itemData":{"DOI":"10.1073/pnas.0602702103","ISSN":"00278424","PMID":"16891422","abstract":"Animals use their gustatory systems to evaluate the nutritious value, toxicity, sodium content, and acidity of food. Although characterization of molecular identities that receive taste chemicals is essential, molecular receptors underlying sour taste sensation remain unclear. Here, we show that two transient receptor potential (TRP) channel members, PKD1L3 and PKD2L1, are coexpressed in a subset of taste receptor cells in specific taste areas. Cells expressing these molecules are distinct from taste cells having receptors for bitter, sweet, or umami tastants. The PKD2L1 proteins are accumulated at the taste pore region, where taste chemicals are detected. PKD1L3 and PKD2L1 proteins can interact with each other, and coexpression of the PKD1L3 and PKD2L1 is necessary for their functional cell surface expression. Finally, PKD1L3 and PKD2L1 are activated by various acids when coexpressed in heterologous cells but not by other classes of tastants. These results suggest that PKD1L3 and PKD2L1 heteromers may function as sour taste receptors. © 2006 by The National Academy of Sciences of the USA.","author":[{"dropping-particle":"","family":"Ishimaru","given":"Yoshiro","non-dropping-particle":"","parse-names":false,"suffix":""},{"dropping-particle":"","family":"Inada","given":"Hitoshi","non-dropping-particle":"","parse-names":false,"suffix":""},{"dropping-particle":"","family":"Kubota","given":"Momoka","non-dropping-particle":"","parse-names":false,"suffix":""},{"dropping-particle":"","family":"Zhuang","given":"Hanyi","non-dropping-particle":"","parse-names":false,"suffix":""},{"dropping-particle":"","family":"Tominaga","given":"Makoto","non-dropping-particle":"","parse-names":false,"suffix":""},{"dropping-particle":"","family":"Matsunami","given":"Hiroaki","non-dropping-particle":"","parse-names":false,"suffix":""}],"container-title":"Proceedings of the National Academy of Sciences of the United States of America","id":"ITEM-2","issue":"33","issued":{"date-parts":[["2006"]]},"page":"12569-12574","title":"Transient receptor potential family members PKD1L3 and PKD2L1 form a candidate sour taste receptor","type":"article-journal","volume":"103"},"uris":["http://www.mendeley.com/documents/?uuid=2ccf516e-1134-4a33-a306-69cae88fb935"]}],"mendeley":{"formattedCitation":"(Fain, 2020; Ishimaru et al., 2006)","plainTextFormattedCitation":"(Fain, 2020; Ishimaru et al., 2006)","previouslyFormattedCitation":"(Ishimaru et al. 2006; Fain 2020)"},"properties":{"noteIndex":0},"schema":"https://github.com/citation-style-language/schema/raw/master/csl-citation.json"}</w:instrText>
      </w:r>
      <w:r w:rsidR="009A01F6">
        <w:fldChar w:fldCharType="separate"/>
      </w:r>
      <w:r w:rsidR="00B02F06" w:rsidRPr="00B02F06">
        <w:rPr>
          <w:noProof/>
        </w:rPr>
        <w:t>(Fain, 2020; Ishimaru et al., 2006)</w:t>
      </w:r>
      <w:r w:rsidR="009A01F6">
        <w:fldChar w:fldCharType="end"/>
      </w:r>
      <w:r>
        <w:t xml:space="preserve"> and have previously been implicated in cnidarian chemosensitivity</w:t>
      </w:r>
      <w:r w:rsidR="009A01F6">
        <w:t xml:space="preserve"> </w:t>
      </w:r>
      <w:r w:rsidR="009A01F6">
        <w:fldChar w:fldCharType="begin" w:fldLock="1"/>
      </w:r>
      <w:r w:rsidR="00B02F06">
        <w:instrText>ADDIN CSL_CITATION {"citationItems":[{"id":"ITEM-1","itemData":{"DOI":"10.1007/s10158-016-0194-3","ISSN":"13542516","author":[{"dropping-particle":"","family":"McLaughlin","given":"Susan","non-dropping-particle":"","parse-names":false,"suffix":""}],"container-title":"Invertebrate Neuroscience","id":"ITEM-1","issue":"1","issued":{"date-parts":[["2017"]]},"page":"1-14","publisher":"Springer Berlin Heidelberg","title":"Evidence that polycystins are involved in Hydra cnidocyte discharge","type":"article-journal","volume":"17"},"uris":["http://www.mendeley.com/documents/?uuid=70381565-486d-4a81-b3a4-36390717714d"]}],"mendeley":{"formattedCitation":"(McLaughlin, 2017)","plainTextFormattedCitation":"(McLaughlin, 2017)","previouslyFormattedCitation":"(McLaughlin 2017)"},"properties":{"noteIndex":0},"schema":"https://github.com/citation-style-language/schema/raw/master/csl-citation.json"}</w:instrText>
      </w:r>
      <w:r w:rsidR="009A01F6">
        <w:fldChar w:fldCharType="separate"/>
      </w:r>
      <w:r w:rsidR="00B02F06" w:rsidRPr="00B02F06">
        <w:rPr>
          <w:noProof/>
        </w:rPr>
        <w:t>(McLaughlin, 2017)</w:t>
      </w:r>
      <w:r w:rsidR="009A01F6">
        <w:fldChar w:fldCharType="end"/>
      </w:r>
      <w:r>
        <w:t xml:space="preserve">. </w:t>
      </w:r>
      <w:r w:rsidR="008F046E">
        <w:t xml:space="preserve">Furthermore, </w:t>
      </w:r>
      <w:r w:rsidR="008F046E">
        <w:lastRenderedPageBreak/>
        <w:t xml:space="preserve">biofilms vary in acidity </w:t>
      </w:r>
      <w:r w:rsidR="008F046E">
        <w:fldChar w:fldCharType="begin" w:fldLock="1"/>
      </w:r>
      <w:r w:rsidR="00B02F06">
        <w:instrText>ADDIN CSL_CITATION {"citationItems":[{"id":"ITEM-1","itemData":{"abstract":"Direct measurements of the pH within natural marine biofilms grown on platinum have been made with iridium/iridium oxide solid‐state microelectrodes. The data show that the pH is highly variable, with steep gradients both perpendicular to and along the metal surface. Measured values ranged from 8 in the outer portions of the biofilm to below 2 in localized areas near the metal surface. It was verified that bulk water flowing along the hydrophilic outer sheath of the micro‐electrode could effect the measured pH values. However, meaningful data could still be taken because the response time of the electrode was sufficiently less than the time for water ingression. The data presented are consistent with recent heterogeneous biofilm models and with the idea that localized areas of low pH within biofilms can be a contributing factor in biologically influenced corrosion processes.","author":[{"dropping-particle":"","family":"Dexter","given":"S. C.","non-dropping-particle":"","parse-names":false,"suffix":""},{"dropping-particle":"","family":"Chandrasekaran","given":"P.","non-dropping-particle":"","parse-names":false,"suffix":""}],"container-title":"Biofouling","id":"ITEM-1","issue":"4","issued":{"date-parts":[["2000"]]},"page":"313-325","title":"Direct measurement of ph within marine biofilms on passive metals","type":"article-journal","volume":"15"},"uris":["http://www.mendeley.com/documents/?uuid=79cb666e-84c3-4b1b-9b56-5d650e701a97"]}],"mendeley":{"formattedCitation":"(Dexter &amp; Chandrasekaran, 2000)","plainTextFormattedCitation":"(Dexter &amp; Chandrasekaran, 2000)","previouslyFormattedCitation":"(Dexter and Chandrasekaran 2000)"},"properties":{"noteIndex":0},"schema":"https://github.com/citation-style-language/schema/raw/master/csl-citation.json"}</w:instrText>
      </w:r>
      <w:r w:rsidR="008F046E">
        <w:fldChar w:fldCharType="separate"/>
      </w:r>
      <w:r w:rsidR="00B02F06" w:rsidRPr="00B02F06">
        <w:rPr>
          <w:noProof/>
        </w:rPr>
        <w:t>(Dexter &amp; Chandrasekaran, 2000)</w:t>
      </w:r>
      <w:r w:rsidR="008F046E">
        <w:fldChar w:fldCharType="end"/>
      </w:r>
      <w:r w:rsidR="008F046E">
        <w:t xml:space="preserve">, which </w:t>
      </w:r>
      <w:r w:rsidR="009E4967">
        <w:t xml:space="preserve">could allow </w:t>
      </w:r>
      <w:r w:rsidR="009271D0">
        <w:t xml:space="preserve">for </w:t>
      </w:r>
      <w:r w:rsidR="009E4967">
        <w:t xml:space="preserve">the assessment of different settlement sites based on their </w:t>
      </w:r>
      <w:r w:rsidR="008F046E">
        <w:t xml:space="preserve">chemosensory </w:t>
      </w:r>
      <w:r w:rsidR="009E4967">
        <w:t>properties</w:t>
      </w:r>
      <w:r w:rsidR="008F046E">
        <w:t xml:space="preserve">. </w:t>
      </w:r>
    </w:p>
    <w:p w14:paraId="44880210" w14:textId="77777777" w:rsidR="00B904A5" w:rsidRDefault="00B904A5" w:rsidP="00D46E28">
      <w:pPr>
        <w:spacing w:line="480" w:lineRule="auto"/>
        <w:jc w:val="both"/>
      </w:pPr>
    </w:p>
    <w:p w14:paraId="30C40378" w14:textId="4E7F325F" w:rsidR="00B904A5" w:rsidRDefault="00B904A5" w:rsidP="00D46E28">
      <w:pPr>
        <w:spacing w:line="480" w:lineRule="auto"/>
        <w:jc w:val="both"/>
      </w:pPr>
      <w:r>
        <w:t>These analyses identify two pulses of sensory gene expression: one occurring early (</w:t>
      </w:r>
      <w:r w:rsidR="00532FDA">
        <w:t>stage 2, preactinula</w:t>
      </w:r>
      <w:r>
        <w:t>) and consisting largely of regulatory and structural factors and another occurring later (</w:t>
      </w:r>
      <w:r w:rsidR="00532FDA">
        <w:t>stage 4, actinula</w:t>
      </w:r>
      <w:r>
        <w:t xml:space="preserve">) and consisting of structural and physiological factors. These data add further support for the actinula (stage 4) as the maximally </w:t>
      </w:r>
      <w:r w:rsidR="00532FDA">
        <w:t>sensory-equipped</w:t>
      </w:r>
      <w:r>
        <w:t xml:space="preserve"> larval stage and highlight candidate genes for expression analyses.</w:t>
      </w:r>
    </w:p>
    <w:p w14:paraId="6AC5DC65" w14:textId="77777777" w:rsidR="00B904A5" w:rsidRDefault="00B904A5" w:rsidP="00D46E28">
      <w:pPr>
        <w:spacing w:line="480" w:lineRule="auto"/>
        <w:jc w:val="both"/>
      </w:pPr>
    </w:p>
    <w:p w14:paraId="43A50BAC" w14:textId="25476E15" w:rsidR="00B904A5" w:rsidRDefault="00B904A5" w:rsidP="00D46E28">
      <w:pPr>
        <w:spacing w:line="480" w:lineRule="auto"/>
        <w:jc w:val="both"/>
      </w:pPr>
      <w:r>
        <w:t>We examined the expression of several candidate genes in stage 4 actinula larvae using FISH</w:t>
      </w:r>
      <w:r w:rsidR="00D27953">
        <w:t xml:space="preserve"> (Fig 5)</w:t>
      </w:r>
      <w:r>
        <w:t>. We used the same opsin transcript (Ec</w:t>
      </w:r>
      <w:r w:rsidR="00243FC1">
        <w:t>_t.72976</w:t>
      </w:r>
      <w:r>
        <w:t>) in each experiment to facilitate comparisons between genes. Our results demonstrate strong co-expression of opsin, PKD2L1</w:t>
      </w:r>
      <w:r w:rsidR="009E4967">
        <w:t xml:space="preserve">, </w:t>
      </w:r>
      <w:r>
        <w:t>PKD1L3</w:t>
      </w:r>
      <w:r w:rsidR="009E4967">
        <w:t xml:space="preserve"> and ASIC in</w:t>
      </w:r>
      <w:r>
        <w:t xml:space="preserve"> sensory neurons. In contrast, TRPA and Piezo transcripts localized to cnidocytes. These results </w:t>
      </w:r>
      <w:r w:rsidR="009E4967">
        <w:t xml:space="preserve">demonstrate </w:t>
      </w:r>
      <w:r>
        <w:t>cellular partitioning between the modes of sensation, where opsin (photosensitivity) and PKD2L1</w:t>
      </w:r>
      <w:r w:rsidR="009E4967">
        <w:t xml:space="preserve">, </w:t>
      </w:r>
      <w:r>
        <w:t>PKD1L3</w:t>
      </w:r>
      <w:r w:rsidR="009271D0">
        <w:t>,</w:t>
      </w:r>
      <w:r w:rsidR="009E4967">
        <w:t xml:space="preserve"> and ASIC</w:t>
      </w:r>
      <w:r>
        <w:t xml:space="preserve"> (chemosensitivity) are expressed in polymodal sensory neuron</w:t>
      </w:r>
      <w:r w:rsidR="009E4967">
        <w:t>s</w:t>
      </w:r>
      <w:r w:rsidR="009271D0">
        <w:t>,</w:t>
      </w:r>
      <w:r>
        <w:t xml:space="preserve"> and TRPA and Piezo (mechanosensitivity) are expressed in cnidocytes. </w:t>
      </w:r>
    </w:p>
    <w:p w14:paraId="2DBD9E6D" w14:textId="77777777" w:rsidR="00B904A5" w:rsidRDefault="00B904A5" w:rsidP="00D46E28">
      <w:pPr>
        <w:spacing w:line="480" w:lineRule="auto"/>
        <w:jc w:val="both"/>
      </w:pPr>
    </w:p>
    <w:p w14:paraId="5E738660" w14:textId="50C24806" w:rsidR="00B904A5" w:rsidRDefault="00B904A5" w:rsidP="00D46E28">
      <w:pPr>
        <w:spacing w:line="480" w:lineRule="auto"/>
        <w:jc w:val="both"/>
      </w:pPr>
      <w:r>
        <w:t xml:space="preserve">Together, these data suggest that MSI in </w:t>
      </w:r>
      <w:r w:rsidRPr="009F133E">
        <w:rPr>
          <w:i/>
          <w:iCs/>
        </w:rPr>
        <w:t>E. crocea</w:t>
      </w:r>
      <w:r>
        <w:t xml:space="preserve"> larval settlement is facilitated by a simple communication circuit between polymodal photo-chemo sensory neurons and mechanoreceptive cnidocytes located on the </w:t>
      </w:r>
      <w:r w:rsidR="00243FC1">
        <w:t xml:space="preserve">tentacles and </w:t>
      </w:r>
      <w:r>
        <w:t>aboral basal protrusion. We propose that in the absence of chemical and photo</w:t>
      </w:r>
      <w:r w:rsidR="00243FC1">
        <w:t>sensory</w:t>
      </w:r>
      <w:r>
        <w:t xml:space="preserve"> cues, mechanosensitive cnidocytes are inhibited from discharging and little cnidocyte printing behavior takes place. However, when light </w:t>
      </w:r>
      <w:r>
        <w:lastRenderedPageBreak/>
        <w:t>and chemical cues are present, this inhibition is relieved and mechanosensitive cnidocytes are free to fire. The combination of permissive light, chemical</w:t>
      </w:r>
      <w:r w:rsidR="00C938FD">
        <w:t>,</w:t>
      </w:r>
      <w:r>
        <w:t xml:space="preserve"> and mechanical cues lead to the highest rate of settlement.</w:t>
      </w:r>
    </w:p>
    <w:p w14:paraId="10F6F55B" w14:textId="77777777" w:rsidR="00B904A5" w:rsidRDefault="00B904A5" w:rsidP="00D46E28">
      <w:pPr>
        <w:spacing w:line="480" w:lineRule="auto"/>
        <w:jc w:val="both"/>
      </w:pPr>
    </w:p>
    <w:p w14:paraId="6D2F6DC9" w14:textId="1CE7CD30" w:rsidR="00B904A5" w:rsidRDefault="00B904A5" w:rsidP="00D46E28">
      <w:pPr>
        <w:spacing w:line="480" w:lineRule="auto"/>
        <w:jc w:val="both"/>
      </w:pPr>
      <w:r>
        <w:t xml:space="preserve">MSI is best known in animals with complex brains where specialized brain centers have evolved to facilitate information processing and exchange. Here we show that MSI is possible in animals that lack centralized nervous systems and may be facilitated by communication between </w:t>
      </w:r>
      <w:r w:rsidR="00F813D1">
        <w:t>as few as two</w:t>
      </w:r>
      <w:r>
        <w:t xml:space="preserve"> cell types, sensory neurons and cnidocytes. Moreover, given the importance of larval settlement dynamics in shaping benthic ecosystems, it is likely that MSI as observed in </w:t>
      </w:r>
      <w:r w:rsidRPr="009F133E">
        <w:rPr>
          <w:i/>
          <w:iCs/>
        </w:rPr>
        <w:t>E. crocea</w:t>
      </w:r>
      <w:r>
        <w:t xml:space="preserve"> larvae, may be an important determinant of benthic community composition and function.</w:t>
      </w:r>
    </w:p>
    <w:p w14:paraId="5800FEDF" w14:textId="77777777" w:rsidR="00B904A5" w:rsidRDefault="00B904A5" w:rsidP="00D46E28">
      <w:pPr>
        <w:spacing w:line="480" w:lineRule="auto"/>
        <w:jc w:val="both"/>
        <w:rPr>
          <w:b/>
          <w:bCs/>
        </w:rPr>
      </w:pPr>
    </w:p>
    <w:p w14:paraId="5B91CE82" w14:textId="1510326D" w:rsidR="008D74D9" w:rsidRDefault="005C5EA0" w:rsidP="00D46E28">
      <w:pPr>
        <w:spacing w:line="480" w:lineRule="auto"/>
        <w:jc w:val="both"/>
        <w:rPr>
          <w:b/>
          <w:bCs/>
        </w:rPr>
      </w:pPr>
      <w:r w:rsidRPr="00862731">
        <w:rPr>
          <w:b/>
          <w:bCs/>
        </w:rPr>
        <w:t>Conclusion</w:t>
      </w:r>
      <w:r w:rsidR="004945DF" w:rsidRPr="008527BE">
        <w:rPr>
          <w:b/>
          <w:bCs/>
        </w:rPr>
        <w:t xml:space="preserve"> </w:t>
      </w:r>
    </w:p>
    <w:p w14:paraId="1DF6DB0B" w14:textId="50FF3257" w:rsidR="004945DF" w:rsidRDefault="00110F98" w:rsidP="00D46E28">
      <w:pPr>
        <w:spacing w:line="480" w:lineRule="auto"/>
        <w:jc w:val="both"/>
      </w:pPr>
      <w:r>
        <w:t>Understanding how</w:t>
      </w:r>
      <w:r w:rsidR="00477101">
        <w:t xml:space="preserve"> cnidarians integrate sensory information</w:t>
      </w:r>
      <w:r>
        <w:t xml:space="preserve"> from the environment</w:t>
      </w:r>
      <w:r w:rsidR="00B85695">
        <w:t xml:space="preserve"> </w:t>
      </w:r>
      <w:r>
        <w:t xml:space="preserve">is critical to understanding the </w:t>
      </w:r>
      <w:r w:rsidR="00B85695">
        <w:t>ecological processes</w:t>
      </w:r>
      <w:r>
        <w:t xml:space="preserve"> that dictate benthic community composition</w:t>
      </w:r>
      <w:r w:rsidR="00477101">
        <w:t xml:space="preserve">. </w:t>
      </w:r>
      <w:r>
        <w:t>At the same time, uncovering the genetic determinants of cnidarian sensory behavior can illuminate the deep evolutionary histories of the animal senses and provide clues on their early function</w:t>
      </w:r>
      <w:r w:rsidR="00495DAE">
        <w:t>s</w:t>
      </w:r>
      <w:r>
        <w:t>. W</w:t>
      </w:r>
      <w:r w:rsidR="00477101">
        <w:t xml:space="preserve">e </w:t>
      </w:r>
      <w:r>
        <w:t xml:space="preserve">show </w:t>
      </w:r>
      <w:r w:rsidR="00477101">
        <w:t xml:space="preserve">that </w:t>
      </w:r>
      <w:r w:rsidR="00495DAE">
        <w:t xml:space="preserve">brainless </w:t>
      </w:r>
      <w:r w:rsidR="00477101">
        <w:t xml:space="preserve">actinula larvae use multisensory integration </w:t>
      </w:r>
      <w:r w:rsidR="002640B9">
        <w:t xml:space="preserve">(MSI) </w:t>
      </w:r>
      <w:r w:rsidR="00477101">
        <w:t xml:space="preserve">during the larval settlement decision </w:t>
      </w:r>
      <w:r>
        <w:t xml:space="preserve">that incorporates </w:t>
      </w:r>
      <w:r w:rsidR="00EC3335">
        <w:t>information processing</w:t>
      </w:r>
      <w:r>
        <w:t xml:space="preserve"> from the light, chemical and mechanical senses</w:t>
      </w:r>
      <w:r w:rsidR="00477101">
        <w:t>.</w:t>
      </w:r>
      <w:r w:rsidR="00F5691C">
        <w:t xml:space="preserve"> </w:t>
      </w:r>
      <w:r w:rsidR="00495DAE">
        <w:t xml:space="preserve">MSI is usually portrayed as a process involving information flow between higher-level brain centers </w:t>
      </w:r>
      <w:r w:rsidR="00495DAE">
        <w:rPr>
          <w:rFonts w:eastAsia="Times New Roman" w:cstheme="minorHAnsi"/>
          <w:color w:val="1D1C1D"/>
        </w:rPr>
        <w:fldChar w:fldCharType="begin" w:fldLock="1"/>
      </w:r>
      <w:r w:rsidR="00B02F06">
        <w:rPr>
          <w:rFonts w:eastAsia="Times New Roman" w:cstheme="minorHAnsi"/>
          <w:color w:val="1D1C1D"/>
        </w:rPr>
        <w:instrText>ADDIN CSL_CITATION {"citationItems":[{"id":"ITEM-1","itemData":{"DOI":"10.1038/nrn3742","ISSN":"14710048","PMID":"25158358","abstract":"The ability to use cues from multiple senses in concert is a fundamental aspect of brain function. It maximizes the brain's use of the information available to it at any given moment and enhances the physiological salience of external events. Because each sense conveys a unique perspective of the external world, synthesizing information across senses affords computational benefits that cannot otherwise be achieved. Multisensory integration not only has substantial survival value but can also create unique experiences that emerge when signals from different sensory channels are bound together. However, neurons in a newborn's brain are not capable of multisensory integration, and studies in the midbrain have shown that the development of this process is not predetermined. Rather, its emergence and maturation critically depend on cross-modal experiences that alter the underlying neural circuit in such a way that optimizes multisensory integrative capabilities for the environment in which the animal will function.© 2014 Macmillan Publishers Limited. All rights reserved.","author":[{"dropping-particle":"","family":"Stein","given":"Barry E.","non-dropping-particle":"","parse-names":false,"suffix":""},{"dropping-particle":"","family":"Stanford","given":"Terrence R.","non-dropping-particle":"","parse-names":false,"suffix":""},{"dropping-particle":"","family":"Rowland","given":"Benjamin A.","non-dropping-particle":"","parse-names":false,"suffix":""}],"container-title":"Nature Reviews Neuroscience","id":"ITEM-1","issue":"8","issued":{"date-parts":[["2014"]]},"page":"520-535","title":"Development of multisensory integration from the perspective of the individual neuron","type":"article-journal","volume":"15"},"uris":["http://www.mendeley.com/documents/?uuid=952d6385-d326-4a12-9de5-450964854db9"]},{"id":"ITEM-2","itemData":{"DOI":"10.1007/s002210050553","ISSN":"00144819","PMID":"9835401","abstract":"The ability to integrate information from different sensory systems is a fundamental characteristic of the brain. Because different bits of information are derived from different sensory channels, their synthesis markedly enhances the detection and identification of external stimuli. The neural substrate for such 'multisensory' integration is provided by neurons that receive convergent input from two or more sensory modalities. Many such multisensory neurons are found in the superior colliculus (SC), a midbrain structure that plays a significant role in overt attentive and orientation behaviors. The various principles governing the integration of visual, auditory, and somatosensory inputs in SC neurons have been explored in several species. Thus far, the evidence suggests a remarkable conservation of integrative features during vertebrate evolution. One of the most robust of these principles is based on spatial relationships: a striking enhancement in activity is induced in a multisensory neuron when two different sensory stimuli (e.g., visual and auditory) are in spatial concordance, whereas a profound response depression can be induced when these cues are spatially discordant. The most extensive physiological observations have been made in cat, and in this species the same principles that have been shown to govern multisensory integration at the level of the individual SC neuron have also been shown to govern overt attentive and orientation responses to multisensory stimuli. Most surprising, however, is the critical role played by association (i.e. anterior ectosylvian) cortex in facilitating these midbrain processes. In the absence of the modulating corticotectal influences, multisensory SC neurons in cat are unable to integrate the different sensory cues converging upon them in an adult-like fashion, and are unable to mediate overt multisensory behaviors. This situation appears quite similar to that observed during early postnatal life. When multisensory SC neurons first appear, they are able to respond to multiple sensory inputs but are unable to synthesize these inputs to significantly enhance or degrade their responses. During ontogeny, in dividual multisensory neurons develop this capacity abruptly, but at very different ages, until the mature population condition is reached after several postnatal months. It appears likely that the abrupt onset of this capacity in any individual SC neuron reflects the maturation of inputs from anterior ectosylv…","author":[{"dropping-particle":"","family":"Stein","given":"Barry E.","non-dropping-particle":"","parse-names":false,"suffix":""}],"container-title":"Experimental Brain Research","id":"ITEM-2","issue":"1-2","issued":{"date-parts":[["1998"]]},"page":"124-135","title":"Neural mechanisms for synthesizing sensory information and producing adaptive behaviors","type":"article-journal","volume":"123"},"uris":["http://www.mendeley.com/documents/?uuid=02def8c9-57e8-4c65-abb2-b12d44e1adec"]},{"id":"ITEM-3","itemData":{"DOI":"10.1523/JNEUROSCI.4678-12.2013","ISSN":"02706474","PMID":"23616552","abstract":"The combined use of multisensory signals is often beneficial. Based on neuronal recordings in the superior colliculus of cats, three basic rules were formulated to describe the effectiveness of multisensory signals: the enhancement of neuronal responses to multisensory compared with unisensory signals is largest when signals occur at the same location (\"spatial rule\"), when signals are presented at the same time (\"temporal rule\"), and when signals are rather weak (\"principle of inverse effectiveness\"). These rules are also considered with respect to multisensory benefits as observed with behavioral measures, but do they capture these benefits best? To uncover the principles that rule benefits in multisensory behavior, we here investigated the classical redundant signal effect (RSE; i.e., the speedup of response times in multisensory compared with unisensory conditions) in humans. Based on theoretical considerations using probability summation, we derived two alternative principles to explain the effect. First, the \"principle of congruent effectiveness\" states that the benefit in multisensory behavior (here the speedup of response times) is largest when behavioral performance in corresponding unisensory conditions is similar. Second, the \"variability rule\" states that the benefit is largest when performance in corresponding unisensory conditions is unreliable.Wethen tested these predictions in two experiments, in which we manipulated the relative onset and the physical strength of distinct audiovisual signals. Our results, which are based on a systematic analysis of response time distributions, show that the RSE follows these principles very well, thereby providing compelling evidence in favor of probability summation as the underlying combination rule. © 2013 the authors.","author":[{"dropping-particle":"","family":"Otto","given":"Thomas U.","non-dropping-particle":"","parse-names":false,"suffix":""},{"dropping-particle":"","family":"Dassy","given":"Brice","non-dropping-particle":"","parse-names":false,"suffix":""},{"dropping-particle":"","family":"Mamassian","given":"Pascal","non-dropping-particle":"","parse-names":false,"suffix":""}],"container-title":"Journal of Neuroscience","id":"ITEM-3","issue":"17","issued":{"date-parts":[["2013"]]},"page":"7463-7474","title":"Principles of multisensory behavior","type":"article-journal","volume":"33"},"uris":["http://www.mendeley.com/documents/?uuid=1541d81b-fe4a-4f3f-a028-9a38aaf18c74"]},{"id":"ITEM-4","itemData":{"DOI":"10.1016/j.conb.2019.11.017","ISSN":"18736882","PMID":"31841944","abstract":"Spatial navigation is influenced by cues from nearly every sensory modality and thus provides an excellent model for understanding how different sensory streams are integrated to drive behavior. Here we review recent work on multisensory control of navigation in the model organism Drosophila melanogaster, which allows for detailed circuit dissection. We identify four modes of integration that have been described in the literature—suppression, gating, summation, and association—and describe regions of the larval and adult brain that have been implicated in sensory integration. Finally we discuss what circuit architectures might support these different forms of integration. We argue that Drosophila is an excellent model to discover these circuit and biophysical motifs","author":[{"dropping-particle":"","family":"Currier","given":"Timothy A.","non-dropping-particle":"","parse-names":false,"suffix":""},{"dropping-particle":"","family":"Nagel","given":"Katherine I.","non-dropping-particle":"","parse-names":false,"suffix":""}],"container-title":"Current Opinion in Neurobiology","id":"ITEM-4","issued":{"date-parts":[["2020"]]},"page":"10-16","publisher":"Elsevier Ltd","title":"Multisensory control of navigation in the fruit fly","type":"article-journal","volume":"64"},"uris":["http://www.mendeley.com/documents/?uuid=3071e3b1-2fdb-442b-b7ce-6f1f07a51dfd"]},{"id":"ITEM-5","itemData":{"DOI":"10.1016/j.conb.2017.01.005","ISSN":"18736882","PMID":"28273525","abstract":"Multisensory integration is a neural process by which signals from two or more distinct sensory channels are simultaneously processed to form a more coherent representation of the environment. Multisensory integration, especially when combined with a survey of internal states, provides selective advantages for animals navigating complex environments. Despite appreciation of the importance of multisensory integration in behavior, the underlying molecular and cellular mechanisms remain poorly understood. Recent work looking at how Caenorhabditis elegans makes multisensory decisions has yielded mechanistic insights into how a relatively simple and well-defined nervous system employs circuit motifs of defined features, synaptic signals and extrasynaptic neurotransmission, as well as neuromodulators in processing and integrating multiple sensory inputs to generate flexible and adaptive behavioral outputs.","author":[{"dropping-particle":"","family":"Ghosh","given":"D. Dipon","non-dropping-particle":"","parse-names":false,"suffix":""},{"dropping-particle":"","family":"Nitabach","given":"Michael N.","non-dropping-particle":"","parse-names":false,"suffix":""},{"dropping-particle":"","family":"Zhang","given":"Yun","non-dropping-particle":"","parse-names":false,"suffix":""},{"dropping-particle":"","family":"Harris","given":"Gareth","non-dropping-particle":"","parse-names":false,"suffix":""}],"container-title":"Current Opinion in Neurobiology","id":"ITEM-5","issued":{"date-parts":[["2017"]]},"page":"110-118","publisher":"Elsevier Ltd","title":"Multisensory integration in C. elegans","type":"article-journal","volume":"43"},"uris":["http://www.mendeley.com/documents/?uuid=0a94e10e-2840-4792-96f5-85e070cf9f2d"]}],"mendeley":{"formattedCitation":"(Currier &amp; Nagel, 2020; Ghosh et al., 2017; Otto et al., 2013; Barry E. Stein, 1998; Barry E. Stein et al., 2014)","plainTextFormattedCitation":"(Currier &amp; Nagel, 2020; Ghosh et al., 2017; Otto et al., 2013; Barry E. Stein, 1998; Barry E. Stein et al., 2014)","previouslyFormattedCitation":"(Stein 1998; Otto et al. 2013; Stein et al. 2014; Ghosh et al. 2017; Currier and Nagel 2020)"},"properties":{"noteIndex":0},"schema":"https://github.com/citation-style-language/schema/raw/master/csl-citation.json"}</w:instrText>
      </w:r>
      <w:r w:rsidR="00495DAE">
        <w:rPr>
          <w:rFonts w:eastAsia="Times New Roman" w:cstheme="minorHAnsi"/>
          <w:color w:val="1D1C1D"/>
        </w:rPr>
        <w:fldChar w:fldCharType="separate"/>
      </w:r>
      <w:r w:rsidR="00B02F06" w:rsidRPr="00B02F06">
        <w:rPr>
          <w:rFonts w:eastAsia="Times New Roman" w:cstheme="minorHAnsi"/>
          <w:noProof/>
          <w:color w:val="1D1C1D"/>
        </w:rPr>
        <w:t>(Currier &amp; Nagel, 2020; Ghosh et al., 2017; Otto et al., 2013; Barry E. Stein, 1998; Barry E. Stein et al., 2014)</w:t>
      </w:r>
      <w:r w:rsidR="00495DAE">
        <w:rPr>
          <w:rFonts w:eastAsia="Times New Roman" w:cstheme="minorHAnsi"/>
          <w:color w:val="1D1C1D"/>
        </w:rPr>
        <w:fldChar w:fldCharType="end"/>
      </w:r>
      <w:r w:rsidR="00495DAE">
        <w:rPr>
          <w:rFonts w:eastAsia="Times New Roman" w:cstheme="minorHAnsi"/>
          <w:color w:val="1D1C1D"/>
        </w:rPr>
        <w:t xml:space="preserve">, however, our results indicate that MSI </w:t>
      </w:r>
      <w:r w:rsidR="00F813D1">
        <w:rPr>
          <w:rFonts w:eastAsia="Times New Roman" w:cstheme="minorHAnsi"/>
          <w:color w:val="1D1C1D"/>
        </w:rPr>
        <w:t xml:space="preserve">may be facilitated </w:t>
      </w:r>
      <w:r w:rsidR="00F813D1">
        <w:rPr>
          <w:rFonts w:eastAsia="Times New Roman" w:cstheme="minorHAnsi"/>
          <w:color w:val="1D1C1D"/>
        </w:rPr>
        <w:lastRenderedPageBreak/>
        <w:t>by interactions between cells,</w:t>
      </w:r>
      <w:r w:rsidR="008D74D9">
        <w:rPr>
          <w:rFonts w:eastAsia="Times New Roman" w:cstheme="minorHAnsi"/>
          <w:color w:val="1D1C1D"/>
        </w:rPr>
        <w:t xml:space="preserve"> and </w:t>
      </w:r>
      <w:r w:rsidR="004F7ADA">
        <w:rPr>
          <w:rFonts w:eastAsia="Times New Roman" w:cstheme="minorHAnsi"/>
          <w:color w:val="1D1C1D"/>
        </w:rPr>
        <w:t>may have</w:t>
      </w:r>
      <w:r w:rsidR="008D74D9">
        <w:rPr>
          <w:rFonts w:eastAsia="Times New Roman" w:cstheme="minorHAnsi"/>
          <w:color w:val="1D1C1D"/>
        </w:rPr>
        <w:t xml:space="preserve"> been a prominent feature of the organismal biology of metazoans prior to the evolution of complex brains. </w:t>
      </w:r>
    </w:p>
    <w:p w14:paraId="258E6C7B" w14:textId="743274F7" w:rsidR="004945DF" w:rsidRDefault="004945DF" w:rsidP="00D46E28">
      <w:pPr>
        <w:spacing w:line="480" w:lineRule="auto"/>
        <w:rPr>
          <w:b/>
          <w:bCs/>
        </w:rPr>
      </w:pPr>
    </w:p>
    <w:p w14:paraId="4EBE2157" w14:textId="6158025F" w:rsidR="000F607E" w:rsidRDefault="000F607E" w:rsidP="00D46E28">
      <w:pPr>
        <w:spacing w:line="480" w:lineRule="auto"/>
        <w:rPr>
          <w:b/>
          <w:bCs/>
        </w:rPr>
      </w:pPr>
      <w:r>
        <w:rPr>
          <w:b/>
          <w:bCs/>
        </w:rPr>
        <w:t>Acknowledgments</w:t>
      </w:r>
    </w:p>
    <w:p w14:paraId="7FC1E259" w14:textId="106FC702" w:rsidR="000F607E" w:rsidRDefault="00304C3B" w:rsidP="00D46E28">
      <w:pPr>
        <w:spacing w:line="480" w:lineRule="auto"/>
      </w:pPr>
      <w:r w:rsidRPr="00304C3B">
        <w:t xml:space="preserve">Research reported in this publication was supported </w:t>
      </w:r>
      <w:r w:rsidR="00B02F06">
        <w:t>by</w:t>
      </w:r>
      <w:r w:rsidRPr="00304C3B">
        <w:t xml:space="preserve"> the University of New Hampshire's Center for Integrated Biomedical and Bioengineering Research (CIBBR)</w:t>
      </w:r>
      <w:r w:rsidR="00B02F06">
        <w:t xml:space="preserve">. </w:t>
      </w:r>
      <w:r w:rsidR="00F751F2" w:rsidRPr="00F751F2">
        <w:t xml:space="preserve">Partial funding was provided by the New Hampshire Agricultural Experiment Station. This work </w:t>
      </w:r>
      <w:r w:rsidR="00F751F2">
        <w:t>is/</w:t>
      </w:r>
      <w:r w:rsidR="00F751F2" w:rsidRPr="00F751F2">
        <w:t xml:space="preserve">was supported by the USDA National Institute of Food and Agriculture </w:t>
      </w:r>
      <w:r w:rsidR="00F751F2">
        <w:t>Hatch</w:t>
      </w:r>
      <w:r w:rsidR="00F751F2" w:rsidRPr="00F751F2">
        <w:t xml:space="preserve"> Project 1013436</w:t>
      </w:r>
      <w:r w:rsidR="00F751F2">
        <w:t xml:space="preserve"> </w:t>
      </w:r>
      <w:r w:rsidR="00F751F2" w:rsidRPr="00F751F2">
        <w:t>and the state of New Hampshire.</w:t>
      </w:r>
      <w:r w:rsidR="00011364">
        <w:t xml:space="preserve"> </w:t>
      </w:r>
    </w:p>
    <w:p w14:paraId="05F677AE" w14:textId="03A67F63" w:rsidR="000F607E" w:rsidRPr="00087B19" w:rsidRDefault="000F607E" w:rsidP="00D632C4">
      <w:pPr>
        <w:rPr>
          <w:b/>
          <w:bCs/>
        </w:rPr>
      </w:pPr>
    </w:p>
    <w:p w14:paraId="4BB328E6" w14:textId="7EC4432B" w:rsidR="004945DF" w:rsidRPr="005C6827" w:rsidRDefault="004945DF" w:rsidP="006820D0">
      <w:pPr>
        <w:rPr>
          <w:b/>
          <w:bCs/>
        </w:rPr>
      </w:pPr>
      <w:r w:rsidRPr="00B02F06">
        <w:rPr>
          <w:b/>
          <w:bCs/>
        </w:rPr>
        <w:t xml:space="preserve">References </w:t>
      </w:r>
      <w:r w:rsidR="00011364" w:rsidRPr="00B02F06">
        <w:rPr>
          <w:b/>
          <w:bCs/>
        </w:rPr>
        <w:t>- APA</w:t>
      </w:r>
    </w:p>
    <w:p w14:paraId="5EC64868" w14:textId="1D6D815A" w:rsidR="00B02F06" w:rsidRPr="00B02F06" w:rsidRDefault="004945DF" w:rsidP="00B02F06">
      <w:pPr>
        <w:widowControl w:val="0"/>
        <w:autoSpaceDE w:val="0"/>
        <w:autoSpaceDN w:val="0"/>
        <w:adjustRightInd w:val="0"/>
        <w:ind w:left="480" w:hanging="480"/>
        <w:rPr>
          <w:rFonts w:ascii="Calibri" w:hAnsi="Calibri" w:cs="Calibri"/>
          <w:noProof/>
        </w:rPr>
      </w:pPr>
      <w:r>
        <w:rPr>
          <w:b/>
          <w:bCs/>
        </w:rPr>
        <w:fldChar w:fldCharType="begin" w:fldLock="1"/>
      </w:r>
      <w:r>
        <w:rPr>
          <w:b/>
          <w:bCs/>
        </w:rPr>
        <w:instrText xml:space="preserve">ADDIN Mendeley Bibliography CSL_BIBLIOGRAPHY </w:instrText>
      </w:r>
      <w:r>
        <w:rPr>
          <w:b/>
          <w:bCs/>
        </w:rPr>
        <w:fldChar w:fldCharType="separate"/>
      </w:r>
      <w:r w:rsidR="00B02F06" w:rsidRPr="00B02F06">
        <w:rPr>
          <w:rFonts w:ascii="Calibri" w:hAnsi="Calibri" w:cs="Calibri"/>
          <w:noProof/>
        </w:rPr>
        <w:t xml:space="preserve">Alvarado, J. C., Vaughan, J. W., Stanford, T. R., &amp; Stein, B. E. (2007). Multisensory versus unisensory integration: Contrasting modes in the superior colliculus. </w:t>
      </w:r>
      <w:r w:rsidR="00B02F06" w:rsidRPr="00B02F06">
        <w:rPr>
          <w:rFonts w:ascii="Calibri" w:hAnsi="Calibri" w:cs="Calibri"/>
          <w:i/>
          <w:iCs/>
          <w:noProof/>
        </w:rPr>
        <w:t>Journal of Neurophysiology</w:t>
      </w:r>
      <w:r w:rsidR="00B02F06" w:rsidRPr="00B02F06">
        <w:rPr>
          <w:rFonts w:ascii="Calibri" w:hAnsi="Calibri" w:cs="Calibri"/>
          <w:noProof/>
        </w:rPr>
        <w:t xml:space="preserve">, </w:t>
      </w:r>
      <w:r w:rsidR="00B02F06" w:rsidRPr="00B02F06">
        <w:rPr>
          <w:rFonts w:ascii="Calibri" w:hAnsi="Calibri" w:cs="Calibri"/>
          <w:i/>
          <w:iCs/>
          <w:noProof/>
        </w:rPr>
        <w:t>97</w:t>
      </w:r>
      <w:r w:rsidR="00B02F06" w:rsidRPr="00B02F06">
        <w:rPr>
          <w:rFonts w:ascii="Calibri" w:hAnsi="Calibri" w:cs="Calibri"/>
          <w:noProof/>
        </w:rPr>
        <w:t>(5), 3193–3205. https://doi.org/10.1152/jn.00018.2007</w:t>
      </w:r>
    </w:p>
    <w:p w14:paraId="77D4A781"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Anderson, P. A. V., &amp; Bouchard, C. (2009). The regulation of cnidocyte discharge. </w:t>
      </w:r>
      <w:r w:rsidRPr="00B02F06">
        <w:rPr>
          <w:rFonts w:ascii="Calibri" w:hAnsi="Calibri" w:cs="Calibri"/>
          <w:i/>
          <w:iCs/>
          <w:noProof/>
        </w:rPr>
        <w:t>Toxicon</w:t>
      </w:r>
      <w:r w:rsidRPr="00B02F06">
        <w:rPr>
          <w:rFonts w:ascii="Calibri" w:hAnsi="Calibri" w:cs="Calibri"/>
          <w:noProof/>
        </w:rPr>
        <w:t xml:space="preserve">, </w:t>
      </w:r>
      <w:r w:rsidRPr="00B02F06">
        <w:rPr>
          <w:rFonts w:ascii="Calibri" w:hAnsi="Calibri" w:cs="Calibri"/>
          <w:i/>
          <w:iCs/>
          <w:noProof/>
        </w:rPr>
        <w:t>54</w:t>
      </w:r>
      <w:r w:rsidRPr="00B02F06">
        <w:rPr>
          <w:rFonts w:ascii="Calibri" w:hAnsi="Calibri" w:cs="Calibri"/>
          <w:noProof/>
        </w:rPr>
        <w:t>(8), 1046–1053. https://doi.org/10.1016/j.toxicon.2009.02.023</w:t>
      </w:r>
    </w:p>
    <w:p w14:paraId="342AE504" w14:textId="3872E6BF" w:rsid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Anderson, P. A. V, Thompson, L. F., Moneypenny, C. G., Anderson, P. A. V, Thompson, L. F., &amp; Moneypenny, C. G. (2004). Evidence for a Common Pattern of Peptidergic Innervation of Cnidocytes. </w:t>
      </w:r>
      <w:r w:rsidRPr="00B02F06">
        <w:rPr>
          <w:rFonts w:ascii="Calibri" w:hAnsi="Calibri" w:cs="Calibri"/>
          <w:i/>
          <w:iCs/>
          <w:noProof/>
        </w:rPr>
        <w:t>Biological Bulletin</w:t>
      </w:r>
      <w:r w:rsidRPr="00B02F06">
        <w:rPr>
          <w:rFonts w:ascii="Calibri" w:hAnsi="Calibri" w:cs="Calibri"/>
          <w:noProof/>
        </w:rPr>
        <w:t xml:space="preserve">, </w:t>
      </w:r>
      <w:r w:rsidRPr="00B02F06">
        <w:rPr>
          <w:rFonts w:ascii="Calibri" w:hAnsi="Calibri" w:cs="Calibri"/>
          <w:i/>
          <w:iCs/>
          <w:noProof/>
        </w:rPr>
        <w:t>207</w:t>
      </w:r>
      <w:r w:rsidRPr="00B02F06">
        <w:rPr>
          <w:rFonts w:ascii="Calibri" w:hAnsi="Calibri" w:cs="Calibri"/>
          <w:noProof/>
        </w:rPr>
        <w:t>(2), 141–146.</w:t>
      </w:r>
    </w:p>
    <w:p w14:paraId="2B0AF82B" w14:textId="5FA7DBF9" w:rsidR="00D40BEE" w:rsidRPr="00B02F06" w:rsidRDefault="00D40BEE" w:rsidP="00B02F06">
      <w:pPr>
        <w:widowControl w:val="0"/>
        <w:autoSpaceDE w:val="0"/>
        <w:autoSpaceDN w:val="0"/>
        <w:adjustRightInd w:val="0"/>
        <w:ind w:left="480" w:hanging="480"/>
        <w:rPr>
          <w:rFonts w:ascii="Calibri" w:hAnsi="Calibri" w:cs="Calibri"/>
          <w:noProof/>
        </w:rPr>
      </w:pPr>
      <w:r>
        <w:rPr>
          <w:rFonts w:ascii="Calibri" w:hAnsi="Calibri" w:cs="Calibri"/>
          <w:noProof/>
        </w:rPr>
        <w:t xml:space="preserve">[dataset] Birch and Plachetzki; 2023; Developmental Transcriptome Data of Ectopleura crocea; SRA; Accession </w:t>
      </w:r>
      <w:r w:rsidRPr="00D40BEE">
        <w:rPr>
          <w:rFonts w:ascii="Calibri" w:hAnsi="Calibri" w:cs="Calibri"/>
          <w:noProof/>
        </w:rPr>
        <w:t>PRJNA929505</w:t>
      </w:r>
    </w:p>
    <w:p w14:paraId="6CA0ACAF"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Chen, Y., McCarthy, D., Ritchie, M., Robinson, M., Smyth, G., &amp; Hall, E. (2020). edgeR: differential analysis of sequence read count data User’s Guide. </w:t>
      </w:r>
      <w:r w:rsidRPr="00B02F06">
        <w:rPr>
          <w:rFonts w:ascii="Calibri" w:hAnsi="Calibri" w:cs="Calibri"/>
          <w:i/>
          <w:iCs/>
          <w:noProof/>
        </w:rPr>
        <w:t>R Package</w:t>
      </w:r>
      <w:r w:rsidRPr="00B02F06">
        <w:rPr>
          <w:rFonts w:ascii="Calibri" w:hAnsi="Calibri" w:cs="Calibri"/>
          <w:noProof/>
        </w:rPr>
        <w:t>, (June), 1–121.</w:t>
      </w:r>
    </w:p>
    <w:p w14:paraId="6B0D946E"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Corcoll, N., Österlund, T., Sinclair, L., Eiler, A., Kristiansson, E., Backhaus, T., &amp; Martin Eriksson, K. (2017). Comparison of four DNA extraction methods for comprehensive assessment of 16S rRNA bacterial diversity in marine biofilms using high-throughput sequencing. </w:t>
      </w:r>
      <w:r w:rsidRPr="00B02F06">
        <w:rPr>
          <w:rFonts w:ascii="Calibri" w:hAnsi="Calibri" w:cs="Calibri"/>
          <w:i/>
          <w:iCs/>
          <w:noProof/>
        </w:rPr>
        <w:t>FEMS Microbiology Letters</w:t>
      </w:r>
      <w:r w:rsidRPr="00B02F06">
        <w:rPr>
          <w:rFonts w:ascii="Calibri" w:hAnsi="Calibri" w:cs="Calibri"/>
          <w:noProof/>
        </w:rPr>
        <w:t xml:space="preserve">, </w:t>
      </w:r>
      <w:r w:rsidRPr="00B02F06">
        <w:rPr>
          <w:rFonts w:ascii="Calibri" w:hAnsi="Calibri" w:cs="Calibri"/>
          <w:i/>
          <w:iCs/>
          <w:noProof/>
        </w:rPr>
        <w:t>364</w:t>
      </w:r>
      <w:r w:rsidRPr="00B02F06">
        <w:rPr>
          <w:rFonts w:ascii="Calibri" w:hAnsi="Calibri" w:cs="Calibri"/>
          <w:noProof/>
        </w:rPr>
        <w:t>(14), 1–9. https://doi.org/10.1093/femsle/fnx139</w:t>
      </w:r>
    </w:p>
    <w:p w14:paraId="03043EAB"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Currier, T. A., &amp; Nagel, K. I. (2020). Multisensory control of navigation in the fruit fly. </w:t>
      </w:r>
      <w:r w:rsidRPr="00B02F06">
        <w:rPr>
          <w:rFonts w:ascii="Calibri" w:hAnsi="Calibri" w:cs="Calibri"/>
          <w:i/>
          <w:iCs/>
          <w:noProof/>
        </w:rPr>
        <w:t>Current Opinion in Neurobiology</w:t>
      </w:r>
      <w:r w:rsidRPr="00B02F06">
        <w:rPr>
          <w:rFonts w:ascii="Calibri" w:hAnsi="Calibri" w:cs="Calibri"/>
          <w:noProof/>
        </w:rPr>
        <w:t xml:space="preserve">, </w:t>
      </w:r>
      <w:r w:rsidRPr="00B02F06">
        <w:rPr>
          <w:rFonts w:ascii="Calibri" w:hAnsi="Calibri" w:cs="Calibri"/>
          <w:i/>
          <w:iCs/>
          <w:noProof/>
        </w:rPr>
        <w:t>64</w:t>
      </w:r>
      <w:r w:rsidRPr="00B02F06">
        <w:rPr>
          <w:rFonts w:ascii="Calibri" w:hAnsi="Calibri" w:cs="Calibri"/>
          <w:noProof/>
        </w:rPr>
        <w:t>, 10–16. https://doi.org/10.1016/j.conb.2019.11.017</w:t>
      </w:r>
    </w:p>
    <w:p w14:paraId="54E4DF97"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Dexter, S. C., &amp; Chandrasekaran, P. (2000). Direct measurement of ph within marine biofilms on passive metals. </w:t>
      </w:r>
      <w:r w:rsidRPr="00B02F06">
        <w:rPr>
          <w:rFonts w:ascii="Calibri" w:hAnsi="Calibri" w:cs="Calibri"/>
          <w:i/>
          <w:iCs/>
          <w:noProof/>
        </w:rPr>
        <w:t>Biofouling</w:t>
      </w:r>
      <w:r w:rsidRPr="00B02F06">
        <w:rPr>
          <w:rFonts w:ascii="Calibri" w:hAnsi="Calibri" w:cs="Calibri"/>
          <w:noProof/>
        </w:rPr>
        <w:t xml:space="preserve">, </w:t>
      </w:r>
      <w:r w:rsidRPr="00B02F06">
        <w:rPr>
          <w:rFonts w:ascii="Calibri" w:hAnsi="Calibri" w:cs="Calibri"/>
          <w:i/>
          <w:iCs/>
          <w:noProof/>
        </w:rPr>
        <w:t>15</w:t>
      </w:r>
      <w:r w:rsidRPr="00B02F06">
        <w:rPr>
          <w:rFonts w:ascii="Calibri" w:hAnsi="Calibri" w:cs="Calibri"/>
          <w:noProof/>
        </w:rPr>
        <w:t>(4), 313–325.</w:t>
      </w:r>
    </w:p>
    <w:p w14:paraId="6B6289E8"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Dobretsov, S., &amp; Qian, P. Y. (2006). Facilitation and inhibition of larval attachment of the bryozoan Bugula neritina in association with mono-species and multi-species biofilms. </w:t>
      </w:r>
      <w:r w:rsidRPr="00B02F06">
        <w:rPr>
          <w:rFonts w:ascii="Calibri" w:hAnsi="Calibri" w:cs="Calibri"/>
          <w:i/>
          <w:iCs/>
          <w:noProof/>
        </w:rPr>
        <w:t>Journal of Experimental Marine Biology and Ecology</w:t>
      </w:r>
      <w:r w:rsidRPr="00B02F06">
        <w:rPr>
          <w:rFonts w:ascii="Calibri" w:hAnsi="Calibri" w:cs="Calibri"/>
          <w:noProof/>
        </w:rPr>
        <w:t xml:space="preserve">, </w:t>
      </w:r>
      <w:r w:rsidRPr="00B02F06">
        <w:rPr>
          <w:rFonts w:ascii="Calibri" w:hAnsi="Calibri" w:cs="Calibri"/>
          <w:i/>
          <w:iCs/>
          <w:noProof/>
        </w:rPr>
        <w:t>333</w:t>
      </w:r>
      <w:r w:rsidRPr="00B02F06">
        <w:rPr>
          <w:rFonts w:ascii="Calibri" w:hAnsi="Calibri" w:cs="Calibri"/>
          <w:noProof/>
        </w:rPr>
        <w:t>(2), 263–274. https://doi.org/10.1016/j.jembe.2006.01.019</w:t>
      </w:r>
    </w:p>
    <w:p w14:paraId="3E518942"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lastRenderedPageBreak/>
        <w:t>Dobretsov, S., &amp; Rittschof, D. (2020). Love at First Taste : Induction of Larval Settlement by Marine Microbes.</w:t>
      </w:r>
    </w:p>
    <w:p w14:paraId="590B8C1B"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Faimali, M., Garaventa, F., Terlizzi, A., Chiantore, M., &amp; Cattaneo-Vietti, R. (2004). The interplay of substrate nature and biofilm formation in regulating Balanus amphitrite Darwin, 1854 larval settlement. </w:t>
      </w:r>
      <w:r w:rsidRPr="00B02F06">
        <w:rPr>
          <w:rFonts w:ascii="Calibri" w:hAnsi="Calibri" w:cs="Calibri"/>
          <w:i/>
          <w:iCs/>
          <w:noProof/>
        </w:rPr>
        <w:t>Journal of Experimental Marine Biology and Ecology</w:t>
      </w:r>
      <w:r w:rsidRPr="00B02F06">
        <w:rPr>
          <w:rFonts w:ascii="Calibri" w:hAnsi="Calibri" w:cs="Calibri"/>
          <w:noProof/>
        </w:rPr>
        <w:t xml:space="preserve">, </w:t>
      </w:r>
      <w:r w:rsidRPr="00B02F06">
        <w:rPr>
          <w:rFonts w:ascii="Calibri" w:hAnsi="Calibri" w:cs="Calibri"/>
          <w:i/>
          <w:iCs/>
          <w:noProof/>
        </w:rPr>
        <w:t>306</w:t>
      </w:r>
      <w:r w:rsidRPr="00B02F06">
        <w:rPr>
          <w:rFonts w:ascii="Calibri" w:hAnsi="Calibri" w:cs="Calibri"/>
          <w:noProof/>
        </w:rPr>
        <w:t>(1), 37–50. https://doi.org/10.1016/j.jembe.2003.12.019</w:t>
      </w:r>
    </w:p>
    <w:p w14:paraId="2B0ACD90"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Fain, G. L. (2020). Taste. In </w:t>
      </w:r>
      <w:r w:rsidRPr="00B02F06">
        <w:rPr>
          <w:rFonts w:ascii="Calibri" w:hAnsi="Calibri" w:cs="Calibri"/>
          <w:i/>
          <w:iCs/>
          <w:noProof/>
        </w:rPr>
        <w:t>Sensory Transduction</w:t>
      </w:r>
      <w:r w:rsidRPr="00B02F06">
        <w:rPr>
          <w:rFonts w:ascii="Calibri" w:hAnsi="Calibri" w:cs="Calibri"/>
          <w:noProof/>
        </w:rPr>
        <w:t xml:space="preserve"> (2nd ed., pp. 159–177). Oxford University Press.</w:t>
      </w:r>
    </w:p>
    <w:p w14:paraId="587CDA6A"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Freckelton, M. L., Nedved, B. T., &amp; Hadfield, M. G. (2017). Induction of Invertebrate Larval Settlement; Different Bacteria, Different Mechanisms? </w:t>
      </w:r>
      <w:r w:rsidRPr="00B02F06">
        <w:rPr>
          <w:rFonts w:ascii="Calibri" w:hAnsi="Calibri" w:cs="Calibri"/>
          <w:i/>
          <w:iCs/>
          <w:noProof/>
        </w:rPr>
        <w:t>Scientific Reports</w:t>
      </w:r>
      <w:r w:rsidRPr="00B02F06">
        <w:rPr>
          <w:rFonts w:ascii="Calibri" w:hAnsi="Calibri" w:cs="Calibri"/>
          <w:noProof/>
        </w:rPr>
        <w:t xml:space="preserve">, </w:t>
      </w:r>
      <w:r w:rsidRPr="00B02F06">
        <w:rPr>
          <w:rFonts w:ascii="Calibri" w:hAnsi="Calibri" w:cs="Calibri"/>
          <w:i/>
          <w:iCs/>
          <w:noProof/>
        </w:rPr>
        <w:t>7</w:t>
      </w:r>
      <w:r w:rsidRPr="00B02F06">
        <w:rPr>
          <w:rFonts w:ascii="Calibri" w:hAnsi="Calibri" w:cs="Calibri"/>
          <w:noProof/>
        </w:rPr>
        <w:t>(January), 1–11. https://doi.org/10.1038/srep42557</w:t>
      </w:r>
    </w:p>
    <w:p w14:paraId="48D3EAD3"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Ghosh, D. D., Nitabach, M. N., Zhang, Y., &amp; Harris, G. (2017). Multisensory integration in C. elegans. </w:t>
      </w:r>
      <w:r w:rsidRPr="00B02F06">
        <w:rPr>
          <w:rFonts w:ascii="Calibri" w:hAnsi="Calibri" w:cs="Calibri"/>
          <w:i/>
          <w:iCs/>
          <w:noProof/>
        </w:rPr>
        <w:t>Current Opinion in Neurobiology</w:t>
      </w:r>
      <w:r w:rsidRPr="00B02F06">
        <w:rPr>
          <w:rFonts w:ascii="Calibri" w:hAnsi="Calibri" w:cs="Calibri"/>
          <w:noProof/>
        </w:rPr>
        <w:t xml:space="preserve">, </w:t>
      </w:r>
      <w:r w:rsidRPr="00B02F06">
        <w:rPr>
          <w:rFonts w:ascii="Calibri" w:hAnsi="Calibri" w:cs="Calibri"/>
          <w:i/>
          <w:iCs/>
          <w:noProof/>
        </w:rPr>
        <w:t>43</w:t>
      </w:r>
      <w:r w:rsidRPr="00B02F06">
        <w:rPr>
          <w:rFonts w:ascii="Calibri" w:hAnsi="Calibri" w:cs="Calibri"/>
          <w:noProof/>
        </w:rPr>
        <w:t>, 110–118. https://doi.org/10.1016/j.conb.2017.01.005</w:t>
      </w:r>
    </w:p>
    <w:p w14:paraId="04E48416"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Guertin, S., &amp; Kass-Simon, G. (2015). Extraocular spectral photosensitivity in the tentacles of Hydra vulgaris. </w:t>
      </w:r>
      <w:r w:rsidRPr="00B02F06">
        <w:rPr>
          <w:rFonts w:ascii="Calibri" w:hAnsi="Calibri" w:cs="Calibri"/>
          <w:i/>
          <w:iCs/>
          <w:noProof/>
        </w:rPr>
        <w:t>Comparative Biochemistry and Physiology -Part A : Molecular and Integrative Physiology</w:t>
      </w:r>
      <w:r w:rsidRPr="00B02F06">
        <w:rPr>
          <w:rFonts w:ascii="Calibri" w:hAnsi="Calibri" w:cs="Calibri"/>
          <w:noProof/>
        </w:rPr>
        <w:t xml:space="preserve">, </w:t>
      </w:r>
      <w:r w:rsidRPr="00B02F06">
        <w:rPr>
          <w:rFonts w:ascii="Calibri" w:hAnsi="Calibri" w:cs="Calibri"/>
          <w:i/>
          <w:iCs/>
          <w:noProof/>
        </w:rPr>
        <w:t>184</w:t>
      </w:r>
      <w:r w:rsidRPr="00B02F06">
        <w:rPr>
          <w:rFonts w:ascii="Calibri" w:hAnsi="Calibri" w:cs="Calibri"/>
          <w:noProof/>
        </w:rPr>
        <w:t>, 163–170. https://doi.org/10.1016/j.cbpa.2015.02.016</w:t>
      </w:r>
    </w:p>
    <w:p w14:paraId="4DABF4E4"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Hadfield, M. G. (2011). Biofilms and Marine Invertebrate Larvae: What Bacteria Produce That Larvae Use to Choose Settlement Sites. </w:t>
      </w:r>
      <w:r w:rsidRPr="00B02F06">
        <w:rPr>
          <w:rFonts w:ascii="Calibri" w:hAnsi="Calibri" w:cs="Calibri"/>
          <w:i/>
          <w:iCs/>
          <w:noProof/>
        </w:rPr>
        <w:t>Annual Review of Marine Science</w:t>
      </w:r>
      <w:r w:rsidRPr="00B02F06">
        <w:rPr>
          <w:rFonts w:ascii="Calibri" w:hAnsi="Calibri" w:cs="Calibri"/>
          <w:noProof/>
        </w:rPr>
        <w:t xml:space="preserve">, </w:t>
      </w:r>
      <w:r w:rsidRPr="00B02F06">
        <w:rPr>
          <w:rFonts w:ascii="Calibri" w:hAnsi="Calibri" w:cs="Calibri"/>
          <w:i/>
          <w:iCs/>
          <w:noProof/>
        </w:rPr>
        <w:t>3</w:t>
      </w:r>
      <w:r w:rsidRPr="00B02F06">
        <w:rPr>
          <w:rFonts w:ascii="Calibri" w:hAnsi="Calibri" w:cs="Calibri"/>
          <w:noProof/>
        </w:rPr>
        <w:t>(1), 453–470. https://doi.org/10.1146/annurev-marine-120709-142753</w:t>
      </w:r>
    </w:p>
    <w:p w14:paraId="58DEB1CF"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Hadfield, M., &amp; Paul, V. (2001). </w:t>
      </w:r>
      <w:r w:rsidRPr="00B02F06">
        <w:rPr>
          <w:rFonts w:ascii="Calibri" w:hAnsi="Calibri" w:cs="Calibri"/>
          <w:i/>
          <w:iCs/>
          <w:noProof/>
        </w:rPr>
        <w:t>Natural Chemical Cues for Settlement and Metamorphosis of Marine-Invertebrate Larvae</w:t>
      </w:r>
      <w:r w:rsidRPr="00B02F06">
        <w:rPr>
          <w:rFonts w:ascii="Calibri" w:hAnsi="Calibri" w:cs="Calibri"/>
          <w:noProof/>
        </w:rPr>
        <w:t>. https://doi.org/10.1201/9781420036602.ch13</w:t>
      </w:r>
    </w:p>
    <w:p w14:paraId="72582A03"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Harder, T., Lau, S. C. K., Dahms, H. U., &amp; Qian, P. Y. (2002). Isolation of bacterial metabolites as natural inducers for larval settlement in the marine polychaete Hydroides elegans (HASWELL). </w:t>
      </w:r>
      <w:r w:rsidRPr="00B02F06">
        <w:rPr>
          <w:rFonts w:ascii="Calibri" w:hAnsi="Calibri" w:cs="Calibri"/>
          <w:i/>
          <w:iCs/>
          <w:noProof/>
        </w:rPr>
        <w:t>Journal of Chemical Ecology</w:t>
      </w:r>
      <w:r w:rsidRPr="00B02F06">
        <w:rPr>
          <w:rFonts w:ascii="Calibri" w:hAnsi="Calibri" w:cs="Calibri"/>
          <w:noProof/>
        </w:rPr>
        <w:t xml:space="preserve">, </w:t>
      </w:r>
      <w:r w:rsidRPr="00B02F06">
        <w:rPr>
          <w:rFonts w:ascii="Calibri" w:hAnsi="Calibri" w:cs="Calibri"/>
          <w:i/>
          <w:iCs/>
          <w:noProof/>
        </w:rPr>
        <w:t>28</w:t>
      </w:r>
      <w:r w:rsidRPr="00B02F06">
        <w:rPr>
          <w:rFonts w:ascii="Calibri" w:hAnsi="Calibri" w:cs="Calibri"/>
          <w:noProof/>
        </w:rPr>
        <w:t>(10), 2029–2043. https://doi.org/10.1023/A:1020702028715</w:t>
      </w:r>
    </w:p>
    <w:p w14:paraId="3B50B0CC"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Hobmayer, E., Holstein, T. W., &amp; David, C. N. (1990). Tentacle morphogenesis in hydra. II. Formation of a complex between a sensory nerve cell and a battery cell. </w:t>
      </w:r>
      <w:r w:rsidRPr="00B02F06">
        <w:rPr>
          <w:rFonts w:ascii="Calibri" w:hAnsi="Calibri" w:cs="Calibri"/>
          <w:i/>
          <w:iCs/>
          <w:noProof/>
        </w:rPr>
        <w:t>Development</w:t>
      </w:r>
      <w:r w:rsidRPr="00B02F06">
        <w:rPr>
          <w:rFonts w:ascii="Calibri" w:hAnsi="Calibri" w:cs="Calibri"/>
          <w:noProof/>
        </w:rPr>
        <w:t xml:space="preserve">, </w:t>
      </w:r>
      <w:r w:rsidRPr="00B02F06">
        <w:rPr>
          <w:rFonts w:ascii="Calibri" w:hAnsi="Calibri" w:cs="Calibri"/>
          <w:i/>
          <w:iCs/>
          <w:noProof/>
        </w:rPr>
        <w:t>109</w:t>
      </w:r>
      <w:r w:rsidRPr="00B02F06">
        <w:rPr>
          <w:rFonts w:ascii="Calibri" w:hAnsi="Calibri" w:cs="Calibri"/>
          <w:noProof/>
        </w:rPr>
        <w:t>(4), 897–904. https://doi.org/10.1242/dev.109.4.897</w:t>
      </w:r>
    </w:p>
    <w:p w14:paraId="219B57C1"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Hodin, J., Ferner, M., Heyland, A., &amp; Gaylord, B. (2018). I feel that! Fluid dynamics and sensory aspects of larval settlement across scales. In </w:t>
      </w:r>
      <w:r w:rsidRPr="00B02F06">
        <w:rPr>
          <w:rFonts w:ascii="Calibri" w:hAnsi="Calibri" w:cs="Calibri"/>
          <w:i/>
          <w:iCs/>
          <w:noProof/>
        </w:rPr>
        <w:t>Evolutionary Ecology of Marine Invertebrate Larvae</w:t>
      </w:r>
      <w:r w:rsidRPr="00B02F06">
        <w:rPr>
          <w:rFonts w:ascii="Calibri" w:hAnsi="Calibri" w:cs="Calibri"/>
          <w:noProof/>
        </w:rPr>
        <w:t xml:space="preserve"> (pp. 190–207).</w:t>
      </w:r>
    </w:p>
    <w:p w14:paraId="5F825231"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Holst, S., &amp; Jarms, G. (2007). Substrate choice and settlement preferences of planula larvae of five Scyphozoa (Cnidaria) from German Bight, North Sea. </w:t>
      </w:r>
      <w:r w:rsidRPr="00B02F06">
        <w:rPr>
          <w:rFonts w:ascii="Calibri" w:hAnsi="Calibri" w:cs="Calibri"/>
          <w:i/>
          <w:iCs/>
          <w:noProof/>
        </w:rPr>
        <w:t>Marine Biology</w:t>
      </w:r>
      <w:r w:rsidRPr="00B02F06">
        <w:rPr>
          <w:rFonts w:ascii="Calibri" w:hAnsi="Calibri" w:cs="Calibri"/>
          <w:noProof/>
        </w:rPr>
        <w:t xml:space="preserve">, </w:t>
      </w:r>
      <w:r w:rsidRPr="00B02F06">
        <w:rPr>
          <w:rFonts w:ascii="Calibri" w:hAnsi="Calibri" w:cs="Calibri"/>
          <w:i/>
          <w:iCs/>
          <w:noProof/>
        </w:rPr>
        <w:t>151</w:t>
      </w:r>
      <w:r w:rsidRPr="00B02F06">
        <w:rPr>
          <w:rFonts w:ascii="Calibri" w:hAnsi="Calibri" w:cs="Calibri"/>
          <w:noProof/>
        </w:rPr>
        <w:t>(3), 863–871. https://doi.org/10.1007/s00227-006-0530-y</w:t>
      </w:r>
    </w:p>
    <w:p w14:paraId="2597FBCB"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Huang, S., &amp; Hadfield, M. G. (2003). Composition and density of bacterial biofilms determine larval settlement of the polychaete Hydroides elegans. </w:t>
      </w:r>
      <w:r w:rsidRPr="00B02F06">
        <w:rPr>
          <w:rFonts w:ascii="Calibri" w:hAnsi="Calibri" w:cs="Calibri"/>
          <w:i/>
          <w:iCs/>
          <w:noProof/>
        </w:rPr>
        <w:t>Marine Ecology Progress Series</w:t>
      </w:r>
      <w:r w:rsidRPr="00B02F06">
        <w:rPr>
          <w:rFonts w:ascii="Calibri" w:hAnsi="Calibri" w:cs="Calibri"/>
          <w:noProof/>
        </w:rPr>
        <w:t xml:space="preserve">, </w:t>
      </w:r>
      <w:r w:rsidRPr="00B02F06">
        <w:rPr>
          <w:rFonts w:ascii="Calibri" w:hAnsi="Calibri" w:cs="Calibri"/>
          <w:i/>
          <w:iCs/>
          <w:noProof/>
        </w:rPr>
        <w:t>260</w:t>
      </w:r>
      <w:r w:rsidRPr="00B02F06">
        <w:rPr>
          <w:rFonts w:ascii="Calibri" w:hAnsi="Calibri" w:cs="Calibri"/>
          <w:noProof/>
        </w:rPr>
        <w:t>, 161–172. https://doi.org/10.3354/meps260161</w:t>
      </w:r>
    </w:p>
    <w:p w14:paraId="52A353FE"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Huang, Y. L., Dobretsov, S., Xiong, H., &amp; Qian, P. Y. (2007). Effect of biofilm formation by Pseudoalteromonas spongiae on induction of larval settlement of the polychaete Hydroides elegans. </w:t>
      </w:r>
      <w:r w:rsidRPr="00B02F06">
        <w:rPr>
          <w:rFonts w:ascii="Calibri" w:hAnsi="Calibri" w:cs="Calibri"/>
          <w:i/>
          <w:iCs/>
          <w:noProof/>
        </w:rPr>
        <w:t>Applied and Environmental Microbiology</w:t>
      </w:r>
      <w:r w:rsidRPr="00B02F06">
        <w:rPr>
          <w:rFonts w:ascii="Calibri" w:hAnsi="Calibri" w:cs="Calibri"/>
          <w:noProof/>
        </w:rPr>
        <w:t xml:space="preserve">, </w:t>
      </w:r>
      <w:r w:rsidRPr="00B02F06">
        <w:rPr>
          <w:rFonts w:ascii="Calibri" w:hAnsi="Calibri" w:cs="Calibri"/>
          <w:i/>
          <w:iCs/>
          <w:noProof/>
        </w:rPr>
        <w:t>73</w:t>
      </w:r>
      <w:r w:rsidRPr="00B02F06">
        <w:rPr>
          <w:rFonts w:ascii="Calibri" w:hAnsi="Calibri" w:cs="Calibri"/>
          <w:noProof/>
        </w:rPr>
        <w:t>(19), 6284–6288. https://doi.org/10.1128/AEM.00578-07</w:t>
      </w:r>
    </w:p>
    <w:p w14:paraId="5EDA086B"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Ishimaru, Y., Inada, H., Kubota, M., Zhuang, H., Tominaga, M., &amp; Matsunami, H. (2006). Transient receptor potential family members PKD1L3 and PKD2L1 form a candidate sour </w:t>
      </w:r>
      <w:r w:rsidRPr="00B02F06">
        <w:rPr>
          <w:rFonts w:ascii="Calibri" w:hAnsi="Calibri" w:cs="Calibri"/>
          <w:noProof/>
        </w:rPr>
        <w:lastRenderedPageBreak/>
        <w:t xml:space="preserve">taste receptor. </w:t>
      </w:r>
      <w:r w:rsidRPr="00B02F06">
        <w:rPr>
          <w:rFonts w:ascii="Calibri" w:hAnsi="Calibri" w:cs="Calibri"/>
          <w:i/>
          <w:iCs/>
          <w:noProof/>
        </w:rPr>
        <w:t>Proceedings of the National Academy of Sciences of the United States of America</w:t>
      </w:r>
      <w:r w:rsidRPr="00B02F06">
        <w:rPr>
          <w:rFonts w:ascii="Calibri" w:hAnsi="Calibri" w:cs="Calibri"/>
          <w:noProof/>
        </w:rPr>
        <w:t xml:space="preserve">, </w:t>
      </w:r>
      <w:r w:rsidRPr="00B02F06">
        <w:rPr>
          <w:rFonts w:ascii="Calibri" w:hAnsi="Calibri" w:cs="Calibri"/>
          <w:i/>
          <w:iCs/>
          <w:noProof/>
        </w:rPr>
        <w:t>103</w:t>
      </w:r>
      <w:r w:rsidRPr="00B02F06">
        <w:rPr>
          <w:rFonts w:ascii="Calibri" w:hAnsi="Calibri" w:cs="Calibri"/>
          <w:noProof/>
        </w:rPr>
        <w:t>(33), 12569–12574. https://doi.org/10.1073/pnas.0602702103</w:t>
      </w:r>
    </w:p>
    <w:p w14:paraId="6D81E635"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Kawaii, S., Yamashita, K., Nakai, N., &amp; Fusetani, N. (1997). Intracellular calcium transients during nematocyst discharge in actinulae of the hydroid, tubularia mesembryanthemum. </w:t>
      </w:r>
      <w:r w:rsidRPr="00B02F06">
        <w:rPr>
          <w:rFonts w:ascii="Calibri" w:hAnsi="Calibri" w:cs="Calibri"/>
          <w:i/>
          <w:iCs/>
          <w:noProof/>
        </w:rPr>
        <w:t>Journal of Experimental Zoology</w:t>
      </w:r>
      <w:r w:rsidRPr="00B02F06">
        <w:rPr>
          <w:rFonts w:ascii="Calibri" w:hAnsi="Calibri" w:cs="Calibri"/>
          <w:noProof/>
        </w:rPr>
        <w:t xml:space="preserve">, </w:t>
      </w:r>
      <w:r w:rsidRPr="00B02F06">
        <w:rPr>
          <w:rFonts w:ascii="Calibri" w:hAnsi="Calibri" w:cs="Calibri"/>
          <w:i/>
          <w:iCs/>
          <w:noProof/>
        </w:rPr>
        <w:t>278</w:t>
      </w:r>
      <w:r w:rsidRPr="00B02F06">
        <w:rPr>
          <w:rFonts w:ascii="Calibri" w:hAnsi="Calibri" w:cs="Calibri"/>
          <w:noProof/>
        </w:rPr>
        <w:t>(5), 299–307. https://doi.org/10.1002/(SICI)1097-010X(19970801)278:5&lt;299::AID-JEZ4&gt;3.0.CO;2-K</w:t>
      </w:r>
    </w:p>
    <w:p w14:paraId="2B696A54"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Kingsford, M. J., Leis, J. M., Shanks, A., Lindeman, K. C., Morgan, S. G., &amp; Pineda, J. (2002). Sensory environments, larval abilities and local self-recruitment. </w:t>
      </w:r>
      <w:r w:rsidRPr="00B02F06">
        <w:rPr>
          <w:rFonts w:ascii="Calibri" w:hAnsi="Calibri" w:cs="Calibri"/>
          <w:i/>
          <w:iCs/>
          <w:noProof/>
        </w:rPr>
        <w:t>Bulletin of Marine Science</w:t>
      </w:r>
      <w:r w:rsidRPr="00B02F06">
        <w:rPr>
          <w:rFonts w:ascii="Calibri" w:hAnsi="Calibri" w:cs="Calibri"/>
          <w:noProof/>
        </w:rPr>
        <w:t xml:space="preserve">, </w:t>
      </w:r>
      <w:r w:rsidRPr="00B02F06">
        <w:rPr>
          <w:rFonts w:ascii="Calibri" w:hAnsi="Calibri" w:cs="Calibri"/>
          <w:i/>
          <w:iCs/>
          <w:noProof/>
        </w:rPr>
        <w:t>70</w:t>
      </w:r>
      <w:r w:rsidRPr="00B02F06">
        <w:rPr>
          <w:rFonts w:ascii="Calibri" w:hAnsi="Calibri" w:cs="Calibri"/>
          <w:noProof/>
        </w:rPr>
        <w:t>(1 SUPPL.), 309–340.</w:t>
      </w:r>
    </w:p>
    <w:p w14:paraId="0620E1B9"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Lau, S. C. K., Mak, K. K. W., Chen, F., &amp; Qian, P. Y. (2002). Bioactivity of bacterial strains isolated from marine biofilms in Hong Kong waters for the induction of larval settlement in the marine polychaete Hydroides elegans. </w:t>
      </w:r>
      <w:r w:rsidRPr="00B02F06">
        <w:rPr>
          <w:rFonts w:ascii="Calibri" w:hAnsi="Calibri" w:cs="Calibri"/>
          <w:i/>
          <w:iCs/>
          <w:noProof/>
        </w:rPr>
        <w:t>Marine Ecology Progress Series</w:t>
      </w:r>
      <w:r w:rsidRPr="00B02F06">
        <w:rPr>
          <w:rFonts w:ascii="Calibri" w:hAnsi="Calibri" w:cs="Calibri"/>
          <w:noProof/>
        </w:rPr>
        <w:t xml:space="preserve">, </w:t>
      </w:r>
      <w:r w:rsidRPr="00B02F06">
        <w:rPr>
          <w:rFonts w:ascii="Calibri" w:hAnsi="Calibri" w:cs="Calibri"/>
          <w:i/>
          <w:iCs/>
          <w:noProof/>
        </w:rPr>
        <w:t>226</w:t>
      </w:r>
      <w:r w:rsidRPr="00B02F06">
        <w:rPr>
          <w:rFonts w:ascii="Calibri" w:hAnsi="Calibri" w:cs="Calibri"/>
          <w:noProof/>
        </w:rPr>
        <w:t>, 301–310. https://doi.org/10.3354/meps226301</w:t>
      </w:r>
    </w:p>
    <w:p w14:paraId="36803B71"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Lau, S. C. K., Thiyagarajan, V., Cheung, S. C. K., &amp; Qian, P. Y. (2005). Roles of bacterial community composition in biofilms as a mediator for larval settlement of three marine invertebrates. </w:t>
      </w:r>
      <w:r w:rsidRPr="00B02F06">
        <w:rPr>
          <w:rFonts w:ascii="Calibri" w:hAnsi="Calibri" w:cs="Calibri"/>
          <w:i/>
          <w:iCs/>
          <w:noProof/>
        </w:rPr>
        <w:t>Aquatic Microbial Ecology</w:t>
      </w:r>
      <w:r w:rsidRPr="00B02F06">
        <w:rPr>
          <w:rFonts w:ascii="Calibri" w:hAnsi="Calibri" w:cs="Calibri"/>
          <w:noProof/>
        </w:rPr>
        <w:t xml:space="preserve">, </w:t>
      </w:r>
      <w:r w:rsidRPr="00B02F06">
        <w:rPr>
          <w:rFonts w:ascii="Calibri" w:hAnsi="Calibri" w:cs="Calibri"/>
          <w:i/>
          <w:iCs/>
          <w:noProof/>
        </w:rPr>
        <w:t>38</w:t>
      </w:r>
      <w:r w:rsidRPr="00B02F06">
        <w:rPr>
          <w:rFonts w:ascii="Calibri" w:hAnsi="Calibri" w:cs="Calibri"/>
          <w:noProof/>
        </w:rPr>
        <w:t>(1), 41–51. https://doi.org/10.3354/ame038041</w:t>
      </w:r>
    </w:p>
    <w:p w14:paraId="70753198"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Lee, J. W., Nam, J. H., Kim, Y. H., Lee, K. H., &amp; Lee, D. H. (2008). Bacterial communities in the initial stage of marine biofilm formation on artificial surfaces. </w:t>
      </w:r>
      <w:r w:rsidRPr="00B02F06">
        <w:rPr>
          <w:rFonts w:ascii="Calibri" w:hAnsi="Calibri" w:cs="Calibri"/>
          <w:i/>
          <w:iCs/>
          <w:noProof/>
        </w:rPr>
        <w:t>Journal of Microbiology</w:t>
      </w:r>
      <w:r w:rsidRPr="00B02F06">
        <w:rPr>
          <w:rFonts w:ascii="Calibri" w:hAnsi="Calibri" w:cs="Calibri"/>
          <w:noProof/>
        </w:rPr>
        <w:t xml:space="preserve">, </w:t>
      </w:r>
      <w:r w:rsidRPr="00B02F06">
        <w:rPr>
          <w:rFonts w:ascii="Calibri" w:hAnsi="Calibri" w:cs="Calibri"/>
          <w:i/>
          <w:iCs/>
          <w:noProof/>
        </w:rPr>
        <w:t>46</w:t>
      </w:r>
      <w:r w:rsidRPr="00B02F06">
        <w:rPr>
          <w:rFonts w:ascii="Calibri" w:hAnsi="Calibri" w:cs="Calibri"/>
          <w:noProof/>
        </w:rPr>
        <w:t>(2), 174–182. https://doi.org/10.1007/s12275-008-0032-3</w:t>
      </w:r>
    </w:p>
    <w:p w14:paraId="5AFC825D"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Lee, O. O., Chung, H. C., Yang, J., Wang, Y., Dash, S., Wang, H., &amp; Qian, P. Y. (2014). Molecular Techniques Revealed Highly Diverse Microbial Communities in Natural Marine Biofilms on Polystyrene Dishes for Invertebrate Larval Settlement. </w:t>
      </w:r>
      <w:r w:rsidRPr="00B02F06">
        <w:rPr>
          <w:rFonts w:ascii="Calibri" w:hAnsi="Calibri" w:cs="Calibri"/>
          <w:i/>
          <w:iCs/>
          <w:noProof/>
        </w:rPr>
        <w:t>Microbial Ecology</w:t>
      </w:r>
      <w:r w:rsidRPr="00B02F06">
        <w:rPr>
          <w:rFonts w:ascii="Calibri" w:hAnsi="Calibri" w:cs="Calibri"/>
          <w:noProof/>
        </w:rPr>
        <w:t xml:space="preserve">, </w:t>
      </w:r>
      <w:r w:rsidRPr="00B02F06">
        <w:rPr>
          <w:rFonts w:ascii="Calibri" w:hAnsi="Calibri" w:cs="Calibri"/>
          <w:i/>
          <w:iCs/>
          <w:noProof/>
        </w:rPr>
        <w:t>68</w:t>
      </w:r>
      <w:r w:rsidRPr="00B02F06">
        <w:rPr>
          <w:rFonts w:ascii="Calibri" w:hAnsi="Calibri" w:cs="Calibri"/>
          <w:noProof/>
        </w:rPr>
        <w:t>(1), 81–93. https://doi.org/10.1007/s00248-013-0348-3</w:t>
      </w:r>
    </w:p>
    <w:p w14:paraId="2422043A"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Liberzon, A., Birger, C., Thorvaldsdóttir, H., Ghandi, M., Mesirov, J. P., &amp; Tamayo, P. (2015). The Molecular Signatures Database Hallmark Gene Set Collection. </w:t>
      </w:r>
      <w:r w:rsidRPr="00B02F06">
        <w:rPr>
          <w:rFonts w:ascii="Calibri" w:hAnsi="Calibri" w:cs="Calibri"/>
          <w:i/>
          <w:iCs/>
          <w:noProof/>
        </w:rPr>
        <w:t>Cell Systems</w:t>
      </w:r>
      <w:r w:rsidRPr="00B02F06">
        <w:rPr>
          <w:rFonts w:ascii="Calibri" w:hAnsi="Calibri" w:cs="Calibri"/>
          <w:noProof/>
        </w:rPr>
        <w:t xml:space="preserve">, </w:t>
      </w:r>
      <w:r w:rsidRPr="00B02F06">
        <w:rPr>
          <w:rFonts w:ascii="Calibri" w:hAnsi="Calibri" w:cs="Calibri"/>
          <w:i/>
          <w:iCs/>
          <w:noProof/>
        </w:rPr>
        <w:t>1</w:t>
      </w:r>
      <w:r w:rsidRPr="00B02F06">
        <w:rPr>
          <w:rFonts w:ascii="Calibri" w:hAnsi="Calibri" w:cs="Calibri"/>
          <w:noProof/>
        </w:rPr>
        <w:t>(6), 417–425. https://doi.org/10.1016/j.cels.2015.12.004</w:t>
      </w:r>
    </w:p>
    <w:p w14:paraId="4808E1C3"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Liberzon, A., Subramanian, A., Pinchback, R., Thorvaldsdóttir, H., Tamayo, P., &amp; Mesirov, J. P. (2011). Molecular signatures database (MSigDB) 3.0. </w:t>
      </w:r>
      <w:r w:rsidRPr="00B02F06">
        <w:rPr>
          <w:rFonts w:ascii="Calibri" w:hAnsi="Calibri" w:cs="Calibri"/>
          <w:i/>
          <w:iCs/>
          <w:noProof/>
        </w:rPr>
        <w:t>Bioinformatics</w:t>
      </w:r>
      <w:r w:rsidRPr="00B02F06">
        <w:rPr>
          <w:rFonts w:ascii="Calibri" w:hAnsi="Calibri" w:cs="Calibri"/>
          <w:noProof/>
        </w:rPr>
        <w:t xml:space="preserve">, </w:t>
      </w:r>
      <w:r w:rsidRPr="00B02F06">
        <w:rPr>
          <w:rFonts w:ascii="Calibri" w:hAnsi="Calibri" w:cs="Calibri"/>
          <w:i/>
          <w:iCs/>
          <w:noProof/>
        </w:rPr>
        <w:t>27</w:t>
      </w:r>
      <w:r w:rsidRPr="00B02F06">
        <w:rPr>
          <w:rFonts w:ascii="Calibri" w:hAnsi="Calibri" w:cs="Calibri"/>
          <w:noProof/>
        </w:rPr>
        <w:t>(12), 1739–1740. https://doi.org/10.1093/bioinformatics/btr260</w:t>
      </w:r>
    </w:p>
    <w:p w14:paraId="17C9D4A0"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Mackie, G. O. (1966). Growth of the hydroid Tubularia in culture. In </w:t>
      </w:r>
      <w:r w:rsidRPr="00B02F06">
        <w:rPr>
          <w:rFonts w:ascii="Calibri" w:hAnsi="Calibri" w:cs="Calibri"/>
          <w:i/>
          <w:iCs/>
          <w:noProof/>
        </w:rPr>
        <w:t>The Cnidaria and their Evolution</w:t>
      </w:r>
      <w:r w:rsidRPr="00B02F06">
        <w:rPr>
          <w:rFonts w:ascii="Calibri" w:hAnsi="Calibri" w:cs="Calibri"/>
          <w:noProof/>
        </w:rPr>
        <w:t xml:space="preserve"> (pp. 397–412).</w:t>
      </w:r>
    </w:p>
    <w:p w14:paraId="34EECF59"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MacManes, M. D. (2018). The Oyster River Protocol: a multi-assembler and kmer approach for de novo transcriptome assembly. </w:t>
      </w:r>
      <w:r w:rsidRPr="00B02F06">
        <w:rPr>
          <w:rFonts w:ascii="Calibri" w:hAnsi="Calibri" w:cs="Calibri"/>
          <w:i/>
          <w:iCs/>
          <w:noProof/>
        </w:rPr>
        <w:t>PeerJ</w:t>
      </w:r>
      <w:r w:rsidRPr="00B02F06">
        <w:rPr>
          <w:rFonts w:ascii="Calibri" w:hAnsi="Calibri" w:cs="Calibri"/>
          <w:noProof/>
        </w:rPr>
        <w:t xml:space="preserve">, </w:t>
      </w:r>
      <w:r w:rsidRPr="00B02F06">
        <w:rPr>
          <w:rFonts w:ascii="Calibri" w:hAnsi="Calibri" w:cs="Calibri"/>
          <w:i/>
          <w:iCs/>
          <w:noProof/>
        </w:rPr>
        <w:t>6</w:t>
      </w:r>
      <w:r w:rsidRPr="00B02F06">
        <w:rPr>
          <w:rFonts w:ascii="Calibri" w:hAnsi="Calibri" w:cs="Calibri"/>
          <w:noProof/>
        </w:rPr>
        <w:t>, e5428. https://doi.org/10.7717/peerj.5428</w:t>
      </w:r>
    </w:p>
    <w:p w14:paraId="48955F46"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Mason, B. M., &amp; Cohen, J. H. (2012). Long-Wavelength Photosensitivity in Coral planula larvae. </w:t>
      </w:r>
      <w:r w:rsidRPr="00B02F06">
        <w:rPr>
          <w:rFonts w:ascii="Calibri" w:hAnsi="Calibri" w:cs="Calibri"/>
          <w:i/>
          <w:iCs/>
          <w:noProof/>
        </w:rPr>
        <w:t>Biological Bulletin</w:t>
      </w:r>
      <w:r w:rsidRPr="00B02F06">
        <w:rPr>
          <w:rFonts w:ascii="Calibri" w:hAnsi="Calibri" w:cs="Calibri"/>
          <w:noProof/>
        </w:rPr>
        <w:t xml:space="preserve">, </w:t>
      </w:r>
      <w:r w:rsidRPr="00B02F06">
        <w:rPr>
          <w:rFonts w:ascii="Calibri" w:hAnsi="Calibri" w:cs="Calibri"/>
          <w:i/>
          <w:iCs/>
          <w:noProof/>
        </w:rPr>
        <w:t>222</w:t>
      </w:r>
      <w:r w:rsidRPr="00B02F06">
        <w:rPr>
          <w:rFonts w:ascii="Calibri" w:hAnsi="Calibri" w:cs="Calibri"/>
          <w:noProof/>
        </w:rPr>
        <w:t>(2), 88–92. https://doi.org/10.1086/BBLv222n2p88</w:t>
      </w:r>
    </w:p>
    <w:p w14:paraId="2574E762"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Matsushima, K., Kiyomoto, M., &amp; Hatta, M. (2010). Aboral localization of responsiveness to a metamorphic neuropeptide in the planula larva of Acropora tenuis. </w:t>
      </w:r>
      <w:r w:rsidRPr="00B02F06">
        <w:rPr>
          <w:rFonts w:ascii="Calibri" w:hAnsi="Calibri" w:cs="Calibri"/>
          <w:i/>
          <w:iCs/>
          <w:noProof/>
        </w:rPr>
        <w:t>Galaxea, Journal of Coral Reef Studies</w:t>
      </w:r>
      <w:r w:rsidRPr="00B02F06">
        <w:rPr>
          <w:rFonts w:ascii="Calibri" w:hAnsi="Calibri" w:cs="Calibri"/>
          <w:noProof/>
        </w:rPr>
        <w:t xml:space="preserve">, </w:t>
      </w:r>
      <w:r w:rsidRPr="00B02F06">
        <w:rPr>
          <w:rFonts w:ascii="Calibri" w:hAnsi="Calibri" w:cs="Calibri"/>
          <w:i/>
          <w:iCs/>
          <w:noProof/>
        </w:rPr>
        <w:t>12</w:t>
      </w:r>
      <w:r w:rsidRPr="00B02F06">
        <w:rPr>
          <w:rFonts w:ascii="Calibri" w:hAnsi="Calibri" w:cs="Calibri"/>
          <w:noProof/>
        </w:rPr>
        <w:t>(2), 77–81. https://doi.org/10.3755/galaxea.12.77</w:t>
      </w:r>
    </w:p>
    <w:p w14:paraId="10DD641C"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McLaughlin, S. (2017). Evidence that polycystins are involved in Hydra cnidocyte discharge. </w:t>
      </w:r>
      <w:r w:rsidRPr="00B02F06">
        <w:rPr>
          <w:rFonts w:ascii="Calibri" w:hAnsi="Calibri" w:cs="Calibri"/>
          <w:i/>
          <w:iCs/>
          <w:noProof/>
        </w:rPr>
        <w:t>Invertebrate Neuroscience</w:t>
      </w:r>
      <w:r w:rsidRPr="00B02F06">
        <w:rPr>
          <w:rFonts w:ascii="Calibri" w:hAnsi="Calibri" w:cs="Calibri"/>
          <w:noProof/>
        </w:rPr>
        <w:t xml:space="preserve">, </w:t>
      </w:r>
      <w:r w:rsidRPr="00B02F06">
        <w:rPr>
          <w:rFonts w:ascii="Calibri" w:hAnsi="Calibri" w:cs="Calibri"/>
          <w:i/>
          <w:iCs/>
          <w:noProof/>
        </w:rPr>
        <w:t>17</w:t>
      </w:r>
      <w:r w:rsidRPr="00B02F06">
        <w:rPr>
          <w:rFonts w:ascii="Calibri" w:hAnsi="Calibri" w:cs="Calibri"/>
          <w:noProof/>
        </w:rPr>
        <w:t>(1), 1–14. https://doi.org/10.1007/s10158-016-0194-3</w:t>
      </w:r>
    </w:p>
    <w:p w14:paraId="185640EB"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Meredith, M. A., &amp; Stein, B. E. (1983). Interactions among converging sensory inputs in the superior colliculus. </w:t>
      </w:r>
      <w:r w:rsidRPr="00B02F06">
        <w:rPr>
          <w:rFonts w:ascii="Calibri" w:hAnsi="Calibri" w:cs="Calibri"/>
          <w:i/>
          <w:iCs/>
          <w:noProof/>
        </w:rPr>
        <w:t>Science</w:t>
      </w:r>
      <w:r w:rsidRPr="00B02F06">
        <w:rPr>
          <w:rFonts w:ascii="Calibri" w:hAnsi="Calibri" w:cs="Calibri"/>
          <w:noProof/>
        </w:rPr>
        <w:t xml:space="preserve">, </w:t>
      </w:r>
      <w:r w:rsidRPr="00B02F06">
        <w:rPr>
          <w:rFonts w:ascii="Calibri" w:hAnsi="Calibri" w:cs="Calibri"/>
          <w:i/>
          <w:iCs/>
          <w:noProof/>
        </w:rPr>
        <w:t>221</w:t>
      </w:r>
      <w:r w:rsidRPr="00B02F06">
        <w:rPr>
          <w:rFonts w:ascii="Calibri" w:hAnsi="Calibri" w:cs="Calibri"/>
          <w:noProof/>
        </w:rPr>
        <w:t>(4608), 389–391.</w:t>
      </w:r>
    </w:p>
    <w:p w14:paraId="40053A6F"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Mohapatra, N., Mukherjee, A., Suriya Rao, A., Jambhulkar, N., &amp; Nayak, P. (2014). Comparison </w:t>
      </w:r>
      <w:r w:rsidRPr="00B02F06">
        <w:rPr>
          <w:rFonts w:ascii="Calibri" w:hAnsi="Calibri" w:cs="Calibri"/>
          <w:noProof/>
        </w:rPr>
        <w:lastRenderedPageBreak/>
        <w:t xml:space="preserve">of Different Parameters for Evaluation of Partial Resistance to Rice Blast Disease. </w:t>
      </w:r>
      <w:r w:rsidRPr="00B02F06">
        <w:rPr>
          <w:rFonts w:ascii="Calibri" w:hAnsi="Calibri" w:cs="Calibri"/>
          <w:i/>
          <w:iCs/>
          <w:noProof/>
        </w:rPr>
        <w:t>American Journal of Experimental Agriculture</w:t>
      </w:r>
      <w:r w:rsidRPr="00B02F06">
        <w:rPr>
          <w:rFonts w:ascii="Calibri" w:hAnsi="Calibri" w:cs="Calibri"/>
          <w:noProof/>
        </w:rPr>
        <w:t xml:space="preserve">, </w:t>
      </w:r>
      <w:r w:rsidRPr="00B02F06">
        <w:rPr>
          <w:rFonts w:ascii="Calibri" w:hAnsi="Calibri" w:cs="Calibri"/>
          <w:i/>
          <w:iCs/>
          <w:noProof/>
        </w:rPr>
        <w:t>4</w:t>
      </w:r>
      <w:r w:rsidRPr="00B02F06">
        <w:rPr>
          <w:rFonts w:ascii="Calibri" w:hAnsi="Calibri" w:cs="Calibri"/>
          <w:noProof/>
        </w:rPr>
        <w:t>(1), 58–79. https://doi.org/10.9734/ajea/2014/3756</w:t>
      </w:r>
    </w:p>
    <w:p w14:paraId="239F7D9B"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Müller, W. A., &amp; Leitz, T. (2002). Metamorphosis in the Cnidaria. </w:t>
      </w:r>
      <w:r w:rsidRPr="00B02F06">
        <w:rPr>
          <w:rFonts w:ascii="Calibri" w:hAnsi="Calibri" w:cs="Calibri"/>
          <w:i/>
          <w:iCs/>
          <w:noProof/>
        </w:rPr>
        <w:t>Canadian Journal of Zoology</w:t>
      </w:r>
      <w:r w:rsidRPr="00B02F06">
        <w:rPr>
          <w:rFonts w:ascii="Calibri" w:hAnsi="Calibri" w:cs="Calibri"/>
          <w:noProof/>
        </w:rPr>
        <w:t xml:space="preserve">, </w:t>
      </w:r>
      <w:r w:rsidRPr="00B02F06">
        <w:rPr>
          <w:rFonts w:ascii="Calibri" w:hAnsi="Calibri" w:cs="Calibri"/>
          <w:i/>
          <w:iCs/>
          <w:noProof/>
        </w:rPr>
        <w:t>80</w:t>
      </w:r>
      <w:r w:rsidRPr="00B02F06">
        <w:rPr>
          <w:rFonts w:ascii="Calibri" w:hAnsi="Calibri" w:cs="Calibri"/>
          <w:noProof/>
        </w:rPr>
        <w:t>(10), 1755–1771. https://doi.org/10.1139/z02-130</w:t>
      </w:r>
    </w:p>
    <w:p w14:paraId="38A26F83"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Nellis, P., &amp; Bourget, E. (1996). Influence of physical and chemical factors on settlement and recruitment of the hydroid Tubularia larynx. </w:t>
      </w:r>
      <w:r w:rsidRPr="00B02F06">
        <w:rPr>
          <w:rFonts w:ascii="Calibri" w:hAnsi="Calibri" w:cs="Calibri"/>
          <w:i/>
          <w:iCs/>
          <w:noProof/>
        </w:rPr>
        <w:t>Marine Ecology Progress Series</w:t>
      </w:r>
      <w:r w:rsidRPr="00B02F06">
        <w:rPr>
          <w:rFonts w:ascii="Calibri" w:hAnsi="Calibri" w:cs="Calibri"/>
          <w:noProof/>
        </w:rPr>
        <w:t xml:space="preserve">, </w:t>
      </w:r>
      <w:r w:rsidRPr="00B02F06">
        <w:rPr>
          <w:rFonts w:ascii="Calibri" w:hAnsi="Calibri" w:cs="Calibri"/>
          <w:i/>
          <w:iCs/>
          <w:noProof/>
        </w:rPr>
        <w:t>140</w:t>
      </w:r>
      <w:r w:rsidRPr="00B02F06">
        <w:rPr>
          <w:rFonts w:ascii="Calibri" w:hAnsi="Calibri" w:cs="Calibri"/>
          <w:noProof/>
        </w:rPr>
        <w:t>(1–3), 123–139. https://doi.org/10.3354/meps140123</w:t>
      </w:r>
    </w:p>
    <w:p w14:paraId="4A9CC403"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Otto, T. U., Dassy, B., &amp; Mamassian, P. (2013). Principles of multisensory behavior. </w:t>
      </w:r>
      <w:r w:rsidRPr="00B02F06">
        <w:rPr>
          <w:rFonts w:ascii="Calibri" w:hAnsi="Calibri" w:cs="Calibri"/>
          <w:i/>
          <w:iCs/>
          <w:noProof/>
        </w:rPr>
        <w:t>Journal of Neuroscience</w:t>
      </w:r>
      <w:r w:rsidRPr="00B02F06">
        <w:rPr>
          <w:rFonts w:ascii="Calibri" w:hAnsi="Calibri" w:cs="Calibri"/>
          <w:noProof/>
        </w:rPr>
        <w:t xml:space="preserve">, </w:t>
      </w:r>
      <w:r w:rsidRPr="00B02F06">
        <w:rPr>
          <w:rFonts w:ascii="Calibri" w:hAnsi="Calibri" w:cs="Calibri"/>
          <w:i/>
          <w:iCs/>
          <w:noProof/>
        </w:rPr>
        <w:t>33</w:t>
      </w:r>
      <w:r w:rsidRPr="00B02F06">
        <w:rPr>
          <w:rFonts w:ascii="Calibri" w:hAnsi="Calibri" w:cs="Calibri"/>
          <w:noProof/>
        </w:rPr>
        <w:t>(17), 7463–7474. https://doi.org/10.1523/JNEUROSCI.4678-12.2013</w:t>
      </w:r>
    </w:p>
    <w:p w14:paraId="7B18959B"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Patro, R., Duggal, G., Love, M. I., Irizarry, R. A., &amp; Kingsford, C. (2017). Salmon: fast and bias-aware quantification of transcript expression using dual-phase inference. </w:t>
      </w:r>
      <w:r w:rsidRPr="00B02F06">
        <w:rPr>
          <w:rFonts w:ascii="Calibri" w:hAnsi="Calibri" w:cs="Calibri"/>
          <w:i/>
          <w:iCs/>
          <w:noProof/>
        </w:rPr>
        <w:t>Nature Methods</w:t>
      </w:r>
      <w:r w:rsidRPr="00B02F06">
        <w:rPr>
          <w:rFonts w:ascii="Calibri" w:hAnsi="Calibri" w:cs="Calibri"/>
          <w:noProof/>
        </w:rPr>
        <w:t xml:space="preserve">, </w:t>
      </w:r>
      <w:r w:rsidRPr="00B02F06">
        <w:rPr>
          <w:rFonts w:ascii="Calibri" w:hAnsi="Calibri" w:cs="Calibri"/>
          <w:i/>
          <w:iCs/>
          <w:noProof/>
        </w:rPr>
        <w:t>14</w:t>
      </w:r>
      <w:r w:rsidRPr="00B02F06">
        <w:rPr>
          <w:rFonts w:ascii="Calibri" w:hAnsi="Calibri" w:cs="Calibri"/>
          <w:noProof/>
        </w:rPr>
        <w:t>(4), 417–419. https://doi.org/10.1038/nmeth.4197.Salmon</w:t>
      </w:r>
    </w:p>
    <w:p w14:paraId="79305870"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Pawlik, J. R. (1992). Chemical Ecology of the Settlement of Benthic Marine-Invertebrates. </w:t>
      </w:r>
      <w:r w:rsidRPr="00B02F06">
        <w:rPr>
          <w:rFonts w:ascii="Calibri" w:hAnsi="Calibri" w:cs="Calibri"/>
          <w:i/>
          <w:iCs/>
          <w:noProof/>
        </w:rPr>
        <w:t>Oceanography and Marine Biology</w:t>
      </w:r>
      <w:r w:rsidRPr="00B02F06">
        <w:rPr>
          <w:rFonts w:ascii="Calibri" w:hAnsi="Calibri" w:cs="Calibri"/>
          <w:noProof/>
        </w:rPr>
        <w:t>.</w:t>
      </w:r>
    </w:p>
    <w:p w14:paraId="4EBDA7B7"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Plachetzki, D. C., Fong, C. R., &amp; Oakley, T. H. (2012a). Cnidocyte discharge is regulated by light and opsin-mediated phototransduction. </w:t>
      </w:r>
      <w:r w:rsidRPr="00B02F06">
        <w:rPr>
          <w:rFonts w:ascii="Calibri" w:hAnsi="Calibri" w:cs="Calibri"/>
          <w:i/>
          <w:iCs/>
          <w:noProof/>
        </w:rPr>
        <w:t>BMC Biology</w:t>
      </w:r>
      <w:r w:rsidRPr="00B02F06">
        <w:rPr>
          <w:rFonts w:ascii="Calibri" w:hAnsi="Calibri" w:cs="Calibri"/>
          <w:noProof/>
        </w:rPr>
        <w:t xml:space="preserve">, </w:t>
      </w:r>
      <w:r w:rsidRPr="00B02F06">
        <w:rPr>
          <w:rFonts w:ascii="Calibri" w:hAnsi="Calibri" w:cs="Calibri"/>
          <w:i/>
          <w:iCs/>
          <w:noProof/>
        </w:rPr>
        <w:t>10</w:t>
      </w:r>
      <w:r w:rsidRPr="00B02F06">
        <w:rPr>
          <w:rFonts w:ascii="Calibri" w:hAnsi="Calibri" w:cs="Calibri"/>
          <w:noProof/>
        </w:rPr>
        <w:t>(March). https://doi.org/10.1186/1741-7007-10-17</w:t>
      </w:r>
    </w:p>
    <w:p w14:paraId="5CD7E807"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Plachetzki, D. C., Fong, C. R., &amp; Oakley, T. H. (2012b). Cnidocyte discharge is regulated by light and opsin-mediated phototransduction. </w:t>
      </w:r>
      <w:r w:rsidRPr="00B02F06">
        <w:rPr>
          <w:rFonts w:ascii="Calibri" w:hAnsi="Calibri" w:cs="Calibri"/>
          <w:i/>
          <w:iCs/>
          <w:noProof/>
        </w:rPr>
        <w:t>BMC Biology</w:t>
      </w:r>
      <w:r w:rsidRPr="00B02F06">
        <w:rPr>
          <w:rFonts w:ascii="Calibri" w:hAnsi="Calibri" w:cs="Calibri"/>
          <w:noProof/>
        </w:rPr>
        <w:t xml:space="preserve">, </w:t>
      </w:r>
      <w:r w:rsidRPr="00B02F06">
        <w:rPr>
          <w:rFonts w:ascii="Calibri" w:hAnsi="Calibri" w:cs="Calibri"/>
          <w:i/>
          <w:iCs/>
          <w:noProof/>
        </w:rPr>
        <w:t>10</w:t>
      </w:r>
      <w:r w:rsidRPr="00B02F06">
        <w:rPr>
          <w:rFonts w:ascii="Calibri" w:hAnsi="Calibri" w:cs="Calibri"/>
          <w:noProof/>
        </w:rPr>
        <w:t>(March). https://doi.org/10.1186/1741-7007-10-17</w:t>
      </w:r>
    </w:p>
    <w:p w14:paraId="61ED387F"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Qian, P. Y., Thiyagarajan, V., Lau, S. C. K., &amp; Cheung, S. C. K. (2003). Relationship between bacterial community profile in biofilm and attachment of the acorn barnacle Balanus amphitrite. </w:t>
      </w:r>
      <w:r w:rsidRPr="00B02F06">
        <w:rPr>
          <w:rFonts w:ascii="Calibri" w:hAnsi="Calibri" w:cs="Calibri"/>
          <w:i/>
          <w:iCs/>
          <w:noProof/>
        </w:rPr>
        <w:t>Aquatic Microbial Ecology</w:t>
      </w:r>
      <w:r w:rsidRPr="00B02F06">
        <w:rPr>
          <w:rFonts w:ascii="Calibri" w:hAnsi="Calibri" w:cs="Calibri"/>
          <w:noProof/>
        </w:rPr>
        <w:t xml:space="preserve">, </w:t>
      </w:r>
      <w:r w:rsidRPr="00B02F06">
        <w:rPr>
          <w:rFonts w:ascii="Calibri" w:hAnsi="Calibri" w:cs="Calibri"/>
          <w:i/>
          <w:iCs/>
          <w:noProof/>
        </w:rPr>
        <w:t>33</w:t>
      </w:r>
      <w:r w:rsidRPr="00B02F06">
        <w:rPr>
          <w:rFonts w:ascii="Calibri" w:hAnsi="Calibri" w:cs="Calibri"/>
          <w:noProof/>
        </w:rPr>
        <w:t>(3), 225–237. https://doi.org/10.3354/ame033225</w:t>
      </w:r>
    </w:p>
    <w:p w14:paraId="649D45D0"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Rentzsch, F., Layden, M., &amp; Manuel, M. (2017). The cellular and molecular basis of cnidarian neurogenesis. </w:t>
      </w:r>
      <w:r w:rsidRPr="00B02F06">
        <w:rPr>
          <w:rFonts w:ascii="Calibri" w:hAnsi="Calibri" w:cs="Calibri"/>
          <w:i/>
          <w:iCs/>
          <w:noProof/>
        </w:rPr>
        <w:t>Wiley Interdisciplinary Reviews: Developmental Biology</w:t>
      </w:r>
      <w:r w:rsidRPr="00B02F06">
        <w:rPr>
          <w:rFonts w:ascii="Calibri" w:hAnsi="Calibri" w:cs="Calibri"/>
          <w:noProof/>
        </w:rPr>
        <w:t xml:space="preserve">, </w:t>
      </w:r>
      <w:r w:rsidRPr="00B02F06">
        <w:rPr>
          <w:rFonts w:ascii="Calibri" w:hAnsi="Calibri" w:cs="Calibri"/>
          <w:i/>
          <w:iCs/>
          <w:noProof/>
        </w:rPr>
        <w:t>6</w:t>
      </w:r>
      <w:r w:rsidRPr="00B02F06">
        <w:rPr>
          <w:rFonts w:ascii="Calibri" w:hAnsi="Calibri" w:cs="Calibri"/>
          <w:noProof/>
        </w:rPr>
        <w:t>(1), 1–19. https://doi.org/10.1002/wdev.257</w:t>
      </w:r>
    </w:p>
    <w:p w14:paraId="008C2910"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Say, T. E., &amp; Degnan, S. M. (2020). Molecular and behavioural evidence that interdependent photo - and chemosensory systems regulate larval settlement in a marine sponge. </w:t>
      </w:r>
      <w:r w:rsidRPr="00B02F06">
        <w:rPr>
          <w:rFonts w:ascii="Calibri" w:hAnsi="Calibri" w:cs="Calibri"/>
          <w:i/>
          <w:iCs/>
          <w:noProof/>
        </w:rPr>
        <w:t>Molecular Ecology</w:t>
      </w:r>
      <w:r w:rsidRPr="00B02F06">
        <w:rPr>
          <w:rFonts w:ascii="Calibri" w:hAnsi="Calibri" w:cs="Calibri"/>
          <w:noProof/>
        </w:rPr>
        <w:t xml:space="preserve">, </w:t>
      </w:r>
      <w:r w:rsidRPr="00B02F06">
        <w:rPr>
          <w:rFonts w:ascii="Calibri" w:hAnsi="Calibri" w:cs="Calibri"/>
          <w:i/>
          <w:iCs/>
          <w:noProof/>
        </w:rPr>
        <w:t>29</w:t>
      </w:r>
      <w:r w:rsidRPr="00B02F06">
        <w:rPr>
          <w:rFonts w:ascii="Calibri" w:hAnsi="Calibri" w:cs="Calibri"/>
          <w:noProof/>
        </w:rPr>
        <w:t>(2), 247–261. https://doi.org/10.1111/mec.15318</w:t>
      </w:r>
    </w:p>
    <w:p w14:paraId="1C0FFEE4"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Shaner, G. (1977). The Effect of Nitrogen Fertilization on the Expression of Slow-Mildewing Resistance in Knox Wheat. </w:t>
      </w:r>
      <w:r w:rsidRPr="00B02F06">
        <w:rPr>
          <w:rFonts w:ascii="Calibri" w:hAnsi="Calibri" w:cs="Calibri"/>
          <w:i/>
          <w:iCs/>
          <w:noProof/>
        </w:rPr>
        <w:t>Phytopathology</w:t>
      </w:r>
      <w:r w:rsidRPr="00B02F06">
        <w:rPr>
          <w:rFonts w:ascii="Calibri" w:hAnsi="Calibri" w:cs="Calibri"/>
          <w:noProof/>
        </w:rPr>
        <w:t xml:space="preserve">, </w:t>
      </w:r>
      <w:r w:rsidRPr="00B02F06">
        <w:rPr>
          <w:rFonts w:ascii="Calibri" w:hAnsi="Calibri" w:cs="Calibri"/>
          <w:i/>
          <w:iCs/>
          <w:noProof/>
        </w:rPr>
        <w:t>77</w:t>
      </w:r>
      <w:r w:rsidRPr="00B02F06">
        <w:rPr>
          <w:rFonts w:ascii="Calibri" w:hAnsi="Calibri" w:cs="Calibri"/>
          <w:noProof/>
        </w:rPr>
        <w:t>(8), 1051. https://doi.org/10.1094/phyto-67-1051</w:t>
      </w:r>
    </w:p>
    <w:p w14:paraId="2CB22D86"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Stein, B. E., Meredith, M. A., Huneycutt, W. S., &amp; McDade, L. (1989). Behavioral indices of multisensory integration: Orientation to visual cues is affected by auditory stimuli. </w:t>
      </w:r>
      <w:r w:rsidRPr="00B02F06">
        <w:rPr>
          <w:rFonts w:ascii="Calibri" w:hAnsi="Calibri" w:cs="Calibri"/>
          <w:i/>
          <w:iCs/>
          <w:noProof/>
        </w:rPr>
        <w:t>Journal of Cognitive Neuroscience</w:t>
      </w:r>
      <w:r w:rsidRPr="00B02F06">
        <w:rPr>
          <w:rFonts w:ascii="Calibri" w:hAnsi="Calibri" w:cs="Calibri"/>
          <w:noProof/>
        </w:rPr>
        <w:t xml:space="preserve">, </w:t>
      </w:r>
      <w:r w:rsidRPr="00B02F06">
        <w:rPr>
          <w:rFonts w:ascii="Calibri" w:hAnsi="Calibri" w:cs="Calibri"/>
          <w:i/>
          <w:iCs/>
          <w:noProof/>
        </w:rPr>
        <w:t>1</w:t>
      </w:r>
      <w:r w:rsidRPr="00B02F06">
        <w:rPr>
          <w:rFonts w:ascii="Calibri" w:hAnsi="Calibri" w:cs="Calibri"/>
          <w:noProof/>
        </w:rPr>
        <w:t>(1), 12–24. https://doi.org/10.1162/jocn.1989.1.1.12</w:t>
      </w:r>
    </w:p>
    <w:p w14:paraId="4A89319A"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Stein, Barry E. (1998). Neural mechanisms for synthesizing sensory information and producing adaptive behaviors. </w:t>
      </w:r>
      <w:r w:rsidRPr="00B02F06">
        <w:rPr>
          <w:rFonts w:ascii="Calibri" w:hAnsi="Calibri" w:cs="Calibri"/>
          <w:i/>
          <w:iCs/>
          <w:noProof/>
        </w:rPr>
        <w:t>Experimental Brain Research</w:t>
      </w:r>
      <w:r w:rsidRPr="00B02F06">
        <w:rPr>
          <w:rFonts w:ascii="Calibri" w:hAnsi="Calibri" w:cs="Calibri"/>
          <w:noProof/>
        </w:rPr>
        <w:t xml:space="preserve">, </w:t>
      </w:r>
      <w:r w:rsidRPr="00B02F06">
        <w:rPr>
          <w:rFonts w:ascii="Calibri" w:hAnsi="Calibri" w:cs="Calibri"/>
          <w:i/>
          <w:iCs/>
          <w:noProof/>
        </w:rPr>
        <w:t>123</w:t>
      </w:r>
      <w:r w:rsidRPr="00B02F06">
        <w:rPr>
          <w:rFonts w:ascii="Calibri" w:hAnsi="Calibri" w:cs="Calibri"/>
          <w:noProof/>
        </w:rPr>
        <w:t>(1–2), 124–135. https://doi.org/10.1007/s002210050553</w:t>
      </w:r>
    </w:p>
    <w:p w14:paraId="0C40C0D2"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Stein, Barry E., &amp; Meredith, M. A. (1993). </w:t>
      </w:r>
      <w:r w:rsidRPr="00B02F06">
        <w:rPr>
          <w:rFonts w:ascii="Calibri" w:hAnsi="Calibri" w:cs="Calibri"/>
          <w:i/>
          <w:iCs/>
          <w:noProof/>
        </w:rPr>
        <w:t>The merging of the senses</w:t>
      </w:r>
      <w:r w:rsidRPr="00B02F06">
        <w:rPr>
          <w:rFonts w:ascii="Calibri" w:hAnsi="Calibri" w:cs="Calibri"/>
          <w:noProof/>
        </w:rPr>
        <w:t>. The MIT press.</w:t>
      </w:r>
    </w:p>
    <w:p w14:paraId="2B31E83F"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Stein, Barry E., &amp; Stanford, T. R. (2008). Multisensory integration: Current issues from the perspective of the single neuron. </w:t>
      </w:r>
      <w:r w:rsidRPr="00B02F06">
        <w:rPr>
          <w:rFonts w:ascii="Calibri" w:hAnsi="Calibri" w:cs="Calibri"/>
          <w:i/>
          <w:iCs/>
          <w:noProof/>
        </w:rPr>
        <w:t>Nature Reviews Neuroscience</w:t>
      </w:r>
      <w:r w:rsidRPr="00B02F06">
        <w:rPr>
          <w:rFonts w:ascii="Calibri" w:hAnsi="Calibri" w:cs="Calibri"/>
          <w:noProof/>
        </w:rPr>
        <w:t xml:space="preserve">, </w:t>
      </w:r>
      <w:r w:rsidRPr="00B02F06">
        <w:rPr>
          <w:rFonts w:ascii="Calibri" w:hAnsi="Calibri" w:cs="Calibri"/>
          <w:i/>
          <w:iCs/>
          <w:noProof/>
        </w:rPr>
        <w:t>9</w:t>
      </w:r>
      <w:r w:rsidRPr="00B02F06">
        <w:rPr>
          <w:rFonts w:ascii="Calibri" w:hAnsi="Calibri" w:cs="Calibri"/>
          <w:noProof/>
        </w:rPr>
        <w:t>(5), 406. https://doi.org/10.1038/nrn2377</w:t>
      </w:r>
    </w:p>
    <w:p w14:paraId="34A775F4"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Stein, Barry E., Stanford, T. R., Ramachandran, R., Perrault, T. J., &amp; Rowland, B. A. (2009). </w:t>
      </w:r>
      <w:r w:rsidRPr="00B02F06">
        <w:rPr>
          <w:rFonts w:ascii="Calibri" w:hAnsi="Calibri" w:cs="Calibri"/>
          <w:noProof/>
        </w:rPr>
        <w:lastRenderedPageBreak/>
        <w:t xml:space="preserve">Challenges in quantifying multisensory integration: Alternative criteria, models, and inverse effectiveness. </w:t>
      </w:r>
      <w:r w:rsidRPr="00B02F06">
        <w:rPr>
          <w:rFonts w:ascii="Calibri" w:hAnsi="Calibri" w:cs="Calibri"/>
          <w:i/>
          <w:iCs/>
          <w:noProof/>
        </w:rPr>
        <w:t>Experimental Brain Research</w:t>
      </w:r>
      <w:r w:rsidRPr="00B02F06">
        <w:rPr>
          <w:rFonts w:ascii="Calibri" w:hAnsi="Calibri" w:cs="Calibri"/>
          <w:noProof/>
        </w:rPr>
        <w:t xml:space="preserve">, </w:t>
      </w:r>
      <w:r w:rsidRPr="00B02F06">
        <w:rPr>
          <w:rFonts w:ascii="Calibri" w:hAnsi="Calibri" w:cs="Calibri"/>
          <w:i/>
          <w:iCs/>
          <w:noProof/>
        </w:rPr>
        <w:t>198</w:t>
      </w:r>
      <w:r w:rsidRPr="00B02F06">
        <w:rPr>
          <w:rFonts w:ascii="Calibri" w:hAnsi="Calibri" w:cs="Calibri"/>
          <w:noProof/>
        </w:rPr>
        <w:t>(2–3), 113–126. https://doi.org/10.1007/s00221-009-1880-8</w:t>
      </w:r>
    </w:p>
    <w:p w14:paraId="1764ECE8"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Stein, Barry E., Stanford, T. R., &amp; Rowland, B. A. (2014). Development of multisensory integration from the perspective of the individual neuron. </w:t>
      </w:r>
      <w:r w:rsidRPr="00B02F06">
        <w:rPr>
          <w:rFonts w:ascii="Calibri" w:hAnsi="Calibri" w:cs="Calibri"/>
          <w:i/>
          <w:iCs/>
          <w:noProof/>
        </w:rPr>
        <w:t>Nature Reviews Neuroscience</w:t>
      </w:r>
      <w:r w:rsidRPr="00B02F06">
        <w:rPr>
          <w:rFonts w:ascii="Calibri" w:hAnsi="Calibri" w:cs="Calibri"/>
          <w:noProof/>
        </w:rPr>
        <w:t xml:space="preserve">, </w:t>
      </w:r>
      <w:r w:rsidRPr="00B02F06">
        <w:rPr>
          <w:rFonts w:ascii="Calibri" w:hAnsi="Calibri" w:cs="Calibri"/>
          <w:i/>
          <w:iCs/>
          <w:noProof/>
        </w:rPr>
        <w:t>15</w:t>
      </w:r>
      <w:r w:rsidRPr="00B02F06">
        <w:rPr>
          <w:rFonts w:ascii="Calibri" w:hAnsi="Calibri" w:cs="Calibri"/>
          <w:noProof/>
        </w:rPr>
        <w:t>(8), 520–535. https://doi.org/10.1038/nrn3742</w:t>
      </w:r>
    </w:p>
    <w:p w14:paraId="15E13CE7"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Stevenson, R. A., Ghose, D., Fister, J. K., Sarko, D. K., Altieri, N. A., Nidiffer, A. R., … Wallace, M. T. (2014). Identifying and Quantifying Multisensory Integration: A Tutorial Review. </w:t>
      </w:r>
      <w:r w:rsidRPr="00B02F06">
        <w:rPr>
          <w:rFonts w:ascii="Calibri" w:hAnsi="Calibri" w:cs="Calibri"/>
          <w:i/>
          <w:iCs/>
          <w:noProof/>
        </w:rPr>
        <w:t>Brain Topography</w:t>
      </w:r>
      <w:r w:rsidRPr="00B02F06">
        <w:rPr>
          <w:rFonts w:ascii="Calibri" w:hAnsi="Calibri" w:cs="Calibri"/>
          <w:noProof/>
        </w:rPr>
        <w:t xml:space="preserve">, </w:t>
      </w:r>
      <w:r w:rsidRPr="00B02F06">
        <w:rPr>
          <w:rFonts w:ascii="Calibri" w:hAnsi="Calibri" w:cs="Calibri"/>
          <w:i/>
          <w:iCs/>
          <w:noProof/>
        </w:rPr>
        <w:t>27</w:t>
      </w:r>
      <w:r w:rsidRPr="00B02F06">
        <w:rPr>
          <w:rFonts w:ascii="Calibri" w:hAnsi="Calibri" w:cs="Calibri"/>
          <w:noProof/>
        </w:rPr>
        <w:t>(6), 707–730. https://doi.org/10.1007/s10548-014-0365-7</w:t>
      </w:r>
    </w:p>
    <w:p w14:paraId="7CEA1B5E"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Strader, M. E., Davies, S. W., &amp; Matz, M. V. (2015). Differential responses of coral larvae to the colour of ambient light guide them to suitable settlement microhabitat. </w:t>
      </w:r>
      <w:r w:rsidRPr="00B02F06">
        <w:rPr>
          <w:rFonts w:ascii="Calibri" w:hAnsi="Calibri" w:cs="Calibri"/>
          <w:i/>
          <w:iCs/>
          <w:noProof/>
        </w:rPr>
        <w:t>Royal Society Open Science</w:t>
      </w:r>
      <w:r w:rsidRPr="00B02F06">
        <w:rPr>
          <w:rFonts w:ascii="Calibri" w:hAnsi="Calibri" w:cs="Calibri"/>
          <w:noProof/>
        </w:rPr>
        <w:t xml:space="preserve">, </w:t>
      </w:r>
      <w:r w:rsidRPr="00B02F06">
        <w:rPr>
          <w:rFonts w:ascii="Calibri" w:hAnsi="Calibri" w:cs="Calibri"/>
          <w:i/>
          <w:iCs/>
          <w:noProof/>
        </w:rPr>
        <w:t>2</w:t>
      </w:r>
      <w:r w:rsidRPr="00B02F06">
        <w:rPr>
          <w:rFonts w:ascii="Calibri" w:hAnsi="Calibri" w:cs="Calibri"/>
          <w:noProof/>
        </w:rPr>
        <w:t>(10). https://doi.org/10.1098/rsos.150358</w:t>
      </w:r>
    </w:p>
    <w:p w14:paraId="3C28E0DB"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Subramanian, A., Tamayo, P., Mootha, V. K., Mukherjee, S., Ebert, B. L., Gillette, M. A., … Mesirov, J. P. (2005). Gene set enrichment analysis: A knowledge-based approach for interpreting genome-wide expression profiles. </w:t>
      </w:r>
      <w:r w:rsidRPr="00B02F06">
        <w:rPr>
          <w:rFonts w:ascii="Calibri" w:hAnsi="Calibri" w:cs="Calibri"/>
          <w:i/>
          <w:iCs/>
          <w:noProof/>
        </w:rPr>
        <w:t>Proceedings of the National Academy of Sciences of the United States of America</w:t>
      </w:r>
      <w:r w:rsidRPr="00B02F06">
        <w:rPr>
          <w:rFonts w:ascii="Calibri" w:hAnsi="Calibri" w:cs="Calibri"/>
          <w:noProof/>
        </w:rPr>
        <w:t xml:space="preserve">, </w:t>
      </w:r>
      <w:r w:rsidRPr="00B02F06">
        <w:rPr>
          <w:rFonts w:ascii="Calibri" w:hAnsi="Calibri" w:cs="Calibri"/>
          <w:i/>
          <w:iCs/>
          <w:noProof/>
        </w:rPr>
        <w:t>102</w:t>
      </w:r>
      <w:r w:rsidRPr="00B02F06">
        <w:rPr>
          <w:rFonts w:ascii="Calibri" w:hAnsi="Calibri" w:cs="Calibri"/>
          <w:noProof/>
        </w:rPr>
        <w:t>(43), 15545–15550. https://doi.org/10.1073/pnas.0506580102</w:t>
      </w:r>
    </w:p>
    <w:p w14:paraId="07470735"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Svane, I., &amp; Dolmer, P. (1995). Perception of light at settlement: a comparative study of two invertebrate larvae, a scyphozoan planula and a simple ascidian tadpole. </w:t>
      </w:r>
      <w:r w:rsidRPr="00B02F06">
        <w:rPr>
          <w:rFonts w:ascii="Calibri" w:hAnsi="Calibri" w:cs="Calibri"/>
          <w:i/>
          <w:iCs/>
          <w:noProof/>
        </w:rPr>
        <w:t>Journal of Experimental Marine Biology and Ecology</w:t>
      </w:r>
      <w:r w:rsidRPr="00B02F06">
        <w:rPr>
          <w:rFonts w:ascii="Calibri" w:hAnsi="Calibri" w:cs="Calibri"/>
          <w:noProof/>
        </w:rPr>
        <w:t xml:space="preserve">, </w:t>
      </w:r>
      <w:r w:rsidRPr="00B02F06">
        <w:rPr>
          <w:rFonts w:ascii="Calibri" w:hAnsi="Calibri" w:cs="Calibri"/>
          <w:i/>
          <w:iCs/>
          <w:noProof/>
        </w:rPr>
        <w:t>187</w:t>
      </w:r>
      <w:r w:rsidRPr="00B02F06">
        <w:rPr>
          <w:rFonts w:ascii="Calibri" w:hAnsi="Calibri" w:cs="Calibri"/>
          <w:noProof/>
        </w:rPr>
        <w:t>(1), 51–61. https://doi.org/10.1016/0022-0981(94)00171-9</w:t>
      </w:r>
    </w:p>
    <w:p w14:paraId="4AEC20F8"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Swafford, A. J. M., &amp; Oakley, T. H. (2018). Multimodal sensorimotor system in unicellular zoospores of a fungus. </w:t>
      </w:r>
      <w:r w:rsidRPr="00B02F06">
        <w:rPr>
          <w:rFonts w:ascii="Calibri" w:hAnsi="Calibri" w:cs="Calibri"/>
          <w:i/>
          <w:iCs/>
          <w:noProof/>
        </w:rPr>
        <w:t>Journal of Experimental Biology</w:t>
      </w:r>
      <w:r w:rsidRPr="00B02F06">
        <w:rPr>
          <w:rFonts w:ascii="Calibri" w:hAnsi="Calibri" w:cs="Calibri"/>
          <w:noProof/>
        </w:rPr>
        <w:t xml:space="preserve">, </w:t>
      </w:r>
      <w:r w:rsidRPr="00B02F06">
        <w:rPr>
          <w:rFonts w:ascii="Calibri" w:hAnsi="Calibri" w:cs="Calibri"/>
          <w:i/>
          <w:iCs/>
          <w:noProof/>
        </w:rPr>
        <w:t>221</w:t>
      </w:r>
      <w:r w:rsidRPr="00B02F06">
        <w:rPr>
          <w:rFonts w:ascii="Calibri" w:hAnsi="Calibri" w:cs="Calibri"/>
          <w:noProof/>
        </w:rPr>
        <w:t>(2). https://doi.org/10.1242/jeb.163196</w:t>
      </w:r>
    </w:p>
    <w:p w14:paraId="5FB9A415"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Taddei-Ferretti, C., Musio, C., Santillo, S., &amp; Cotugno, A. (2004). The photobiology of Hydra’s periodic activity. </w:t>
      </w:r>
      <w:r w:rsidRPr="00B02F06">
        <w:rPr>
          <w:rFonts w:ascii="Calibri" w:hAnsi="Calibri" w:cs="Calibri"/>
          <w:i/>
          <w:iCs/>
          <w:noProof/>
        </w:rPr>
        <w:t>Hydrobiologia</w:t>
      </w:r>
      <w:r w:rsidRPr="00B02F06">
        <w:rPr>
          <w:rFonts w:ascii="Calibri" w:hAnsi="Calibri" w:cs="Calibri"/>
          <w:noProof/>
        </w:rPr>
        <w:t xml:space="preserve">, </w:t>
      </w:r>
      <w:r w:rsidRPr="00B02F06">
        <w:rPr>
          <w:rFonts w:ascii="Calibri" w:hAnsi="Calibri" w:cs="Calibri"/>
          <w:i/>
          <w:iCs/>
          <w:noProof/>
        </w:rPr>
        <w:t>530</w:t>
      </w:r>
      <w:r w:rsidRPr="00B02F06">
        <w:rPr>
          <w:rFonts w:ascii="Calibri" w:hAnsi="Calibri" w:cs="Calibri"/>
          <w:noProof/>
        </w:rPr>
        <w:t>–</w:t>
      </w:r>
      <w:r w:rsidRPr="00B02F06">
        <w:rPr>
          <w:rFonts w:ascii="Calibri" w:hAnsi="Calibri" w:cs="Calibri"/>
          <w:i/>
          <w:iCs/>
          <w:noProof/>
        </w:rPr>
        <w:t>531</w:t>
      </w:r>
      <w:r w:rsidRPr="00B02F06">
        <w:rPr>
          <w:rFonts w:ascii="Calibri" w:hAnsi="Calibri" w:cs="Calibri"/>
          <w:noProof/>
        </w:rPr>
        <w:t>, 129–134. https://doi.org/10.1007/s10750-004-2680-6</w:t>
      </w:r>
    </w:p>
    <w:p w14:paraId="6FD8993C"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Tran, C., &amp; Hadfield, M. G. (2013). Localization of sensory mechanisms utilized by coral planulae to detect settlement cues. </w:t>
      </w:r>
      <w:r w:rsidRPr="00B02F06">
        <w:rPr>
          <w:rFonts w:ascii="Calibri" w:hAnsi="Calibri" w:cs="Calibri"/>
          <w:i/>
          <w:iCs/>
          <w:noProof/>
        </w:rPr>
        <w:t>Invertebrate Biology</w:t>
      </w:r>
      <w:r w:rsidRPr="00B02F06">
        <w:rPr>
          <w:rFonts w:ascii="Calibri" w:hAnsi="Calibri" w:cs="Calibri"/>
          <w:noProof/>
        </w:rPr>
        <w:t xml:space="preserve">, </w:t>
      </w:r>
      <w:r w:rsidRPr="00B02F06">
        <w:rPr>
          <w:rFonts w:ascii="Calibri" w:hAnsi="Calibri" w:cs="Calibri"/>
          <w:i/>
          <w:iCs/>
          <w:noProof/>
        </w:rPr>
        <w:t>132</w:t>
      </w:r>
      <w:r w:rsidRPr="00B02F06">
        <w:rPr>
          <w:rFonts w:ascii="Calibri" w:hAnsi="Calibri" w:cs="Calibri"/>
          <w:noProof/>
        </w:rPr>
        <w:t>(3), 195–206. https://doi.org/10.1111/ivb.12025</w:t>
      </w:r>
    </w:p>
    <w:p w14:paraId="637B8A4E"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Westfall, J. A. (2004). Neural pathways and innervation of cnidocytes in tentacles of sea anemones. </w:t>
      </w:r>
      <w:r w:rsidRPr="00B02F06">
        <w:rPr>
          <w:rFonts w:ascii="Calibri" w:hAnsi="Calibri" w:cs="Calibri"/>
          <w:i/>
          <w:iCs/>
          <w:noProof/>
        </w:rPr>
        <w:t>Hydrobiologia</w:t>
      </w:r>
      <w:r w:rsidRPr="00B02F06">
        <w:rPr>
          <w:rFonts w:ascii="Calibri" w:hAnsi="Calibri" w:cs="Calibri"/>
          <w:noProof/>
        </w:rPr>
        <w:t xml:space="preserve">, </w:t>
      </w:r>
      <w:r w:rsidRPr="00B02F06">
        <w:rPr>
          <w:rFonts w:ascii="Calibri" w:hAnsi="Calibri" w:cs="Calibri"/>
          <w:i/>
          <w:iCs/>
          <w:noProof/>
        </w:rPr>
        <w:t>530</w:t>
      </w:r>
      <w:r w:rsidRPr="00B02F06">
        <w:rPr>
          <w:rFonts w:ascii="Calibri" w:hAnsi="Calibri" w:cs="Calibri"/>
          <w:noProof/>
        </w:rPr>
        <w:t>–</w:t>
      </w:r>
      <w:r w:rsidRPr="00B02F06">
        <w:rPr>
          <w:rFonts w:ascii="Calibri" w:hAnsi="Calibri" w:cs="Calibri"/>
          <w:i/>
          <w:iCs/>
          <w:noProof/>
        </w:rPr>
        <w:t>531</w:t>
      </w:r>
      <w:r w:rsidRPr="00B02F06">
        <w:rPr>
          <w:rFonts w:ascii="Calibri" w:hAnsi="Calibri" w:cs="Calibri"/>
          <w:noProof/>
        </w:rPr>
        <w:t>, 117–121. https://doi.org/10.1007/s10750-004-2678-0</w:t>
      </w:r>
    </w:p>
    <w:p w14:paraId="1575C7C0"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Whalan, S., Abdul Wahab, M. A., Sprungala, S., Poole, A. J., &amp; De Nys, R. (2015). Larval settlement: The role of surface topography for sessile coral reef invertebrates. </w:t>
      </w:r>
      <w:r w:rsidRPr="00B02F06">
        <w:rPr>
          <w:rFonts w:ascii="Calibri" w:hAnsi="Calibri" w:cs="Calibri"/>
          <w:i/>
          <w:iCs/>
          <w:noProof/>
        </w:rPr>
        <w:t>PLoS ONE</w:t>
      </w:r>
      <w:r w:rsidRPr="00B02F06">
        <w:rPr>
          <w:rFonts w:ascii="Calibri" w:hAnsi="Calibri" w:cs="Calibri"/>
          <w:noProof/>
        </w:rPr>
        <w:t xml:space="preserve">, </w:t>
      </w:r>
      <w:r w:rsidRPr="00B02F06">
        <w:rPr>
          <w:rFonts w:ascii="Calibri" w:hAnsi="Calibri" w:cs="Calibri"/>
          <w:i/>
          <w:iCs/>
          <w:noProof/>
        </w:rPr>
        <w:t>10</w:t>
      </w:r>
      <w:r w:rsidRPr="00B02F06">
        <w:rPr>
          <w:rFonts w:ascii="Calibri" w:hAnsi="Calibri" w:cs="Calibri"/>
          <w:noProof/>
        </w:rPr>
        <w:t>(2), 1–17. https://doi.org/10.1371/journal.pone.0117675</w:t>
      </w:r>
    </w:p>
    <w:p w14:paraId="627CDC6D"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Wieczorek, S. K., &amp; Todd, C. D. (1998). Inhibition and facilitation of settlement of epifaunal marine invertebrate larvae by microbial biofilm cues. </w:t>
      </w:r>
      <w:r w:rsidRPr="00B02F06">
        <w:rPr>
          <w:rFonts w:ascii="Calibri" w:hAnsi="Calibri" w:cs="Calibri"/>
          <w:i/>
          <w:iCs/>
          <w:noProof/>
        </w:rPr>
        <w:t>Biofouling</w:t>
      </w:r>
      <w:r w:rsidRPr="00B02F06">
        <w:rPr>
          <w:rFonts w:ascii="Calibri" w:hAnsi="Calibri" w:cs="Calibri"/>
          <w:noProof/>
        </w:rPr>
        <w:t xml:space="preserve">, </w:t>
      </w:r>
      <w:r w:rsidRPr="00B02F06">
        <w:rPr>
          <w:rFonts w:ascii="Calibri" w:hAnsi="Calibri" w:cs="Calibri"/>
          <w:i/>
          <w:iCs/>
          <w:noProof/>
        </w:rPr>
        <w:t>12</w:t>
      </w:r>
      <w:r w:rsidRPr="00B02F06">
        <w:rPr>
          <w:rFonts w:ascii="Calibri" w:hAnsi="Calibri" w:cs="Calibri"/>
          <w:noProof/>
        </w:rPr>
        <w:t>(1–3), 81–118. https://doi.org/10.1080/08927019809378348</w:t>
      </w:r>
    </w:p>
    <w:p w14:paraId="6B212CF8"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Woodson, C. B., Webster, D. R., Weissburg, M. J., &amp; Yen, J. (2007). Cue hierarchy and foraging in calanoid copepods: Ecological implications of oceanographic structure. </w:t>
      </w:r>
      <w:r w:rsidRPr="00B02F06">
        <w:rPr>
          <w:rFonts w:ascii="Calibri" w:hAnsi="Calibri" w:cs="Calibri"/>
          <w:i/>
          <w:iCs/>
          <w:noProof/>
        </w:rPr>
        <w:t>Marine Ecology Progress Series</w:t>
      </w:r>
      <w:r w:rsidRPr="00B02F06">
        <w:rPr>
          <w:rFonts w:ascii="Calibri" w:hAnsi="Calibri" w:cs="Calibri"/>
          <w:noProof/>
        </w:rPr>
        <w:t xml:space="preserve">, </w:t>
      </w:r>
      <w:r w:rsidRPr="00B02F06">
        <w:rPr>
          <w:rFonts w:ascii="Calibri" w:hAnsi="Calibri" w:cs="Calibri"/>
          <w:i/>
          <w:iCs/>
          <w:noProof/>
        </w:rPr>
        <w:t>330</w:t>
      </w:r>
      <w:r w:rsidRPr="00B02F06">
        <w:rPr>
          <w:rFonts w:ascii="Calibri" w:hAnsi="Calibri" w:cs="Calibri"/>
          <w:noProof/>
        </w:rPr>
        <w:t>, 163–177. https://doi.org/10.3354/meps330163</w:t>
      </w:r>
    </w:p>
    <w:p w14:paraId="72C70B18"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t xml:space="preserve">Yamashita, K. (2003). Larval Behavioral, Morphological Changes, and Nematocyte Dynamics During Settlement of Actinulae of Tubularia mesembryanthemum, Allman 1871 (Hydrozoa: Tubulariidae). </w:t>
      </w:r>
      <w:r w:rsidRPr="00B02F06">
        <w:rPr>
          <w:rFonts w:ascii="Calibri" w:hAnsi="Calibri" w:cs="Calibri"/>
          <w:i/>
          <w:iCs/>
          <w:noProof/>
        </w:rPr>
        <w:t>Biological Bulletin</w:t>
      </w:r>
      <w:r w:rsidRPr="00B02F06">
        <w:rPr>
          <w:rFonts w:ascii="Calibri" w:hAnsi="Calibri" w:cs="Calibri"/>
          <w:noProof/>
        </w:rPr>
        <w:t xml:space="preserve">, </w:t>
      </w:r>
      <w:r w:rsidRPr="00B02F06">
        <w:rPr>
          <w:rFonts w:ascii="Calibri" w:hAnsi="Calibri" w:cs="Calibri"/>
          <w:i/>
          <w:iCs/>
          <w:noProof/>
        </w:rPr>
        <w:t>204</w:t>
      </w:r>
      <w:r w:rsidRPr="00B02F06">
        <w:rPr>
          <w:rFonts w:ascii="Calibri" w:hAnsi="Calibri" w:cs="Calibri"/>
          <w:noProof/>
        </w:rPr>
        <w:t>, 256–269.</w:t>
      </w:r>
    </w:p>
    <w:p w14:paraId="5901923A" w14:textId="77777777" w:rsidR="00B02F06" w:rsidRPr="00B02F06" w:rsidRDefault="00B02F06" w:rsidP="00B02F06">
      <w:pPr>
        <w:widowControl w:val="0"/>
        <w:autoSpaceDE w:val="0"/>
        <w:autoSpaceDN w:val="0"/>
        <w:adjustRightInd w:val="0"/>
        <w:ind w:left="480" w:hanging="480"/>
        <w:rPr>
          <w:rFonts w:ascii="Calibri" w:hAnsi="Calibri" w:cs="Calibri"/>
          <w:noProof/>
        </w:rPr>
      </w:pPr>
      <w:r w:rsidRPr="00B02F06">
        <w:rPr>
          <w:rFonts w:ascii="Calibri" w:hAnsi="Calibri" w:cs="Calibri"/>
          <w:noProof/>
        </w:rPr>
        <w:lastRenderedPageBreak/>
        <w:t xml:space="preserve">Zardus, J. D., Nedved, B. T., Huang, Y., Tran, C., &amp; Hadfield, M. G. (2008). Microbial Biofilms Facilitate Adhesion in Biofouling Invertebrates. </w:t>
      </w:r>
      <w:r w:rsidRPr="00B02F06">
        <w:rPr>
          <w:rFonts w:ascii="Calibri" w:hAnsi="Calibri" w:cs="Calibri"/>
          <w:i/>
          <w:iCs/>
          <w:noProof/>
        </w:rPr>
        <w:t>Biol. Bull.</w:t>
      </w:r>
      <w:r w:rsidRPr="00B02F06">
        <w:rPr>
          <w:rFonts w:ascii="Calibri" w:hAnsi="Calibri" w:cs="Calibri"/>
          <w:noProof/>
        </w:rPr>
        <w:t xml:space="preserve">, </w:t>
      </w:r>
      <w:r w:rsidRPr="00B02F06">
        <w:rPr>
          <w:rFonts w:ascii="Calibri" w:hAnsi="Calibri" w:cs="Calibri"/>
          <w:i/>
          <w:iCs/>
          <w:noProof/>
        </w:rPr>
        <w:t>214</w:t>
      </w:r>
      <w:r w:rsidRPr="00B02F06">
        <w:rPr>
          <w:rFonts w:ascii="Calibri" w:hAnsi="Calibri" w:cs="Calibri"/>
          <w:noProof/>
        </w:rPr>
        <w:t>(February), 91–98. https://doi.org/10.2307/25066663</w:t>
      </w:r>
    </w:p>
    <w:p w14:paraId="4EF6D733" w14:textId="2C539450" w:rsidR="004945DF" w:rsidRDefault="004945DF" w:rsidP="00B02F06">
      <w:pPr>
        <w:widowControl w:val="0"/>
        <w:autoSpaceDE w:val="0"/>
        <w:autoSpaceDN w:val="0"/>
        <w:adjustRightInd w:val="0"/>
        <w:ind w:left="480" w:hanging="480"/>
        <w:rPr>
          <w:b/>
          <w:bCs/>
        </w:rPr>
      </w:pPr>
      <w:r>
        <w:rPr>
          <w:b/>
          <w:bCs/>
        </w:rPr>
        <w:fldChar w:fldCharType="end"/>
      </w:r>
    </w:p>
    <w:p w14:paraId="5686259D" w14:textId="4E05B627" w:rsidR="00B02F06" w:rsidRPr="00204662" w:rsidRDefault="00087B19" w:rsidP="00087B19">
      <w:pPr>
        <w:widowControl w:val="0"/>
        <w:autoSpaceDE w:val="0"/>
        <w:autoSpaceDN w:val="0"/>
        <w:adjustRightInd w:val="0"/>
        <w:ind w:left="480" w:hanging="480"/>
        <w:rPr>
          <w:b/>
          <w:bCs/>
        </w:rPr>
      </w:pPr>
      <w:r w:rsidRPr="00204662">
        <w:rPr>
          <w:b/>
          <w:bCs/>
        </w:rPr>
        <w:t xml:space="preserve">Data Accessibility </w:t>
      </w:r>
    </w:p>
    <w:p w14:paraId="4C29E057" w14:textId="64FB306B" w:rsidR="00B02F06" w:rsidRDefault="00204662" w:rsidP="00087B19">
      <w:pPr>
        <w:widowControl w:val="0"/>
        <w:autoSpaceDE w:val="0"/>
        <w:autoSpaceDN w:val="0"/>
        <w:adjustRightInd w:val="0"/>
        <w:ind w:left="480" w:hanging="480"/>
      </w:pPr>
      <w:r w:rsidRPr="00204662">
        <w:t>R</w:t>
      </w:r>
      <w:r>
        <w:t xml:space="preserve">aw sequence reads </w:t>
      </w:r>
      <w:r w:rsidR="00F51386">
        <w:t xml:space="preserve">and metadata </w:t>
      </w:r>
      <w:r>
        <w:t>are deposited in the SRA (</w:t>
      </w:r>
      <w:proofErr w:type="spellStart"/>
      <w:r>
        <w:t>BioProject</w:t>
      </w:r>
      <w:proofErr w:type="spellEnd"/>
      <w:r>
        <w:t xml:space="preserve"> </w:t>
      </w:r>
      <w:r w:rsidRPr="00204662">
        <w:t>PRJNA929505</w:t>
      </w:r>
      <w:r>
        <w:t>)</w:t>
      </w:r>
    </w:p>
    <w:p w14:paraId="6FC5EAC4" w14:textId="65DCF300" w:rsidR="00204662" w:rsidRDefault="00204662" w:rsidP="00204662">
      <w:pPr>
        <w:widowControl w:val="0"/>
        <w:autoSpaceDE w:val="0"/>
        <w:autoSpaceDN w:val="0"/>
        <w:adjustRightInd w:val="0"/>
      </w:pPr>
      <w:r>
        <w:t>All original code</w:t>
      </w:r>
      <w:r w:rsidR="00525ACD">
        <w:t xml:space="preserve">, </w:t>
      </w:r>
      <w:r>
        <w:t xml:space="preserve">bioinformatic pipelines </w:t>
      </w:r>
      <w:r w:rsidR="001748E2">
        <w:t xml:space="preserve">and outputs </w:t>
      </w:r>
      <w:r>
        <w:t xml:space="preserve">can be found on </w:t>
      </w:r>
      <w:proofErr w:type="spellStart"/>
      <w:r>
        <w:t>Github</w:t>
      </w:r>
      <w:proofErr w:type="spellEnd"/>
      <w:r>
        <w:t xml:space="preserve"> (</w:t>
      </w:r>
      <w:hyperlink r:id="rId8" w:history="1">
        <w:r w:rsidR="00F51386" w:rsidRPr="002F0849">
          <w:rPr>
            <w:rStyle w:val="Hyperlink"/>
          </w:rPr>
          <w:t>https://github.com/sjb1061/Actinula_Paper</w:t>
        </w:r>
      </w:hyperlink>
      <w:r>
        <w:t>)</w:t>
      </w:r>
    </w:p>
    <w:p w14:paraId="662F39B2" w14:textId="1085D044" w:rsidR="00F51386" w:rsidRPr="00204662" w:rsidRDefault="00F51386" w:rsidP="00204662">
      <w:pPr>
        <w:widowControl w:val="0"/>
        <w:autoSpaceDE w:val="0"/>
        <w:autoSpaceDN w:val="0"/>
        <w:adjustRightInd w:val="0"/>
      </w:pPr>
      <w:r>
        <w:t xml:space="preserve">All behavioral data and metadata can be found on </w:t>
      </w:r>
      <w:proofErr w:type="spellStart"/>
      <w:r>
        <w:t>Github</w:t>
      </w:r>
      <w:proofErr w:type="spellEnd"/>
      <w:r>
        <w:t xml:space="preserve"> (</w:t>
      </w:r>
      <w:hyperlink r:id="rId9" w:history="1">
        <w:r w:rsidRPr="002F0849">
          <w:rPr>
            <w:rStyle w:val="Hyperlink"/>
          </w:rPr>
          <w:t>https://github.com/sjb1061/Actinula_Paper/tree/main/Settlement_Behavior_Analysis</w:t>
        </w:r>
      </w:hyperlink>
      <w:r>
        <w:t xml:space="preserve">) </w:t>
      </w:r>
    </w:p>
    <w:p w14:paraId="4A3A0F90" w14:textId="77777777" w:rsidR="00087B19" w:rsidRDefault="00087B19" w:rsidP="00204662">
      <w:pPr>
        <w:widowControl w:val="0"/>
        <w:autoSpaceDE w:val="0"/>
        <w:autoSpaceDN w:val="0"/>
        <w:adjustRightInd w:val="0"/>
        <w:rPr>
          <w:b/>
          <w:bCs/>
        </w:rPr>
      </w:pPr>
    </w:p>
    <w:p w14:paraId="5FF1E80E" w14:textId="77777777" w:rsidR="00087B19" w:rsidRDefault="00087B19" w:rsidP="00087B19">
      <w:pPr>
        <w:rPr>
          <w:b/>
          <w:bCs/>
        </w:rPr>
      </w:pPr>
      <w:r>
        <w:rPr>
          <w:b/>
          <w:bCs/>
        </w:rPr>
        <w:t>Author Contributions</w:t>
      </w:r>
    </w:p>
    <w:p w14:paraId="5E604F74" w14:textId="77777777" w:rsidR="00087B19" w:rsidRDefault="00087B19" w:rsidP="00087B19">
      <w:r>
        <w:t>Conceptualization, D.P.; Methodology, D.P. and S.B.; Investigation, S.B.; Writing – Original Draft, S.B.; Review &amp; Editing, D.P. and S.B.; Funding Acquisition, D.P.; Resources, D.P.; Supervision, D.P.</w:t>
      </w:r>
    </w:p>
    <w:p w14:paraId="08E0484B" w14:textId="77777777" w:rsidR="00087B19" w:rsidRPr="00AA040E" w:rsidRDefault="00087B19" w:rsidP="00087B19"/>
    <w:p w14:paraId="1F422AC8" w14:textId="20A54FCD" w:rsidR="00087B19" w:rsidRDefault="00087B19" w:rsidP="00087B19">
      <w:pPr>
        <w:rPr>
          <w:b/>
          <w:bCs/>
        </w:rPr>
      </w:pPr>
      <w:r>
        <w:rPr>
          <w:b/>
          <w:bCs/>
        </w:rPr>
        <w:t>Figures with Captions</w:t>
      </w:r>
    </w:p>
    <w:p w14:paraId="487003B6" w14:textId="2A3E3BB4" w:rsidR="00087B19" w:rsidRDefault="00087B19" w:rsidP="00087B19">
      <w:pPr>
        <w:rPr>
          <w:b/>
          <w:bCs/>
        </w:rPr>
      </w:pPr>
    </w:p>
    <w:p w14:paraId="30852A67" w14:textId="17A089CB" w:rsidR="004320BD" w:rsidRDefault="004320BD" w:rsidP="00087B19">
      <w:pPr>
        <w:rPr>
          <w:b/>
          <w:bCs/>
        </w:rPr>
      </w:pPr>
      <w:r w:rsidRPr="004320BD">
        <w:rPr>
          <w:b/>
          <w:bCs/>
          <w:noProof/>
        </w:rPr>
        <w:lastRenderedPageBreak/>
        <w:drawing>
          <wp:inline distT="0" distB="0" distL="0" distR="0" wp14:anchorId="04D2EF04" wp14:editId="2B281DC2">
            <wp:extent cx="5410200" cy="7124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10200" cy="7124700"/>
                    </a:xfrm>
                    <a:prstGeom prst="rect">
                      <a:avLst/>
                    </a:prstGeom>
                  </pic:spPr>
                </pic:pic>
              </a:graphicData>
            </a:graphic>
          </wp:inline>
        </w:drawing>
      </w:r>
    </w:p>
    <w:p w14:paraId="0C4B3AC8" w14:textId="77777777" w:rsidR="00087B19" w:rsidRPr="00AA040E" w:rsidRDefault="00087B19" w:rsidP="00087B19">
      <w:pPr>
        <w:jc w:val="both"/>
        <w:rPr>
          <w:rFonts w:cstheme="minorHAnsi"/>
          <w:b/>
          <w:bCs/>
        </w:rPr>
      </w:pPr>
      <w:r w:rsidRPr="00AA040E">
        <w:rPr>
          <w:rFonts w:cstheme="minorHAnsi"/>
          <w:b/>
          <w:bCs/>
        </w:rPr>
        <w:t xml:space="preserve">Figure 1. </w:t>
      </w:r>
      <w:r w:rsidRPr="00AA040E">
        <w:rPr>
          <w:rFonts w:cstheme="minorHAnsi"/>
        </w:rPr>
        <w:t xml:space="preserve">Nervous system development of </w:t>
      </w:r>
      <w:r w:rsidRPr="00AA040E">
        <w:rPr>
          <w:rFonts w:cstheme="minorHAnsi"/>
          <w:i/>
          <w:iCs/>
        </w:rPr>
        <w:t>Ectopleura crocea</w:t>
      </w:r>
      <w:r w:rsidRPr="00AA040E">
        <w:rPr>
          <w:rFonts w:cstheme="minorHAnsi"/>
        </w:rPr>
        <w:t xml:space="preserve"> actinulae larvae</w:t>
      </w:r>
    </w:p>
    <w:p w14:paraId="3D1AC015" w14:textId="77777777" w:rsidR="00087B19" w:rsidRPr="00AA040E" w:rsidRDefault="00087B19" w:rsidP="00087B19">
      <w:pPr>
        <w:jc w:val="both"/>
        <w:rPr>
          <w:rFonts w:cstheme="minorHAnsi"/>
          <w:b/>
          <w:bCs/>
        </w:rPr>
      </w:pPr>
      <w:proofErr w:type="gramStart"/>
      <w:r w:rsidRPr="00AA040E">
        <w:rPr>
          <w:rFonts w:cstheme="minorHAnsi"/>
          <w:b/>
          <w:bCs/>
        </w:rPr>
        <w:t>A</w:t>
      </w:r>
      <w:r>
        <w:rPr>
          <w:rFonts w:cstheme="minorHAnsi"/>
          <w:b/>
          <w:bCs/>
        </w:rPr>
        <w:t>,B</w:t>
      </w:r>
      <w:proofErr w:type="gramEnd"/>
      <w:r>
        <w:rPr>
          <w:rFonts w:cstheme="minorHAnsi"/>
          <w:b/>
          <w:bCs/>
        </w:rPr>
        <w:t>,D-G</w:t>
      </w:r>
      <w:r w:rsidRPr="00AA040E">
        <w:rPr>
          <w:rFonts w:cstheme="minorHAnsi"/>
        </w:rPr>
        <w:t xml:space="preserve"> Immunohistochemistry (IHC) staining of four developmental stages of </w:t>
      </w:r>
      <w:r w:rsidRPr="00AA040E">
        <w:rPr>
          <w:rFonts w:cstheme="minorHAnsi"/>
          <w:i/>
          <w:iCs/>
        </w:rPr>
        <w:t>E. crocea</w:t>
      </w:r>
      <w:r w:rsidRPr="00AA040E">
        <w:rPr>
          <w:rFonts w:cstheme="minorHAnsi"/>
        </w:rPr>
        <w:t xml:space="preserve"> larvae where red staining corresponds to acetylated alpha-tubulin expression in neurons, green staining corresponds to contractile F-actin in muscles and stereocilia, and blue staining corresponds to DNA in nuclei. (</w:t>
      </w:r>
      <w:r w:rsidRPr="00AA040E">
        <w:rPr>
          <w:rFonts w:cstheme="minorHAnsi"/>
          <w:b/>
          <w:bCs/>
        </w:rPr>
        <w:t>A</w:t>
      </w:r>
      <w:r w:rsidRPr="00AA040E">
        <w:rPr>
          <w:rFonts w:cstheme="minorHAnsi"/>
        </w:rPr>
        <w:t>) Stage 1, star embryo. (</w:t>
      </w:r>
      <w:r w:rsidRPr="00AA040E">
        <w:rPr>
          <w:rFonts w:cstheme="minorHAnsi"/>
          <w:b/>
          <w:bCs/>
        </w:rPr>
        <w:t>B</w:t>
      </w:r>
      <w:r w:rsidRPr="00AA040E">
        <w:rPr>
          <w:rFonts w:cstheme="minorHAnsi"/>
        </w:rPr>
        <w:t>) Stage 2, preactinula. (</w:t>
      </w:r>
      <w:r>
        <w:rPr>
          <w:rFonts w:cstheme="minorHAnsi"/>
          <w:b/>
          <w:bCs/>
        </w:rPr>
        <w:t>C</w:t>
      </w:r>
      <w:r w:rsidRPr="00AA040E">
        <w:rPr>
          <w:rFonts w:cstheme="minorHAnsi"/>
        </w:rPr>
        <w:t>)</w:t>
      </w:r>
      <w:r>
        <w:rPr>
          <w:rFonts w:cstheme="minorHAnsi"/>
        </w:rPr>
        <w:t xml:space="preserve"> Light micrograph of an </w:t>
      </w:r>
      <w:r>
        <w:rPr>
          <w:rFonts w:cstheme="minorHAnsi"/>
        </w:rPr>
        <w:lastRenderedPageBreak/>
        <w:t>actinula larva. The arrows point to the basal protrusion (bp)</w:t>
      </w:r>
      <w:r w:rsidRPr="00697ED4">
        <w:rPr>
          <w:rFonts w:cstheme="minorHAnsi"/>
        </w:rPr>
        <w:t xml:space="preserve"> </w:t>
      </w:r>
      <w:r w:rsidRPr="00AA040E">
        <w:rPr>
          <w:rFonts w:cstheme="minorHAnsi"/>
        </w:rPr>
        <w:t>which attaches to the substrate during settlement</w:t>
      </w:r>
      <w:r>
        <w:rPr>
          <w:rFonts w:cstheme="minorHAnsi"/>
        </w:rPr>
        <w:t>, the tentacles (</w:t>
      </w:r>
      <w:proofErr w:type="spellStart"/>
      <w:r>
        <w:rPr>
          <w:rFonts w:cstheme="minorHAnsi"/>
        </w:rPr>
        <w:t>te</w:t>
      </w:r>
      <w:proofErr w:type="spellEnd"/>
      <w:r>
        <w:rPr>
          <w:rFonts w:cstheme="minorHAnsi"/>
        </w:rPr>
        <w:t>), and the developing oral tentacles (</w:t>
      </w:r>
      <w:proofErr w:type="spellStart"/>
      <w:r>
        <w:rPr>
          <w:rFonts w:cstheme="minorHAnsi"/>
        </w:rPr>
        <w:t>ot</w:t>
      </w:r>
      <w:proofErr w:type="spellEnd"/>
      <w:r>
        <w:rPr>
          <w:rFonts w:cstheme="minorHAnsi"/>
        </w:rPr>
        <w:t xml:space="preserve">). </w:t>
      </w:r>
      <w:r w:rsidRPr="00AA040E">
        <w:rPr>
          <w:rFonts w:cstheme="minorHAnsi"/>
        </w:rPr>
        <w:t xml:space="preserve"> (</w:t>
      </w:r>
      <w:r>
        <w:rPr>
          <w:rFonts w:cstheme="minorHAnsi"/>
          <w:b/>
          <w:bCs/>
        </w:rPr>
        <w:t>D</w:t>
      </w:r>
      <w:r w:rsidRPr="00AA040E">
        <w:rPr>
          <w:rFonts w:cstheme="minorHAnsi"/>
        </w:rPr>
        <w:t>) The aboral end of a Stage 3-4 actinula larva. The arrow</w:t>
      </w:r>
      <w:r>
        <w:rPr>
          <w:rFonts w:cstheme="minorHAnsi"/>
        </w:rPr>
        <w:t>s</w:t>
      </w:r>
      <w:r w:rsidRPr="00AA040E">
        <w:rPr>
          <w:rFonts w:cstheme="minorHAnsi"/>
        </w:rPr>
        <w:t xml:space="preserve"> point to the basal protrusion (bp) </w:t>
      </w:r>
      <w:r>
        <w:rPr>
          <w:rFonts w:cstheme="minorHAnsi"/>
        </w:rPr>
        <w:t xml:space="preserve">and </w:t>
      </w:r>
      <w:r w:rsidRPr="00AA040E">
        <w:rPr>
          <w:rFonts w:cstheme="minorHAnsi"/>
        </w:rPr>
        <w:t>ganglion neurons (</w:t>
      </w:r>
      <w:proofErr w:type="spellStart"/>
      <w:r w:rsidRPr="00AA040E">
        <w:rPr>
          <w:rFonts w:cstheme="minorHAnsi"/>
        </w:rPr>
        <w:t>gn</w:t>
      </w:r>
      <w:proofErr w:type="spellEnd"/>
      <w:r w:rsidRPr="00AA040E">
        <w:rPr>
          <w:rFonts w:cstheme="minorHAnsi"/>
        </w:rPr>
        <w:t>) in the tentacles. (</w:t>
      </w:r>
      <w:r>
        <w:rPr>
          <w:rFonts w:cstheme="minorHAnsi"/>
          <w:b/>
          <w:bCs/>
        </w:rPr>
        <w:t>E</w:t>
      </w:r>
      <w:r w:rsidRPr="00AA040E">
        <w:rPr>
          <w:rFonts w:cstheme="minorHAnsi"/>
        </w:rPr>
        <w:t>) Oral end of an actinula larva at stage 3-4. The arrow is pointing to the developing oral tentacles (</w:t>
      </w:r>
      <w:proofErr w:type="spellStart"/>
      <w:r w:rsidRPr="00AA040E">
        <w:rPr>
          <w:rFonts w:cstheme="minorHAnsi"/>
        </w:rPr>
        <w:t>ot</w:t>
      </w:r>
      <w:proofErr w:type="spellEnd"/>
      <w:r w:rsidRPr="00AA040E">
        <w:rPr>
          <w:rFonts w:cstheme="minorHAnsi"/>
        </w:rPr>
        <w:t>). (</w:t>
      </w:r>
      <w:r w:rsidRPr="00AA040E">
        <w:rPr>
          <w:rFonts w:cstheme="minorHAnsi"/>
          <w:b/>
          <w:bCs/>
        </w:rPr>
        <w:t>F</w:t>
      </w:r>
      <w:r w:rsidRPr="00AA040E">
        <w:rPr>
          <w:rFonts w:cstheme="minorHAnsi"/>
        </w:rPr>
        <w:t xml:space="preserve">) High magnification of </w:t>
      </w:r>
      <w:r>
        <w:rPr>
          <w:rFonts w:cstheme="minorHAnsi"/>
        </w:rPr>
        <w:t xml:space="preserve">a </w:t>
      </w:r>
      <w:r w:rsidRPr="00AA040E">
        <w:rPr>
          <w:rFonts w:cstheme="minorHAnsi"/>
        </w:rPr>
        <w:t>stage 3-4 actinula tentacle. An abundance of cnidocytes (</w:t>
      </w:r>
      <w:proofErr w:type="spellStart"/>
      <w:r w:rsidRPr="00AA040E">
        <w:rPr>
          <w:rFonts w:cstheme="minorHAnsi"/>
        </w:rPr>
        <w:t>cn</w:t>
      </w:r>
      <w:proofErr w:type="spellEnd"/>
      <w:r w:rsidRPr="00AA040E">
        <w:rPr>
          <w:rFonts w:cstheme="minorHAnsi"/>
        </w:rPr>
        <w:t>)</w:t>
      </w:r>
      <w:r>
        <w:rPr>
          <w:rFonts w:cstheme="minorHAnsi"/>
        </w:rPr>
        <w:t xml:space="preserve"> are found </w:t>
      </w:r>
      <w:r w:rsidRPr="00AA040E">
        <w:rPr>
          <w:rFonts w:cstheme="minorHAnsi"/>
        </w:rPr>
        <w:t>at the tips of the tentacles. Additionally, ganglion neurons (</w:t>
      </w:r>
      <w:proofErr w:type="spellStart"/>
      <w:r w:rsidRPr="00AA040E">
        <w:rPr>
          <w:rFonts w:cstheme="minorHAnsi"/>
        </w:rPr>
        <w:t>gn</w:t>
      </w:r>
      <w:proofErr w:type="spellEnd"/>
      <w:r w:rsidRPr="00AA040E">
        <w:rPr>
          <w:rFonts w:cstheme="minorHAnsi"/>
        </w:rPr>
        <w:t xml:space="preserve">) extend down the tentacles and connect to the </w:t>
      </w:r>
      <w:proofErr w:type="spellStart"/>
      <w:r w:rsidRPr="00AA040E">
        <w:rPr>
          <w:rFonts w:cstheme="minorHAnsi"/>
        </w:rPr>
        <w:t>actinular</w:t>
      </w:r>
      <w:proofErr w:type="spellEnd"/>
      <w:r w:rsidRPr="00AA040E">
        <w:rPr>
          <w:rFonts w:cstheme="minorHAnsi"/>
        </w:rPr>
        <w:t xml:space="preserve"> nerve net. (</w:t>
      </w:r>
      <w:r w:rsidRPr="00AA040E">
        <w:rPr>
          <w:rFonts w:cstheme="minorHAnsi"/>
          <w:b/>
          <w:bCs/>
        </w:rPr>
        <w:t>G</w:t>
      </w:r>
      <w:r w:rsidRPr="00AA040E">
        <w:rPr>
          <w:rFonts w:cstheme="minorHAnsi"/>
        </w:rPr>
        <w:t>) A metamorphosed juvenile polyp.</w:t>
      </w:r>
      <w:r>
        <w:rPr>
          <w:rFonts w:cstheme="minorHAnsi"/>
        </w:rPr>
        <w:t xml:space="preserve"> </w:t>
      </w:r>
      <w:r w:rsidRPr="00AA040E">
        <w:rPr>
          <w:rFonts w:cstheme="minorHAnsi"/>
        </w:rPr>
        <w:t>(</w:t>
      </w:r>
      <w:r>
        <w:rPr>
          <w:rFonts w:cstheme="minorHAnsi"/>
          <w:b/>
          <w:bCs/>
        </w:rPr>
        <w:t>H</w:t>
      </w:r>
      <w:r w:rsidRPr="00AA040E">
        <w:rPr>
          <w:rFonts w:cstheme="minorHAnsi"/>
        </w:rPr>
        <w:t>)</w:t>
      </w:r>
      <w:r>
        <w:rPr>
          <w:rFonts w:cstheme="minorHAnsi"/>
        </w:rPr>
        <w:t xml:space="preserve"> A light micrograph of an adult </w:t>
      </w:r>
      <w:r w:rsidRPr="00697ED4">
        <w:rPr>
          <w:rFonts w:cstheme="minorHAnsi"/>
          <w:i/>
          <w:iCs/>
        </w:rPr>
        <w:t>E. crocea</w:t>
      </w:r>
      <w:r>
        <w:rPr>
          <w:rFonts w:cstheme="minorHAnsi"/>
        </w:rPr>
        <w:t xml:space="preserve"> polyp. The arrows point to the oral tentacles (</w:t>
      </w:r>
      <w:proofErr w:type="spellStart"/>
      <w:r>
        <w:rPr>
          <w:rFonts w:cstheme="minorHAnsi"/>
        </w:rPr>
        <w:t>ot</w:t>
      </w:r>
      <w:proofErr w:type="spellEnd"/>
      <w:r>
        <w:rPr>
          <w:rFonts w:cstheme="minorHAnsi"/>
        </w:rPr>
        <w:t>), the aboral tentacles (</w:t>
      </w:r>
      <w:proofErr w:type="spellStart"/>
      <w:r>
        <w:rPr>
          <w:rFonts w:cstheme="minorHAnsi"/>
        </w:rPr>
        <w:t>te</w:t>
      </w:r>
      <w:proofErr w:type="spellEnd"/>
      <w:r>
        <w:rPr>
          <w:rFonts w:cstheme="minorHAnsi"/>
        </w:rPr>
        <w:t xml:space="preserve">), and the gonophores (go). </w:t>
      </w:r>
    </w:p>
    <w:p w14:paraId="4647ACA9" w14:textId="3F3BBE73" w:rsidR="00087B19" w:rsidRDefault="00087B19" w:rsidP="00087B19">
      <w:pPr>
        <w:jc w:val="both"/>
        <w:rPr>
          <w:rFonts w:cstheme="minorHAnsi"/>
          <w:b/>
          <w:bCs/>
        </w:rPr>
      </w:pPr>
    </w:p>
    <w:p w14:paraId="7206055C" w14:textId="5603D755" w:rsidR="004320BD" w:rsidRPr="00AA040E" w:rsidRDefault="004320BD" w:rsidP="00087B19">
      <w:pPr>
        <w:jc w:val="both"/>
        <w:rPr>
          <w:rFonts w:cstheme="minorHAnsi"/>
          <w:b/>
          <w:bCs/>
        </w:rPr>
      </w:pPr>
      <w:r w:rsidRPr="004320BD">
        <w:rPr>
          <w:rFonts w:cstheme="minorHAnsi"/>
          <w:b/>
          <w:bCs/>
          <w:noProof/>
        </w:rPr>
        <w:lastRenderedPageBreak/>
        <w:drawing>
          <wp:inline distT="0" distB="0" distL="0" distR="0" wp14:anchorId="6C68AA5F" wp14:editId="0ABBFBC2">
            <wp:extent cx="5943600" cy="70662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7066280"/>
                    </a:xfrm>
                    <a:prstGeom prst="rect">
                      <a:avLst/>
                    </a:prstGeom>
                  </pic:spPr>
                </pic:pic>
              </a:graphicData>
            </a:graphic>
          </wp:inline>
        </w:drawing>
      </w:r>
    </w:p>
    <w:p w14:paraId="46B7B0BA" w14:textId="77777777" w:rsidR="00087B19" w:rsidRPr="00AA040E" w:rsidRDefault="00087B19" w:rsidP="00087B19">
      <w:pPr>
        <w:jc w:val="both"/>
        <w:rPr>
          <w:rFonts w:cstheme="minorHAnsi"/>
          <w:b/>
          <w:bCs/>
        </w:rPr>
      </w:pPr>
      <w:r w:rsidRPr="00AA040E">
        <w:rPr>
          <w:rFonts w:cstheme="minorHAnsi"/>
          <w:b/>
          <w:bCs/>
        </w:rPr>
        <w:t xml:space="preserve">Figure 2. </w:t>
      </w:r>
      <w:r w:rsidRPr="00AA040E">
        <w:rPr>
          <w:rFonts w:cstheme="minorHAnsi"/>
        </w:rPr>
        <w:t>Settlement responses of actinula larvae to three sensory cues</w:t>
      </w:r>
    </w:p>
    <w:p w14:paraId="1003A78A" w14:textId="77777777" w:rsidR="00087B19" w:rsidRPr="00AA040E" w:rsidRDefault="00087B19" w:rsidP="00087B19">
      <w:pPr>
        <w:jc w:val="both"/>
        <w:rPr>
          <w:rFonts w:cstheme="minorHAnsi"/>
          <w:b/>
          <w:bCs/>
        </w:rPr>
      </w:pPr>
      <w:r w:rsidRPr="00AA040E">
        <w:rPr>
          <w:rFonts w:cstheme="minorHAnsi"/>
        </w:rPr>
        <w:t>(</w:t>
      </w:r>
      <w:r w:rsidRPr="00AA040E">
        <w:rPr>
          <w:rFonts w:cstheme="minorHAnsi"/>
          <w:b/>
          <w:bCs/>
        </w:rPr>
        <w:t>A</w:t>
      </w:r>
      <w:r w:rsidRPr="00AA040E">
        <w:rPr>
          <w:rFonts w:cstheme="minorHAnsi"/>
        </w:rPr>
        <w:t xml:space="preserve">) Cartoon depiction of the larval settlement experimental design: 7x2x2 </w:t>
      </w:r>
      <w:proofErr w:type="gramStart"/>
      <w:r w:rsidRPr="00AA040E">
        <w:rPr>
          <w:rFonts w:cstheme="minorHAnsi"/>
        </w:rPr>
        <w:t>Split-plot</w:t>
      </w:r>
      <w:proofErr w:type="gramEnd"/>
      <w:r w:rsidRPr="00AA040E">
        <w:rPr>
          <w:rFonts w:cstheme="minorHAnsi"/>
        </w:rPr>
        <w:t xml:space="preserve"> Randomized Complete Block Design (RCBD) with 10 replicates. The block represents an experimental day which is also a replicate. We included all four combinations of presence and absence of biofilm and surface texture which are depicted as A-D treatments, where each biofilm and texture combination was exposed to all 7 light conditions in a single replicate. (</w:t>
      </w:r>
      <w:r w:rsidRPr="00AA040E">
        <w:rPr>
          <w:rFonts w:cstheme="minorHAnsi"/>
          <w:b/>
          <w:bCs/>
        </w:rPr>
        <w:t>B</w:t>
      </w:r>
      <w:r w:rsidRPr="00AA040E">
        <w:rPr>
          <w:rFonts w:cstheme="minorHAnsi"/>
        </w:rPr>
        <w:t xml:space="preserve">) The individual effect of </w:t>
      </w:r>
      <w:r w:rsidRPr="00AA040E">
        <w:rPr>
          <w:rFonts w:cstheme="minorHAnsi"/>
        </w:rPr>
        <w:lastRenderedPageBreak/>
        <w:t>light cues on settlement. Larval settlement is significantly higher (</w:t>
      </w:r>
      <w:r w:rsidRPr="00AA040E">
        <w:rPr>
          <w:rFonts w:cstheme="minorHAnsi"/>
          <w:i/>
          <w:iCs/>
        </w:rPr>
        <w:t>p</w:t>
      </w:r>
      <w:r w:rsidRPr="00AA040E">
        <w:rPr>
          <w:rFonts w:cstheme="minorHAnsi"/>
        </w:rPr>
        <w:t>=0.0027) in the presence of a light cue compared to the absence of a light cue (darkness). (</w:t>
      </w:r>
      <w:r w:rsidRPr="00AA040E">
        <w:rPr>
          <w:rFonts w:cstheme="minorHAnsi"/>
          <w:b/>
          <w:bCs/>
        </w:rPr>
        <w:t>C</w:t>
      </w:r>
      <w:r w:rsidRPr="00AA040E">
        <w:rPr>
          <w:rFonts w:cstheme="minorHAnsi"/>
        </w:rPr>
        <w:t>) The individual effect of chemical cues (biofilm) on settlement. Larval settlement is significantly higher (</w:t>
      </w:r>
      <w:r w:rsidRPr="00AA040E">
        <w:rPr>
          <w:rFonts w:cstheme="minorHAnsi"/>
          <w:i/>
          <w:iCs/>
        </w:rPr>
        <w:t>p</w:t>
      </w:r>
      <w:r w:rsidRPr="00AA040E">
        <w:rPr>
          <w:rFonts w:cstheme="minorHAnsi"/>
        </w:rPr>
        <w:t>=&lt;2e-16) in the presence of a chemical cue compared to the absence of one. (</w:t>
      </w:r>
      <w:r w:rsidRPr="00AA040E">
        <w:rPr>
          <w:rFonts w:cstheme="minorHAnsi"/>
          <w:b/>
          <w:bCs/>
        </w:rPr>
        <w:t>D</w:t>
      </w:r>
      <w:r w:rsidRPr="00AA040E">
        <w:rPr>
          <w:rFonts w:cstheme="minorHAnsi"/>
        </w:rPr>
        <w:t>) The individual effect of mechanical cues (surface texture) on settlement. Larval settlement is significantly lower (</w:t>
      </w:r>
      <w:r w:rsidRPr="00AA040E">
        <w:rPr>
          <w:rFonts w:cstheme="minorHAnsi"/>
          <w:i/>
          <w:iCs/>
        </w:rPr>
        <w:t>p</w:t>
      </w:r>
      <w:r w:rsidRPr="00AA040E">
        <w:rPr>
          <w:rFonts w:cstheme="minorHAnsi"/>
        </w:rPr>
        <w:t>=&lt;2e-16) in the presence of a mechanical cue compared to the absence of one. (</w:t>
      </w:r>
      <w:r w:rsidRPr="00AA040E">
        <w:rPr>
          <w:rFonts w:cstheme="minorHAnsi"/>
          <w:b/>
          <w:bCs/>
        </w:rPr>
        <w:t>E</w:t>
      </w:r>
      <w:r w:rsidRPr="00AA040E">
        <w:rPr>
          <w:rFonts w:cstheme="minorHAnsi"/>
        </w:rPr>
        <w:t>) The effect of the seven light conditions on settlement. Larval settlement was significantly lower in darkness (</w:t>
      </w:r>
      <w:r w:rsidRPr="00AA040E">
        <w:rPr>
          <w:rFonts w:cstheme="minorHAnsi"/>
          <w:i/>
          <w:iCs/>
        </w:rPr>
        <w:t>p</w:t>
      </w:r>
      <w:r w:rsidRPr="00AA040E">
        <w:rPr>
          <w:rFonts w:cstheme="minorHAnsi"/>
        </w:rPr>
        <w:t>=0.00272) and in red wavelengths of light (</w:t>
      </w:r>
      <w:r w:rsidRPr="00AA040E">
        <w:rPr>
          <w:rFonts w:cstheme="minorHAnsi"/>
          <w:i/>
          <w:iCs/>
        </w:rPr>
        <w:t>p</w:t>
      </w:r>
      <w:r w:rsidRPr="00AA040E">
        <w:rPr>
          <w:rFonts w:cstheme="minorHAnsi"/>
        </w:rPr>
        <w:t>=0.01137) and significantly higher in green wavelengths of light(</w:t>
      </w:r>
      <w:r w:rsidRPr="00AA040E">
        <w:rPr>
          <w:rFonts w:cstheme="minorHAnsi"/>
          <w:i/>
          <w:iCs/>
        </w:rPr>
        <w:t>p</w:t>
      </w:r>
      <w:r w:rsidRPr="00AA040E">
        <w:rPr>
          <w:rFonts w:cstheme="minorHAnsi"/>
        </w:rPr>
        <w:t>=0.00167). (</w:t>
      </w:r>
      <w:r w:rsidRPr="00AA040E">
        <w:rPr>
          <w:rFonts w:cstheme="minorHAnsi"/>
          <w:b/>
          <w:bCs/>
        </w:rPr>
        <w:t>F</w:t>
      </w:r>
      <w:r w:rsidRPr="00AA040E">
        <w:rPr>
          <w:rFonts w:cstheme="minorHAnsi"/>
        </w:rPr>
        <w:t xml:space="preserve">) The effect of chemical cues (biofilm) across the seven light conditions. There were no significant differences in settlement in any wavelength of light (blue </w:t>
      </w:r>
      <w:r w:rsidRPr="00AA040E">
        <w:rPr>
          <w:rFonts w:cstheme="minorHAnsi"/>
          <w:i/>
          <w:iCs/>
        </w:rPr>
        <w:t>p</w:t>
      </w:r>
      <w:r w:rsidRPr="00AA040E">
        <w:rPr>
          <w:rFonts w:cstheme="minorHAnsi"/>
        </w:rPr>
        <w:t xml:space="preserve">=0.51; green </w:t>
      </w:r>
      <w:r w:rsidRPr="00AA040E">
        <w:rPr>
          <w:rFonts w:cstheme="minorHAnsi"/>
          <w:i/>
          <w:iCs/>
        </w:rPr>
        <w:t>p</w:t>
      </w:r>
      <w:r w:rsidRPr="00AA040E">
        <w:rPr>
          <w:rFonts w:cstheme="minorHAnsi"/>
        </w:rPr>
        <w:t xml:space="preserve">=0.60; red </w:t>
      </w:r>
      <w:r w:rsidRPr="00AA040E">
        <w:rPr>
          <w:rFonts w:cstheme="minorHAnsi"/>
          <w:i/>
          <w:iCs/>
        </w:rPr>
        <w:t>p</w:t>
      </w:r>
      <w:r w:rsidRPr="00AA040E">
        <w:rPr>
          <w:rFonts w:cstheme="minorHAnsi"/>
        </w:rPr>
        <w:t>=0.88) in the presence of a chemical cue. (</w:t>
      </w:r>
      <w:r w:rsidRPr="00AA040E">
        <w:rPr>
          <w:rFonts w:cstheme="minorHAnsi"/>
          <w:b/>
          <w:bCs/>
        </w:rPr>
        <w:t>G</w:t>
      </w:r>
      <w:r w:rsidRPr="00AA040E">
        <w:rPr>
          <w:rFonts w:cstheme="minorHAnsi"/>
        </w:rPr>
        <w:t xml:space="preserve">) The effect of mechanical cues (surface texture) across the seven light conditions. There were no significant differences in settlement in any wavelength of light in the presence of a mechanical cue (blue </w:t>
      </w:r>
      <w:r w:rsidRPr="00AA040E">
        <w:rPr>
          <w:rFonts w:cstheme="minorHAnsi"/>
          <w:i/>
          <w:iCs/>
        </w:rPr>
        <w:t>p</w:t>
      </w:r>
      <w:r w:rsidRPr="00AA040E">
        <w:rPr>
          <w:rFonts w:cstheme="minorHAnsi"/>
        </w:rPr>
        <w:t xml:space="preserve">=0.99; green </w:t>
      </w:r>
      <w:r w:rsidRPr="00AA040E">
        <w:rPr>
          <w:rFonts w:cstheme="minorHAnsi"/>
          <w:i/>
          <w:iCs/>
        </w:rPr>
        <w:t>p</w:t>
      </w:r>
      <w:r w:rsidRPr="00AA040E">
        <w:rPr>
          <w:rFonts w:cstheme="minorHAnsi"/>
        </w:rPr>
        <w:t xml:space="preserve">=0.79; red </w:t>
      </w:r>
      <w:r w:rsidRPr="00AA040E">
        <w:rPr>
          <w:rFonts w:cstheme="minorHAnsi"/>
          <w:i/>
          <w:iCs/>
        </w:rPr>
        <w:t>p</w:t>
      </w:r>
      <w:r w:rsidRPr="00AA040E">
        <w:rPr>
          <w:rFonts w:cstheme="minorHAnsi"/>
        </w:rPr>
        <w:t>=0.79). (</w:t>
      </w:r>
      <w:r w:rsidRPr="00AA040E">
        <w:rPr>
          <w:rFonts w:cstheme="minorHAnsi"/>
          <w:b/>
          <w:bCs/>
        </w:rPr>
        <w:t>H</w:t>
      </w:r>
      <w:r w:rsidRPr="00AA040E">
        <w:rPr>
          <w:rFonts w:cstheme="minorHAnsi"/>
        </w:rPr>
        <w:t>) The effect of chemical and mechanical cues combined across the seven light conditions. There was a significant increase in settlement in the presence of green wavelengths of light (</w:t>
      </w:r>
      <w:r w:rsidRPr="00AA040E">
        <w:rPr>
          <w:rFonts w:cstheme="minorHAnsi"/>
          <w:i/>
          <w:iCs/>
        </w:rPr>
        <w:t>p</w:t>
      </w:r>
      <w:r w:rsidRPr="00AA040E">
        <w:rPr>
          <w:rFonts w:cstheme="minorHAnsi"/>
        </w:rPr>
        <w:t>=0.02) and significantly lower settlement in red wavelengths of light (</w:t>
      </w:r>
      <w:r w:rsidRPr="00AA040E">
        <w:rPr>
          <w:rFonts w:cstheme="minorHAnsi"/>
          <w:i/>
          <w:iCs/>
        </w:rPr>
        <w:t>p</w:t>
      </w:r>
      <w:r w:rsidRPr="00AA040E">
        <w:rPr>
          <w:rFonts w:cstheme="minorHAnsi"/>
        </w:rPr>
        <w:t>=0.003). (</w:t>
      </w:r>
      <w:r w:rsidRPr="00AA040E">
        <w:rPr>
          <w:rFonts w:cstheme="minorHAnsi"/>
          <w:b/>
          <w:bCs/>
        </w:rPr>
        <w:t>I</w:t>
      </w:r>
      <w:r w:rsidRPr="00AA040E">
        <w:rPr>
          <w:rFonts w:cstheme="minorHAnsi"/>
        </w:rPr>
        <w:t>) The interaction of chemical cues and light cues. There was no significant interaction between these two cues (</w:t>
      </w:r>
      <w:r w:rsidRPr="00AA040E">
        <w:rPr>
          <w:rFonts w:cstheme="minorHAnsi"/>
          <w:i/>
          <w:iCs/>
        </w:rPr>
        <w:t>p</w:t>
      </w:r>
      <w:r w:rsidRPr="00AA040E">
        <w:rPr>
          <w:rFonts w:cstheme="minorHAnsi"/>
        </w:rPr>
        <w:t>=0.33). (</w:t>
      </w:r>
      <w:r w:rsidRPr="00AA040E">
        <w:rPr>
          <w:rFonts w:cstheme="minorHAnsi"/>
          <w:b/>
          <w:bCs/>
        </w:rPr>
        <w:t>J</w:t>
      </w:r>
      <w:r w:rsidRPr="00AA040E">
        <w:rPr>
          <w:rFonts w:cstheme="minorHAnsi"/>
        </w:rPr>
        <w:t>) The interaction between mechanical cues and light cues. There was no significant interaction between these two cues (</w:t>
      </w:r>
      <w:r w:rsidRPr="00AA040E">
        <w:rPr>
          <w:rFonts w:cstheme="minorHAnsi"/>
          <w:i/>
          <w:iCs/>
        </w:rPr>
        <w:t>p</w:t>
      </w:r>
      <w:r w:rsidRPr="00AA040E">
        <w:rPr>
          <w:rFonts w:cstheme="minorHAnsi"/>
        </w:rPr>
        <w:t>= 0.89). (</w:t>
      </w:r>
      <w:r w:rsidRPr="00AA040E">
        <w:rPr>
          <w:rFonts w:cstheme="minorHAnsi"/>
          <w:b/>
          <w:bCs/>
        </w:rPr>
        <w:t>K</w:t>
      </w:r>
      <w:r w:rsidRPr="00AA040E">
        <w:rPr>
          <w:rFonts w:cstheme="minorHAnsi"/>
        </w:rPr>
        <w:t>) The interaction between chemical and mechanical cues. There was a significant interaction between these two cues (</w:t>
      </w:r>
      <w:r w:rsidRPr="00AA040E">
        <w:rPr>
          <w:rFonts w:cstheme="minorHAnsi"/>
          <w:i/>
          <w:iCs/>
        </w:rPr>
        <w:t>p</w:t>
      </w:r>
      <w:r w:rsidRPr="00AA040E">
        <w:rPr>
          <w:rFonts w:cstheme="minorHAnsi"/>
        </w:rPr>
        <w:t>=&lt;2e-16) with an additive effect in the presence of both cues. (</w:t>
      </w:r>
      <w:r w:rsidRPr="00AA040E">
        <w:rPr>
          <w:rFonts w:cstheme="minorHAnsi"/>
          <w:b/>
          <w:bCs/>
        </w:rPr>
        <w:t>L</w:t>
      </w:r>
      <w:r w:rsidRPr="00AA040E">
        <w:rPr>
          <w:rFonts w:cstheme="minorHAnsi"/>
        </w:rPr>
        <w:t>) The three-way interaction of chemical, mechanical, and light cues. Treatment A is the light cues only treatment, treatment B is light and chemical cues, treatment C is light and mechanical cues, and treatment D is all three cues. There is a significant three-way interaction (</w:t>
      </w:r>
      <w:r w:rsidRPr="00AA040E">
        <w:rPr>
          <w:rFonts w:cstheme="minorHAnsi"/>
          <w:i/>
          <w:iCs/>
        </w:rPr>
        <w:t>p</w:t>
      </w:r>
      <w:r w:rsidRPr="00AA040E">
        <w:rPr>
          <w:rFonts w:cstheme="minorHAnsi"/>
        </w:rPr>
        <w:t>=0.02).</w:t>
      </w:r>
    </w:p>
    <w:p w14:paraId="773F160C" w14:textId="079A4E98" w:rsidR="00087B19" w:rsidRDefault="00087B19" w:rsidP="00087B19">
      <w:pPr>
        <w:jc w:val="both"/>
        <w:rPr>
          <w:rFonts w:cstheme="minorHAnsi"/>
          <w:b/>
          <w:bCs/>
        </w:rPr>
      </w:pPr>
    </w:p>
    <w:p w14:paraId="45C5DABC" w14:textId="44864F4B" w:rsidR="004320BD" w:rsidRPr="00AA040E" w:rsidRDefault="004320BD" w:rsidP="004320BD">
      <w:pPr>
        <w:jc w:val="center"/>
        <w:rPr>
          <w:rFonts w:cstheme="minorHAnsi"/>
          <w:b/>
          <w:bCs/>
        </w:rPr>
      </w:pPr>
      <w:r w:rsidRPr="004320BD">
        <w:rPr>
          <w:rFonts w:cstheme="minorHAnsi"/>
          <w:b/>
          <w:bCs/>
          <w:noProof/>
        </w:rPr>
        <w:lastRenderedPageBreak/>
        <w:drawing>
          <wp:inline distT="0" distB="0" distL="0" distR="0" wp14:anchorId="6F9CC0F1" wp14:editId="42F7C4BF">
            <wp:extent cx="4495800" cy="4159576"/>
            <wp:effectExtent l="0" t="0" r="0" b="635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2"/>
                    <a:stretch>
                      <a:fillRect/>
                    </a:stretch>
                  </pic:blipFill>
                  <pic:spPr>
                    <a:xfrm>
                      <a:off x="0" y="0"/>
                      <a:ext cx="4511268" cy="4173887"/>
                    </a:xfrm>
                    <a:prstGeom prst="rect">
                      <a:avLst/>
                    </a:prstGeom>
                  </pic:spPr>
                </pic:pic>
              </a:graphicData>
            </a:graphic>
          </wp:inline>
        </w:drawing>
      </w:r>
    </w:p>
    <w:p w14:paraId="4A3DBE0C" w14:textId="77777777" w:rsidR="00087B19" w:rsidRPr="00AA040E" w:rsidRDefault="00087B19" w:rsidP="00087B19">
      <w:pPr>
        <w:jc w:val="both"/>
        <w:rPr>
          <w:rFonts w:cstheme="minorHAnsi"/>
          <w:b/>
          <w:bCs/>
        </w:rPr>
      </w:pPr>
      <w:r w:rsidRPr="00AA040E">
        <w:rPr>
          <w:rFonts w:cstheme="minorHAnsi"/>
          <w:noProof/>
        </w:rPr>
        <w:softHyphen/>
      </w:r>
      <w:r w:rsidRPr="00AA040E">
        <w:rPr>
          <w:rFonts w:cstheme="minorHAnsi"/>
          <w:noProof/>
        </w:rPr>
        <w:softHyphen/>
      </w:r>
      <w:r w:rsidRPr="00AA040E">
        <w:rPr>
          <w:rFonts w:cstheme="minorHAnsi"/>
          <w:noProof/>
        </w:rPr>
        <w:softHyphen/>
      </w:r>
      <w:r w:rsidRPr="00AA040E">
        <w:rPr>
          <w:rFonts w:cstheme="minorHAnsi"/>
          <w:b/>
          <w:bCs/>
        </w:rPr>
        <w:t xml:space="preserve">Figure 3. </w:t>
      </w:r>
      <w:r w:rsidRPr="00AA040E">
        <w:rPr>
          <w:rFonts w:cstheme="minorHAnsi"/>
        </w:rPr>
        <w:t>Sensory cue hierarchy of larval settlement in actinula larvae</w:t>
      </w:r>
    </w:p>
    <w:p w14:paraId="3DB0BD95" w14:textId="77777777" w:rsidR="00087B19" w:rsidRPr="00AA040E" w:rsidRDefault="00087B19" w:rsidP="00087B19">
      <w:pPr>
        <w:jc w:val="both"/>
        <w:rPr>
          <w:rFonts w:cstheme="minorHAnsi"/>
        </w:rPr>
      </w:pPr>
      <w:r w:rsidRPr="00AA040E">
        <w:rPr>
          <w:rFonts w:cstheme="minorHAnsi"/>
        </w:rPr>
        <w:t>The highest rates in settlement occur in the presence of all three cues, where significantly higher settlement rates occurred in the presence of green light, and significantly lower settlement rates occurred in the presence of red light. Following the combination of all three cues is the second tier composed of chemical cues which significantly increases larval settlement rates, but not to the same magnitude as having all three cues present. Light did not interact with chemical cues, leading to the lack of a light hierarchy in this second tier. The third tier is the light cues only treatment, where the highest rates of settlement occur in green light and the lowest rates occur in red light. Lastly, is the Mechanical cue tier which significantly decreased settlement rates. Additionally, the scale of color indicates the strength of a cue (darker colors indicate stronger influence).</w:t>
      </w:r>
    </w:p>
    <w:p w14:paraId="4065D432" w14:textId="1CEB8541" w:rsidR="00087B19" w:rsidRDefault="00087B19" w:rsidP="00087B19">
      <w:pPr>
        <w:jc w:val="both"/>
        <w:rPr>
          <w:rFonts w:cstheme="minorHAnsi"/>
          <w:b/>
          <w:bCs/>
        </w:rPr>
      </w:pPr>
    </w:p>
    <w:p w14:paraId="1263D340" w14:textId="7394B79E" w:rsidR="004320BD" w:rsidRPr="00AA040E" w:rsidRDefault="004320BD" w:rsidP="00087B19">
      <w:pPr>
        <w:jc w:val="both"/>
        <w:rPr>
          <w:rFonts w:cstheme="minorHAnsi"/>
          <w:b/>
          <w:bCs/>
        </w:rPr>
      </w:pPr>
      <w:r w:rsidRPr="004320BD">
        <w:rPr>
          <w:rFonts w:cstheme="minorHAnsi"/>
          <w:b/>
          <w:bCs/>
          <w:noProof/>
        </w:rPr>
        <w:lastRenderedPageBreak/>
        <w:drawing>
          <wp:inline distT="0" distB="0" distL="0" distR="0" wp14:anchorId="2B5527B4" wp14:editId="483861F1">
            <wp:extent cx="5943600" cy="67075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6707505"/>
                    </a:xfrm>
                    <a:prstGeom prst="rect">
                      <a:avLst/>
                    </a:prstGeom>
                  </pic:spPr>
                </pic:pic>
              </a:graphicData>
            </a:graphic>
          </wp:inline>
        </w:drawing>
      </w:r>
    </w:p>
    <w:p w14:paraId="1D8A5E8E" w14:textId="77777777" w:rsidR="00087B19" w:rsidRPr="00AA040E" w:rsidRDefault="00087B19" w:rsidP="00087B19">
      <w:pPr>
        <w:jc w:val="both"/>
        <w:rPr>
          <w:rFonts w:cstheme="minorHAnsi"/>
        </w:rPr>
      </w:pPr>
      <w:r w:rsidRPr="00AA040E">
        <w:rPr>
          <w:rFonts w:cstheme="minorHAnsi"/>
          <w:b/>
          <w:bCs/>
        </w:rPr>
        <w:t xml:space="preserve">Figure 4. </w:t>
      </w:r>
      <w:r w:rsidRPr="00AA040E">
        <w:rPr>
          <w:rFonts w:cstheme="minorHAnsi"/>
        </w:rPr>
        <w:t>Gene expression over development in actinulae larvae for three sensory gene sets</w:t>
      </w:r>
    </w:p>
    <w:p w14:paraId="605A1FA3" w14:textId="77777777" w:rsidR="00087B19" w:rsidRPr="00AA040E" w:rsidRDefault="00087B19" w:rsidP="00087B19">
      <w:pPr>
        <w:jc w:val="both"/>
        <w:rPr>
          <w:rFonts w:cstheme="minorHAnsi"/>
        </w:rPr>
      </w:pPr>
      <w:r w:rsidRPr="00AA040E">
        <w:rPr>
          <w:rFonts w:cstheme="minorHAnsi"/>
        </w:rPr>
        <w:t>Heatmaps of significantly differentially expressed genes over development for the following three gene sets: (</w:t>
      </w:r>
      <w:r w:rsidRPr="00AA040E">
        <w:rPr>
          <w:rFonts w:cstheme="minorHAnsi"/>
          <w:b/>
          <w:bCs/>
        </w:rPr>
        <w:t>A</w:t>
      </w:r>
      <w:r w:rsidRPr="00AA040E">
        <w:rPr>
          <w:rFonts w:cstheme="minorHAnsi"/>
        </w:rPr>
        <w:t>) sensory perception of light stimulus; (</w:t>
      </w:r>
      <w:r w:rsidRPr="00AA040E">
        <w:rPr>
          <w:rFonts w:cstheme="minorHAnsi"/>
          <w:b/>
          <w:bCs/>
        </w:rPr>
        <w:t>B</w:t>
      </w:r>
      <w:r w:rsidRPr="00AA040E">
        <w:rPr>
          <w:rFonts w:cstheme="minorHAnsi"/>
        </w:rPr>
        <w:t>) sensory perception of chemical stimulus; and (</w:t>
      </w:r>
      <w:r w:rsidRPr="00AA040E">
        <w:rPr>
          <w:rFonts w:cstheme="minorHAnsi"/>
          <w:b/>
          <w:bCs/>
        </w:rPr>
        <w:t>C</w:t>
      </w:r>
      <w:r w:rsidRPr="00AA040E">
        <w:rPr>
          <w:rFonts w:cstheme="minorHAnsi"/>
        </w:rPr>
        <w:t xml:space="preserve">) sensory perception of mechanical stimulus. High expression is signified by yellow and low expression is light blue. The grey panels to the right contain abbreviated descriptions of gene functions from </w:t>
      </w:r>
      <w:proofErr w:type="spellStart"/>
      <w:r w:rsidRPr="00AA040E">
        <w:rPr>
          <w:rFonts w:cstheme="minorHAnsi"/>
        </w:rPr>
        <w:t>UniProt</w:t>
      </w:r>
      <w:proofErr w:type="spellEnd"/>
      <w:r w:rsidRPr="00AA040E">
        <w:rPr>
          <w:rFonts w:cstheme="minorHAnsi"/>
        </w:rPr>
        <w:t xml:space="preserve">. The transcripts highlighted in red are the transcripts used to make RNA Fluorescent </w:t>
      </w:r>
      <w:r w:rsidRPr="00AA040E">
        <w:rPr>
          <w:rFonts w:cstheme="minorHAnsi"/>
          <w:i/>
          <w:iCs/>
        </w:rPr>
        <w:t>in situ</w:t>
      </w:r>
      <w:r w:rsidRPr="00AA040E">
        <w:rPr>
          <w:rFonts w:cstheme="minorHAnsi"/>
        </w:rPr>
        <w:t xml:space="preserve"> hybridization probes.</w:t>
      </w:r>
      <w:r>
        <w:rPr>
          <w:rFonts w:cstheme="minorHAnsi"/>
        </w:rPr>
        <w:t xml:space="preserve"> Gene trees of the orthogroups of probes can be seen in Figure S6.</w:t>
      </w:r>
      <w:r w:rsidRPr="00AA040E">
        <w:rPr>
          <w:rFonts w:cstheme="minorHAnsi"/>
        </w:rPr>
        <w:t xml:space="preserve"> Developmental stages: 1 </w:t>
      </w:r>
      <w:r w:rsidRPr="00AA040E">
        <w:rPr>
          <w:rFonts w:cstheme="minorHAnsi"/>
          <w:i/>
          <w:iCs/>
        </w:rPr>
        <w:t>star embryo</w:t>
      </w:r>
      <w:r w:rsidRPr="00AA040E">
        <w:rPr>
          <w:rFonts w:cstheme="minorHAnsi"/>
        </w:rPr>
        <w:t xml:space="preserve">, 2 </w:t>
      </w:r>
      <w:r w:rsidRPr="00AA040E">
        <w:rPr>
          <w:rFonts w:cstheme="minorHAnsi"/>
          <w:i/>
          <w:iCs/>
        </w:rPr>
        <w:t>preactinula</w:t>
      </w:r>
      <w:r w:rsidRPr="00AA040E">
        <w:rPr>
          <w:rFonts w:cstheme="minorHAnsi"/>
        </w:rPr>
        <w:t xml:space="preserve">, 3 </w:t>
      </w:r>
      <w:r w:rsidRPr="00AA040E">
        <w:rPr>
          <w:rFonts w:cstheme="minorHAnsi"/>
          <w:i/>
          <w:iCs/>
        </w:rPr>
        <w:t xml:space="preserve">young </w:t>
      </w:r>
      <w:r w:rsidRPr="00AA040E">
        <w:rPr>
          <w:rFonts w:cstheme="minorHAnsi"/>
          <w:i/>
          <w:iCs/>
        </w:rPr>
        <w:lastRenderedPageBreak/>
        <w:t>actinula</w:t>
      </w:r>
      <w:r w:rsidRPr="00AA040E">
        <w:rPr>
          <w:rFonts w:cstheme="minorHAnsi"/>
        </w:rPr>
        <w:t xml:space="preserve">, 4 </w:t>
      </w:r>
      <w:r w:rsidRPr="00AA040E">
        <w:rPr>
          <w:rFonts w:cstheme="minorHAnsi"/>
          <w:i/>
          <w:iCs/>
        </w:rPr>
        <w:t>actinula in nematocyte-printing stage</w:t>
      </w:r>
      <w:r w:rsidRPr="00AA040E">
        <w:rPr>
          <w:rFonts w:cstheme="minorHAnsi"/>
        </w:rPr>
        <w:t xml:space="preserve">, 5 </w:t>
      </w:r>
      <w:r w:rsidRPr="00AA040E">
        <w:rPr>
          <w:rFonts w:cstheme="minorHAnsi"/>
          <w:i/>
          <w:iCs/>
        </w:rPr>
        <w:t>settled (attached) actinula</w:t>
      </w:r>
      <w:r w:rsidRPr="00AA040E">
        <w:rPr>
          <w:rFonts w:cstheme="minorHAnsi"/>
        </w:rPr>
        <w:t xml:space="preserve">, 6 </w:t>
      </w:r>
      <w:r w:rsidRPr="00AA040E">
        <w:rPr>
          <w:rFonts w:cstheme="minorHAnsi"/>
          <w:i/>
          <w:iCs/>
        </w:rPr>
        <w:t xml:space="preserve">metamorphosed juvenile </w:t>
      </w:r>
      <w:proofErr w:type="gramStart"/>
      <w:r w:rsidRPr="00AA040E">
        <w:rPr>
          <w:rFonts w:cstheme="minorHAnsi"/>
          <w:i/>
          <w:iCs/>
        </w:rPr>
        <w:t>polyp</w:t>
      </w:r>
      <w:proofErr w:type="gramEnd"/>
      <w:r w:rsidRPr="00AA040E">
        <w:rPr>
          <w:rFonts w:cstheme="minorHAnsi"/>
        </w:rPr>
        <w:t>.</w:t>
      </w:r>
    </w:p>
    <w:p w14:paraId="7C7C96F0" w14:textId="1D751024" w:rsidR="00087B19" w:rsidRDefault="00087B19" w:rsidP="00087B19">
      <w:pPr>
        <w:jc w:val="both"/>
        <w:rPr>
          <w:rFonts w:cstheme="minorHAnsi"/>
          <w:b/>
          <w:bCs/>
        </w:rPr>
      </w:pPr>
    </w:p>
    <w:p w14:paraId="2EF8E9E7" w14:textId="1ED07F76" w:rsidR="004320BD" w:rsidRPr="00AA040E" w:rsidRDefault="004320BD" w:rsidP="00087B19">
      <w:pPr>
        <w:jc w:val="both"/>
        <w:rPr>
          <w:rFonts w:cstheme="minorHAnsi"/>
          <w:b/>
          <w:bCs/>
        </w:rPr>
      </w:pPr>
      <w:r w:rsidRPr="004320BD">
        <w:rPr>
          <w:rFonts w:cstheme="minorHAnsi"/>
          <w:b/>
          <w:bCs/>
          <w:noProof/>
        </w:rPr>
        <w:drawing>
          <wp:inline distT="0" distB="0" distL="0" distR="0" wp14:anchorId="3FB6978D" wp14:editId="75AA0248">
            <wp:extent cx="5943600" cy="58813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5881370"/>
                    </a:xfrm>
                    <a:prstGeom prst="rect">
                      <a:avLst/>
                    </a:prstGeom>
                  </pic:spPr>
                </pic:pic>
              </a:graphicData>
            </a:graphic>
          </wp:inline>
        </w:drawing>
      </w:r>
    </w:p>
    <w:p w14:paraId="52B77683" w14:textId="77777777" w:rsidR="00087B19" w:rsidRPr="00AA040E" w:rsidRDefault="00087B19" w:rsidP="00087B19">
      <w:pPr>
        <w:jc w:val="both"/>
        <w:rPr>
          <w:rFonts w:cstheme="minorHAnsi"/>
          <w:b/>
          <w:bCs/>
        </w:rPr>
      </w:pPr>
      <w:r w:rsidRPr="00AA040E">
        <w:rPr>
          <w:rFonts w:cstheme="minorHAnsi"/>
          <w:b/>
          <w:bCs/>
        </w:rPr>
        <w:t xml:space="preserve">Figure 5. </w:t>
      </w:r>
      <w:r w:rsidRPr="00AA040E">
        <w:rPr>
          <w:rFonts w:cstheme="minorHAnsi"/>
        </w:rPr>
        <w:t xml:space="preserve">RNA fluorescent </w:t>
      </w:r>
      <w:r w:rsidRPr="00AA040E">
        <w:rPr>
          <w:rFonts w:cstheme="minorHAnsi"/>
          <w:i/>
          <w:iCs/>
        </w:rPr>
        <w:t>in-situ</w:t>
      </w:r>
      <w:r w:rsidRPr="00AA040E">
        <w:rPr>
          <w:rFonts w:cstheme="minorHAnsi"/>
        </w:rPr>
        <w:t xml:space="preserve"> hybridizations (FISH) of sensory transcripts in actinulae tentacles</w:t>
      </w:r>
    </w:p>
    <w:p w14:paraId="634A6D35" w14:textId="77777777" w:rsidR="00087B19" w:rsidRPr="00AA040E" w:rsidRDefault="00087B19" w:rsidP="00087B19">
      <w:pPr>
        <w:jc w:val="both"/>
        <w:rPr>
          <w:rFonts w:cstheme="minorHAnsi"/>
          <w:b/>
          <w:bCs/>
        </w:rPr>
      </w:pPr>
      <w:r w:rsidRPr="00AA040E">
        <w:rPr>
          <w:rFonts w:cstheme="minorHAnsi"/>
        </w:rPr>
        <w:t>(</w:t>
      </w:r>
      <w:r w:rsidRPr="00AA040E">
        <w:rPr>
          <w:rFonts w:cstheme="minorHAnsi"/>
          <w:b/>
          <w:bCs/>
        </w:rPr>
        <w:t>A-</w:t>
      </w:r>
      <w:r>
        <w:rPr>
          <w:rFonts w:cstheme="minorHAnsi"/>
          <w:b/>
          <w:bCs/>
        </w:rPr>
        <w:t>C</w:t>
      </w:r>
      <w:r w:rsidRPr="00AA040E">
        <w:rPr>
          <w:rFonts w:cstheme="minorHAnsi"/>
        </w:rPr>
        <w:t>) Same tissue</w:t>
      </w:r>
      <w:r>
        <w:rPr>
          <w:rFonts w:cstheme="minorHAnsi"/>
        </w:rPr>
        <w:t xml:space="preserve"> where green is opsin, red is ASIC, cyan is PKD1L3, and blue is DAPI</w:t>
      </w:r>
      <w:r w:rsidRPr="00AA040E">
        <w:rPr>
          <w:rFonts w:cstheme="minorHAnsi"/>
        </w:rPr>
        <w:t>. (</w:t>
      </w:r>
      <w:r w:rsidRPr="00AA040E">
        <w:rPr>
          <w:rFonts w:cstheme="minorHAnsi"/>
          <w:b/>
          <w:bCs/>
        </w:rPr>
        <w:t>A</w:t>
      </w:r>
      <w:r w:rsidRPr="00AA040E">
        <w:rPr>
          <w:rFonts w:cstheme="minorHAnsi"/>
        </w:rPr>
        <w:t xml:space="preserve">) </w:t>
      </w:r>
      <w:r>
        <w:rPr>
          <w:rFonts w:cstheme="minorHAnsi"/>
        </w:rPr>
        <w:t xml:space="preserve">Merge of </w:t>
      </w:r>
      <w:r w:rsidRPr="00AA040E">
        <w:rPr>
          <w:rFonts w:cstheme="minorHAnsi"/>
        </w:rPr>
        <w:t xml:space="preserve">all confocal channels </w:t>
      </w:r>
      <w:r>
        <w:rPr>
          <w:rFonts w:cstheme="minorHAnsi"/>
        </w:rPr>
        <w:t>with</w:t>
      </w:r>
      <w:r w:rsidRPr="00AA040E">
        <w:rPr>
          <w:rFonts w:cstheme="minorHAnsi"/>
        </w:rPr>
        <w:t xml:space="preserve"> the transmitted light (TD) channel</w:t>
      </w:r>
      <w:r>
        <w:rPr>
          <w:rFonts w:cstheme="minorHAnsi"/>
        </w:rPr>
        <w:t xml:space="preserve">. </w:t>
      </w:r>
      <w:r w:rsidRPr="00AA040E">
        <w:rPr>
          <w:rFonts w:cstheme="minorHAnsi"/>
        </w:rPr>
        <w:t>(</w:t>
      </w:r>
      <w:r w:rsidRPr="00AA040E">
        <w:rPr>
          <w:rFonts w:cstheme="minorHAnsi"/>
          <w:b/>
          <w:bCs/>
        </w:rPr>
        <w:t>B</w:t>
      </w:r>
      <w:r>
        <w:rPr>
          <w:rFonts w:cstheme="minorHAnsi"/>
        </w:rPr>
        <w:t>-</w:t>
      </w:r>
      <w:r w:rsidRPr="00AA040E">
        <w:rPr>
          <w:rFonts w:cstheme="minorHAnsi"/>
          <w:b/>
          <w:bCs/>
        </w:rPr>
        <w:t>C</w:t>
      </w:r>
      <w:r w:rsidRPr="00AA040E">
        <w:rPr>
          <w:rFonts w:cstheme="minorHAnsi"/>
        </w:rPr>
        <w:t>) The merge of confocal channels separated from transmitted light (TD)</w:t>
      </w:r>
      <w:r>
        <w:rPr>
          <w:rFonts w:cstheme="minorHAnsi"/>
        </w:rPr>
        <w:t>.</w:t>
      </w:r>
      <w:r w:rsidRPr="00AA040E">
        <w:rPr>
          <w:rFonts w:cstheme="minorHAnsi"/>
        </w:rPr>
        <w:t xml:space="preserve"> (</w:t>
      </w:r>
      <w:r>
        <w:rPr>
          <w:rFonts w:cstheme="minorHAnsi"/>
          <w:b/>
          <w:bCs/>
        </w:rPr>
        <w:t>D-F</w:t>
      </w:r>
      <w:r w:rsidRPr="00AA040E">
        <w:rPr>
          <w:rFonts w:cstheme="minorHAnsi"/>
        </w:rPr>
        <w:t>) Same tissue</w:t>
      </w:r>
      <w:r>
        <w:rPr>
          <w:rFonts w:cstheme="minorHAnsi"/>
        </w:rPr>
        <w:t xml:space="preserve"> where green is opsin, red is TRPA, cyan is PKD2L1, and blue is DAPI</w:t>
      </w:r>
      <w:r w:rsidRPr="00AA040E">
        <w:rPr>
          <w:rFonts w:cstheme="minorHAnsi"/>
        </w:rPr>
        <w:t>. (</w:t>
      </w:r>
      <w:r>
        <w:rPr>
          <w:rFonts w:cstheme="minorHAnsi"/>
          <w:b/>
          <w:bCs/>
        </w:rPr>
        <w:t>D</w:t>
      </w:r>
      <w:r w:rsidRPr="00AA040E">
        <w:rPr>
          <w:rFonts w:cstheme="minorHAnsi"/>
        </w:rPr>
        <w:t xml:space="preserve">) </w:t>
      </w:r>
      <w:r>
        <w:rPr>
          <w:rFonts w:cstheme="minorHAnsi"/>
        </w:rPr>
        <w:t xml:space="preserve">Merge of </w:t>
      </w:r>
      <w:r w:rsidRPr="00AA040E">
        <w:rPr>
          <w:rFonts w:cstheme="minorHAnsi"/>
        </w:rPr>
        <w:t xml:space="preserve">confocal channels </w:t>
      </w:r>
      <w:r>
        <w:rPr>
          <w:rFonts w:cstheme="minorHAnsi"/>
        </w:rPr>
        <w:t>with</w:t>
      </w:r>
      <w:r w:rsidRPr="00AA040E">
        <w:rPr>
          <w:rFonts w:cstheme="minorHAnsi"/>
        </w:rPr>
        <w:t xml:space="preserve"> the transmitted light (TD) channel</w:t>
      </w:r>
      <w:r>
        <w:rPr>
          <w:rFonts w:cstheme="minorHAnsi"/>
        </w:rPr>
        <w:t xml:space="preserve">. </w:t>
      </w:r>
      <w:r w:rsidRPr="00AA040E">
        <w:rPr>
          <w:rFonts w:cstheme="minorHAnsi"/>
        </w:rPr>
        <w:t>(</w:t>
      </w:r>
      <w:r>
        <w:rPr>
          <w:rFonts w:cstheme="minorHAnsi"/>
          <w:b/>
          <w:bCs/>
        </w:rPr>
        <w:t>E</w:t>
      </w:r>
      <w:r>
        <w:rPr>
          <w:rFonts w:cstheme="minorHAnsi"/>
        </w:rPr>
        <w:t>-</w:t>
      </w:r>
      <w:r>
        <w:rPr>
          <w:rFonts w:cstheme="minorHAnsi"/>
          <w:b/>
          <w:bCs/>
        </w:rPr>
        <w:t>F</w:t>
      </w:r>
      <w:r w:rsidRPr="00AA040E">
        <w:rPr>
          <w:rFonts w:cstheme="minorHAnsi"/>
        </w:rPr>
        <w:t>) The merge of confocal channels separated from the transmitted light (TD)</w:t>
      </w:r>
      <w:r>
        <w:rPr>
          <w:rFonts w:cstheme="minorHAnsi"/>
        </w:rPr>
        <w:t>.</w:t>
      </w:r>
      <w:r w:rsidRPr="00AA040E" w:rsidDel="00EA2C8B">
        <w:rPr>
          <w:rFonts w:cstheme="minorHAnsi"/>
        </w:rPr>
        <w:t xml:space="preserve"> </w:t>
      </w:r>
      <w:r w:rsidRPr="00AA040E">
        <w:rPr>
          <w:rFonts w:cstheme="minorHAnsi"/>
        </w:rPr>
        <w:t>(</w:t>
      </w:r>
      <w:r>
        <w:rPr>
          <w:rFonts w:cstheme="minorHAnsi"/>
          <w:b/>
          <w:bCs/>
        </w:rPr>
        <w:t>G</w:t>
      </w:r>
      <w:r w:rsidRPr="00AA040E">
        <w:rPr>
          <w:rFonts w:cstheme="minorHAnsi"/>
          <w:b/>
          <w:bCs/>
        </w:rPr>
        <w:t>-</w:t>
      </w:r>
      <w:r>
        <w:rPr>
          <w:rFonts w:cstheme="minorHAnsi"/>
          <w:b/>
          <w:bCs/>
        </w:rPr>
        <w:t>I</w:t>
      </w:r>
      <w:r w:rsidRPr="00AA040E">
        <w:rPr>
          <w:rFonts w:cstheme="minorHAnsi"/>
        </w:rPr>
        <w:t>) Same tissue</w:t>
      </w:r>
      <w:r>
        <w:rPr>
          <w:rFonts w:cstheme="minorHAnsi"/>
        </w:rPr>
        <w:t xml:space="preserve"> where green is opsin, red is Piezo, cyan is PKD2L1, and blue is DAPI</w:t>
      </w:r>
      <w:r w:rsidRPr="00AA040E">
        <w:rPr>
          <w:rFonts w:cstheme="minorHAnsi"/>
        </w:rPr>
        <w:t>. (</w:t>
      </w:r>
      <w:r>
        <w:rPr>
          <w:rFonts w:cstheme="minorHAnsi"/>
          <w:b/>
          <w:bCs/>
        </w:rPr>
        <w:t>G</w:t>
      </w:r>
      <w:r w:rsidRPr="00AA040E">
        <w:rPr>
          <w:rFonts w:cstheme="minorHAnsi"/>
        </w:rPr>
        <w:t xml:space="preserve">) </w:t>
      </w:r>
      <w:r>
        <w:rPr>
          <w:rFonts w:cstheme="minorHAnsi"/>
        </w:rPr>
        <w:t xml:space="preserve">Merge of </w:t>
      </w:r>
      <w:r w:rsidRPr="00AA040E">
        <w:rPr>
          <w:rFonts w:cstheme="minorHAnsi"/>
        </w:rPr>
        <w:t xml:space="preserve">confocal channels </w:t>
      </w:r>
      <w:r>
        <w:rPr>
          <w:rFonts w:cstheme="minorHAnsi"/>
        </w:rPr>
        <w:t>with</w:t>
      </w:r>
      <w:r w:rsidRPr="00AA040E">
        <w:rPr>
          <w:rFonts w:cstheme="minorHAnsi"/>
        </w:rPr>
        <w:t xml:space="preserve"> the transmitted light (TD) channel</w:t>
      </w:r>
      <w:r>
        <w:rPr>
          <w:rFonts w:cstheme="minorHAnsi"/>
        </w:rPr>
        <w:t xml:space="preserve">. </w:t>
      </w:r>
      <w:r w:rsidRPr="00AA040E">
        <w:rPr>
          <w:rFonts w:cstheme="minorHAnsi"/>
        </w:rPr>
        <w:t>(</w:t>
      </w:r>
      <w:r>
        <w:rPr>
          <w:rFonts w:cstheme="minorHAnsi"/>
          <w:b/>
          <w:bCs/>
        </w:rPr>
        <w:t>H</w:t>
      </w:r>
      <w:r>
        <w:rPr>
          <w:rFonts w:cstheme="minorHAnsi"/>
        </w:rPr>
        <w:t>-</w:t>
      </w:r>
      <w:r>
        <w:rPr>
          <w:rFonts w:cstheme="minorHAnsi"/>
          <w:b/>
          <w:bCs/>
        </w:rPr>
        <w:t>I</w:t>
      </w:r>
      <w:r w:rsidRPr="00AA040E">
        <w:rPr>
          <w:rFonts w:cstheme="minorHAnsi"/>
        </w:rPr>
        <w:t>) The merge of all confocal channels separated from the transmitted light (TD)</w:t>
      </w:r>
      <w:r w:rsidRPr="00AA040E" w:rsidDel="00EA2C8B">
        <w:rPr>
          <w:rFonts w:cstheme="minorHAnsi"/>
        </w:rPr>
        <w:t xml:space="preserve"> </w:t>
      </w:r>
      <w:r>
        <w:rPr>
          <w:rFonts w:cstheme="minorHAnsi"/>
        </w:rPr>
        <w:t>at different sections of the sample.</w:t>
      </w:r>
      <w:r w:rsidRPr="00AA040E">
        <w:rPr>
          <w:rFonts w:cstheme="minorHAnsi"/>
        </w:rPr>
        <w:t xml:space="preserve"> </w:t>
      </w:r>
      <w:r>
        <w:rPr>
          <w:rFonts w:cstheme="minorHAnsi"/>
        </w:rPr>
        <w:lastRenderedPageBreak/>
        <w:t>C</w:t>
      </w:r>
      <w:r w:rsidRPr="00AA040E">
        <w:rPr>
          <w:rFonts w:cstheme="minorHAnsi"/>
        </w:rPr>
        <w:t>nidocytes (</w:t>
      </w:r>
      <w:proofErr w:type="spellStart"/>
      <w:r w:rsidRPr="00AA040E">
        <w:rPr>
          <w:rFonts w:cstheme="minorHAnsi"/>
        </w:rPr>
        <w:t>cn</w:t>
      </w:r>
      <w:proofErr w:type="spellEnd"/>
      <w:r w:rsidRPr="00AA040E">
        <w:rPr>
          <w:rFonts w:cstheme="minorHAnsi"/>
        </w:rPr>
        <w:t>)</w:t>
      </w:r>
      <w:r>
        <w:rPr>
          <w:rFonts w:cstheme="minorHAnsi"/>
        </w:rPr>
        <w:t xml:space="preserve">, </w:t>
      </w:r>
      <w:r w:rsidRPr="00AA040E">
        <w:rPr>
          <w:rFonts w:cstheme="minorHAnsi"/>
        </w:rPr>
        <w:t>sensory neurons (</w:t>
      </w:r>
      <w:proofErr w:type="spellStart"/>
      <w:r w:rsidRPr="00AA040E">
        <w:rPr>
          <w:rFonts w:cstheme="minorHAnsi"/>
        </w:rPr>
        <w:t>sn</w:t>
      </w:r>
      <w:proofErr w:type="spellEnd"/>
      <w:r w:rsidRPr="00AA040E">
        <w:rPr>
          <w:rFonts w:cstheme="minorHAnsi"/>
        </w:rPr>
        <w:t>)</w:t>
      </w:r>
      <w:r>
        <w:rPr>
          <w:rFonts w:cstheme="minorHAnsi"/>
        </w:rPr>
        <w:t xml:space="preserve">, </w:t>
      </w:r>
      <w:r w:rsidRPr="00AA040E">
        <w:rPr>
          <w:rFonts w:cstheme="minorHAnsi"/>
        </w:rPr>
        <w:t xml:space="preserve">ganglion </w:t>
      </w:r>
      <w:r>
        <w:rPr>
          <w:rFonts w:cstheme="minorHAnsi"/>
        </w:rPr>
        <w:t>cell</w:t>
      </w:r>
      <w:r w:rsidRPr="00AA040E">
        <w:rPr>
          <w:rFonts w:cstheme="minorHAnsi"/>
        </w:rPr>
        <w:t xml:space="preserve"> (</w:t>
      </w:r>
      <w:proofErr w:type="spellStart"/>
      <w:r w:rsidRPr="00AA040E">
        <w:rPr>
          <w:rFonts w:cstheme="minorHAnsi"/>
        </w:rPr>
        <w:t>g</w:t>
      </w:r>
      <w:r>
        <w:rPr>
          <w:rFonts w:cstheme="minorHAnsi"/>
        </w:rPr>
        <w:t>c</w:t>
      </w:r>
      <w:proofErr w:type="spellEnd"/>
      <w:r w:rsidRPr="00AA040E">
        <w:rPr>
          <w:rFonts w:cstheme="minorHAnsi"/>
        </w:rPr>
        <w:t>)</w:t>
      </w:r>
      <w:r>
        <w:rPr>
          <w:rFonts w:cstheme="minorHAnsi"/>
        </w:rPr>
        <w:t>, battery cell (</w:t>
      </w:r>
      <w:proofErr w:type="spellStart"/>
      <w:r>
        <w:rPr>
          <w:rFonts w:cstheme="minorHAnsi"/>
        </w:rPr>
        <w:t>bc</w:t>
      </w:r>
      <w:proofErr w:type="spellEnd"/>
      <w:r>
        <w:rPr>
          <w:rFonts w:cstheme="minorHAnsi"/>
        </w:rPr>
        <w:t xml:space="preserve">), medium (sea water) (m). </w:t>
      </w:r>
      <w:r w:rsidRPr="00AA040E">
        <w:rPr>
          <w:rFonts w:cstheme="minorHAnsi"/>
        </w:rPr>
        <w:t>All scale bars are 10um.</w:t>
      </w:r>
    </w:p>
    <w:p w14:paraId="660E9AB3" w14:textId="7BF02C15" w:rsidR="004945DF" w:rsidRDefault="004945DF" w:rsidP="00087B19">
      <w:pPr>
        <w:jc w:val="both"/>
      </w:pPr>
    </w:p>
    <w:sectPr w:rsidR="004945DF" w:rsidSect="004945DF">
      <w:footerReference w:type="even" r:id="rId15"/>
      <w:footerReference w:type="default" r:id="rId16"/>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25F48F" w14:textId="77777777" w:rsidR="00B766E7" w:rsidRDefault="00B766E7">
      <w:r>
        <w:separator/>
      </w:r>
    </w:p>
  </w:endnote>
  <w:endnote w:type="continuationSeparator" w:id="0">
    <w:p w14:paraId="4617F244" w14:textId="77777777" w:rsidR="00B766E7" w:rsidRDefault="00B766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ymbol">
    <w:panose1 w:val="05050102010706020507"/>
    <w:charset w:val="02"/>
    <w:family w:val="decorative"/>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91620887"/>
      <w:docPartObj>
        <w:docPartGallery w:val="Page Numbers (Bottom of Page)"/>
        <w:docPartUnique/>
      </w:docPartObj>
    </w:sdtPr>
    <w:sdtContent>
      <w:p w14:paraId="224531CC" w14:textId="77777777" w:rsidR="00371124" w:rsidRDefault="00371124" w:rsidP="0021436D">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3942CE2" w14:textId="77777777" w:rsidR="00371124" w:rsidRDefault="00371124" w:rsidP="004945D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26364573"/>
      <w:docPartObj>
        <w:docPartGallery w:val="Page Numbers (Bottom of Page)"/>
        <w:docPartUnique/>
      </w:docPartObj>
    </w:sdtPr>
    <w:sdtContent>
      <w:p w14:paraId="45451245" w14:textId="77777777" w:rsidR="00371124" w:rsidRDefault="00371124" w:rsidP="0021436D">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05DABFB4" w14:textId="77777777" w:rsidR="00371124" w:rsidRDefault="00371124" w:rsidP="004945D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F9FE72" w14:textId="77777777" w:rsidR="00B766E7" w:rsidRDefault="00B766E7">
      <w:r>
        <w:separator/>
      </w:r>
    </w:p>
  </w:footnote>
  <w:footnote w:type="continuationSeparator" w:id="0">
    <w:p w14:paraId="65D6FDFE" w14:textId="77777777" w:rsidR="00B766E7" w:rsidRDefault="00B766E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45DF"/>
    <w:rsid w:val="000046D5"/>
    <w:rsid w:val="000069F1"/>
    <w:rsid w:val="0000733C"/>
    <w:rsid w:val="00010B08"/>
    <w:rsid w:val="00011364"/>
    <w:rsid w:val="000123F0"/>
    <w:rsid w:val="00015DF4"/>
    <w:rsid w:val="0002118A"/>
    <w:rsid w:val="00021AC7"/>
    <w:rsid w:val="00023788"/>
    <w:rsid w:val="00027130"/>
    <w:rsid w:val="00033D77"/>
    <w:rsid w:val="00035906"/>
    <w:rsid w:val="00036524"/>
    <w:rsid w:val="00040B36"/>
    <w:rsid w:val="00045028"/>
    <w:rsid w:val="00051B7E"/>
    <w:rsid w:val="00056163"/>
    <w:rsid w:val="0006100C"/>
    <w:rsid w:val="00061A9F"/>
    <w:rsid w:val="00061F45"/>
    <w:rsid w:val="00075496"/>
    <w:rsid w:val="00077366"/>
    <w:rsid w:val="0008263A"/>
    <w:rsid w:val="00085BD3"/>
    <w:rsid w:val="00085FFA"/>
    <w:rsid w:val="00087B19"/>
    <w:rsid w:val="00092E20"/>
    <w:rsid w:val="00093FF9"/>
    <w:rsid w:val="0009528E"/>
    <w:rsid w:val="000977C0"/>
    <w:rsid w:val="000A37C0"/>
    <w:rsid w:val="000B3D97"/>
    <w:rsid w:val="000B3DFA"/>
    <w:rsid w:val="000B46CD"/>
    <w:rsid w:val="000B791F"/>
    <w:rsid w:val="000C2FC6"/>
    <w:rsid w:val="000C5A9A"/>
    <w:rsid w:val="000C733F"/>
    <w:rsid w:val="000D21DF"/>
    <w:rsid w:val="000D36A3"/>
    <w:rsid w:val="000D5A84"/>
    <w:rsid w:val="000D68DB"/>
    <w:rsid w:val="000E1399"/>
    <w:rsid w:val="000F1D38"/>
    <w:rsid w:val="000F607E"/>
    <w:rsid w:val="00100E7C"/>
    <w:rsid w:val="001014C2"/>
    <w:rsid w:val="00104146"/>
    <w:rsid w:val="00110F98"/>
    <w:rsid w:val="00111354"/>
    <w:rsid w:val="00115EE7"/>
    <w:rsid w:val="00116941"/>
    <w:rsid w:val="0011749F"/>
    <w:rsid w:val="00117DAE"/>
    <w:rsid w:val="001211C4"/>
    <w:rsid w:val="00121507"/>
    <w:rsid w:val="00126F67"/>
    <w:rsid w:val="0013079A"/>
    <w:rsid w:val="00141899"/>
    <w:rsid w:val="00141999"/>
    <w:rsid w:val="00143277"/>
    <w:rsid w:val="00145787"/>
    <w:rsid w:val="0015058C"/>
    <w:rsid w:val="0015066A"/>
    <w:rsid w:val="00150C37"/>
    <w:rsid w:val="00151F4A"/>
    <w:rsid w:val="00163239"/>
    <w:rsid w:val="001748E2"/>
    <w:rsid w:val="0017587C"/>
    <w:rsid w:val="00177985"/>
    <w:rsid w:val="0018150D"/>
    <w:rsid w:val="00181FBB"/>
    <w:rsid w:val="00184D4C"/>
    <w:rsid w:val="0018576F"/>
    <w:rsid w:val="0019770A"/>
    <w:rsid w:val="001A3974"/>
    <w:rsid w:val="001A472B"/>
    <w:rsid w:val="001B24F0"/>
    <w:rsid w:val="001B2741"/>
    <w:rsid w:val="001B2E7B"/>
    <w:rsid w:val="001C3408"/>
    <w:rsid w:val="001C5353"/>
    <w:rsid w:val="001D1A4B"/>
    <w:rsid w:val="001D5665"/>
    <w:rsid w:val="001E14B6"/>
    <w:rsid w:val="001F294E"/>
    <w:rsid w:val="001F386F"/>
    <w:rsid w:val="001F500E"/>
    <w:rsid w:val="001F5A4A"/>
    <w:rsid w:val="001F63E8"/>
    <w:rsid w:val="001F72FF"/>
    <w:rsid w:val="00200CB3"/>
    <w:rsid w:val="00204662"/>
    <w:rsid w:val="002100B6"/>
    <w:rsid w:val="00210DB8"/>
    <w:rsid w:val="0021436D"/>
    <w:rsid w:val="002154E8"/>
    <w:rsid w:val="002164C1"/>
    <w:rsid w:val="00221733"/>
    <w:rsid w:val="00222138"/>
    <w:rsid w:val="00226442"/>
    <w:rsid w:val="00232130"/>
    <w:rsid w:val="00240112"/>
    <w:rsid w:val="00242717"/>
    <w:rsid w:val="00243FC1"/>
    <w:rsid w:val="00250949"/>
    <w:rsid w:val="0025749F"/>
    <w:rsid w:val="002579D7"/>
    <w:rsid w:val="00261B25"/>
    <w:rsid w:val="00262EFD"/>
    <w:rsid w:val="002640B9"/>
    <w:rsid w:val="0027695C"/>
    <w:rsid w:val="00276A13"/>
    <w:rsid w:val="00277080"/>
    <w:rsid w:val="00283846"/>
    <w:rsid w:val="002932CB"/>
    <w:rsid w:val="0029778A"/>
    <w:rsid w:val="002A0198"/>
    <w:rsid w:val="002A50A3"/>
    <w:rsid w:val="002A59B5"/>
    <w:rsid w:val="002B334D"/>
    <w:rsid w:val="002B5392"/>
    <w:rsid w:val="002B57A3"/>
    <w:rsid w:val="002B7375"/>
    <w:rsid w:val="002C15C4"/>
    <w:rsid w:val="002D5116"/>
    <w:rsid w:val="002E1B6F"/>
    <w:rsid w:val="002F1F5A"/>
    <w:rsid w:val="002F753E"/>
    <w:rsid w:val="0030103F"/>
    <w:rsid w:val="00303631"/>
    <w:rsid w:val="003048A2"/>
    <w:rsid w:val="00304C3B"/>
    <w:rsid w:val="00307631"/>
    <w:rsid w:val="00312702"/>
    <w:rsid w:val="003155EF"/>
    <w:rsid w:val="00315FD8"/>
    <w:rsid w:val="00316FD8"/>
    <w:rsid w:val="00343340"/>
    <w:rsid w:val="0034437C"/>
    <w:rsid w:val="00351488"/>
    <w:rsid w:val="003519A6"/>
    <w:rsid w:val="00352949"/>
    <w:rsid w:val="0036201D"/>
    <w:rsid w:val="0036263C"/>
    <w:rsid w:val="00362ED1"/>
    <w:rsid w:val="00370C86"/>
    <w:rsid w:val="00371124"/>
    <w:rsid w:val="003719C5"/>
    <w:rsid w:val="0037288B"/>
    <w:rsid w:val="00375065"/>
    <w:rsid w:val="003840EA"/>
    <w:rsid w:val="00385250"/>
    <w:rsid w:val="003857E6"/>
    <w:rsid w:val="00392827"/>
    <w:rsid w:val="003928C4"/>
    <w:rsid w:val="00394258"/>
    <w:rsid w:val="0039712F"/>
    <w:rsid w:val="003A14AD"/>
    <w:rsid w:val="003A1F83"/>
    <w:rsid w:val="003A6388"/>
    <w:rsid w:val="003B0ACF"/>
    <w:rsid w:val="003B6584"/>
    <w:rsid w:val="003B66BD"/>
    <w:rsid w:val="003C348F"/>
    <w:rsid w:val="003C4FDA"/>
    <w:rsid w:val="003D08DA"/>
    <w:rsid w:val="003D1220"/>
    <w:rsid w:val="003D4048"/>
    <w:rsid w:val="003D77E0"/>
    <w:rsid w:val="003E1662"/>
    <w:rsid w:val="003E268E"/>
    <w:rsid w:val="003E6115"/>
    <w:rsid w:val="003F0B98"/>
    <w:rsid w:val="003F0EB9"/>
    <w:rsid w:val="003F516A"/>
    <w:rsid w:val="00400479"/>
    <w:rsid w:val="004053DE"/>
    <w:rsid w:val="00406D3A"/>
    <w:rsid w:val="00407260"/>
    <w:rsid w:val="00424FFB"/>
    <w:rsid w:val="004278C9"/>
    <w:rsid w:val="004320BD"/>
    <w:rsid w:val="0043276A"/>
    <w:rsid w:val="00434138"/>
    <w:rsid w:val="0043569F"/>
    <w:rsid w:val="0044478B"/>
    <w:rsid w:val="00447AC0"/>
    <w:rsid w:val="00460148"/>
    <w:rsid w:val="00462167"/>
    <w:rsid w:val="004643FA"/>
    <w:rsid w:val="00472501"/>
    <w:rsid w:val="004728C6"/>
    <w:rsid w:val="00472BE1"/>
    <w:rsid w:val="00473893"/>
    <w:rsid w:val="004750DE"/>
    <w:rsid w:val="00477101"/>
    <w:rsid w:val="004802FC"/>
    <w:rsid w:val="00481533"/>
    <w:rsid w:val="0048246E"/>
    <w:rsid w:val="00482686"/>
    <w:rsid w:val="00484956"/>
    <w:rsid w:val="00490C75"/>
    <w:rsid w:val="004945DF"/>
    <w:rsid w:val="004947C8"/>
    <w:rsid w:val="00495478"/>
    <w:rsid w:val="00495DAE"/>
    <w:rsid w:val="0049750F"/>
    <w:rsid w:val="004A11FB"/>
    <w:rsid w:val="004A4A59"/>
    <w:rsid w:val="004A7A4B"/>
    <w:rsid w:val="004B4988"/>
    <w:rsid w:val="004B762D"/>
    <w:rsid w:val="004B7E09"/>
    <w:rsid w:val="004C2187"/>
    <w:rsid w:val="004C302D"/>
    <w:rsid w:val="004C5C50"/>
    <w:rsid w:val="004D00EB"/>
    <w:rsid w:val="004D0901"/>
    <w:rsid w:val="004D2887"/>
    <w:rsid w:val="004D2E54"/>
    <w:rsid w:val="004D6B4F"/>
    <w:rsid w:val="004E22CB"/>
    <w:rsid w:val="004E28F8"/>
    <w:rsid w:val="004E4209"/>
    <w:rsid w:val="004E4C2D"/>
    <w:rsid w:val="004F0681"/>
    <w:rsid w:val="004F7ADA"/>
    <w:rsid w:val="005001D2"/>
    <w:rsid w:val="005049A9"/>
    <w:rsid w:val="0050630B"/>
    <w:rsid w:val="00506A8E"/>
    <w:rsid w:val="00511284"/>
    <w:rsid w:val="00514738"/>
    <w:rsid w:val="005243E1"/>
    <w:rsid w:val="00525ACD"/>
    <w:rsid w:val="005308DE"/>
    <w:rsid w:val="0053117A"/>
    <w:rsid w:val="00532FDA"/>
    <w:rsid w:val="00533C74"/>
    <w:rsid w:val="00537B2E"/>
    <w:rsid w:val="00537CE5"/>
    <w:rsid w:val="00537E8B"/>
    <w:rsid w:val="00541853"/>
    <w:rsid w:val="00542BE3"/>
    <w:rsid w:val="00542EF5"/>
    <w:rsid w:val="00545EB4"/>
    <w:rsid w:val="00547E39"/>
    <w:rsid w:val="005500F8"/>
    <w:rsid w:val="00550145"/>
    <w:rsid w:val="00551926"/>
    <w:rsid w:val="00551E0F"/>
    <w:rsid w:val="00555EA7"/>
    <w:rsid w:val="00556D24"/>
    <w:rsid w:val="00557CC9"/>
    <w:rsid w:val="00562255"/>
    <w:rsid w:val="00563198"/>
    <w:rsid w:val="00563D30"/>
    <w:rsid w:val="00564522"/>
    <w:rsid w:val="00567368"/>
    <w:rsid w:val="00571772"/>
    <w:rsid w:val="00573602"/>
    <w:rsid w:val="0057690B"/>
    <w:rsid w:val="00577360"/>
    <w:rsid w:val="00581E2E"/>
    <w:rsid w:val="00581FE4"/>
    <w:rsid w:val="00582B8B"/>
    <w:rsid w:val="0058479F"/>
    <w:rsid w:val="00585F54"/>
    <w:rsid w:val="00587A4E"/>
    <w:rsid w:val="005905F9"/>
    <w:rsid w:val="00594C79"/>
    <w:rsid w:val="00596020"/>
    <w:rsid w:val="005968B1"/>
    <w:rsid w:val="00597269"/>
    <w:rsid w:val="005A1229"/>
    <w:rsid w:val="005B3151"/>
    <w:rsid w:val="005B703F"/>
    <w:rsid w:val="005C5EA0"/>
    <w:rsid w:val="005C74B1"/>
    <w:rsid w:val="005C756E"/>
    <w:rsid w:val="005D07A1"/>
    <w:rsid w:val="005D0D1A"/>
    <w:rsid w:val="005E4CC2"/>
    <w:rsid w:val="00603844"/>
    <w:rsid w:val="00603AA9"/>
    <w:rsid w:val="00604808"/>
    <w:rsid w:val="00605E42"/>
    <w:rsid w:val="0061582A"/>
    <w:rsid w:val="006237D1"/>
    <w:rsid w:val="006264B9"/>
    <w:rsid w:val="006270E5"/>
    <w:rsid w:val="00631105"/>
    <w:rsid w:val="00631F5B"/>
    <w:rsid w:val="00633BE9"/>
    <w:rsid w:val="00635D32"/>
    <w:rsid w:val="0064095D"/>
    <w:rsid w:val="0064175A"/>
    <w:rsid w:val="006417CB"/>
    <w:rsid w:val="00644D9F"/>
    <w:rsid w:val="00645CCE"/>
    <w:rsid w:val="00645D6E"/>
    <w:rsid w:val="006523A4"/>
    <w:rsid w:val="0065397C"/>
    <w:rsid w:val="00654B8B"/>
    <w:rsid w:val="00656118"/>
    <w:rsid w:val="00663443"/>
    <w:rsid w:val="00663F6E"/>
    <w:rsid w:val="00672538"/>
    <w:rsid w:val="00673BB9"/>
    <w:rsid w:val="006820D0"/>
    <w:rsid w:val="00682795"/>
    <w:rsid w:val="00687E33"/>
    <w:rsid w:val="006942BC"/>
    <w:rsid w:val="00694A8D"/>
    <w:rsid w:val="00696438"/>
    <w:rsid w:val="00697ED4"/>
    <w:rsid w:val="006A4562"/>
    <w:rsid w:val="006A45BA"/>
    <w:rsid w:val="006A68EA"/>
    <w:rsid w:val="006A7C0C"/>
    <w:rsid w:val="006B346A"/>
    <w:rsid w:val="006B7DEF"/>
    <w:rsid w:val="006C6543"/>
    <w:rsid w:val="006D1087"/>
    <w:rsid w:val="006D3165"/>
    <w:rsid w:val="006E115A"/>
    <w:rsid w:val="006E34D1"/>
    <w:rsid w:val="006F1061"/>
    <w:rsid w:val="006F16E9"/>
    <w:rsid w:val="006F2B95"/>
    <w:rsid w:val="00701961"/>
    <w:rsid w:val="00710133"/>
    <w:rsid w:val="00715BDA"/>
    <w:rsid w:val="00722924"/>
    <w:rsid w:val="00724ABF"/>
    <w:rsid w:val="007264B4"/>
    <w:rsid w:val="00727FA2"/>
    <w:rsid w:val="0073154C"/>
    <w:rsid w:val="007316AB"/>
    <w:rsid w:val="007340CC"/>
    <w:rsid w:val="00740F34"/>
    <w:rsid w:val="00741549"/>
    <w:rsid w:val="00742349"/>
    <w:rsid w:val="007478CC"/>
    <w:rsid w:val="00747DF5"/>
    <w:rsid w:val="00747F0E"/>
    <w:rsid w:val="0075244F"/>
    <w:rsid w:val="00760BE6"/>
    <w:rsid w:val="00760C49"/>
    <w:rsid w:val="007652A3"/>
    <w:rsid w:val="00766A06"/>
    <w:rsid w:val="00767145"/>
    <w:rsid w:val="00767505"/>
    <w:rsid w:val="007736F8"/>
    <w:rsid w:val="00774172"/>
    <w:rsid w:val="0077602D"/>
    <w:rsid w:val="00776151"/>
    <w:rsid w:val="0078721C"/>
    <w:rsid w:val="007904FA"/>
    <w:rsid w:val="00792B7D"/>
    <w:rsid w:val="007A21BE"/>
    <w:rsid w:val="007B2BEF"/>
    <w:rsid w:val="007B3730"/>
    <w:rsid w:val="007B4704"/>
    <w:rsid w:val="007B5EE8"/>
    <w:rsid w:val="007C0665"/>
    <w:rsid w:val="007C17D4"/>
    <w:rsid w:val="007C3FB8"/>
    <w:rsid w:val="007C420D"/>
    <w:rsid w:val="007C434F"/>
    <w:rsid w:val="007C7D04"/>
    <w:rsid w:val="007D6A39"/>
    <w:rsid w:val="007E24AC"/>
    <w:rsid w:val="007E27BD"/>
    <w:rsid w:val="007F0934"/>
    <w:rsid w:val="007F3C6D"/>
    <w:rsid w:val="00806B51"/>
    <w:rsid w:val="00807D37"/>
    <w:rsid w:val="00815925"/>
    <w:rsid w:val="00817267"/>
    <w:rsid w:val="008211C2"/>
    <w:rsid w:val="008219AF"/>
    <w:rsid w:val="00822A43"/>
    <w:rsid w:val="00823240"/>
    <w:rsid w:val="008310E0"/>
    <w:rsid w:val="00831E3C"/>
    <w:rsid w:val="0083272F"/>
    <w:rsid w:val="00834365"/>
    <w:rsid w:val="008363E0"/>
    <w:rsid w:val="008372F6"/>
    <w:rsid w:val="0084217D"/>
    <w:rsid w:val="00862731"/>
    <w:rsid w:val="0086307F"/>
    <w:rsid w:val="008641B9"/>
    <w:rsid w:val="00870466"/>
    <w:rsid w:val="00870D5B"/>
    <w:rsid w:val="0087190F"/>
    <w:rsid w:val="00872A87"/>
    <w:rsid w:val="008805A6"/>
    <w:rsid w:val="00880DBF"/>
    <w:rsid w:val="008853ED"/>
    <w:rsid w:val="008957DA"/>
    <w:rsid w:val="008A23D5"/>
    <w:rsid w:val="008A77EB"/>
    <w:rsid w:val="008A7F86"/>
    <w:rsid w:val="008B2BF3"/>
    <w:rsid w:val="008B4FE6"/>
    <w:rsid w:val="008B688E"/>
    <w:rsid w:val="008C4D86"/>
    <w:rsid w:val="008C7513"/>
    <w:rsid w:val="008D0B69"/>
    <w:rsid w:val="008D185D"/>
    <w:rsid w:val="008D2970"/>
    <w:rsid w:val="008D3A5D"/>
    <w:rsid w:val="008D6407"/>
    <w:rsid w:val="008D74D9"/>
    <w:rsid w:val="008E17B7"/>
    <w:rsid w:val="008E2BC6"/>
    <w:rsid w:val="008E4C3F"/>
    <w:rsid w:val="008E5501"/>
    <w:rsid w:val="008F046E"/>
    <w:rsid w:val="00900E6A"/>
    <w:rsid w:val="0090630D"/>
    <w:rsid w:val="0090668C"/>
    <w:rsid w:val="009101C9"/>
    <w:rsid w:val="009116C3"/>
    <w:rsid w:val="00912484"/>
    <w:rsid w:val="00914965"/>
    <w:rsid w:val="009169FE"/>
    <w:rsid w:val="00921E5F"/>
    <w:rsid w:val="00922530"/>
    <w:rsid w:val="00923520"/>
    <w:rsid w:val="00923D7F"/>
    <w:rsid w:val="00926E14"/>
    <w:rsid w:val="00926FEB"/>
    <w:rsid w:val="009271D0"/>
    <w:rsid w:val="0095111D"/>
    <w:rsid w:val="009629FE"/>
    <w:rsid w:val="00963793"/>
    <w:rsid w:val="009646BF"/>
    <w:rsid w:val="009671A9"/>
    <w:rsid w:val="00980A4A"/>
    <w:rsid w:val="009852A9"/>
    <w:rsid w:val="00986457"/>
    <w:rsid w:val="00986F0D"/>
    <w:rsid w:val="00993584"/>
    <w:rsid w:val="00994169"/>
    <w:rsid w:val="00994492"/>
    <w:rsid w:val="00995B74"/>
    <w:rsid w:val="009A01F6"/>
    <w:rsid w:val="009A13E8"/>
    <w:rsid w:val="009A6697"/>
    <w:rsid w:val="009A6DAE"/>
    <w:rsid w:val="009A77A9"/>
    <w:rsid w:val="009A7926"/>
    <w:rsid w:val="009B3E66"/>
    <w:rsid w:val="009B57F1"/>
    <w:rsid w:val="009B7749"/>
    <w:rsid w:val="009C1B9D"/>
    <w:rsid w:val="009C4283"/>
    <w:rsid w:val="009C6779"/>
    <w:rsid w:val="009C7030"/>
    <w:rsid w:val="009C7CC9"/>
    <w:rsid w:val="009D654D"/>
    <w:rsid w:val="009D6B31"/>
    <w:rsid w:val="009E4967"/>
    <w:rsid w:val="009E7FB4"/>
    <w:rsid w:val="009F133E"/>
    <w:rsid w:val="009F3EAB"/>
    <w:rsid w:val="009F79CE"/>
    <w:rsid w:val="00A0094D"/>
    <w:rsid w:val="00A038C8"/>
    <w:rsid w:val="00A041FD"/>
    <w:rsid w:val="00A2130F"/>
    <w:rsid w:val="00A2462D"/>
    <w:rsid w:val="00A2618C"/>
    <w:rsid w:val="00A3348D"/>
    <w:rsid w:val="00A35218"/>
    <w:rsid w:val="00A373E3"/>
    <w:rsid w:val="00A40826"/>
    <w:rsid w:val="00A41631"/>
    <w:rsid w:val="00A432E7"/>
    <w:rsid w:val="00A47113"/>
    <w:rsid w:val="00A4781B"/>
    <w:rsid w:val="00A5065B"/>
    <w:rsid w:val="00A65829"/>
    <w:rsid w:val="00A67848"/>
    <w:rsid w:val="00A704E2"/>
    <w:rsid w:val="00A710CD"/>
    <w:rsid w:val="00A803A7"/>
    <w:rsid w:val="00A845F6"/>
    <w:rsid w:val="00A90786"/>
    <w:rsid w:val="00A92EA7"/>
    <w:rsid w:val="00AA040E"/>
    <w:rsid w:val="00AA3024"/>
    <w:rsid w:val="00AA7798"/>
    <w:rsid w:val="00AC0529"/>
    <w:rsid w:val="00AC7F17"/>
    <w:rsid w:val="00AD7D77"/>
    <w:rsid w:val="00AE24D7"/>
    <w:rsid w:val="00AE56CD"/>
    <w:rsid w:val="00AE5C71"/>
    <w:rsid w:val="00AE751A"/>
    <w:rsid w:val="00AF0622"/>
    <w:rsid w:val="00AF16DD"/>
    <w:rsid w:val="00AF4C54"/>
    <w:rsid w:val="00B00924"/>
    <w:rsid w:val="00B02F06"/>
    <w:rsid w:val="00B05A55"/>
    <w:rsid w:val="00B1175F"/>
    <w:rsid w:val="00B1274F"/>
    <w:rsid w:val="00B23CA5"/>
    <w:rsid w:val="00B2524C"/>
    <w:rsid w:val="00B277BE"/>
    <w:rsid w:val="00B2785E"/>
    <w:rsid w:val="00B325BD"/>
    <w:rsid w:val="00B327F9"/>
    <w:rsid w:val="00B37C45"/>
    <w:rsid w:val="00B433F4"/>
    <w:rsid w:val="00B55008"/>
    <w:rsid w:val="00B66BB9"/>
    <w:rsid w:val="00B71E20"/>
    <w:rsid w:val="00B738F8"/>
    <w:rsid w:val="00B76389"/>
    <w:rsid w:val="00B766E7"/>
    <w:rsid w:val="00B76940"/>
    <w:rsid w:val="00B76BFB"/>
    <w:rsid w:val="00B85695"/>
    <w:rsid w:val="00B904A5"/>
    <w:rsid w:val="00B94FED"/>
    <w:rsid w:val="00B950B1"/>
    <w:rsid w:val="00BA39D1"/>
    <w:rsid w:val="00BA531A"/>
    <w:rsid w:val="00BA600E"/>
    <w:rsid w:val="00BB0589"/>
    <w:rsid w:val="00BB27DD"/>
    <w:rsid w:val="00BB33F9"/>
    <w:rsid w:val="00BB536E"/>
    <w:rsid w:val="00BB6A4E"/>
    <w:rsid w:val="00BC582F"/>
    <w:rsid w:val="00BC73D2"/>
    <w:rsid w:val="00BD62DF"/>
    <w:rsid w:val="00BE286F"/>
    <w:rsid w:val="00BE50E5"/>
    <w:rsid w:val="00BE7394"/>
    <w:rsid w:val="00BF06B4"/>
    <w:rsid w:val="00BF1AC3"/>
    <w:rsid w:val="00BF50F3"/>
    <w:rsid w:val="00C006D0"/>
    <w:rsid w:val="00C01AA0"/>
    <w:rsid w:val="00C02563"/>
    <w:rsid w:val="00C04F3B"/>
    <w:rsid w:val="00C06616"/>
    <w:rsid w:val="00C06DA9"/>
    <w:rsid w:val="00C10541"/>
    <w:rsid w:val="00C13874"/>
    <w:rsid w:val="00C14B0A"/>
    <w:rsid w:val="00C2392A"/>
    <w:rsid w:val="00C25036"/>
    <w:rsid w:val="00C2611F"/>
    <w:rsid w:val="00C3245E"/>
    <w:rsid w:val="00C33AD2"/>
    <w:rsid w:val="00C352F0"/>
    <w:rsid w:val="00C35594"/>
    <w:rsid w:val="00C37DAC"/>
    <w:rsid w:val="00C4396C"/>
    <w:rsid w:val="00C44891"/>
    <w:rsid w:val="00C47B8D"/>
    <w:rsid w:val="00C56CA3"/>
    <w:rsid w:val="00C60467"/>
    <w:rsid w:val="00C61DF1"/>
    <w:rsid w:val="00C64150"/>
    <w:rsid w:val="00C64D04"/>
    <w:rsid w:val="00C64E39"/>
    <w:rsid w:val="00C73181"/>
    <w:rsid w:val="00C745A6"/>
    <w:rsid w:val="00C74672"/>
    <w:rsid w:val="00C74CF4"/>
    <w:rsid w:val="00C76679"/>
    <w:rsid w:val="00C849DF"/>
    <w:rsid w:val="00C87FDA"/>
    <w:rsid w:val="00C91725"/>
    <w:rsid w:val="00C938FD"/>
    <w:rsid w:val="00C942D5"/>
    <w:rsid w:val="00C95431"/>
    <w:rsid w:val="00CA0E71"/>
    <w:rsid w:val="00CA6690"/>
    <w:rsid w:val="00CA6C62"/>
    <w:rsid w:val="00CA7C5F"/>
    <w:rsid w:val="00CB05D5"/>
    <w:rsid w:val="00CB2BE7"/>
    <w:rsid w:val="00CB3879"/>
    <w:rsid w:val="00CC2D8C"/>
    <w:rsid w:val="00CC7923"/>
    <w:rsid w:val="00CD0C18"/>
    <w:rsid w:val="00CD11A0"/>
    <w:rsid w:val="00CD12CA"/>
    <w:rsid w:val="00CD68E3"/>
    <w:rsid w:val="00CD72E5"/>
    <w:rsid w:val="00CD78A8"/>
    <w:rsid w:val="00CE331F"/>
    <w:rsid w:val="00CE3C21"/>
    <w:rsid w:val="00CE5FD3"/>
    <w:rsid w:val="00CF05CC"/>
    <w:rsid w:val="00CF2574"/>
    <w:rsid w:val="00CF29A7"/>
    <w:rsid w:val="00CF408B"/>
    <w:rsid w:val="00D0548B"/>
    <w:rsid w:val="00D06631"/>
    <w:rsid w:val="00D160B4"/>
    <w:rsid w:val="00D2341A"/>
    <w:rsid w:val="00D26B72"/>
    <w:rsid w:val="00D27953"/>
    <w:rsid w:val="00D322B6"/>
    <w:rsid w:val="00D355F5"/>
    <w:rsid w:val="00D36FDC"/>
    <w:rsid w:val="00D40BEE"/>
    <w:rsid w:val="00D459D1"/>
    <w:rsid w:val="00D46E28"/>
    <w:rsid w:val="00D60036"/>
    <w:rsid w:val="00D61EEE"/>
    <w:rsid w:val="00D632C4"/>
    <w:rsid w:val="00D6416D"/>
    <w:rsid w:val="00D6535E"/>
    <w:rsid w:val="00D667C0"/>
    <w:rsid w:val="00D67DFB"/>
    <w:rsid w:val="00D749DF"/>
    <w:rsid w:val="00D80D99"/>
    <w:rsid w:val="00D84256"/>
    <w:rsid w:val="00D872E1"/>
    <w:rsid w:val="00D96253"/>
    <w:rsid w:val="00DA1020"/>
    <w:rsid w:val="00DA38A3"/>
    <w:rsid w:val="00DB1436"/>
    <w:rsid w:val="00DB2F63"/>
    <w:rsid w:val="00DC1A80"/>
    <w:rsid w:val="00DC1D70"/>
    <w:rsid w:val="00DC3232"/>
    <w:rsid w:val="00DC4F93"/>
    <w:rsid w:val="00DC5BC6"/>
    <w:rsid w:val="00DC619A"/>
    <w:rsid w:val="00DC6945"/>
    <w:rsid w:val="00DD0E6B"/>
    <w:rsid w:val="00DE797E"/>
    <w:rsid w:val="00DF4815"/>
    <w:rsid w:val="00DF744A"/>
    <w:rsid w:val="00E01A19"/>
    <w:rsid w:val="00E02461"/>
    <w:rsid w:val="00E02EDC"/>
    <w:rsid w:val="00E075BE"/>
    <w:rsid w:val="00E10787"/>
    <w:rsid w:val="00E12E53"/>
    <w:rsid w:val="00E17F76"/>
    <w:rsid w:val="00E216D0"/>
    <w:rsid w:val="00E21CA5"/>
    <w:rsid w:val="00E34807"/>
    <w:rsid w:val="00E37D6F"/>
    <w:rsid w:val="00E47A77"/>
    <w:rsid w:val="00E52641"/>
    <w:rsid w:val="00E538A4"/>
    <w:rsid w:val="00E558CF"/>
    <w:rsid w:val="00E56B0E"/>
    <w:rsid w:val="00E6489B"/>
    <w:rsid w:val="00E67B22"/>
    <w:rsid w:val="00E7156C"/>
    <w:rsid w:val="00E71E47"/>
    <w:rsid w:val="00E74A1D"/>
    <w:rsid w:val="00E75D59"/>
    <w:rsid w:val="00E81AAE"/>
    <w:rsid w:val="00E838EE"/>
    <w:rsid w:val="00E83CF5"/>
    <w:rsid w:val="00E95D03"/>
    <w:rsid w:val="00EA0069"/>
    <w:rsid w:val="00EA0814"/>
    <w:rsid w:val="00EA1DCB"/>
    <w:rsid w:val="00EA2C8B"/>
    <w:rsid w:val="00EB0ECD"/>
    <w:rsid w:val="00EB5A46"/>
    <w:rsid w:val="00EB7868"/>
    <w:rsid w:val="00EC3335"/>
    <w:rsid w:val="00EC3744"/>
    <w:rsid w:val="00EC5F92"/>
    <w:rsid w:val="00EC6085"/>
    <w:rsid w:val="00EC69C9"/>
    <w:rsid w:val="00EC70F7"/>
    <w:rsid w:val="00EC7C85"/>
    <w:rsid w:val="00ED1ED1"/>
    <w:rsid w:val="00ED2783"/>
    <w:rsid w:val="00ED38F6"/>
    <w:rsid w:val="00ED6456"/>
    <w:rsid w:val="00ED6854"/>
    <w:rsid w:val="00EE2A44"/>
    <w:rsid w:val="00EE479F"/>
    <w:rsid w:val="00EE5EDD"/>
    <w:rsid w:val="00EF3D23"/>
    <w:rsid w:val="00F001A4"/>
    <w:rsid w:val="00F01B87"/>
    <w:rsid w:val="00F01EDA"/>
    <w:rsid w:val="00F048C3"/>
    <w:rsid w:val="00F05907"/>
    <w:rsid w:val="00F14379"/>
    <w:rsid w:val="00F14692"/>
    <w:rsid w:val="00F15E0E"/>
    <w:rsid w:val="00F2194C"/>
    <w:rsid w:val="00F233B2"/>
    <w:rsid w:val="00F24E1D"/>
    <w:rsid w:val="00F25A26"/>
    <w:rsid w:val="00F26C53"/>
    <w:rsid w:val="00F340B2"/>
    <w:rsid w:val="00F34B89"/>
    <w:rsid w:val="00F51386"/>
    <w:rsid w:val="00F55274"/>
    <w:rsid w:val="00F5691C"/>
    <w:rsid w:val="00F71E77"/>
    <w:rsid w:val="00F751F2"/>
    <w:rsid w:val="00F76F4E"/>
    <w:rsid w:val="00F7704C"/>
    <w:rsid w:val="00F813D1"/>
    <w:rsid w:val="00F81D0D"/>
    <w:rsid w:val="00F826BD"/>
    <w:rsid w:val="00F9054E"/>
    <w:rsid w:val="00F9280F"/>
    <w:rsid w:val="00FA09FD"/>
    <w:rsid w:val="00FA21D0"/>
    <w:rsid w:val="00FA6AC8"/>
    <w:rsid w:val="00FB334E"/>
    <w:rsid w:val="00FB4C62"/>
    <w:rsid w:val="00FB6FE9"/>
    <w:rsid w:val="00FD4DFF"/>
    <w:rsid w:val="00FD60C8"/>
    <w:rsid w:val="00FE1FB6"/>
    <w:rsid w:val="00FE7278"/>
    <w:rsid w:val="00FE7930"/>
    <w:rsid w:val="00FF16DA"/>
    <w:rsid w:val="00FF2231"/>
    <w:rsid w:val="00FF41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925F69"/>
  <w15:chartTrackingRefBased/>
  <w15:docId w15:val="{2267216D-2416-704F-BFDE-9081145DE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45D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alloonTextChar">
    <w:name w:val="Balloon Text Char"/>
    <w:basedOn w:val="DefaultParagraphFont"/>
    <w:link w:val="BalloonText"/>
    <w:uiPriority w:val="99"/>
    <w:semiHidden/>
    <w:rsid w:val="004945DF"/>
    <w:rPr>
      <w:rFonts w:ascii="Times New Roman" w:hAnsi="Times New Roman" w:cs="Times New Roman"/>
      <w:sz w:val="18"/>
      <w:szCs w:val="18"/>
    </w:rPr>
  </w:style>
  <w:style w:type="paragraph" w:styleId="BalloonText">
    <w:name w:val="Balloon Text"/>
    <w:basedOn w:val="Normal"/>
    <w:link w:val="BalloonTextChar"/>
    <w:uiPriority w:val="99"/>
    <w:semiHidden/>
    <w:unhideWhenUsed/>
    <w:rsid w:val="004945DF"/>
    <w:rPr>
      <w:rFonts w:ascii="Times New Roman" w:hAnsi="Times New Roman" w:cs="Times New Roman"/>
      <w:sz w:val="18"/>
      <w:szCs w:val="18"/>
    </w:rPr>
  </w:style>
  <w:style w:type="character" w:customStyle="1" w:styleId="HeaderChar">
    <w:name w:val="Header Char"/>
    <w:basedOn w:val="DefaultParagraphFont"/>
    <w:link w:val="Header"/>
    <w:uiPriority w:val="99"/>
    <w:rsid w:val="004945DF"/>
  </w:style>
  <w:style w:type="paragraph" w:styleId="Header">
    <w:name w:val="header"/>
    <w:basedOn w:val="Normal"/>
    <w:link w:val="HeaderChar"/>
    <w:uiPriority w:val="99"/>
    <w:unhideWhenUsed/>
    <w:rsid w:val="004945DF"/>
    <w:pPr>
      <w:tabs>
        <w:tab w:val="center" w:pos="4680"/>
        <w:tab w:val="right" w:pos="9360"/>
      </w:tabs>
    </w:pPr>
  </w:style>
  <w:style w:type="character" w:customStyle="1" w:styleId="FooterChar">
    <w:name w:val="Footer Char"/>
    <w:basedOn w:val="DefaultParagraphFont"/>
    <w:link w:val="Footer"/>
    <w:uiPriority w:val="99"/>
    <w:rsid w:val="004945DF"/>
  </w:style>
  <w:style w:type="paragraph" w:styleId="Footer">
    <w:name w:val="footer"/>
    <w:basedOn w:val="Normal"/>
    <w:link w:val="FooterChar"/>
    <w:uiPriority w:val="99"/>
    <w:unhideWhenUsed/>
    <w:rsid w:val="004945DF"/>
    <w:pPr>
      <w:tabs>
        <w:tab w:val="center" w:pos="4680"/>
        <w:tab w:val="right" w:pos="9360"/>
      </w:tabs>
    </w:pPr>
  </w:style>
  <w:style w:type="character" w:customStyle="1" w:styleId="CommentTextChar">
    <w:name w:val="Comment Text Char"/>
    <w:basedOn w:val="DefaultParagraphFont"/>
    <w:link w:val="CommentText"/>
    <w:uiPriority w:val="99"/>
    <w:semiHidden/>
    <w:rsid w:val="004945DF"/>
    <w:rPr>
      <w:sz w:val="20"/>
      <w:szCs w:val="20"/>
    </w:rPr>
  </w:style>
  <w:style w:type="paragraph" w:styleId="CommentText">
    <w:name w:val="annotation text"/>
    <w:basedOn w:val="Normal"/>
    <w:link w:val="CommentTextChar"/>
    <w:uiPriority w:val="99"/>
    <w:semiHidden/>
    <w:unhideWhenUsed/>
    <w:rsid w:val="004945DF"/>
    <w:rPr>
      <w:sz w:val="20"/>
      <w:szCs w:val="20"/>
    </w:rPr>
  </w:style>
  <w:style w:type="character" w:customStyle="1" w:styleId="CommentSubjectChar">
    <w:name w:val="Comment Subject Char"/>
    <w:basedOn w:val="CommentTextChar"/>
    <w:link w:val="CommentSubject"/>
    <w:uiPriority w:val="99"/>
    <w:semiHidden/>
    <w:rsid w:val="004945DF"/>
    <w:rPr>
      <w:b/>
      <w:bCs/>
      <w:sz w:val="20"/>
      <w:szCs w:val="20"/>
    </w:rPr>
  </w:style>
  <w:style w:type="paragraph" w:styleId="CommentSubject">
    <w:name w:val="annotation subject"/>
    <w:basedOn w:val="CommentText"/>
    <w:next w:val="CommentText"/>
    <w:link w:val="CommentSubjectChar"/>
    <w:uiPriority w:val="99"/>
    <w:semiHidden/>
    <w:unhideWhenUsed/>
    <w:rsid w:val="004945DF"/>
    <w:rPr>
      <w:b/>
      <w:bCs/>
    </w:rPr>
  </w:style>
  <w:style w:type="character" w:styleId="LineNumber">
    <w:name w:val="line number"/>
    <w:basedOn w:val="DefaultParagraphFont"/>
    <w:uiPriority w:val="99"/>
    <w:semiHidden/>
    <w:unhideWhenUsed/>
    <w:rsid w:val="00CD12CA"/>
  </w:style>
  <w:style w:type="character" w:styleId="Hyperlink">
    <w:name w:val="Hyperlink"/>
    <w:basedOn w:val="DefaultParagraphFont"/>
    <w:uiPriority w:val="99"/>
    <w:unhideWhenUsed/>
    <w:rsid w:val="0048246E"/>
    <w:rPr>
      <w:color w:val="0563C1" w:themeColor="hyperlink"/>
      <w:u w:val="single"/>
    </w:rPr>
  </w:style>
  <w:style w:type="character" w:styleId="UnresolvedMention">
    <w:name w:val="Unresolved Mention"/>
    <w:basedOn w:val="DefaultParagraphFont"/>
    <w:uiPriority w:val="99"/>
    <w:semiHidden/>
    <w:unhideWhenUsed/>
    <w:rsid w:val="0048246E"/>
    <w:rPr>
      <w:color w:val="605E5C"/>
      <w:shd w:val="clear" w:color="auto" w:fill="E1DFDD"/>
    </w:rPr>
  </w:style>
  <w:style w:type="character" w:styleId="CommentReference">
    <w:name w:val="annotation reference"/>
    <w:basedOn w:val="DefaultParagraphFont"/>
    <w:uiPriority w:val="99"/>
    <w:semiHidden/>
    <w:unhideWhenUsed/>
    <w:rsid w:val="004945DF"/>
    <w:rPr>
      <w:sz w:val="16"/>
      <w:szCs w:val="16"/>
    </w:rPr>
  </w:style>
  <w:style w:type="character" w:styleId="PageNumber">
    <w:name w:val="page number"/>
    <w:basedOn w:val="DefaultParagraphFont"/>
    <w:uiPriority w:val="99"/>
    <w:semiHidden/>
    <w:unhideWhenUsed/>
    <w:rsid w:val="004945DF"/>
  </w:style>
  <w:style w:type="table" w:styleId="TableGrid">
    <w:name w:val="Table Grid"/>
    <w:basedOn w:val="TableNormal"/>
    <w:uiPriority w:val="39"/>
    <w:rsid w:val="002C15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2C15C4"/>
    <w:pPr>
      <w:spacing w:after="200"/>
    </w:pPr>
    <w:rPr>
      <w:i/>
      <w:iCs/>
      <w:color w:val="44546A" w:themeColor="text2"/>
      <w:sz w:val="18"/>
      <w:szCs w:val="18"/>
    </w:rPr>
  </w:style>
  <w:style w:type="paragraph" w:styleId="Revision">
    <w:name w:val="Revision"/>
    <w:hidden/>
    <w:uiPriority w:val="99"/>
    <w:semiHidden/>
    <w:rsid w:val="006A4562"/>
  </w:style>
  <w:style w:type="table" w:styleId="PlainTable3">
    <w:name w:val="Plain Table 3"/>
    <w:basedOn w:val="TableNormal"/>
    <w:uiPriority w:val="43"/>
    <w:rsid w:val="001014C2"/>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1014C2"/>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3">
    <w:name w:val="Grid Table 3"/>
    <w:basedOn w:val="TableNormal"/>
    <w:uiPriority w:val="48"/>
    <w:rsid w:val="001014C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3">
    <w:name w:val="Grid Table 3 Accent 3"/>
    <w:basedOn w:val="TableNormal"/>
    <w:uiPriority w:val="48"/>
    <w:rsid w:val="001014C2"/>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5Dark-Accent3">
    <w:name w:val="Grid Table 5 Dark Accent 3"/>
    <w:basedOn w:val="TableNormal"/>
    <w:uiPriority w:val="50"/>
    <w:rsid w:val="001014C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652917">
      <w:bodyDiv w:val="1"/>
      <w:marLeft w:val="0"/>
      <w:marRight w:val="0"/>
      <w:marTop w:val="0"/>
      <w:marBottom w:val="0"/>
      <w:divBdr>
        <w:top w:val="none" w:sz="0" w:space="0" w:color="auto"/>
        <w:left w:val="none" w:sz="0" w:space="0" w:color="auto"/>
        <w:bottom w:val="none" w:sz="0" w:space="0" w:color="auto"/>
        <w:right w:val="none" w:sz="0" w:space="0" w:color="auto"/>
      </w:divBdr>
      <w:divsChild>
        <w:div w:id="1620335235">
          <w:marLeft w:val="0"/>
          <w:marRight w:val="0"/>
          <w:marTop w:val="0"/>
          <w:marBottom w:val="0"/>
          <w:divBdr>
            <w:top w:val="none" w:sz="0" w:space="0" w:color="auto"/>
            <w:left w:val="none" w:sz="0" w:space="0" w:color="auto"/>
            <w:bottom w:val="none" w:sz="0" w:space="0" w:color="auto"/>
            <w:right w:val="none" w:sz="0" w:space="0" w:color="auto"/>
          </w:divBdr>
          <w:divsChild>
            <w:div w:id="1552424801">
              <w:marLeft w:val="0"/>
              <w:marRight w:val="0"/>
              <w:marTop w:val="0"/>
              <w:marBottom w:val="0"/>
              <w:divBdr>
                <w:top w:val="none" w:sz="0" w:space="0" w:color="auto"/>
                <w:left w:val="none" w:sz="0" w:space="0" w:color="auto"/>
                <w:bottom w:val="none" w:sz="0" w:space="0" w:color="auto"/>
                <w:right w:val="none" w:sz="0" w:space="0" w:color="auto"/>
              </w:divBdr>
              <w:divsChild>
                <w:div w:id="84575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864553">
      <w:bodyDiv w:val="1"/>
      <w:marLeft w:val="0"/>
      <w:marRight w:val="0"/>
      <w:marTop w:val="0"/>
      <w:marBottom w:val="0"/>
      <w:divBdr>
        <w:top w:val="none" w:sz="0" w:space="0" w:color="auto"/>
        <w:left w:val="none" w:sz="0" w:space="0" w:color="auto"/>
        <w:bottom w:val="none" w:sz="0" w:space="0" w:color="auto"/>
        <w:right w:val="none" w:sz="0" w:space="0" w:color="auto"/>
      </w:divBdr>
      <w:divsChild>
        <w:div w:id="8415241">
          <w:marLeft w:val="0"/>
          <w:marRight w:val="0"/>
          <w:marTop w:val="0"/>
          <w:marBottom w:val="0"/>
          <w:divBdr>
            <w:top w:val="none" w:sz="0" w:space="0" w:color="auto"/>
            <w:left w:val="none" w:sz="0" w:space="0" w:color="auto"/>
            <w:bottom w:val="none" w:sz="0" w:space="0" w:color="auto"/>
            <w:right w:val="none" w:sz="0" w:space="0" w:color="auto"/>
          </w:divBdr>
          <w:divsChild>
            <w:div w:id="630090439">
              <w:marLeft w:val="0"/>
              <w:marRight w:val="0"/>
              <w:marTop w:val="0"/>
              <w:marBottom w:val="0"/>
              <w:divBdr>
                <w:top w:val="none" w:sz="0" w:space="0" w:color="auto"/>
                <w:left w:val="none" w:sz="0" w:space="0" w:color="auto"/>
                <w:bottom w:val="none" w:sz="0" w:space="0" w:color="auto"/>
                <w:right w:val="none" w:sz="0" w:space="0" w:color="auto"/>
              </w:divBdr>
              <w:divsChild>
                <w:div w:id="130682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962348">
      <w:bodyDiv w:val="1"/>
      <w:marLeft w:val="0"/>
      <w:marRight w:val="0"/>
      <w:marTop w:val="0"/>
      <w:marBottom w:val="0"/>
      <w:divBdr>
        <w:top w:val="none" w:sz="0" w:space="0" w:color="auto"/>
        <w:left w:val="none" w:sz="0" w:space="0" w:color="auto"/>
        <w:bottom w:val="none" w:sz="0" w:space="0" w:color="auto"/>
        <w:right w:val="none" w:sz="0" w:space="0" w:color="auto"/>
      </w:divBdr>
      <w:divsChild>
        <w:div w:id="962687073">
          <w:marLeft w:val="0"/>
          <w:marRight w:val="0"/>
          <w:marTop w:val="0"/>
          <w:marBottom w:val="0"/>
          <w:divBdr>
            <w:top w:val="none" w:sz="0" w:space="0" w:color="auto"/>
            <w:left w:val="none" w:sz="0" w:space="0" w:color="auto"/>
            <w:bottom w:val="none" w:sz="0" w:space="0" w:color="auto"/>
            <w:right w:val="none" w:sz="0" w:space="0" w:color="auto"/>
          </w:divBdr>
          <w:divsChild>
            <w:div w:id="1868323544">
              <w:marLeft w:val="0"/>
              <w:marRight w:val="0"/>
              <w:marTop w:val="0"/>
              <w:marBottom w:val="0"/>
              <w:divBdr>
                <w:top w:val="none" w:sz="0" w:space="0" w:color="auto"/>
                <w:left w:val="none" w:sz="0" w:space="0" w:color="auto"/>
                <w:bottom w:val="none" w:sz="0" w:space="0" w:color="auto"/>
                <w:right w:val="none" w:sz="0" w:space="0" w:color="auto"/>
              </w:divBdr>
              <w:divsChild>
                <w:div w:id="778111063">
                  <w:marLeft w:val="0"/>
                  <w:marRight w:val="0"/>
                  <w:marTop w:val="0"/>
                  <w:marBottom w:val="0"/>
                  <w:divBdr>
                    <w:top w:val="none" w:sz="0" w:space="0" w:color="auto"/>
                    <w:left w:val="none" w:sz="0" w:space="0" w:color="auto"/>
                    <w:bottom w:val="none" w:sz="0" w:space="0" w:color="auto"/>
                    <w:right w:val="none" w:sz="0" w:space="0" w:color="auto"/>
                  </w:divBdr>
                  <w:divsChild>
                    <w:div w:id="104333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github.com/sjb1061/Actinula_Paper" TargetMode="Externa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sbirch1@uncc.edu" TargetMode="Externa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hyperlink" Target="https://github.com/sjb1061/Actinula_Paper/tree/main/Settlement_Behavior_Analysis" TargetMode="Externa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1EB405-F52B-4844-A20F-7428A39D02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41</Pages>
  <Words>42954</Words>
  <Characters>244840</Characters>
  <Application>Microsoft Office Word</Application>
  <DocSecurity>0</DocSecurity>
  <Lines>2040</Lines>
  <Paragraphs>574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Birch, Sydney</dc:creator>
  <cp:keywords/>
  <dc:description/>
  <cp:lastModifiedBy>Sydney Birch</cp:lastModifiedBy>
  <cp:revision>7</cp:revision>
  <cp:lastPrinted>2023-02-03T19:29:00Z</cp:lastPrinted>
  <dcterms:created xsi:type="dcterms:W3CDTF">2023-02-03T19:29:00Z</dcterms:created>
  <dcterms:modified xsi:type="dcterms:W3CDTF">2023-02-08T13:31:00Z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http://www.zotero.org/styles/journal-of-molecular-biology</vt:lpwstr>
  </property>
  <property fmtid="{D5CDD505-2E9C-101B-9397-08002B2CF9AE}" pid="15" name="Mendeley Recent Style Name 6_1">
    <vt:lpwstr>Journal of Molecular Biology</vt:lpwstr>
  </property>
  <property fmtid="{D5CDD505-2E9C-101B-9397-08002B2CF9AE}" pid="16" name="Mendeley Recent Style Id 7_1">
    <vt:lpwstr>http://www.zotero.org/styles/molecular-biology-and-evolution</vt:lpwstr>
  </property>
  <property fmtid="{D5CDD505-2E9C-101B-9397-08002B2CF9AE}" pid="17" name="Mendeley Recent Style Name 7_1">
    <vt:lpwstr>Molecular Biology and Evolution</vt:lpwstr>
  </property>
  <property fmtid="{D5CDD505-2E9C-101B-9397-08002B2CF9AE}" pid="18" name="Mendeley Recent Style Id 8_1">
    <vt:lpwstr>http://www.zotero.org/styles/nature</vt:lpwstr>
  </property>
  <property fmtid="{D5CDD505-2E9C-101B-9397-08002B2CF9AE}" pid="19" name="Mendeley Recent Style Name 8_1">
    <vt:lpwstr>Nature</vt:lpwstr>
  </property>
  <property fmtid="{D5CDD505-2E9C-101B-9397-08002B2CF9AE}" pid="20" name="Mendeley Recent Style Id 9_1">
    <vt:lpwstr>http://www.zotero.org/styles/springer-basic-author-date</vt:lpwstr>
  </property>
  <property fmtid="{D5CDD505-2E9C-101B-9397-08002B2CF9AE}" pid="21" name="Mendeley Recent Style Name 9_1">
    <vt:lpwstr>Springer - Basic (author-date)</vt:lpwstr>
  </property>
  <property fmtid="{D5CDD505-2E9C-101B-9397-08002B2CF9AE}" pid="22" name="Mendeley Document_1">
    <vt:lpwstr>True</vt:lpwstr>
  </property>
  <property fmtid="{D5CDD505-2E9C-101B-9397-08002B2CF9AE}" pid="23" name="Mendeley Unique User Id_1">
    <vt:lpwstr>0b00220a-ba55-3f48-a0fc-614eb1f86ec5</vt:lpwstr>
  </property>
  <property fmtid="{D5CDD505-2E9C-101B-9397-08002B2CF9AE}" pid="24" name="Mendeley Citation Style_1">
    <vt:lpwstr>http://www.zotero.org/styles/apa</vt:lpwstr>
  </property>
</Properties>
</file>