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glossary/document.xml" ContentType="application/vnd.openxmlformats-officedocument.wordprocessingml.document.glossary+xml"/>
  <Override PartName="/word/glossary/endnotes.xml" ContentType="application/vnd.openxmlformats-officedocument.wordprocessingml.endnotes+xml"/>
  <Override PartName="/word/glossary/fontTable.xml" ContentType="application/vnd.openxmlformats-officedocument.wordprocessingml.fontTable+xml"/>
  <Override PartName="/word/glossary/footnotes.xml" ContentType="application/vnd.openxmlformats-officedocument.wordprocessingml.footnotes+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43"/>
        <w:rPr>
          <w:rFonts w:eastAsiaTheme="minorEastAsia"/>
          <w:b w:val="0"/>
          <w:lang w:eastAsia="zh-CN"/>
        </w:rPr>
      </w:pPr>
      <w:r>
        <w:rPr>
          <w:rFonts w:hint="eastAsia" w:eastAsiaTheme="minorEastAsia"/>
          <w:lang w:eastAsia="zh-CN"/>
        </w:rPr>
        <w:t>Article category:</w:t>
      </w:r>
      <w:r>
        <w:t xml:space="preserve"> </w:t>
      </w:r>
      <w:r>
        <w:rPr>
          <w:b w:val="0"/>
        </w:rPr>
        <w:t>Full Paper</w:t>
      </w:r>
    </w:p>
    <w:p>
      <w:pPr>
        <w:pStyle w:val="43"/>
        <w:rPr>
          <w:rFonts w:eastAsiaTheme="minorEastAsia"/>
          <w:b w:val="0"/>
          <w:lang w:eastAsia="zh-CN"/>
        </w:rPr>
      </w:pPr>
      <w:r>
        <w:rPr>
          <w:rFonts w:eastAsiaTheme="minorEastAsia"/>
          <w:lang w:eastAsia="zh-CN"/>
        </w:rPr>
        <w:t xml:space="preserve">Subcategory: </w:t>
      </w:r>
      <w:r>
        <w:rPr>
          <w:rFonts w:eastAsiaTheme="minorEastAsia"/>
          <w:b w:val="0"/>
          <w:lang w:eastAsia="zh-CN"/>
        </w:rPr>
        <w:t>Organic Solar Cells</w:t>
      </w:r>
    </w:p>
    <w:p>
      <w:pPr>
        <w:pStyle w:val="43"/>
        <w:rPr>
          <w:rFonts w:eastAsiaTheme="minorEastAsia"/>
          <w:lang w:eastAsia="zh-CN"/>
        </w:rPr>
      </w:pPr>
    </w:p>
    <w:p>
      <w:pPr>
        <w:pStyle w:val="43"/>
        <w:rPr>
          <w:rFonts w:eastAsiaTheme="minorEastAsia"/>
          <w:lang w:eastAsia="zh-CN"/>
        </w:rPr>
      </w:pPr>
    </w:p>
    <w:p>
      <w:pPr>
        <w:pStyle w:val="39"/>
      </w:pPr>
      <w:bookmarkStart w:id="0" w:name="_Hlk126761008"/>
      <w:r>
        <w:t>Improved Efficiency and Stability of Organic Solar Cells by Interface Modification Using Atomic Layer Deposition of Ultrathin Aluminum</w:t>
      </w:r>
      <w:r>
        <w:rPr>
          <w:rFonts w:hint="eastAsia"/>
        </w:rPr>
        <w:t xml:space="preserve"> Oxide</w:t>
      </w:r>
    </w:p>
    <w:p>
      <w:pPr>
        <w:pStyle w:val="39"/>
      </w:pPr>
    </w:p>
    <w:p>
      <w:pPr>
        <w:pStyle w:val="39"/>
        <w:rPr>
          <w:b w:val="0"/>
          <w:bCs w:val="0"/>
          <w:i/>
          <w:iCs/>
        </w:rPr>
      </w:pPr>
      <w:r>
        <w:rPr>
          <w:b w:val="0"/>
          <w:bCs w:val="0"/>
          <w:i/>
          <w:iCs/>
        </w:rPr>
        <w:t>Ai Lan</w:t>
      </w:r>
      <w:r>
        <w:rPr>
          <w:rFonts w:hint="eastAsia"/>
          <w:b w:val="0"/>
          <w:bCs w:val="0"/>
          <w:i/>
          <w:iCs/>
          <w:vertAlign w:val="superscript"/>
        </w:rPr>
        <w:t>a,b</w:t>
      </w:r>
      <w:r>
        <w:rPr>
          <w:b w:val="0"/>
          <w:bCs w:val="0"/>
          <w:i/>
          <w:iCs/>
          <w:lang w:val="en-GB"/>
        </w:rPr>
        <w:t xml:space="preserve">, </w:t>
      </w:r>
      <w:r>
        <w:rPr>
          <w:rFonts w:hint="eastAsia"/>
          <w:b w:val="0"/>
          <w:bCs w:val="0"/>
          <w:i/>
          <w:iCs/>
        </w:rPr>
        <w:t>Yiqun Li</w:t>
      </w:r>
      <w:r>
        <w:rPr>
          <w:b w:val="0"/>
          <w:bCs w:val="0"/>
          <w:i/>
          <w:iCs/>
          <w:vertAlign w:val="superscript"/>
        </w:rPr>
        <w:t>a</w:t>
      </w:r>
      <w:r>
        <w:rPr>
          <w:rFonts w:hint="eastAsia"/>
          <w:b w:val="0"/>
          <w:bCs w:val="0"/>
          <w:i/>
          <w:iCs/>
        </w:rPr>
        <w:t xml:space="preserve">, </w:t>
      </w:r>
      <w:r>
        <w:rPr>
          <w:b w:val="0"/>
          <w:bCs w:val="0"/>
          <w:i/>
          <w:iCs/>
          <w:lang w:val="en-GB"/>
        </w:rPr>
        <w:t>Huiwen Zhu</w:t>
      </w:r>
      <w:r>
        <w:rPr>
          <w:b w:val="0"/>
          <w:bCs w:val="0"/>
          <w:i/>
          <w:iCs/>
          <w:vertAlign w:val="superscript"/>
        </w:rPr>
        <w:t>b</w:t>
      </w:r>
      <w:r>
        <w:rPr>
          <w:b w:val="0"/>
          <w:bCs w:val="0"/>
          <w:i/>
          <w:iCs/>
          <w:lang w:val="en-GB"/>
        </w:rPr>
        <w:t>, Jintao Zhu</w:t>
      </w:r>
      <w:r>
        <w:rPr>
          <w:rFonts w:hint="eastAsia"/>
          <w:b w:val="0"/>
          <w:bCs w:val="0"/>
          <w:i/>
          <w:iCs/>
          <w:vertAlign w:val="superscript"/>
        </w:rPr>
        <w:t>b</w:t>
      </w:r>
      <w:r>
        <w:rPr>
          <w:b w:val="0"/>
          <w:bCs w:val="0"/>
          <w:i/>
          <w:iCs/>
          <w:lang w:val="en-GB"/>
        </w:rPr>
        <w:t>, Hong Lu</w:t>
      </w:r>
      <w:r>
        <w:rPr>
          <w:rFonts w:hint="eastAsia"/>
          <w:b w:val="0"/>
          <w:bCs w:val="0"/>
          <w:i/>
          <w:iCs/>
          <w:vertAlign w:val="superscript"/>
        </w:rPr>
        <w:t>b</w:t>
      </w:r>
      <w:r>
        <w:rPr>
          <w:b w:val="0"/>
          <w:bCs w:val="0"/>
          <w:i/>
          <w:iCs/>
          <w:lang w:val="en-GB"/>
        </w:rPr>
        <w:t>, Hainam Do</w:t>
      </w:r>
      <w:r>
        <w:rPr>
          <w:rFonts w:hint="eastAsia"/>
          <w:b w:val="0"/>
          <w:bCs w:val="0"/>
          <w:i/>
          <w:iCs/>
          <w:vertAlign w:val="superscript"/>
        </w:rPr>
        <w:t>b</w:t>
      </w:r>
      <w:r>
        <w:rPr>
          <w:b w:val="0"/>
          <w:bCs w:val="0"/>
          <w:i/>
          <w:iCs/>
          <w:lang w:val="en-GB"/>
        </w:rPr>
        <w:t>, Yifan Lv</w:t>
      </w:r>
      <w:r>
        <w:rPr>
          <w:rFonts w:hint="eastAsia"/>
          <w:b w:val="0"/>
          <w:bCs w:val="0"/>
          <w:i/>
          <w:iCs/>
          <w:vertAlign w:val="superscript"/>
          <w:lang w:val="en-GB"/>
        </w:rPr>
        <w:t>*</w:t>
      </w:r>
      <w:r>
        <w:rPr>
          <w:rFonts w:hint="eastAsia"/>
          <w:b w:val="0"/>
          <w:bCs w:val="0"/>
          <w:i/>
          <w:iCs/>
          <w:vertAlign w:val="superscript"/>
        </w:rPr>
        <w:t>a,b</w:t>
      </w:r>
      <w:r>
        <w:rPr>
          <w:b w:val="0"/>
          <w:bCs w:val="0"/>
          <w:i/>
          <w:iCs/>
        </w:rPr>
        <w:t>,</w:t>
      </w:r>
      <w:r>
        <w:rPr>
          <w:b w:val="0"/>
          <w:bCs w:val="0"/>
          <w:i/>
          <w:iCs/>
          <w:lang w:val="en-GB"/>
        </w:rPr>
        <w:t xml:space="preserve"> </w:t>
      </w:r>
      <w:r>
        <w:rPr>
          <w:rFonts w:hint="eastAsia"/>
          <w:b w:val="0"/>
          <w:bCs w:val="0"/>
          <w:i/>
          <w:iCs/>
        </w:rPr>
        <w:t>Yonghua Chen</w:t>
      </w:r>
      <w:r>
        <w:rPr>
          <w:rFonts w:hint="eastAsia"/>
          <w:b w:val="0"/>
          <w:bCs w:val="0"/>
          <w:i/>
          <w:iCs/>
          <w:vertAlign w:val="superscript"/>
        </w:rPr>
        <w:t>a</w:t>
      </w:r>
      <w:r>
        <w:rPr>
          <w:rFonts w:hint="eastAsia"/>
          <w:b w:val="0"/>
          <w:bCs w:val="0"/>
          <w:i/>
          <w:iCs/>
        </w:rPr>
        <w:t>,</w:t>
      </w:r>
      <w:r>
        <w:rPr>
          <w:b w:val="0"/>
          <w:bCs w:val="0"/>
          <w:i/>
          <w:iCs/>
          <w:lang w:val="en-GB"/>
        </w:rPr>
        <w:t xml:space="preserve"> </w:t>
      </w:r>
      <w:r>
        <w:rPr>
          <w:rFonts w:hint="eastAsia"/>
          <w:b w:val="0"/>
          <w:bCs w:val="0"/>
          <w:i/>
          <w:iCs/>
        </w:rPr>
        <w:t>Zhikuan Chen</w:t>
      </w:r>
      <w:r>
        <w:rPr>
          <w:rFonts w:hint="eastAsia"/>
          <w:b w:val="0"/>
          <w:bCs w:val="0"/>
          <w:i/>
          <w:iCs/>
          <w:vertAlign w:val="superscript"/>
        </w:rPr>
        <w:t>c</w:t>
      </w:r>
      <w:r>
        <w:rPr>
          <w:b w:val="0"/>
          <w:bCs w:val="0"/>
          <w:i/>
          <w:iCs/>
        </w:rPr>
        <w:t xml:space="preserve">, </w:t>
      </w:r>
      <w:r>
        <w:rPr>
          <w:b w:val="0"/>
          <w:bCs w:val="0"/>
          <w:i/>
          <w:iCs/>
          <w:lang w:val="en-GB"/>
        </w:rPr>
        <w:t>Fei Chen</w:t>
      </w:r>
      <w:r>
        <w:rPr>
          <w:b w:val="0"/>
          <w:bCs w:val="0"/>
          <w:i/>
          <w:iCs/>
          <w:vertAlign w:val="superscript"/>
          <w:lang w:val="en-GB"/>
        </w:rPr>
        <w:t>*</w:t>
      </w:r>
      <w:r>
        <w:rPr>
          <w:rFonts w:hint="eastAsia"/>
          <w:b w:val="0"/>
          <w:bCs w:val="0"/>
          <w:i/>
          <w:iCs/>
          <w:vertAlign w:val="superscript"/>
        </w:rPr>
        <w:t>b</w:t>
      </w:r>
      <w:r>
        <w:rPr>
          <w:b w:val="0"/>
          <w:bCs w:val="0"/>
          <w:i/>
          <w:iCs/>
          <w:vertAlign w:val="superscript"/>
        </w:rPr>
        <w:t>,</w:t>
      </w:r>
      <w:r>
        <w:rPr>
          <w:rFonts w:hint="eastAsia"/>
          <w:b w:val="0"/>
          <w:bCs w:val="0"/>
          <w:i/>
          <w:iCs/>
          <w:vertAlign w:val="superscript"/>
        </w:rPr>
        <w:t>c</w:t>
      </w:r>
      <w:r>
        <w:rPr>
          <w:rFonts w:hint="eastAsia"/>
          <w:b w:val="0"/>
          <w:bCs w:val="0"/>
          <w:i/>
          <w:iCs/>
        </w:rPr>
        <w:t xml:space="preserve"> </w:t>
      </w:r>
      <w:r>
        <w:rPr>
          <w:b w:val="0"/>
          <w:bCs w:val="0"/>
          <w:i/>
          <w:iCs/>
        </w:rPr>
        <w:t>and</w:t>
      </w:r>
      <w:r>
        <w:rPr>
          <w:rFonts w:hint="eastAsia"/>
          <w:b w:val="0"/>
          <w:bCs w:val="0"/>
          <w:i/>
          <w:iCs/>
        </w:rPr>
        <w:t xml:space="preserve"> </w:t>
      </w:r>
      <w:r>
        <w:rPr>
          <w:b w:val="0"/>
          <w:bCs w:val="0"/>
          <w:i/>
          <w:iCs/>
        </w:rPr>
        <w:t>Wei Huang</w:t>
      </w:r>
      <w:r>
        <w:rPr>
          <w:b w:val="0"/>
          <w:bCs w:val="0"/>
          <w:i/>
          <w:iCs/>
          <w:vertAlign w:val="superscript"/>
        </w:rPr>
        <w:t>a,d</w:t>
      </w:r>
    </w:p>
    <w:p>
      <w:pPr>
        <w:pStyle w:val="39"/>
      </w:pPr>
    </w:p>
    <w:p>
      <w:pPr>
        <w:rPr>
          <w:lang w:val="en-US"/>
        </w:rPr>
      </w:pPr>
      <w:r>
        <w:rPr>
          <w:rFonts w:hint="eastAsia"/>
          <w:vertAlign w:val="superscript"/>
          <w:lang w:val="en-US"/>
        </w:rPr>
        <w:t>a</w:t>
      </w:r>
      <w:r>
        <w:rPr>
          <w:lang w:val="en-US"/>
        </w:rPr>
        <w:t>A</w:t>
      </w:r>
      <w:r>
        <w:rPr>
          <w:rFonts w:hint="eastAsia"/>
          <w:lang w:val="en-US"/>
        </w:rPr>
        <w:t>.</w:t>
      </w:r>
      <w:r>
        <w:rPr>
          <w:lang w:val="en-US"/>
        </w:rPr>
        <w:t xml:space="preserve"> </w:t>
      </w:r>
      <w:r>
        <w:rPr>
          <w:rFonts w:hint="eastAsia"/>
          <w:lang w:val="en-US"/>
        </w:rPr>
        <w:t>L</w:t>
      </w:r>
      <w:r>
        <w:rPr>
          <w:lang w:val="en-US"/>
        </w:rPr>
        <w:t>an</w:t>
      </w:r>
      <w:r>
        <w:rPr>
          <w:rFonts w:hint="eastAsia"/>
          <w:lang w:val="en-US"/>
        </w:rPr>
        <w:t>,</w:t>
      </w:r>
      <w:r>
        <w:rPr>
          <w:lang w:val="en-US"/>
        </w:rPr>
        <w:t xml:space="preserve"> </w:t>
      </w:r>
      <w:r>
        <w:rPr>
          <w:rFonts w:hint="eastAsia"/>
          <w:lang w:val="en-US"/>
        </w:rPr>
        <w:t xml:space="preserve">Y. Li, </w:t>
      </w:r>
      <w:r>
        <w:rPr>
          <w:lang w:val="en-IE"/>
        </w:rPr>
        <w:t xml:space="preserve">Dr. </w:t>
      </w:r>
      <w:r>
        <w:rPr>
          <w:rFonts w:hint="eastAsia"/>
          <w:lang w:val="en-US"/>
        </w:rPr>
        <w:t>Y</w:t>
      </w:r>
      <w:r>
        <w:rPr>
          <w:lang w:val="en-US"/>
        </w:rPr>
        <w:t>. Lv</w:t>
      </w:r>
      <w:r>
        <w:rPr>
          <w:rFonts w:hint="eastAsia"/>
          <w:lang w:val="en-US"/>
        </w:rPr>
        <w:t xml:space="preserve">, </w:t>
      </w:r>
      <w:r>
        <w:rPr>
          <w:lang w:val="en-US"/>
        </w:rPr>
        <w:t>Prof.</w:t>
      </w:r>
      <w:r>
        <w:rPr>
          <w:rFonts w:hint="eastAsia"/>
          <w:lang w:val="en-US"/>
        </w:rPr>
        <w:t xml:space="preserve"> Y. Chen, </w:t>
      </w:r>
      <w:r>
        <w:rPr>
          <w:lang w:val="en-US"/>
        </w:rPr>
        <w:t xml:space="preserve">Prof. </w:t>
      </w:r>
      <w:r>
        <w:rPr>
          <w:rFonts w:hint="eastAsia"/>
          <w:lang w:val="en-US"/>
        </w:rPr>
        <w:t>W</w:t>
      </w:r>
      <w:r>
        <w:rPr>
          <w:lang w:val="en-US"/>
        </w:rPr>
        <w:t xml:space="preserve">. </w:t>
      </w:r>
      <w:r>
        <w:rPr>
          <w:rFonts w:hint="eastAsia"/>
          <w:lang w:val="en-US"/>
        </w:rPr>
        <w:t>Huang</w:t>
      </w:r>
    </w:p>
    <w:p>
      <w:pPr>
        <w:rPr>
          <w:lang w:val="en-US"/>
        </w:rPr>
      </w:pPr>
      <w:r>
        <w:rPr>
          <w:rFonts w:hint="eastAsia"/>
          <w:lang w:val="en-US"/>
        </w:rPr>
        <w:t xml:space="preserve">School of Flexible Electronics (Future Technologies) and </w:t>
      </w:r>
      <w:r>
        <w:rPr>
          <w:lang w:val="en-US"/>
        </w:rPr>
        <w:t>Key Laboratory of Flexible Electronics (KLOFE) and Institute of Advanced Materials (IAM), Jiangsu National Synergetic Innovation</w:t>
      </w:r>
      <w:r>
        <w:rPr>
          <w:rFonts w:hint="eastAsia"/>
          <w:lang w:val="en-US"/>
        </w:rPr>
        <w:t xml:space="preserve"> </w:t>
      </w:r>
      <w:r>
        <w:rPr>
          <w:lang w:val="en-US"/>
        </w:rPr>
        <w:t>Center for Advanced Materials (SICAM), Nanjing Tech University, Nanjing, China</w:t>
      </w:r>
    </w:p>
    <w:p>
      <w:pPr>
        <w:rPr>
          <w:vertAlign w:val="superscript"/>
          <w:lang w:val="en-US"/>
        </w:rPr>
      </w:pPr>
    </w:p>
    <w:p>
      <w:pPr>
        <w:rPr>
          <w:lang w:val="en-US"/>
        </w:rPr>
      </w:pPr>
      <w:r>
        <w:rPr>
          <w:rFonts w:hint="eastAsia"/>
          <w:vertAlign w:val="superscript"/>
          <w:lang w:val="en-US"/>
        </w:rPr>
        <w:t>b</w:t>
      </w:r>
      <w:r>
        <w:rPr>
          <w:lang w:val="en-US"/>
        </w:rPr>
        <w:t>A</w:t>
      </w:r>
      <w:r>
        <w:rPr>
          <w:rFonts w:hint="eastAsia"/>
          <w:lang w:val="en-US"/>
        </w:rPr>
        <w:t>.</w:t>
      </w:r>
      <w:r>
        <w:rPr>
          <w:lang w:val="en-US"/>
        </w:rPr>
        <w:t xml:space="preserve"> </w:t>
      </w:r>
      <w:r>
        <w:rPr>
          <w:rFonts w:hint="eastAsia"/>
          <w:lang w:val="en-US"/>
        </w:rPr>
        <w:t>L</w:t>
      </w:r>
      <w:r>
        <w:rPr>
          <w:lang w:val="en-US"/>
        </w:rPr>
        <w:t>an</w:t>
      </w:r>
      <w:r>
        <w:rPr>
          <w:rFonts w:hint="eastAsia"/>
          <w:lang w:val="en-US"/>
        </w:rPr>
        <w:t>,</w:t>
      </w:r>
      <w:r>
        <w:rPr>
          <w:lang w:val="en-US"/>
        </w:rPr>
        <w:t xml:space="preserve"> </w:t>
      </w:r>
      <w:r>
        <w:rPr>
          <w:rFonts w:hint="eastAsia"/>
          <w:lang w:val="en-US"/>
        </w:rPr>
        <w:t xml:space="preserve">H. Zhu, </w:t>
      </w:r>
      <w:r>
        <w:rPr>
          <w:lang w:val="en-US"/>
        </w:rPr>
        <w:t>J</w:t>
      </w:r>
      <w:r>
        <w:rPr>
          <w:rFonts w:hint="eastAsia"/>
          <w:lang w:val="en-US"/>
        </w:rPr>
        <w:t>.</w:t>
      </w:r>
      <w:r>
        <w:rPr>
          <w:lang w:val="en-US"/>
        </w:rPr>
        <w:t xml:space="preserve"> Zhu, H</w:t>
      </w:r>
      <w:r>
        <w:rPr>
          <w:rFonts w:hint="eastAsia"/>
          <w:lang w:val="en-US"/>
        </w:rPr>
        <w:t>.</w:t>
      </w:r>
      <w:r>
        <w:rPr>
          <w:lang w:val="en-US"/>
        </w:rPr>
        <w:t xml:space="preserve"> Lu, Prof</w:t>
      </w:r>
      <w:r>
        <w:rPr>
          <w:rFonts w:hint="eastAsia"/>
          <w:lang w:val="en-US"/>
        </w:rPr>
        <w:t xml:space="preserve">. </w:t>
      </w:r>
      <w:r>
        <w:rPr>
          <w:lang w:val="en-US"/>
        </w:rPr>
        <w:t>H. Do</w:t>
      </w:r>
      <w:r>
        <w:rPr>
          <w:rFonts w:hint="eastAsia"/>
          <w:lang w:val="en-US"/>
        </w:rPr>
        <w:t xml:space="preserve">, </w:t>
      </w:r>
      <w:r>
        <w:rPr>
          <w:lang w:val="en-IE"/>
        </w:rPr>
        <w:t xml:space="preserve">Dr. </w:t>
      </w:r>
      <w:r>
        <w:rPr>
          <w:rFonts w:hint="eastAsia"/>
          <w:lang w:val="en-US"/>
        </w:rPr>
        <w:t>Y</w:t>
      </w:r>
      <w:r>
        <w:rPr>
          <w:lang w:val="en-US"/>
        </w:rPr>
        <w:t>. Lv, Prof. F. Chen</w:t>
      </w:r>
    </w:p>
    <w:p>
      <w:pPr>
        <w:rPr>
          <w:lang w:val="en-US"/>
        </w:rPr>
      </w:pPr>
      <w:r>
        <w:rPr>
          <w:rFonts w:hint="eastAsia"/>
          <w:lang w:val="en-US"/>
        </w:rPr>
        <w:t>Department of Chemical and Environmental Engineering, University of Nottingham Ningbo China, Ningbo, China</w:t>
      </w:r>
    </w:p>
    <w:p>
      <w:pPr>
        <w:rPr>
          <w:vertAlign w:val="superscript"/>
          <w:lang w:val="en-US"/>
        </w:rPr>
      </w:pPr>
    </w:p>
    <w:p>
      <w:pPr>
        <w:rPr>
          <w:lang w:val="en-US"/>
        </w:rPr>
      </w:pPr>
      <w:r>
        <w:rPr>
          <w:rFonts w:hint="eastAsia"/>
          <w:vertAlign w:val="superscript"/>
          <w:lang w:val="en-US"/>
        </w:rPr>
        <w:t>c</w:t>
      </w:r>
      <w:r>
        <w:rPr>
          <w:lang w:val="en-US"/>
        </w:rPr>
        <w:t xml:space="preserve">Prof. </w:t>
      </w:r>
      <w:r>
        <w:rPr>
          <w:rFonts w:hint="eastAsia"/>
          <w:lang w:val="en-US"/>
        </w:rPr>
        <w:t>Z</w:t>
      </w:r>
      <w:r>
        <w:rPr>
          <w:lang w:val="en-US"/>
        </w:rPr>
        <w:t>. Chen</w:t>
      </w:r>
      <w:r>
        <w:rPr>
          <w:rFonts w:hint="eastAsia"/>
          <w:lang w:val="en-US"/>
        </w:rPr>
        <w:t xml:space="preserve">, </w:t>
      </w:r>
      <w:r>
        <w:rPr>
          <w:lang w:val="en-US"/>
        </w:rPr>
        <w:t>Prof. F. Chen</w:t>
      </w:r>
    </w:p>
    <w:p>
      <w:pPr>
        <w:rPr>
          <w:lang w:val="en-GB"/>
        </w:rPr>
      </w:pPr>
      <w:r>
        <w:rPr>
          <w:lang w:val="en-GB"/>
        </w:rPr>
        <w:t>Key Laboratory of Flexible Electronics of Zhejiang Province, Ningbo Institute of Northwestern Polytechnical University, Ningbo, China</w:t>
      </w:r>
    </w:p>
    <w:p>
      <w:pPr>
        <w:rPr>
          <w:vertAlign w:val="superscript"/>
          <w:lang w:val="en-US"/>
        </w:rPr>
      </w:pPr>
    </w:p>
    <w:p>
      <w:pPr>
        <w:rPr>
          <w:lang w:val="en-US"/>
        </w:rPr>
      </w:pPr>
      <w:r>
        <w:rPr>
          <w:rFonts w:hint="eastAsia"/>
          <w:vertAlign w:val="superscript"/>
          <w:lang w:val="en-US"/>
        </w:rPr>
        <w:t>d</w:t>
      </w:r>
      <w:r>
        <w:rPr>
          <w:lang w:val="en-US"/>
        </w:rPr>
        <w:t xml:space="preserve">Prof. </w:t>
      </w:r>
      <w:r>
        <w:rPr>
          <w:rFonts w:hint="eastAsia"/>
          <w:lang w:val="en-US"/>
        </w:rPr>
        <w:t>W</w:t>
      </w:r>
      <w:r>
        <w:rPr>
          <w:lang w:val="en-US"/>
        </w:rPr>
        <w:t xml:space="preserve">. </w:t>
      </w:r>
      <w:r>
        <w:rPr>
          <w:rFonts w:hint="eastAsia"/>
          <w:lang w:val="en-US"/>
        </w:rPr>
        <w:t>Huang</w:t>
      </w:r>
    </w:p>
    <w:p>
      <w:pPr>
        <w:rPr>
          <w:lang w:val="en-US"/>
        </w:rPr>
      </w:pPr>
      <w:r>
        <w:rPr>
          <w:rFonts w:hint="eastAsia"/>
          <w:lang w:val="en-US"/>
        </w:rPr>
        <w:t>Frontiers Science Center for Flexible Electronics, Xi</w:t>
      </w:r>
      <w:r>
        <w:rPr>
          <w:lang w:val="en-US"/>
        </w:rPr>
        <w:t>’</w:t>
      </w:r>
      <w:r>
        <w:rPr>
          <w:rFonts w:hint="eastAsia"/>
          <w:lang w:val="en-US"/>
        </w:rPr>
        <w:t>an Institute of Flexible Electronics (IFE) and Xi</w:t>
      </w:r>
      <w:r>
        <w:rPr>
          <w:lang w:val="en-US"/>
        </w:rPr>
        <w:t>’</w:t>
      </w:r>
      <w:r>
        <w:rPr>
          <w:rFonts w:hint="eastAsia"/>
          <w:lang w:val="en-US"/>
        </w:rPr>
        <w:t>an Institute of Biomedical</w:t>
      </w:r>
      <w:r>
        <w:rPr>
          <w:lang w:val="en-US"/>
        </w:rPr>
        <w:t xml:space="preserve"> </w:t>
      </w:r>
      <w:r>
        <w:rPr>
          <w:rFonts w:hint="eastAsia"/>
          <w:lang w:val="en-US"/>
        </w:rPr>
        <w:t>Materials &amp; Engineering, Northwestern Polytechnical</w:t>
      </w:r>
      <w:r>
        <w:rPr>
          <w:lang w:val="en-US"/>
        </w:rPr>
        <w:t xml:space="preserve"> </w:t>
      </w:r>
      <w:r>
        <w:rPr>
          <w:rFonts w:hint="eastAsia"/>
          <w:lang w:val="en-US"/>
        </w:rPr>
        <w:t>University, Xi</w:t>
      </w:r>
      <w:r>
        <w:rPr>
          <w:lang w:val="en-US"/>
        </w:rPr>
        <w:t>’</w:t>
      </w:r>
      <w:r>
        <w:rPr>
          <w:rFonts w:hint="eastAsia"/>
          <w:lang w:val="en-US"/>
        </w:rPr>
        <w:t>an, China</w:t>
      </w:r>
    </w:p>
    <w:p>
      <w:pPr>
        <w:rPr>
          <w:lang w:val="en-US"/>
        </w:rPr>
      </w:pPr>
    </w:p>
    <w:p>
      <w:pPr>
        <w:rPr>
          <w:lang w:val="en-GB"/>
        </w:rPr>
      </w:pPr>
      <w:r>
        <w:rPr>
          <w:lang w:val="en-US"/>
        </w:rPr>
        <w:t>Email: fchensci@outlook.com; iamyifanlv@njtech.edu.cn</w:t>
      </w:r>
    </w:p>
    <w:bookmarkEnd w:id="0"/>
    <w:p>
      <w:pPr>
        <w:rPr>
          <w:lang w:val="en-GB"/>
        </w:rPr>
      </w:pPr>
    </w:p>
    <w:p>
      <w:pPr>
        <w:rPr>
          <w:lang w:val="en-US"/>
        </w:rPr>
      </w:pPr>
      <w:r>
        <w:rPr>
          <w:bCs/>
          <w:lang w:val="en-US"/>
        </w:rPr>
        <w:t xml:space="preserve">Keywords: </w:t>
      </w:r>
      <w:r>
        <w:rPr>
          <w:rFonts w:eastAsia="MS Gothic"/>
          <w:lang w:val="en-GB"/>
        </w:rPr>
        <w:t>Organic Solar Cells; Interface Modification; Atomic Layer Deposition; Stability</w:t>
      </w:r>
    </w:p>
    <w:p>
      <w:pPr>
        <w:rPr>
          <w:lang w:val="en-US"/>
        </w:rPr>
      </w:pPr>
    </w:p>
    <w:p>
      <w:pPr>
        <w:rPr>
          <w:lang w:val="en-US"/>
        </w:rPr>
      </w:pPr>
    </w:p>
    <w:p>
      <w:pPr>
        <w:pStyle w:val="32"/>
        <w:jc w:val="both"/>
      </w:pPr>
      <w:bookmarkStart w:id="1" w:name="_Hlk126745786"/>
      <w:r>
        <w:t>The interfacial contacts between the electron transporting layers (ETLs) and</w:t>
      </w:r>
      <w:r>
        <w:rPr>
          <w:rFonts w:hint="eastAsia"/>
        </w:rPr>
        <w:t xml:space="preserve"> </w:t>
      </w:r>
      <w:r>
        <w:t xml:space="preserve">the photoactive layers are crucial to device performance and stability for OSCs with inverted architecture. </w:t>
      </w:r>
      <w:r>
        <w:rPr>
          <w:rFonts w:hint="eastAsia"/>
        </w:rPr>
        <w:t>H</w:t>
      </w:r>
      <w:r>
        <w:t>erein, atomic layer</w:t>
      </w:r>
      <w:r>
        <w:rPr>
          <w:rFonts w:hint="eastAsia"/>
        </w:rPr>
        <w:t xml:space="preserve"> </w:t>
      </w:r>
      <w:r>
        <w:t xml:space="preserve">deposition (ALD) </w:t>
      </w:r>
      <w:r>
        <w:rPr>
          <w:rFonts w:hint="eastAsia"/>
        </w:rPr>
        <w:t>fabricated</w:t>
      </w:r>
      <w:r>
        <w:t xml:space="preserve"> ultrathin Al</w:t>
      </w:r>
      <w:r>
        <w:rPr>
          <w:vertAlign w:val="subscript"/>
        </w:rPr>
        <w:t>2</w:t>
      </w:r>
      <w:r>
        <w:t>O</w:t>
      </w:r>
      <w:r>
        <w:rPr>
          <w:vertAlign w:val="subscript"/>
        </w:rPr>
        <w:t xml:space="preserve">3 </w:t>
      </w:r>
      <w:r>
        <w:rPr>
          <w:rFonts w:hint="eastAsia"/>
        </w:rPr>
        <w:t>layer</w:t>
      </w:r>
      <w:r>
        <w:t>s are applied to modify the ETLs</w:t>
      </w:r>
      <w:r>
        <w:rPr>
          <w:rFonts w:hint="eastAsia"/>
        </w:rPr>
        <w:t>/a</w:t>
      </w:r>
      <w:r>
        <w:t>ctive blends (PM6:BTP-BO-4F) interfaces of OSCs</w:t>
      </w:r>
      <w:r>
        <w:rPr>
          <w:rFonts w:hint="eastAsia"/>
        </w:rPr>
        <w:t>,</w:t>
      </w:r>
      <w:r>
        <w:t xml:space="preserve"> </w:t>
      </w:r>
      <w:r>
        <w:rPr>
          <w:rFonts w:hint="eastAsia"/>
        </w:rPr>
        <w:t>thus</w:t>
      </w:r>
      <w:r>
        <w:t xml:space="preserve"> improving </w:t>
      </w:r>
      <w:r>
        <w:rPr>
          <w:rFonts w:hint="eastAsia"/>
        </w:rPr>
        <w:t>device</w:t>
      </w:r>
      <w:r>
        <w:t xml:space="preserve"> performance.</w:t>
      </w:r>
      <w:r>
        <w:rPr>
          <w:rFonts w:hint="eastAsia"/>
        </w:rPr>
        <w:t xml:space="preserve"> </w:t>
      </w:r>
      <w:r>
        <w:t>The ALD-Al</w:t>
      </w:r>
      <w:r>
        <w:rPr>
          <w:vertAlign w:val="subscript"/>
        </w:rPr>
        <w:t>2</w:t>
      </w:r>
      <w:r>
        <w:t>O</w:t>
      </w:r>
      <w:r>
        <w:rPr>
          <w:vertAlign w:val="subscript"/>
        </w:rPr>
        <w:t>3</w:t>
      </w:r>
      <w:r>
        <w:t xml:space="preserve"> thin layers on ZnO significantly improved its surface morphology, </w:t>
      </w:r>
      <w:bookmarkStart w:id="60" w:name="_GoBack"/>
      <w:bookmarkEnd w:id="60"/>
      <w:r>
        <w:t>which led to the decreased work function of ZnO and reduced recombination losses in devices. The simultaneous increase in open-circuit voltage (</w:t>
      </w:r>
      <m:oMath>
        <m:sSub>
          <m:sSubPr>
            <m:ctrlPr>
              <w:rPr>
                <w:rFonts w:ascii="Cambria Math" w:hAnsi="Cambria Math"/>
                <w:i/>
              </w:rPr>
            </m:ctrlPr>
          </m:sSubPr>
          <w:bookmarkStart w:id="2" w:name="_Hlk114146293"/>
          <m:e>
            <m:r>
              <m:rPr/>
              <w:rPr>
                <w:rFonts w:ascii="Cambria Math" w:hAnsi="Cambria Math"/>
              </w:rPr>
              <m:t>V</m:t>
            </m:r>
            <m:ctrlPr>
              <w:rPr>
                <w:rFonts w:ascii="Cambria Math" w:hAnsi="Cambria Math"/>
                <w:i/>
              </w:rPr>
            </m:ctrlPr>
          </m:e>
          <m:sub>
            <m:r>
              <m:rPr/>
              <w:rPr>
                <w:rFonts w:ascii="Cambria Math" w:hAnsi="Cambria Math"/>
              </w:rPr>
              <m:t>OC</m:t>
            </m:r>
            <w:bookmarkEnd w:id="2"/>
            <m:ctrlPr>
              <w:rPr>
                <w:rFonts w:ascii="Cambria Math" w:hAnsi="Cambria Math"/>
                <w:i/>
              </w:rPr>
            </m:ctrlPr>
          </m:sub>
        </m:sSub>
      </m:oMath>
      <w:r>
        <w:t>), short-circuit current density (</w:t>
      </w:r>
      <m:oMath>
        <m:sSub>
          <m:sSubPr>
            <m:ctrlPr>
              <w:rPr>
                <w:rFonts w:ascii="Cambria Math" w:hAnsi="Cambria Math"/>
                <w:i/>
              </w:rPr>
            </m:ctrlPr>
          </m:sSubPr>
          <m:e>
            <m:r>
              <m:rPr/>
              <w:rPr>
                <w:rFonts w:ascii="Cambria Math" w:hAnsi="Cambria Math"/>
              </w:rPr>
              <m:t>J</m:t>
            </m:r>
            <m:ctrlPr>
              <w:rPr>
                <w:rFonts w:ascii="Cambria Math" w:hAnsi="Cambria Math"/>
                <w:i/>
              </w:rPr>
            </m:ctrlPr>
          </m:e>
          <m:sub>
            <m:r>
              <m:rPr/>
              <w:rPr>
                <w:rFonts w:ascii="Cambria Math" w:hAnsi="Cambria Math"/>
              </w:rPr>
              <m:t>SC</m:t>
            </m:r>
            <m:ctrlPr>
              <w:rPr>
                <w:rFonts w:ascii="Cambria Math" w:hAnsi="Cambria Math"/>
                <w:i/>
              </w:rPr>
            </m:ctrlPr>
          </m:sub>
        </m:sSub>
      </m:oMath>
      <w:r>
        <w:t>) and fill factor (FF) were achieved for the OSCs incorporated with ALD-Al</w:t>
      </w:r>
      <w:r>
        <w:rPr>
          <w:vertAlign w:val="subscript"/>
        </w:rPr>
        <w:t>2</w:t>
      </w:r>
      <w:r>
        <w:t>O</w:t>
      </w:r>
      <w:r>
        <w:rPr>
          <w:vertAlign w:val="subscript"/>
        </w:rPr>
        <w:t xml:space="preserve">3 </w:t>
      </w:r>
      <w:r>
        <w:t xml:space="preserve">interlayers of a certain thickness, which produced a maximum PCE of 16.61%. </w:t>
      </w:r>
      <w:r>
        <w:rPr>
          <w:rFonts w:hint="eastAsia"/>
        </w:rPr>
        <w:t>M</w:t>
      </w:r>
      <w:r>
        <w:t>oreover, the ALD-Al</w:t>
      </w:r>
      <w:r>
        <w:rPr>
          <w:vertAlign w:val="subscript"/>
        </w:rPr>
        <w:t>2</w:t>
      </w:r>
      <w:r>
        <w:t>O</w:t>
      </w:r>
      <w:r>
        <w:rPr>
          <w:vertAlign w:val="subscript"/>
        </w:rPr>
        <w:t>3</w:t>
      </w:r>
      <w:r>
        <w:t xml:space="preserve"> interlayers </w:t>
      </w:r>
      <w:r>
        <w:rPr>
          <w:rFonts w:hint="eastAsia"/>
        </w:rPr>
        <w:t>had</w:t>
      </w:r>
      <w:r>
        <w:t xml:space="preserve"> significantly enhanced device stability by suppressing degradation</w:t>
      </w:r>
      <w:r>
        <w:rPr>
          <w:rFonts w:hint="eastAsia"/>
        </w:rPr>
        <w:t xml:space="preserve"> </w:t>
      </w:r>
      <w:r>
        <w:t>of the photoactive layers induced by the photocatalytic</w:t>
      </w:r>
      <w:r>
        <w:rPr>
          <w:rFonts w:hint="eastAsia"/>
        </w:rPr>
        <w:t xml:space="preserve"> </w:t>
      </w:r>
      <w:r>
        <w:t xml:space="preserve">activity of ZnO and passivating surface defects of ZnO that </w:t>
      </w:r>
      <w:r>
        <w:rPr>
          <w:rFonts w:hint="eastAsia"/>
        </w:rPr>
        <w:t>may</w:t>
      </w:r>
      <w:r>
        <w:t xml:space="preserve"> play the role of active sites for the adsorption of oxygen and moisture.</w:t>
      </w:r>
      <w:bookmarkEnd w:id="1"/>
    </w:p>
    <w:p>
      <w:pPr>
        <w:rPr>
          <w:color w:val="FF0000"/>
          <w:lang w:val="en-US"/>
        </w:rPr>
      </w:pPr>
    </w:p>
    <w:p>
      <w:pPr>
        <w:pStyle w:val="33"/>
      </w:pPr>
      <w:r>
        <w:t>1. Introduction</w:t>
      </w:r>
    </w:p>
    <w:p>
      <w:pPr>
        <w:spacing w:line="480" w:lineRule="auto"/>
        <w:ind w:firstLine="480" w:firstLineChars="200"/>
        <w:jc w:val="both"/>
      </w:pPr>
      <w:r>
        <w:t>Organic solar cells (OSCs) have gained intensive research attention due to the priorities of lightweight, flexibility and solution processability, thus showing great potential in commercialization.</w:t>
      </w:r>
      <w:r>
        <w:rPr>
          <w:vertAlign w:val="superscript"/>
        </w:rPr>
        <w:t>[1]</w:t>
      </w:r>
      <w:r>
        <w:t xml:space="preserve"> Single junction OSCs have achieved great improvement in power conversion efficiency (PCE), which has reached 18% accompanied by the rapid development of high-performance polymer donors and non-fullerene acceptors (NFAs) over the last decades.</w:t>
      </w:r>
      <w:r>
        <w:rPr>
          <w:vertAlign w:val="superscript"/>
        </w:rPr>
        <w:t>[2-4]</w:t>
      </w:r>
      <w:r>
        <w:t xml:space="preserve"> </w:t>
      </w:r>
      <w:r>
        <w:rPr>
          <w:rFonts w:hint="eastAsia"/>
        </w:rPr>
        <w:t>However,</w:t>
      </w:r>
      <w:r>
        <w:t xml:space="preserve"> materials stability and device </w:t>
      </w:r>
      <w:r>
        <w:rPr>
          <w:rFonts w:hint="eastAsia"/>
        </w:rPr>
        <w:t>lifetime</w:t>
      </w:r>
      <w:r>
        <w:t xml:space="preserve"> have received far less attention by far,</w:t>
      </w:r>
      <w:r>
        <w:rPr>
          <w:vertAlign w:val="superscript"/>
        </w:rPr>
        <w:t>[5]</w:t>
      </w:r>
      <w:r>
        <w:t xml:space="preserve"> which has been a crucial issue to be addressed so that OSCs could be applicable in the marketplace.</w:t>
      </w:r>
      <w:r>
        <w:rPr>
          <w:vertAlign w:val="superscript"/>
        </w:rPr>
        <w:t>[6]</w:t>
      </w:r>
      <w:r>
        <w:rPr>
          <w:rFonts w:hint="eastAsia"/>
        </w:rPr>
        <w:t xml:space="preserve"> </w:t>
      </w:r>
      <w:r>
        <w:t xml:space="preserve">The conventional OSCs normally employ poly (3,4-ethylenedioxythiophene): poly(styrenesulfonate) (PEDOT:PSS) as the hole transporting layer (HTL), which usually present lower stability due to the inherent hygroscopicity and acidity of PEDOT:PSS, that can corrode the indium-tin oxide (ITO) substrates, thus leading to diffusion of </w:t>
      </w:r>
      <w:bookmarkStart w:id="3" w:name="_Hlk116293342"/>
      <w:r>
        <w:t>indium</w:t>
      </w:r>
      <w:bookmarkEnd w:id="3"/>
      <w:r>
        <w:t xml:space="preserve"> and tin into the HTL.</w:t>
      </w:r>
      <w:r>
        <w:rPr>
          <w:vertAlign w:val="superscript"/>
        </w:rPr>
        <w:t>[7, 8]</w:t>
      </w:r>
      <w:r>
        <w:t xml:space="preserve"> OSCs with an inverted structure were then developed, which can facilitate the devices with better stability than the conventional OSCs, thus are more favorable to the practical application of OSCs.</w:t>
      </w:r>
      <w:r>
        <w:rPr>
          <w:vertAlign w:val="superscript"/>
        </w:rPr>
        <w:t>[9, 10]</w:t>
      </w:r>
      <w:r>
        <w:t xml:space="preserve"> Zinc oxide (ZnO) is the most commonly employed ETL material i</w:t>
      </w:r>
      <w:r>
        <w:rPr>
          <w:rFonts w:hint="eastAsia"/>
        </w:rPr>
        <w:t>n</w:t>
      </w:r>
      <w:r>
        <w:t xml:space="preserve"> inverted OSCs due to its sufficient transmittance, low work function, high electron conductivity and readily film formation with solution-processing approaches.</w:t>
      </w:r>
      <w:r>
        <w:rPr>
          <w:vertAlign w:val="superscript"/>
        </w:rPr>
        <w:t>[11-13]</w:t>
      </w:r>
    </w:p>
    <w:p>
      <w:pPr>
        <w:spacing w:line="480" w:lineRule="auto"/>
        <w:ind w:firstLine="480" w:firstLineChars="200"/>
        <w:jc w:val="both"/>
        <w:rPr>
          <w:lang w:val="en-US"/>
        </w:rPr>
      </w:pPr>
      <w:r>
        <w:rPr>
          <w:rFonts w:hint="eastAsia"/>
          <w:lang w:val="en-US"/>
        </w:rPr>
        <w:t>However，</w:t>
      </w:r>
      <w:r>
        <w:rPr>
          <w:lang w:val="en-US"/>
        </w:rPr>
        <w:t>solution-processed ZnO-incorporated OSCs face quite a few challenges in achieving good performance. Firstly</w:t>
      </w:r>
      <w:r>
        <w:rPr>
          <w:rFonts w:hint="eastAsia"/>
          <w:lang w:val="en-US"/>
        </w:rPr>
        <w:t>,</w:t>
      </w:r>
      <w:r>
        <w:rPr>
          <w:lang w:val="en-US"/>
        </w:rPr>
        <w:t xml:space="preserve"> surface defects of ZnO act as not only recombination centers for charge carriers but also the adsorption sites for environmental water and oxygen, which induce adverse effects on device stability and strongly degrade device performance.</w:t>
      </w:r>
      <w:r>
        <w:rPr>
          <w:vertAlign w:val="superscript"/>
          <w:lang w:val="en-US"/>
        </w:rPr>
        <w:t>[14-16]</w:t>
      </w:r>
      <w:r>
        <w:rPr>
          <w:lang w:val="en-US"/>
        </w:rPr>
        <w:t xml:space="preserve"> Secondly, ZnO usually presents high photocatalytic activity under UV light irradiation, </w:t>
      </w:r>
      <w:r>
        <w:rPr>
          <w:rFonts w:hint="eastAsia"/>
          <w:lang w:val="en-US"/>
        </w:rPr>
        <w:t>as</w:t>
      </w:r>
      <w:r>
        <w:rPr>
          <w:lang w:val="en-US"/>
        </w:rPr>
        <w:t xml:space="preserve"> the photoinduced charge carriers in the ZnO films would oxidate the dangling hydroxyl groups of NFA molecules and form hydroxyl radicals, which would lead to decomposition of NFA molecules.</w:t>
      </w:r>
      <w:r>
        <w:rPr>
          <w:vertAlign w:val="superscript"/>
          <w:lang w:val="en-US"/>
        </w:rPr>
        <w:t>[17, 18]</w:t>
      </w:r>
      <w:r>
        <w:rPr>
          <w:lang w:val="en-US"/>
        </w:rPr>
        <w:t xml:space="preserve"> For instance, the C</w:t>
      </w:r>
      <w:r>
        <w:rPr>
          <w:rFonts w:hint="eastAsia"/>
          <w:lang w:val="en-US"/>
        </w:rPr>
        <w:t>=</w:t>
      </w:r>
      <w:r>
        <w:rPr>
          <w:lang w:val="en-US"/>
        </w:rPr>
        <w:t xml:space="preserve">C </w:t>
      </w:r>
      <w:r>
        <w:rPr>
          <w:rFonts w:hint="eastAsia"/>
          <w:lang w:val="en-US"/>
        </w:rPr>
        <w:t>bonds</w:t>
      </w:r>
      <w:r>
        <w:rPr>
          <w:lang w:val="en-US"/>
        </w:rPr>
        <w:t xml:space="preserve"> can be broken by the photogenerated </w:t>
      </w:r>
      <w:bookmarkStart w:id="4" w:name="_Hlk113451972"/>
      <w:r>
        <w:rPr>
          <w:lang w:val="en-US"/>
        </w:rPr>
        <w:t>hydroxyl radicals</w:t>
      </w:r>
      <w:bookmarkEnd w:id="4"/>
      <w:r>
        <w:rPr>
          <w:lang w:val="en-US"/>
        </w:rPr>
        <w:t>, thus causing the decomposition of IT-4F on the ZnO surface, which would lead to poor stability of IT-4F based OSCs.</w:t>
      </w:r>
      <w:r>
        <w:rPr>
          <w:vertAlign w:val="superscript"/>
          <w:lang w:val="en-US"/>
        </w:rPr>
        <w:t>[19, 20]</w:t>
      </w:r>
      <w:r>
        <w:rPr>
          <w:lang w:val="en-US"/>
        </w:rPr>
        <w:t xml:space="preserve"> </w:t>
      </w:r>
      <w:r>
        <w:rPr>
          <w:rFonts w:hint="eastAsia"/>
          <w:lang w:val="en-US"/>
        </w:rPr>
        <w:t>Some</w:t>
      </w:r>
      <w:r>
        <w:rPr>
          <w:lang w:val="en-US"/>
        </w:rPr>
        <w:t xml:space="preserve"> strategies were utilized to address this issue, such as surface treatment with polar solvents</w:t>
      </w:r>
      <w:r>
        <w:rPr>
          <w:vertAlign w:val="superscript"/>
          <w:lang w:val="en-US"/>
        </w:rPr>
        <w:t>[21]</w:t>
      </w:r>
      <w:r>
        <w:rPr>
          <w:lang w:val="en-US"/>
        </w:rPr>
        <w:t>, Lewis acid or gas plasma</w:t>
      </w:r>
      <w:r>
        <w:rPr>
          <w:vertAlign w:val="superscript"/>
          <w:lang w:val="en-US"/>
        </w:rPr>
        <w:t>[22, 23]</w:t>
      </w:r>
      <w:r>
        <w:rPr>
          <w:lang w:val="en-US"/>
        </w:rPr>
        <w:t>,</w:t>
      </w:r>
      <w:r>
        <w:rPr>
          <w:rFonts w:hint="eastAsia"/>
          <w:lang w:val="en-US"/>
        </w:rPr>
        <w:t xml:space="preserve"> </w:t>
      </w:r>
      <w:r>
        <w:rPr>
          <w:lang w:val="en-US"/>
        </w:rPr>
        <w:t>introducing dopants, i.e., aluminum (Al),</w:t>
      </w:r>
      <w:r>
        <w:rPr>
          <w:vertAlign w:val="superscript"/>
          <w:lang w:val="en-US"/>
        </w:rPr>
        <w:t>[24]</w:t>
      </w:r>
      <w:r>
        <w:rPr>
          <w:lang w:val="en-US"/>
        </w:rPr>
        <w:t xml:space="preserve"> zirconium (Zr),</w:t>
      </w:r>
      <w:r>
        <w:rPr>
          <w:vertAlign w:val="superscript"/>
          <w:lang w:val="en-US"/>
        </w:rPr>
        <w:t>[25]</w:t>
      </w:r>
      <w:r>
        <w:rPr>
          <w:lang w:val="en-US"/>
        </w:rPr>
        <w:t xml:space="preserve"> indium and lithium cations (Li</w:t>
      </w:r>
      <w:r>
        <w:rPr>
          <w:vertAlign w:val="superscript"/>
          <w:lang w:val="en-US"/>
        </w:rPr>
        <w:t>+</w:t>
      </w:r>
      <w:r>
        <w:rPr>
          <w:lang w:val="en-US"/>
        </w:rPr>
        <w:t>),</w:t>
      </w:r>
      <w:r>
        <w:rPr>
          <w:vertAlign w:val="superscript"/>
          <w:lang w:val="en-US"/>
        </w:rPr>
        <w:t>[26, 27]</w:t>
      </w:r>
      <w:r>
        <w:rPr>
          <w:lang w:val="en-US"/>
        </w:rPr>
        <w:t xml:space="preserve"> into ZnO layers, surface defects passivation of ZnO via insertion of appropriate interlayers, i.e., self-assembled monolayers (SAMs),</w:t>
      </w:r>
      <w:r>
        <w:rPr>
          <w:vertAlign w:val="superscript"/>
          <w:lang w:val="en-US"/>
        </w:rPr>
        <w:t>[28]</w:t>
      </w:r>
      <w:r>
        <w:rPr>
          <w:lang w:val="en-US"/>
        </w:rPr>
        <w:t xml:space="preserve"> functionalized fullerenes,</w:t>
      </w:r>
      <w:r>
        <w:rPr>
          <w:vertAlign w:val="superscript"/>
          <w:lang w:val="en-US"/>
        </w:rPr>
        <w:t>[29]</w:t>
      </w:r>
      <w:r>
        <w:rPr>
          <w:lang w:val="en-US"/>
        </w:rPr>
        <w:t xml:space="preserve"> ionic liquid and high-molar-mass polymers</w:t>
      </w:r>
      <w:r>
        <w:rPr>
          <w:vertAlign w:val="superscript"/>
          <w:lang w:val="en-US"/>
        </w:rPr>
        <w:t>[30, 31]</w:t>
      </w:r>
      <w:r>
        <w:rPr>
          <w:lang w:val="en-US"/>
        </w:rPr>
        <w:t>, which have been demonstrated effective to improve the stability and efficiency of OSCs</w:t>
      </w:r>
      <w:r>
        <w:rPr>
          <w:rFonts w:hint="eastAsia"/>
          <w:lang w:val="en-US"/>
        </w:rPr>
        <w:t>.</w:t>
      </w:r>
      <w:r>
        <w:rPr>
          <w:lang w:val="en-US"/>
        </w:rPr>
        <w:t xml:space="preserve"> Amongst them, the insertion of interlayers could also reduce device leakage current, as they could improve charge extraction.</w:t>
      </w:r>
      <w:r>
        <w:rPr>
          <w:vertAlign w:val="superscript"/>
          <w:lang w:val="en-US"/>
        </w:rPr>
        <w:t>[32]</w:t>
      </w:r>
      <w:r>
        <w:rPr>
          <w:lang w:val="en-US"/>
        </w:rPr>
        <w:t xml:space="preserve"> </w:t>
      </w:r>
      <w:r>
        <w:rPr>
          <w:rFonts w:hint="eastAsia"/>
          <w:lang w:val="en-US"/>
        </w:rPr>
        <w:t>An</w:t>
      </w:r>
      <w:r>
        <w:rPr>
          <w:lang w:val="en-US"/>
        </w:rPr>
        <w:t xml:space="preserve"> </w:t>
      </w:r>
      <w:r>
        <w:rPr>
          <w:rFonts w:hint="eastAsia"/>
          <w:lang w:val="en-US"/>
        </w:rPr>
        <w:t>effective</w:t>
      </w:r>
      <w:r>
        <w:rPr>
          <w:lang w:val="en-US"/>
        </w:rPr>
        <w:t xml:space="preserve"> approach </w:t>
      </w:r>
      <w:r>
        <w:rPr>
          <w:rFonts w:hint="eastAsia"/>
          <w:lang w:val="en-US"/>
        </w:rPr>
        <w:t>for</w:t>
      </w:r>
      <w:r>
        <w:rPr>
          <w:lang w:val="en-US"/>
        </w:rPr>
        <w:t xml:space="preserve"> depositing the interlayers is atomic layer deposition (ALD),</w:t>
      </w:r>
      <w:r>
        <w:rPr>
          <w:vertAlign w:val="superscript"/>
          <w:lang w:val="en-US"/>
        </w:rPr>
        <w:t>[33]</w:t>
      </w:r>
      <w:r>
        <w:rPr>
          <w:lang w:val="en-US"/>
        </w:rPr>
        <w:t xml:space="preserve"> which has been employed in silicon, dye-sensitized and perovskite solar cells to reduce undesirable surface recombination and to improve device performance.</w:t>
      </w:r>
      <w:r>
        <w:rPr>
          <w:vertAlign w:val="superscript"/>
          <w:lang w:val="en-US"/>
        </w:rPr>
        <w:t>[34-36]</w:t>
      </w:r>
      <w:r>
        <w:rPr>
          <w:lang w:val="en-US"/>
        </w:rPr>
        <w:t xml:space="preserve"> Recently, there have been some reports on the utilization of the ALD technique for OSCs. Duan </w:t>
      </w:r>
      <w:r>
        <w:rPr>
          <w:i/>
          <w:iCs/>
          <w:lang w:val="en-US"/>
        </w:rPr>
        <w:t>et al.</w:t>
      </w:r>
      <w:r>
        <w:rPr>
          <w:lang w:val="en-US"/>
        </w:rPr>
        <w:t xml:space="preserve"> inserted an ultrathin ALD-TiO</w:t>
      </w:r>
      <w:r>
        <w:rPr>
          <w:vertAlign w:val="subscript"/>
          <w:lang w:val="en-US"/>
        </w:rPr>
        <w:t>x</w:t>
      </w:r>
      <w:r>
        <w:rPr>
          <w:lang w:val="en-US"/>
        </w:rPr>
        <w:t xml:space="preserve"> interlayer in OSCs to improve the efficiency and stability of the devices.</w:t>
      </w:r>
      <w:r>
        <w:rPr>
          <w:vertAlign w:val="superscript"/>
          <w:lang w:val="en-US"/>
        </w:rPr>
        <w:t>[37]</w:t>
      </w:r>
      <w:r>
        <w:rPr>
          <w:lang w:val="en-US"/>
        </w:rPr>
        <w:t xml:space="preserve"> Polydorou </w:t>
      </w:r>
      <w:r>
        <w:rPr>
          <w:i/>
          <w:iCs/>
          <w:lang w:val="en-US"/>
        </w:rPr>
        <w:t>et al.</w:t>
      </w:r>
      <w:r>
        <w:rPr>
          <w:lang w:val="en-US"/>
        </w:rPr>
        <w:t xml:space="preserve"> applied an ultrathin ALD-HfO</w:t>
      </w:r>
      <w:r>
        <w:rPr>
          <w:vertAlign w:val="subscript"/>
          <w:lang w:val="en-US"/>
        </w:rPr>
        <w:t>2</w:t>
      </w:r>
      <w:r>
        <w:rPr>
          <w:lang w:val="en-US"/>
        </w:rPr>
        <w:t xml:space="preserve"> film as a passivation interlayer on the ZnO ETL to improve device performance.</w:t>
      </w:r>
      <w:r>
        <w:rPr>
          <w:vertAlign w:val="superscript"/>
          <w:lang w:val="en-US"/>
        </w:rPr>
        <w:t>[18]</w:t>
      </w:r>
      <w:r>
        <w:rPr>
          <w:lang w:val="en-US"/>
        </w:rPr>
        <w:t xml:space="preserve"> Vasilopoulou</w:t>
      </w:r>
      <w:r>
        <w:rPr>
          <w:i/>
          <w:iCs/>
          <w:lang w:val="en-US"/>
        </w:rPr>
        <w:t xml:space="preserve"> et al.</w:t>
      </w:r>
      <w:r>
        <w:rPr>
          <w:rFonts w:hint="eastAsia"/>
          <w:lang w:val="en-US"/>
        </w:rPr>
        <w:t xml:space="preserve"> </w:t>
      </w:r>
      <w:r>
        <w:rPr>
          <w:lang w:val="en-US"/>
        </w:rPr>
        <w:t>introduced ultrathin ALD-Al</w:t>
      </w:r>
      <w:r>
        <w:rPr>
          <w:vertAlign w:val="subscript"/>
          <w:lang w:val="en-US"/>
        </w:rPr>
        <w:t>2</w:t>
      </w:r>
      <w:r>
        <w:rPr>
          <w:lang w:val="en-US"/>
        </w:rPr>
        <w:t>O</w:t>
      </w:r>
      <w:r>
        <w:rPr>
          <w:vertAlign w:val="subscript"/>
          <w:lang w:val="en-US"/>
        </w:rPr>
        <w:t>3</w:t>
      </w:r>
      <w:r>
        <w:rPr>
          <w:lang w:val="en-US"/>
        </w:rPr>
        <w:t xml:space="preserve"> and ZrO</w:t>
      </w:r>
      <w:r>
        <w:rPr>
          <w:vertAlign w:val="subscript"/>
          <w:lang w:val="en-US"/>
        </w:rPr>
        <w:t>2</w:t>
      </w:r>
      <w:r>
        <w:rPr>
          <w:lang w:val="en-US"/>
        </w:rPr>
        <w:t xml:space="preserve"> layers to passivate surface defects of TiO</w:t>
      </w:r>
      <w:r>
        <w:rPr>
          <w:vertAlign w:val="subscript"/>
          <w:lang w:val="en-US"/>
        </w:rPr>
        <w:t>2</w:t>
      </w:r>
      <w:r>
        <w:rPr>
          <w:lang w:val="en-US"/>
        </w:rPr>
        <w:t xml:space="preserve"> ETL for performance improvement of the inverted OSCs.</w:t>
      </w:r>
      <w:r>
        <w:rPr>
          <w:vertAlign w:val="superscript"/>
          <w:lang w:val="en-US"/>
        </w:rPr>
        <w:t>[38]</w:t>
      </w:r>
      <w:r>
        <w:rPr>
          <w:rFonts w:hint="eastAsia"/>
          <w:lang w:val="en-US"/>
        </w:rPr>
        <w:t xml:space="preserve"> </w:t>
      </w:r>
      <w:r>
        <w:rPr>
          <w:lang w:val="en-US"/>
        </w:rPr>
        <w:t>These works have proved that ALD fabricated interlayers have been successfull in further improving the performance of OSCs. Whilst most of them focused on the passivation of defects on the metal-oxide surface, the effects of the interlayers on the photocatalytic activity of ZnO were rarely reported.</w:t>
      </w:r>
    </w:p>
    <w:p>
      <w:pPr>
        <w:spacing w:line="480" w:lineRule="auto"/>
        <w:ind w:firstLine="480" w:firstLineChars="200"/>
        <w:jc w:val="both"/>
        <w:rPr>
          <w:lang w:val="en-US"/>
        </w:rPr>
      </w:pPr>
      <w:r>
        <w:rPr>
          <w:lang w:val="en-US"/>
        </w:rPr>
        <w:t>In this work, we report on the utilization of an ultrathin ALD-Al</w:t>
      </w:r>
      <w:r>
        <w:rPr>
          <w:vertAlign w:val="subscript"/>
          <w:lang w:val="en-US"/>
        </w:rPr>
        <w:t>2</w:t>
      </w:r>
      <w:r>
        <w:rPr>
          <w:lang w:val="en-US"/>
        </w:rPr>
        <w:t>O</w:t>
      </w:r>
      <w:r>
        <w:rPr>
          <w:vertAlign w:val="subscript"/>
          <w:lang w:val="en-US"/>
        </w:rPr>
        <w:t>3</w:t>
      </w:r>
      <w:r>
        <w:rPr>
          <w:lang w:val="en-US"/>
        </w:rPr>
        <w:t xml:space="preserve"> film to form an interlayer in an inverted PM6:BTP-BO-4F </w:t>
      </w:r>
      <w:r>
        <w:rPr>
          <w:rFonts w:hint="eastAsia"/>
          <w:lang w:val="en-US"/>
        </w:rPr>
        <w:t>based</w:t>
      </w:r>
      <w:r>
        <w:rPr>
          <w:lang w:val="en-US"/>
        </w:rPr>
        <w:t xml:space="preserve"> OSCs for improving device performance. The best device performance was achieved from OSCs introduced with 3 deposition cycles of ALD-Al</w:t>
      </w:r>
      <w:r>
        <w:rPr>
          <w:vertAlign w:val="subscript"/>
          <w:lang w:val="en-US"/>
        </w:rPr>
        <w:t>2</w:t>
      </w:r>
      <w:r>
        <w:rPr>
          <w:lang w:val="en-US"/>
        </w:rPr>
        <w:t>O</w:t>
      </w:r>
      <w:r>
        <w:rPr>
          <w:vertAlign w:val="subscript"/>
          <w:lang w:val="en-US"/>
        </w:rPr>
        <w:t>3</w:t>
      </w:r>
      <w:r>
        <w:rPr>
          <w:lang w:val="en-US"/>
        </w:rPr>
        <w:t xml:space="preserve"> interlayer. Accompanying with synergistically increased open-circuit voltage (</w:t>
      </w:r>
      <m:oMath>
        <m:sSub>
          <m:sSubPr>
            <m:ctrlPr>
              <w:rPr>
                <w:rFonts w:ascii="Cambria Math" w:hAnsi="Cambria Math"/>
                <w:i/>
                <w:lang w:val="en-US"/>
              </w:rPr>
            </m:ctrlPr>
          </m:sSubPr>
          <m:e>
            <m:r>
              <m:rPr/>
              <w:rPr>
                <w:rFonts w:ascii="Cambria Math" w:hAnsi="Cambria Math"/>
                <w:lang w:val="en-US"/>
              </w:rPr>
              <m:t>V</m:t>
            </m:r>
            <m:ctrlPr>
              <w:rPr>
                <w:rFonts w:ascii="Cambria Math" w:hAnsi="Cambria Math"/>
                <w:i/>
                <w:lang w:val="en-US"/>
              </w:rPr>
            </m:ctrlPr>
          </m:e>
          <m:sub>
            <m:r>
              <m:rPr/>
              <w:rPr>
                <w:rFonts w:ascii="Cambria Math" w:hAnsi="Cambria Math"/>
                <w:lang w:val="en-US"/>
              </w:rPr>
              <m:t>OC</m:t>
            </m:r>
            <m:ctrlPr>
              <w:rPr>
                <w:rFonts w:ascii="Cambria Math" w:hAnsi="Cambria Math"/>
                <w:i/>
                <w:lang w:val="en-US"/>
              </w:rPr>
            </m:ctrlPr>
          </m:sub>
        </m:sSub>
      </m:oMath>
      <w:r>
        <w:rPr>
          <w:lang w:val="en-US"/>
        </w:rPr>
        <w:t>), short circuit current density (</w:t>
      </w:r>
      <m:oMath>
        <m:sSub>
          <m:sSubPr>
            <m:ctrlPr>
              <w:rPr>
                <w:rFonts w:ascii="Cambria Math" w:hAnsi="Cambria Math"/>
                <w:i/>
                <w:lang w:val="en-US"/>
              </w:rPr>
            </m:ctrlPr>
          </m:sSubPr>
          <m:e>
            <m:r>
              <m:rPr/>
              <w:rPr>
                <w:rFonts w:ascii="Cambria Math" w:hAnsi="Cambria Math"/>
                <w:lang w:val="en-US"/>
              </w:rPr>
              <m:t>J</m:t>
            </m:r>
            <m:ctrlPr>
              <w:rPr>
                <w:rFonts w:ascii="Cambria Math" w:hAnsi="Cambria Math"/>
                <w:i/>
                <w:lang w:val="en-US"/>
              </w:rPr>
            </m:ctrlPr>
          </m:e>
          <m:sub>
            <m:r>
              <m:rPr/>
              <w:rPr>
                <w:rFonts w:ascii="Cambria Math" w:hAnsi="Cambria Math"/>
                <w:lang w:val="en-US"/>
              </w:rPr>
              <m:t>SC</m:t>
            </m:r>
            <m:ctrlPr>
              <w:rPr>
                <w:rFonts w:ascii="Cambria Math" w:hAnsi="Cambria Math"/>
                <w:i/>
                <w:lang w:val="en-US"/>
              </w:rPr>
            </m:ctrlPr>
          </m:sub>
        </m:sSub>
      </m:oMath>
      <w:r>
        <w:rPr>
          <w:rFonts w:hint="eastAsia"/>
          <w:lang w:val="en-US"/>
        </w:rPr>
        <w:t>)</w:t>
      </w:r>
      <w:r>
        <w:rPr>
          <w:lang w:val="en-US"/>
        </w:rPr>
        <w:t xml:space="preserve"> and fill factor (FF), the PCE realized </w:t>
      </w:r>
      <w:r>
        <w:rPr>
          <w:rFonts w:hint="eastAsia"/>
          <w:lang w:val="en-US"/>
        </w:rPr>
        <w:t>an</w:t>
      </w:r>
      <w:r>
        <w:rPr>
          <w:lang w:val="en-US"/>
        </w:rPr>
        <w:t xml:space="preserve"> absolute 1% enhancement compared to the control devices with pristine ZnO ETL, which was also comparable with that of the conventional devices we fabricated previously.</w:t>
      </w:r>
      <w:r>
        <w:rPr>
          <w:vertAlign w:val="superscript"/>
          <w:lang w:val="en-US"/>
        </w:rPr>
        <w:t>[39]</w:t>
      </w:r>
      <w:r>
        <w:rPr>
          <w:rFonts w:hint="eastAsia"/>
          <w:lang w:val="en-US"/>
        </w:rPr>
        <w:t xml:space="preserve"> </w:t>
      </w:r>
      <w:r>
        <w:rPr>
          <w:lang w:val="en-US"/>
        </w:rPr>
        <w:t>We found that synergistic effects of (ⅰ) ZnO surface defects passivation, (ⅱ) improved active layer nanomorphology, (ⅲ) decreased work function (WF) of ZnO, (ⅳ) reduced recombination loss, and (ⅴ) more balanced charge transport induced by the ALD-Al</w:t>
      </w:r>
      <w:r>
        <w:rPr>
          <w:vertAlign w:val="subscript"/>
          <w:lang w:val="en-US"/>
        </w:rPr>
        <w:t>2</w:t>
      </w:r>
      <w:r>
        <w:rPr>
          <w:lang w:val="en-US"/>
        </w:rPr>
        <w:t>O</w:t>
      </w:r>
      <w:r>
        <w:rPr>
          <w:vertAlign w:val="subscript"/>
          <w:lang w:val="en-US"/>
        </w:rPr>
        <w:t>3</w:t>
      </w:r>
      <w:r>
        <w:rPr>
          <w:lang w:val="en-US"/>
        </w:rPr>
        <w:t xml:space="preserve"> interlayer led to further improved efficiency. Moreover, the devices modified with ALD </w:t>
      </w:r>
      <w:r>
        <w:rPr>
          <w:rFonts w:hint="eastAsia"/>
          <w:lang w:val="en-US"/>
        </w:rPr>
        <w:t>interlayers</w:t>
      </w:r>
      <w:r>
        <w:rPr>
          <w:lang w:val="en-US"/>
        </w:rPr>
        <w:t xml:space="preserve"> exhibited significantly improved stability, resulting from the reduced photocatalytic activity of ZnO and the passivation of surface defects on ZnO.</w:t>
      </w:r>
    </w:p>
    <w:p>
      <w:pPr>
        <w:pStyle w:val="33"/>
      </w:pPr>
      <w:r>
        <w:t>2. Results and discussion</w:t>
      </w:r>
    </w:p>
    <w:p>
      <w:pPr>
        <w:adjustRightInd w:val="0"/>
        <w:spacing w:line="480" w:lineRule="auto"/>
        <w:ind w:firstLine="480" w:firstLineChars="200"/>
        <w:jc w:val="both"/>
        <w:rPr>
          <w:lang w:val="en-US"/>
        </w:rPr>
      </w:pPr>
      <w:bookmarkStart w:id="5" w:name="_Hlk126748999"/>
      <w:r>
        <w:rPr>
          <w:rFonts w:hint="eastAsia"/>
          <w:lang w:val="en-US"/>
        </w:rPr>
        <w:t>To verify the feasibility of the strategy, t</w:t>
      </w:r>
      <w:r>
        <w:rPr>
          <w:lang w:val="en-US"/>
        </w:rPr>
        <w:t>he passivation effect of Al</w:t>
      </w:r>
      <w:r>
        <w:rPr>
          <w:vertAlign w:val="subscript"/>
          <w:lang w:val="en-US"/>
        </w:rPr>
        <w:t>2</w:t>
      </w:r>
      <w:r>
        <w:rPr>
          <w:lang w:val="en-US"/>
        </w:rPr>
        <w:t>O</w:t>
      </w:r>
      <w:r>
        <w:rPr>
          <w:vertAlign w:val="subscript"/>
          <w:lang w:val="en-US"/>
        </w:rPr>
        <w:t>3</w:t>
      </w:r>
      <w:r>
        <w:rPr>
          <w:lang w:val="en-US"/>
        </w:rPr>
        <w:t xml:space="preserve"> on the ZnO</w:t>
      </w:r>
      <w:r>
        <w:rPr>
          <w:rFonts w:hint="eastAsia"/>
          <w:vertAlign w:val="subscript"/>
          <w:lang w:val="en-US"/>
        </w:rPr>
        <w:t>x</w:t>
      </w:r>
      <w:r>
        <w:rPr>
          <w:lang w:val="en-US"/>
        </w:rPr>
        <w:t xml:space="preserve"> (0002) surface was first </w:t>
      </w:r>
      <w:r>
        <w:rPr>
          <w:rFonts w:hint="eastAsia"/>
          <w:lang w:val="en-US"/>
        </w:rPr>
        <w:t>e</w:t>
      </w:r>
      <w:r>
        <w:rPr>
          <w:lang w:val="en-US"/>
        </w:rPr>
        <w:t xml:space="preserve">valuated with </w:t>
      </w:r>
      <w:bookmarkStart w:id="6" w:name="_Hlk117081770"/>
      <w:r>
        <w:rPr>
          <w:lang w:val="en-US"/>
        </w:rPr>
        <w:t>density functional theory calculation</w:t>
      </w:r>
      <w:bookmarkEnd w:id="6"/>
      <w:r>
        <w:rPr>
          <w:lang w:val="en-US"/>
        </w:rPr>
        <w:t>. In our model, oxygen vacancies were incorporated due to their lowest formation energy among all of the ZnO surface defects. In the beginning, we created and optimized the ZnO</w:t>
      </w:r>
      <w:r>
        <w:rPr>
          <w:rFonts w:hint="eastAsia"/>
          <w:vertAlign w:val="subscript"/>
          <w:lang w:val="en-US"/>
        </w:rPr>
        <w:t>x</w:t>
      </w:r>
      <w:r>
        <w:rPr>
          <w:lang w:val="en-US"/>
        </w:rPr>
        <w:t xml:space="preserve"> (0002) surface, where x=0.87. </w:t>
      </w:r>
      <w:r>
        <w:rPr>
          <w:b/>
          <w:bCs/>
          <w:lang w:val="en-US"/>
        </w:rPr>
        <w:t>Figure 1a</w:t>
      </w:r>
      <w:r>
        <w:rPr>
          <w:lang w:val="en-US"/>
        </w:rPr>
        <w:t xml:space="preserve"> (left) shows a quarter of oxygen atoms on the surface were removed from the slab, resulting in an O-vacancy coverage density of ρ=2.73</w:t>
      </w:r>
      <w:r>
        <w:rPr>
          <w:rFonts w:hint="eastAsia"/>
          <w:lang w:val="en-US"/>
        </w:rPr>
        <w:t>×</w:t>
      </w:r>
      <w:r>
        <w:rPr>
          <w:lang w:val="en-US"/>
        </w:rPr>
        <w:t>10</w:t>
      </w:r>
      <w:r>
        <w:rPr>
          <w:vertAlign w:val="superscript"/>
          <w:lang w:val="en-US"/>
        </w:rPr>
        <w:t>14</w:t>
      </w:r>
      <w:r>
        <w:rPr>
          <w:lang w:val="en-US"/>
        </w:rPr>
        <w:t xml:space="preserve"> </w:t>
      </w:r>
      <w:r>
        <w:rPr>
          <w:rFonts w:hint="eastAsia"/>
          <w:lang w:val="en-US"/>
        </w:rPr>
        <w:t>cm</w:t>
      </w:r>
      <w:r>
        <w:rPr>
          <w:rFonts w:hint="eastAsia"/>
          <w:vertAlign w:val="superscript"/>
          <w:lang w:val="en-US"/>
        </w:rPr>
        <w:t>-</w:t>
      </w:r>
      <w:r>
        <w:rPr>
          <w:vertAlign w:val="superscript"/>
          <w:lang w:val="en-US"/>
        </w:rPr>
        <w:t>2</w:t>
      </w:r>
      <w:r>
        <w:rPr>
          <w:rFonts w:hint="eastAsia"/>
          <w:lang w:val="en-US"/>
        </w:rPr>
        <w:t>.</w:t>
      </w:r>
      <w:r>
        <w:rPr>
          <w:lang w:val="en-US"/>
        </w:rPr>
        <w:t xml:space="preserve"> The Al</w:t>
      </w:r>
      <w:r>
        <w:rPr>
          <w:vertAlign w:val="subscript"/>
          <w:lang w:val="en-US"/>
        </w:rPr>
        <w:t>2</w:t>
      </w:r>
      <w:r>
        <w:rPr>
          <w:lang w:val="en-US"/>
        </w:rPr>
        <w:t>O</w:t>
      </w:r>
      <w:r>
        <w:rPr>
          <w:vertAlign w:val="subscript"/>
          <w:lang w:val="en-US"/>
        </w:rPr>
        <w:t>3</w:t>
      </w:r>
      <w:r>
        <w:rPr>
          <w:lang w:val="en-US"/>
        </w:rPr>
        <w:t>/ZnO</w:t>
      </w:r>
      <w:r>
        <w:rPr>
          <w:rFonts w:hint="eastAsia"/>
          <w:vertAlign w:val="subscript"/>
          <w:lang w:val="en-US"/>
        </w:rPr>
        <w:t>x</w:t>
      </w:r>
      <w:r>
        <w:rPr>
          <w:lang w:val="en-US"/>
        </w:rPr>
        <w:t xml:space="preserve"> interfaces were then created and optimized (</w:t>
      </w:r>
      <w:r>
        <w:rPr>
          <w:b/>
          <w:bCs/>
          <w:lang w:val="en-US"/>
        </w:rPr>
        <w:t>Figure 1a (</w:t>
      </w:r>
      <w:r>
        <w:rPr>
          <w:lang w:val="en-US"/>
        </w:rPr>
        <w:t>right)). This process would release an energy of 8.05 eV per Al</w:t>
      </w:r>
      <w:r>
        <w:rPr>
          <w:vertAlign w:val="subscript"/>
          <w:lang w:val="en-US"/>
        </w:rPr>
        <w:t>2</w:t>
      </w:r>
      <w:r>
        <w:rPr>
          <w:lang w:val="en-US"/>
        </w:rPr>
        <w:t>O</w:t>
      </w:r>
      <w:r>
        <w:rPr>
          <w:vertAlign w:val="subscript"/>
          <w:lang w:val="en-US"/>
        </w:rPr>
        <w:t>3</w:t>
      </w:r>
      <w:r>
        <w:rPr>
          <w:lang w:val="en-US"/>
        </w:rPr>
        <w:t xml:space="preserve"> adsorbent unit according to our calculation results.</w:t>
      </w:r>
      <w:bookmarkEnd w:id="5"/>
      <w:r>
        <w:rPr>
          <w:rFonts w:eastAsia="宋体"/>
          <w:b/>
          <w:bCs/>
          <w:kern w:val="2"/>
          <w:lang w:val="en-US" w:eastAsia="zh-CN"/>
        </w:rPr>
        <w:t xml:space="preserve"> </w:t>
      </w:r>
      <w:r>
        <w:rPr>
          <w:b/>
          <w:bCs/>
          <w:lang w:val="en-US"/>
        </w:rPr>
        <w:t>Figure 1b</w:t>
      </w:r>
      <w:r>
        <w:rPr>
          <w:lang w:val="en-US"/>
        </w:rPr>
        <w:t xml:space="preserve"> exhibited the density of states (DOS) of the O-terminated ZnO</w:t>
      </w:r>
      <w:r>
        <w:rPr>
          <w:rFonts w:hint="eastAsia"/>
          <w:vertAlign w:val="subscript"/>
          <w:lang w:val="en-US"/>
        </w:rPr>
        <w:t>x</w:t>
      </w:r>
      <w:r>
        <w:rPr>
          <w:lang w:val="en-US"/>
        </w:rPr>
        <w:t xml:space="preserve"> (0002) surface. The states located in the range of </w:t>
      </w:r>
      <w:r>
        <w:rPr>
          <w:rFonts w:hint="eastAsia"/>
          <w:lang w:val="en-US"/>
        </w:rPr>
        <w:t>-</w:t>
      </w:r>
      <w:r>
        <w:rPr>
          <w:lang w:val="en-US"/>
        </w:rPr>
        <w:t xml:space="preserve">1.5 eV to -0.27 eV under the Fermi levels were contributed from O states. The calculated DOS </w:t>
      </w:r>
      <w:r>
        <w:rPr>
          <w:rFonts w:hint="eastAsia"/>
          <w:lang w:val="en-US"/>
        </w:rPr>
        <w:t>of</w:t>
      </w:r>
      <w:r>
        <w:rPr>
          <w:lang w:val="en-US"/>
        </w:rPr>
        <w:t xml:space="preserve"> ZnO</w:t>
      </w:r>
      <w:r>
        <w:rPr>
          <w:rFonts w:hint="eastAsia"/>
          <w:vertAlign w:val="subscript"/>
          <w:lang w:val="en-US"/>
        </w:rPr>
        <w:t>x</w:t>
      </w:r>
      <w:r>
        <w:rPr>
          <w:lang w:val="en-US"/>
        </w:rPr>
        <w:t>/Al</w:t>
      </w:r>
      <w:r>
        <w:rPr>
          <w:vertAlign w:val="subscript"/>
          <w:lang w:val="en-US"/>
        </w:rPr>
        <w:t>2</w:t>
      </w:r>
      <w:r>
        <w:rPr>
          <w:lang w:val="en-US"/>
        </w:rPr>
        <w:t>O</w:t>
      </w:r>
      <w:r>
        <w:rPr>
          <w:vertAlign w:val="subscript"/>
          <w:lang w:val="en-US"/>
        </w:rPr>
        <w:t xml:space="preserve">3 </w:t>
      </w:r>
      <w:r>
        <w:rPr>
          <w:rFonts w:hint="eastAsia"/>
          <w:lang w:val="en-US"/>
        </w:rPr>
        <w:t>interfaces</w:t>
      </w:r>
      <w:r>
        <w:rPr>
          <w:lang w:val="en-US"/>
        </w:rPr>
        <w:t xml:space="preserve"> is illustrated in </w:t>
      </w:r>
      <w:r>
        <w:rPr>
          <w:b/>
          <w:bCs/>
          <w:lang w:val="en-US"/>
        </w:rPr>
        <w:t>Figure 1c</w:t>
      </w:r>
      <w:r>
        <w:rPr>
          <w:lang w:val="en-US"/>
        </w:rPr>
        <w:t>, which demonstrates the suppression of surface oxygen states around the Fermi levels compared to the pristine ZnO</w:t>
      </w:r>
      <w:r>
        <w:rPr>
          <w:rFonts w:hint="eastAsia"/>
          <w:vertAlign w:val="subscript"/>
          <w:lang w:val="en-US"/>
        </w:rPr>
        <w:t>x</w:t>
      </w:r>
      <w:r>
        <w:rPr>
          <w:lang w:val="en-US"/>
        </w:rPr>
        <w:t xml:space="preserve"> (0002) (</w:t>
      </w:r>
      <w:r>
        <w:rPr>
          <w:b/>
          <w:bCs/>
          <w:lang w:val="en-US"/>
        </w:rPr>
        <w:t>Figure 1b</w:t>
      </w:r>
      <w:r>
        <w:rPr>
          <w:lang w:val="en-US"/>
        </w:rPr>
        <w:t>). Bader charge analysis indicates that there existed charge transfer from Al</w:t>
      </w:r>
      <w:r>
        <w:rPr>
          <w:vertAlign w:val="subscript"/>
          <w:lang w:val="en-US"/>
        </w:rPr>
        <w:t>2</w:t>
      </w:r>
      <w:r>
        <w:rPr>
          <w:lang w:val="en-US"/>
        </w:rPr>
        <w:t>O</w:t>
      </w:r>
      <w:r>
        <w:rPr>
          <w:rFonts w:hint="eastAsia"/>
          <w:vertAlign w:val="subscript"/>
          <w:lang w:val="en-US"/>
        </w:rPr>
        <w:t>3</w:t>
      </w:r>
      <w:r>
        <w:rPr>
          <w:lang w:val="en-US"/>
        </w:rPr>
        <w:t xml:space="preserve"> to ZnO</w:t>
      </w:r>
      <w:r>
        <w:rPr>
          <w:rFonts w:hint="eastAsia"/>
          <w:vertAlign w:val="subscript"/>
          <w:lang w:val="en-US"/>
        </w:rPr>
        <w:t>x</w:t>
      </w:r>
      <w:r>
        <w:rPr>
          <w:lang w:val="en-US"/>
        </w:rPr>
        <w:t xml:space="preserve"> (0002) surface oxygen atoms at a maximum of ≈</w:t>
      </w:r>
      <w:r>
        <w:rPr>
          <w:rFonts w:hint="eastAsia"/>
          <w:lang w:val="en-US"/>
        </w:rPr>
        <w:t>1.39</w:t>
      </w:r>
      <w:r>
        <w:rPr>
          <w:lang w:val="en-US"/>
        </w:rPr>
        <w:t xml:space="preserve"> |e|. These calculation results suggest that passivation of the ZnO</w:t>
      </w:r>
      <w:r>
        <w:rPr>
          <w:rFonts w:hint="eastAsia"/>
          <w:vertAlign w:val="subscript"/>
          <w:lang w:val="en-US"/>
        </w:rPr>
        <w:t>x</w:t>
      </w:r>
      <w:r>
        <w:rPr>
          <w:lang w:val="en-US"/>
        </w:rPr>
        <w:t xml:space="preserve"> surface may </w:t>
      </w:r>
      <w:r>
        <w:rPr>
          <w:rFonts w:hint="eastAsia"/>
          <w:lang w:val="en-US"/>
        </w:rPr>
        <w:t>be</w:t>
      </w:r>
      <w:r>
        <w:rPr>
          <w:lang w:val="en-US"/>
        </w:rPr>
        <w:t xml:space="preserve"> </w:t>
      </w:r>
      <w:r>
        <w:rPr>
          <w:rFonts w:hint="eastAsia"/>
          <w:lang w:val="en-US"/>
        </w:rPr>
        <w:t>realized</w:t>
      </w:r>
      <w:r>
        <w:rPr>
          <w:lang w:val="en-US"/>
        </w:rPr>
        <w:t xml:space="preserve"> by charge transfer from Al</w:t>
      </w:r>
      <w:r>
        <w:rPr>
          <w:vertAlign w:val="subscript"/>
          <w:lang w:val="en-US"/>
        </w:rPr>
        <w:t>2</w:t>
      </w:r>
      <w:r>
        <w:rPr>
          <w:lang w:val="en-US"/>
        </w:rPr>
        <w:t>O</w:t>
      </w:r>
      <w:r>
        <w:rPr>
          <w:vertAlign w:val="subscript"/>
          <w:lang w:val="en-US"/>
        </w:rPr>
        <w:t>3</w:t>
      </w:r>
      <w:r>
        <w:rPr>
          <w:lang w:val="en-US"/>
        </w:rPr>
        <w:t xml:space="preserve"> to oxygen atoms.</w:t>
      </w:r>
    </w:p>
    <w:p>
      <w:pPr>
        <w:pStyle w:val="33"/>
      </w:pPr>
      <w:bookmarkStart w:id="7" w:name="_Hlk126749656"/>
      <w:r>
        <w:t xml:space="preserve">2.1. </w:t>
      </w:r>
      <w:r>
        <w:rPr>
          <w:bCs/>
          <w:lang w:val="de-DE"/>
        </w:rPr>
        <w:t>The Effect</w:t>
      </w:r>
      <w:r>
        <w:rPr>
          <w:rFonts w:hint="eastAsia"/>
          <w:bCs/>
          <w:lang w:val="de-DE"/>
        </w:rPr>
        <w:t>s</w:t>
      </w:r>
      <w:r>
        <w:rPr>
          <w:bCs/>
          <w:lang w:val="de-DE"/>
        </w:rPr>
        <w:t xml:space="preserve"> of Al</w:t>
      </w:r>
      <w:r>
        <w:rPr>
          <w:bCs/>
          <w:vertAlign w:val="subscript"/>
          <w:lang w:val="de-DE"/>
        </w:rPr>
        <w:t>2</w:t>
      </w:r>
      <w:r>
        <w:rPr>
          <w:bCs/>
          <w:lang w:val="de-DE"/>
        </w:rPr>
        <w:t>O</w:t>
      </w:r>
      <w:r>
        <w:rPr>
          <w:bCs/>
          <w:vertAlign w:val="subscript"/>
          <w:lang w:val="de-DE"/>
        </w:rPr>
        <w:t>3</w:t>
      </w:r>
      <w:r>
        <w:rPr>
          <w:bCs/>
          <w:lang w:val="de-DE"/>
        </w:rPr>
        <w:t xml:space="preserve"> ALD Layers coated on ZnO</w:t>
      </w:r>
    </w:p>
    <w:bookmarkEnd w:id="7"/>
    <w:p>
      <w:pPr>
        <w:pStyle w:val="38"/>
        <w:ind w:firstLine="480" w:firstLineChars="200"/>
        <w:jc w:val="both"/>
      </w:pPr>
      <w:r>
        <w:t>X-ray photoelectron spectroscopy (XPS) was used to analyze the elemental details to confirm the existence of ALD-Al</w:t>
      </w:r>
      <w:r>
        <w:rPr>
          <w:vertAlign w:val="subscript"/>
        </w:rPr>
        <w:t>2</w:t>
      </w:r>
      <w:r>
        <w:t>O</w:t>
      </w:r>
      <w:r>
        <w:rPr>
          <w:vertAlign w:val="subscript"/>
        </w:rPr>
        <w:t>3</w:t>
      </w:r>
      <w:r>
        <w:t xml:space="preserve"> layers on ZnO. Only the elements zinc (Zn), oxygen (O) and aluminum (Al) were detected. Shirley background method was adopted to fit the spectra in Avantage software. A</w:t>
      </w:r>
      <w:r>
        <w:rPr>
          <w:rFonts w:hint="eastAsia"/>
        </w:rPr>
        <w:t>s</w:t>
      </w:r>
      <w:r>
        <w:t xml:space="preserve"> shown in </w:t>
      </w:r>
      <w:r>
        <w:rPr>
          <w:b/>
          <w:bCs/>
        </w:rPr>
        <w:t>Figure S1</w:t>
      </w:r>
      <w:r>
        <w:t>, the Zn 2p</w:t>
      </w:r>
      <w:r>
        <w:rPr>
          <w:vertAlign w:val="subscript"/>
        </w:rPr>
        <w:t>3/2</w:t>
      </w:r>
      <w:r>
        <w:t xml:space="preserve"> and Zn 2p</w:t>
      </w:r>
      <w:r>
        <w:rPr>
          <w:vertAlign w:val="subscript"/>
        </w:rPr>
        <w:t>1/2</w:t>
      </w:r>
      <w:r>
        <w:t xml:space="preserve"> appeared at a binding energy of 1020.9 eV and 1044.1 eV, respectively.</w:t>
      </w:r>
      <w:r>
        <w:rPr>
          <w:vertAlign w:val="superscript"/>
        </w:rPr>
        <w:t>[37]</w:t>
      </w:r>
      <w:r>
        <w:t xml:space="preserve"> No variation of the binding energy at the Zn 2p peaks has been observed before and after ALD-Al</w:t>
      </w:r>
      <w:r>
        <w:rPr>
          <w:vertAlign w:val="subscript"/>
        </w:rPr>
        <w:t>2</w:t>
      </w:r>
      <w:r>
        <w:t>O</w:t>
      </w:r>
      <w:r>
        <w:rPr>
          <w:vertAlign w:val="subscript"/>
        </w:rPr>
        <w:t xml:space="preserve">3 </w:t>
      </w:r>
      <w:r>
        <w:t xml:space="preserve">deposition. Only the peak intensities decreased significantly along with the increased number of </w:t>
      </w:r>
      <w:bookmarkStart w:id="8" w:name="_Hlk106617189"/>
      <w:r>
        <w:t>ALD-Al</w:t>
      </w:r>
      <w:r>
        <w:rPr>
          <w:vertAlign w:val="subscript"/>
        </w:rPr>
        <w:t>2</w:t>
      </w:r>
      <w:r>
        <w:t>O</w:t>
      </w:r>
      <w:r>
        <w:rPr>
          <w:vertAlign w:val="subscript"/>
        </w:rPr>
        <w:t>3</w:t>
      </w:r>
      <w:r>
        <w:t xml:space="preserve"> cycles</w:t>
      </w:r>
      <w:bookmarkEnd w:id="8"/>
      <w:r>
        <w:t>.</w:t>
      </w:r>
      <w:r>
        <w:rPr>
          <w:rFonts w:hint="eastAsia"/>
        </w:rPr>
        <w:t xml:space="preserve"> </w:t>
      </w:r>
      <w:r>
        <w:t>The O 1s spectra were also recorded from samples with ALD-Al</w:t>
      </w:r>
      <w:r>
        <w:rPr>
          <w:vertAlign w:val="subscript"/>
        </w:rPr>
        <w:t>2</w:t>
      </w:r>
      <w:r>
        <w:t>O</w:t>
      </w:r>
      <w:r>
        <w:rPr>
          <w:vertAlign w:val="subscript"/>
        </w:rPr>
        <w:t>3</w:t>
      </w:r>
      <w:r>
        <w:t xml:space="preserve"> layers of different thickness</w:t>
      </w:r>
      <w:r>
        <w:rPr>
          <w:rFonts w:hint="eastAsia"/>
        </w:rPr>
        <w:t>es</w:t>
      </w:r>
      <w:r>
        <w:t>. Three peaks were observed from deconvoluted O 1s XPS spectra</w:t>
      </w:r>
      <w:r>
        <w:rPr>
          <w:b/>
          <w:bCs/>
        </w:rPr>
        <w:t xml:space="preserve"> </w:t>
      </w:r>
      <w:r>
        <w:t>(</w:t>
      </w:r>
      <w:r>
        <w:rPr>
          <w:b/>
          <w:bCs/>
        </w:rPr>
        <w:t>Figure 2a-c</w:t>
      </w:r>
      <w:r>
        <w:t>). The peak at the lowest binding energy (530.0 eV</w:t>
      </w:r>
      <w:r>
        <w:rPr>
          <w:rFonts w:hint="eastAsia"/>
        </w:rPr>
        <w:t>±</w:t>
      </w:r>
      <w:r>
        <w:t>0.1 eV) was correlated with the Zn-O bonds,</w:t>
      </w:r>
      <w:r>
        <w:rPr>
          <w:vertAlign w:val="superscript"/>
        </w:rPr>
        <w:t>[40, 41]</w:t>
      </w:r>
      <w:r>
        <w:t xml:space="preserve"> the peak </w:t>
      </w:r>
      <w:r>
        <w:rPr>
          <w:rFonts w:hint="eastAsia"/>
        </w:rPr>
        <w:t>at</w:t>
      </w:r>
      <w:r>
        <w:t xml:space="preserve"> a higher binding energy (531.1</w:t>
      </w:r>
      <w:r>
        <w:rPr>
          <w:rFonts w:hint="eastAsia"/>
        </w:rPr>
        <w:t>±</w:t>
      </w:r>
      <w:r>
        <w:t>0.1 eV) originated from Al-O bonds,</w:t>
      </w:r>
      <w:r>
        <w:rPr>
          <w:vertAlign w:val="superscript"/>
        </w:rPr>
        <w:t>[42]</w:t>
      </w:r>
      <w:r>
        <w:t xml:space="preserve"> while the peak at around 532 eV was associated with the surface oxygen in the form of hydroxyl groups, which were formed from the reaction of oxygen with environmental air.</w:t>
      </w:r>
      <w:r>
        <w:rPr>
          <w:vertAlign w:val="superscript"/>
        </w:rPr>
        <w:t>[43]</w:t>
      </w:r>
      <w:r>
        <w:t xml:space="preserve"> Furthermore, the atomic percentage of the deconvoluted O 1s peak </w:t>
      </w:r>
      <w:r>
        <w:rPr>
          <w:rFonts w:hint="eastAsia"/>
        </w:rPr>
        <w:t xml:space="preserve">associated </w:t>
      </w:r>
      <w:r>
        <w:t xml:space="preserve">with a different bond is presented in </w:t>
      </w:r>
      <w:r>
        <w:rPr>
          <w:b/>
          <w:bCs/>
        </w:rPr>
        <w:t>Table S1</w:t>
      </w:r>
      <w:r>
        <w:t xml:space="preserve">. </w:t>
      </w:r>
      <w:r>
        <w:rPr>
          <w:rFonts w:hint="eastAsia"/>
        </w:rPr>
        <w:t>We</w:t>
      </w:r>
      <w:r>
        <w:t xml:space="preserve"> observed that both the Zn-O and Zn-OH peak intensities decreased while the Al-O peak intensity increased along with </w:t>
      </w:r>
      <w:r>
        <w:rPr>
          <w:rFonts w:hint="eastAsia"/>
        </w:rPr>
        <w:t>increased</w:t>
      </w:r>
      <w:r>
        <w:t xml:space="preserve"> ALD-Al</w:t>
      </w:r>
      <w:r>
        <w:rPr>
          <w:vertAlign w:val="subscript"/>
        </w:rPr>
        <w:t>2</w:t>
      </w:r>
      <w:r>
        <w:t>O</w:t>
      </w:r>
      <w:r>
        <w:rPr>
          <w:vertAlign w:val="subscript"/>
        </w:rPr>
        <w:t>3</w:t>
      </w:r>
      <w:r>
        <w:t xml:space="preserve"> </w:t>
      </w:r>
      <w:r>
        <w:rPr>
          <w:rFonts w:hint="eastAsia"/>
        </w:rPr>
        <w:t>thickness</w:t>
      </w:r>
      <w:r>
        <w:t xml:space="preserve">, indicating that Al had consumed oxygen on the ZnO layer and strong Al-O bonds had formed. </w:t>
      </w:r>
      <w:r>
        <w:rPr>
          <w:rFonts w:hint="eastAsia"/>
        </w:rPr>
        <w:t>As</w:t>
      </w:r>
      <w:r>
        <w:t xml:space="preserve"> a result, the reduction of -OH concentration can effectively suppress the recombination centers and realize passivation at the ZnO/Al</w:t>
      </w:r>
      <w:r>
        <w:rPr>
          <w:vertAlign w:val="subscript"/>
        </w:rPr>
        <w:t>2</w:t>
      </w:r>
      <w:r>
        <w:t>O</w:t>
      </w:r>
      <w:r>
        <w:rPr>
          <w:vertAlign w:val="subscript"/>
        </w:rPr>
        <w:t xml:space="preserve">3 </w:t>
      </w:r>
      <w:r>
        <w:t>interface.</w:t>
      </w:r>
      <w:r>
        <w:rPr>
          <w:vertAlign w:val="superscript"/>
        </w:rPr>
        <w:t>[37, 44]</w:t>
      </w:r>
      <w:r>
        <w:t xml:space="preserve"> The Al 2p peaks at a binding energy of 73.9</w:t>
      </w:r>
      <w:r>
        <w:rPr>
          <w:rFonts w:hint="eastAsia"/>
        </w:rPr>
        <w:t>±</w:t>
      </w:r>
      <w:r>
        <w:t xml:space="preserve">0.01 </w:t>
      </w:r>
      <w:r>
        <w:rPr>
          <w:rFonts w:hint="eastAsia"/>
        </w:rPr>
        <w:t>e</w:t>
      </w:r>
      <w:r>
        <w:t>V were also observed (</w:t>
      </w:r>
      <w:r>
        <w:rPr>
          <w:b/>
          <w:bCs/>
        </w:rPr>
        <w:t>Figure 2e-f)</w:t>
      </w:r>
      <w:r>
        <w:t xml:space="preserve">, and the peak intensity was enhanced along with more </w:t>
      </w:r>
      <w:bookmarkStart w:id="9" w:name="_Hlk106698711"/>
      <w:r>
        <w:t>ALD-Al</w:t>
      </w:r>
      <w:r>
        <w:rPr>
          <w:vertAlign w:val="subscript"/>
        </w:rPr>
        <w:t>2</w:t>
      </w:r>
      <w:r>
        <w:t>O</w:t>
      </w:r>
      <w:r>
        <w:rPr>
          <w:vertAlign w:val="subscript"/>
        </w:rPr>
        <w:t>3</w:t>
      </w:r>
      <w:bookmarkEnd w:id="9"/>
      <w:r>
        <w:t xml:space="preserve"> deposition cycles, indicating the formation of Al</w:t>
      </w:r>
      <w:r>
        <w:rPr>
          <w:rFonts w:hint="eastAsia"/>
        </w:rPr>
        <w:t>-</w:t>
      </w:r>
      <w:r>
        <w:t>O bonds. Accordingly, we conclude that more ALD-Al</w:t>
      </w:r>
      <w:r>
        <w:rPr>
          <w:vertAlign w:val="subscript"/>
        </w:rPr>
        <w:t>2</w:t>
      </w:r>
      <w:r>
        <w:t>O</w:t>
      </w:r>
      <w:r>
        <w:rPr>
          <w:vertAlign w:val="subscript"/>
        </w:rPr>
        <w:t>3</w:t>
      </w:r>
      <w:r>
        <w:t xml:space="preserve"> cycles would lead to</w:t>
      </w:r>
      <w:r>
        <w:rPr>
          <w:rFonts w:hint="eastAsia"/>
        </w:rPr>
        <w:t xml:space="preserve"> </w:t>
      </w:r>
      <w:r>
        <w:t>better passivation.</w:t>
      </w:r>
    </w:p>
    <w:p>
      <w:pPr>
        <w:pStyle w:val="38"/>
        <w:ind w:firstLine="480" w:firstLineChars="200"/>
        <w:jc w:val="both"/>
      </w:pPr>
      <w:r>
        <w:t xml:space="preserve">The surface morphology of the ETL influences the device performance of OSCs significantly. We used scanning electron microscope (SEM) and atomic force microscopy (AFM) to investigate the surface morphology of ZnO modified </w:t>
      </w:r>
      <w:bookmarkStart w:id="10" w:name="_Hlk106890690"/>
      <w:r>
        <w:t xml:space="preserve">with </w:t>
      </w:r>
      <w:bookmarkStart w:id="11" w:name="_Hlk106709910"/>
      <w:r>
        <w:t>ALD-Al</w:t>
      </w:r>
      <w:r>
        <w:rPr>
          <w:vertAlign w:val="subscript"/>
        </w:rPr>
        <w:t>2</w:t>
      </w:r>
      <w:r>
        <w:t>O</w:t>
      </w:r>
      <w:r>
        <w:rPr>
          <w:vertAlign w:val="subscript"/>
        </w:rPr>
        <w:t>3</w:t>
      </w:r>
      <w:bookmarkEnd w:id="11"/>
      <w:r>
        <w:t xml:space="preserve"> </w:t>
      </w:r>
      <w:bookmarkEnd w:id="10"/>
      <w:r>
        <w:t xml:space="preserve">of various thicknesses. Fiber-like surface nanomorphology patterns can be observed from the </w:t>
      </w:r>
      <w:bookmarkStart w:id="12" w:name="_Hlk106890642"/>
      <w:r>
        <w:t>pristine</w:t>
      </w:r>
      <w:bookmarkEnd w:id="12"/>
      <w:r>
        <w:t xml:space="preserve"> ZnO films (</w:t>
      </w:r>
      <w:r>
        <w:rPr>
          <w:rFonts w:hint="eastAsia"/>
          <w:b/>
          <w:bCs/>
        </w:rPr>
        <w:t>F</w:t>
      </w:r>
      <w:r>
        <w:rPr>
          <w:b/>
          <w:bCs/>
        </w:rPr>
        <w:t>igure 3a</w:t>
      </w:r>
      <w:r>
        <w:t>).</w:t>
      </w:r>
      <w:r>
        <w:rPr>
          <w:rFonts w:hint="eastAsia"/>
        </w:rPr>
        <w:t xml:space="preserve"> </w:t>
      </w:r>
      <w:r>
        <w:t>The patterns became blurring after being modified with 3 cycles of ALD</w:t>
      </w:r>
      <w:bookmarkStart w:id="13" w:name="_Hlk106703901"/>
      <w:r>
        <w:t>-Al</w:t>
      </w:r>
      <w:r>
        <w:rPr>
          <w:vertAlign w:val="subscript"/>
        </w:rPr>
        <w:t>2</w:t>
      </w:r>
      <w:r>
        <w:t>O</w:t>
      </w:r>
      <w:r>
        <w:rPr>
          <w:vertAlign w:val="subscript"/>
        </w:rPr>
        <w:t>3</w:t>
      </w:r>
      <w:bookmarkEnd w:id="13"/>
      <w:r>
        <w:t>,</w:t>
      </w:r>
      <w:r>
        <w:rPr>
          <w:rFonts w:hint="eastAsia"/>
        </w:rPr>
        <w:t xml:space="preserve"> </w:t>
      </w:r>
      <w:r>
        <w:t>and almost disappear</w:t>
      </w:r>
      <w:r>
        <w:rPr>
          <w:rFonts w:hint="eastAsia"/>
        </w:rPr>
        <w:t>ed</w:t>
      </w:r>
      <w:r>
        <w:t xml:space="preserve"> when 10 cycles ALD-Al</w:t>
      </w:r>
      <w:r>
        <w:rPr>
          <w:vertAlign w:val="subscript"/>
        </w:rPr>
        <w:t>2</w:t>
      </w:r>
      <w:r>
        <w:t>O</w:t>
      </w:r>
      <w:r>
        <w:rPr>
          <w:vertAlign w:val="subscript"/>
        </w:rPr>
        <w:t>3</w:t>
      </w:r>
      <w:r>
        <w:t xml:space="preserve"> were deposited, which indicates that </w:t>
      </w:r>
      <w:bookmarkStart w:id="14" w:name="_Hlk106715085"/>
      <w:r>
        <w:t>ALD-Al</w:t>
      </w:r>
      <w:r>
        <w:rPr>
          <w:vertAlign w:val="subscript"/>
        </w:rPr>
        <w:t>2</w:t>
      </w:r>
      <w:r>
        <w:t>O</w:t>
      </w:r>
      <w:r>
        <w:rPr>
          <w:vertAlign w:val="subscript"/>
        </w:rPr>
        <w:t>3</w:t>
      </w:r>
      <w:bookmarkEnd w:id="14"/>
      <w:r>
        <w:t xml:space="preserve"> layers can smooth the surface morphology of ZnO effectively, and that may passivate surface defects of </w:t>
      </w:r>
      <w:r>
        <w:rPr>
          <w:rFonts w:hint="eastAsia"/>
        </w:rPr>
        <w:t>Z</w:t>
      </w:r>
      <w:r>
        <w:t>nO successfully.</w:t>
      </w:r>
      <w:r>
        <w:rPr>
          <w:rFonts w:hint="eastAsia"/>
        </w:rPr>
        <w:t xml:space="preserve"> </w:t>
      </w:r>
      <w:r>
        <w:t>Moreover, the pristine ZnO layer delivered a root-mean-square (RMS) roughness of 3.97 nm (</w:t>
      </w:r>
      <w:r>
        <w:rPr>
          <w:b/>
          <w:bCs/>
        </w:rPr>
        <w:t>Figure 3b</w:t>
      </w:r>
      <w:r>
        <w:t xml:space="preserve">), while for ZnO modified with 3 and 10 </w:t>
      </w:r>
      <w:bookmarkStart w:id="15" w:name="_Hlk106715280"/>
      <w:bookmarkStart w:id="16" w:name="_Hlk106720392"/>
      <w:r>
        <w:t>cycles of ALD-Al</w:t>
      </w:r>
      <w:r>
        <w:rPr>
          <w:vertAlign w:val="subscript"/>
        </w:rPr>
        <w:t>2</w:t>
      </w:r>
      <w:r>
        <w:t>O</w:t>
      </w:r>
      <w:r>
        <w:rPr>
          <w:vertAlign w:val="subscript"/>
        </w:rPr>
        <w:t>3</w:t>
      </w:r>
      <w:bookmarkEnd w:id="15"/>
      <w:bookmarkEnd w:id="16"/>
      <w:r>
        <w:t>, the RMS decreased to 2.32 nm and 1.58 nm, respectively, which means that ALD-Al</w:t>
      </w:r>
      <w:r>
        <w:rPr>
          <w:vertAlign w:val="subscript"/>
        </w:rPr>
        <w:t>2</w:t>
      </w:r>
      <w:r>
        <w:t>O</w:t>
      </w:r>
      <w:r>
        <w:rPr>
          <w:vertAlign w:val="subscript"/>
        </w:rPr>
        <w:t>3</w:t>
      </w:r>
      <w:r>
        <w:t xml:space="preserve"> treatment had effectively reduced surface roughness of ZnO. We then conclude that a more</w:t>
      </w:r>
      <w:r>
        <w:rPr>
          <w:rFonts w:hint="eastAsia"/>
        </w:rPr>
        <w:t xml:space="preserve"> </w:t>
      </w:r>
      <w:r>
        <w:t>conformal interface between the ZnO ETL and photoactive layer could be created by several cycles of ALD-Al</w:t>
      </w:r>
      <w:r>
        <w:rPr>
          <w:vertAlign w:val="subscript"/>
        </w:rPr>
        <w:t>2</w:t>
      </w:r>
      <w:r>
        <w:t>O</w:t>
      </w:r>
      <w:r>
        <w:rPr>
          <w:vertAlign w:val="subscript"/>
        </w:rPr>
        <w:t>3</w:t>
      </w:r>
      <w:r>
        <w:t>.</w:t>
      </w:r>
      <w:r>
        <w:rPr>
          <w:rFonts w:hint="eastAsia"/>
        </w:rPr>
        <w:t xml:space="preserve"> </w:t>
      </w:r>
      <w:r>
        <w:t>AFM and transmission electron microscopy (TEM) were also utilized to explore the surface topography of the active layers PM6:BTP-BO-4F on ALD-Al</w:t>
      </w:r>
      <w:r>
        <w:rPr>
          <w:vertAlign w:val="subscript"/>
        </w:rPr>
        <w:t>2</w:t>
      </w:r>
      <w:r>
        <w:t>O</w:t>
      </w:r>
      <w:r>
        <w:rPr>
          <w:vertAlign w:val="subscript"/>
        </w:rPr>
        <w:t xml:space="preserve">3 </w:t>
      </w:r>
      <w:r>
        <w:t xml:space="preserve">modified ZnO substrates. As shown in </w:t>
      </w:r>
      <w:r>
        <w:rPr>
          <w:b/>
          <w:bCs/>
        </w:rPr>
        <w:t>Figure S2a</w:t>
      </w:r>
      <w:r>
        <w:t>, the PM6:BTP-BO-4F films showed smoother surface, while the RMS of the active layers also reduced with increased ALD-Al</w:t>
      </w:r>
      <w:r>
        <w:rPr>
          <w:vertAlign w:val="subscript"/>
        </w:rPr>
        <w:t>2</w:t>
      </w:r>
      <w:r>
        <w:t>O</w:t>
      </w:r>
      <w:r>
        <w:rPr>
          <w:vertAlign w:val="subscript"/>
        </w:rPr>
        <w:t xml:space="preserve">3 </w:t>
      </w:r>
      <w:r>
        <w:t xml:space="preserve">thickness. These results have demonstrated that </w:t>
      </w:r>
      <w:bookmarkStart w:id="17" w:name="_Hlk110690377"/>
      <w:r>
        <w:t>ALD-Al</w:t>
      </w:r>
      <w:r>
        <w:rPr>
          <w:vertAlign w:val="subscript"/>
        </w:rPr>
        <w:t>2</w:t>
      </w:r>
      <w:r>
        <w:t>O</w:t>
      </w:r>
      <w:r>
        <w:rPr>
          <w:vertAlign w:val="subscript"/>
        </w:rPr>
        <w:t>3</w:t>
      </w:r>
      <w:bookmarkEnd w:id="17"/>
      <w:r>
        <w:rPr>
          <w:vertAlign w:val="subscript"/>
        </w:rPr>
        <w:t xml:space="preserve"> </w:t>
      </w:r>
      <w:r>
        <w:t>modified ETLs also improved the surface morphology of the photoactive layers.</w:t>
      </w:r>
    </w:p>
    <w:p>
      <w:pPr>
        <w:pStyle w:val="38"/>
        <w:ind w:firstLine="480" w:firstLineChars="200"/>
        <w:jc w:val="both"/>
      </w:pPr>
      <w:r>
        <w:t xml:space="preserve">The work function (WF) of ZnO </w:t>
      </w:r>
      <w:r>
        <w:rPr>
          <w:rFonts w:hint="eastAsia"/>
        </w:rPr>
        <w:t>is</w:t>
      </w:r>
      <w:r>
        <w:t xml:space="preserve"> also essential to the charge extraction process, which affects the overall performance of the devices. We performed </w:t>
      </w:r>
      <w:bookmarkStart w:id="18" w:name="_Hlk112750592"/>
      <w:r>
        <w:t>Kelvin Probe Force Microscopy</w:t>
      </w:r>
      <w:r>
        <w:rPr>
          <w:rFonts w:hint="eastAsia"/>
        </w:rPr>
        <w:t xml:space="preserve"> </w:t>
      </w:r>
      <w:r>
        <w:t xml:space="preserve">(KPFM) measurements </w:t>
      </w:r>
      <w:bookmarkEnd w:id="18"/>
      <w:r>
        <w:rPr>
          <w:rFonts w:hint="eastAsia"/>
        </w:rPr>
        <w:t>to</w:t>
      </w:r>
      <w:r>
        <w:t xml:space="preserve"> </w:t>
      </w:r>
      <w:r>
        <w:rPr>
          <w:rFonts w:hint="eastAsia"/>
        </w:rPr>
        <w:t>estimate</w:t>
      </w:r>
      <w:r>
        <w:t xml:space="preserve"> the WF of ZnO layers deposited with </w:t>
      </w:r>
      <w:bookmarkStart w:id="19" w:name="_Hlk110850070"/>
      <w:r>
        <w:t>ALD-Al</w:t>
      </w:r>
      <w:r>
        <w:rPr>
          <w:vertAlign w:val="subscript"/>
        </w:rPr>
        <w:t>2</w:t>
      </w:r>
      <w:r>
        <w:t>O</w:t>
      </w:r>
      <w:r>
        <w:rPr>
          <w:vertAlign w:val="subscript"/>
        </w:rPr>
        <w:t>3</w:t>
      </w:r>
      <w:bookmarkEnd w:id="19"/>
      <w:r>
        <w:t>.</w:t>
      </w:r>
      <w:r>
        <w:rPr>
          <w:rFonts w:hint="eastAsia"/>
        </w:rPr>
        <w:t xml:space="preserve"> </w:t>
      </w:r>
      <w:r>
        <w:t xml:space="preserve">As presented in </w:t>
      </w:r>
      <w:r>
        <w:rPr>
          <w:b/>
          <w:bCs/>
        </w:rPr>
        <w:t>Figure S3</w:t>
      </w:r>
      <w:r>
        <w:t>, the bare ZnO films presented a WF of 4.64 eV, whilst it reduced when ALD-Al</w:t>
      </w:r>
      <w:r>
        <w:rPr>
          <w:vertAlign w:val="subscript"/>
        </w:rPr>
        <w:t>2</w:t>
      </w:r>
      <w:r>
        <w:t>O</w:t>
      </w:r>
      <w:r>
        <w:rPr>
          <w:vertAlign w:val="subscript"/>
        </w:rPr>
        <w:t xml:space="preserve">3 </w:t>
      </w:r>
      <w:r>
        <w:t>was performed. The ETL ZnO modified with 3 cycles of ALD-Al</w:t>
      </w:r>
      <w:r>
        <w:rPr>
          <w:vertAlign w:val="subscript"/>
        </w:rPr>
        <w:t>2</w:t>
      </w:r>
      <w:r>
        <w:t>O</w:t>
      </w:r>
      <w:r>
        <w:rPr>
          <w:vertAlign w:val="subscript"/>
        </w:rPr>
        <w:t xml:space="preserve">3 </w:t>
      </w:r>
      <w:r>
        <w:t>showed the lowest WF of 4.55 eV. Consequently, the reduced WF would lead to lower electron extraction barrier, thus facilitating effective electron extraction from the active layer to ZnO films, as well as allowing better ohmic contact between ZnO films and BTP-BO-4F with the lowest unoccupied molecular</w:t>
      </w:r>
      <w:r>
        <w:rPr>
          <w:rFonts w:hint="eastAsia"/>
        </w:rPr>
        <w:t xml:space="preserve"> </w:t>
      </w:r>
      <w:r>
        <w:t>orbital (LUMO) levels of -4.39 eV.</w:t>
      </w:r>
      <w:r>
        <w:rPr>
          <w:vertAlign w:val="superscript"/>
        </w:rPr>
        <w:t>[37, 45]</w:t>
      </w:r>
    </w:p>
    <w:p>
      <w:pPr>
        <w:pStyle w:val="33"/>
      </w:pPr>
      <w:r>
        <w:t xml:space="preserve">2.2. </w:t>
      </w:r>
      <w:r>
        <w:rPr>
          <w:bCs/>
          <w:lang w:val="de-DE"/>
        </w:rPr>
        <w:t>Solar Cell Performance Analysis</w:t>
      </w:r>
    </w:p>
    <w:p>
      <w:pPr>
        <w:pStyle w:val="38"/>
        <w:ind w:firstLine="480" w:firstLineChars="200"/>
        <w:jc w:val="both"/>
      </w:pPr>
      <w:r>
        <w:t>As addressed, t</w:t>
      </w:r>
      <w:r>
        <w:rPr>
          <w:rFonts w:hint="eastAsia"/>
        </w:rPr>
        <w:t>he</w:t>
      </w:r>
      <w:r>
        <w:t xml:space="preserve"> </w:t>
      </w:r>
      <w:r>
        <w:rPr>
          <w:rFonts w:hint="eastAsia"/>
        </w:rPr>
        <w:t>effects</w:t>
      </w:r>
      <w:r>
        <w:t xml:space="preserve"> of ALD coatings on passivating ZnO layers had been demonstrated, and we </w:t>
      </w:r>
      <w:r>
        <w:rPr>
          <w:rFonts w:hint="eastAsia"/>
        </w:rPr>
        <w:t>then</w:t>
      </w:r>
      <w:r>
        <w:t xml:space="preserve"> utilized the passivated ZnO films to fabricate OSCs with an inverted architecture </w:t>
      </w:r>
      <w:r>
        <w:rPr>
          <w:rFonts w:hint="eastAsia"/>
        </w:rPr>
        <w:t>of</w:t>
      </w:r>
      <w:r>
        <w:t xml:space="preserve"> indium tin oxide (ITO)</w:t>
      </w:r>
      <w:r>
        <w:rPr>
          <w:rFonts w:hint="eastAsia"/>
        </w:rPr>
        <w:t>/</w:t>
      </w:r>
      <w:r>
        <w:t>Z</w:t>
      </w:r>
      <w:r>
        <w:rPr>
          <w:rFonts w:hint="eastAsia"/>
        </w:rPr>
        <w:t>n</w:t>
      </w:r>
      <w:r>
        <w:t>O</w:t>
      </w:r>
      <w:r>
        <w:rPr>
          <w:rFonts w:hint="eastAsia"/>
        </w:rPr>
        <w:t>/</w:t>
      </w:r>
      <w:r>
        <w:t>ALD-Al</w:t>
      </w:r>
      <w:r>
        <w:rPr>
          <w:vertAlign w:val="subscript"/>
        </w:rPr>
        <w:t>2</w:t>
      </w:r>
      <w:r>
        <w:t>O</w:t>
      </w:r>
      <w:r>
        <w:rPr>
          <w:vertAlign w:val="subscript"/>
        </w:rPr>
        <w:t>3</w:t>
      </w:r>
      <w:r>
        <w:t>/active layer/MoO</w:t>
      </w:r>
      <w:r>
        <w:rPr>
          <w:vertAlign w:val="subscript"/>
        </w:rPr>
        <w:t>3</w:t>
      </w:r>
      <w:r>
        <w:rPr>
          <w:rFonts w:hint="eastAsia"/>
        </w:rPr>
        <w:t>/</w:t>
      </w:r>
      <w:r>
        <w:t>A</w:t>
      </w:r>
      <w:r>
        <w:rPr>
          <w:rFonts w:hint="eastAsia"/>
        </w:rPr>
        <w:t xml:space="preserve">g </w:t>
      </w:r>
      <w:r>
        <w:t>(</w:t>
      </w:r>
      <w:r>
        <w:rPr>
          <w:b/>
          <w:bCs/>
        </w:rPr>
        <w:t>Figure 2a</w:t>
      </w:r>
      <w:r>
        <w:t>). ZnO and MoO</w:t>
      </w:r>
      <w:r>
        <w:rPr>
          <w:vertAlign w:val="subscript"/>
        </w:rPr>
        <w:t>3</w:t>
      </w:r>
      <w:r>
        <w:t xml:space="preserve"> films were used as the ETL and HTL, respectively. The chemical structures and the corresponding energy levels of the materials in photoactive layers are shown in </w:t>
      </w:r>
      <w:r>
        <w:rPr>
          <w:b/>
          <w:bCs/>
        </w:rPr>
        <w:t>Figure 2b</w:t>
      </w:r>
      <w:r>
        <w:t>. To examine the impact of ALD</w:t>
      </w:r>
      <w:bookmarkStart w:id="20" w:name="_Hlk111040685"/>
      <w:r>
        <w:t>-Al</w:t>
      </w:r>
      <w:r>
        <w:rPr>
          <w:vertAlign w:val="subscript"/>
        </w:rPr>
        <w:t>2</w:t>
      </w:r>
      <w:r>
        <w:t>O</w:t>
      </w:r>
      <w:r>
        <w:rPr>
          <w:vertAlign w:val="subscript"/>
        </w:rPr>
        <w:t>3</w:t>
      </w:r>
      <w:r>
        <w:t xml:space="preserve"> </w:t>
      </w:r>
      <w:bookmarkEnd w:id="20"/>
      <w:r>
        <w:t xml:space="preserve">thickness on device performance, a series of PM6:BTP-BO-4F based OSCs were fabricated, with the ZnO layers unpassivated or treated with </w:t>
      </w:r>
      <w:bookmarkStart w:id="21" w:name="_Hlk110860732"/>
      <w:r>
        <w:t>ALD-Al</w:t>
      </w:r>
      <w:r>
        <w:rPr>
          <w:vertAlign w:val="subscript"/>
        </w:rPr>
        <w:t>2</w:t>
      </w:r>
      <w:r>
        <w:t>O</w:t>
      </w:r>
      <w:r>
        <w:rPr>
          <w:vertAlign w:val="subscript"/>
        </w:rPr>
        <w:t>3</w:t>
      </w:r>
      <w:bookmarkEnd w:id="21"/>
      <w:r>
        <w:t xml:space="preserve"> (Deposition cycles n=1, 3, 5 </w:t>
      </w:r>
      <w:r>
        <w:rPr>
          <w:rFonts w:hint="eastAsia"/>
        </w:rPr>
        <w:t>and</w:t>
      </w:r>
      <w:r>
        <w:t xml:space="preserve"> 10). The current density-voltage curves of the devices modified with ALD-Al</w:t>
      </w:r>
      <w:r>
        <w:rPr>
          <w:vertAlign w:val="subscript"/>
        </w:rPr>
        <w:t>2</w:t>
      </w:r>
      <w:r>
        <w:t>O</w:t>
      </w:r>
      <w:r>
        <w:rPr>
          <w:vertAlign w:val="subscript"/>
        </w:rPr>
        <w:t>3</w:t>
      </w:r>
      <w:r>
        <w:t xml:space="preserve"> are presented in </w:t>
      </w:r>
      <w:r>
        <w:rPr>
          <w:b/>
          <w:bCs/>
        </w:rPr>
        <w:t>Figure 2c</w:t>
      </w:r>
      <w:r>
        <w:t xml:space="preserve">, and the corresponding photovoltaic parameters are listed in </w:t>
      </w:r>
      <w:r>
        <w:rPr>
          <w:b/>
          <w:bCs/>
        </w:rPr>
        <w:t>Table 1</w:t>
      </w:r>
      <w:r>
        <w:rPr>
          <w:rFonts w:hint="eastAsia"/>
          <w:b/>
          <w:bCs/>
        </w:rPr>
        <w:t xml:space="preserve"> </w:t>
      </w:r>
      <w:r>
        <w:t xml:space="preserve">and exhibited as a box-plot diagram in </w:t>
      </w:r>
      <w:r>
        <w:rPr>
          <w:b/>
          <w:bCs/>
        </w:rPr>
        <w:t>Figure S4</w:t>
      </w:r>
      <w:r>
        <w:t>. We found that the devices incorporated with ALD-Al</w:t>
      </w:r>
      <w:r>
        <w:rPr>
          <w:vertAlign w:val="subscript"/>
        </w:rPr>
        <w:t>2</w:t>
      </w:r>
      <w:r>
        <w:t>O</w:t>
      </w:r>
      <w:r>
        <w:rPr>
          <w:vertAlign w:val="subscript"/>
        </w:rPr>
        <w:t xml:space="preserve">3 </w:t>
      </w:r>
      <w:r>
        <w:t>layers exhibited considerable enhancement in PCE compared with the control devices. Amongst them, the devices modified with 3 cycles of ALD-Al</w:t>
      </w:r>
      <w:r>
        <w:rPr>
          <w:vertAlign w:val="subscript"/>
        </w:rPr>
        <w:t>2</w:t>
      </w:r>
      <w:r>
        <w:t>O</w:t>
      </w:r>
      <w:r>
        <w:rPr>
          <w:vertAlign w:val="subscript"/>
        </w:rPr>
        <w:t xml:space="preserve">3 </w:t>
      </w:r>
      <w:r>
        <w:t xml:space="preserve">yielded the maximum PCE of 16.61%, along with a </w:t>
      </w:r>
      <m:oMath>
        <m:sSub>
          <m:sSubPr>
            <m:ctrlPr>
              <w:rPr>
                <w:rFonts w:ascii="Cambria Math" w:hAnsi="Cambria Math"/>
                <w:i/>
              </w:rPr>
            </m:ctrlPr>
          </m:sSubPr>
          <w:bookmarkStart w:id="22" w:name="_Hlk111023185"/>
          <m:e>
            <m:r>
              <m:rPr/>
              <w:rPr>
                <w:rFonts w:ascii="Cambria Math" w:hAnsi="Cambria Math"/>
              </w:rPr>
              <m:t>V</m:t>
            </m:r>
            <m:ctrlPr>
              <w:rPr>
                <w:rFonts w:ascii="Cambria Math" w:hAnsi="Cambria Math"/>
                <w:i/>
              </w:rPr>
            </m:ctrlPr>
          </m:e>
          <m:sub>
            <m:r>
              <m:rPr/>
              <w:rPr>
                <w:rFonts w:ascii="Cambria Math" w:hAnsi="Cambria Math"/>
              </w:rPr>
              <m:t>OC</m:t>
            </m:r>
            <w:bookmarkEnd w:id="22"/>
            <m:ctrlPr>
              <w:rPr>
                <w:rFonts w:ascii="Cambria Math" w:hAnsi="Cambria Math"/>
                <w:i/>
              </w:rPr>
            </m:ctrlPr>
          </m:sub>
        </m:sSub>
      </m:oMath>
      <w:r>
        <w:rPr>
          <w:rFonts w:hint="eastAsia"/>
        </w:rPr>
        <w:t xml:space="preserve"> </w:t>
      </w:r>
      <w:r>
        <w:t xml:space="preserve">of 0.853 V, </w:t>
      </w:r>
      <w:r>
        <w:rPr>
          <w:rFonts w:hint="eastAsia"/>
        </w:rPr>
        <w:t>a</w:t>
      </w:r>
      <w:r>
        <w:t xml:space="preserve"> </w:t>
      </w:r>
      <m:oMath>
        <m:sSub>
          <m:sSubPr>
            <m:ctrlPr>
              <w:rPr>
                <w:rFonts w:ascii="Cambria Math" w:hAnsi="Cambria Math"/>
                <w:i/>
              </w:rPr>
            </m:ctrlPr>
          </m:sSubPr>
          <m:e>
            <m:r>
              <m:rPr/>
              <w:rPr>
                <w:rFonts w:ascii="Cambria Math" w:hAnsi="Cambria Math"/>
              </w:rPr>
              <m:t>J</m:t>
            </m:r>
            <m:ctrlPr>
              <w:rPr>
                <w:rFonts w:ascii="Cambria Math" w:hAnsi="Cambria Math"/>
                <w:i/>
              </w:rPr>
            </m:ctrlPr>
          </m:e>
          <m:sub>
            <m:r>
              <m:rPr/>
              <w:rPr>
                <w:rFonts w:ascii="Cambria Math" w:hAnsi="Cambria Math"/>
              </w:rPr>
              <m:t>SC</m:t>
            </m:r>
            <m:ctrlPr>
              <w:rPr>
                <w:rFonts w:ascii="Cambria Math" w:hAnsi="Cambria Math"/>
                <w:i/>
              </w:rPr>
            </m:ctrlPr>
          </m:sub>
        </m:sSub>
      </m:oMath>
      <w:r>
        <w:rPr>
          <w:rFonts w:hint="eastAsia"/>
        </w:rPr>
        <w:t xml:space="preserve"> </w:t>
      </w:r>
      <w:r>
        <w:t>of 25.94 mA cm</w:t>
      </w:r>
      <w:r>
        <w:rPr>
          <w:vertAlign w:val="superscript"/>
        </w:rPr>
        <w:t>-2</w:t>
      </w:r>
      <w:r>
        <w:t xml:space="preserve"> and an FF of 75.08%.</w:t>
      </w:r>
      <w:r>
        <w:rPr>
          <w:rFonts w:hint="eastAsia"/>
        </w:rPr>
        <w:t xml:space="preserve"> </w:t>
      </w:r>
      <w:r>
        <w:t>When 10 cycles of ALD-Al</w:t>
      </w:r>
      <w:r>
        <w:rPr>
          <w:vertAlign w:val="subscript"/>
        </w:rPr>
        <w:t>2</w:t>
      </w:r>
      <w:r>
        <w:t>O</w:t>
      </w:r>
      <w:r>
        <w:rPr>
          <w:vertAlign w:val="subscript"/>
        </w:rPr>
        <w:t>3</w:t>
      </w:r>
      <w:r>
        <w:t xml:space="preserve"> deposition were completed, the device performance started to deteriorate, due to the </w:t>
      </w:r>
      <w:bookmarkStart w:id="23" w:name="OLE_LINK4"/>
      <w:r>
        <w:t xml:space="preserve">insulating property </w:t>
      </w:r>
      <w:r>
        <w:rPr>
          <w:rFonts w:hint="eastAsia"/>
        </w:rPr>
        <w:t>of</w:t>
      </w:r>
      <w:r>
        <w:t xml:space="preserve"> alumina</w:t>
      </w:r>
      <w:bookmarkEnd w:id="23"/>
      <w:r>
        <w:t xml:space="preserve"> that may start hindering electron transport when it reaches a certain thickness. In addition, the devices modified with 3 cycles of ALD-Al</w:t>
      </w:r>
      <w:r>
        <w:rPr>
          <w:vertAlign w:val="subscript"/>
        </w:rPr>
        <w:t>2</w:t>
      </w:r>
      <w:r>
        <w:t>O</w:t>
      </w:r>
      <w:r>
        <w:rPr>
          <w:vertAlign w:val="subscript"/>
        </w:rPr>
        <w:t>3</w:t>
      </w:r>
      <w:r>
        <w:t xml:space="preserve"> showed significantly higher </w:t>
      </w:r>
      <m:oMath>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OC</m:t>
            </m:r>
            <m:ctrlPr>
              <w:rPr>
                <w:rFonts w:ascii="Cambria Math" w:hAnsi="Cambria Math"/>
                <w:i/>
              </w:rPr>
            </m:ctrlPr>
          </m:sub>
        </m:sSub>
      </m:oMath>
      <w:r>
        <w:rPr>
          <w:rFonts w:hint="eastAsia"/>
        </w:rPr>
        <w:t xml:space="preserve"> </w:t>
      </w:r>
      <w:r>
        <w:t>than the control devices, attributing to the reduced WF of ZnO, thus a lower energy offset between ZnO and the photoactive layer.</w:t>
      </w:r>
      <w:r>
        <w:rPr>
          <w:vertAlign w:val="superscript"/>
        </w:rPr>
        <w:t>[46]</w:t>
      </w:r>
      <w:r>
        <w:t xml:space="preserve"> Besides this, the decline in WF lowered the electron extraction barrier and elevated the built-in voltage, which facilitated electron extraction and transport, </w:t>
      </w:r>
      <w:r>
        <w:rPr>
          <w:rFonts w:hint="eastAsia"/>
        </w:rPr>
        <w:t>thus</w:t>
      </w:r>
      <w:r>
        <w:t xml:space="preserve"> resulting in higher </w:t>
      </w:r>
      <m:oMath>
        <m:sSub>
          <m:sSubPr>
            <m:ctrlPr>
              <w:rPr>
                <w:rFonts w:ascii="Cambria Math" w:hAnsi="Cambria Math"/>
                <w:i/>
              </w:rPr>
            </m:ctrlPr>
          </m:sSubPr>
          <m:e>
            <m:r>
              <m:rPr/>
              <w:rPr>
                <w:rFonts w:ascii="Cambria Math" w:hAnsi="Cambria Math"/>
              </w:rPr>
              <m:t>J</m:t>
            </m:r>
            <m:ctrlPr>
              <w:rPr>
                <w:rFonts w:ascii="Cambria Math" w:hAnsi="Cambria Math"/>
                <w:i/>
              </w:rPr>
            </m:ctrlPr>
          </m:e>
          <m:sub>
            <m:r>
              <m:rPr/>
              <w:rPr>
                <w:rFonts w:ascii="Cambria Math" w:hAnsi="Cambria Math"/>
              </w:rPr>
              <m:t>SC</m:t>
            </m:r>
            <m:ctrlPr>
              <w:rPr>
                <w:rFonts w:ascii="Cambria Math" w:hAnsi="Cambria Math"/>
                <w:i/>
              </w:rPr>
            </m:ctrlPr>
          </m:sub>
        </m:sSub>
      </m:oMath>
      <w:bookmarkStart w:id="24" w:name="_Hlk111047486"/>
      <w:r>
        <w:rPr>
          <w:rFonts w:hint="eastAsia"/>
        </w:rPr>
        <w:t xml:space="preserve"> </w:t>
      </w:r>
      <w:bookmarkEnd w:id="24"/>
      <w:r>
        <w:t>of the 3 cycles ALD-Al</w:t>
      </w:r>
      <w:r>
        <w:rPr>
          <w:vertAlign w:val="subscript"/>
        </w:rPr>
        <w:t>2</w:t>
      </w:r>
      <w:r>
        <w:t>O</w:t>
      </w:r>
      <w:r>
        <w:rPr>
          <w:vertAlign w:val="subscript"/>
        </w:rPr>
        <w:t xml:space="preserve">3 </w:t>
      </w:r>
      <w:r>
        <w:t>modified devices finally.</w:t>
      </w:r>
      <w:r>
        <w:rPr>
          <w:vertAlign w:val="superscript"/>
        </w:rPr>
        <w:t>[45]</w:t>
      </w:r>
      <w:r>
        <w:rPr>
          <w:rFonts w:hint="eastAsia"/>
        </w:rPr>
        <w:t xml:space="preserve"> </w:t>
      </w:r>
      <w:r>
        <w:rPr>
          <w:b/>
          <w:bCs/>
        </w:rPr>
        <w:t>Figure S5</w:t>
      </w:r>
      <w:r>
        <w:t xml:space="preserve"> shows the dark </w:t>
      </w:r>
      <w:r>
        <w:rPr>
          <w:i/>
          <w:iCs/>
        </w:rPr>
        <w:t>J-V</w:t>
      </w:r>
      <w:r>
        <w:t xml:space="preserve"> curves for the devices. The current density at -1.0 V is defined as leakage current density.</w:t>
      </w:r>
      <w:r>
        <w:rPr>
          <w:vertAlign w:val="superscript"/>
        </w:rPr>
        <w:t>[47]</w:t>
      </w:r>
      <w:r>
        <w:t xml:space="preserve"> Obviously, the dark currents in devices with 3 cycles of ALD-Al</w:t>
      </w:r>
      <w:r>
        <w:rPr>
          <w:vertAlign w:val="subscript"/>
        </w:rPr>
        <w:t>2</w:t>
      </w:r>
      <w:r>
        <w:t>O</w:t>
      </w:r>
      <w:r>
        <w:rPr>
          <w:vertAlign w:val="subscript"/>
        </w:rPr>
        <w:t>3</w:t>
      </w:r>
      <w:r>
        <w:t xml:space="preserve"> exhibited lower reverse leakage currents compared with the control devices, which suggested effective passivation in the devices. </w:t>
      </w:r>
      <w:r>
        <w:rPr>
          <w:b/>
          <w:bCs/>
        </w:rPr>
        <w:t>Figure 4d</w:t>
      </w:r>
      <w:r>
        <w:t xml:space="preserve"> shows the external quantum efficiency (EQE) measurement results. All of the integrated photocurrents obtained from the EQE spectra agreed well with the results achieved from the </w:t>
      </w:r>
      <w:r>
        <w:rPr>
          <w:i/>
          <w:iCs/>
        </w:rPr>
        <w:t>J-V</w:t>
      </w:r>
      <w:r>
        <w:t xml:space="preserve"> curves (with less than 5% mismatch). We also found the incorporation of ALD</w:t>
      </w:r>
      <w:bookmarkStart w:id="25" w:name="_Hlk111216533"/>
      <w:r>
        <w:t>-Al</w:t>
      </w:r>
      <w:r>
        <w:rPr>
          <w:vertAlign w:val="subscript"/>
        </w:rPr>
        <w:t>2</w:t>
      </w:r>
      <w:r>
        <w:t>O</w:t>
      </w:r>
      <w:r>
        <w:rPr>
          <w:vertAlign w:val="subscript"/>
        </w:rPr>
        <w:t>3</w:t>
      </w:r>
      <w:bookmarkEnd w:id="25"/>
      <w:r>
        <w:t xml:space="preserve"> layers had not affected the spectral shape of EQE while improving the device efficiency.</w:t>
      </w:r>
    </w:p>
    <w:p>
      <w:pPr>
        <w:pStyle w:val="33"/>
        <w:rPr>
          <w:color w:val="FF0000"/>
        </w:rPr>
      </w:pPr>
      <w:r>
        <w:t xml:space="preserve">2.3. </w:t>
      </w:r>
      <w:r>
        <w:rPr>
          <w:bCs/>
          <w:lang w:val="de-DE"/>
        </w:rPr>
        <w:t>Charge Separation, Transport and Recombination</w:t>
      </w:r>
    </w:p>
    <w:p>
      <w:pPr>
        <w:pStyle w:val="37"/>
        <w:spacing w:line="480" w:lineRule="auto"/>
        <w:ind w:firstLine="480" w:firstLineChars="200"/>
        <w:jc w:val="both"/>
      </w:pPr>
      <w:r>
        <w:t>To evaluate exciton dissociation and charge generation efficiency, the relation of photocurrent density</w:t>
      </w:r>
      <w:r>
        <w:rPr>
          <w:i/>
          <w:iCs/>
        </w:rPr>
        <w:t xml:space="preserve"> </w:t>
      </w:r>
      <w:r>
        <w:t>(</w:t>
      </w:r>
      <m:oMath>
        <m:sSub>
          <m:sSubPr>
            <m:ctrlPr>
              <w:rPr>
                <w:rFonts w:ascii="Cambria Math" w:hAnsi="Cambria Math"/>
              </w:rPr>
            </m:ctrlPr>
          </m:sSubPr>
          <m:e>
            <m:r>
              <m:rPr/>
              <w:rPr>
                <w:rFonts w:ascii="Cambria Math" w:hAnsi="Cambria Math"/>
              </w:rPr>
              <m:t>J</m:t>
            </m:r>
            <m:ctrlPr>
              <w:rPr>
                <w:rFonts w:ascii="Cambria Math" w:hAnsi="Cambria Math"/>
              </w:rPr>
            </m:ctrlPr>
          </m:e>
          <m:sub>
            <m:r>
              <m:rPr/>
              <w:rPr>
                <w:rFonts w:ascii="Cambria Math" w:hAnsi="Cambria Math"/>
              </w:rPr>
              <m:t>pℎ</m:t>
            </m:r>
            <m:ctrlPr>
              <w:rPr>
                <w:rFonts w:ascii="Cambria Math" w:hAnsi="Cambria Math"/>
              </w:rPr>
            </m:ctrlPr>
          </m:sub>
        </m:sSub>
      </m:oMath>
      <w:r>
        <w:t>) with respect to effective voltage (</w:t>
      </w:r>
      <m:oMath>
        <m:sSub>
          <m:sSubPr>
            <m:ctrlPr>
              <w:rPr>
                <w:rFonts w:ascii="Cambria Math" w:hAnsi="Cambria Math"/>
              </w:rPr>
            </m:ctrlPr>
          </m:sSubPr>
          <m:e>
            <m:r>
              <m:rPr/>
              <w:rPr>
                <w:rFonts w:ascii="Cambria Math" w:hAnsi="Cambria Math"/>
              </w:rPr>
              <m:t>V</m:t>
            </m:r>
            <m:ctrlPr>
              <w:rPr>
                <w:rFonts w:ascii="Cambria Math" w:hAnsi="Cambria Math"/>
              </w:rPr>
            </m:ctrlPr>
          </m:e>
          <m:sub>
            <m:r>
              <m:rPr/>
              <w:rPr>
                <w:rFonts w:ascii="Cambria Math" w:hAnsi="Cambria Math"/>
              </w:rPr>
              <m:t>eff</m:t>
            </m:r>
            <m:ctrlPr>
              <w:rPr>
                <w:rFonts w:ascii="Cambria Math" w:hAnsi="Cambria Math"/>
              </w:rPr>
            </m:ctrlPr>
          </m:sub>
        </m:sSub>
      </m:oMath>
      <w:r>
        <w:t xml:space="preserve">) of the devices incorporated with </w:t>
      </w:r>
      <w:bookmarkStart w:id="26" w:name="_Hlk111295538"/>
      <w:r>
        <w:t>ALD-Al</w:t>
      </w:r>
      <w:r>
        <w:rPr>
          <w:vertAlign w:val="subscript"/>
        </w:rPr>
        <w:t>2</w:t>
      </w:r>
      <w:r>
        <w:t>O</w:t>
      </w:r>
      <w:r>
        <w:rPr>
          <w:vertAlign w:val="subscript"/>
        </w:rPr>
        <w:t>3</w:t>
      </w:r>
      <w:bookmarkEnd w:id="26"/>
      <w:r>
        <w:t xml:space="preserve"> layers was also analyzed. As shown in </w:t>
      </w:r>
      <w:r>
        <w:rPr>
          <w:b/>
          <w:bCs/>
        </w:rPr>
        <w:t>Figure 5a</w:t>
      </w:r>
      <w:r>
        <w:t xml:space="preserve">, </w:t>
      </w:r>
      <m:oMath>
        <m:sSub>
          <w:bookmarkStart w:id="27" w:name="_Hlk80004016"/>
          <m:sSubPr>
            <m:ctrlPr>
              <w:rPr>
                <w:rFonts w:ascii="Cambria Math" w:hAnsi="Cambria Math"/>
              </w:rPr>
            </m:ctrlPr>
          </m:sSubPr>
          <m:e>
            <m:r>
              <m:rPr/>
              <w:rPr>
                <w:rFonts w:ascii="Cambria Math" w:hAnsi="Cambria Math"/>
              </w:rPr>
              <m:t>J</m:t>
            </m:r>
            <m:ctrlPr>
              <w:rPr>
                <w:rFonts w:ascii="Cambria Math" w:hAnsi="Cambria Math"/>
              </w:rPr>
            </m:ctrlPr>
          </m:e>
          <m:sub>
            <m:r>
              <m:rPr/>
              <w:rPr>
                <w:rFonts w:ascii="Cambria Math" w:hAnsi="Cambria Math"/>
              </w:rPr>
              <m:t>pℎ</m:t>
            </m:r>
            <w:bookmarkEnd w:id="27"/>
            <m:ctrlPr>
              <w:rPr>
                <w:rFonts w:ascii="Cambria Math" w:hAnsi="Cambria Math"/>
              </w:rPr>
            </m:ctrlPr>
          </m:sub>
        </m:sSub>
      </m:oMath>
      <w:r>
        <w:t xml:space="preserve"> can be estimated as</w:t>
      </w:r>
      <w:bookmarkStart w:id="28" w:name="_Hlk80003416"/>
      <w:r>
        <w:t xml:space="preserve"> </w:t>
      </w:r>
      <m:oMath>
        <m:sSub>
          <m:sSubPr>
            <m:ctrlPr>
              <w:rPr>
                <w:rFonts w:ascii="Cambria Math" w:hAnsi="Cambria Math"/>
              </w:rPr>
            </m:ctrlPr>
          </m:sSubPr>
          <m:e>
            <m:r>
              <m:rPr/>
              <w:rPr>
                <w:rFonts w:ascii="Cambria Math" w:hAnsi="Cambria Math"/>
              </w:rPr>
              <m:t>J</m:t>
            </m:r>
            <m:ctrlPr>
              <w:rPr>
                <w:rFonts w:ascii="Cambria Math" w:hAnsi="Cambria Math"/>
              </w:rPr>
            </m:ctrlPr>
          </m:e>
          <m:sub>
            <m:r>
              <m:rPr/>
              <w:rPr>
                <w:rFonts w:ascii="Cambria Math" w:hAnsi="Cambria Math"/>
              </w:rPr>
              <m:t>L</m:t>
            </m:r>
            <m:ctrlPr>
              <w:rPr>
                <w:rFonts w:ascii="Cambria Math" w:hAnsi="Cambria Math"/>
              </w:rPr>
            </m:ctrlPr>
            <w:bookmarkEnd w:id="28"/>
          </m:sub>
        </m:sSub>
        <m:sSub>
          <m:sSubPr>
            <m:ctrlPr>
              <w:rPr>
                <w:rFonts w:ascii="Cambria Math" w:hAnsi="Cambria Math"/>
              </w:rPr>
            </m:ctrlPr>
          </m:sSubPr>
          <m:e>
            <m:r>
              <m:rPr/>
              <w:rPr>
                <w:rFonts w:ascii="Cambria Math" w:hAnsi="Cambria Math"/>
              </w:rPr>
              <m:t>−J</m:t>
            </m:r>
            <m:ctrlPr>
              <w:rPr>
                <w:rFonts w:ascii="Cambria Math" w:hAnsi="Cambria Math"/>
              </w:rPr>
            </m:ctrlPr>
          </m:e>
          <m:sub>
            <m:r>
              <m:rPr/>
              <w:rPr>
                <w:rFonts w:ascii="Cambria Math" w:hAnsi="Cambria Math"/>
              </w:rPr>
              <m:t>D</m:t>
            </m:r>
            <m:ctrlPr>
              <w:rPr>
                <w:rFonts w:ascii="Cambria Math" w:hAnsi="Cambria Math"/>
              </w:rPr>
            </m:ctrlPr>
          </m:sub>
        </m:sSub>
      </m:oMath>
      <w:r>
        <w:t xml:space="preserve">, where </w:t>
      </w:r>
      <m:oMath>
        <m:sSub>
          <m:sSubPr>
            <m:ctrlPr>
              <w:rPr>
                <w:rFonts w:ascii="Cambria Math" w:hAnsi="Cambria Math"/>
              </w:rPr>
            </m:ctrlPr>
          </m:sSubPr>
          <m:e>
            <m:r>
              <m:rPr/>
              <w:rPr>
                <w:rFonts w:ascii="Cambria Math" w:hAnsi="Cambria Math"/>
              </w:rPr>
              <m:t>J</m:t>
            </m:r>
            <m:ctrlPr>
              <w:rPr>
                <w:rFonts w:ascii="Cambria Math" w:hAnsi="Cambria Math"/>
              </w:rPr>
            </m:ctrlPr>
          </m:e>
          <m:sub>
            <m:r>
              <m:rPr/>
              <w:rPr>
                <w:rFonts w:ascii="Cambria Math" w:hAnsi="Cambria Math"/>
              </w:rPr>
              <m:t>L</m:t>
            </m:r>
            <m:ctrlPr>
              <w:rPr>
                <w:rFonts w:ascii="Cambria Math" w:hAnsi="Cambria Math"/>
              </w:rPr>
            </m:ctrlPr>
          </m:sub>
        </m:sSub>
      </m:oMath>
      <w:r>
        <w:t xml:space="preserve"> and </w:t>
      </w:r>
      <m:oMath>
        <m:sSub>
          <m:sSubPr>
            <m:ctrlPr>
              <w:rPr>
                <w:rFonts w:ascii="Cambria Math" w:hAnsi="Cambria Math"/>
              </w:rPr>
            </m:ctrlPr>
          </m:sSubPr>
          <m:e>
            <m:r>
              <m:rPr/>
              <w:rPr>
                <w:rFonts w:ascii="Cambria Math" w:hAnsi="Cambria Math"/>
              </w:rPr>
              <m:t>J</m:t>
            </m:r>
            <m:ctrlPr>
              <w:rPr>
                <w:rFonts w:ascii="Cambria Math" w:hAnsi="Cambria Math"/>
              </w:rPr>
            </m:ctrlPr>
          </m:e>
          <m:sub>
            <m:r>
              <m:rPr/>
              <w:rPr>
                <w:rFonts w:ascii="Cambria Math" w:hAnsi="Cambria Math"/>
              </w:rPr>
              <m:t>D</m:t>
            </m:r>
            <m:ctrlPr>
              <w:rPr>
                <w:rFonts w:ascii="Cambria Math" w:hAnsi="Cambria Math"/>
              </w:rPr>
            </m:ctrlPr>
          </m:sub>
        </m:sSub>
      </m:oMath>
      <w:r>
        <w:t xml:space="preserve"> represent the current densities measured separately under light illumination at AM 1.5G and in dark.</w:t>
      </w:r>
      <w:r>
        <w:rPr>
          <w:vertAlign w:val="superscript"/>
        </w:rPr>
        <w:t>[48, 49]</w:t>
      </w:r>
      <w:r>
        <w:t xml:space="preserve"> </w:t>
      </w:r>
      <m:oMath>
        <m:sSub>
          <m:sSubPr>
            <m:ctrlPr>
              <w:rPr>
                <w:rFonts w:ascii="Cambria Math" w:hAnsi="Cambria Math"/>
              </w:rPr>
            </m:ctrlPr>
          </m:sSubPr>
          <m:e>
            <m:r>
              <m:rPr/>
              <w:rPr>
                <w:rFonts w:ascii="Cambria Math" w:hAnsi="Cambria Math"/>
              </w:rPr>
              <m:t>V</m:t>
            </m:r>
            <m:ctrlPr>
              <w:rPr>
                <w:rFonts w:ascii="Cambria Math" w:hAnsi="Cambria Math"/>
              </w:rPr>
            </m:ctrlPr>
          </m:e>
          <m:sub>
            <m:r>
              <m:rPr/>
              <w:rPr>
                <w:rFonts w:ascii="Cambria Math" w:hAnsi="Cambria Math"/>
              </w:rPr>
              <m:t>eff</m:t>
            </m:r>
            <m:ctrlPr>
              <w:rPr>
                <w:rFonts w:ascii="Cambria Math" w:hAnsi="Cambria Math"/>
              </w:rPr>
            </m:ctrlPr>
          </m:sub>
        </m:sSub>
      </m:oMath>
      <w:r>
        <w:t xml:space="preserve"> is determined by </w:t>
      </w:r>
      <m:oMath>
        <m:sSub>
          <m:sSubPr>
            <m:ctrlPr>
              <w:rPr>
                <w:rFonts w:ascii="Cambria Math" w:hAnsi="Cambria Math"/>
              </w:rPr>
            </m:ctrlPr>
          </m:sSubPr>
          <m:e>
            <m:r>
              <m:rPr/>
              <w:rPr>
                <w:rFonts w:ascii="Cambria Math" w:hAnsi="Cambria Math"/>
              </w:rPr>
              <m:t>V</m:t>
            </m:r>
            <m:ctrlPr>
              <w:rPr>
                <w:rFonts w:ascii="Cambria Math" w:hAnsi="Cambria Math"/>
              </w:rPr>
            </m:ctrlPr>
          </m:e>
          <m:sub>
            <m:r>
              <m:rPr>
                <m:sty m:val="p"/>
              </m:rPr>
              <w:rPr>
                <w:rFonts w:ascii="Cambria Math" w:hAnsi="Cambria Math"/>
              </w:rPr>
              <m:t>0</m:t>
            </m:r>
            <m:ctrlPr>
              <w:rPr>
                <w:rFonts w:ascii="Cambria Math" w:hAnsi="Cambria Math"/>
              </w:rPr>
            </m:ctrlPr>
          </m:sub>
        </m:sSub>
        <m:r>
          <m:rPr>
            <m:sty m:val="p"/>
          </m:rPr>
          <w:rPr>
            <w:rFonts w:ascii="Cambria Math" w:hAnsi="Cambria Math"/>
          </w:rPr>
          <m:t>−</m:t>
        </m:r>
        <m:sSub>
          <m:sSubPr>
            <m:ctrlPr>
              <w:rPr>
                <w:rFonts w:ascii="Cambria Math" w:hAnsi="Cambria Math"/>
              </w:rPr>
            </m:ctrlPr>
          </m:sSubPr>
          <w:bookmarkStart w:id="29" w:name="_Hlk80004052"/>
          <m:e>
            <m:r>
              <m:rPr/>
              <w:rPr>
                <w:rFonts w:ascii="Cambria Math" w:hAnsi="Cambria Math"/>
              </w:rPr>
              <m:t>V</m:t>
            </m:r>
            <m:ctrlPr>
              <w:rPr>
                <w:rFonts w:ascii="Cambria Math" w:hAnsi="Cambria Math"/>
              </w:rPr>
            </m:ctrlPr>
          </m:e>
          <m:sub>
            <m:r>
              <m:rPr/>
              <w:rPr>
                <w:rFonts w:ascii="Cambria Math" w:hAnsi="Cambria Math"/>
              </w:rPr>
              <m:t>bias</m:t>
            </m:r>
            <w:bookmarkEnd w:id="29"/>
            <m:ctrlPr>
              <w:rPr>
                <w:rFonts w:ascii="Cambria Math" w:hAnsi="Cambria Math"/>
              </w:rPr>
            </m:ctrlPr>
          </m:sub>
        </m:sSub>
      </m:oMath>
      <w:r>
        <w:t xml:space="preserve">, where </w:t>
      </w:r>
      <m:oMath>
        <m:sSub>
          <m:sSubPr>
            <m:ctrlPr>
              <w:rPr>
                <w:rFonts w:ascii="Cambria Math" w:hAnsi="Cambria Math"/>
              </w:rPr>
            </m:ctrlPr>
          </m:sSubPr>
          <m:e>
            <m:r>
              <m:rPr/>
              <w:rPr>
                <w:rFonts w:ascii="Cambria Math" w:hAnsi="Cambria Math"/>
              </w:rPr>
              <m:t>V</m:t>
            </m:r>
            <m:ctrlPr>
              <w:rPr>
                <w:rFonts w:ascii="Cambria Math" w:hAnsi="Cambria Math"/>
              </w:rPr>
            </m:ctrlPr>
          </m:e>
          <m:sub>
            <m:r>
              <m:rPr>
                <m:sty m:val="p"/>
              </m:rPr>
              <w:rPr>
                <w:rFonts w:ascii="Cambria Math" w:hAnsi="Cambria Math"/>
              </w:rPr>
              <m:t>0</m:t>
            </m:r>
            <m:ctrlPr>
              <w:rPr>
                <w:rFonts w:ascii="Cambria Math" w:hAnsi="Cambria Math"/>
              </w:rPr>
            </m:ctrlPr>
          </m:sub>
        </m:sSub>
      </m:oMath>
      <w:r>
        <w:t xml:space="preserve"> is the voltage when </w:t>
      </w:r>
      <m:oMath>
        <m:sSub>
          <m:sSubPr>
            <m:ctrlPr>
              <w:rPr>
                <w:rFonts w:ascii="Cambria Math" w:hAnsi="Cambria Math"/>
              </w:rPr>
            </m:ctrlPr>
          </m:sSubPr>
          <m:e>
            <m:r>
              <m:rPr/>
              <w:rPr>
                <w:rFonts w:ascii="Cambria Math" w:hAnsi="Cambria Math"/>
              </w:rPr>
              <m:t>J</m:t>
            </m:r>
            <m:ctrlPr>
              <w:rPr>
                <w:rFonts w:ascii="Cambria Math" w:hAnsi="Cambria Math"/>
              </w:rPr>
            </m:ctrlPr>
          </m:e>
          <m:sub>
            <m:r>
              <m:rPr/>
              <w:rPr>
                <w:rFonts w:ascii="Cambria Math" w:hAnsi="Cambria Math"/>
              </w:rPr>
              <m:t>pℎ</m:t>
            </m:r>
            <m:ctrlPr>
              <w:rPr>
                <w:rFonts w:ascii="Cambria Math" w:hAnsi="Cambria Math"/>
              </w:rPr>
            </m:ctrlPr>
          </m:sub>
        </m:sSub>
        <m:r>
          <m:rPr>
            <m:sty m:val="p"/>
          </m:rPr>
          <w:rPr>
            <w:rFonts w:ascii="Cambria Math" w:hAnsi="Cambria Math"/>
          </w:rPr>
          <m:t>=0</m:t>
        </m:r>
      </m:oMath>
      <w:r>
        <w:t xml:space="preserve"> mAcm</w:t>
      </w:r>
      <w:r>
        <w:rPr>
          <w:vertAlign w:val="superscript"/>
        </w:rPr>
        <w:t>-2</w:t>
      </w:r>
      <w:r>
        <w:t xml:space="preserve"> and </w:t>
      </w:r>
      <m:oMath>
        <m:sSub>
          <m:sSubPr>
            <m:ctrlPr>
              <w:rPr>
                <w:rFonts w:ascii="Cambria Math" w:hAnsi="Cambria Math"/>
              </w:rPr>
            </m:ctrlPr>
          </m:sSubPr>
          <m:e>
            <m:r>
              <m:rPr/>
              <w:rPr>
                <w:rFonts w:ascii="Cambria Math" w:hAnsi="Cambria Math"/>
              </w:rPr>
              <m:t>V</m:t>
            </m:r>
            <m:ctrlPr>
              <w:rPr>
                <w:rFonts w:ascii="Cambria Math" w:hAnsi="Cambria Math"/>
              </w:rPr>
            </m:ctrlPr>
          </m:e>
          <m:sub>
            <m:r>
              <m:rPr/>
              <w:rPr>
                <w:rFonts w:ascii="Cambria Math" w:hAnsi="Cambria Math"/>
              </w:rPr>
              <m:t>bias</m:t>
            </m:r>
            <m:ctrlPr>
              <w:rPr>
                <w:rFonts w:ascii="Cambria Math" w:hAnsi="Cambria Math"/>
              </w:rPr>
            </m:ctrlPr>
          </m:sub>
        </m:sSub>
      </m:oMath>
      <w:r>
        <w:t xml:space="preserve"> is the applied voltage. The saturation current density (</w:t>
      </w:r>
      <m:oMath>
        <m:sSub>
          <m:sSubPr>
            <m:ctrlPr>
              <w:rPr>
                <w:rFonts w:ascii="Cambria Math" w:hAnsi="Cambria Math"/>
              </w:rPr>
            </m:ctrlPr>
          </m:sSubPr>
          <m:e>
            <w:bookmarkStart w:id="30" w:name="_Hlk111295941"/>
            <m:r>
              <m:rPr/>
              <w:rPr>
                <w:rFonts w:ascii="Cambria Math" w:hAnsi="Cambria Math"/>
              </w:rPr>
              <m:t>J</m:t>
            </m:r>
            <m:ctrlPr>
              <w:rPr>
                <w:rFonts w:ascii="Cambria Math" w:hAnsi="Cambria Math"/>
              </w:rPr>
            </m:ctrlPr>
          </m:e>
          <m:sub>
            <m:r>
              <m:rPr/>
              <w:rPr>
                <w:rFonts w:ascii="Cambria Math" w:hAnsi="Cambria Math"/>
              </w:rPr>
              <m:t>sat</m:t>
            </m:r>
            <w:bookmarkEnd w:id="30"/>
            <m:ctrlPr>
              <w:rPr>
                <w:rFonts w:ascii="Cambria Math" w:hAnsi="Cambria Math"/>
              </w:rPr>
            </m:ctrlPr>
          </m:sub>
        </m:sSub>
      </m:oMath>
      <w:r>
        <w:rPr>
          <w:rFonts w:hint="eastAsia"/>
        </w:rPr>
        <w:t xml:space="preserve">) </w:t>
      </w:r>
      <w:r>
        <w:t xml:space="preserve">is defined as the photocurrent when all of the photogenerated excitons are dissociated into free charges and collected by the electrodes at a high </w:t>
      </w:r>
      <m:oMath>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eff</m:t>
            </m:r>
            <m:ctrlPr>
              <w:rPr>
                <w:rFonts w:ascii="Cambria Math" w:hAnsi="Cambria Math"/>
                <w:i/>
              </w:rPr>
            </m:ctrlPr>
          </m:sub>
        </m:sSub>
      </m:oMath>
      <w:r>
        <w:t xml:space="preserve">, i.e., when </w:t>
      </w:r>
      <m:oMath>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eff</m:t>
            </m:r>
            <m:ctrlPr>
              <w:rPr>
                <w:rFonts w:ascii="Cambria Math" w:hAnsi="Cambria Math"/>
                <w:i/>
              </w:rPr>
            </m:ctrlPr>
          </m:sub>
        </m:sSub>
        <m:r>
          <m:rPr/>
          <w:rPr>
            <w:rFonts w:hint="eastAsia" w:ascii="Cambria Math" w:hAnsi="Cambria Math"/>
          </w:rPr>
          <m:t>≥</m:t>
        </m:r>
        <m:r>
          <m:rPr/>
          <w:rPr>
            <w:rFonts w:ascii="Cambria Math" w:hAnsi="Cambria Math"/>
          </w:rPr>
          <m:t>2V</m:t>
        </m:r>
      </m:oMath>
      <w:r>
        <w:t>.</w:t>
      </w:r>
      <w:r>
        <w:rPr>
          <w:rFonts w:hint="eastAsia"/>
        </w:rPr>
        <w:t xml:space="preserve"> </w:t>
      </w:r>
      <w:r>
        <w:t>The exciton dissociation possibility (</w:t>
      </w:r>
      <w:bookmarkStart w:id="31" w:name="_Hlk80012815"/>
      <m:oMath>
        <m:sSub>
          <m:sSubPr>
            <m:ctrlPr>
              <w:rPr>
                <w:rFonts w:ascii="Cambria Math" w:hAnsi="Cambria Math"/>
                <w:i/>
              </w:rPr>
            </m:ctrlPr>
          </m:sSubPr>
          <m:e>
            <m:r>
              <m:rPr/>
              <w:rPr>
                <w:rFonts w:ascii="Cambria Math" w:hAnsi="Cambria Math"/>
              </w:rPr>
              <m:t>P</m:t>
            </m:r>
            <m:ctrlPr>
              <w:rPr>
                <w:rFonts w:ascii="Cambria Math" w:hAnsi="Cambria Math"/>
                <w:i/>
              </w:rPr>
            </m:ctrlPr>
          </m:e>
          <m:sub>
            <m:r>
              <m:rPr/>
              <w:rPr>
                <w:rFonts w:ascii="Cambria Math" w:hAnsi="Cambria Math"/>
              </w:rPr>
              <m:t>diss</m:t>
            </m:r>
            <w:bookmarkEnd w:id="31"/>
            <m:ctrlPr>
              <w:rPr>
                <w:rFonts w:ascii="Cambria Math" w:hAnsi="Cambria Math"/>
                <w:i/>
              </w:rPr>
            </m:ctrlPr>
          </m:sub>
        </m:sSub>
      </m:oMath>
      <w:r>
        <w:t xml:space="preserve">) can be calculated as </w:t>
      </w:r>
      <m:oMath>
        <m:sSubSup>
          <m:sSubSupPr>
            <m:ctrlPr>
              <w:rPr>
                <w:rFonts w:ascii="Cambria Math" w:hAnsi="Cambria Math"/>
                <w:i/>
              </w:rPr>
            </m:ctrlPr>
          </m:sSubSupPr>
          <m:e>
            <m:r>
              <m:rPr/>
              <w:rPr>
                <w:rFonts w:ascii="Cambria Math" w:hAnsi="Cambria Math"/>
              </w:rPr>
              <m:t>J</m:t>
            </m:r>
            <m:ctrlPr>
              <w:rPr>
                <w:rFonts w:ascii="Cambria Math" w:hAnsi="Cambria Math"/>
                <w:i/>
              </w:rPr>
            </m:ctrlPr>
          </m:e>
          <m:sub>
            <m:r>
              <m:rPr/>
              <w:rPr>
                <w:rFonts w:ascii="Cambria Math" w:hAnsi="Cambria Math"/>
              </w:rPr>
              <m:t>pℎ</m:t>
            </m:r>
            <m:ctrlPr>
              <w:rPr>
                <w:rFonts w:ascii="Cambria Math" w:hAnsi="Cambria Math"/>
                <w:i/>
              </w:rPr>
            </m:ctrlPr>
          </m:sub>
          <m:sup>
            <m:r>
              <m:rPr/>
              <w:rPr>
                <w:rFonts w:hint="eastAsia" w:ascii="Cambria Math" w:hAnsi="Cambria Math"/>
              </w:rPr>
              <m:t>∗</m:t>
            </m:r>
            <m:ctrlPr>
              <w:rPr>
                <w:rFonts w:ascii="Cambria Math" w:hAnsi="Cambria Math"/>
                <w:i/>
              </w:rPr>
            </m:ctrlPr>
          </m:sup>
        </m:sSubSup>
        <m:r>
          <m:rPr/>
          <w:rPr>
            <w:rFonts w:ascii="Cambria Math" w:hAnsi="Cambria Math"/>
          </w:rPr>
          <m:t>/</m:t>
        </m:r>
        <w:bookmarkStart w:id="32" w:name="_Hlk82902910"/>
        <m:sSub>
          <m:sSubPr>
            <m:ctrlPr>
              <w:rPr>
                <w:rFonts w:ascii="Cambria Math" w:hAnsi="Cambria Math"/>
                <w:i/>
              </w:rPr>
            </m:ctrlPr>
          </m:sSubPr>
          <m:e>
            <m:r>
              <m:rPr/>
              <w:rPr>
                <w:rFonts w:ascii="Cambria Math" w:hAnsi="Cambria Math"/>
              </w:rPr>
              <m:t>J</m:t>
            </m:r>
            <m:ctrlPr>
              <w:rPr>
                <w:rFonts w:ascii="Cambria Math" w:hAnsi="Cambria Math"/>
                <w:i/>
              </w:rPr>
            </m:ctrlPr>
          </m:e>
          <m:sub>
            <m:r>
              <m:rPr/>
              <w:rPr>
                <w:rFonts w:ascii="Cambria Math" w:hAnsi="Cambria Math"/>
              </w:rPr>
              <m:t>sat</m:t>
            </m:r>
            <w:bookmarkEnd w:id="32"/>
            <m:ctrlPr>
              <w:rPr>
                <w:rFonts w:ascii="Cambria Math" w:hAnsi="Cambria Math"/>
                <w:i/>
              </w:rPr>
            </m:ctrlPr>
          </m:sub>
        </m:sSub>
      </m:oMath>
      <w:r>
        <w:rPr>
          <w:rFonts w:hint="eastAsia"/>
        </w:rPr>
        <w:t>,</w:t>
      </w:r>
      <w:r>
        <w:t xml:space="preserve"> where </w:t>
      </w:r>
      <m:oMath>
        <m:sSubSup>
          <m:sSubSupPr>
            <m:ctrlPr>
              <w:rPr>
                <w:rFonts w:ascii="Cambria Math" w:hAnsi="Cambria Math"/>
                <w:i/>
              </w:rPr>
            </m:ctrlPr>
          </m:sSubSupPr>
          <m:e>
            <m:r>
              <m:rPr/>
              <w:rPr>
                <w:rFonts w:ascii="Cambria Math" w:hAnsi="Cambria Math"/>
              </w:rPr>
              <m:t>J</m:t>
            </m:r>
            <m:ctrlPr>
              <w:rPr>
                <w:rFonts w:ascii="Cambria Math" w:hAnsi="Cambria Math"/>
                <w:i/>
              </w:rPr>
            </m:ctrlPr>
          </m:e>
          <m:sub>
            <m:r>
              <m:rPr/>
              <w:rPr>
                <w:rFonts w:ascii="Cambria Math" w:hAnsi="Cambria Math"/>
              </w:rPr>
              <m:t>pℎ</m:t>
            </m:r>
            <m:ctrlPr>
              <w:rPr>
                <w:rFonts w:ascii="Cambria Math" w:hAnsi="Cambria Math"/>
                <w:i/>
              </w:rPr>
            </m:ctrlPr>
          </m:sub>
          <m:sup>
            <m:r>
              <m:rPr/>
              <w:rPr>
                <w:rFonts w:hint="eastAsia" w:ascii="Cambria Math" w:hAnsi="Cambria Math"/>
              </w:rPr>
              <m:t>∗</m:t>
            </m:r>
            <m:ctrlPr>
              <w:rPr>
                <w:rFonts w:ascii="Cambria Math" w:hAnsi="Cambria Math"/>
                <w:i/>
              </w:rPr>
            </m:ctrlPr>
          </m:sup>
        </m:sSubSup>
      </m:oMath>
      <w:r>
        <w:rPr>
          <w:rFonts w:hint="eastAsia"/>
        </w:rPr>
        <w:t xml:space="preserve"> </w:t>
      </w:r>
      <w:r>
        <w:t xml:space="preserve">is </w:t>
      </w:r>
      <m:oMath>
        <m:sSub>
          <m:sSubPr>
            <m:ctrlPr>
              <w:rPr>
                <w:rFonts w:ascii="Cambria Math" w:hAnsi="Cambria Math"/>
              </w:rPr>
            </m:ctrlPr>
          </m:sSubPr>
          <m:e>
            <m:r>
              <m:rPr/>
              <w:rPr>
                <w:rFonts w:ascii="Cambria Math" w:hAnsi="Cambria Math"/>
              </w:rPr>
              <m:t>J</m:t>
            </m:r>
            <m:ctrlPr>
              <w:rPr>
                <w:rFonts w:ascii="Cambria Math" w:hAnsi="Cambria Math"/>
              </w:rPr>
            </m:ctrlPr>
          </m:e>
          <m:sub>
            <m:r>
              <m:rPr/>
              <w:rPr>
                <w:rFonts w:ascii="Cambria Math" w:hAnsi="Cambria Math"/>
              </w:rPr>
              <m:t>pℎ</m:t>
            </m:r>
            <m:ctrlPr>
              <w:rPr>
                <w:rFonts w:ascii="Cambria Math" w:hAnsi="Cambria Math"/>
              </w:rPr>
            </m:ctrlPr>
          </m:sub>
        </m:sSub>
      </m:oMath>
      <w:r>
        <w:rPr>
          <w:rFonts w:hint="eastAsia"/>
        </w:rPr>
        <w:t xml:space="preserve"> </w:t>
      </w:r>
      <w:r>
        <w:t xml:space="preserve">under short-circuit condition. </w:t>
      </w:r>
      <w:r>
        <w:rPr>
          <w:b/>
          <w:bCs/>
        </w:rPr>
        <w:t xml:space="preserve">Table S2 </w:t>
      </w:r>
      <w:r>
        <w:t>summarizes the detailed exciton dissociation and charge collection efficiencies of the OSCs. Notably, the devices with 3 cycles of ALD-Al</w:t>
      </w:r>
      <w:r>
        <w:rPr>
          <w:vertAlign w:val="subscript"/>
        </w:rPr>
        <w:t>2</w:t>
      </w:r>
      <w:r>
        <w:t>O</w:t>
      </w:r>
      <w:r>
        <w:rPr>
          <w:vertAlign w:val="subscript"/>
        </w:rPr>
        <w:t>3</w:t>
      </w:r>
      <w:r>
        <w:t xml:space="preserve"> realized the highest exciton dissociation efficiency of 96.7%. They also achieved higher </w:t>
      </w:r>
      <m:oMath>
        <m:sSub>
          <w:bookmarkStart w:id="33" w:name="_Hlk111295985"/>
          <m:sSubPr>
            <m:ctrlPr>
              <w:rPr>
                <w:rFonts w:ascii="Cambria Math" w:hAnsi="Cambria Math"/>
              </w:rPr>
            </m:ctrlPr>
          </m:sSubPr>
          <m:e>
            <m:r>
              <m:rPr/>
              <w:rPr>
                <w:rFonts w:ascii="Cambria Math" w:hAnsi="Cambria Math"/>
              </w:rPr>
              <m:t>J</m:t>
            </m:r>
            <m:ctrlPr>
              <w:rPr>
                <w:rFonts w:ascii="Cambria Math" w:hAnsi="Cambria Math"/>
              </w:rPr>
            </m:ctrlPr>
          </m:e>
          <m:sub>
            <m:r>
              <m:rPr/>
              <w:rPr>
                <w:rFonts w:ascii="Cambria Math" w:hAnsi="Cambria Math"/>
              </w:rPr>
              <m:t>sat</m:t>
            </m:r>
            <w:bookmarkEnd w:id="33"/>
            <m:ctrlPr>
              <w:rPr>
                <w:rFonts w:ascii="Cambria Math" w:hAnsi="Cambria Math"/>
              </w:rPr>
            </m:ctrlPr>
          </m:sub>
        </m:sSub>
      </m:oMath>
      <w:r>
        <w:rPr>
          <w:rFonts w:hint="eastAsia"/>
        </w:rPr>
        <w:t xml:space="preserve"> </w:t>
      </w:r>
      <w:r>
        <w:t>than that of the control devices. However, the devices with 10 cycles ALD-Al</w:t>
      </w:r>
      <w:r>
        <w:rPr>
          <w:vertAlign w:val="subscript"/>
        </w:rPr>
        <w:t>2</w:t>
      </w:r>
      <w:r>
        <w:t>O</w:t>
      </w:r>
      <w:r>
        <w:rPr>
          <w:vertAlign w:val="subscript"/>
        </w:rPr>
        <w:t>3</w:t>
      </w:r>
      <w:r>
        <w:t xml:space="preserve"> showed a reduced </w:t>
      </w:r>
      <m:oMath>
        <m:sSub>
          <m:sSubPr>
            <m:ctrlPr>
              <w:rPr>
                <w:rFonts w:ascii="Cambria Math" w:hAnsi="Cambria Math"/>
              </w:rPr>
            </m:ctrlPr>
          </m:sSubPr>
          <m:e>
            <m:r>
              <m:rPr/>
              <w:rPr>
                <w:rFonts w:ascii="Cambria Math" w:hAnsi="Cambria Math"/>
              </w:rPr>
              <m:t>J</m:t>
            </m:r>
            <m:ctrlPr>
              <w:rPr>
                <w:rFonts w:ascii="Cambria Math" w:hAnsi="Cambria Math"/>
              </w:rPr>
            </m:ctrlPr>
          </m:e>
          <m:sub>
            <m:r>
              <m:rPr/>
              <w:rPr>
                <w:rFonts w:ascii="Cambria Math" w:hAnsi="Cambria Math"/>
              </w:rPr>
              <m:t>sat</m:t>
            </m:r>
            <m:ctrlPr>
              <w:rPr>
                <w:rFonts w:ascii="Cambria Math" w:hAnsi="Cambria Math"/>
              </w:rPr>
            </m:ctrlPr>
          </m:sub>
        </m:sSub>
      </m:oMath>
      <w:r>
        <w:t>, which indicates that Al</w:t>
      </w:r>
      <w:r>
        <w:rPr>
          <w:vertAlign w:val="subscript"/>
        </w:rPr>
        <w:t>2</w:t>
      </w:r>
      <w:r>
        <w:t>O</w:t>
      </w:r>
      <w:r>
        <w:rPr>
          <w:vertAlign w:val="subscript"/>
        </w:rPr>
        <w:t>3</w:t>
      </w:r>
      <w:r>
        <w:t xml:space="preserve"> layers may impede charge transport </w:t>
      </w:r>
      <w:bookmarkStart w:id="34" w:name="OLE_LINK3"/>
      <w:r>
        <w:t>when they reach a certain thickness</w:t>
      </w:r>
      <w:bookmarkEnd w:id="34"/>
      <w:r>
        <w:t>. Light-dependent</w:t>
      </w:r>
      <w:r>
        <w:rPr>
          <w:rFonts w:hint="eastAsia"/>
        </w:rPr>
        <w:t xml:space="preserve"> </w:t>
      </w:r>
      <m:oMath>
        <m:sSub>
          <m:sSubPr>
            <m:ctrlPr>
              <w:rPr>
                <w:rFonts w:ascii="Cambria Math" w:hAnsi="Cambria Math"/>
                <w:i/>
              </w:rPr>
            </m:ctrlPr>
          </m:sSubPr>
          <m:e>
            <w:bookmarkStart w:id="35" w:name="_Hlk111378281"/>
            <m:r>
              <m:rPr/>
              <w:rPr>
                <w:rFonts w:ascii="Cambria Math" w:hAnsi="Cambria Math"/>
              </w:rPr>
              <m:t>V</m:t>
            </m:r>
            <m:ctrlPr>
              <w:rPr>
                <w:rFonts w:ascii="Cambria Math" w:hAnsi="Cambria Math"/>
                <w:i/>
              </w:rPr>
            </m:ctrlPr>
          </m:e>
          <m:sub>
            <m:r>
              <m:rPr/>
              <w:rPr>
                <w:rFonts w:ascii="Cambria Math" w:hAnsi="Cambria Math"/>
              </w:rPr>
              <m:t>OC</m:t>
            </m:r>
            <w:bookmarkEnd w:id="35"/>
            <m:ctrlPr>
              <w:rPr>
                <w:rFonts w:ascii="Cambria Math" w:hAnsi="Cambria Math"/>
                <w:i/>
              </w:rPr>
            </m:ctrlPr>
          </m:sub>
        </m:sSub>
      </m:oMath>
      <w:r>
        <w:t xml:space="preserve"> and </w:t>
      </w:r>
      <m:oMath>
        <m:sSub>
          <m:sSubPr>
            <m:ctrlPr>
              <w:rPr>
                <w:rFonts w:ascii="Cambria Math" w:hAnsi="Cambria Math"/>
                <w:i/>
              </w:rPr>
            </m:ctrlPr>
          </m:sSubPr>
          <m:e>
            <m:r>
              <m:rPr/>
              <w:rPr>
                <w:rFonts w:ascii="Cambria Math" w:hAnsi="Cambria Math"/>
              </w:rPr>
              <m:t>J</m:t>
            </m:r>
            <m:ctrlPr>
              <w:rPr>
                <w:rFonts w:ascii="Cambria Math" w:hAnsi="Cambria Math"/>
                <w:i/>
              </w:rPr>
            </m:ctrlPr>
          </m:e>
          <m:sub>
            <m:r>
              <m:rPr/>
              <w:rPr>
                <w:rFonts w:ascii="Cambria Math" w:hAnsi="Cambria Math"/>
              </w:rPr>
              <m:t>SC</m:t>
            </m:r>
            <m:ctrlPr>
              <w:rPr>
                <w:rFonts w:ascii="Cambria Math" w:hAnsi="Cambria Math"/>
                <w:i/>
              </w:rPr>
            </m:ctrlPr>
          </m:sub>
        </m:sSub>
      </m:oMath>
      <w:r>
        <w:t xml:space="preserve"> were also measured to gain futher insights into the charge separation, transport and recombination properties of the devices</w:t>
      </w:r>
      <w:r>
        <w:rPr>
          <w:rFonts w:hint="eastAsia"/>
        </w:rPr>
        <w:t>.</w:t>
      </w:r>
      <w:r>
        <w:t xml:space="preserve"> The relationship of </w:t>
      </w:r>
      <m:oMath>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OC</m:t>
            </m:r>
            <m:ctrlPr>
              <w:rPr>
                <w:rFonts w:ascii="Cambria Math" w:hAnsi="Cambria Math"/>
                <w:i/>
              </w:rPr>
            </m:ctrlPr>
          </m:sub>
        </m:sSub>
      </m:oMath>
      <w:r>
        <w:rPr>
          <w:rFonts w:hint="eastAsia"/>
        </w:rPr>
        <w:t xml:space="preserve"> </w:t>
      </w:r>
      <w:r>
        <w:t xml:space="preserve">versus </w:t>
      </w:r>
      <m:oMath>
        <m:sSub>
          <m:sSubPr>
            <m:ctrlPr>
              <w:rPr>
                <w:rFonts w:ascii="Cambria Math" w:hAnsi="Cambria Math"/>
                <w:i/>
              </w:rPr>
            </m:ctrlPr>
          </m:sSubPr>
          <m:e>
            <m:r>
              <m:rPr/>
              <w:rPr>
                <w:rFonts w:ascii="Cambria Math" w:hAnsi="Cambria Math"/>
              </w:rPr>
              <m:t>P</m:t>
            </m:r>
            <m:ctrlPr>
              <w:rPr>
                <w:rFonts w:ascii="Cambria Math" w:hAnsi="Cambria Math"/>
                <w:i/>
              </w:rPr>
            </m:ctrlPr>
          </m:e>
          <m:sub>
            <m:r>
              <m:rPr/>
              <w:rPr>
                <w:rFonts w:ascii="Cambria Math" w:hAnsi="Cambria Math"/>
              </w:rPr>
              <m:t>ligℎt</m:t>
            </m:r>
            <m:ctrlPr>
              <w:rPr>
                <w:rFonts w:ascii="Cambria Math" w:hAnsi="Cambria Math"/>
                <w:i/>
              </w:rPr>
            </m:ctrlPr>
          </m:sub>
        </m:sSub>
      </m:oMath>
      <w:r>
        <w:rPr>
          <w:rFonts w:hint="eastAsia"/>
        </w:rPr>
        <w:t xml:space="preserve"> </w:t>
      </w:r>
      <w:r>
        <w:t xml:space="preserve">can be expressed as: </w:t>
      </w:r>
      <m:oMath>
        <m:sSub>
          <w:bookmarkStart w:id="36" w:name="_Hlk79676136"/>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OC</m:t>
            </m:r>
            <m:ctrlPr>
              <w:rPr>
                <w:rFonts w:ascii="Cambria Math" w:hAnsi="Cambria Math"/>
                <w:i/>
              </w:rPr>
            </m:ctrlPr>
          </m:sub>
        </m:sSub>
        <m:r>
          <m:rPr/>
          <w:rPr>
            <w:rFonts w:ascii="Cambria Math" w:hAnsi="Cambria Math"/>
          </w:rPr>
          <m:t>∝nkT/qln(</m:t>
        </m:r>
        <m:sSub>
          <m:sSubPr>
            <m:ctrlPr>
              <w:rPr>
                <w:rFonts w:ascii="Cambria Math" w:hAnsi="Cambria Math"/>
                <w:i/>
              </w:rPr>
            </m:ctrlPr>
          </m:sSubPr>
          <m:e>
            <m:r>
              <m:rPr/>
              <w:rPr>
                <w:rFonts w:ascii="Cambria Math" w:hAnsi="Cambria Math"/>
              </w:rPr>
              <m:t>P</m:t>
            </m:r>
            <m:ctrlPr>
              <w:rPr>
                <w:rFonts w:ascii="Cambria Math" w:hAnsi="Cambria Math"/>
                <w:i/>
              </w:rPr>
            </m:ctrlPr>
          </m:e>
          <m:sub>
            <m:r>
              <m:rPr/>
              <w:rPr>
                <w:rFonts w:ascii="Cambria Math" w:hAnsi="Cambria Math"/>
              </w:rPr>
              <m:t>ligℎt</m:t>
            </m:r>
            <m:ctrlPr>
              <w:rPr>
                <w:rFonts w:ascii="Cambria Math" w:hAnsi="Cambria Math"/>
                <w:i/>
              </w:rPr>
            </m:ctrlPr>
          </m:sub>
        </m:sSub>
        <m:r>
          <m:rPr/>
          <w:rPr>
            <w:rFonts w:ascii="Cambria Math" w:hAnsi="Cambria Math"/>
          </w:rPr>
          <m:t>)</m:t>
        </m:r>
      </m:oMath>
      <w:bookmarkEnd w:id="36"/>
      <w:r>
        <w:rPr>
          <w:rFonts w:hint="eastAsia"/>
        </w:rPr>
        <w:t>,</w:t>
      </w:r>
      <w:r>
        <w:t xml:space="preserve"> where </w:t>
      </w:r>
      <w:r>
        <w:rPr>
          <w:rFonts w:hint="eastAsia"/>
          <w:i/>
          <w:iCs/>
        </w:rPr>
        <w:t>k</w:t>
      </w:r>
      <w:r>
        <w:rPr>
          <w:i/>
          <w:iCs/>
        </w:rPr>
        <w:t xml:space="preserve"> </w:t>
      </w:r>
      <w:r>
        <w:rPr>
          <w:rFonts w:hint="eastAsia"/>
        </w:rPr>
        <w:t>denotes</w:t>
      </w:r>
      <w:r>
        <w:t xml:space="preserve"> Boltzmann’s constant, </w:t>
      </w:r>
      <w:r>
        <w:rPr>
          <w:i/>
          <w:iCs/>
        </w:rPr>
        <w:t>T</w:t>
      </w:r>
      <w:r>
        <w:t xml:space="preserve"> is the absolute temperature and </w:t>
      </w:r>
      <m:oMath>
        <m:r>
          <m:rPr/>
          <w:rPr>
            <w:rFonts w:ascii="Cambria Math" w:hAnsi="Cambria Math"/>
          </w:rPr>
          <m:t>q</m:t>
        </m:r>
      </m:oMath>
      <w:r>
        <w:t xml:space="preserve"> is the elementary charge.</w:t>
      </w:r>
      <w:r>
        <w:rPr>
          <w:vertAlign w:val="superscript"/>
        </w:rPr>
        <w:t>[50]</w:t>
      </w:r>
      <w:r>
        <w:t xml:space="preserve"> If </w:t>
      </w:r>
      <w:r>
        <w:rPr>
          <w:i/>
          <w:iCs/>
        </w:rPr>
        <w:t>n</w:t>
      </w:r>
      <w:r>
        <w:t xml:space="preserve"> is close to 2, it means severe trap-assisted recombination would have been induced by morphology defects.</w:t>
      </w:r>
      <w:r>
        <w:rPr>
          <w:rFonts w:hint="eastAsia"/>
        </w:rPr>
        <w:t xml:space="preserve"> </w:t>
      </w:r>
      <w:r>
        <w:t xml:space="preserve">As presented in </w:t>
      </w:r>
      <w:r>
        <w:rPr>
          <w:b/>
          <w:bCs/>
        </w:rPr>
        <w:t>Figure 5b</w:t>
      </w:r>
      <w:r>
        <w:t xml:space="preserve">, the fitted </w:t>
      </w:r>
      <m:oMath>
        <m:r>
          <m:rPr/>
          <w:rPr>
            <w:rFonts w:ascii="Cambria Math" w:hAnsi="Cambria Math"/>
          </w:rPr>
          <m:t>n</m:t>
        </m:r>
      </m:oMath>
      <w:r>
        <w:t xml:space="preserve"> were 1.29, 1.16, 1.38 for devices with pristine ZnO, 3 cycles and 10 cycles ALD-Al</w:t>
      </w:r>
      <w:r>
        <w:rPr>
          <w:vertAlign w:val="subscript"/>
        </w:rPr>
        <w:t>2</w:t>
      </w:r>
      <w:r>
        <w:t>O</w:t>
      </w:r>
      <w:r>
        <w:rPr>
          <w:vertAlign w:val="subscript"/>
        </w:rPr>
        <w:t xml:space="preserve">3 </w:t>
      </w:r>
      <w:r>
        <w:t xml:space="preserve">treated ZnO, respectively. The 3 cycles </w:t>
      </w:r>
      <w:bookmarkStart w:id="37" w:name="_Hlk111392298"/>
      <w:r>
        <w:t>ALD-Al</w:t>
      </w:r>
      <w:r>
        <w:rPr>
          <w:vertAlign w:val="subscript"/>
        </w:rPr>
        <w:t>2</w:t>
      </w:r>
      <w:r>
        <w:t>O</w:t>
      </w:r>
      <w:r>
        <w:rPr>
          <w:vertAlign w:val="subscript"/>
        </w:rPr>
        <w:t>3</w:t>
      </w:r>
      <w:bookmarkEnd w:id="37"/>
      <w:r>
        <w:t xml:space="preserve"> incorporated devices presented the best performance in reducing trap-assisted recombination. The</w:t>
      </w:r>
      <w:r>
        <w:rPr>
          <w:rFonts w:hint="eastAsia"/>
        </w:rPr>
        <w:t xml:space="preserve"> </w:t>
      </w:r>
      <w:r>
        <w:t xml:space="preserve">relationship between </w:t>
      </w:r>
      <m:oMath>
        <m:sSub>
          <m:sSubPr>
            <m:ctrlPr>
              <w:rPr>
                <w:rFonts w:ascii="Cambria Math" w:hAnsi="Cambria Math"/>
                <w:i/>
              </w:rPr>
            </m:ctrlPr>
          </m:sSubPr>
          <m:e>
            <m:r>
              <m:rPr/>
              <w:rPr>
                <w:rFonts w:ascii="Cambria Math" w:hAnsi="Cambria Math"/>
              </w:rPr>
              <m:t>J</m:t>
            </m:r>
            <m:ctrlPr>
              <w:rPr>
                <w:rFonts w:ascii="Cambria Math" w:hAnsi="Cambria Math"/>
                <w:i/>
              </w:rPr>
            </m:ctrlPr>
          </m:e>
          <m:sub>
            <m:r>
              <m:rPr/>
              <w:rPr>
                <w:rFonts w:ascii="Cambria Math" w:hAnsi="Cambria Math"/>
              </w:rPr>
              <m:t>SC</m:t>
            </m:r>
            <m:ctrlPr>
              <w:rPr>
                <w:rFonts w:ascii="Cambria Math" w:hAnsi="Cambria Math"/>
                <w:i/>
              </w:rPr>
            </m:ctrlPr>
          </m:sub>
        </m:sSub>
      </m:oMath>
      <w:r>
        <w:t xml:space="preserve"> and </w:t>
      </w:r>
      <m:oMath>
        <m:sSub>
          <m:sSubPr>
            <m:ctrlPr>
              <w:rPr>
                <w:rFonts w:ascii="Cambria Math" w:hAnsi="Cambria Math"/>
                <w:i/>
              </w:rPr>
            </m:ctrlPr>
          </m:sSubPr>
          <m:e>
            <m:r>
              <m:rPr/>
              <w:rPr>
                <w:rFonts w:ascii="Cambria Math" w:hAnsi="Cambria Math"/>
              </w:rPr>
              <m:t>P</m:t>
            </m:r>
            <m:ctrlPr>
              <w:rPr>
                <w:rFonts w:ascii="Cambria Math" w:hAnsi="Cambria Math"/>
                <w:i/>
              </w:rPr>
            </m:ctrlPr>
          </m:e>
          <m:sub>
            <m:r>
              <m:rPr/>
              <w:rPr>
                <w:rFonts w:ascii="Cambria Math" w:hAnsi="Cambria Math"/>
              </w:rPr>
              <m:t>ligℎt</m:t>
            </m:r>
            <m:ctrlPr>
              <w:rPr>
                <w:rFonts w:ascii="Cambria Math" w:hAnsi="Cambria Math"/>
                <w:i/>
              </w:rPr>
            </m:ctrlPr>
          </m:sub>
        </m:sSub>
      </m:oMath>
      <w:r>
        <w:t xml:space="preserve"> is defined as:</w:t>
      </w:r>
      <m:oMath>
        <m:r>
          <m:rPr/>
          <w:rPr>
            <w:rFonts w:ascii="Cambria Math" w:hAnsi="Cambria Math"/>
          </w:rPr>
          <m:t xml:space="preserve"> </m:t>
        </m:r>
        <m:sSub>
          <m:sSubPr>
            <m:ctrlPr>
              <w:rPr>
                <w:rFonts w:ascii="Cambria Math" w:hAnsi="Cambria Math"/>
                <w:i/>
              </w:rPr>
            </m:ctrlPr>
          </m:sSubPr>
          <m:e>
            <m:r>
              <m:rPr/>
              <w:rPr>
                <w:rFonts w:ascii="Cambria Math" w:hAnsi="Cambria Math"/>
              </w:rPr>
              <m:t>J</m:t>
            </m:r>
            <m:ctrlPr>
              <w:rPr>
                <w:rFonts w:ascii="Cambria Math" w:hAnsi="Cambria Math"/>
                <w:i/>
              </w:rPr>
            </m:ctrlPr>
          </m:e>
          <m:sub>
            <m:r>
              <m:rPr/>
              <w:rPr>
                <w:rFonts w:ascii="Cambria Math" w:hAnsi="Cambria Math"/>
              </w:rPr>
              <m:t>SC</m:t>
            </m:r>
            <m:ctrlPr>
              <w:rPr>
                <w:rFonts w:ascii="Cambria Math" w:hAnsi="Cambria Math"/>
                <w:i/>
              </w:rPr>
            </m:ctrlPr>
          </m:sub>
        </m:sSub>
        <m:r>
          <m:rPr/>
          <w:rPr>
            <w:rFonts w:ascii="Cambria Math" w:hAnsi="Cambria Math"/>
          </w:rPr>
          <m:t>∝</m:t>
        </m:r>
        <m:sSubSup>
          <m:sSubSupPr>
            <m:ctrlPr>
              <w:rPr>
                <w:rFonts w:ascii="Cambria Math" w:hAnsi="Cambria Math"/>
                <w:i/>
              </w:rPr>
            </m:ctrlPr>
          </m:sSubSupPr>
          <m:e>
            <m:r>
              <m:rPr/>
              <w:rPr>
                <w:rFonts w:ascii="Cambria Math" w:hAnsi="Cambria Math"/>
              </w:rPr>
              <m:t>P</m:t>
            </m:r>
            <m:ctrlPr>
              <w:rPr>
                <w:rFonts w:ascii="Cambria Math" w:hAnsi="Cambria Math"/>
                <w:i/>
              </w:rPr>
            </m:ctrlPr>
          </m:e>
          <m:sub>
            <m:r>
              <m:rPr/>
              <w:rPr>
                <w:rFonts w:ascii="Cambria Math" w:hAnsi="Cambria Math"/>
              </w:rPr>
              <m:t>ligℎt</m:t>
            </m:r>
            <m:ctrlPr>
              <w:rPr>
                <w:rFonts w:ascii="Cambria Math" w:hAnsi="Cambria Math"/>
                <w:i/>
              </w:rPr>
            </m:ctrlPr>
          </m:sub>
          <m:sup>
            <m:r>
              <m:rPr/>
              <w:rPr>
                <w:rFonts w:ascii="Cambria Math" w:hAnsi="Cambria Math"/>
              </w:rPr>
              <m:t>α</m:t>
            </m:r>
            <m:ctrlPr>
              <w:rPr>
                <w:rFonts w:ascii="Cambria Math" w:hAnsi="Cambria Math"/>
                <w:i/>
              </w:rPr>
            </m:ctrlPr>
          </m:sup>
        </m:sSubSup>
      </m:oMath>
      <w:r>
        <w:t>,</w:t>
      </w:r>
      <w:r>
        <w:rPr>
          <w:vertAlign w:val="superscript"/>
        </w:rPr>
        <w:t>[51]</w:t>
      </w:r>
      <w:r>
        <w:t xml:space="preserve"> in which </w:t>
      </w:r>
      <w:bookmarkStart w:id="38" w:name="_Hlk79676449"/>
      <w:r>
        <w:rPr>
          <w:i/>
          <w:iCs/>
        </w:rPr>
        <w:t>α</w:t>
      </w:r>
      <w:bookmarkEnd w:id="38"/>
      <w:r>
        <w:t xml:space="preserve"> represents the exponential factor and can be obtained</w:t>
      </w:r>
      <w:r>
        <w:rPr>
          <w:rFonts w:hint="eastAsia"/>
        </w:rPr>
        <w:t xml:space="preserve"> </w:t>
      </w:r>
      <w:r>
        <w:t xml:space="preserve">from the slopes of fitting curves. An </w:t>
      </w:r>
      <w:r>
        <w:rPr>
          <w:i/>
          <w:iCs/>
        </w:rPr>
        <w:t xml:space="preserve">α </w:t>
      </w:r>
      <w:r>
        <w:t>of 0.959 was obtained for the control devices, which increased to 0.978 for 3 cycles ALD-Al</w:t>
      </w:r>
      <w:r>
        <w:rPr>
          <w:vertAlign w:val="subscript"/>
        </w:rPr>
        <w:t>2</w:t>
      </w:r>
      <w:r>
        <w:t>O</w:t>
      </w:r>
      <w:r>
        <w:rPr>
          <w:vertAlign w:val="subscript"/>
        </w:rPr>
        <w:t>3</w:t>
      </w:r>
      <w:r>
        <w:t xml:space="preserve"> inserted devices, indicating the biomolecular recombination in 3 cycles ALD-Al</w:t>
      </w:r>
      <w:r>
        <w:rPr>
          <w:vertAlign w:val="subscript"/>
        </w:rPr>
        <w:t>2</w:t>
      </w:r>
      <w:r>
        <w:t>O</w:t>
      </w:r>
      <w:r>
        <w:rPr>
          <w:vertAlign w:val="subscript"/>
        </w:rPr>
        <w:t>3</w:t>
      </w:r>
      <w:r>
        <w:t xml:space="preserve"> passivated devices had been effectively suppressed.</w:t>
      </w:r>
      <w:r>
        <w:rPr>
          <w:rFonts w:hint="eastAsia"/>
        </w:rPr>
        <w:t xml:space="preserve"> </w:t>
      </w:r>
      <w:r>
        <w:t>To clarify the influence of ALD-Al</w:t>
      </w:r>
      <w:r>
        <w:rPr>
          <w:vertAlign w:val="subscript"/>
        </w:rPr>
        <w:t>2</w:t>
      </w:r>
      <w:r>
        <w:t>O</w:t>
      </w:r>
      <w:r>
        <w:rPr>
          <w:vertAlign w:val="subscript"/>
        </w:rPr>
        <w:t xml:space="preserve">3 </w:t>
      </w:r>
      <w:r>
        <w:t>interlayers on charge transport properties of the devices, the hole (</w:t>
      </w:r>
      <m:oMath>
        <m:sSub>
          <m:sSubPr>
            <m:ctrlPr>
              <w:rPr>
                <w:rFonts w:ascii="Cambria Math" w:hAnsi="Cambria Math"/>
              </w:rPr>
            </m:ctrlPr>
          </m:sSubPr>
          <w:bookmarkStart w:id="39" w:name="_Hlk80091123"/>
          <m:e>
            <m:r>
              <m:rPr/>
              <w:rPr>
                <w:rFonts w:ascii="Cambria Math" w:hAnsi="Cambria Math"/>
              </w:rPr>
              <m:t>μ</m:t>
            </m:r>
            <m:ctrlPr>
              <w:rPr>
                <w:rFonts w:ascii="Cambria Math" w:hAnsi="Cambria Math"/>
              </w:rPr>
            </m:ctrlPr>
          </m:e>
          <m:sub>
            <m:r>
              <m:rPr/>
              <w:rPr>
                <w:rFonts w:ascii="Cambria Math" w:hAnsi="Cambria Math"/>
              </w:rPr>
              <m:t>ℎ</m:t>
            </m:r>
            <w:bookmarkEnd w:id="39"/>
            <m:ctrlPr>
              <w:rPr>
                <w:rFonts w:ascii="Cambria Math" w:hAnsi="Cambria Math"/>
              </w:rPr>
            </m:ctrlPr>
          </m:sub>
        </m:sSub>
      </m:oMath>
      <w:r>
        <w:t>) and electron (</w:t>
      </w:r>
      <m:oMath>
        <m:sSub>
          <w:bookmarkStart w:id="40" w:name="_Hlk80223136"/>
          <m:sSubPr>
            <m:ctrlPr>
              <w:rPr>
                <w:rFonts w:ascii="Cambria Math" w:hAnsi="Cambria Math"/>
              </w:rPr>
            </m:ctrlPr>
          </m:sSubPr>
          <m:e>
            <m:r>
              <m:rPr/>
              <w:rPr>
                <w:rFonts w:ascii="Cambria Math" w:hAnsi="Cambria Math"/>
              </w:rPr>
              <m:t>μ</m:t>
            </m:r>
            <m:ctrlPr>
              <w:rPr>
                <w:rFonts w:ascii="Cambria Math" w:hAnsi="Cambria Math"/>
              </w:rPr>
            </m:ctrlPr>
          </m:e>
          <m:sub>
            <m:r>
              <m:rPr/>
              <w:rPr>
                <w:rFonts w:ascii="Cambria Math" w:hAnsi="Cambria Math"/>
              </w:rPr>
              <m:t>e</m:t>
            </m:r>
            <w:bookmarkEnd w:id="40"/>
            <m:ctrlPr>
              <w:rPr>
                <w:rFonts w:ascii="Cambria Math" w:hAnsi="Cambria Math"/>
              </w:rPr>
            </m:ctrlPr>
          </m:sub>
        </m:sSub>
      </m:oMath>
      <w:r>
        <w:t>) mobilities of devices with Al</w:t>
      </w:r>
      <w:r>
        <w:rPr>
          <w:vertAlign w:val="subscript"/>
        </w:rPr>
        <w:t>2</w:t>
      </w:r>
      <w:r>
        <w:t>O</w:t>
      </w:r>
      <w:r>
        <w:rPr>
          <w:vertAlign w:val="subscript"/>
        </w:rPr>
        <w:t>3</w:t>
      </w:r>
      <w:r>
        <w:t xml:space="preserve"> layers were evaluated</w:t>
      </w:r>
      <w:r>
        <w:rPr>
          <w:rFonts w:hint="eastAsia"/>
        </w:rPr>
        <w:t xml:space="preserve"> </w:t>
      </w:r>
      <w:r>
        <w:t xml:space="preserve">using the space charge limited current (SCLC) method. As summarized in </w:t>
      </w:r>
      <w:r>
        <w:rPr>
          <w:b/>
          <w:bCs/>
        </w:rPr>
        <w:t>Figure 5d-e</w:t>
      </w:r>
      <w:r>
        <w:t xml:space="preserve"> and </w:t>
      </w:r>
      <w:r>
        <w:rPr>
          <w:b/>
          <w:bCs/>
        </w:rPr>
        <w:t>Table S3</w:t>
      </w:r>
      <w:r>
        <w:t>,</w:t>
      </w:r>
      <w:r>
        <w:rPr>
          <w:b/>
          <w:bCs/>
        </w:rPr>
        <w:t xml:space="preserve"> </w:t>
      </w:r>
      <w:r>
        <w:t>the hole and electron mobilities of the control devices were 4.44</w:t>
      </w:r>
      <w:r>
        <w:rPr>
          <w:rFonts w:hint="eastAsia"/>
        </w:rPr>
        <w:t>×</w:t>
      </w:r>
      <w:r>
        <w:t>10</w:t>
      </w:r>
      <w:r>
        <w:rPr>
          <w:rFonts w:hint="eastAsia"/>
          <w:vertAlign w:val="superscript"/>
        </w:rPr>
        <w:t>-</w:t>
      </w:r>
      <w:r>
        <w:rPr>
          <w:vertAlign w:val="superscript"/>
        </w:rPr>
        <w:t xml:space="preserve">4 </w:t>
      </w:r>
      <w:r>
        <w:t>mA</w:t>
      </w:r>
      <w:r>
        <w:rPr>
          <w:vertAlign w:val="superscript"/>
        </w:rPr>
        <w:t>0.5</w:t>
      </w:r>
      <w:r>
        <w:t>cm</w:t>
      </w:r>
      <w:r>
        <w:rPr>
          <w:vertAlign w:val="superscript"/>
        </w:rPr>
        <w:t xml:space="preserve">-1 </w:t>
      </w:r>
      <w:r>
        <w:rPr>
          <w:rFonts w:hint="eastAsia"/>
        </w:rPr>
        <w:t>and</w:t>
      </w:r>
      <w:r>
        <w:t xml:space="preserve"> 2.36</w:t>
      </w:r>
      <w:r>
        <w:rPr>
          <w:rFonts w:hint="eastAsia"/>
        </w:rPr>
        <w:t>×</w:t>
      </w:r>
      <w:r>
        <w:t>10</w:t>
      </w:r>
      <w:r>
        <w:rPr>
          <w:rFonts w:hint="eastAsia"/>
          <w:vertAlign w:val="superscript"/>
        </w:rPr>
        <w:t>-</w:t>
      </w:r>
      <w:r>
        <w:rPr>
          <w:vertAlign w:val="superscript"/>
        </w:rPr>
        <w:t>4</w:t>
      </w:r>
      <w:r>
        <w:t xml:space="preserve"> mA</w:t>
      </w:r>
      <w:r>
        <w:rPr>
          <w:vertAlign w:val="superscript"/>
        </w:rPr>
        <w:t>0.5</w:t>
      </w:r>
      <w:r>
        <w:t>cm</w:t>
      </w:r>
      <w:r>
        <w:rPr>
          <w:vertAlign w:val="superscript"/>
        </w:rPr>
        <w:t>-1</w:t>
      </w:r>
      <w:r>
        <w:rPr>
          <w:rFonts w:hint="eastAsia"/>
        </w:rPr>
        <w:t>,</w:t>
      </w:r>
      <w:r>
        <w:t xml:space="preserve"> respectively. The mobilities marginally reduced after treatment with 3 cycles ALD-Al</w:t>
      </w:r>
      <w:r>
        <w:rPr>
          <w:vertAlign w:val="subscript"/>
        </w:rPr>
        <w:t>2</w:t>
      </w:r>
      <w:r>
        <w:t>O</w:t>
      </w:r>
      <w:r>
        <w:rPr>
          <w:vertAlign w:val="subscript"/>
        </w:rPr>
        <w:t>3</w:t>
      </w:r>
      <w:r>
        <w:t>, and continued to decrease along with the increased thickness of ALD-Al</w:t>
      </w:r>
      <w:r>
        <w:rPr>
          <w:vertAlign w:val="subscript"/>
        </w:rPr>
        <w:t>2</w:t>
      </w:r>
      <w:r>
        <w:t>O</w:t>
      </w:r>
      <w:r>
        <w:rPr>
          <w:vertAlign w:val="subscript"/>
        </w:rPr>
        <w:t>3</w:t>
      </w:r>
      <w:r>
        <w:t>.</w:t>
      </w:r>
      <w:r>
        <w:rPr>
          <w:rFonts w:hint="eastAsia"/>
        </w:rPr>
        <w:t xml:space="preserve"> </w:t>
      </w:r>
      <w:r>
        <w:t>The</w:t>
      </w:r>
      <w:bookmarkStart w:id="41" w:name="_Hlk111393431"/>
      <w:r>
        <w:t xml:space="preserve"> </w:t>
      </w:r>
      <m:oMath>
        <m:sSub>
          <m:sSubPr>
            <m:ctrlPr>
              <w:rPr>
                <w:rFonts w:ascii="Cambria Math" w:hAnsi="Cambria Math"/>
                <w:i/>
              </w:rPr>
            </m:ctrlPr>
          </m:sSubPr>
          <m:e>
            <m:r>
              <m:rPr/>
              <w:rPr>
                <w:rFonts w:ascii="Cambria Math" w:hAnsi="Cambria Math"/>
              </w:rPr>
              <m:t>μ</m:t>
            </m:r>
            <m:ctrlPr>
              <w:rPr>
                <w:rFonts w:ascii="Cambria Math" w:hAnsi="Cambria Math"/>
                <w:i/>
              </w:rPr>
            </m:ctrlPr>
          </m:e>
          <m:sub>
            <m:r>
              <m:rPr/>
              <w:rPr>
                <w:rFonts w:ascii="Cambria Math" w:hAnsi="Cambria Math"/>
              </w:rPr>
              <m:t>ℎ</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μ</m:t>
            </m:r>
            <m:ctrlPr>
              <w:rPr>
                <w:rFonts w:ascii="Cambria Math" w:hAnsi="Cambria Math"/>
                <w:i/>
              </w:rPr>
            </m:ctrlPr>
          </m:e>
          <m:sub>
            <m:r>
              <m:rPr/>
              <w:rPr>
                <w:rFonts w:ascii="Cambria Math" w:hAnsi="Cambria Math"/>
              </w:rPr>
              <m:t>e</m:t>
            </m:r>
            <m:ctrlPr>
              <w:rPr>
                <w:rFonts w:ascii="Cambria Math" w:hAnsi="Cambria Math"/>
                <w:i/>
              </w:rPr>
            </m:ctrlPr>
          </m:sub>
        </m:sSub>
      </m:oMath>
      <w:r>
        <w:rPr>
          <w:rFonts w:hint="eastAsia"/>
        </w:rPr>
        <w:t xml:space="preserve"> </w:t>
      </w:r>
      <w:bookmarkEnd w:id="41"/>
      <w:r>
        <w:t>ratio was utilized to evaluate the charge transport balance in the OSCs.</w:t>
      </w:r>
      <w:r>
        <w:rPr>
          <w:vertAlign w:val="superscript"/>
        </w:rPr>
        <w:t>[52]</w:t>
      </w:r>
      <w:r>
        <w:t xml:space="preserve"> A </w:t>
      </w:r>
      <m:oMath>
        <m:sSub>
          <m:sSubPr>
            <m:ctrlPr>
              <w:rPr>
                <w:rFonts w:ascii="Cambria Math" w:hAnsi="Cambria Math"/>
                <w:i/>
              </w:rPr>
            </m:ctrlPr>
          </m:sSubPr>
          <m:e>
            <m:r>
              <m:rPr/>
              <w:rPr>
                <w:rFonts w:ascii="Cambria Math" w:hAnsi="Cambria Math"/>
              </w:rPr>
              <m:t>μ</m:t>
            </m:r>
            <m:ctrlPr>
              <w:rPr>
                <w:rFonts w:ascii="Cambria Math" w:hAnsi="Cambria Math"/>
                <w:i/>
              </w:rPr>
            </m:ctrlPr>
          </m:e>
          <m:sub>
            <m:r>
              <m:rPr/>
              <w:rPr>
                <w:rFonts w:ascii="Cambria Math" w:hAnsi="Cambria Math"/>
              </w:rPr>
              <m:t>ℎ</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μ</m:t>
            </m:r>
            <m:ctrlPr>
              <w:rPr>
                <w:rFonts w:ascii="Cambria Math" w:hAnsi="Cambria Math"/>
                <w:i/>
              </w:rPr>
            </m:ctrlPr>
          </m:e>
          <m:sub>
            <m:r>
              <m:rPr/>
              <w:rPr>
                <w:rFonts w:ascii="Cambria Math" w:hAnsi="Cambria Math"/>
              </w:rPr>
              <m:t>e</m:t>
            </m:r>
            <m:ctrlPr>
              <w:rPr>
                <w:rFonts w:ascii="Cambria Math" w:hAnsi="Cambria Math"/>
                <w:i/>
              </w:rPr>
            </m:ctrlPr>
          </m:sub>
        </m:sSub>
      </m:oMath>
      <w:r>
        <w:rPr>
          <w:rFonts w:hint="eastAsia"/>
        </w:rPr>
        <w:t xml:space="preserve"> </w:t>
      </w:r>
      <w:r>
        <w:t xml:space="preserve">ratio of 1.8 was obtained for the devices with 3 cycles </w:t>
      </w:r>
      <w:bookmarkStart w:id="42" w:name="_Hlk111393590"/>
      <w:r>
        <w:t>ALD-Al</w:t>
      </w:r>
      <w:r>
        <w:rPr>
          <w:vertAlign w:val="subscript"/>
        </w:rPr>
        <w:t>2</w:t>
      </w:r>
      <w:r>
        <w:t>O</w:t>
      </w:r>
      <w:r>
        <w:rPr>
          <w:vertAlign w:val="subscript"/>
        </w:rPr>
        <w:t>3</w:t>
      </w:r>
      <w:bookmarkEnd w:id="42"/>
      <w:r>
        <w:t xml:space="preserve">, which was closer to 1 compared with that of 1.89 for the control devices. These results manifest that the insulating property </w:t>
      </w:r>
      <w:r>
        <w:rPr>
          <w:rFonts w:hint="eastAsia"/>
        </w:rPr>
        <w:t>of</w:t>
      </w:r>
      <w:r>
        <w:t xml:space="preserve"> alumina may affect charge mobility, whereas </w:t>
      </w:r>
      <w:r>
        <w:rPr>
          <w:rFonts w:hint="eastAsia"/>
        </w:rPr>
        <w:t>a</w:t>
      </w:r>
      <w:r>
        <w:t>n ALD-Al</w:t>
      </w:r>
      <w:r>
        <w:rPr>
          <w:vertAlign w:val="subscript"/>
        </w:rPr>
        <w:t>2</w:t>
      </w:r>
      <w:r>
        <w:t>O</w:t>
      </w:r>
      <w:r>
        <w:rPr>
          <w:vertAlign w:val="subscript"/>
        </w:rPr>
        <w:t xml:space="preserve">3 </w:t>
      </w:r>
      <w:r>
        <w:t>interlayer of appropriate thickness can lead to more balanced charge transport in devices, which agrees well with the photovoltaic measurement results.</w:t>
      </w:r>
    </w:p>
    <w:p>
      <w:pPr>
        <w:pStyle w:val="37"/>
        <w:spacing w:line="480" w:lineRule="auto"/>
        <w:ind w:firstLine="480" w:firstLineChars="200"/>
        <w:jc w:val="both"/>
      </w:pPr>
      <w:r>
        <w:rPr>
          <w:lang w:val="de-DE"/>
        </w:rPr>
        <w:t>In order to further explore charge separation and recombination dynamics at the ZnO</w:t>
      </w:r>
      <w:r>
        <w:rPr>
          <w:rFonts w:hint="eastAsia"/>
          <w:lang w:val="de-DE"/>
        </w:rPr>
        <w:t>/</w:t>
      </w:r>
      <w:r>
        <w:rPr>
          <w:lang w:val="de-DE"/>
        </w:rPr>
        <w:t xml:space="preserve">PM6 interfaces, steady state photoluminescence (PL) measurements were carried out on </w:t>
      </w:r>
      <w:r>
        <w:rPr>
          <w:rFonts w:hint="eastAsia"/>
          <w:lang w:val="de-DE"/>
        </w:rPr>
        <w:t>neat</w:t>
      </w:r>
      <w:r>
        <w:rPr>
          <w:lang w:val="de-DE"/>
        </w:rPr>
        <w:t xml:space="preserve"> PM6 films on top of ZnO layers with and without </w:t>
      </w:r>
      <w:bookmarkStart w:id="43" w:name="_Hlk110516009"/>
      <w:r>
        <w:rPr>
          <w:lang w:val="de-DE"/>
        </w:rPr>
        <w:t>ALD-Al</w:t>
      </w:r>
      <w:r>
        <w:rPr>
          <w:vertAlign w:val="subscript"/>
          <w:lang w:val="de-DE"/>
        </w:rPr>
        <w:t>2</w:t>
      </w:r>
      <w:r>
        <w:rPr>
          <w:lang w:val="de-DE"/>
        </w:rPr>
        <w:t>O</w:t>
      </w:r>
      <w:r>
        <w:rPr>
          <w:vertAlign w:val="subscript"/>
          <w:lang w:val="de-DE"/>
        </w:rPr>
        <w:t>3</w:t>
      </w:r>
      <w:bookmarkEnd w:id="43"/>
      <w:r>
        <w:rPr>
          <w:lang w:val="de-DE"/>
        </w:rPr>
        <w:t xml:space="preserve"> modification. All of the films were spin coated at a same spin speed with 5 mg ml</w:t>
      </w:r>
      <w:r>
        <w:rPr>
          <w:vertAlign w:val="superscript"/>
          <w:lang w:val="de-DE"/>
        </w:rPr>
        <w:t>-1</w:t>
      </w:r>
      <w:r>
        <w:rPr>
          <w:lang w:val="de-DE"/>
        </w:rPr>
        <w:t xml:space="preserve"> PM6 solution in order to obtain constant film thickness.</w:t>
      </w:r>
      <w:r>
        <w:rPr>
          <w:rFonts w:hint="eastAsia"/>
          <w:lang w:val="de-DE"/>
        </w:rPr>
        <w:t xml:space="preserve"> </w:t>
      </w:r>
      <w:r>
        <w:rPr>
          <w:lang w:val="de-DE"/>
        </w:rPr>
        <w:t>Enhanced PL intensity was observed from PM6 films on ZnO/</w:t>
      </w:r>
      <w:bookmarkStart w:id="44" w:name="_Hlk110517211"/>
      <w:r>
        <w:rPr>
          <w:lang w:val="de-DE"/>
        </w:rPr>
        <w:t>ALD-Al</w:t>
      </w:r>
      <w:r>
        <w:rPr>
          <w:vertAlign w:val="subscript"/>
          <w:lang w:val="de-DE"/>
        </w:rPr>
        <w:t>2</w:t>
      </w:r>
      <w:r>
        <w:rPr>
          <w:lang w:val="de-DE"/>
        </w:rPr>
        <w:t>O</w:t>
      </w:r>
      <w:r>
        <w:rPr>
          <w:vertAlign w:val="subscript"/>
          <w:lang w:val="de-DE"/>
        </w:rPr>
        <w:t>3</w:t>
      </w:r>
      <w:bookmarkEnd w:id="44"/>
      <w:r>
        <w:rPr>
          <w:lang w:val="de-DE"/>
        </w:rPr>
        <w:t xml:space="preserve"> (3 cycles)</w:t>
      </w:r>
      <w:r>
        <w:rPr>
          <w:vertAlign w:val="subscript"/>
          <w:lang w:val="de-DE"/>
        </w:rPr>
        <w:t xml:space="preserve"> </w:t>
      </w:r>
      <w:r>
        <w:rPr>
          <w:lang w:val="de-DE"/>
        </w:rPr>
        <w:t xml:space="preserve">surfaces, compared with </w:t>
      </w:r>
      <w:r>
        <w:rPr>
          <w:rFonts w:hint="eastAsia"/>
          <w:lang w:val="de-DE"/>
        </w:rPr>
        <w:t>that</w:t>
      </w:r>
      <w:r>
        <w:rPr>
          <w:lang w:val="de-DE"/>
        </w:rPr>
        <w:t xml:space="preserve"> from PM6 films on pristine ZnO, which was attributed to effective passivation of traps on ZnO surfaces by the ALD-Al</w:t>
      </w:r>
      <w:r>
        <w:rPr>
          <w:vertAlign w:val="subscript"/>
          <w:lang w:val="de-DE"/>
        </w:rPr>
        <w:t>2</w:t>
      </w:r>
      <w:r>
        <w:rPr>
          <w:lang w:val="de-DE"/>
        </w:rPr>
        <w:t>O</w:t>
      </w:r>
      <w:r>
        <w:rPr>
          <w:vertAlign w:val="subscript"/>
          <w:lang w:val="de-DE"/>
        </w:rPr>
        <w:t>3</w:t>
      </w:r>
      <w:r>
        <w:rPr>
          <w:lang w:val="de-DE"/>
        </w:rPr>
        <w:t xml:space="preserve"> layers.</w:t>
      </w:r>
      <w:r>
        <w:rPr>
          <w:vertAlign w:val="superscript"/>
          <w:lang w:val="de-DE"/>
        </w:rPr>
        <w:t>[45]</w:t>
      </w:r>
      <w:r>
        <w:rPr>
          <w:rFonts w:hint="eastAsia"/>
          <w:lang w:val="de-DE"/>
        </w:rPr>
        <w:t xml:space="preserve"> </w:t>
      </w:r>
      <w:r>
        <w:rPr>
          <w:lang w:val="de-DE"/>
        </w:rPr>
        <w:t>Next, time-resolved photoluminescence (TRPL) measurements were performed in order to investigate interfacial charge transfer from PM6 to ZnO (</w:t>
      </w:r>
      <w:r>
        <w:rPr>
          <w:b/>
          <w:bCs/>
          <w:lang w:val="de-DE"/>
        </w:rPr>
        <w:t>Figure S6b</w:t>
      </w:r>
      <w:r>
        <w:rPr>
          <w:lang w:val="de-DE"/>
        </w:rPr>
        <w:t xml:space="preserve">). The fluorescence lifetime (τ) was calculated by fitting the TRPL semilog decay curves using a two-exponential function, and the extracted parameters are presented in </w:t>
      </w:r>
      <w:r>
        <w:rPr>
          <w:b/>
          <w:bCs/>
          <w:lang w:val="de-DE"/>
        </w:rPr>
        <w:t>Table S4</w:t>
      </w:r>
      <w:r>
        <w:rPr>
          <w:lang w:val="de-DE"/>
        </w:rPr>
        <w:t xml:space="preserve">. As a result, the exciton lifetime of PM6 films on top of ZnO deposited with 3 cycles </w:t>
      </w:r>
      <w:bookmarkStart w:id="45" w:name="_Hlk110602783"/>
      <w:r>
        <w:rPr>
          <w:lang w:val="de-DE"/>
        </w:rPr>
        <w:t>ALD-Al</w:t>
      </w:r>
      <w:r>
        <w:rPr>
          <w:vertAlign w:val="subscript"/>
          <w:lang w:val="de-DE"/>
        </w:rPr>
        <w:t>2</w:t>
      </w:r>
      <w:r>
        <w:rPr>
          <w:lang w:val="de-DE"/>
        </w:rPr>
        <w:t>O</w:t>
      </w:r>
      <w:r>
        <w:rPr>
          <w:vertAlign w:val="subscript"/>
          <w:lang w:val="de-DE"/>
        </w:rPr>
        <w:t>3</w:t>
      </w:r>
      <w:bookmarkEnd w:id="45"/>
      <w:r>
        <w:rPr>
          <w:b/>
          <w:bCs/>
          <w:lang w:val="de-DE"/>
        </w:rPr>
        <w:t xml:space="preserve"> </w:t>
      </w:r>
      <w:r>
        <w:rPr>
          <w:lang w:val="de-DE"/>
        </w:rPr>
        <w:t>achieved an apparent increase. The increased exciton lifetime resulted from the effective passivation of deep surface defect states on ZnO, which served as recombination centers for holes, thereby reducing hole trapping.</w:t>
      </w:r>
      <w:r>
        <w:rPr>
          <w:vertAlign w:val="superscript"/>
          <w:lang w:val="de-DE"/>
        </w:rPr>
        <w:t>[38]</w:t>
      </w:r>
      <w:r>
        <w:rPr>
          <w:lang w:val="de-DE"/>
        </w:rPr>
        <w:t xml:space="preserve"> Referring to the above discussions, we concluded that effective passivation of traps on ZnO had been realized by introducing ALD</w:t>
      </w:r>
      <w:bookmarkStart w:id="46" w:name="OLE_LINK2"/>
      <w:r>
        <w:rPr>
          <w:lang w:val="de-DE"/>
        </w:rPr>
        <w:t>-Al</w:t>
      </w:r>
      <w:r>
        <w:rPr>
          <w:vertAlign w:val="subscript"/>
          <w:lang w:val="de-DE"/>
        </w:rPr>
        <w:t>2</w:t>
      </w:r>
      <w:r>
        <w:rPr>
          <w:lang w:val="de-DE"/>
        </w:rPr>
        <w:t>O</w:t>
      </w:r>
      <w:r>
        <w:rPr>
          <w:vertAlign w:val="subscript"/>
          <w:lang w:val="de-DE"/>
        </w:rPr>
        <w:t>3</w:t>
      </w:r>
      <w:bookmarkEnd w:id="46"/>
      <w:r>
        <w:rPr>
          <w:lang w:val="de-DE"/>
        </w:rPr>
        <w:t>,</w:t>
      </w:r>
      <w:r>
        <w:rPr>
          <w:vertAlign w:val="subscript"/>
          <w:lang w:val="de-DE"/>
        </w:rPr>
        <w:t xml:space="preserve"> </w:t>
      </w:r>
      <w:r>
        <w:rPr>
          <w:lang w:val="de-DE"/>
        </w:rPr>
        <w:t>which is consistent with the better performance of ALD-Al</w:t>
      </w:r>
      <w:r>
        <w:rPr>
          <w:vertAlign w:val="subscript"/>
          <w:lang w:val="de-DE"/>
        </w:rPr>
        <w:t>2</w:t>
      </w:r>
      <w:r>
        <w:rPr>
          <w:lang w:val="de-DE"/>
        </w:rPr>
        <w:t>O</w:t>
      </w:r>
      <w:r>
        <w:rPr>
          <w:vertAlign w:val="subscript"/>
          <w:lang w:val="de-DE"/>
        </w:rPr>
        <w:t>3</w:t>
      </w:r>
      <w:r>
        <w:rPr>
          <w:lang w:val="de-DE"/>
        </w:rPr>
        <w:t xml:space="preserve"> incorporated devices</w:t>
      </w:r>
      <w:r>
        <w:rPr>
          <w:rFonts w:hint="eastAsia"/>
          <w:lang w:val="de-DE"/>
        </w:rPr>
        <w:t>.</w:t>
      </w:r>
    </w:p>
    <w:p>
      <w:pPr>
        <w:pStyle w:val="33"/>
      </w:pPr>
      <w:r>
        <w:t xml:space="preserve">2.4. </w:t>
      </w:r>
      <w:r>
        <w:rPr>
          <w:bCs/>
          <w:lang w:val="de-DE"/>
        </w:rPr>
        <w:t>Energy Loss Analysis</w:t>
      </w:r>
    </w:p>
    <w:p>
      <w:pPr>
        <w:pStyle w:val="37"/>
        <w:spacing w:line="480" w:lineRule="auto"/>
        <w:ind w:firstLine="480" w:firstLineChars="200"/>
        <w:jc w:val="both"/>
      </w:pPr>
      <w:r>
        <w:t xml:space="preserve">To further understand the origins for </w:t>
      </w:r>
      <m:oMath>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OC</m:t>
            </m:r>
            <m:ctrlPr>
              <w:rPr>
                <w:rFonts w:ascii="Cambria Math" w:hAnsi="Cambria Math"/>
                <w:i/>
              </w:rPr>
            </m:ctrlPr>
          </m:sub>
        </m:sSub>
      </m:oMath>
      <w:r>
        <w:rPr>
          <w:rFonts w:hint="eastAsia"/>
        </w:rPr>
        <w:t xml:space="preserve"> </w:t>
      </w:r>
      <w:r>
        <w:t>improvement of the ALD-Al</w:t>
      </w:r>
      <w:r>
        <w:rPr>
          <w:vertAlign w:val="subscript"/>
        </w:rPr>
        <w:t>2</w:t>
      </w:r>
      <w:r>
        <w:t>O</w:t>
      </w:r>
      <w:r>
        <w:rPr>
          <w:vertAlign w:val="subscript"/>
        </w:rPr>
        <w:t>3</w:t>
      </w:r>
      <w:r>
        <w:t xml:space="preserve"> treated devices, we analyzed energy loss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loss</m:t>
            </m:r>
            <m:ctrlPr>
              <w:rPr>
                <w:rFonts w:ascii="Cambria Math" w:hAnsi="Cambria Math"/>
                <w:i/>
              </w:rPr>
            </m:ctrlPr>
          </m:sub>
        </m:sSub>
      </m:oMath>
      <w:r>
        <w:t>) in both control devices and ALD-Al</w:t>
      </w:r>
      <w:r>
        <w:rPr>
          <w:vertAlign w:val="subscript"/>
        </w:rPr>
        <w:t>2</w:t>
      </w:r>
      <w:r>
        <w:t>O</w:t>
      </w:r>
      <w:r>
        <w:rPr>
          <w:vertAlign w:val="subscript"/>
        </w:rPr>
        <w:t xml:space="preserve">3 </w:t>
      </w:r>
      <w:r>
        <w:t>modified devices based on Marcus theory.</w:t>
      </w:r>
      <w:r>
        <w:rPr>
          <w:vertAlign w:val="superscript"/>
        </w:rPr>
        <w:t>[53]</w:t>
      </w:r>
      <w:r>
        <w:t xml:space="preserve"> The total energy loss of an OSC includes three parts: radiative recombination loss (</w:t>
      </w:r>
      <m:oMath>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1</m:t>
            </m:r>
            <m:ctrlPr>
              <w:rPr>
                <w:rFonts w:ascii="Cambria Math" w:hAnsi="Cambria Math"/>
                <w:i/>
              </w:rPr>
            </m:ctrlPr>
          </m:sub>
        </m:sSub>
        <m:r>
          <m:rPr/>
          <w:rPr>
            <w:rFonts w:ascii="Cambria Math" w:hAnsi="Cambria Math"/>
          </w:rPr>
          <m:t>)</m:t>
        </m:r>
      </m:oMath>
      <w:r>
        <w:t xml:space="preserve">, charge generation </w:t>
      </w:r>
      <m:oMath>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2</m:t>
            </m:r>
            <m:ctrlPr>
              <w:rPr>
                <w:rFonts w:ascii="Cambria Math" w:hAnsi="Cambria Math"/>
                <w:i/>
              </w:rPr>
            </m:ctrlPr>
          </m:sub>
        </m:sSub>
        <m:r>
          <m:rPr/>
          <w:rPr>
            <w:rFonts w:ascii="Cambria Math" w:hAnsi="Cambria Math"/>
          </w:rPr>
          <m:t>)</m:t>
        </m:r>
      </m:oMath>
      <w:r>
        <w:rPr>
          <w:rFonts w:hint="eastAsia"/>
        </w:rPr>
        <w:t>,</w:t>
      </w:r>
      <w:r>
        <w:t xml:space="preserve"> and non-radiative recombination (</w:t>
      </w:r>
      <m:oMath>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3</m:t>
            </m:r>
            <m:ctrlPr>
              <w:rPr>
                <w:rFonts w:ascii="Cambria Math" w:hAnsi="Cambria Math"/>
                <w:i/>
              </w:rPr>
            </m:ctrlPr>
          </m:sub>
        </m:sSub>
        <m:r>
          <m:rPr/>
          <w:rPr>
            <w:rFonts w:ascii="Cambria Math" w:hAnsi="Cambria Math"/>
          </w:rPr>
          <m:t>)</m:t>
        </m:r>
      </m:oMath>
      <w:r>
        <w:t xml:space="preserve">, which can be described as the following equation: </w:t>
      </w:r>
      <w:r>
        <w:rPr>
          <w:vertAlign w:val="superscript"/>
        </w:rPr>
        <w:t>[54, 55]</w:t>
      </w:r>
    </w:p>
    <w:p>
      <w:pPr>
        <w:pStyle w:val="37"/>
        <w:spacing w:line="480" w:lineRule="auto"/>
        <w:jc w:val="both"/>
        <w:rPr>
          <w:rFonts w:eastAsiaTheme="minorEastAsia"/>
          <w:lang w:eastAsia="zh-CN"/>
        </w:rPr>
      </w:pPr>
      <m:oMathPara>
        <m:oMath>
          <m:sSub>
            <m:sSubPr>
              <m:ctrlPr>
                <w:rPr>
                  <w:rFonts w:ascii="Cambria Math" w:hAnsi="Cambria Math"/>
                  <w:i/>
                </w:rPr>
              </m:ctrlPr>
            </m:sSubPr>
            <m:e>
              <m:sSub>
                <m:sSubPr>
                  <m:ctrlPr>
                    <w:rPr>
                      <w:rFonts w:ascii="Cambria Math" w:hAnsi="Cambria Math"/>
                      <w:i/>
                    </w:rPr>
                  </m:ctrlPr>
                </m:sSubPr>
                <m:e>
                  <m:r>
                    <m:rPr/>
                    <w:rPr>
                      <w:rFonts w:ascii="Cambria Math" w:hAnsi="Cambria Math"/>
                    </w:rPr>
                    <m:t>E</m:t>
                  </m:r>
                  <m:ctrlPr>
                    <w:rPr>
                      <w:rFonts w:ascii="Cambria Math" w:hAnsi="Cambria Math"/>
                      <w:i/>
                    </w:rPr>
                  </m:ctrlPr>
                </m:e>
                <m:sub>
                  <m:r>
                    <m:rPr>
                      <m:sty m:val="p"/>
                    </m:rPr>
                    <w:rPr>
                      <w:rFonts w:ascii="Cambria Math" w:hAnsi="Cambria Math"/>
                    </w:rPr>
                    <m:t>loss</m:t>
                  </m:r>
                  <m:ctrlPr>
                    <w:rPr>
                      <w:rFonts w:ascii="Cambria Math" w:hAnsi="Cambria Math"/>
                      <w:i/>
                    </w:rPr>
                  </m:ctrlPr>
                </m:sub>
              </m:sSub>
              <m:r>
                <m:rPr/>
                <w:rPr>
                  <w:rFonts w:ascii="Cambria Math" w:hAnsi="Cambria Math"/>
                </w:rPr>
                <m:t>=E</m:t>
              </m:r>
              <m:ctrlPr>
                <w:rPr>
                  <w:rFonts w:ascii="Cambria Math" w:hAnsi="Cambria Math"/>
                  <w:i/>
                </w:rPr>
              </m:ctrlPr>
            </m:e>
            <m:sub>
              <m:r>
                <m:rPr>
                  <m:sty m:val="p"/>
                </m:rPr>
                <w:rPr>
                  <w:rFonts w:ascii="Cambria Math" w:hAnsi="Cambria Math"/>
                </w:rPr>
                <m:t>g</m:t>
              </m:r>
              <m:ctrlPr>
                <w:rPr>
                  <w:rFonts w:ascii="Cambria Math" w:hAnsi="Cambria Math"/>
                  <w:i/>
                </w:rPr>
              </m:ctrlPr>
            </m:sub>
          </m:sSub>
          <m:r>
            <m:rPr/>
            <w:rPr>
              <w:rFonts w:ascii="Cambria Math" w:hAnsi="Cambria Math"/>
            </w:rPr>
            <m:t>−e</m:t>
          </m:r>
          <m:sSub>
            <m:sSubPr>
              <m:ctrlPr>
                <w:rPr>
                  <w:rFonts w:ascii="Cambria Math" w:hAnsi="Cambria Math"/>
                  <w:i/>
                </w:rPr>
              </m:ctrlPr>
            </m:sSubPr>
            <m:e>
              <m:r>
                <m:rPr/>
                <w:rPr>
                  <w:rFonts w:ascii="Cambria Math" w:hAnsi="Cambria Math"/>
                </w:rPr>
                <m:t>V</m:t>
              </m:r>
              <m:ctrlPr>
                <w:rPr>
                  <w:rFonts w:ascii="Cambria Math" w:hAnsi="Cambria Math"/>
                  <w:i/>
                </w:rPr>
              </m:ctrlPr>
            </m:e>
            <m:sub>
              <m:r>
                <m:rPr>
                  <m:sty m:val="p"/>
                </m:rPr>
                <w:rPr>
                  <w:rFonts w:ascii="Cambria Math" w:hAnsi="Cambria Math"/>
                </w:rPr>
                <m:t>OC</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m:sty m:val="p"/>
                </m:rPr>
                <w:rPr>
                  <w:rFonts w:ascii="Cambria Math" w:hAnsi="Cambria Math"/>
                </w:rPr>
                <m:t>rad</m:t>
              </m:r>
              <m:ctrlPr>
                <w:rPr>
                  <w:rFonts w:ascii="Cambria Math" w:hAnsi="Cambria Math"/>
                  <w:i/>
                </w:rPr>
              </m:ctrlPr>
            </m:sub>
          </m:sSub>
          <m:r>
            <m:rPr/>
            <w:rPr>
              <w:rFonts w:ascii="Cambria Math" w:hAnsi="Cambria Math"/>
            </w:rPr>
            <m:t>+</m:t>
          </m:r>
          <m:d>
            <m:dPr>
              <m:ctrlPr>
                <w:rPr>
                  <w:rFonts w:ascii="Cambria Math" w:hAnsi="Cambria Math"/>
                  <w:i/>
                </w:rPr>
              </m:ctrlPr>
            </m:dPr>
            <w:bookmarkStart w:id="47" w:name="_Hlk100223894"/>
            <m:e>
              <m:sSub>
                <m:sSubPr>
                  <m:ctrlPr>
                    <w:rPr>
                      <w:rFonts w:ascii="Cambria Math" w:hAnsi="Cambria Math"/>
                      <w:i/>
                    </w:rPr>
                  </m:ctrlPr>
                </m:sSubPr>
                <w:bookmarkStart w:id="48" w:name="_Hlk100222033"/>
                <m:e>
                  <m:r>
                    <m:rPr/>
                    <w:rPr>
                      <w:rFonts w:ascii="Cambria Math" w:hAnsi="Cambria Math"/>
                    </w:rPr>
                    <m:t>E</m:t>
                  </m:r>
                  <m:ctrlPr>
                    <w:rPr>
                      <w:rFonts w:ascii="Cambria Math" w:hAnsi="Cambria Math"/>
                      <w:i/>
                    </w:rPr>
                  </m:ctrlPr>
                </m:e>
                <m:sub>
                  <m:r>
                    <m:rPr>
                      <m:sty m:val="p"/>
                    </m:rPr>
                    <w:rPr>
                      <w:rFonts w:ascii="Cambria Math" w:hAnsi="Cambria Math"/>
                    </w:rPr>
                    <m:t>g</m:t>
                  </m:r>
                  <w:bookmarkEnd w:id="48"/>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m:sty m:val="p"/>
                    </m:rPr>
                    <w:rPr>
                      <w:rFonts w:ascii="Cambria Math" w:hAnsi="Cambria Math"/>
                    </w:rPr>
                    <m:t>CT</m:t>
                  </m:r>
                  <w:bookmarkEnd w:id="47"/>
                  <m:ctrlPr>
                    <w:rPr>
                      <w:rFonts w:ascii="Cambria Math" w:hAnsi="Cambria Math"/>
                      <w:i/>
                    </w:rPr>
                  </m:ctrlPr>
                </m:sub>
              </m:sSub>
              <m:ctrlPr>
                <w:rPr>
                  <w:rFonts w:ascii="Cambria Math" w:hAnsi="Cambria Math"/>
                  <w:i/>
                </w:rPr>
              </m:ctrlPr>
            </m:e>
          </m:d>
          <m:r>
            <m:rPr/>
            <w:rPr>
              <w:rFonts w:ascii="Cambria Math" w:hAnsi="Cambria Math"/>
            </w:rPr>
            <m:t>+∆</m:t>
          </m:r>
          <w:bookmarkStart w:id="49" w:name="_Hlk100219058"/>
          <m:sSub>
            <m:sSubPr>
              <m:ctrlPr>
                <w:rPr>
                  <w:rFonts w:ascii="Cambria Math" w:hAnsi="Cambria Math"/>
                  <w:i/>
                </w:rPr>
              </m:ctrlPr>
            </m:sSubPr>
            <m:e>
              <m:r>
                <m:rPr/>
                <w:rPr>
                  <w:rFonts w:ascii="Cambria Math" w:hAnsi="Cambria Math"/>
                </w:rPr>
                <m:t>E</m:t>
              </m:r>
              <m:ctrlPr>
                <w:rPr>
                  <w:rFonts w:ascii="Cambria Math" w:hAnsi="Cambria Math"/>
                  <w:i/>
                </w:rPr>
              </m:ctrlPr>
            </m:e>
            <m:sub>
              <m:r>
                <m:rPr>
                  <m:sty m:val="p"/>
                </m:rPr>
                <w:rPr>
                  <w:rFonts w:ascii="Cambria Math" w:hAnsi="Cambria Math"/>
                </w:rPr>
                <m:t>non−rad</m:t>
              </m:r>
              <w:bookmarkEnd w:id="49"/>
              <m:ctrlPr>
                <w:rPr>
                  <w:rFonts w:ascii="Cambria Math" w:hAnsi="Cambria Math"/>
                  <w:i/>
                </w:rPr>
              </m:ctrlPr>
            </m:sub>
          </m:sSub>
        </m:oMath>
      </m:oMathPara>
    </w:p>
    <w:p>
      <w:pPr>
        <w:pStyle w:val="37"/>
        <w:spacing w:line="480" w:lineRule="auto"/>
        <w:ind w:firstLine="360" w:firstLineChars="150"/>
        <w:jc w:val="both"/>
      </w:pPr>
      <m:oMathPara>
        <m:oMathParaPr>
          <m:jc m:val="center"/>
        </m:oMathParaPr>
        <m:oMath>
          <m:r>
            <m:rPr/>
            <w:rPr>
              <w:rFonts w:ascii="Cambria Math" w:hAnsi="Cambria Math"/>
            </w:rPr>
            <m:t>=</m:t>
          </m:r>
          <w:bookmarkStart w:id="50" w:name="OLE_LINK1"/>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1</m:t>
              </m:r>
              <m:ctrlPr>
                <w:rPr>
                  <w:rFonts w:ascii="Cambria Math" w:hAnsi="Cambria Math"/>
                  <w:i/>
                </w:rPr>
              </m:ctrlPr>
              <w:bookmarkEnd w:id="50"/>
            </m:sub>
          </m:sSub>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2</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3</m:t>
              </m:r>
              <m:ctrlPr>
                <w:rPr>
                  <w:rFonts w:ascii="Cambria Math" w:hAnsi="Cambria Math"/>
                  <w:i/>
                </w:rPr>
              </m:ctrlPr>
            </m:sub>
          </m:sSub>
        </m:oMath>
      </m:oMathPara>
    </w:p>
    <w:p>
      <w:pPr>
        <w:pStyle w:val="37"/>
        <w:spacing w:line="480" w:lineRule="auto"/>
        <w:jc w:val="both"/>
        <w:rPr>
          <w:vertAlign w:val="subscript"/>
        </w:rPr>
      </w:pPr>
      <w:r>
        <w:t xml:space="preserve">where </w:t>
      </w:r>
      <m:oMath>
        <m:sSub>
          <m:sSubPr>
            <m:ctrlPr>
              <w:rPr>
                <w:rFonts w:ascii="Cambria Math" w:hAnsi="Cambria Math"/>
                <w:i/>
              </w:rPr>
            </m:ctrlPr>
          </m:sSubPr>
          <w:bookmarkStart w:id="51" w:name="_Hlk100219683"/>
          <m:e>
            <m:r>
              <m:rPr/>
              <w:rPr>
                <w:rFonts w:ascii="Cambria Math" w:hAnsi="Cambria Math"/>
              </w:rPr>
              <m:t>E</m:t>
            </m:r>
            <m:ctrlPr>
              <w:rPr>
                <w:rFonts w:ascii="Cambria Math" w:hAnsi="Cambria Math"/>
                <w:i/>
              </w:rPr>
            </m:ctrlPr>
          </m:e>
          <m:sub>
            <m:r>
              <m:rPr/>
              <w:rPr>
                <w:rFonts w:ascii="Cambria Math" w:hAnsi="Cambria Math"/>
              </w:rPr>
              <m:t>g</m:t>
            </m:r>
            <w:bookmarkEnd w:id="51"/>
            <m:ctrlPr>
              <w:rPr>
                <w:rFonts w:ascii="Cambria Math" w:hAnsi="Cambria Math"/>
                <w:i/>
              </w:rPr>
            </m:ctrlPr>
          </m:sub>
        </m:sSub>
      </m:oMath>
      <w:r>
        <w:rPr>
          <w:rFonts w:hint="eastAsia"/>
        </w:rPr>
        <w:t xml:space="preserve"> </w:t>
      </w:r>
      <w:r>
        <w:t xml:space="preserve">is the optical bandgap of the device,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CT</m:t>
            </m:r>
            <m:ctrlPr>
              <w:rPr>
                <w:rFonts w:ascii="Cambria Math" w:hAnsi="Cambria Math"/>
                <w:i/>
              </w:rPr>
            </m:ctrlPr>
          </m:sub>
        </m:sSub>
      </m:oMath>
      <w:r>
        <w:rPr>
          <w:rFonts w:hint="eastAsia"/>
        </w:rPr>
        <w:t xml:space="preserve"> </w:t>
      </w:r>
      <w:r>
        <w:t>is the charge transfer (CT) energy state. F</w:t>
      </w:r>
      <w:r>
        <w:rPr>
          <w:rFonts w:hint="eastAsia"/>
        </w:rPr>
        <w:t>irstly</w:t>
      </w:r>
      <w:r>
        <w:t xml:space="preserve">, we estimated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g</m:t>
            </m:r>
            <m:ctrlPr>
              <w:rPr>
                <w:rFonts w:ascii="Cambria Math" w:hAnsi="Cambria Math"/>
                <w:i/>
              </w:rPr>
            </m:ctrlPr>
          </m:sub>
        </m:sSub>
      </m:oMath>
      <w:r>
        <w:rPr>
          <w:rFonts w:hint="eastAsia"/>
        </w:rPr>
        <w:t xml:space="preserve"> </w:t>
      </w:r>
      <w:r>
        <w:t>of the two kinds of devices from the crossing points of the normalized electroluminescence (EL) and EQE spectra (</w:t>
      </w:r>
      <w:r>
        <w:rPr>
          <w:b/>
          <w:bCs/>
        </w:rPr>
        <w:t>Figure S7</w:t>
      </w:r>
      <w:r>
        <w:t>).</w:t>
      </w:r>
      <w:r>
        <w:rPr>
          <w:vertAlign w:val="superscript"/>
        </w:rPr>
        <w:t>[56]</w:t>
      </w:r>
      <w:r>
        <w:t xml:space="preserve">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g</m:t>
            </m:r>
            <m:ctrlPr>
              <w:rPr>
                <w:rFonts w:ascii="Cambria Math" w:hAnsi="Cambria Math"/>
                <w:i/>
              </w:rPr>
            </m:ctrlPr>
          </m:sub>
        </m:sSub>
      </m:oMath>
      <w:r>
        <w:t xml:space="preserve"> were 1.403 eV for the control devices and 1.400 eV for the devices with 3 cycles ALD</w:t>
      </w:r>
      <w:bookmarkStart w:id="52" w:name="_Hlk111122916"/>
      <w:r>
        <w:t>-Al</w:t>
      </w:r>
      <w:r>
        <w:rPr>
          <w:vertAlign w:val="subscript"/>
        </w:rPr>
        <w:t>2</w:t>
      </w:r>
      <w:r>
        <w:t>O</w:t>
      </w:r>
      <w:r>
        <w:rPr>
          <w:vertAlign w:val="subscript"/>
        </w:rPr>
        <w:t>3</w:t>
      </w:r>
      <w:bookmarkEnd w:id="52"/>
      <w:r>
        <w:t>.</w:t>
      </w:r>
      <w:r>
        <w:rPr>
          <w:rFonts w:hint="eastAsia"/>
        </w:rPr>
        <w:t xml:space="preserve"> </w:t>
      </w:r>
      <w:r>
        <w:t xml:space="preserve">Next,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CT</m:t>
            </m:r>
            <m:ctrlPr>
              <w:rPr>
                <w:rFonts w:ascii="Cambria Math" w:hAnsi="Cambria Math"/>
                <w:i/>
              </w:rPr>
            </m:ctrlPr>
          </m:sub>
        </m:sSub>
      </m:oMath>
      <w:r>
        <w:rPr>
          <w:rFonts w:hint="eastAsia"/>
        </w:rPr>
        <w:t xml:space="preserve"> </w:t>
      </w:r>
      <w:r>
        <w:t>can be estimated by simultaneously fitting the lower energy regions of highly sensitive EQE (s-EQE) and EL spectra.</w:t>
      </w:r>
      <w:r>
        <w:rPr>
          <w:vertAlign w:val="superscript"/>
        </w:rPr>
        <w:t>[57]</w:t>
      </w:r>
      <w:r>
        <w:t xml:space="preserve"> </w:t>
      </w:r>
      <m:oMath>
        <w:bookmarkStart w:id="53" w:name="_Hlk111117880"/>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2</m:t>
            </m:r>
            <m:ctrlPr>
              <w:rPr>
                <w:rFonts w:ascii="Cambria Math" w:hAnsi="Cambria Math"/>
                <w:i/>
              </w:rPr>
            </m:ctrlPr>
            <w:bookmarkEnd w:id="53"/>
          </m:sub>
        </m:sSub>
      </m:oMath>
      <w:r>
        <w:rPr>
          <w:rFonts w:hint="eastAsia"/>
        </w:rPr>
        <w:t xml:space="preserve"> </w:t>
      </w:r>
      <w:r>
        <w:t xml:space="preserve">can then be determined by the formula </w:t>
      </w:r>
      <m:oMath>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2</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g</m:t>
            </m:r>
            <m:ctrlPr>
              <w:rPr>
                <w:rFonts w:ascii="Cambria Math" w:hAnsi="Cambria Math"/>
                <w:i/>
              </w:rPr>
            </m:ctrlPr>
          </m:sub>
        </m:sSub>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CT</m:t>
            </m:r>
            <m:ctrlPr>
              <w:rPr>
                <w:rFonts w:ascii="Cambria Math" w:hAnsi="Cambria Math"/>
                <w:i/>
              </w:rPr>
            </m:ctrlPr>
          </m:sub>
        </m:sSub>
      </m:oMath>
      <w:r>
        <w:rPr>
          <w:rFonts w:hint="eastAsia"/>
        </w:rPr>
        <w:t>,</w:t>
      </w:r>
      <w:r>
        <w:t xml:space="preserve"> which is related to the energetic difference between singlet excited states and charge transfer states.</w:t>
      </w:r>
      <w:r>
        <w:rPr>
          <w:vertAlign w:val="superscript"/>
        </w:rPr>
        <w:t>[58]</w:t>
      </w:r>
      <w:r>
        <w:t xml:space="preserve"> As seen, the devices modified with 3 cycles ALD-Al</w:t>
      </w:r>
      <w:r>
        <w:rPr>
          <w:vertAlign w:val="subscript"/>
        </w:rPr>
        <w:t>2</w:t>
      </w:r>
      <w:r>
        <w:t>O</w:t>
      </w:r>
      <w:r>
        <w:rPr>
          <w:vertAlign w:val="subscript"/>
        </w:rPr>
        <w:t>3</w:t>
      </w:r>
      <w:r>
        <w:t xml:space="preserve"> exhibited similar </w:t>
      </w:r>
      <m:oMath>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CT</m:t>
            </m:r>
            <m:ctrlPr>
              <w:rPr>
                <w:rFonts w:ascii="Cambria Math" w:hAnsi="Cambria Math"/>
                <w:i/>
              </w:rPr>
            </m:ctrlPr>
          </m:sub>
        </m:sSub>
      </m:oMath>
      <w:r>
        <w:rPr>
          <w:rFonts w:hint="eastAsia"/>
        </w:rPr>
        <w:t xml:space="preserve"> </w:t>
      </w:r>
      <w:r>
        <w:t>with the control devices, resulting in</w:t>
      </w:r>
      <w:r>
        <w:rPr>
          <w:rFonts w:hint="eastAsia"/>
        </w:rPr>
        <w:t xml:space="preserve"> </w:t>
      </w:r>
      <w:r>
        <w:t xml:space="preserve">comparable </w:t>
      </w:r>
      <m:oMath>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2</m:t>
            </m:r>
            <m:ctrlPr>
              <w:rPr>
                <w:rFonts w:ascii="Cambria Math" w:hAnsi="Cambria Math"/>
                <w:i/>
              </w:rPr>
            </m:ctrlPr>
          </m:sub>
        </m:sSub>
      </m:oMath>
      <w:r>
        <w:t xml:space="preserve"> </w:t>
      </w:r>
      <w:r>
        <w:rPr>
          <w:b/>
          <w:bCs/>
        </w:rPr>
        <w:t>(Figures 6</w:t>
      </w:r>
      <w:r>
        <w:rPr>
          <w:rFonts w:hint="eastAsia"/>
          <w:b/>
          <w:bCs/>
        </w:rPr>
        <w:t>a</w:t>
      </w:r>
      <w:r>
        <w:rPr>
          <w:b/>
          <w:bCs/>
        </w:rPr>
        <w:t xml:space="preserve"> and 6b)</w:t>
      </w:r>
      <w:r>
        <w:t xml:space="preserve">. </w:t>
      </w:r>
      <m:oMath>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1</m:t>
            </m:r>
            <m:ctrlPr>
              <w:rPr>
                <w:rFonts w:ascii="Cambria Math" w:hAnsi="Cambria Math"/>
                <w:i/>
              </w:rPr>
            </m:ctrlPr>
          </m:sub>
        </m:sSub>
      </m:oMath>
      <w:r>
        <w:rPr>
          <w:rFonts w:hint="eastAsia"/>
        </w:rPr>
        <w:t xml:space="preserve"> is</w:t>
      </w:r>
      <w:r>
        <w:t xml:space="preserve"> induced by radiative recombination, which is unavoidable for all kinds of OSCs. </w:t>
      </w:r>
      <m:oMath>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3</m:t>
            </m:r>
            <m:ctrlPr>
              <w:rPr>
                <w:rFonts w:ascii="Cambria Math" w:hAnsi="Cambria Math"/>
                <w:i/>
              </w:rPr>
            </m:ctrlPr>
          </m:sub>
        </m:sSub>
      </m:oMath>
      <w:r>
        <w:rPr>
          <w:rFonts w:hint="eastAsia"/>
        </w:rPr>
        <w:t xml:space="preserve"> </w:t>
      </w:r>
      <w:r>
        <w:t>is the energy loss originating from non radiative resomibanition, which is the main cause for the large energy loss</w:t>
      </w:r>
      <w:r>
        <w:rPr>
          <w:rFonts w:hint="eastAsia"/>
        </w:rPr>
        <w:t xml:space="preserve"> </w:t>
      </w:r>
      <w:r>
        <w:t xml:space="preserve">of OSCs, it can be quantified by the equation: </w:t>
      </w:r>
      <m:oMath>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3</m:t>
            </m:r>
            <m:ctrlPr>
              <w:rPr>
                <w:rFonts w:ascii="Cambria Math" w:hAnsi="Cambria Math"/>
                <w:i/>
              </w:rPr>
            </m:ctrlPr>
          </m:sub>
        </m:sSub>
        <m:r>
          <m:rPr/>
          <w:rPr>
            <w:rFonts w:ascii="Cambria Math" w:hAnsi="Cambria Math"/>
          </w:rPr>
          <m:t>=−kTln(</m:t>
        </m:r>
        <m:sSub>
          <m:sSubPr>
            <m:ctrlPr>
              <w:rPr>
                <w:rFonts w:ascii="Cambria Math" w:hAnsi="Cambria Math"/>
                <w:i/>
              </w:rPr>
            </m:ctrlPr>
          </m:sSubPr>
          <m:e>
            <m:r>
              <m:rPr/>
              <w:rPr>
                <w:rFonts w:ascii="Cambria Math" w:hAnsi="Cambria Math"/>
              </w:rPr>
              <m:t>EQE</m:t>
            </m:r>
            <m:ctrlPr>
              <w:rPr>
                <w:rFonts w:ascii="Cambria Math" w:hAnsi="Cambria Math"/>
                <w:i/>
              </w:rPr>
            </m:ctrlPr>
          </m:e>
          <m:sub>
            <m:r>
              <m:rPr/>
              <w:rPr>
                <w:rFonts w:ascii="Cambria Math" w:hAnsi="Cambria Math"/>
              </w:rPr>
              <m:t>EL</m:t>
            </m:r>
            <m:ctrlPr>
              <w:rPr>
                <w:rFonts w:ascii="Cambria Math" w:hAnsi="Cambria Math"/>
                <w:i/>
              </w:rPr>
            </m:ctrlPr>
          </m:sub>
        </m:sSub>
        <m:r>
          <m:rPr/>
          <w:rPr>
            <w:rFonts w:ascii="Cambria Math" w:hAnsi="Cambria Math"/>
          </w:rPr>
          <m:t>)</m:t>
        </m:r>
      </m:oMath>
      <w:r>
        <w:t xml:space="preserve">, where </w:t>
      </w:r>
      <w:r>
        <w:rPr>
          <w:i/>
          <w:iCs/>
        </w:rPr>
        <w:t>k</w:t>
      </w:r>
      <w:r>
        <w:t xml:space="preserve"> is Boltzmann constant, </w:t>
      </w:r>
      <w:r>
        <w:rPr>
          <w:i/>
          <w:iCs/>
        </w:rPr>
        <w:t>T</w:t>
      </w:r>
      <w:r>
        <w:t xml:space="preserve"> is temperature and</w:t>
      </w:r>
      <m:oMath>
        <m:r>
          <m:rPr/>
          <w:rPr>
            <w:rFonts w:ascii="Cambria Math" w:hAnsi="Cambria Math"/>
          </w:rPr>
          <m:t xml:space="preserve"> </m:t>
        </m:r>
        <m:sSub>
          <m:sSubPr>
            <m:ctrlPr>
              <w:rPr>
                <w:rFonts w:ascii="Cambria Math" w:hAnsi="Cambria Math"/>
                <w:i/>
              </w:rPr>
            </m:ctrlPr>
          </m:sSubPr>
          <m:e>
            <m:r>
              <m:rPr/>
              <w:rPr>
                <w:rFonts w:ascii="Cambria Math" w:hAnsi="Cambria Math"/>
              </w:rPr>
              <m:t>EQE</m:t>
            </m:r>
            <m:ctrlPr>
              <w:rPr>
                <w:rFonts w:ascii="Cambria Math" w:hAnsi="Cambria Math"/>
                <w:i/>
              </w:rPr>
            </m:ctrlPr>
          </m:e>
          <m:sub>
            <m:r>
              <m:rPr/>
              <w:rPr>
                <w:rFonts w:ascii="Cambria Math" w:hAnsi="Cambria Math"/>
              </w:rPr>
              <m:t>EL</m:t>
            </m:r>
            <m:ctrlPr>
              <w:rPr>
                <w:rFonts w:ascii="Cambria Math" w:hAnsi="Cambria Math"/>
                <w:i/>
              </w:rPr>
            </m:ctrlPr>
          </m:sub>
        </m:sSub>
      </m:oMath>
      <w:r>
        <w:t xml:space="preserve"> is external quantum efficiency of EL. As displayed in </w:t>
      </w:r>
      <w:r>
        <w:rPr>
          <w:b/>
          <w:bCs/>
        </w:rPr>
        <w:t>Figure 6c</w:t>
      </w:r>
      <w:r>
        <w:t xml:space="preserve">, </w:t>
      </w:r>
      <m:oMath>
        <m:sSub>
          <m:sSubPr>
            <m:ctrlPr>
              <w:rPr>
                <w:rFonts w:ascii="Cambria Math" w:hAnsi="Cambria Math"/>
                <w:i/>
              </w:rPr>
            </m:ctrlPr>
          </m:sSubPr>
          <m:e>
            <m:r>
              <m:rPr/>
              <w:rPr>
                <w:rFonts w:ascii="Cambria Math" w:hAnsi="Cambria Math"/>
              </w:rPr>
              <m:t>EQE</m:t>
            </m:r>
            <m:ctrlPr>
              <w:rPr>
                <w:rFonts w:ascii="Cambria Math" w:hAnsi="Cambria Math"/>
                <w:i/>
              </w:rPr>
            </m:ctrlPr>
          </m:e>
          <m:sub>
            <m:r>
              <m:rPr/>
              <w:rPr>
                <w:rFonts w:ascii="Cambria Math" w:hAnsi="Cambria Math"/>
              </w:rPr>
              <m:t>EL</m:t>
            </m:r>
            <m:ctrlPr>
              <w:rPr>
                <w:rFonts w:ascii="Cambria Math" w:hAnsi="Cambria Math"/>
                <w:i/>
              </w:rPr>
            </m:ctrlPr>
          </m:sub>
        </m:sSub>
      </m:oMath>
      <w:r>
        <w:rPr>
          <w:rFonts w:hint="eastAsia"/>
        </w:rPr>
        <w:t xml:space="preserve"> </w:t>
      </w:r>
      <w:r>
        <w:t>of the control devices and ALD-Al</w:t>
      </w:r>
      <w:r>
        <w:rPr>
          <w:vertAlign w:val="subscript"/>
        </w:rPr>
        <w:t>2</w:t>
      </w:r>
      <w:r>
        <w:t>O</w:t>
      </w:r>
      <w:r>
        <w:rPr>
          <w:vertAlign w:val="subscript"/>
        </w:rPr>
        <w:t xml:space="preserve">3 </w:t>
      </w:r>
      <w:r>
        <w:t>treated devices are 0.61</w:t>
      </w:r>
      <w:r>
        <w:rPr>
          <w:rFonts w:hint="eastAsia"/>
        </w:rPr>
        <w:t>×</w:t>
      </w:r>
      <w:r>
        <w:t>10</w:t>
      </w:r>
      <w:r>
        <w:rPr>
          <w:rFonts w:hint="eastAsia"/>
          <w:vertAlign w:val="superscript"/>
        </w:rPr>
        <w:t>-</w:t>
      </w:r>
      <w:r>
        <w:rPr>
          <w:vertAlign w:val="superscript"/>
        </w:rPr>
        <w:t>4</w:t>
      </w:r>
      <w:r>
        <w:rPr>
          <w:rFonts w:hint="eastAsia"/>
        </w:rPr>
        <w:t>,</w:t>
      </w:r>
      <w:r>
        <w:t xml:space="preserve"> 1.12 </w:t>
      </w:r>
      <w:r>
        <w:rPr>
          <w:rFonts w:hint="eastAsia"/>
        </w:rPr>
        <w:t>×</w:t>
      </w:r>
      <w:r>
        <w:t>10</w:t>
      </w:r>
      <w:r>
        <w:rPr>
          <w:rFonts w:hint="eastAsia"/>
          <w:vertAlign w:val="superscript"/>
        </w:rPr>
        <w:t>-</w:t>
      </w:r>
      <w:r>
        <w:rPr>
          <w:vertAlign w:val="superscript"/>
        </w:rPr>
        <w:t>4</w:t>
      </w:r>
      <w:r>
        <w:rPr>
          <w:rFonts w:hint="eastAsia"/>
        </w:rPr>
        <w:t>,</w:t>
      </w:r>
      <w:r>
        <w:t xml:space="preserve"> </w:t>
      </w:r>
      <w:r>
        <w:rPr>
          <w:rFonts w:hint="eastAsia"/>
        </w:rPr>
        <w:t>respec</w:t>
      </w:r>
      <w:r>
        <w:t xml:space="preserve">tively. Correspondingly, </w:t>
      </w:r>
      <m:oMath>
        <w:bookmarkStart w:id="54" w:name="_Hlk111123409"/>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3</m:t>
            </m:r>
            <w:bookmarkEnd w:id="54"/>
            <m:ctrlPr>
              <w:rPr>
                <w:rFonts w:ascii="Cambria Math" w:hAnsi="Cambria Math"/>
                <w:i/>
              </w:rPr>
            </m:ctrlPr>
          </m:sub>
        </m:sSub>
      </m:oMath>
      <w:r>
        <w:rPr>
          <w:rFonts w:hint="eastAsia"/>
        </w:rPr>
        <w:t xml:space="preserve"> </w:t>
      </w:r>
      <w:r>
        <w:t>are 0.251 eV for the control devices and 0.235 eV for the 3 cycles ALD-Al</w:t>
      </w:r>
      <w:r>
        <w:rPr>
          <w:vertAlign w:val="subscript"/>
        </w:rPr>
        <w:t>2</w:t>
      </w:r>
      <w:r>
        <w:t>O</w:t>
      </w:r>
      <w:r>
        <w:rPr>
          <w:vertAlign w:val="subscript"/>
        </w:rPr>
        <w:t xml:space="preserve">3 </w:t>
      </w:r>
      <w:r>
        <w:t xml:space="preserve">introduced devices. The suppressed </w:t>
      </w:r>
      <m:oMath>
        <m:r>
          <m:rPr/>
          <w:rPr>
            <w:rFonts w:ascii="Cambria Math" w:hAnsi="Cambria Math"/>
          </w:rPr>
          <m:t>∆</m:t>
        </m:r>
        <m:sSub>
          <m:sSubPr>
            <m:ctrlPr>
              <w:rPr>
                <w:rFonts w:ascii="Cambria Math" w:hAnsi="Cambria Math"/>
                <w:i/>
              </w:rPr>
            </m:ctrlPr>
          </m:sSubPr>
          <m:e>
            <m:r>
              <m:rPr/>
              <w:rPr>
                <w:rFonts w:ascii="Cambria Math" w:hAnsi="Cambria Math"/>
              </w:rPr>
              <m:t>E</m:t>
            </m:r>
            <m:ctrlPr>
              <w:rPr>
                <w:rFonts w:ascii="Cambria Math" w:hAnsi="Cambria Math"/>
                <w:i/>
              </w:rPr>
            </m:ctrlPr>
          </m:e>
          <m:sub>
            <m:r>
              <m:rPr/>
              <w:rPr>
                <w:rFonts w:ascii="Cambria Math" w:hAnsi="Cambria Math"/>
              </w:rPr>
              <m:t>3</m:t>
            </m:r>
            <m:ctrlPr>
              <w:rPr>
                <w:rFonts w:ascii="Cambria Math" w:hAnsi="Cambria Math"/>
                <w:i/>
              </w:rPr>
            </m:ctrlPr>
          </m:sub>
        </m:sSub>
      </m:oMath>
      <w:r>
        <w:rPr>
          <w:rFonts w:hint="eastAsia"/>
        </w:rPr>
        <w:t xml:space="preserve"> </w:t>
      </w:r>
      <w:r>
        <w:t>of ALD-Al</w:t>
      </w:r>
      <w:r>
        <w:rPr>
          <w:vertAlign w:val="subscript"/>
        </w:rPr>
        <w:t>2</w:t>
      </w:r>
      <w:r>
        <w:t>O</w:t>
      </w:r>
      <w:r>
        <w:rPr>
          <w:vertAlign w:val="subscript"/>
        </w:rPr>
        <w:t xml:space="preserve">3 </w:t>
      </w:r>
      <w:r>
        <w:t>treated devices indicates that the ALD-Al</w:t>
      </w:r>
      <w:r>
        <w:rPr>
          <w:vertAlign w:val="subscript"/>
        </w:rPr>
        <w:t>2</w:t>
      </w:r>
      <w:r>
        <w:t>O</w:t>
      </w:r>
      <w:r>
        <w:rPr>
          <w:vertAlign w:val="subscript"/>
        </w:rPr>
        <w:t xml:space="preserve">3 </w:t>
      </w:r>
      <w:r>
        <w:t xml:space="preserve">passivation interlayer can inhibit charge recombination loss in devices, which coincides with the results from </w:t>
      </w:r>
      <m:oMath>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OC</m:t>
            </m:r>
            <m:ctrlPr>
              <w:rPr>
                <w:rFonts w:ascii="Cambria Math" w:hAnsi="Cambria Math"/>
                <w:i/>
              </w:rPr>
            </m:ctrlPr>
          </m:sub>
        </m:sSub>
      </m:oMath>
      <w:r>
        <w:t xml:space="preserve"> and </w:t>
      </w:r>
      <m:oMath>
        <m:sSub>
          <m:sSubPr>
            <m:ctrlPr>
              <w:rPr>
                <w:rFonts w:ascii="Cambria Math" w:hAnsi="Cambria Math"/>
                <w:i/>
              </w:rPr>
            </m:ctrlPr>
          </m:sSubPr>
          <m:e>
            <m:r>
              <m:rPr/>
              <w:rPr>
                <w:rFonts w:ascii="Cambria Math" w:hAnsi="Cambria Math"/>
              </w:rPr>
              <m:t>J</m:t>
            </m:r>
            <m:ctrlPr>
              <w:rPr>
                <w:rFonts w:ascii="Cambria Math" w:hAnsi="Cambria Math"/>
                <w:i/>
              </w:rPr>
            </m:ctrlPr>
          </m:e>
          <m:sub>
            <m:r>
              <m:rPr/>
              <w:rPr>
                <w:rFonts w:ascii="Cambria Math" w:hAnsi="Cambria Math"/>
              </w:rPr>
              <m:t>SC</m:t>
            </m:r>
            <m:ctrlPr>
              <w:rPr>
                <w:rFonts w:ascii="Cambria Math" w:hAnsi="Cambria Math"/>
                <w:i/>
              </w:rPr>
            </m:ctrlPr>
          </m:sub>
        </m:sSub>
      </m:oMath>
      <w:r>
        <w:rPr>
          <w:rFonts w:hint="eastAsia"/>
        </w:rPr>
        <w:t xml:space="preserve"> </w:t>
      </w:r>
      <w:r>
        <w:t>versus light intensity measurements (</w:t>
      </w:r>
      <w:r>
        <w:rPr>
          <w:b/>
          <w:bCs/>
        </w:rPr>
        <w:t xml:space="preserve">Figure 5b </w:t>
      </w:r>
      <w:r>
        <w:t xml:space="preserve">and </w:t>
      </w:r>
      <w:r>
        <w:rPr>
          <w:b/>
          <w:bCs/>
        </w:rPr>
        <w:t>5c</w:t>
      </w:r>
      <w:r>
        <w:t xml:space="preserve">). </w:t>
      </w:r>
      <w:r>
        <w:rPr>
          <w:b/>
          <w:bCs/>
        </w:rPr>
        <w:t xml:space="preserve">Table 2 </w:t>
      </w:r>
      <w:r>
        <w:t>summarizes the detailed parameters extracted from the measurements, the energy losses</w:t>
      </w:r>
      <w:r>
        <w:rPr>
          <w:rFonts w:hint="eastAsia"/>
        </w:rPr>
        <w:t xml:space="preserve"> </w:t>
      </w:r>
      <w:r>
        <w:t xml:space="preserve">for the devices are compared in </w:t>
      </w:r>
      <w:r>
        <w:rPr>
          <w:b/>
          <w:bCs/>
        </w:rPr>
        <w:t>Figure 6d</w:t>
      </w:r>
      <w:r>
        <w:t>.</w:t>
      </w:r>
    </w:p>
    <w:p>
      <w:pPr>
        <w:pStyle w:val="33"/>
      </w:pPr>
      <w:r>
        <w:t xml:space="preserve">2.4. </w:t>
      </w:r>
      <w:r>
        <w:rPr>
          <w:bCs/>
          <w:lang w:val="de-DE"/>
        </w:rPr>
        <w:t>Device Stability</w:t>
      </w:r>
    </w:p>
    <w:p>
      <w:pPr>
        <w:pStyle w:val="37"/>
        <w:spacing w:line="480" w:lineRule="auto"/>
        <w:ind w:firstLine="480" w:firstLineChars="200"/>
        <w:jc w:val="both"/>
      </w:pPr>
      <w:r>
        <w:t xml:space="preserve">Besides device efficiency, stability is also a crucial parameter for OSCs. As known, photodegradation of </w:t>
      </w:r>
      <w:r>
        <w:rPr>
          <w:rFonts w:hint="eastAsia"/>
        </w:rPr>
        <w:t>t</w:t>
      </w:r>
      <w:r>
        <w:t xml:space="preserve">he photoactive materials mainly causes deterioration of </w:t>
      </w:r>
      <w:r>
        <w:rPr>
          <w:rFonts w:hint="eastAsia"/>
        </w:rPr>
        <w:t>device</w:t>
      </w:r>
      <w:r>
        <w:t xml:space="preserve"> performance, which is a complex process. To evaluate the ambient stability of our devices, we measured 12 hours evolution of </w:t>
      </w:r>
      <w:r>
        <w:rPr>
          <w:i/>
          <w:iCs/>
        </w:rPr>
        <w:t>J-V</w:t>
      </w:r>
      <w:r>
        <w:t xml:space="preserve"> curves for unencapsulated devices with and without </w:t>
      </w:r>
      <w:bookmarkStart w:id="55" w:name="_Hlk111630056"/>
      <w:r>
        <w:t>ALD-Al</w:t>
      </w:r>
      <w:r>
        <w:rPr>
          <w:vertAlign w:val="subscript"/>
        </w:rPr>
        <w:t>2</w:t>
      </w:r>
      <w:r>
        <w:t>O</w:t>
      </w:r>
      <w:r>
        <w:rPr>
          <w:vertAlign w:val="subscript"/>
        </w:rPr>
        <w:t>3</w:t>
      </w:r>
      <w:r>
        <w:t xml:space="preserve"> </w:t>
      </w:r>
      <w:bookmarkEnd w:id="55"/>
      <w:r>
        <w:t>under</w:t>
      </w:r>
      <w:bookmarkStart w:id="56" w:name="_Hlk114128679"/>
      <w:r>
        <w:t xml:space="preserve"> UV light</w:t>
      </w:r>
      <w:bookmarkEnd w:id="56"/>
      <w:r>
        <w:t xml:space="preserve"> </w:t>
      </w:r>
      <w:bookmarkStart w:id="57" w:name="_Hlk114128579"/>
      <w:r>
        <w:t>in ambient condition</w:t>
      </w:r>
      <w:bookmarkEnd w:id="57"/>
      <w:r>
        <w:t xml:space="preserve">s. As shown in </w:t>
      </w:r>
      <w:r>
        <w:rPr>
          <w:b/>
          <w:bCs/>
        </w:rPr>
        <w:t xml:space="preserve">Figure 7a-b </w:t>
      </w:r>
      <w:r>
        <w:t xml:space="preserve">and </w:t>
      </w:r>
      <w:r>
        <w:rPr>
          <w:b/>
          <w:bCs/>
        </w:rPr>
        <w:t>Table S</w:t>
      </w:r>
      <w:r>
        <w:rPr>
          <w:rFonts w:hint="eastAsia"/>
          <w:b/>
          <w:bCs/>
        </w:rPr>
        <w:t>5</w:t>
      </w:r>
      <w:r>
        <w:t>, the PCE of 15.63% for the control devices decreased to 5.94% after 12 hours of constant UV illumination, only retaining 38% of the initial PCE. However, for the devices with 3 cycles ALD-Al</w:t>
      </w:r>
      <w:r>
        <w:rPr>
          <w:vertAlign w:val="subscript"/>
        </w:rPr>
        <w:t>2</w:t>
      </w:r>
      <w:r>
        <w:t>O</w:t>
      </w:r>
      <w:r>
        <w:rPr>
          <w:vertAlign w:val="subscript"/>
        </w:rPr>
        <w:t>3</w:t>
      </w:r>
      <w:r>
        <w:t>, the PCE decreased from</w:t>
      </w:r>
      <w:r>
        <w:rPr>
          <w:vertAlign w:val="subscript"/>
        </w:rPr>
        <w:t xml:space="preserve"> </w:t>
      </w:r>
      <w:r>
        <w:t>16.61% to 14.05%, which retained ~85% of the initial PCE.</w:t>
      </w:r>
      <w:r>
        <w:rPr>
          <w:rFonts w:hint="eastAsia"/>
        </w:rPr>
        <w:t xml:space="preserve"> </w:t>
      </w:r>
      <w:r>
        <w:t>T</w:t>
      </w:r>
      <w:r>
        <w:rPr>
          <w:rFonts w:hint="eastAsia"/>
        </w:rPr>
        <w:t>h</w:t>
      </w:r>
      <w:r>
        <w:t>ese results manifested that ALD-Al</w:t>
      </w:r>
      <w:r>
        <w:rPr>
          <w:vertAlign w:val="subscript"/>
        </w:rPr>
        <w:t>2</w:t>
      </w:r>
      <w:r>
        <w:t>O</w:t>
      </w:r>
      <w:r>
        <w:rPr>
          <w:vertAlign w:val="subscript"/>
        </w:rPr>
        <w:t>3</w:t>
      </w:r>
      <w:r>
        <w:t xml:space="preserve"> interlayers can effectively lower the photocatalytic activity of ZnO, thus reducing the hydroxyl radicals that could react with NFA, thereby preventing the photoactive molecules from degradation.</w:t>
      </w:r>
      <w:r>
        <w:rPr>
          <w:vertAlign w:val="superscript"/>
        </w:rPr>
        <w:t>[20]</w:t>
      </w:r>
      <w:r>
        <w:rPr>
          <w:rFonts w:hint="eastAsia"/>
        </w:rPr>
        <w:t xml:space="preserve"> </w:t>
      </w:r>
      <w:r>
        <w:t>M</w:t>
      </w:r>
      <w:r>
        <w:rPr>
          <w:rFonts w:hint="eastAsia"/>
        </w:rPr>
        <w:t>o</w:t>
      </w:r>
      <w:r>
        <w:t>reover, we investigated the influence of ALD-Al</w:t>
      </w:r>
      <w:r>
        <w:rPr>
          <w:vertAlign w:val="subscript"/>
        </w:rPr>
        <w:t>2</w:t>
      </w:r>
      <w:r>
        <w:t>O</w:t>
      </w:r>
      <w:r>
        <w:rPr>
          <w:vertAlign w:val="subscript"/>
        </w:rPr>
        <w:t>3</w:t>
      </w:r>
      <w:r>
        <w:t xml:space="preserve"> interlayer on the long time device stability. We stored the unencapsulated devices in a nitrogen-filled glove box and monitored the steady power output (SPO) stability for a certain period.</w:t>
      </w:r>
      <w:r>
        <w:rPr>
          <w:rFonts w:hint="eastAsia"/>
        </w:rPr>
        <w:t xml:space="preserve"> </w:t>
      </w:r>
      <w:r>
        <w:rPr>
          <w:b/>
          <w:bCs/>
        </w:rPr>
        <w:t>Figure 7c</w:t>
      </w:r>
      <w:r>
        <w:t xml:space="preserve"> shows the operational SPO stability performance of </w:t>
      </w:r>
      <w:r>
        <w:rPr>
          <w:rFonts w:hint="eastAsia"/>
        </w:rPr>
        <w:t>the</w:t>
      </w:r>
      <w:r>
        <w:t xml:space="preserve"> corresponding devices under persistent one sun irradiation.</w:t>
      </w:r>
      <w:r>
        <w:rPr>
          <w:rFonts w:hint="eastAsia"/>
        </w:rPr>
        <w:t xml:space="preserve"> </w:t>
      </w:r>
      <w:r>
        <w:t>We found that the devices with 3 cycles ALD-Al</w:t>
      </w:r>
      <w:r>
        <w:rPr>
          <w:vertAlign w:val="subscript"/>
        </w:rPr>
        <w:t>2</w:t>
      </w:r>
      <w:r>
        <w:t>O</w:t>
      </w:r>
      <w:r>
        <w:rPr>
          <w:vertAlign w:val="subscript"/>
        </w:rPr>
        <w:t>3</w:t>
      </w:r>
      <w:r>
        <w:t xml:space="preserve"> retained </w:t>
      </w:r>
      <w:r>
        <w:rPr>
          <w:rFonts w:hint="eastAsia"/>
        </w:rPr>
        <w:t>95</w:t>
      </w:r>
      <w:r>
        <w:t>% of the initial PCE</w:t>
      </w:r>
      <w:r>
        <w:rPr>
          <w:rFonts w:hint="eastAsia"/>
        </w:rPr>
        <w:t xml:space="preserve">. </w:t>
      </w:r>
      <w:r>
        <w:t>The performance degradation was negligible as the light intensity decreased</w:t>
      </w:r>
      <w:r>
        <w:rPr>
          <w:rFonts w:hint="eastAsia"/>
        </w:rPr>
        <w:t xml:space="preserve"> from 1 sun to 0.98 sun during</w:t>
      </w:r>
      <w:r>
        <w:t xml:space="preserve"> 75 hours, while</w:t>
      </w:r>
      <w:r>
        <w:rPr>
          <w:rFonts w:hint="eastAsia"/>
        </w:rPr>
        <w:t xml:space="preserve"> </w:t>
      </w:r>
      <w:r>
        <w:t xml:space="preserve">the PCE of the control devices dropped to </w:t>
      </w:r>
      <w:r>
        <w:rPr>
          <w:rFonts w:hint="eastAsia"/>
        </w:rPr>
        <w:t>79.5</w:t>
      </w:r>
      <w:r>
        <w:t>% of the initial PCE.</w:t>
      </w:r>
      <w:r>
        <w:rPr>
          <w:rFonts w:hint="eastAsia"/>
        </w:rPr>
        <w:t xml:space="preserve"> </w:t>
      </w:r>
      <w:r>
        <w:t xml:space="preserve">The significant </w:t>
      </w:r>
      <w:r>
        <w:rPr>
          <w:rFonts w:hint="eastAsia"/>
        </w:rPr>
        <w:t>improvement</w:t>
      </w:r>
      <w:r>
        <w:t xml:space="preserve"> </w:t>
      </w:r>
      <w:r>
        <w:rPr>
          <w:rFonts w:hint="eastAsia"/>
        </w:rPr>
        <w:t>on</w:t>
      </w:r>
      <w:r>
        <w:t xml:space="preserve"> the stability of </w:t>
      </w:r>
      <w:r>
        <w:rPr>
          <w:rFonts w:hint="eastAsia"/>
        </w:rPr>
        <w:t>the</w:t>
      </w:r>
      <w:r>
        <w:t xml:space="preserve"> ALD-Al</w:t>
      </w:r>
      <w:r>
        <w:rPr>
          <w:vertAlign w:val="subscript"/>
        </w:rPr>
        <w:t>2</w:t>
      </w:r>
      <w:r>
        <w:t>O</w:t>
      </w:r>
      <w:r>
        <w:rPr>
          <w:vertAlign w:val="subscript"/>
        </w:rPr>
        <w:t xml:space="preserve">3 </w:t>
      </w:r>
      <w:r>
        <w:t>treated devices can be explained by the fact that ALD-Al</w:t>
      </w:r>
      <w:r>
        <w:rPr>
          <w:vertAlign w:val="subscript"/>
        </w:rPr>
        <w:t>2</w:t>
      </w:r>
      <w:r>
        <w:t>O</w:t>
      </w:r>
      <w:r>
        <w:rPr>
          <w:vertAlign w:val="subscript"/>
        </w:rPr>
        <w:t xml:space="preserve">3 </w:t>
      </w:r>
      <w:r>
        <w:t>interlayer</w:t>
      </w:r>
      <w:r>
        <w:rPr>
          <w:rFonts w:hint="eastAsia"/>
        </w:rPr>
        <w:t>s</w:t>
      </w:r>
      <w:r>
        <w:t xml:space="preserve"> </w:t>
      </w:r>
      <w:r>
        <w:rPr>
          <w:rFonts w:hint="eastAsia"/>
        </w:rPr>
        <w:t>had</w:t>
      </w:r>
      <w:r>
        <w:t xml:space="preserve"> </w:t>
      </w:r>
      <w:r>
        <w:rPr>
          <w:rFonts w:hint="eastAsia"/>
        </w:rPr>
        <w:t>e</w:t>
      </w:r>
      <w:r>
        <w:t xml:space="preserve">ffectively </w:t>
      </w:r>
      <w:bookmarkStart w:id="58" w:name="_Hlk114134918"/>
      <w:r>
        <w:t xml:space="preserve">passivated surface defects </w:t>
      </w:r>
      <w:r>
        <w:rPr>
          <w:rFonts w:hint="eastAsia"/>
        </w:rPr>
        <w:t>of</w:t>
      </w:r>
      <w:r>
        <w:t xml:space="preserve"> </w:t>
      </w:r>
      <w:r>
        <w:rPr>
          <w:rFonts w:hint="eastAsia"/>
        </w:rPr>
        <w:t>ZnO</w:t>
      </w:r>
      <w:r>
        <w:t xml:space="preserve"> that may act as active sites for the a</w:t>
      </w:r>
      <w:r>
        <w:rPr>
          <w:rFonts w:hint="eastAsia"/>
        </w:rPr>
        <w:t>d</w:t>
      </w:r>
      <w:r>
        <w:t xml:space="preserve">sorption of oxygen and water molecules. </w:t>
      </w:r>
      <w:bookmarkEnd w:id="58"/>
      <w:r>
        <w:t xml:space="preserve">Additionally, during the ALD process, the </w:t>
      </w:r>
      <w:r>
        <w:rPr>
          <w:rFonts w:hint="eastAsia"/>
        </w:rPr>
        <w:t>initially</w:t>
      </w:r>
      <w:r>
        <w:t xml:space="preserve"> adsorbed water molecules on the ZnO surface participate in reactions with trimethylaluminum (TMA) to form the first monolayer of Al</w:t>
      </w:r>
      <w:r>
        <w:rPr>
          <w:vertAlign w:val="subscript"/>
        </w:rPr>
        <w:t>2</w:t>
      </w:r>
      <w:r>
        <w:t>O</w:t>
      </w:r>
      <w:r>
        <w:rPr>
          <w:vertAlign w:val="subscript"/>
        </w:rPr>
        <w:t>3</w:t>
      </w:r>
      <w:r>
        <w:t>, which means they are unable to act as corrosion agents.</w:t>
      </w:r>
      <w:r>
        <w:rPr>
          <w:vertAlign w:val="superscript"/>
        </w:rPr>
        <w:t>[45]</w:t>
      </w:r>
      <w:r>
        <w:rPr>
          <w:rFonts w:hint="eastAsia"/>
        </w:rPr>
        <w:t xml:space="preserve"> The stability of devices stored in air (RH~40%) was also investigated (</w:t>
      </w:r>
      <w:r>
        <w:rPr>
          <w:b/>
          <w:bCs/>
        </w:rPr>
        <w:t>Figure 7</w:t>
      </w:r>
      <w:r>
        <w:rPr>
          <w:rFonts w:hint="eastAsia"/>
          <w:b/>
          <w:bCs/>
        </w:rPr>
        <w:t>d</w:t>
      </w:r>
      <w:r>
        <w:rPr>
          <w:rFonts w:hint="eastAsia"/>
        </w:rPr>
        <w:t xml:space="preserve">). Inverted devices are inherently more stable than normal devices due to the acidic environment created by PEDOT:PSS. When </w:t>
      </w:r>
      <w:r>
        <w:t>Al</w:t>
      </w:r>
      <w:r>
        <w:rPr>
          <w:vertAlign w:val="subscript"/>
        </w:rPr>
        <w:t>2</w:t>
      </w:r>
      <w:r>
        <w:t>O</w:t>
      </w:r>
      <w:r>
        <w:rPr>
          <w:vertAlign w:val="subscript"/>
        </w:rPr>
        <w:t>3</w:t>
      </w:r>
      <w:r>
        <w:rPr>
          <w:rFonts w:hint="eastAsia"/>
        </w:rPr>
        <w:t xml:space="preserve"> interface layers were introduced, the inverted devices’ stability was further improved, maintaining over 88% of its initial efficiency after 500 hours of degradation.</w:t>
      </w:r>
    </w:p>
    <w:p>
      <w:pPr>
        <w:pStyle w:val="33"/>
      </w:pPr>
      <w:r>
        <w:t>3. Conclusion</w:t>
      </w:r>
    </w:p>
    <w:p>
      <w:pPr>
        <w:pStyle w:val="37"/>
        <w:spacing w:line="480" w:lineRule="auto"/>
        <w:ind w:firstLine="480" w:firstLineChars="200"/>
        <w:jc w:val="both"/>
      </w:pPr>
      <w:r>
        <w:t>In summary, we systematically investigated the application of an ultrathin ALD-Al</w:t>
      </w:r>
      <w:r>
        <w:rPr>
          <w:vertAlign w:val="subscript"/>
        </w:rPr>
        <w:t>2</w:t>
      </w:r>
      <w:r>
        <w:t>O</w:t>
      </w:r>
      <w:r>
        <w:rPr>
          <w:vertAlign w:val="subscript"/>
        </w:rPr>
        <w:t xml:space="preserve">3 </w:t>
      </w:r>
      <w:r>
        <w:t xml:space="preserve">interlayer on ZnO </w:t>
      </w:r>
      <w:r>
        <w:rPr>
          <w:rFonts w:hint="eastAsia"/>
        </w:rPr>
        <w:t>as</w:t>
      </w:r>
      <w:r>
        <w:t xml:space="preserve"> </w:t>
      </w:r>
      <w:r>
        <w:rPr>
          <w:rFonts w:hint="eastAsia"/>
        </w:rPr>
        <w:t>the</w:t>
      </w:r>
      <w:r>
        <w:t xml:space="preserve"> ETLs in OSCs with inverted structures. It </w:t>
      </w:r>
      <w:r>
        <w:rPr>
          <w:rFonts w:hint="eastAsia"/>
        </w:rPr>
        <w:t>was</w:t>
      </w:r>
      <w:r>
        <w:t xml:space="preserve"> found that the </w:t>
      </w:r>
      <w:r>
        <w:rPr>
          <w:rFonts w:hint="eastAsia"/>
        </w:rPr>
        <w:t>incorporation</w:t>
      </w:r>
      <w:r>
        <w:t xml:space="preserve"> </w:t>
      </w:r>
      <w:r>
        <w:rPr>
          <w:rFonts w:hint="eastAsia"/>
        </w:rPr>
        <w:t>of</w:t>
      </w:r>
      <w:r>
        <w:t xml:space="preserve"> </w:t>
      </w:r>
      <w:bookmarkStart w:id="59" w:name="_Hlk114127386"/>
      <w:r>
        <w:t>ALD-Al</w:t>
      </w:r>
      <w:r>
        <w:rPr>
          <w:vertAlign w:val="subscript"/>
        </w:rPr>
        <w:t>2</w:t>
      </w:r>
      <w:r>
        <w:t>O</w:t>
      </w:r>
      <w:r>
        <w:rPr>
          <w:vertAlign w:val="subscript"/>
        </w:rPr>
        <w:t>3</w:t>
      </w:r>
      <w:bookmarkEnd w:id="59"/>
      <w:r>
        <w:t xml:space="preserve"> </w:t>
      </w:r>
      <w:r>
        <w:rPr>
          <w:rFonts w:hint="eastAsia"/>
        </w:rPr>
        <w:t>thin</w:t>
      </w:r>
      <w:r>
        <w:t xml:space="preserve"> layers led to effective passivation of surface defects on ZnO, which thus resulted in lowered electron extraction barrier and reduced surface recombination. In contrast to the control devices that used pristine ZnO as ETLs, the devices modified with 3 cycles ALD-Al</w:t>
      </w:r>
      <w:r>
        <w:rPr>
          <w:vertAlign w:val="subscript"/>
        </w:rPr>
        <w:t>2</w:t>
      </w:r>
      <w:r>
        <w:t>O</w:t>
      </w:r>
      <w:r>
        <w:rPr>
          <w:vertAlign w:val="subscript"/>
        </w:rPr>
        <w:t>3</w:t>
      </w:r>
      <w:r>
        <w:t xml:space="preserve"> showed optimal characteristics with improved </w:t>
      </w:r>
      <m:oMath>
        <m:sSub>
          <m:sSubPr>
            <m:ctrlPr>
              <w:rPr>
                <w:rFonts w:ascii="Cambria Math" w:hAnsi="Cambria Math"/>
                <w:i/>
              </w:rPr>
            </m:ctrlPr>
          </m:sSubPr>
          <m:e>
            <m:r>
              <m:rPr/>
              <w:rPr>
                <w:rFonts w:ascii="Cambria Math" w:hAnsi="Cambria Math"/>
              </w:rPr>
              <m:t>V</m:t>
            </m:r>
            <m:ctrlPr>
              <w:rPr>
                <w:rFonts w:ascii="Cambria Math" w:hAnsi="Cambria Math"/>
                <w:i/>
              </w:rPr>
            </m:ctrlPr>
          </m:e>
          <m:sub>
            <m:r>
              <m:rPr/>
              <w:rPr>
                <w:rFonts w:ascii="Cambria Math" w:hAnsi="Cambria Math"/>
              </w:rPr>
              <m:t>OC</m:t>
            </m:r>
            <m:ctrlPr>
              <w:rPr>
                <w:rFonts w:ascii="Cambria Math" w:hAnsi="Cambria Math"/>
                <w:i/>
              </w:rPr>
            </m:ctrlPr>
          </m:sub>
        </m:sSub>
      </m:oMath>
      <w:r>
        <w:t xml:space="preserve">, </w:t>
      </w:r>
      <m:oMath>
        <m:sSub>
          <m:sSubPr>
            <m:ctrlPr>
              <w:rPr>
                <w:rFonts w:ascii="Cambria Math" w:hAnsi="Cambria Math"/>
                <w:i/>
              </w:rPr>
            </m:ctrlPr>
          </m:sSubPr>
          <m:e>
            <m:r>
              <m:rPr/>
              <w:rPr>
                <w:rFonts w:ascii="Cambria Math" w:hAnsi="Cambria Math"/>
              </w:rPr>
              <m:t>J</m:t>
            </m:r>
            <m:ctrlPr>
              <w:rPr>
                <w:rFonts w:ascii="Cambria Math" w:hAnsi="Cambria Math"/>
                <w:i/>
              </w:rPr>
            </m:ctrlPr>
          </m:e>
          <m:sub>
            <m:r>
              <m:rPr/>
              <w:rPr>
                <w:rFonts w:ascii="Cambria Math" w:hAnsi="Cambria Math"/>
              </w:rPr>
              <m:t>SC</m:t>
            </m:r>
            <m:ctrlPr>
              <w:rPr>
                <w:rFonts w:ascii="Cambria Math" w:hAnsi="Cambria Math"/>
                <w:i/>
              </w:rPr>
            </m:ctrlPr>
          </m:sub>
        </m:sSub>
      </m:oMath>
      <w:r>
        <w:rPr>
          <w:rFonts w:hint="eastAsia"/>
        </w:rPr>
        <w:t xml:space="preserve"> </w:t>
      </w:r>
      <w:r>
        <w:t>and FF, which delivered an absolute 1% increase in efficiency. Furthermore, the unencapsulated ALD-Al</w:t>
      </w:r>
      <w:r>
        <w:rPr>
          <w:vertAlign w:val="subscript"/>
        </w:rPr>
        <w:t>2</w:t>
      </w:r>
      <w:r>
        <w:t>O</w:t>
      </w:r>
      <w:r>
        <w:rPr>
          <w:vertAlign w:val="subscript"/>
        </w:rPr>
        <w:t xml:space="preserve">3 </w:t>
      </w:r>
      <w:r>
        <w:t xml:space="preserve">modified devices exhibited exceptional stability either under ultraviolet light in ambient conditions or </w:t>
      </w:r>
      <w:r>
        <w:rPr>
          <w:rFonts w:hint="eastAsia"/>
        </w:rPr>
        <w:t>under operati</w:t>
      </w:r>
      <w:r>
        <w:t>onal</w:t>
      </w:r>
      <w:r>
        <w:rPr>
          <w:rFonts w:hint="eastAsia"/>
        </w:rPr>
        <w:t xml:space="preserve"> conditions</w:t>
      </w:r>
      <w:r>
        <w:t>. This work has explicitly shown the potential of ALD modification strategy in manipulating ETLs’ properties and suppressing defect trap states and also demonstrated the importance of ALD-dominated interface engineering in photovoltaic applications.</w:t>
      </w:r>
    </w:p>
    <w:p>
      <w:pPr>
        <w:pStyle w:val="37"/>
        <w:rPr>
          <w:color w:val="FF0000"/>
        </w:rPr>
      </w:pPr>
      <w:r>
        <w:rPr>
          <w:rFonts w:eastAsia="宋体"/>
          <w:kern w:val="2"/>
          <w:lang w:eastAsia="zh-CN"/>
        </w:rPr>
        <w:drawing>
          <wp:anchor distT="0" distB="0" distL="114300" distR="114300" simplePos="0" relativeHeight="251659264" behindDoc="0" locked="0" layoutInCell="1" allowOverlap="1">
            <wp:simplePos x="0" y="0"/>
            <wp:positionH relativeFrom="column">
              <wp:posOffset>-63500</wp:posOffset>
            </wp:positionH>
            <wp:positionV relativeFrom="paragraph">
              <wp:posOffset>175895</wp:posOffset>
            </wp:positionV>
            <wp:extent cx="6059170" cy="4241165"/>
            <wp:effectExtent l="0" t="0" r="0" b="0"/>
            <wp:wrapTopAndBottom/>
            <wp:docPr id="1" name="图片 1"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图表&#10;&#10;描述已自动生成"/>
                    <pic:cNvPicPr>
                      <a:picLocks noChangeAspect="1" noChangeArrowheads="1"/>
                    </pic:cNvPicPr>
                  </pic:nvPicPr>
                  <pic:blipFill>
                    <a:blip r:embed="rId6" cstate="print">
                      <a:extLst>
                        <a:ext uri="{28A0092B-C50C-407E-A947-70E740481C1C}">
                          <a14:useLocalDpi xmlns:a14="http://schemas.microsoft.com/office/drawing/2010/main" val="0"/>
                        </a:ext>
                      </a:extLst>
                    </a:blip>
                    <a:srcRect b="6580"/>
                    <a:stretch>
                      <a:fillRect/>
                    </a:stretch>
                  </pic:blipFill>
                  <pic:spPr>
                    <a:xfrm>
                      <a:off x="0" y="0"/>
                      <a:ext cx="6059170" cy="4241165"/>
                    </a:xfrm>
                    <a:prstGeom prst="rect">
                      <a:avLst/>
                    </a:prstGeom>
                    <a:noFill/>
                    <a:ln>
                      <a:noFill/>
                    </a:ln>
                  </pic:spPr>
                </pic:pic>
              </a:graphicData>
            </a:graphic>
          </wp:anchor>
        </w:drawing>
      </w:r>
    </w:p>
    <w:p>
      <w:pPr>
        <w:pStyle w:val="37"/>
        <w:jc w:val="both"/>
        <w:rPr>
          <w:lang w:val="de-DE"/>
        </w:rPr>
      </w:pPr>
      <w:r>
        <w:rPr>
          <w:b/>
        </w:rPr>
        <w:t>Figure 1.</w:t>
      </w:r>
      <w:r>
        <w:t xml:space="preserve"> </w:t>
      </w:r>
      <w:r>
        <w:rPr>
          <w:lang w:val="de-DE"/>
        </w:rPr>
        <w:t>(a) The atomic structure</w:t>
      </w:r>
      <w:r>
        <w:rPr>
          <w:rFonts w:hint="eastAsia"/>
          <w:lang w:val="de-DE"/>
        </w:rPr>
        <w:t>s</w:t>
      </w:r>
      <w:r>
        <w:rPr>
          <w:lang w:val="de-DE"/>
        </w:rPr>
        <w:t xml:space="preserve"> of ZnOx (left) and ZnOx/Al</w:t>
      </w:r>
      <w:r>
        <w:rPr>
          <w:vertAlign w:val="subscript"/>
          <w:lang w:val="de-DE"/>
        </w:rPr>
        <w:t>2</w:t>
      </w:r>
      <w:r>
        <w:rPr>
          <w:lang w:val="de-DE"/>
        </w:rPr>
        <w:t>O</w:t>
      </w:r>
      <w:r>
        <w:rPr>
          <w:vertAlign w:val="subscript"/>
          <w:lang w:val="de-DE"/>
        </w:rPr>
        <w:t>3</w:t>
      </w:r>
      <w:r>
        <w:rPr>
          <w:lang w:val="de-DE"/>
        </w:rPr>
        <w:t xml:space="preserve"> (right) interfaces. (b) The density of states of ZnOx and (c) ZnOx/ Al</w:t>
      </w:r>
      <w:r>
        <w:rPr>
          <w:vertAlign w:val="subscript"/>
          <w:lang w:val="de-DE"/>
        </w:rPr>
        <w:t>2</w:t>
      </w:r>
      <w:r>
        <w:rPr>
          <w:lang w:val="de-DE"/>
        </w:rPr>
        <w:t>O</w:t>
      </w:r>
      <w:r>
        <w:rPr>
          <w:vertAlign w:val="subscript"/>
          <w:lang w:val="de-DE"/>
        </w:rPr>
        <w:t xml:space="preserve">3 </w:t>
      </w:r>
      <w:r>
        <w:rPr>
          <w:lang w:val="de-DE"/>
        </w:rPr>
        <w:t>interfaces</w:t>
      </w:r>
      <w:r>
        <w:rPr>
          <w:rFonts w:hint="eastAsia"/>
          <w:lang w:val="de-DE"/>
        </w:rPr>
        <w:t>.</w:t>
      </w:r>
    </w:p>
    <w:p>
      <w:pPr>
        <w:rPr>
          <w:color w:val="FF0000"/>
          <w:lang w:val="en-US"/>
        </w:rPr>
      </w:pPr>
      <w:r>
        <w:rPr>
          <w:color w:val="FF0000"/>
        </w:rPr>
        <w:br w:type="page"/>
      </w:r>
    </w:p>
    <w:p>
      <w:pPr>
        <w:pStyle w:val="37"/>
        <w:jc w:val="both"/>
      </w:pPr>
      <w:r>
        <w:rPr>
          <w:rFonts w:eastAsia="微软雅黑"/>
          <w:b/>
          <w:bCs/>
          <w:szCs w:val="21"/>
        </w:rPr>
        <w:drawing>
          <wp:anchor distT="0" distB="0" distL="114300" distR="114300" simplePos="0" relativeHeight="251660288" behindDoc="0" locked="0" layoutInCell="1" allowOverlap="1">
            <wp:simplePos x="0" y="0"/>
            <wp:positionH relativeFrom="column">
              <wp:posOffset>-224155</wp:posOffset>
            </wp:positionH>
            <wp:positionV relativeFrom="paragraph">
              <wp:posOffset>159385</wp:posOffset>
            </wp:positionV>
            <wp:extent cx="6287770" cy="3640455"/>
            <wp:effectExtent l="0" t="0" r="0" b="0"/>
            <wp:wrapTopAndBottom/>
            <wp:docPr id="10" name="图片 10"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图表&#10;&#10;描述已自动生成"/>
                    <pic:cNvPicPr>
                      <a:picLocks noChangeAspect="1"/>
                    </pic:cNvPicPr>
                  </pic:nvPicPr>
                  <pic:blipFill>
                    <a:blip r:embed="rId7"/>
                    <a:srcRect t="8773" b="14034"/>
                    <a:stretch>
                      <a:fillRect/>
                    </a:stretch>
                  </pic:blipFill>
                  <pic:spPr>
                    <a:xfrm>
                      <a:off x="0" y="0"/>
                      <a:ext cx="6287770" cy="3640455"/>
                    </a:xfrm>
                    <a:prstGeom prst="rect">
                      <a:avLst/>
                    </a:prstGeom>
                    <a:ln>
                      <a:noFill/>
                    </a:ln>
                  </pic:spPr>
                </pic:pic>
              </a:graphicData>
            </a:graphic>
          </wp:anchor>
        </w:drawing>
      </w:r>
      <w:r>
        <w:rPr>
          <w:b/>
          <w:bCs/>
        </w:rPr>
        <w:t>Figure 2.</w:t>
      </w:r>
      <w:r>
        <w:t xml:space="preserve"> Deconvoluted XPS O 1s spectra of (a) 0 cycle, (b) 3 cycles and (c) 10 cycles of ALD-Al</w:t>
      </w:r>
      <w:r>
        <w:rPr>
          <w:vertAlign w:val="subscript"/>
        </w:rPr>
        <w:t>2</w:t>
      </w:r>
      <w:r>
        <w:t>O</w:t>
      </w:r>
      <w:r>
        <w:rPr>
          <w:vertAlign w:val="subscript"/>
        </w:rPr>
        <w:t>3</w:t>
      </w:r>
      <w:r>
        <w:t xml:space="preserve"> deposited onto the ZnO/ITO substrates. XPS spectra of Al 2p of (e) 0 cycle, (f) 3 cycles and (g) 10 cycles of ALD-Al</w:t>
      </w:r>
      <w:r>
        <w:rPr>
          <w:vertAlign w:val="subscript"/>
        </w:rPr>
        <w:t>2</w:t>
      </w:r>
      <w:r>
        <w:t>O</w:t>
      </w:r>
      <w:r>
        <w:rPr>
          <w:vertAlign w:val="subscript"/>
        </w:rPr>
        <w:t>3</w:t>
      </w:r>
      <w:r>
        <w:t xml:space="preserve"> on ZnO/ITO substrates.</w:t>
      </w:r>
    </w:p>
    <w:p>
      <w:pPr>
        <w:pStyle w:val="37"/>
        <w:rPr>
          <w:color w:val="FF0000"/>
        </w:rPr>
      </w:pPr>
      <w:r>
        <w:drawing>
          <wp:anchor distT="0" distB="0" distL="114300" distR="114300" simplePos="0" relativeHeight="251661312" behindDoc="0" locked="0" layoutInCell="1" allowOverlap="1">
            <wp:simplePos x="0" y="0"/>
            <wp:positionH relativeFrom="margin">
              <wp:posOffset>-175260</wp:posOffset>
            </wp:positionH>
            <wp:positionV relativeFrom="paragraph">
              <wp:posOffset>218440</wp:posOffset>
            </wp:positionV>
            <wp:extent cx="6109970" cy="3270250"/>
            <wp:effectExtent l="0" t="0" r="5080" b="6350"/>
            <wp:wrapTopAndBottom/>
            <wp:docPr id="5" name="图片 5" descr="QR 代码&#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QR 代码&#10;&#10;描述已自动生成"/>
                    <pic:cNvPicPr>
                      <a:picLocks noChangeAspect="1" noChangeArrowheads="1"/>
                    </pic:cNvPicPr>
                  </pic:nvPicPr>
                  <pic:blipFill>
                    <a:blip r:embed="rId8" cstate="print">
                      <a:extLst>
                        <a:ext uri="{28A0092B-C50C-407E-A947-70E740481C1C}">
                          <a14:useLocalDpi xmlns:a14="http://schemas.microsoft.com/office/drawing/2010/main" val="0"/>
                        </a:ext>
                      </a:extLst>
                    </a:blip>
                    <a:srcRect l="4975" t="15684" r="9387" b="23170"/>
                    <a:stretch>
                      <a:fillRect/>
                    </a:stretch>
                  </pic:blipFill>
                  <pic:spPr>
                    <a:xfrm>
                      <a:off x="0" y="0"/>
                      <a:ext cx="6109970" cy="3270250"/>
                    </a:xfrm>
                    <a:prstGeom prst="rect">
                      <a:avLst/>
                    </a:prstGeom>
                    <a:noFill/>
                    <a:ln>
                      <a:noFill/>
                    </a:ln>
                  </pic:spPr>
                </pic:pic>
              </a:graphicData>
            </a:graphic>
          </wp:anchor>
        </w:drawing>
      </w:r>
    </w:p>
    <w:p>
      <w:pPr>
        <w:pStyle w:val="37"/>
        <w:jc w:val="both"/>
      </w:pPr>
      <w:r>
        <w:rPr>
          <w:b/>
          <w:bCs/>
        </w:rPr>
        <w:t xml:space="preserve">Figure 3. </w:t>
      </w:r>
      <w:r>
        <w:t>(a) SEM images and (b) AFM images of ZnO/ITO with ALD-Al</w:t>
      </w:r>
      <w:r>
        <w:rPr>
          <w:vertAlign w:val="subscript"/>
        </w:rPr>
        <w:t>2</w:t>
      </w:r>
      <w:r>
        <w:t>O</w:t>
      </w:r>
      <w:r>
        <w:rPr>
          <w:vertAlign w:val="subscript"/>
        </w:rPr>
        <w:t>3</w:t>
      </w:r>
      <w:r>
        <w:t xml:space="preserve"> layers (Deposition cycle: n=0, 3 and 10).</w:t>
      </w:r>
    </w:p>
    <w:p>
      <w:pPr>
        <w:rPr>
          <w:color w:val="FF0000"/>
          <w:lang w:val="en-US"/>
        </w:rPr>
      </w:pPr>
      <w:r>
        <w:rPr>
          <w:color w:val="FF0000"/>
        </w:rPr>
        <w:br w:type="page"/>
      </w:r>
    </w:p>
    <w:p>
      <w:pPr>
        <w:pStyle w:val="37"/>
        <w:rPr>
          <w:color w:val="FF0000"/>
        </w:rPr>
      </w:pPr>
      <w:r>
        <w:rPr>
          <w:rFonts w:eastAsia="微软雅黑"/>
          <w:b/>
          <w:bCs/>
          <w:szCs w:val="21"/>
        </w:rPr>
        <w:drawing>
          <wp:anchor distT="0" distB="0" distL="114300" distR="114300" simplePos="0" relativeHeight="251662336" behindDoc="0" locked="0" layoutInCell="1" allowOverlap="1">
            <wp:simplePos x="0" y="0"/>
            <wp:positionH relativeFrom="margin">
              <wp:posOffset>-201930</wp:posOffset>
            </wp:positionH>
            <wp:positionV relativeFrom="paragraph">
              <wp:posOffset>175895</wp:posOffset>
            </wp:positionV>
            <wp:extent cx="6097905" cy="3411220"/>
            <wp:effectExtent l="0" t="0" r="0" b="0"/>
            <wp:wrapTopAndBottom/>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9"/>
                    <a:srcRect l="-16" t="12147" r="16" b="13269"/>
                    <a:stretch>
                      <a:fillRect/>
                    </a:stretch>
                  </pic:blipFill>
                  <pic:spPr>
                    <a:xfrm>
                      <a:off x="0" y="0"/>
                      <a:ext cx="6097905" cy="3411220"/>
                    </a:xfrm>
                    <a:prstGeom prst="rect">
                      <a:avLst/>
                    </a:prstGeom>
                    <a:ln>
                      <a:noFill/>
                    </a:ln>
                  </pic:spPr>
                </pic:pic>
              </a:graphicData>
            </a:graphic>
          </wp:anchor>
        </w:drawing>
      </w:r>
    </w:p>
    <w:p>
      <w:pPr>
        <w:pStyle w:val="37"/>
        <w:jc w:val="both"/>
      </w:pPr>
      <w:r>
        <w:rPr>
          <w:b/>
          <w:bCs/>
        </w:rPr>
        <w:t xml:space="preserve">Figure 4. </w:t>
      </w:r>
      <w:r>
        <w:t>(a) The device architecture; (b) The energy levels of devices modified with ALD-Al</w:t>
      </w:r>
      <w:r>
        <w:rPr>
          <w:vertAlign w:val="subscript"/>
        </w:rPr>
        <w:t>2</w:t>
      </w:r>
      <w:r>
        <w:t>O</w:t>
      </w:r>
      <w:r>
        <w:rPr>
          <w:vertAlign w:val="subscript"/>
        </w:rPr>
        <w:t>3</w:t>
      </w:r>
      <w:r>
        <w:t xml:space="preserve"> layers; (c) The current-voltage (</w:t>
      </w:r>
      <w:r>
        <w:rPr>
          <w:i/>
          <w:iCs/>
        </w:rPr>
        <w:t>J-V</w:t>
      </w:r>
      <w:r>
        <w:t xml:space="preserve">) measurements; (d) </w:t>
      </w:r>
      <w:r>
        <w:rPr>
          <w:rFonts w:hint="eastAsia"/>
        </w:rPr>
        <w:t>The</w:t>
      </w:r>
      <w:r>
        <w:t xml:space="preserve"> EQE spectra and integrated </w:t>
      </w:r>
      <m:oMath>
        <m:sSub>
          <m:sSubPr>
            <m:ctrlPr>
              <w:rPr>
                <w:rFonts w:ascii="Cambria Math" w:hAnsi="Cambria Math"/>
                <w:i/>
                <w:iCs/>
              </w:rPr>
            </m:ctrlPr>
          </m:sSubPr>
          <m:e>
            <m:r>
              <m:rPr/>
              <w:rPr>
                <w:rFonts w:ascii="Cambria Math" w:hAnsi="Cambria Math"/>
              </w:rPr>
              <m:t>J</m:t>
            </m:r>
            <m:ctrlPr>
              <w:rPr>
                <w:rFonts w:ascii="Cambria Math" w:hAnsi="Cambria Math"/>
                <w:i/>
                <w:iCs/>
              </w:rPr>
            </m:ctrlPr>
          </m:e>
          <m:sub>
            <m:r>
              <m:rPr/>
              <w:rPr>
                <w:rFonts w:ascii="Cambria Math" w:hAnsi="Cambria Math"/>
              </w:rPr>
              <m:t>SC</m:t>
            </m:r>
            <m:ctrlPr>
              <w:rPr>
                <w:rFonts w:ascii="Cambria Math" w:hAnsi="Cambria Math"/>
                <w:i/>
                <w:iCs/>
              </w:rPr>
            </m:ctrlPr>
          </m:sub>
        </m:sSub>
      </m:oMath>
      <w:r>
        <w:t xml:space="preserve"> curves; and (e) </w:t>
      </w:r>
      <m:oMath>
        <m:sSub>
          <m:sSubPr>
            <m:ctrlPr>
              <w:rPr>
                <w:rFonts w:ascii="Cambria Math" w:hAnsi="Cambria Math"/>
                <w:i/>
                <w:iCs/>
              </w:rPr>
            </m:ctrlPr>
          </m:sSubPr>
          <m:e>
            <m:r>
              <m:rPr/>
              <w:rPr>
                <w:rFonts w:ascii="Cambria Math" w:hAnsi="Cambria Math"/>
              </w:rPr>
              <m:t>V</m:t>
            </m:r>
            <m:ctrlPr>
              <w:rPr>
                <w:rFonts w:ascii="Cambria Math" w:hAnsi="Cambria Math"/>
                <w:i/>
                <w:iCs/>
              </w:rPr>
            </m:ctrlPr>
          </m:e>
          <m:sub>
            <m:r>
              <m:rPr/>
              <w:rPr>
                <w:rFonts w:ascii="Cambria Math" w:hAnsi="Cambria Math"/>
              </w:rPr>
              <m:t>OC</m:t>
            </m:r>
            <m:ctrlPr>
              <w:rPr>
                <w:rFonts w:ascii="Cambria Math" w:hAnsi="Cambria Math"/>
                <w:i/>
                <w:iCs/>
              </w:rPr>
            </m:ctrlPr>
          </m:sub>
        </m:sSub>
      </m:oMath>
      <w:r>
        <w:t xml:space="preserve">, </w:t>
      </w:r>
      <m:oMath>
        <m:sSub>
          <m:sSubPr>
            <m:ctrlPr>
              <w:rPr>
                <w:rFonts w:ascii="Cambria Math" w:hAnsi="Cambria Math"/>
                <w:i/>
                <w:iCs/>
              </w:rPr>
            </m:ctrlPr>
          </m:sSubPr>
          <m:e>
            <m:r>
              <m:rPr/>
              <w:rPr>
                <w:rFonts w:ascii="Cambria Math" w:hAnsi="Cambria Math"/>
              </w:rPr>
              <m:t>J</m:t>
            </m:r>
            <m:ctrlPr>
              <w:rPr>
                <w:rFonts w:ascii="Cambria Math" w:hAnsi="Cambria Math"/>
                <w:i/>
                <w:iCs/>
              </w:rPr>
            </m:ctrlPr>
          </m:e>
          <m:sub>
            <m:r>
              <m:rPr/>
              <w:rPr>
                <w:rFonts w:ascii="Cambria Math" w:hAnsi="Cambria Math"/>
              </w:rPr>
              <m:t>SC</m:t>
            </m:r>
            <m:ctrlPr>
              <w:rPr>
                <w:rFonts w:ascii="Cambria Math" w:hAnsi="Cambria Math"/>
                <w:i/>
                <w:iCs/>
              </w:rPr>
            </m:ctrlPr>
          </m:sub>
        </m:sSub>
      </m:oMath>
      <w:r>
        <w:t xml:space="preserve"> and FF of </w:t>
      </w:r>
      <w:r>
        <w:rPr>
          <w:rFonts w:hint="eastAsia"/>
        </w:rPr>
        <w:t>the</w:t>
      </w:r>
      <w:r>
        <w:t xml:space="preserve"> devices </w:t>
      </w:r>
      <w:r>
        <w:rPr>
          <w:rFonts w:hint="eastAsia"/>
        </w:rPr>
        <w:t>modified</w:t>
      </w:r>
      <w:r>
        <w:t xml:space="preserve"> with ALD-Al</w:t>
      </w:r>
      <w:r>
        <w:rPr>
          <w:vertAlign w:val="subscript"/>
        </w:rPr>
        <w:t>2</w:t>
      </w:r>
      <w:r>
        <w:t>O</w:t>
      </w:r>
      <w:r>
        <w:rPr>
          <w:vertAlign w:val="subscript"/>
        </w:rPr>
        <w:t xml:space="preserve">3 </w:t>
      </w:r>
      <w:r>
        <w:t>layers (Deposition cycle: n=0, 1, 3, 5 and 10).</w:t>
      </w:r>
    </w:p>
    <w:p>
      <w:pPr>
        <w:pStyle w:val="37"/>
        <w:rPr>
          <w:b/>
        </w:rPr>
      </w:pPr>
    </w:p>
    <w:p>
      <w:pPr>
        <w:pStyle w:val="37"/>
        <w:rPr>
          <w:b/>
        </w:rPr>
      </w:pPr>
    </w:p>
    <w:p>
      <w:pPr>
        <w:pStyle w:val="37"/>
        <w:spacing w:after="120" w:afterLines="50"/>
      </w:pPr>
      <w:r>
        <w:rPr>
          <w:b/>
        </w:rPr>
        <w:t>Table 1.</w:t>
      </w:r>
      <w:r>
        <w:rPr>
          <w:rFonts w:eastAsia="微软雅黑"/>
          <w:kern w:val="2"/>
          <w:sz w:val="21"/>
          <w:szCs w:val="21"/>
          <w:lang w:eastAsia="zh-CN"/>
        </w:rPr>
        <w:t xml:space="preserve"> </w:t>
      </w:r>
      <w:r>
        <w:rPr>
          <w:lang w:val="de-DE"/>
        </w:rPr>
        <w:t>Photovoltaic parameters of devices with different cycles of ALD-Al</w:t>
      </w:r>
      <w:r>
        <w:rPr>
          <w:vertAlign w:val="subscript"/>
          <w:lang w:val="de-DE"/>
        </w:rPr>
        <w:t>2</w:t>
      </w:r>
      <w:r>
        <w:rPr>
          <w:lang w:val="de-DE"/>
        </w:rPr>
        <w:t>O</w:t>
      </w:r>
      <w:r>
        <w:rPr>
          <w:vertAlign w:val="subscript"/>
          <w:lang w:val="de-DE"/>
        </w:rPr>
        <w:t>3</w:t>
      </w:r>
      <w:r>
        <w:rPr>
          <w:lang w:val="de-DE"/>
        </w:rPr>
        <w:t>.</w:t>
      </w:r>
    </w:p>
    <w:tbl>
      <w:tblPr>
        <w:tblStyle w:val="9"/>
        <w:tblW w:w="8647" w:type="dxa"/>
        <w:jc w:val="center"/>
        <w:tblLayout w:type="autofit"/>
        <w:tblCellMar>
          <w:top w:w="0" w:type="dxa"/>
          <w:left w:w="0" w:type="dxa"/>
          <w:bottom w:w="0" w:type="dxa"/>
          <w:right w:w="0" w:type="dxa"/>
        </w:tblCellMar>
      </w:tblPr>
      <w:tblGrid>
        <w:gridCol w:w="1565"/>
        <w:gridCol w:w="1717"/>
        <w:gridCol w:w="1617"/>
        <w:gridCol w:w="913"/>
        <w:gridCol w:w="1276"/>
        <w:gridCol w:w="1559"/>
      </w:tblGrid>
      <w:tr>
        <w:tblPrEx>
          <w:tblCellMar>
            <w:top w:w="0" w:type="dxa"/>
            <w:left w:w="0" w:type="dxa"/>
            <w:bottom w:w="0" w:type="dxa"/>
            <w:right w:w="0" w:type="dxa"/>
          </w:tblCellMar>
        </w:tblPrEx>
        <w:trPr>
          <w:trHeight w:val="532" w:hRule="atLeast"/>
          <w:jc w:val="center"/>
        </w:trPr>
        <w:tc>
          <w:tcPr>
            <w:tcW w:w="1565" w:type="dxa"/>
            <w:tcBorders>
              <w:top w:val="single" w:color="auto" w:sz="8" w:space="0"/>
              <w:left w:val="nil"/>
              <w:bottom w:val="single" w:color="auto" w:sz="6" w:space="0"/>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宋体" w:cs="Arial"/>
                <w:color w:val="000000"/>
                <w:sz w:val="16"/>
                <w:szCs w:val="16"/>
                <w:lang w:val="en-US" w:eastAsia="zh-CN"/>
              </w:rPr>
              <w:t>Devices</w:t>
            </w:r>
          </w:p>
        </w:tc>
        <w:tc>
          <w:tcPr>
            <w:tcW w:w="1717" w:type="dxa"/>
            <w:tcBorders>
              <w:top w:val="single" w:color="auto" w:sz="8" w:space="0"/>
              <w:left w:val="nil"/>
              <w:bottom w:val="single" w:color="auto" w:sz="6" w:space="0"/>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m:oMath>
              <m:sSub>
                <m:sSubPr>
                  <m:ctrlPr>
                    <w:rPr>
                      <w:rFonts w:ascii="Cambria Math" w:hAnsi="Cambria Math" w:eastAsia="Cambria Math" w:cs="宋体"/>
                      <w:i/>
                      <w:iCs/>
                      <w:color w:val="000000"/>
                      <w:kern w:val="2"/>
                      <w:sz w:val="16"/>
                      <w:szCs w:val="16"/>
                      <w:lang w:val="en-US" w:eastAsia="zh-CN"/>
                    </w:rPr>
                  </m:ctrlPr>
                </m:sSubPr>
                <m:e>
                  <m:r>
                    <m:rPr/>
                    <w:rPr>
                      <w:rFonts w:ascii="Cambria Math" w:hAnsi="Cambria Math" w:eastAsia="等线"/>
                      <w:color w:val="000000"/>
                      <w:kern w:val="2"/>
                      <w:sz w:val="16"/>
                      <w:szCs w:val="16"/>
                      <w:lang w:val="en-US" w:eastAsia="zh-CN"/>
                    </w:rPr>
                    <m:t>V</m:t>
                  </m:r>
                  <m:ctrlPr>
                    <w:rPr>
                      <w:rFonts w:ascii="Cambria Math" w:hAnsi="Cambria Math" w:eastAsia="Cambria Math" w:cs="宋体"/>
                      <w:i/>
                      <w:iCs/>
                      <w:color w:val="000000"/>
                      <w:kern w:val="2"/>
                      <w:sz w:val="16"/>
                      <w:szCs w:val="16"/>
                      <w:lang w:val="en-US" w:eastAsia="zh-CN"/>
                    </w:rPr>
                  </m:ctrlPr>
                </m:e>
                <m:sub>
                  <m:r>
                    <m:rPr/>
                    <w:rPr>
                      <w:rFonts w:ascii="Cambria Math" w:hAnsi="Cambria Math" w:eastAsia="等线"/>
                      <w:color w:val="000000"/>
                      <w:kern w:val="2"/>
                      <w:sz w:val="16"/>
                      <w:szCs w:val="16"/>
                      <w:lang w:val="en-US" w:eastAsia="zh-CN"/>
                    </w:rPr>
                    <m:t>OC</m:t>
                  </m:r>
                  <m:ctrlPr>
                    <w:rPr>
                      <w:rFonts w:ascii="Cambria Math" w:hAnsi="Cambria Math" w:eastAsia="Cambria Math" w:cs="宋体"/>
                      <w:i/>
                      <w:iCs/>
                      <w:color w:val="000000"/>
                      <w:kern w:val="2"/>
                      <w:sz w:val="16"/>
                      <w:szCs w:val="16"/>
                      <w:lang w:val="en-US" w:eastAsia="zh-CN"/>
                    </w:rPr>
                  </m:ctrlPr>
                </m:sub>
              </m:sSub>
            </m:oMath>
            <w:r>
              <w:rPr>
                <w:rFonts w:ascii="Arial" w:hAnsi="Arial" w:eastAsia="等线" w:cs="Arial"/>
                <w:color w:val="000000"/>
                <w:kern w:val="2"/>
                <w:sz w:val="16"/>
                <w:szCs w:val="16"/>
                <w:lang w:val="en-US" w:eastAsia="zh-CN"/>
              </w:rPr>
              <w:t>[V]</w:t>
            </w:r>
          </w:p>
        </w:tc>
        <w:tc>
          <w:tcPr>
            <w:tcW w:w="1617" w:type="dxa"/>
            <w:tcBorders>
              <w:top w:val="single" w:color="auto" w:sz="8" w:space="0"/>
              <w:left w:val="nil"/>
              <w:bottom w:val="single" w:color="auto" w:sz="6" w:space="0"/>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m:oMath>
              <m:sSub>
                <m:sSubPr>
                  <m:ctrlPr>
                    <w:rPr>
                      <w:rFonts w:ascii="Cambria Math" w:hAnsi="Cambria Math" w:eastAsia="Cambria Math" w:cs="宋体"/>
                      <w:i/>
                      <w:iCs/>
                      <w:color w:val="000000"/>
                      <w:kern w:val="2"/>
                      <w:sz w:val="16"/>
                      <w:szCs w:val="16"/>
                      <w:lang w:val="en-US" w:eastAsia="zh-CN"/>
                    </w:rPr>
                  </m:ctrlPr>
                </m:sSubPr>
                <m:e>
                  <m:r>
                    <m:rPr/>
                    <w:rPr>
                      <w:rFonts w:ascii="Cambria Math" w:hAnsi="Cambria Math" w:eastAsia="等线"/>
                      <w:color w:val="000000"/>
                      <w:kern w:val="2"/>
                      <w:sz w:val="16"/>
                      <w:szCs w:val="16"/>
                      <w:lang w:val="en-US" w:eastAsia="zh-CN"/>
                    </w:rPr>
                    <m:t>J</m:t>
                  </m:r>
                  <m:ctrlPr>
                    <w:rPr>
                      <w:rFonts w:ascii="Cambria Math" w:hAnsi="Cambria Math" w:eastAsia="Cambria Math" w:cs="宋体"/>
                      <w:i/>
                      <w:iCs/>
                      <w:color w:val="000000"/>
                      <w:kern w:val="2"/>
                      <w:sz w:val="16"/>
                      <w:szCs w:val="16"/>
                      <w:lang w:val="en-US" w:eastAsia="zh-CN"/>
                    </w:rPr>
                  </m:ctrlPr>
                </m:e>
                <m:sub>
                  <m:r>
                    <m:rPr/>
                    <w:rPr>
                      <w:rFonts w:ascii="Cambria Math" w:hAnsi="Cambria Math" w:eastAsia="等线"/>
                      <w:color w:val="000000"/>
                      <w:kern w:val="2"/>
                      <w:sz w:val="16"/>
                      <w:szCs w:val="16"/>
                      <w:lang w:val="en-US" w:eastAsia="zh-CN"/>
                    </w:rPr>
                    <m:t>SC</m:t>
                  </m:r>
                  <m:ctrlPr>
                    <w:rPr>
                      <w:rFonts w:ascii="Cambria Math" w:hAnsi="Cambria Math" w:eastAsia="Cambria Math" w:cs="宋体"/>
                      <w:i/>
                      <w:iCs/>
                      <w:color w:val="000000"/>
                      <w:kern w:val="2"/>
                      <w:sz w:val="16"/>
                      <w:szCs w:val="16"/>
                      <w:lang w:val="en-US" w:eastAsia="zh-CN"/>
                    </w:rPr>
                  </m:ctrlPr>
                </m:sub>
              </m:sSub>
            </m:oMath>
            <w:r>
              <w:rPr>
                <w:rFonts w:ascii="Arial" w:hAnsi="Arial" w:eastAsia="等线" w:cs="Arial"/>
                <w:color w:val="000000"/>
                <w:kern w:val="2"/>
                <w:sz w:val="16"/>
                <w:szCs w:val="16"/>
                <w:lang w:val="en-US" w:eastAsia="zh-CN"/>
              </w:rPr>
              <w:t>[mA cm</w:t>
            </w:r>
            <w:r>
              <w:rPr>
                <w:rFonts w:ascii="Arial" w:hAnsi="Arial" w:eastAsia="等线" w:cs="Arial"/>
                <w:color w:val="000000"/>
                <w:kern w:val="2"/>
                <w:position w:val="6"/>
                <w:sz w:val="16"/>
                <w:szCs w:val="16"/>
                <w:vertAlign w:val="superscript"/>
                <w:lang w:val="en-US" w:eastAsia="zh-CN"/>
              </w:rPr>
              <w:t>-2</w:t>
            </w:r>
            <w:r>
              <w:rPr>
                <w:rFonts w:ascii="Arial" w:hAnsi="Arial" w:eastAsia="等线" w:cs="Arial"/>
                <w:color w:val="000000"/>
                <w:kern w:val="2"/>
                <w:sz w:val="16"/>
                <w:szCs w:val="16"/>
                <w:lang w:val="en-US" w:eastAsia="zh-CN"/>
              </w:rPr>
              <w:t>]</w:t>
            </w:r>
          </w:p>
        </w:tc>
        <w:tc>
          <w:tcPr>
            <w:tcW w:w="913" w:type="dxa"/>
            <w:tcBorders>
              <w:top w:val="single" w:color="auto" w:sz="8" w:space="0"/>
              <w:left w:val="nil"/>
              <w:bottom w:val="single" w:color="auto" w:sz="6" w:space="0"/>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eastAsia="zh-CN"/>
              </w:rPr>
            </w:pPr>
            <w:r>
              <w:rPr>
                <w:rFonts w:ascii="Arial" w:hAnsi="Arial" w:eastAsia="等线" w:cs="Arial"/>
                <w:color w:val="000000"/>
                <w:kern w:val="2"/>
                <w:sz w:val="16"/>
                <w:szCs w:val="16"/>
                <w:lang w:eastAsia="zh-CN"/>
              </w:rPr>
              <w:t>Cal.</w:t>
            </w:r>
            <m:oMath>
              <m:sSub>
                <m:sSubPr>
                  <m:ctrlPr>
                    <w:rPr>
                      <w:rFonts w:ascii="Cambria Math" w:hAnsi="Cambria Math" w:eastAsia="Cambria Math" w:cs="宋体"/>
                      <w:i/>
                      <w:iCs/>
                      <w:color w:val="000000"/>
                      <w:kern w:val="2"/>
                      <w:sz w:val="16"/>
                      <w:szCs w:val="16"/>
                      <w:lang w:val="en-US" w:eastAsia="zh-CN"/>
                    </w:rPr>
                  </m:ctrlPr>
                </m:sSubPr>
                <m:e>
                  <m:r>
                    <m:rPr/>
                    <w:rPr>
                      <w:rFonts w:ascii="Cambria Math" w:hAnsi="Cambria Math" w:eastAsia="等线"/>
                      <w:color w:val="000000"/>
                      <w:kern w:val="2"/>
                      <w:sz w:val="16"/>
                      <w:szCs w:val="16"/>
                      <w:lang w:val="en-US" w:eastAsia="zh-CN"/>
                    </w:rPr>
                    <m:t>J</m:t>
                  </m:r>
                  <m:ctrlPr>
                    <w:rPr>
                      <w:rFonts w:ascii="Cambria Math" w:hAnsi="Cambria Math" w:eastAsia="Cambria Math" w:cs="宋体"/>
                      <w:i/>
                      <w:iCs/>
                      <w:color w:val="000000"/>
                      <w:kern w:val="2"/>
                      <w:sz w:val="16"/>
                      <w:szCs w:val="16"/>
                      <w:lang w:val="en-US" w:eastAsia="zh-CN"/>
                    </w:rPr>
                  </m:ctrlPr>
                </m:e>
                <m:sub>
                  <m:r>
                    <m:rPr/>
                    <w:rPr>
                      <w:rFonts w:ascii="Cambria Math" w:hAnsi="Cambria Math" w:eastAsia="等线"/>
                      <w:color w:val="000000"/>
                      <w:kern w:val="2"/>
                      <w:sz w:val="16"/>
                      <w:szCs w:val="16"/>
                      <w:lang w:val="en-US" w:eastAsia="zh-CN"/>
                    </w:rPr>
                    <m:t>SC</m:t>
                  </m:r>
                  <m:ctrlPr>
                    <w:rPr>
                      <w:rFonts w:ascii="Cambria Math" w:hAnsi="Cambria Math" w:eastAsia="Cambria Math" w:cs="宋体"/>
                      <w:i/>
                      <w:iCs/>
                      <w:color w:val="000000"/>
                      <w:kern w:val="2"/>
                      <w:sz w:val="16"/>
                      <w:szCs w:val="16"/>
                      <w:lang w:val="en-US" w:eastAsia="zh-CN"/>
                    </w:rPr>
                  </m:ctrlPr>
                </m:sub>
              </m:sSub>
            </m:oMath>
          </w:p>
          <w:p>
            <w:pPr>
              <w:spacing w:line="360" w:lineRule="auto"/>
              <w:jc w:val="center"/>
              <w:rPr>
                <w:rFonts w:ascii="Arial" w:hAnsi="Arial" w:eastAsia="宋体" w:cs="Arial"/>
                <w:sz w:val="16"/>
                <w:szCs w:val="16"/>
                <w:lang w:eastAsia="zh-CN"/>
              </w:rPr>
            </w:pPr>
            <w:r>
              <w:rPr>
                <w:rFonts w:ascii="Arial" w:hAnsi="Arial" w:eastAsia="等线" w:cs="Arial"/>
                <w:color w:val="000000"/>
                <w:kern w:val="2"/>
                <w:sz w:val="16"/>
                <w:szCs w:val="16"/>
                <w:lang w:eastAsia="zh-CN"/>
              </w:rPr>
              <w:t>[mA cm</w:t>
            </w:r>
            <w:r>
              <w:rPr>
                <w:rFonts w:ascii="Arial" w:hAnsi="Arial" w:eastAsia="等线" w:cs="Arial"/>
                <w:color w:val="000000"/>
                <w:kern w:val="2"/>
                <w:position w:val="6"/>
                <w:sz w:val="16"/>
                <w:szCs w:val="16"/>
                <w:vertAlign w:val="superscript"/>
                <w:lang w:eastAsia="zh-CN"/>
              </w:rPr>
              <w:t>-2</w:t>
            </w:r>
            <w:r>
              <w:rPr>
                <w:rFonts w:ascii="Arial" w:hAnsi="Arial" w:eastAsia="等线" w:cs="Arial"/>
                <w:color w:val="000000"/>
                <w:kern w:val="2"/>
                <w:sz w:val="16"/>
                <w:szCs w:val="16"/>
                <w:lang w:eastAsia="zh-CN"/>
              </w:rPr>
              <w:t>]</w:t>
            </w:r>
          </w:p>
        </w:tc>
        <w:tc>
          <w:tcPr>
            <w:tcW w:w="1276" w:type="dxa"/>
            <w:tcBorders>
              <w:top w:val="single" w:color="auto" w:sz="8" w:space="0"/>
              <w:left w:val="nil"/>
              <w:bottom w:val="single" w:color="auto" w:sz="6" w:space="0"/>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m:oMath>
              <m:r>
                <m:rPr/>
                <w:rPr>
                  <w:rFonts w:ascii="Cambria Math" w:hAnsi="Cambria Math" w:eastAsia="等线"/>
                  <w:color w:val="000000"/>
                  <w:kern w:val="2"/>
                  <w:sz w:val="16"/>
                  <w:szCs w:val="16"/>
                  <w:lang w:val="en-US" w:eastAsia="zh-CN"/>
                </w:rPr>
                <m:t>FF</m:t>
              </m:r>
            </m:oMath>
            <w:r>
              <w:rPr>
                <w:rFonts w:ascii="Arial" w:hAnsi="Arial" w:eastAsia="等线" w:cs="Arial"/>
                <w:color w:val="000000"/>
                <w:kern w:val="2"/>
                <w:sz w:val="16"/>
                <w:szCs w:val="16"/>
                <w:lang w:val="en-US" w:eastAsia="zh-CN"/>
              </w:rPr>
              <w:t>[</w:t>
            </w:r>
            <w:r>
              <w:rPr>
                <w:rFonts w:ascii="Arial" w:hAnsi="Arial" w:eastAsia="等线" w:cs="Arial"/>
                <w:i/>
                <w:iCs/>
                <w:color w:val="000000"/>
                <w:kern w:val="2"/>
                <w:sz w:val="16"/>
                <w:szCs w:val="16"/>
                <w:lang w:val="en-US" w:eastAsia="zh-CN"/>
              </w:rPr>
              <w:t>%</w:t>
            </w:r>
            <w:r>
              <w:rPr>
                <w:rFonts w:ascii="Arial" w:hAnsi="Arial" w:eastAsia="等线" w:cs="Arial"/>
                <w:color w:val="000000"/>
                <w:kern w:val="2"/>
                <w:sz w:val="16"/>
                <w:szCs w:val="16"/>
                <w:lang w:val="en-US" w:eastAsia="zh-CN"/>
              </w:rPr>
              <w:t>]</w:t>
            </w:r>
          </w:p>
        </w:tc>
        <w:tc>
          <w:tcPr>
            <w:tcW w:w="1559" w:type="dxa"/>
            <w:tcBorders>
              <w:top w:val="single" w:color="auto" w:sz="8" w:space="0"/>
              <w:left w:val="nil"/>
              <w:bottom w:val="single" w:color="auto" w:sz="6" w:space="0"/>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m:oMath>
              <m:r>
                <m:rPr/>
                <w:rPr>
                  <w:rFonts w:ascii="Cambria Math" w:hAnsi="Cambria Math" w:eastAsia="等线"/>
                  <w:color w:val="000000"/>
                  <w:kern w:val="2"/>
                  <w:sz w:val="16"/>
                  <w:szCs w:val="16"/>
                  <w:lang w:val="en-US" w:eastAsia="zh-CN"/>
                </w:rPr>
                <m:t>PCE</m:t>
              </m:r>
            </m:oMath>
            <w:r>
              <w:rPr>
                <w:rFonts w:ascii="Arial" w:hAnsi="Arial" w:eastAsia="等线" w:cs="Arial"/>
                <w:color w:val="000000"/>
                <w:kern w:val="2"/>
                <w:sz w:val="16"/>
                <w:szCs w:val="16"/>
                <w:lang w:val="en-US" w:eastAsia="zh-CN"/>
              </w:rPr>
              <w:t>[%]</w:t>
            </w:r>
          </w:p>
        </w:tc>
      </w:tr>
      <w:tr>
        <w:tblPrEx>
          <w:tblCellMar>
            <w:top w:w="0" w:type="dxa"/>
            <w:left w:w="0" w:type="dxa"/>
            <w:bottom w:w="0" w:type="dxa"/>
            <w:right w:w="0" w:type="dxa"/>
          </w:tblCellMar>
        </w:tblPrEx>
        <w:trPr>
          <w:trHeight w:val="501" w:hRule="atLeast"/>
          <w:jc w:val="center"/>
        </w:trPr>
        <w:tc>
          <w:tcPr>
            <w:tcW w:w="1565" w:type="dxa"/>
            <w:tcBorders>
              <w:top w:val="single" w:color="auto" w:sz="6" w:space="0"/>
              <w:left w:val="nil"/>
              <w:bottom w:val="nil"/>
              <w:right w:val="nil"/>
            </w:tcBorders>
            <w:shd w:val="clear" w:color="auto" w:fill="auto"/>
            <w:tcMar>
              <w:top w:w="15" w:type="dxa"/>
              <w:left w:w="108" w:type="dxa"/>
              <w:bottom w:w="0" w:type="dxa"/>
              <w:right w:w="108" w:type="dxa"/>
            </w:tcMar>
            <w:vAlign w:val="center"/>
          </w:tcPr>
          <w:p>
            <w:pPr>
              <w:spacing w:after="4" w:line="360" w:lineRule="auto"/>
              <w:ind w:left="101" w:hanging="14"/>
              <w:jc w:val="center"/>
              <w:rPr>
                <w:rFonts w:ascii="Arial" w:hAnsi="Arial" w:eastAsia="宋体" w:cs="Arial"/>
                <w:sz w:val="16"/>
                <w:szCs w:val="16"/>
                <w:lang w:val="en-US" w:eastAsia="zh-CN"/>
              </w:rPr>
            </w:pPr>
            <w:r>
              <w:rPr>
                <w:rFonts w:ascii="Arial" w:hAnsi="Arial" w:eastAsia="Times New Roman" w:cs="Arial"/>
                <w:color w:val="000000"/>
                <w:kern w:val="2"/>
                <w:sz w:val="16"/>
                <w:szCs w:val="16"/>
                <w:lang w:val="en-US" w:eastAsia="zh-CN"/>
              </w:rPr>
              <w:t>ZnO</w:t>
            </w:r>
          </w:p>
        </w:tc>
        <w:tc>
          <w:tcPr>
            <w:tcW w:w="1717" w:type="dxa"/>
            <w:tcBorders>
              <w:top w:val="single" w:color="auto" w:sz="6" w:space="0"/>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0.838</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(0.834±0.003)</w:t>
            </w:r>
          </w:p>
        </w:tc>
        <w:tc>
          <w:tcPr>
            <w:tcW w:w="1617" w:type="dxa"/>
            <w:tcBorders>
              <w:top w:val="single" w:color="auto" w:sz="6" w:space="0"/>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25.25</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(24.93±0.38)</w:t>
            </w:r>
          </w:p>
        </w:tc>
        <w:tc>
          <w:tcPr>
            <w:tcW w:w="913" w:type="dxa"/>
            <w:tcBorders>
              <w:top w:val="single" w:color="auto" w:sz="6" w:space="0"/>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24.20</w:t>
            </w:r>
          </w:p>
        </w:tc>
        <w:tc>
          <w:tcPr>
            <w:tcW w:w="1276" w:type="dxa"/>
            <w:tcBorders>
              <w:top w:val="single" w:color="auto" w:sz="6" w:space="0"/>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73.85</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(73.14±0.83)</w:t>
            </w:r>
          </w:p>
        </w:tc>
        <w:tc>
          <w:tcPr>
            <w:tcW w:w="1559" w:type="dxa"/>
            <w:tcBorders>
              <w:top w:val="single" w:color="auto" w:sz="6" w:space="0"/>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15.63</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(15.20±0.31)</w:t>
            </w:r>
          </w:p>
        </w:tc>
      </w:tr>
      <w:tr>
        <w:tblPrEx>
          <w:tblCellMar>
            <w:top w:w="0" w:type="dxa"/>
            <w:left w:w="0" w:type="dxa"/>
            <w:bottom w:w="0" w:type="dxa"/>
            <w:right w:w="0" w:type="dxa"/>
          </w:tblCellMar>
        </w:tblPrEx>
        <w:trPr>
          <w:trHeight w:val="501" w:hRule="atLeast"/>
          <w:jc w:val="center"/>
        </w:trPr>
        <w:tc>
          <w:tcPr>
            <w:tcW w:w="1565" w:type="dxa"/>
            <w:tcBorders>
              <w:top w:val="nil"/>
              <w:left w:val="nil"/>
              <w:bottom w:val="nil"/>
              <w:right w:val="nil"/>
            </w:tcBorders>
            <w:shd w:val="clear" w:color="auto" w:fill="auto"/>
            <w:tcMar>
              <w:top w:w="15" w:type="dxa"/>
              <w:left w:w="108" w:type="dxa"/>
              <w:bottom w:w="0" w:type="dxa"/>
              <w:right w:w="108" w:type="dxa"/>
            </w:tcMar>
            <w:vAlign w:val="center"/>
          </w:tcPr>
          <w:p>
            <w:pPr>
              <w:spacing w:after="4" w:line="360" w:lineRule="auto"/>
              <w:ind w:left="101" w:hanging="14"/>
              <w:jc w:val="center"/>
              <w:rPr>
                <w:rFonts w:ascii="Arial" w:hAnsi="Arial" w:eastAsia="宋体" w:cs="Arial"/>
                <w:sz w:val="16"/>
                <w:szCs w:val="16"/>
                <w:lang w:val="en-US" w:eastAsia="zh-CN"/>
              </w:rPr>
            </w:pPr>
            <w:r>
              <w:rPr>
                <w:rFonts w:ascii="Arial" w:hAnsi="Arial" w:eastAsia="Times New Roman" w:cs="Arial"/>
                <w:color w:val="000000"/>
                <w:kern w:val="2"/>
                <w:sz w:val="16"/>
                <w:szCs w:val="16"/>
                <w:lang w:val="en-US" w:eastAsia="zh-CN"/>
              </w:rPr>
              <w:t>ZnO/Al</w:t>
            </w:r>
            <w:r>
              <w:rPr>
                <w:rFonts w:ascii="Arial" w:hAnsi="Arial" w:eastAsia="Times New Roman" w:cs="Arial"/>
                <w:color w:val="000000"/>
                <w:kern w:val="2"/>
                <w:sz w:val="16"/>
                <w:szCs w:val="16"/>
                <w:vertAlign w:val="subscript"/>
                <w:lang w:val="en-US" w:eastAsia="zh-CN"/>
              </w:rPr>
              <w:t>2</w:t>
            </w:r>
            <w:r>
              <w:rPr>
                <w:rFonts w:ascii="Arial" w:hAnsi="Arial" w:eastAsia="Times New Roman" w:cs="Arial"/>
                <w:color w:val="000000"/>
                <w:kern w:val="2"/>
                <w:sz w:val="16"/>
                <w:szCs w:val="16"/>
                <w:lang w:val="en-US" w:eastAsia="zh-CN"/>
              </w:rPr>
              <w:t>O</w:t>
            </w:r>
            <w:r>
              <w:rPr>
                <w:rFonts w:ascii="Arial" w:hAnsi="Arial" w:eastAsia="Times New Roman" w:cs="Arial"/>
                <w:color w:val="000000"/>
                <w:kern w:val="2"/>
                <w:sz w:val="16"/>
                <w:szCs w:val="16"/>
                <w:vertAlign w:val="subscript"/>
                <w:lang w:val="en-US" w:eastAsia="zh-CN"/>
              </w:rPr>
              <w:t>3</w:t>
            </w:r>
            <w:r>
              <w:rPr>
                <w:rFonts w:ascii="Arial" w:hAnsi="Arial" w:eastAsia="Times New Roman" w:cs="Arial"/>
                <w:color w:val="000000"/>
                <w:kern w:val="2"/>
                <w:position w:val="-5"/>
                <w:sz w:val="16"/>
                <w:szCs w:val="16"/>
                <w:vertAlign w:val="subscript"/>
                <w:lang w:val="en-US" w:eastAsia="zh-CN"/>
              </w:rPr>
              <w:t xml:space="preserve"> </w:t>
            </w:r>
            <w:r>
              <w:rPr>
                <w:rFonts w:ascii="Arial" w:hAnsi="Arial" w:eastAsia="Times New Roman" w:cs="Arial"/>
                <w:color w:val="000000"/>
                <w:kern w:val="2"/>
                <w:sz w:val="16"/>
                <w:szCs w:val="16"/>
                <w:lang w:val="en-US" w:eastAsia="zh-CN"/>
              </w:rPr>
              <w:t>(n=1)</w:t>
            </w:r>
          </w:p>
        </w:tc>
        <w:tc>
          <w:tcPr>
            <w:tcW w:w="1717" w:type="dxa"/>
            <w:tcBorders>
              <w:top w:val="nil"/>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0.847</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(0.843±0.003)</w:t>
            </w:r>
          </w:p>
        </w:tc>
        <w:tc>
          <w:tcPr>
            <w:tcW w:w="1617" w:type="dxa"/>
            <w:tcBorders>
              <w:top w:val="nil"/>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25.50</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(25.20±0.32)</w:t>
            </w:r>
          </w:p>
        </w:tc>
        <w:tc>
          <w:tcPr>
            <w:tcW w:w="913" w:type="dxa"/>
            <w:tcBorders>
              <w:top w:val="nil"/>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24.52</w:t>
            </w:r>
          </w:p>
        </w:tc>
        <w:tc>
          <w:tcPr>
            <w:tcW w:w="1276" w:type="dxa"/>
            <w:tcBorders>
              <w:top w:val="nil"/>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74.45</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(73.55±0.92)</w:t>
            </w:r>
          </w:p>
        </w:tc>
        <w:tc>
          <w:tcPr>
            <w:tcW w:w="1559" w:type="dxa"/>
            <w:tcBorders>
              <w:top w:val="nil"/>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16.08</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(15.75±0.36)</w:t>
            </w:r>
          </w:p>
        </w:tc>
      </w:tr>
      <w:tr>
        <w:tblPrEx>
          <w:tblCellMar>
            <w:top w:w="0" w:type="dxa"/>
            <w:left w:w="0" w:type="dxa"/>
            <w:bottom w:w="0" w:type="dxa"/>
            <w:right w:w="0" w:type="dxa"/>
          </w:tblCellMar>
        </w:tblPrEx>
        <w:trPr>
          <w:trHeight w:val="501" w:hRule="atLeast"/>
          <w:jc w:val="center"/>
        </w:trPr>
        <w:tc>
          <w:tcPr>
            <w:tcW w:w="1565" w:type="dxa"/>
            <w:tcBorders>
              <w:top w:val="nil"/>
              <w:left w:val="nil"/>
              <w:bottom w:val="nil"/>
              <w:right w:val="nil"/>
            </w:tcBorders>
            <w:shd w:val="clear" w:color="auto" w:fill="auto"/>
            <w:tcMar>
              <w:top w:w="15" w:type="dxa"/>
              <w:left w:w="108" w:type="dxa"/>
              <w:bottom w:w="0" w:type="dxa"/>
              <w:right w:w="108" w:type="dxa"/>
            </w:tcMar>
            <w:vAlign w:val="center"/>
          </w:tcPr>
          <w:p>
            <w:pPr>
              <w:spacing w:after="4" w:line="360" w:lineRule="auto"/>
              <w:ind w:left="101" w:hanging="14"/>
              <w:jc w:val="center"/>
              <w:rPr>
                <w:rFonts w:ascii="Arial" w:hAnsi="Arial" w:eastAsia="宋体" w:cs="Arial"/>
                <w:sz w:val="16"/>
                <w:szCs w:val="16"/>
                <w:lang w:val="en-US" w:eastAsia="zh-CN"/>
              </w:rPr>
            </w:pPr>
            <w:r>
              <w:rPr>
                <w:rFonts w:ascii="Arial" w:hAnsi="Arial" w:eastAsia="Times New Roman" w:cs="Arial"/>
                <w:color w:val="000000"/>
                <w:kern w:val="2"/>
                <w:sz w:val="16"/>
                <w:szCs w:val="16"/>
                <w:lang w:val="en-US" w:eastAsia="zh-CN"/>
              </w:rPr>
              <w:t>ZnO/Al</w:t>
            </w:r>
            <w:r>
              <w:rPr>
                <w:rFonts w:ascii="Arial" w:hAnsi="Arial" w:eastAsia="Times New Roman" w:cs="Arial"/>
                <w:color w:val="000000"/>
                <w:kern w:val="2"/>
                <w:sz w:val="16"/>
                <w:szCs w:val="16"/>
                <w:vertAlign w:val="subscript"/>
                <w:lang w:val="en-US" w:eastAsia="zh-CN"/>
              </w:rPr>
              <w:t>2</w:t>
            </w:r>
            <w:r>
              <w:rPr>
                <w:rFonts w:ascii="Arial" w:hAnsi="Arial" w:eastAsia="Times New Roman" w:cs="Arial"/>
                <w:color w:val="000000"/>
                <w:kern w:val="2"/>
                <w:sz w:val="16"/>
                <w:szCs w:val="16"/>
                <w:lang w:val="en-US" w:eastAsia="zh-CN"/>
              </w:rPr>
              <w:t>O</w:t>
            </w:r>
            <w:r>
              <w:rPr>
                <w:rFonts w:ascii="Arial" w:hAnsi="Arial" w:eastAsia="Times New Roman" w:cs="Arial"/>
                <w:color w:val="000000"/>
                <w:kern w:val="2"/>
                <w:sz w:val="16"/>
                <w:szCs w:val="16"/>
                <w:vertAlign w:val="subscript"/>
                <w:lang w:val="en-US" w:eastAsia="zh-CN"/>
              </w:rPr>
              <w:t>3</w:t>
            </w:r>
            <w:r>
              <w:rPr>
                <w:rFonts w:ascii="Arial" w:hAnsi="Arial" w:eastAsia="Times New Roman" w:cs="Arial"/>
                <w:color w:val="000000"/>
                <w:kern w:val="2"/>
                <w:position w:val="-5"/>
                <w:sz w:val="16"/>
                <w:szCs w:val="16"/>
                <w:vertAlign w:val="subscript"/>
                <w:lang w:val="en-US" w:eastAsia="zh-CN"/>
              </w:rPr>
              <w:t xml:space="preserve"> </w:t>
            </w:r>
            <w:r>
              <w:rPr>
                <w:rFonts w:ascii="Arial" w:hAnsi="Arial" w:eastAsia="Times New Roman" w:cs="Arial"/>
                <w:color w:val="000000"/>
                <w:kern w:val="2"/>
                <w:sz w:val="16"/>
                <w:szCs w:val="16"/>
                <w:lang w:val="en-US" w:eastAsia="zh-CN"/>
              </w:rPr>
              <w:t>(n=3)</w:t>
            </w:r>
          </w:p>
        </w:tc>
        <w:tc>
          <w:tcPr>
            <w:tcW w:w="1717" w:type="dxa"/>
            <w:tcBorders>
              <w:top w:val="nil"/>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0.853</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(0.850±0.002)</w:t>
            </w:r>
          </w:p>
        </w:tc>
        <w:tc>
          <w:tcPr>
            <w:tcW w:w="1617" w:type="dxa"/>
            <w:tcBorders>
              <w:top w:val="nil"/>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25.94</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(25.67±0.31)</w:t>
            </w:r>
          </w:p>
        </w:tc>
        <w:tc>
          <w:tcPr>
            <w:tcW w:w="913" w:type="dxa"/>
            <w:tcBorders>
              <w:top w:val="nil"/>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25.15</w:t>
            </w:r>
          </w:p>
        </w:tc>
        <w:tc>
          <w:tcPr>
            <w:tcW w:w="1276" w:type="dxa"/>
            <w:tcBorders>
              <w:top w:val="nil"/>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75.08</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(74.36±0.73)</w:t>
            </w:r>
          </w:p>
        </w:tc>
        <w:tc>
          <w:tcPr>
            <w:tcW w:w="1559" w:type="dxa"/>
            <w:tcBorders>
              <w:top w:val="nil"/>
              <w:left w:val="nil"/>
              <w:bottom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16.61</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(16.23±0.28)</w:t>
            </w:r>
          </w:p>
        </w:tc>
      </w:tr>
      <w:tr>
        <w:tblPrEx>
          <w:tblCellMar>
            <w:top w:w="0" w:type="dxa"/>
            <w:left w:w="0" w:type="dxa"/>
            <w:bottom w:w="0" w:type="dxa"/>
            <w:right w:w="0" w:type="dxa"/>
          </w:tblCellMar>
        </w:tblPrEx>
        <w:trPr>
          <w:trHeight w:val="501" w:hRule="atLeast"/>
          <w:jc w:val="center"/>
        </w:trPr>
        <w:tc>
          <w:tcPr>
            <w:tcW w:w="1565" w:type="dxa"/>
            <w:tcBorders>
              <w:top w:val="nil"/>
              <w:left w:val="nil"/>
              <w:right w:val="nil"/>
            </w:tcBorders>
            <w:shd w:val="clear" w:color="auto" w:fill="auto"/>
            <w:tcMar>
              <w:top w:w="15" w:type="dxa"/>
              <w:left w:w="81" w:type="dxa"/>
              <w:bottom w:w="0" w:type="dxa"/>
              <w:right w:w="81" w:type="dxa"/>
            </w:tcMar>
            <w:vAlign w:val="center"/>
          </w:tcPr>
          <w:p>
            <w:pPr>
              <w:spacing w:after="4" w:line="360" w:lineRule="auto"/>
              <w:ind w:left="101" w:hanging="14"/>
              <w:jc w:val="center"/>
              <w:rPr>
                <w:rFonts w:ascii="Arial" w:hAnsi="Arial" w:eastAsia="宋体" w:cs="Arial"/>
                <w:sz w:val="16"/>
                <w:szCs w:val="16"/>
                <w:lang w:val="en-US" w:eastAsia="zh-CN"/>
              </w:rPr>
            </w:pPr>
            <w:r>
              <w:rPr>
                <w:rFonts w:ascii="Arial" w:hAnsi="Arial" w:eastAsia="Times New Roman" w:cs="Arial"/>
                <w:color w:val="000000"/>
                <w:kern w:val="2"/>
                <w:sz w:val="16"/>
                <w:szCs w:val="16"/>
                <w:lang w:val="en-US" w:eastAsia="zh-CN"/>
              </w:rPr>
              <w:t>ZnO/Al</w:t>
            </w:r>
            <w:r>
              <w:rPr>
                <w:rFonts w:ascii="Arial" w:hAnsi="Arial" w:eastAsia="Times New Roman" w:cs="Arial"/>
                <w:color w:val="000000"/>
                <w:kern w:val="2"/>
                <w:sz w:val="16"/>
                <w:szCs w:val="16"/>
                <w:vertAlign w:val="subscript"/>
                <w:lang w:val="en-US" w:eastAsia="zh-CN"/>
              </w:rPr>
              <w:t>2</w:t>
            </w:r>
            <w:r>
              <w:rPr>
                <w:rFonts w:ascii="Arial" w:hAnsi="Arial" w:eastAsia="Times New Roman" w:cs="Arial"/>
                <w:color w:val="000000"/>
                <w:kern w:val="2"/>
                <w:sz w:val="16"/>
                <w:szCs w:val="16"/>
                <w:lang w:val="en-US" w:eastAsia="zh-CN"/>
              </w:rPr>
              <w:t>O</w:t>
            </w:r>
            <w:r>
              <w:rPr>
                <w:rFonts w:ascii="Arial" w:hAnsi="Arial" w:eastAsia="Times New Roman" w:cs="Arial"/>
                <w:color w:val="000000"/>
                <w:kern w:val="2"/>
                <w:sz w:val="16"/>
                <w:szCs w:val="16"/>
                <w:vertAlign w:val="subscript"/>
                <w:lang w:val="en-US" w:eastAsia="zh-CN"/>
              </w:rPr>
              <w:t>3</w:t>
            </w:r>
            <w:r>
              <w:rPr>
                <w:rFonts w:ascii="Arial" w:hAnsi="Arial" w:eastAsia="Times New Roman" w:cs="Arial"/>
                <w:color w:val="000000"/>
                <w:kern w:val="2"/>
                <w:sz w:val="16"/>
                <w:szCs w:val="16"/>
                <w:lang w:val="en-US" w:eastAsia="zh-CN"/>
              </w:rPr>
              <w:t xml:space="preserve"> (n=5)</w:t>
            </w:r>
          </w:p>
        </w:tc>
        <w:tc>
          <w:tcPr>
            <w:tcW w:w="1717" w:type="dxa"/>
            <w:tcBorders>
              <w:top w:val="nil"/>
              <w:left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0.844</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(0.839±0.003)</w:t>
            </w:r>
          </w:p>
        </w:tc>
        <w:tc>
          <w:tcPr>
            <w:tcW w:w="1617" w:type="dxa"/>
            <w:tcBorders>
              <w:top w:val="nil"/>
              <w:left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26.32</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(25.88±0.42)</w:t>
            </w:r>
          </w:p>
        </w:tc>
        <w:tc>
          <w:tcPr>
            <w:tcW w:w="913" w:type="dxa"/>
            <w:tcBorders>
              <w:top w:val="nil"/>
              <w:left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25.45</w:t>
            </w:r>
          </w:p>
        </w:tc>
        <w:tc>
          <w:tcPr>
            <w:tcW w:w="1276" w:type="dxa"/>
            <w:tcBorders>
              <w:top w:val="nil"/>
              <w:left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72.24</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(71.20±1.02)</w:t>
            </w:r>
          </w:p>
        </w:tc>
        <w:tc>
          <w:tcPr>
            <w:tcW w:w="1559" w:type="dxa"/>
            <w:tcBorders>
              <w:top w:val="nil"/>
              <w:left w:val="nil"/>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16.05</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(15.63±0.40)</w:t>
            </w:r>
          </w:p>
        </w:tc>
      </w:tr>
      <w:tr>
        <w:tblPrEx>
          <w:tblCellMar>
            <w:top w:w="0" w:type="dxa"/>
            <w:left w:w="0" w:type="dxa"/>
            <w:bottom w:w="0" w:type="dxa"/>
            <w:right w:w="0" w:type="dxa"/>
          </w:tblCellMar>
        </w:tblPrEx>
        <w:trPr>
          <w:trHeight w:val="501" w:hRule="atLeast"/>
          <w:jc w:val="center"/>
        </w:trPr>
        <w:tc>
          <w:tcPr>
            <w:tcW w:w="1565" w:type="dxa"/>
            <w:tcBorders>
              <w:top w:val="nil"/>
              <w:left w:val="nil"/>
              <w:bottom w:val="single" w:color="auto" w:sz="8" w:space="0"/>
              <w:right w:val="nil"/>
            </w:tcBorders>
            <w:shd w:val="clear" w:color="auto" w:fill="auto"/>
            <w:tcMar>
              <w:top w:w="15" w:type="dxa"/>
              <w:left w:w="81" w:type="dxa"/>
              <w:bottom w:w="0" w:type="dxa"/>
              <w:right w:w="81" w:type="dxa"/>
            </w:tcMar>
            <w:vAlign w:val="center"/>
          </w:tcPr>
          <w:p>
            <w:pPr>
              <w:spacing w:after="4" w:line="360" w:lineRule="auto"/>
              <w:ind w:left="101" w:hanging="14"/>
              <w:jc w:val="center"/>
              <w:rPr>
                <w:rFonts w:ascii="Arial" w:hAnsi="Arial" w:eastAsia="宋体" w:cs="Arial"/>
                <w:sz w:val="16"/>
                <w:szCs w:val="16"/>
                <w:lang w:val="en-US" w:eastAsia="zh-CN"/>
              </w:rPr>
            </w:pPr>
            <w:r>
              <w:rPr>
                <w:rFonts w:ascii="Arial" w:hAnsi="Arial" w:eastAsia="Times New Roman" w:cs="Arial"/>
                <w:color w:val="000000"/>
                <w:kern w:val="2"/>
                <w:sz w:val="16"/>
                <w:szCs w:val="16"/>
                <w:lang w:val="en-US" w:eastAsia="zh-CN"/>
              </w:rPr>
              <w:t>ZnO/Al</w:t>
            </w:r>
            <w:r>
              <w:rPr>
                <w:rFonts w:ascii="Arial" w:hAnsi="Arial" w:eastAsia="Times New Roman" w:cs="Arial"/>
                <w:color w:val="000000"/>
                <w:kern w:val="2"/>
                <w:sz w:val="16"/>
                <w:szCs w:val="16"/>
                <w:vertAlign w:val="subscript"/>
                <w:lang w:val="en-US" w:eastAsia="zh-CN"/>
              </w:rPr>
              <w:t>2</w:t>
            </w:r>
            <w:r>
              <w:rPr>
                <w:rFonts w:ascii="Arial" w:hAnsi="Arial" w:eastAsia="Times New Roman" w:cs="Arial"/>
                <w:color w:val="000000"/>
                <w:kern w:val="2"/>
                <w:sz w:val="16"/>
                <w:szCs w:val="16"/>
                <w:lang w:val="en-US" w:eastAsia="zh-CN"/>
              </w:rPr>
              <w:t>O</w:t>
            </w:r>
            <w:r>
              <w:rPr>
                <w:rFonts w:ascii="Arial" w:hAnsi="Arial" w:eastAsia="Times New Roman" w:cs="Arial"/>
                <w:color w:val="000000"/>
                <w:kern w:val="2"/>
                <w:sz w:val="16"/>
                <w:szCs w:val="16"/>
                <w:vertAlign w:val="subscript"/>
                <w:lang w:val="en-US" w:eastAsia="zh-CN"/>
              </w:rPr>
              <w:t>3</w:t>
            </w:r>
            <w:r>
              <w:rPr>
                <w:rFonts w:ascii="Arial" w:hAnsi="Arial" w:eastAsia="Times New Roman" w:cs="Arial"/>
                <w:color w:val="000000"/>
                <w:kern w:val="2"/>
                <w:position w:val="-5"/>
                <w:sz w:val="16"/>
                <w:szCs w:val="16"/>
                <w:vertAlign w:val="subscript"/>
                <w:lang w:val="en-US" w:eastAsia="zh-CN"/>
              </w:rPr>
              <w:t xml:space="preserve"> </w:t>
            </w:r>
            <w:r>
              <w:rPr>
                <w:rFonts w:ascii="Arial" w:hAnsi="Arial" w:eastAsia="Times New Roman" w:cs="Arial"/>
                <w:color w:val="000000"/>
                <w:kern w:val="2"/>
                <w:sz w:val="16"/>
                <w:szCs w:val="16"/>
                <w:lang w:val="en-US" w:eastAsia="zh-CN"/>
              </w:rPr>
              <w:t>(n=10)</w:t>
            </w:r>
          </w:p>
        </w:tc>
        <w:tc>
          <w:tcPr>
            <w:tcW w:w="1717" w:type="dxa"/>
            <w:tcBorders>
              <w:top w:val="nil"/>
              <w:left w:val="nil"/>
              <w:bottom w:val="single" w:color="auto" w:sz="8" w:space="0"/>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0.804</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(0.799±0.004)</w:t>
            </w:r>
          </w:p>
        </w:tc>
        <w:tc>
          <w:tcPr>
            <w:tcW w:w="1617" w:type="dxa"/>
            <w:tcBorders>
              <w:top w:val="nil"/>
              <w:left w:val="nil"/>
              <w:bottom w:val="single" w:color="auto" w:sz="8" w:space="0"/>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25.68</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(25.16±0.48)</w:t>
            </w:r>
          </w:p>
        </w:tc>
        <w:tc>
          <w:tcPr>
            <w:tcW w:w="913" w:type="dxa"/>
            <w:tcBorders>
              <w:top w:val="nil"/>
              <w:left w:val="nil"/>
              <w:bottom w:val="single" w:color="auto" w:sz="8" w:space="0"/>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24.82</w:t>
            </w:r>
          </w:p>
        </w:tc>
        <w:tc>
          <w:tcPr>
            <w:tcW w:w="1276" w:type="dxa"/>
            <w:tcBorders>
              <w:top w:val="nil"/>
              <w:left w:val="nil"/>
              <w:bottom w:val="single" w:color="auto" w:sz="8" w:space="0"/>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65.64</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(64.97±1.04)</w:t>
            </w:r>
          </w:p>
        </w:tc>
        <w:tc>
          <w:tcPr>
            <w:tcW w:w="1559" w:type="dxa"/>
            <w:tcBorders>
              <w:top w:val="nil"/>
              <w:left w:val="nil"/>
              <w:bottom w:val="single" w:color="auto" w:sz="8" w:space="0"/>
              <w:right w:val="nil"/>
            </w:tcBorders>
            <w:shd w:val="clear" w:color="auto" w:fill="auto"/>
            <w:tcMar>
              <w:top w:w="15" w:type="dxa"/>
              <w:left w:w="81" w:type="dxa"/>
              <w:bottom w:w="0" w:type="dxa"/>
              <w:right w:w="81" w:type="dxa"/>
            </w:tcMar>
            <w:vAlign w:val="center"/>
          </w:tcPr>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13.55</w:t>
            </w:r>
          </w:p>
          <w:p>
            <w:pPr>
              <w:spacing w:line="360" w:lineRule="auto"/>
              <w:jc w:val="center"/>
              <w:rPr>
                <w:rFonts w:ascii="Arial" w:hAnsi="Arial" w:eastAsia="宋体" w:cs="Arial"/>
                <w:sz w:val="16"/>
                <w:szCs w:val="16"/>
                <w:lang w:val="en-US" w:eastAsia="zh-CN"/>
              </w:rPr>
            </w:pPr>
            <w:r>
              <w:rPr>
                <w:rFonts w:ascii="Arial" w:hAnsi="Arial" w:eastAsia="等线" w:cs="Arial"/>
                <w:color w:val="000000"/>
                <w:kern w:val="2"/>
                <w:sz w:val="16"/>
                <w:szCs w:val="16"/>
                <w:lang w:val="en-US" w:eastAsia="zh-CN"/>
              </w:rPr>
              <w:t>(13.06±0.44)</w:t>
            </w:r>
          </w:p>
        </w:tc>
      </w:tr>
    </w:tbl>
    <w:p>
      <w:pPr>
        <w:widowControl w:val="0"/>
        <w:spacing w:after="240" w:afterLines="100" w:line="440" w:lineRule="exact"/>
        <w:jc w:val="both"/>
        <w:rPr>
          <w:rFonts w:eastAsia="微软雅黑"/>
          <w:kern w:val="2"/>
          <w:sz w:val="21"/>
          <w:szCs w:val="21"/>
          <w:lang w:val="en-US" w:eastAsia="zh-CN"/>
        </w:rPr>
      </w:pPr>
      <w:r>
        <w:rPr>
          <w:rFonts w:eastAsia="微软雅黑"/>
          <w:kern w:val="2"/>
          <w:sz w:val="21"/>
          <w:szCs w:val="21"/>
          <w:lang w:val="en-US" w:eastAsia="zh-CN"/>
        </w:rPr>
        <w:t>The standard deviations of PCEs were calculated from those of 12 independent cells.</w:t>
      </w:r>
    </w:p>
    <w:p>
      <w:pPr>
        <w:rPr>
          <w:lang w:val="en-US"/>
        </w:rPr>
      </w:pPr>
      <w:r>
        <w:rPr>
          <w:lang w:val="en-US"/>
        </w:rPr>
        <w:br w:type="page"/>
      </w:r>
    </w:p>
    <w:p>
      <w:pPr>
        <w:rPr>
          <w:lang w:val="en-US"/>
        </w:rPr>
      </w:pPr>
      <w:r>
        <w:rPr>
          <w:rFonts w:ascii="等线" w:hAnsi="等线" w:eastAsia="等线"/>
          <w:kern w:val="2"/>
          <w:sz w:val="21"/>
          <w:szCs w:val="22"/>
          <w:lang w:val="en-US" w:eastAsia="zh-CN"/>
        </w:rPr>
        <w:drawing>
          <wp:anchor distT="0" distB="0" distL="114300" distR="114300" simplePos="0" relativeHeight="251663360" behindDoc="0" locked="0" layoutInCell="1" allowOverlap="1">
            <wp:simplePos x="0" y="0"/>
            <wp:positionH relativeFrom="column">
              <wp:posOffset>-294640</wp:posOffset>
            </wp:positionH>
            <wp:positionV relativeFrom="paragraph">
              <wp:posOffset>0</wp:posOffset>
            </wp:positionV>
            <wp:extent cx="6055995" cy="3575050"/>
            <wp:effectExtent l="0" t="0" r="1905" b="6350"/>
            <wp:wrapTopAndBottom/>
            <wp:docPr id="7" name="图片 7"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图示&#10;&#10;描述已自动生成"/>
                    <pic:cNvPicPr>
                      <a:picLocks noChangeAspect="1" noChangeArrowheads="1"/>
                    </pic:cNvPicPr>
                  </pic:nvPicPr>
                  <pic:blipFill>
                    <a:blip r:embed="rId10" cstate="print">
                      <a:extLst>
                        <a:ext uri="{28A0092B-C50C-407E-A947-70E740481C1C}">
                          <a14:useLocalDpi xmlns:a14="http://schemas.microsoft.com/office/drawing/2010/main" val="0"/>
                        </a:ext>
                      </a:extLst>
                    </a:blip>
                    <a:srcRect t="12124" b="9190"/>
                    <a:stretch>
                      <a:fillRect/>
                    </a:stretch>
                  </pic:blipFill>
                  <pic:spPr>
                    <a:xfrm>
                      <a:off x="0" y="0"/>
                      <a:ext cx="6055995" cy="3575050"/>
                    </a:xfrm>
                    <a:prstGeom prst="rect">
                      <a:avLst/>
                    </a:prstGeom>
                    <a:noFill/>
                    <a:ln>
                      <a:noFill/>
                    </a:ln>
                  </pic:spPr>
                </pic:pic>
              </a:graphicData>
            </a:graphic>
          </wp:anchor>
        </w:drawing>
      </w:r>
      <w:r>
        <w:rPr>
          <w:b/>
          <w:bCs/>
          <w:szCs w:val="21"/>
        </w:rPr>
        <w:drawing>
          <wp:anchor distT="0" distB="0" distL="114300" distR="114300" simplePos="0" relativeHeight="251664384" behindDoc="0" locked="0" layoutInCell="1" allowOverlap="1">
            <wp:simplePos x="0" y="0"/>
            <wp:positionH relativeFrom="column">
              <wp:posOffset>281305</wp:posOffset>
            </wp:positionH>
            <wp:positionV relativeFrom="paragraph">
              <wp:posOffset>4269740</wp:posOffset>
            </wp:positionV>
            <wp:extent cx="4951730" cy="3953510"/>
            <wp:effectExtent l="0" t="0" r="1270" b="8890"/>
            <wp:wrapTopAndBottom/>
            <wp:docPr id="14" name="图片 14" descr="图表&#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图表&#10;&#10;描述已自动生成"/>
                    <pic:cNvPicPr>
                      <a:picLocks noChangeAspect="1"/>
                    </pic:cNvPicPr>
                  </pic:nvPicPr>
                  <pic:blipFill>
                    <a:blip r:embed="rId11"/>
                    <a:srcRect l="10188" t="13413" r="17040" b="9128"/>
                    <a:stretch>
                      <a:fillRect/>
                    </a:stretch>
                  </pic:blipFill>
                  <pic:spPr>
                    <a:xfrm>
                      <a:off x="0" y="0"/>
                      <a:ext cx="4951730" cy="3953510"/>
                    </a:xfrm>
                    <a:prstGeom prst="rect">
                      <a:avLst/>
                    </a:prstGeom>
                    <a:ln>
                      <a:noFill/>
                    </a:ln>
                  </pic:spPr>
                </pic:pic>
              </a:graphicData>
            </a:graphic>
          </wp:anchor>
        </w:drawing>
      </w:r>
      <w:r>
        <w:rPr>
          <w:b/>
          <w:bCs/>
          <w:lang w:val="en-US"/>
        </w:rPr>
        <w:t>Figure 5.</w:t>
      </w:r>
      <w:r>
        <w:rPr>
          <w:lang w:val="en-US"/>
        </w:rPr>
        <w:t xml:space="preserve"> (a) The </w:t>
      </w:r>
      <m:oMath>
        <m:sSub>
          <m:sSubPr>
            <m:ctrlPr>
              <w:rPr>
                <w:rFonts w:ascii="Cambria Math" w:hAnsi="Cambria Math"/>
                <w:i/>
                <w:iCs/>
                <w:lang w:val="en-US"/>
              </w:rPr>
            </m:ctrlPr>
          </m:sSubPr>
          <m:e>
            <m:r>
              <m:rPr/>
              <w:rPr>
                <w:rFonts w:ascii="Cambria Math" w:hAnsi="Cambria Math"/>
                <w:lang w:val="en-US"/>
              </w:rPr>
              <m:t>J</m:t>
            </m:r>
            <m:ctrlPr>
              <w:rPr>
                <w:rFonts w:ascii="Cambria Math" w:hAnsi="Cambria Math"/>
                <w:i/>
                <w:iCs/>
                <w:lang w:val="en-US"/>
              </w:rPr>
            </m:ctrlPr>
          </m:e>
          <m:sub>
            <m:r>
              <m:rPr/>
              <w:rPr>
                <w:rFonts w:ascii="Cambria Math" w:hAnsi="Cambria Math"/>
                <w:lang w:val="en-US"/>
              </w:rPr>
              <m:t>pℎ</m:t>
            </m:r>
            <m:ctrlPr>
              <w:rPr>
                <w:rFonts w:ascii="Cambria Math" w:hAnsi="Cambria Math"/>
                <w:i/>
                <w:iCs/>
                <w:lang w:val="en-US"/>
              </w:rPr>
            </m:ctrlPr>
          </m:sub>
        </m:sSub>
      </m:oMath>
      <w:r>
        <w:rPr>
          <w:lang w:val="en-US"/>
        </w:rPr>
        <w:t>-</w:t>
      </w:r>
      <m:oMath>
        <m:sSub>
          <m:sSubPr>
            <m:ctrlPr>
              <w:rPr>
                <w:rFonts w:ascii="Cambria Math" w:hAnsi="Cambria Math"/>
                <w:i/>
                <w:iCs/>
                <w:lang w:val="en-US"/>
              </w:rPr>
            </m:ctrlPr>
          </m:sSubPr>
          <m:e>
            <m:r>
              <m:rPr/>
              <w:rPr>
                <w:rFonts w:ascii="Cambria Math" w:hAnsi="Cambria Math"/>
                <w:lang w:val="en-US"/>
              </w:rPr>
              <m:t>V</m:t>
            </m:r>
            <m:ctrlPr>
              <w:rPr>
                <w:rFonts w:ascii="Cambria Math" w:hAnsi="Cambria Math"/>
                <w:i/>
                <w:iCs/>
                <w:lang w:val="en-US"/>
              </w:rPr>
            </m:ctrlPr>
          </m:e>
          <m:sub>
            <m:r>
              <m:rPr/>
              <w:rPr>
                <w:rFonts w:ascii="Cambria Math" w:hAnsi="Cambria Math"/>
                <w:lang w:val="en-US"/>
              </w:rPr>
              <m:t>eff</m:t>
            </m:r>
            <m:ctrlPr>
              <w:rPr>
                <w:rFonts w:ascii="Cambria Math" w:hAnsi="Cambria Math"/>
                <w:i/>
                <w:iCs/>
                <w:lang w:val="en-US"/>
              </w:rPr>
            </m:ctrlPr>
          </m:sub>
        </m:sSub>
      </m:oMath>
      <w:r>
        <w:rPr>
          <w:lang w:val="en-US"/>
        </w:rPr>
        <w:t xml:space="preserve"> curves, (b) </w:t>
      </w:r>
      <m:oMath>
        <m:sSub>
          <m:sSubPr>
            <m:ctrlPr>
              <w:rPr>
                <w:rFonts w:ascii="Cambria Math" w:hAnsi="Cambria Math"/>
                <w:i/>
                <w:iCs/>
                <w:lang w:val="en-US"/>
              </w:rPr>
            </m:ctrlPr>
          </m:sSubPr>
          <m:e>
            <m:r>
              <m:rPr/>
              <w:rPr>
                <w:rFonts w:ascii="Cambria Math" w:hAnsi="Cambria Math"/>
                <w:lang w:val="en-US"/>
              </w:rPr>
              <m:t>J</m:t>
            </m:r>
            <m:ctrlPr>
              <w:rPr>
                <w:rFonts w:ascii="Cambria Math" w:hAnsi="Cambria Math"/>
                <w:i/>
                <w:iCs/>
                <w:lang w:val="en-US"/>
              </w:rPr>
            </m:ctrlPr>
          </m:e>
          <m:sub>
            <m:r>
              <m:rPr/>
              <w:rPr>
                <w:rFonts w:ascii="Cambria Math" w:hAnsi="Cambria Math"/>
                <w:lang w:val="en-US"/>
              </w:rPr>
              <m:t>SC</m:t>
            </m:r>
            <m:ctrlPr>
              <w:rPr>
                <w:rFonts w:ascii="Cambria Math" w:hAnsi="Cambria Math"/>
                <w:i/>
                <w:iCs/>
                <w:lang w:val="en-US"/>
              </w:rPr>
            </m:ctrlPr>
          </m:sub>
        </m:sSub>
      </m:oMath>
      <w:r>
        <w:rPr>
          <w:lang w:val="en-US"/>
        </w:rPr>
        <w:t xml:space="preserve">-light intensity fitting lines, (c) </w:t>
      </w:r>
      <m:oMath>
        <m:sSub>
          <m:sSubPr>
            <m:ctrlPr>
              <w:rPr>
                <w:rFonts w:ascii="Cambria Math" w:hAnsi="Cambria Math"/>
                <w:i/>
                <w:iCs/>
                <w:lang w:val="en-US"/>
              </w:rPr>
            </m:ctrlPr>
          </m:sSubPr>
          <m:e>
            <m:r>
              <m:rPr/>
              <w:rPr>
                <w:rFonts w:ascii="Cambria Math" w:hAnsi="Cambria Math"/>
                <w:lang w:val="en-US"/>
              </w:rPr>
              <m:t>V</m:t>
            </m:r>
            <m:ctrlPr>
              <w:rPr>
                <w:rFonts w:ascii="Cambria Math" w:hAnsi="Cambria Math"/>
                <w:i/>
                <w:iCs/>
                <w:lang w:val="en-US"/>
              </w:rPr>
            </m:ctrlPr>
          </m:e>
          <m:sub>
            <m:r>
              <m:rPr/>
              <w:rPr>
                <w:rFonts w:ascii="Cambria Math" w:hAnsi="Cambria Math"/>
                <w:lang w:val="en-US"/>
              </w:rPr>
              <m:t>OC</m:t>
            </m:r>
            <m:ctrlPr>
              <w:rPr>
                <w:rFonts w:ascii="Cambria Math" w:hAnsi="Cambria Math"/>
                <w:i/>
                <w:iCs/>
                <w:lang w:val="en-US"/>
              </w:rPr>
            </m:ctrlPr>
          </m:sub>
        </m:sSub>
      </m:oMath>
      <w:r>
        <w:rPr>
          <w:lang w:val="en-US"/>
        </w:rPr>
        <w:t xml:space="preserve">-light intensity fitting lines, the </w:t>
      </w:r>
      <m:oMath>
        <m:sSup>
          <m:sSupPr>
            <m:ctrlPr>
              <w:rPr>
                <w:rFonts w:ascii="Cambria Math" w:hAnsi="Cambria Math"/>
                <w:i/>
                <w:iCs/>
                <w:lang w:val="en-US"/>
              </w:rPr>
            </m:ctrlPr>
          </m:sSupPr>
          <m:e>
            <m:r>
              <m:rPr/>
              <w:rPr>
                <w:rFonts w:ascii="Cambria Math" w:hAnsi="Cambria Math"/>
                <w:lang w:val="en-US"/>
              </w:rPr>
              <m:t>J</m:t>
            </m:r>
            <m:ctrlPr>
              <w:rPr>
                <w:rFonts w:ascii="Cambria Math" w:hAnsi="Cambria Math"/>
                <w:i/>
                <w:iCs/>
                <w:lang w:val="en-US"/>
              </w:rPr>
            </m:ctrlPr>
          </m:e>
          <m:sup>
            <m:r>
              <m:rPr/>
              <w:rPr>
                <w:rFonts w:ascii="Cambria Math" w:hAnsi="Cambria Math"/>
                <w:lang w:val="en-US"/>
              </w:rPr>
              <m:t>0.5</m:t>
            </m:r>
            <m:ctrlPr>
              <w:rPr>
                <w:rFonts w:ascii="Cambria Math" w:hAnsi="Cambria Math"/>
                <w:i/>
                <w:iCs/>
                <w:lang w:val="en-US"/>
              </w:rPr>
            </m:ctrlPr>
          </m:sup>
        </m:sSup>
      </m:oMath>
      <w:r>
        <w:rPr>
          <w:lang w:val="en-US"/>
        </w:rPr>
        <w:t>-V curves of (d) hole-only and (e) electron-only devices with ALD-Al</w:t>
      </w:r>
      <w:r>
        <w:rPr>
          <w:vertAlign w:val="subscript"/>
          <w:lang w:val="en-US"/>
        </w:rPr>
        <w:t>2</w:t>
      </w:r>
      <w:r>
        <w:rPr>
          <w:lang w:val="en-US"/>
        </w:rPr>
        <w:t>O</w:t>
      </w:r>
      <w:r>
        <w:rPr>
          <w:vertAlign w:val="subscript"/>
          <w:lang w:val="en-US"/>
        </w:rPr>
        <w:t>3</w:t>
      </w:r>
      <w:r>
        <w:rPr>
          <w:lang w:val="en-US"/>
        </w:rPr>
        <w:t xml:space="preserve"> layers (Deposition cycles: n=0, 3 and 10).</w:t>
      </w:r>
    </w:p>
    <w:p>
      <w:pPr>
        <w:rPr>
          <w:lang w:val="en-US"/>
        </w:rPr>
      </w:pPr>
      <w:r>
        <w:rPr>
          <w:b/>
          <w:bCs/>
          <w:lang w:val="en-US"/>
        </w:rPr>
        <w:t xml:space="preserve">Figure 6. </w:t>
      </w:r>
      <w:r>
        <w:rPr>
          <w:lang w:val="en-US"/>
        </w:rPr>
        <w:t>S-EQE and EL spectra of (a) devices with pristine ZnO  and (b) devices with ALD-Al</w:t>
      </w:r>
      <w:r>
        <w:rPr>
          <w:vertAlign w:val="subscript"/>
          <w:lang w:val="en-US"/>
        </w:rPr>
        <w:t>2</w:t>
      </w:r>
      <w:r>
        <w:rPr>
          <w:lang w:val="en-US"/>
        </w:rPr>
        <w:t>O</w:t>
      </w:r>
      <w:r>
        <w:rPr>
          <w:vertAlign w:val="subscript"/>
          <w:lang w:val="en-US"/>
        </w:rPr>
        <w:t>3</w:t>
      </w:r>
      <w:r>
        <w:rPr>
          <w:lang w:val="en-US"/>
        </w:rPr>
        <w:t xml:space="preserve"> (Deposition cycle</w:t>
      </w:r>
      <w:r>
        <w:rPr>
          <w:rFonts w:hint="eastAsia"/>
          <w:lang w:val="en-US"/>
        </w:rPr>
        <w:t>:</w:t>
      </w:r>
      <w:r>
        <w:rPr>
          <w:lang w:val="en-US"/>
        </w:rPr>
        <w:t xml:space="preserve"> n=3). (c) </w:t>
      </w:r>
      <m:oMath>
        <m:sSub>
          <m:sSubPr>
            <m:ctrlPr>
              <w:rPr>
                <w:rFonts w:ascii="Cambria Math" w:hAnsi="Cambria Math"/>
                <w:i/>
                <w:iCs/>
                <w:lang w:val="en-US"/>
              </w:rPr>
            </m:ctrlPr>
          </m:sSubPr>
          <m:e>
            <m:r>
              <m:rPr/>
              <w:rPr>
                <w:rFonts w:ascii="Cambria Math" w:hAnsi="Cambria Math"/>
                <w:lang w:val="en-US"/>
              </w:rPr>
              <m:t>EQE</m:t>
            </m:r>
            <m:ctrlPr>
              <w:rPr>
                <w:rFonts w:ascii="Cambria Math" w:hAnsi="Cambria Math"/>
                <w:i/>
                <w:iCs/>
                <w:lang w:val="en-US"/>
              </w:rPr>
            </m:ctrlPr>
          </m:e>
          <m:sub>
            <m:r>
              <m:rPr/>
              <w:rPr>
                <w:rFonts w:ascii="Cambria Math" w:hAnsi="Cambria Math"/>
                <w:lang w:val="en-US"/>
              </w:rPr>
              <m:t>EL</m:t>
            </m:r>
            <m:ctrlPr>
              <w:rPr>
                <w:rFonts w:ascii="Cambria Math" w:hAnsi="Cambria Math"/>
                <w:i/>
                <w:iCs/>
                <w:lang w:val="en-US"/>
              </w:rPr>
            </m:ctrlPr>
          </m:sub>
        </m:sSub>
      </m:oMath>
      <w:r>
        <w:rPr>
          <w:lang w:val="en-US"/>
        </w:rPr>
        <w:t xml:space="preserve"> of the corresponding OSCs. (d) Schematic diagram of energy loss.</w:t>
      </w:r>
    </w:p>
    <w:p>
      <w:pPr>
        <w:rPr>
          <w:lang w:val="en-US"/>
        </w:rPr>
      </w:pPr>
    </w:p>
    <w:p>
      <w:pPr>
        <w:spacing w:after="120" w:afterLines="50" w:line="440" w:lineRule="exact"/>
        <w:rPr>
          <w:rFonts w:eastAsia="等线"/>
          <w:kern w:val="2"/>
          <w:sz w:val="21"/>
          <w:szCs w:val="21"/>
          <w:lang w:val="en-US" w:eastAsia="zh-CN"/>
        </w:rPr>
      </w:pPr>
      <w:r>
        <w:drawing>
          <wp:anchor distT="0" distB="0" distL="114300" distR="114300" simplePos="0" relativeHeight="251666432" behindDoc="0" locked="0" layoutInCell="1" allowOverlap="1">
            <wp:simplePos x="0" y="0"/>
            <wp:positionH relativeFrom="column">
              <wp:posOffset>224790</wp:posOffset>
            </wp:positionH>
            <wp:positionV relativeFrom="paragraph">
              <wp:posOffset>1956435</wp:posOffset>
            </wp:positionV>
            <wp:extent cx="5226050" cy="6365875"/>
            <wp:effectExtent l="0" t="0" r="0" b="0"/>
            <wp:wrapTopAndBottom/>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noChangeArrowheads="1"/>
                    </pic:cNvPicPr>
                  </pic:nvPicPr>
                  <pic:blipFill>
                    <a:blip r:embed="rId12" cstate="print">
                      <a:extLst>
                        <a:ext uri="{28A0092B-C50C-407E-A947-70E740481C1C}">
                          <a14:useLocalDpi xmlns:a14="http://schemas.microsoft.com/office/drawing/2010/main" val="0"/>
                        </a:ext>
                      </a:extLst>
                    </a:blip>
                    <a:srcRect l="18316" r="20137"/>
                    <a:stretch>
                      <a:fillRect/>
                    </a:stretch>
                  </pic:blipFill>
                  <pic:spPr>
                    <a:xfrm>
                      <a:off x="0" y="0"/>
                      <a:ext cx="5226148" cy="6365623"/>
                    </a:xfrm>
                    <a:prstGeom prst="rect">
                      <a:avLst/>
                    </a:prstGeom>
                    <a:noFill/>
                    <a:ln>
                      <a:noFill/>
                    </a:ln>
                  </pic:spPr>
                </pic:pic>
              </a:graphicData>
            </a:graphic>
          </wp:anchor>
        </w:drawing>
      </w:r>
      <w:r>
        <w:rPr>
          <w:rFonts w:eastAsia="等线"/>
          <w:b/>
          <w:bCs/>
          <w:kern w:val="2"/>
          <w:sz w:val="21"/>
          <w:szCs w:val="21"/>
          <w:lang w:val="en-US" w:eastAsia="zh-CN"/>
        </w:rPr>
        <w:t xml:space="preserve">Table 2. </w:t>
      </w:r>
      <w:r>
        <w:rPr>
          <w:rFonts w:eastAsia="等线"/>
          <w:kern w:val="2"/>
          <w:sz w:val="21"/>
          <w:szCs w:val="21"/>
          <w:lang w:val="en-US" w:eastAsia="zh-CN"/>
        </w:rPr>
        <w:t>Energy losses of the control devices and devices modified with 3 cycles ALD-Al</w:t>
      </w:r>
      <w:r>
        <w:rPr>
          <w:rFonts w:eastAsia="等线"/>
          <w:kern w:val="2"/>
          <w:sz w:val="21"/>
          <w:szCs w:val="21"/>
          <w:vertAlign w:val="subscript"/>
          <w:lang w:val="en-US" w:eastAsia="zh-CN"/>
        </w:rPr>
        <w:t>2</w:t>
      </w:r>
      <w:r>
        <w:rPr>
          <w:rFonts w:eastAsia="等线"/>
          <w:kern w:val="2"/>
          <w:sz w:val="21"/>
          <w:szCs w:val="21"/>
          <w:lang w:val="en-US" w:eastAsia="zh-CN"/>
        </w:rPr>
        <w:t>O</w:t>
      </w:r>
      <w:r>
        <w:rPr>
          <w:rFonts w:eastAsia="等线"/>
          <w:kern w:val="2"/>
          <w:sz w:val="21"/>
          <w:szCs w:val="21"/>
          <w:vertAlign w:val="subscript"/>
          <w:lang w:val="en-US" w:eastAsia="zh-CN"/>
        </w:rPr>
        <w:t>3</w:t>
      </w:r>
    </w:p>
    <w:tbl>
      <w:tblPr>
        <w:tblStyle w:val="9"/>
        <w:tblW w:w="8505" w:type="dxa"/>
        <w:jc w:val="center"/>
        <w:tblLayout w:type="autofit"/>
        <w:tblCellMar>
          <w:top w:w="0" w:type="dxa"/>
          <w:left w:w="0" w:type="dxa"/>
          <w:bottom w:w="0" w:type="dxa"/>
          <w:right w:w="0" w:type="dxa"/>
        </w:tblCellMar>
      </w:tblPr>
      <w:tblGrid>
        <w:gridCol w:w="1507"/>
        <w:gridCol w:w="999"/>
        <w:gridCol w:w="1000"/>
        <w:gridCol w:w="1000"/>
        <w:gridCol w:w="999"/>
        <w:gridCol w:w="1000"/>
        <w:gridCol w:w="1000"/>
        <w:gridCol w:w="1000"/>
      </w:tblGrid>
      <w:tr>
        <w:tblPrEx>
          <w:tblCellMar>
            <w:top w:w="0" w:type="dxa"/>
            <w:left w:w="0" w:type="dxa"/>
            <w:bottom w:w="0" w:type="dxa"/>
            <w:right w:w="0" w:type="dxa"/>
          </w:tblCellMar>
        </w:tblPrEx>
        <w:trPr>
          <w:trHeight w:val="616" w:hRule="atLeast"/>
          <w:jc w:val="center"/>
        </w:trPr>
        <w:tc>
          <w:tcPr>
            <w:tcW w:w="1507" w:type="dxa"/>
            <w:tcBorders>
              <w:top w:val="single" w:color="auto" w:sz="8" w:space="0"/>
              <w:left w:val="nil"/>
              <w:bottom w:val="single" w:color="auto" w:sz="6" w:space="0"/>
              <w:right w:val="nil"/>
            </w:tcBorders>
            <w:shd w:val="clear" w:color="auto" w:fill="auto"/>
            <w:tcMar>
              <w:top w:w="15" w:type="dxa"/>
              <w:left w:w="64" w:type="dxa"/>
              <w:bottom w:w="0" w:type="dxa"/>
              <w:right w:w="64" w:type="dxa"/>
            </w:tcMar>
            <w:vAlign w:val="center"/>
          </w:tcPr>
          <w:p>
            <w:pPr>
              <w:spacing w:line="360" w:lineRule="auto"/>
              <w:ind w:firstLine="187"/>
              <w:jc w:val="center"/>
              <w:rPr>
                <w:rFonts w:ascii="Arial" w:hAnsi="Arial" w:eastAsia="Arial Unicode MS" w:cs="Arial"/>
                <w:sz w:val="16"/>
                <w:szCs w:val="16"/>
                <w:lang w:val="en-US" w:eastAsia="zh-CN"/>
              </w:rPr>
            </w:pPr>
            <w:r>
              <w:rPr>
                <w:rFonts w:ascii="Arial" w:hAnsi="Arial" w:eastAsia="Arial Unicode MS" w:cs="Arial"/>
                <w:color w:val="000000"/>
                <w:kern w:val="2"/>
                <w:sz w:val="16"/>
                <w:szCs w:val="16"/>
                <w:lang w:val="en-US" w:eastAsia="zh-CN"/>
              </w:rPr>
              <w:t>Devices</w:t>
            </w:r>
          </w:p>
        </w:tc>
        <w:tc>
          <w:tcPr>
            <w:tcW w:w="999" w:type="dxa"/>
            <w:tcBorders>
              <w:top w:val="single" w:color="auto" w:sz="8" w:space="0"/>
              <w:left w:val="nil"/>
              <w:bottom w:val="single" w:color="auto" w:sz="6" w:space="0"/>
              <w:right w:val="nil"/>
            </w:tcBorders>
            <w:shd w:val="clear" w:color="auto" w:fill="auto"/>
            <w:tcMar>
              <w:top w:w="15" w:type="dxa"/>
              <w:left w:w="64" w:type="dxa"/>
              <w:bottom w:w="0" w:type="dxa"/>
              <w:right w:w="64" w:type="dxa"/>
            </w:tcMar>
            <w:vAlign w:val="center"/>
          </w:tcPr>
          <w:p>
            <w:pPr>
              <w:spacing w:line="360" w:lineRule="auto"/>
              <w:jc w:val="center"/>
              <w:rPr>
                <w:rFonts w:ascii="Arial" w:hAnsi="Arial" w:eastAsia="Arial Unicode MS" w:cs="Arial"/>
                <w:sz w:val="16"/>
                <w:szCs w:val="16"/>
                <w:lang w:val="en-US" w:eastAsia="zh-CN"/>
              </w:rPr>
            </w:pPr>
            <m:oMath>
              <m:sSub>
                <m:sSubPr>
                  <m:ctrlPr>
                    <w:rPr>
                      <w:rFonts w:ascii="Cambria Math" w:hAnsi="Cambria Math" w:eastAsia="Arial Unicode MS" w:cs="Arial"/>
                      <w:i/>
                      <w:iCs/>
                      <w:color w:val="000000"/>
                      <w:kern w:val="2"/>
                      <w:sz w:val="16"/>
                      <w:szCs w:val="16"/>
                      <w:lang w:val="en-US" w:eastAsia="zh-CN"/>
                    </w:rPr>
                  </m:ctrlPr>
                </m:sSubPr>
                <m:e>
                  <m:r>
                    <m:rPr/>
                    <w:rPr>
                      <w:rFonts w:ascii="Cambria Math" w:hAnsi="Cambria Math" w:eastAsia="Arial Unicode MS" w:cs="Arial"/>
                      <w:color w:val="000000"/>
                      <w:kern w:val="2"/>
                      <w:sz w:val="16"/>
                      <w:szCs w:val="16"/>
                      <w:lang w:val="en-US" w:eastAsia="zh-CN"/>
                    </w:rPr>
                    <m:t>E</m:t>
                  </m:r>
                  <m:ctrlPr>
                    <w:rPr>
                      <w:rFonts w:ascii="Cambria Math" w:hAnsi="Cambria Math" w:eastAsia="Arial Unicode MS" w:cs="Arial"/>
                      <w:i/>
                      <w:iCs/>
                      <w:color w:val="000000"/>
                      <w:kern w:val="2"/>
                      <w:sz w:val="16"/>
                      <w:szCs w:val="16"/>
                      <w:lang w:val="en-US" w:eastAsia="zh-CN"/>
                    </w:rPr>
                  </m:ctrlPr>
                </m:e>
                <m:sub>
                  <m:r>
                    <m:rPr/>
                    <w:rPr>
                      <w:rFonts w:ascii="Cambria Math" w:hAnsi="Cambria Math" w:eastAsia="Arial Unicode MS" w:cs="Arial"/>
                      <w:color w:val="000000"/>
                      <w:kern w:val="2"/>
                      <w:sz w:val="16"/>
                      <w:szCs w:val="16"/>
                      <w:lang w:val="en-US" w:eastAsia="zh-CN"/>
                    </w:rPr>
                    <m:t xml:space="preserve">g </m:t>
                  </m:r>
                  <m:ctrlPr>
                    <w:rPr>
                      <w:rFonts w:ascii="Cambria Math" w:hAnsi="Cambria Math" w:eastAsia="Arial Unicode MS" w:cs="Arial"/>
                      <w:i/>
                      <w:iCs/>
                      <w:color w:val="000000"/>
                      <w:kern w:val="2"/>
                      <w:sz w:val="16"/>
                      <w:szCs w:val="16"/>
                      <w:lang w:val="en-US" w:eastAsia="zh-CN"/>
                    </w:rPr>
                  </m:ctrlPr>
                </m:sub>
              </m:sSub>
            </m:oMath>
            <w:r>
              <w:rPr>
                <w:rFonts w:ascii="Arial" w:hAnsi="Arial" w:eastAsia="Arial Unicode MS" w:cs="Arial"/>
                <w:color w:val="000000"/>
                <w:kern w:val="2"/>
                <w:sz w:val="16"/>
                <w:szCs w:val="16"/>
                <w:lang w:val="en-US" w:eastAsia="zh-CN"/>
              </w:rPr>
              <w:t>[eV]</w:t>
            </w:r>
          </w:p>
        </w:tc>
        <w:tc>
          <w:tcPr>
            <w:tcW w:w="1000" w:type="dxa"/>
            <w:tcBorders>
              <w:top w:val="single" w:color="auto" w:sz="8" w:space="0"/>
              <w:left w:val="nil"/>
              <w:bottom w:val="single" w:color="auto" w:sz="6" w:space="0"/>
              <w:right w:val="nil"/>
            </w:tcBorders>
            <w:shd w:val="clear" w:color="auto" w:fill="auto"/>
            <w:tcMar>
              <w:top w:w="15" w:type="dxa"/>
              <w:left w:w="64" w:type="dxa"/>
              <w:bottom w:w="0" w:type="dxa"/>
              <w:right w:w="64" w:type="dxa"/>
            </w:tcMar>
            <w:vAlign w:val="center"/>
          </w:tcPr>
          <w:p>
            <w:pPr>
              <w:spacing w:line="360" w:lineRule="auto"/>
              <w:jc w:val="center"/>
              <w:rPr>
                <w:rFonts w:ascii="Arial" w:hAnsi="Arial" w:eastAsia="Arial Unicode MS" w:cs="Arial"/>
                <w:sz w:val="16"/>
                <w:szCs w:val="16"/>
                <w:lang w:val="en-US" w:eastAsia="zh-CN"/>
              </w:rPr>
            </w:pPr>
            <m:oMath>
              <m:sSub>
                <m:sSubPr>
                  <m:ctrlPr>
                    <w:rPr>
                      <w:rFonts w:ascii="Cambria Math" w:hAnsi="Cambria Math" w:eastAsia="Arial Unicode MS" w:cs="Arial"/>
                      <w:i/>
                      <w:iCs/>
                      <w:color w:val="000000"/>
                      <w:kern w:val="2"/>
                      <w:sz w:val="16"/>
                      <w:szCs w:val="16"/>
                      <w:lang w:val="en-US" w:eastAsia="zh-CN"/>
                    </w:rPr>
                  </m:ctrlPr>
                </m:sSubPr>
                <m:e>
                  <m:r>
                    <m:rPr/>
                    <w:rPr>
                      <w:rFonts w:ascii="Cambria Math" w:hAnsi="Cambria Math" w:eastAsia="Arial Unicode MS" w:cs="Arial"/>
                      <w:color w:val="000000"/>
                      <w:kern w:val="2"/>
                      <w:sz w:val="16"/>
                      <w:szCs w:val="16"/>
                      <w:lang w:val="en-US" w:eastAsia="zh-CN"/>
                    </w:rPr>
                    <m:t>E</m:t>
                  </m:r>
                  <m:ctrlPr>
                    <w:rPr>
                      <w:rFonts w:ascii="Cambria Math" w:hAnsi="Cambria Math" w:eastAsia="Arial Unicode MS" w:cs="Arial"/>
                      <w:i/>
                      <w:iCs/>
                      <w:color w:val="000000"/>
                      <w:kern w:val="2"/>
                      <w:sz w:val="16"/>
                      <w:szCs w:val="16"/>
                      <w:lang w:val="en-US" w:eastAsia="zh-CN"/>
                    </w:rPr>
                  </m:ctrlPr>
                </m:e>
                <m:sub>
                  <m:r>
                    <m:rPr/>
                    <w:rPr>
                      <w:rFonts w:ascii="Cambria Math" w:hAnsi="Cambria Math" w:eastAsia="Arial Unicode MS" w:cs="Arial"/>
                      <w:color w:val="000000"/>
                      <w:kern w:val="2"/>
                      <w:sz w:val="16"/>
                      <w:szCs w:val="16"/>
                      <w:lang w:val="en-US" w:eastAsia="zh-CN"/>
                    </w:rPr>
                    <m:t xml:space="preserve">CT </m:t>
                  </m:r>
                  <m:ctrlPr>
                    <w:rPr>
                      <w:rFonts w:ascii="Cambria Math" w:hAnsi="Cambria Math" w:eastAsia="Arial Unicode MS" w:cs="Arial"/>
                      <w:i/>
                      <w:iCs/>
                      <w:color w:val="000000"/>
                      <w:kern w:val="2"/>
                      <w:sz w:val="16"/>
                      <w:szCs w:val="16"/>
                      <w:lang w:val="en-US" w:eastAsia="zh-CN"/>
                    </w:rPr>
                  </m:ctrlPr>
                </m:sub>
              </m:sSub>
            </m:oMath>
            <w:r>
              <w:rPr>
                <w:rFonts w:ascii="Arial" w:hAnsi="Arial" w:eastAsia="Arial Unicode MS" w:cs="Arial"/>
                <w:color w:val="000000"/>
                <w:kern w:val="2"/>
                <w:sz w:val="16"/>
                <w:szCs w:val="16"/>
                <w:lang w:val="en-US" w:eastAsia="zh-CN"/>
              </w:rPr>
              <w:t>[eV]</w:t>
            </w:r>
          </w:p>
        </w:tc>
        <w:tc>
          <w:tcPr>
            <w:tcW w:w="1000" w:type="dxa"/>
            <w:tcBorders>
              <w:top w:val="single" w:color="auto" w:sz="8" w:space="0"/>
              <w:left w:val="nil"/>
              <w:bottom w:val="single" w:color="auto" w:sz="6" w:space="0"/>
              <w:right w:val="nil"/>
            </w:tcBorders>
            <w:shd w:val="clear" w:color="auto" w:fill="auto"/>
            <w:tcMar>
              <w:top w:w="15" w:type="dxa"/>
              <w:left w:w="64" w:type="dxa"/>
              <w:bottom w:w="0" w:type="dxa"/>
              <w:right w:w="64" w:type="dxa"/>
            </w:tcMar>
            <w:vAlign w:val="center"/>
          </w:tcPr>
          <w:p>
            <w:pPr>
              <w:spacing w:line="360" w:lineRule="auto"/>
              <w:jc w:val="center"/>
              <w:rPr>
                <w:rFonts w:ascii="Arial" w:hAnsi="Arial" w:eastAsia="Arial Unicode MS" w:cs="Arial"/>
                <w:sz w:val="16"/>
                <w:szCs w:val="16"/>
                <w:lang w:val="en-US" w:eastAsia="zh-CN"/>
              </w:rPr>
            </w:pPr>
            <m:oMath>
              <m:sSub>
                <m:sSubPr>
                  <m:ctrlPr>
                    <w:rPr>
                      <w:rFonts w:ascii="Cambria Math" w:hAnsi="Cambria Math" w:eastAsia="Arial Unicode MS" w:cs="Arial"/>
                      <w:i/>
                      <w:iCs/>
                      <w:color w:val="000000"/>
                      <w:kern w:val="2"/>
                      <w:sz w:val="16"/>
                      <w:szCs w:val="16"/>
                      <w:lang w:val="en-US" w:eastAsia="zh-CN"/>
                    </w:rPr>
                  </m:ctrlPr>
                </m:sSubPr>
                <m:e>
                  <m:r>
                    <m:rPr/>
                    <w:rPr>
                      <w:rFonts w:ascii="Cambria Math" w:hAnsi="Cambria Math" w:eastAsia="Arial Unicode MS" w:cs="Arial"/>
                      <w:color w:val="000000"/>
                      <w:kern w:val="2"/>
                      <w:sz w:val="16"/>
                      <w:szCs w:val="16"/>
                      <w:lang w:val="en-US" w:eastAsia="zh-CN"/>
                    </w:rPr>
                    <m:t>qV</m:t>
                  </m:r>
                  <m:ctrlPr>
                    <w:rPr>
                      <w:rFonts w:ascii="Cambria Math" w:hAnsi="Cambria Math" w:eastAsia="Arial Unicode MS" w:cs="Arial"/>
                      <w:i/>
                      <w:iCs/>
                      <w:color w:val="000000"/>
                      <w:kern w:val="2"/>
                      <w:sz w:val="16"/>
                      <w:szCs w:val="16"/>
                      <w:lang w:val="en-US" w:eastAsia="zh-CN"/>
                    </w:rPr>
                  </m:ctrlPr>
                </m:e>
                <m:sub>
                  <m:r>
                    <m:rPr/>
                    <w:rPr>
                      <w:rFonts w:ascii="Cambria Math" w:hAnsi="Cambria Math" w:eastAsia="Arial Unicode MS" w:cs="Arial"/>
                      <w:color w:val="000000"/>
                      <w:kern w:val="2"/>
                      <w:sz w:val="16"/>
                      <w:szCs w:val="16"/>
                      <w:lang w:val="en-US" w:eastAsia="zh-CN"/>
                    </w:rPr>
                    <m:t xml:space="preserve">OC </m:t>
                  </m:r>
                  <m:ctrlPr>
                    <w:rPr>
                      <w:rFonts w:ascii="Cambria Math" w:hAnsi="Cambria Math" w:eastAsia="Arial Unicode MS" w:cs="Arial"/>
                      <w:i/>
                      <w:iCs/>
                      <w:color w:val="000000"/>
                      <w:kern w:val="2"/>
                      <w:sz w:val="16"/>
                      <w:szCs w:val="16"/>
                      <w:lang w:val="en-US" w:eastAsia="zh-CN"/>
                    </w:rPr>
                  </m:ctrlPr>
                </m:sub>
              </m:sSub>
            </m:oMath>
            <w:r>
              <w:rPr>
                <w:rFonts w:ascii="Arial" w:hAnsi="Arial" w:eastAsia="Arial Unicode MS" w:cs="Arial"/>
                <w:color w:val="000000"/>
                <w:kern w:val="2"/>
                <w:sz w:val="16"/>
                <w:szCs w:val="16"/>
                <w:lang w:val="en-US" w:eastAsia="zh-CN"/>
              </w:rPr>
              <w:t>[eV]</w:t>
            </w:r>
          </w:p>
        </w:tc>
        <w:tc>
          <w:tcPr>
            <w:tcW w:w="999" w:type="dxa"/>
            <w:tcBorders>
              <w:top w:val="single" w:color="auto" w:sz="8" w:space="0"/>
              <w:left w:val="nil"/>
              <w:bottom w:val="single" w:color="auto" w:sz="6" w:space="0"/>
              <w:right w:val="nil"/>
            </w:tcBorders>
            <w:shd w:val="clear" w:color="auto" w:fill="auto"/>
            <w:tcMar>
              <w:top w:w="15" w:type="dxa"/>
              <w:left w:w="64" w:type="dxa"/>
              <w:bottom w:w="0" w:type="dxa"/>
              <w:right w:w="64" w:type="dxa"/>
            </w:tcMar>
            <w:vAlign w:val="center"/>
          </w:tcPr>
          <w:p>
            <w:pPr>
              <w:spacing w:line="360" w:lineRule="auto"/>
              <w:jc w:val="center"/>
              <w:rPr>
                <w:rFonts w:ascii="Arial" w:hAnsi="Arial" w:eastAsia="Arial Unicode MS" w:cs="Arial"/>
                <w:sz w:val="16"/>
                <w:szCs w:val="16"/>
                <w:lang w:val="en-US" w:eastAsia="zh-CN"/>
              </w:rPr>
            </w:pPr>
            <m:oMath>
              <m:sSub>
                <m:sSubPr>
                  <m:ctrlPr>
                    <w:rPr>
                      <w:rFonts w:ascii="Cambria Math" w:hAnsi="Cambria Math" w:eastAsia="Arial Unicode MS" w:cs="Arial"/>
                      <w:i/>
                      <w:iCs/>
                      <w:color w:val="000000"/>
                      <w:kern w:val="2"/>
                      <w:sz w:val="16"/>
                      <w:szCs w:val="16"/>
                      <w:lang w:val="en-US" w:eastAsia="zh-CN"/>
                    </w:rPr>
                  </m:ctrlPr>
                </m:sSubPr>
                <m:e>
                  <m:r>
                    <m:rPr/>
                    <w:rPr>
                      <w:rFonts w:ascii="Cambria Math" w:hAnsi="Cambria Math" w:eastAsia="Arial Unicode MS" w:cs="Arial"/>
                      <w:color w:val="000000"/>
                      <w:kern w:val="2"/>
                      <w:sz w:val="16"/>
                      <w:szCs w:val="16"/>
                      <w:lang w:val="en-US" w:eastAsia="zh-CN"/>
                    </w:rPr>
                    <m:t>E</m:t>
                  </m:r>
                  <m:ctrlPr>
                    <w:rPr>
                      <w:rFonts w:ascii="Cambria Math" w:hAnsi="Cambria Math" w:eastAsia="Arial Unicode MS" w:cs="Arial"/>
                      <w:i/>
                      <w:iCs/>
                      <w:color w:val="000000"/>
                      <w:kern w:val="2"/>
                      <w:sz w:val="16"/>
                      <w:szCs w:val="16"/>
                      <w:lang w:val="en-US" w:eastAsia="zh-CN"/>
                    </w:rPr>
                  </m:ctrlPr>
                </m:e>
                <m:sub>
                  <m:r>
                    <m:rPr/>
                    <w:rPr>
                      <w:rFonts w:ascii="Cambria Math" w:hAnsi="Cambria Math" w:eastAsia="Arial Unicode MS" w:cs="Arial"/>
                      <w:color w:val="000000"/>
                      <w:kern w:val="2"/>
                      <w:sz w:val="16"/>
                      <w:szCs w:val="16"/>
                      <w:lang w:val="en-US" w:eastAsia="zh-CN"/>
                    </w:rPr>
                    <m:t xml:space="preserve">loss </m:t>
                  </m:r>
                  <m:ctrlPr>
                    <w:rPr>
                      <w:rFonts w:ascii="Cambria Math" w:hAnsi="Cambria Math" w:eastAsia="Arial Unicode MS" w:cs="Arial"/>
                      <w:i/>
                      <w:iCs/>
                      <w:color w:val="000000"/>
                      <w:kern w:val="2"/>
                      <w:sz w:val="16"/>
                      <w:szCs w:val="16"/>
                      <w:lang w:val="en-US" w:eastAsia="zh-CN"/>
                    </w:rPr>
                  </m:ctrlPr>
                </m:sub>
              </m:sSub>
            </m:oMath>
            <w:r>
              <w:rPr>
                <w:rFonts w:ascii="Arial" w:hAnsi="Arial" w:eastAsia="Arial Unicode MS" w:cs="Arial"/>
                <w:color w:val="000000"/>
                <w:kern w:val="2"/>
                <w:sz w:val="16"/>
                <w:szCs w:val="16"/>
                <w:lang w:val="en-US" w:eastAsia="zh-CN"/>
              </w:rPr>
              <w:t>[eV]</w:t>
            </w:r>
          </w:p>
        </w:tc>
        <w:tc>
          <w:tcPr>
            <w:tcW w:w="1000" w:type="dxa"/>
            <w:tcBorders>
              <w:top w:val="single" w:color="auto" w:sz="8" w:space="0"/>
              <w:left w:val="nil"/>
              <w:bottom w:val="single" w:color="auto" w:sz="6" w:space="0"/>
              <w:right w:val="nil"/>
            </w:tcBorders>
            <w:shd w:val="clear" w:color="auto" w:fill="auto"/>
            <w:tcMar>
              <w:top w:w="15" w:type="dxa"/>
              <w:left w:w="64" w:type="dxa"/>
              <w:bottom w:w="0" w:type="dxa"/>
              <w:right w:w="64" w:type="dxa"/>
            </w:tcMar>
            <w:vAlign w:val="center"/>
          </w:tcPr>
          <w:p>
            <w:pPr>
              <w:spacing w:line="360" w:lineRule="auto"/>
              <w:jc w:val="center"/>
              <w:rPr>
                <w:rFonts w:ascii="Arial" w:hAnsi="Arial" w:eastAsia="Arial Unicode MS" w:cs="Arial"/>
                <w:sz w:val="16"/>
                <w:szCs w:val="16"/>
                <w:lang w:val="en-US" w:eastAsia="zh-CN"/>
              </w:rPr>
            </w:pPr>
            <w:r>
              <w:rPr>
                <w:rFonts w:hint="eastAsia" w:ascii="宋体" w:hAnsi="宋体" w:eastAsia="宋体" w:cs="宋体"/>
                <w:color w:val="000000"/>
                <w:kern w:val="2"/>
                <w:sz w:val="16"/>
                <w:szCs w:val="16"/>
                <w:lang w:val="en-US" w:eastAsia="zh-CN"/>
              </w:rPr>
              <w:t>△</w:t>
            </w:r>
            <m:oMath>
              <m:sSub>
                <m:sSubPr>
                  <m:ctrlPr>
                    <w:rPr>
                      <w:rFonts w:ascii="Cambria Math" w:hAnsi="Cambria Math" w:eastAsia="Arial Unicode MS" w:cs="Arial"/>
                      <w:i/>
                      <w:iCs/>
                      <w:color w:val="000000"/>
                      <w:kern w:val="2"/>
                      <w:sz w:val="16"/>
                      <w:szCs w:val="16"/>
                      <w:lang w:val="en-US" w:eastAsia="zh-CN"/>
                    </w:rPr>
                  </m:ctrlPr>
                </m:sSubPr>
                <m:e>
                  <m:r>
                    <m:rPr/>
                    <w:rPr>
                      <w:rFonts w:ascii="Cambria Math" w:hAnsi="Cambria Math" w:eastAsia="Arial Unicode MS" w:cs="Arial"/>
                      <w:color w:val="000000"/>
                      <w:kern w:val="2"/>
                      <w:sz w:val="16"/>
                      <w:szCs w:val="16"/>
                      <w:lang w:val="en-US" w:eastAsia="zh-CN"/>
                    </w:rPr>
                    <m:t>E</m:t>
                  </m:r>
                  <m:ctrlPr>
                    <w:rPr>
                      <w:rFonts w:ascii="Cambria Math" w:hAnsi="Cambria Math" w:eastAsia="Arial Unicode MS" w:cs="Arial"/>
                      <w:i/>
                      <w:iCs/>
                      <w:color w:val="000000"/>
                      <w:kern w:val="2"/>
                      <w:sz w:val="16"/>
                      <w:szCs w:val="16"/>
                      <w:lang w:val="en-US" w:eastAsia="zh-CN"/>
                    </w:rPr>
                  </m:ctrlPr>
                </m:e>
                <m:sub>
                  <m:r>
                    <m:rPr/>
                    <w:rPr>
                      <w:rFonts w:ascii="Cambria Math" w:hAnsi="Cambria Math" w:eastAsia="Arial Unicode MS" w:cs="Arial"/>
                      <w:color w:val="000000"/>
                      <w:kern w:val="2"/>
                      <w:sz w:val="16"/>
                      <w:szCs w:val="16"/>
                      <w:lang w:val="en-US" w:eastAsia="zh-CN"/>
                    </w:rPr>
                    <m:t xml:space="preserve">1 </m:t>
                  </m:r>
                  <m:ctrlPr>
                    <w:rPr>
                      <w:rFonts w:ascii="Cambria Math" w:hAnsi="Cambria Math" w:eastAsia="Arial Unicode MS" w:cs="Arial"/>
                      <w:i/>
                      <w:iCs/>
                      <w:color w:val="000000"/>
                      <w:kern w:val="2"/>
                      <w:sz w:val="16"/>
                      <w:szCs w:val="16"/>
                      <w:lang w:val="en-US" w:eastAsia="zh-CN"/>
                    </w:rPr>
                  </m:ctrlPr>
                </m:sub>
              </m:sSub>
            </m:oMath>
            <w:r>
              <w:rPr>
                <w:rFonts w:ascii="Arial" w:hAnsi="Arial" w:eastAsia="Arial Unicode MS" w:cs="Arial"/>
                <w:color w:val="000000"/>
                <w:kern w:val="2"/>
                <w:sz w:val="16"/>
                <w:szCs w:val="16"/>
                <w:lang w:val="en-US" w:eastAsia="zh-CN"/>
              </w:rPr>
              <w:t>[eV]</w:t>
            </w:r>
          </w:p>
        </w:tc>
        <w:tc>
          <w:tcPr>
            <w:tcW w:w="1000" w:type="dxa"/>
            <w:tcBorders>
              <w:top w:val="single" w:color="auto" w:sz="8" w:space="0"/>
              <w:left w:val="nil"/>
              <w:bottom w:val="single" w:color="auto" w:sz="6" w:space="0"/>
              <w:right w:val="nil"/>
            </w:tcBorders>
            <w:shd w:val="clear" w:color="auto" w:fill="auto"/>
            <w:tcMar>
              <w:top w:w="15" w:type="dxa"/>
              <w:left w:w="64" w:type="dxa"/>
              <w:bottom w:w="0" w:type="dxa"/>
              <w:right w:w="64" w:type="dxa"/>
            </w:tcMar>
            <w:vAlign w:val="center"/>
          </w:tcPr>
          <w:p>
            <w:pPr>
              <w:spacing w:line="360" w:lineRule="auto"/>
              <w:jc w:val="center"/>
              <w:rPr>
                <w:rFonts w:ascii="Arial" w:hAnsi="Arial" w:eastAsia="Arial Unicode MS" w:cs="Arial"/>
                <w:sz w:val="16"/>
                <w:szCs w:val="16"/>
                <w:lang w:val="en-US" w:eastAsia="zh-CN"/>
              </w:rPr>
            </w:pPr>
            <w:r>
              <w:rPr>
                <w:rFonts w:hint="eastAsia" w:ascii="宋体" w:hAnsi="宋体" w:eastAsia="宋体" w:cs="宋体"/>
                <w:color w:val="000000"/>
                <w:kern w:val="2"/>
                <w:sz w:val="16"/>
                <w:szCs w:val="16"/>
                <w:lang w:val="en-US" w:eastAsia="zh-CN"/>
              </w:rPr>
              <w:t>△</w:t>
            </w:r>
            <m:oMath>
              <m:sSub>
                <m:sSubPr>
                  <m:ctrlPr>
                    <w:rPr>
                      <w:rFonts w:ascii="Cambria Math" w:hAnsi="Cambria Math" w:eastAsia="Arial Unicode MS" w:cs="Arial"/>
                      <w:i/>
                      <w:iCs/>
                      <w:color w:val="000000"/>
                      <w:kern w:val="2"/>
                      <w:sz w:val="16"/>
                      <w:szCs w:val="16"/>
                      <w:lang w:val="en-US" w:eastAsia="zh-CN"/>
                    </w:rPr>
                  </m:ctrlPr>
                </m:sSubPr>
                <m:e>
                  <m:r>
                    <m:rPr/>
                    <w:rPr>
                      <w:rFonts w:ascii="Cambria Math" w:hAnsi="Cambria Math" w:eastAsia="Arial Unicode MS" w:cs="Arial"/>
                      <w:color w:val="000000"/>
                      <w:kern w:val="2"/>
                      <w:sz w:val="16"/>
                      <w:szCs w:val="16"/>
                      <w:lang w:val="en-US" w:eastAsia="zh-CN"/>
                    </w:rPr>
                    <m:t>E</m:t>
                  </m:r>
                  <m:ctrlPr>
                    <w:rPr>
                      <w:rFonts w:ascii="Cambria Math" w:hAnsi="Cambria Math" w:eastAsia="Arial Unicode MS" w:cs="Arial"/>
                      <w:i/>
                      <w:iCs/>
                      <w:color w:val="000000"/>
                      <w:kern w:val="2"/>
                      <w:sz w:val="16"/>
                      <w:szCs w:val="16"/>
                      <w:lang w:val="en-US" w:eastAsia="zh-CN"/>
                    </w:rPr>
                  </m:ctrlPr>
                </m:e>
                <m:sub>
                  <m:r>
                    <m:rPr/>
                    <w:rPr>
                      <w:rFonts w:ascii="Cambria Math" w:hAnsi="Cambria Math" w:eastAsia="Arial Unicode MS" w:cs="Arial"/>
                      <w:color w:val="000000"/>
                      <w:kern w:val="2"/>
                      <w:sz w:val="16"/>
                      <w:szCs w:val="16"/>
                      <w:lang w:val="en-US" w:eastAsia="zh-CN"/>
                    </w:rPr>
                    <m:t xml:space="preserve">2 </m:t>
                  </m:r>
                  <m:ctrlPr>
                    <w:rPr>
                      <w:rFonts w:ascii="Cambria Math" w:hAnsi="Cambria Math" w:eastAsia="Arial Unicode MS" w:cs="Arial"/>
                      <w:i/>
                      <w:iCs/>
                      <w:color w:val="000000"/>
                      <w:kern w:val="2"/>
                      <w:sz w:val="16"/>
                      <w:szCs w:val="16"/>
                      <w:lang w:val="en-US" w:eastAsia="zh-CN"/>
                    </w:rPr>
                  </m:ctrlPr>
                </m:sub>
              </m:sSub>
            </m:oMath>
            <w:r>
              <w:rPr>
                <w:rFonts w:ascii="Arial" w:hAnsi="Arial" w:eastAsia="Arial Unicode MS" w:cs="Arial"/>
                <w:color w:val="000000"/>
                <w:kern w:val="2"/>
                <w:sz w:val="16"/>
                <w:szCs w:val="16"/>
                <w:lang w:val="en-US" w:eastAsia="zh-CN"/>
              </w:rPr>
              <w:t>[eV]</w:t>
            </w:r>
          </w:p>
        </w:tc>
        <w:tc>
          <w:tcPr>
            <w:tcW w:w="1000" w:type="dxa"/>
            <w:tcBorders>
              <w:top w:val="single" w:color="auto" w:sz="8" w:space="0"/>
              <w:left w:val="nil"/>
              <w:bottom w:val="single" w:color="auto" w:sz="6" w:space="0"/>
              <w:right w:val="nil"/>
            </w:tcBorders>
            <w:shd w:val="clear" w:color="auto" w:fill="auto"/>
            <w:tcMar>
              <w:top w:w="15" w:type="dxa"/>
              <w:left w:w="64" w:type="dxa"/>
              <w:bottom w:w="0" w:type="dxa"/>
              <w:right w:w="64" w:type="dxa"/>
            </w:tcMar>
            <w:vAlign w:val="center"/>
          </w:tcPr>
          <w:p>
            <w:pPr>
              <w:spacing w:line="360" w:lineRule="auto"/>
              <w:jc w:val="center"/>
              <w:rPr>
                <w:rFonts w:ascii="Arial" w:hAnsi="Arial" w:eastAsia="Arial Unicode MS" w:cs="Arial"/>
                <w:sz w:val="16"/>
                <w:szCs w:val="16"/>
                <w:lang w:val="en-US" w:eastAsia="zh-CN"/>
              </w:rPr>
            </w:pPr>
            <w:r>
              <w:rPr>
                <w:rFonts w:hint="eastAsia" w:ascii="宋体" w:hAnsi="宋体" w:eastAsia="宋体" w:cs="宋体"/>
                <w:color w:val="000000"/>
                <w:kern w:val="2"/>
                <w:sz w:val="16"/>
                <w:szCs w:val="16"/>
                <w:lang w:val="en-US" w:eastAsia="zh-CN"/>
              </w:rPr>
              <w:t>△</w:t>
            </w:r>
            <m:oMath>
              <m:sSub>
                <m:sSubPr>
                  <m:ctrlPr>
                    <w:rPr>
                      <w:rFonts w:ascii="Cambria Math" w:hAnsi="Cambria Math" w:eastAsia="Arial Unicode MS" w:cs="Arial"/>
                      <w:i/>
                      <w:iCs/>
                      <w:color w:val="000000"/>
                      <w:kern w:val="2"/>
                      <w:sz w:val="16"/>
                      <w:szCs w:val="16"/>
                      <w:lang w:val="en-US" w:eastAsia="zh-CN"/>
                    </w:rPr>
                  </m:ctrlPr>
                </m:sSubPr>
                <m:e>
                  <m:r>
                    <m:rPr/>
                    <w:rPr>
                      <w:rFonts w:ascii="Cambria Math" w:hAnsi="Cambria Math" w:eastAsia="Arial Unicode MS" w:cs="Arial"/>
                      <w:color w:val="000000"/>
                      <w:kern w:val="2"/>
                      <w:sz w:val="16"/>
                      <w:szCs w:val="16"/>
                      <w:lang w:val="en-US" w:eastAsia="zh-CN"/>
                    </w:rPr>
                    <m:t>E</m:t>
                  </m:r>
                  <m:ctrlPr>
                    <w:rPr>
                      <w:rFonts w:ascii="Cambria Math" w:hAnsi="Cambria Math" w:eastAsia="Arial Unicode MS" w:cs="Arial"/>
                      <w:i/>
                      <w:iCs/>
                      <w:color w:val="000000"/>
                      <w:kern w:val="2"/>
                      <w:sz w:val="16"/>
                      <w:szCs w:val="16"/>
                      <w:lang w:val="en-US" w:eastAsia="zh-CN"/>
                    </w:rPr>
                  </m:ctrlPr>
                </m:e>
                <m:sub>
                  <m:r>
                    <m:rPr/>
                    <w:rPr>
                      <w:rFonts w:ascii="Cambria Math" w:hAnsi="Cambria Math" w:eastAsia="Arial Unicode MS" w:cs="Arial"/>
                      <w:color w:val="000000"/>
                      <w:kern w:val="2"/>
                      <w:sz w:val="16"/>
                      <w:szCs w:val="16"/>
                      <w:lang w:val="en-US" w:eastAsia="zh-CN"/>
                    </w:rPr>
                    <m:t xml:space="preserve">3 </m:t>
                  </m:r>
                  <m:ctrlPr>
                    <w:rPr>
                      <w:rFonts w:ascii="Cambria Math" w:hAnsi="Cambria Math" w:eastAsia="Arial Unicode MS" w:cs="Arial"/>
                      <w:i/>
                      <w:iCs/>
                      <w:color w:val="000000"/>
                      <w:kern w:val="2"/>
                      <w:sz w:val="16"/>
                      <w:szCs w:val="16"/>
                      <w:lang w:val="en-US" w:eastAsia="zh-CN"/>
                    </w:rPr>
                  </m:ctrlPr>
                </m:sub>
              </m:sSub>
            </m:oMath>
            <w:r>
              <w:rPr>
                <w:rFonts w:ascii="Arial" w:hAnsi="Arial" w:eastAsia="Arial Unicode MS" w:cs="Arial"/>
                <w:color w:val="000000"/>
                <w:kern w:val="2"/>
                <w:sz w:val="16"/>
                <w:szCs w:val="16"/>
                <w:lang w:val="en-US" w:eastAsia="zh-CN"/>
              </w:rPr>
              <w:t>[eV]</w:t>
            </w:r>
          </w:p>
        </w:tc>
      </w:tr>
      <w:tr>
        <w:tblPrEx>
          <w:tblCellMar>
            <w:top w:w="0" w:type="dxa"/>
            <w:left w:w="0" w:type="dxa"/>
            <w:bottom w:w="0" w:type="dxa"/>
            <w:right w:w="0" w:type="dxa"/>
          </w:tblCellMar>
        </w:tblPrEx>
        <w:trPr>
          <w:trHeight w:val="684" w:hRule="atLeast"/>
          <w:jc w:val="center"/>
        </w:trPr>
        <w:tc>
          <w:tcPr>
            <w:tcW w:w="1507" w:type="dxa"/>
            <w:tcBorders>
              <w:top w:val="single" w:color="auto" w:sz="6" w:space="0"/>
              <w:left w:val="nil"/>
              <w:right w:val="nil"/>
            </w:tcBorders>
            <w:shd w:val="clear" w:color="auto" w:fill="auto"/>
            <w:tcMar>
              <w:top w:w="15" w:type="dxa"/>
              <w:left w:w="64" w:type="dxa"/>
              <w:bottom w:w="0" w:type="dxa"/>
              <w:right w:w="64" w:type="dxa"/>
            </w:tcMar>
            <w:vAlign w:val="center"/>
          </w:tcPr>
          <w:p>
            <w:pPr>
              <w:spacing w:line="360" w:lineRule="auto"/>
              <w:jc w:val="center"/>
              <w:rPr>
                <w:rFonts w:ascii="Arial" w:hAnsi="Arial" w:eastAsia="Arial Unicode MS" w:cs="Arial"/>
                <w:sz w:val="16"/>
                <w:szCs w:val="16"/>
                <w:lang w:val="en-US" w:eastAsia="zh-CN"/>
              </w:rPr>
            </w:pPr>
            <w:r>
              <w:rPr>
                <w:rFonts w:ascii="Arial" w:hAnsi="Arial" w:eastAsia="Arial Unicode MS" w:cs="Arial"/>
                <w:color w:val="000000"/>
                <w:kern w:val="2"/>
                <w:sz w:val="16"/>
                <w:szCs w:val="16"/>
                <w:lang w:val="en-US" w:eastAsia="zh-CN"/>
              </w:rPr>
              <w:t>ZnO</w:t>
            </w:r>
          </w:p>
        </w:tc>
        <w:tc>
          <w:tcPr>
            <w:tcW w:w="999" w:type="dxa"/>
            <w:tcBorders>
              <w:top w:val="single" w:color="auto" w:sz="6" w:space="0"/>
              <w:left w:val="nil"/>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1.403</w:t>
            </w:r>
          </w:p>
        </w:tc>
        <w:tc>
          <w:tcPr>
            <w:tcW w:w="1000" w:type="dxa"/>
            <w:tcBorders>
              <w:top w:val="single" w:color="auto" w:sz="6" w:space="0"/>
              <w:left w:val="nil"/>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1.334</w:t>
            </w:r>
          </w:p>
        </w:tc>
        <w:tc>
          <w:tcPr>
            <w:tcW w:w="1000" w:type="dxa"/>
            <w:tcBorders>
              <w:top w:val="single" w:color="auto" w:sz="6" w:space="0"/>
              <w:left w:val="nil"/>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0.838</w:t>
            </w:r>
          </w:p>
        </w:tc>
        <w:tc>
          <w:tcPr>
            <w:tcW w:w="999" w:type="dxa"/>
            <w:tcBorders>
              <w:top w:val="single" w:color="auto" w:sz="6" w:space="0"/>
              <w:left w:val="nil"/>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0.565</w:t>
            </w:r>
          </w:p>
        </w:tc>
        <w:tc>
          <w:tcPr>
            <w:tcW w:w="1000" w:type="dxa"/>
            <w:tcBorders>
              <w:top w:val="single" w:color="auto" w:sz="6" w:space="0"/>
              <w:left w:val="nil"/>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0.245</w:t>
            </w:r>
          </w:p>
        </w:tc>
        <w:tc>
          <w:tcPr>
            <w:tcW w:w="1000" w:type="dxa"/>
            <w:tcBorders>
              <w:top w:val="single" w:color="auto" w:sz="6" w:space="0"/>
              <w:left w:val="nil"/>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0.069</w:t>
            </w:r>
          </w:p>
        </w:tc>
        <w:tc>
          <w:tcPr>
            <w:tcW w:w="1000" w:type="dxa"/>
            <w:tcBorders>
              <w:top w:val="single" w:color="auto" w:sz="6" w:space="0"/>
              <w:left w:val="nil"/>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0.251</w:t>
            </w:r>
          </w:p>
        </w:tc>
      </w:tr>
      <w:tr>
        <w:tblPrEx>
          <w:tblCellMar>
            <w:top w:w="0" w:type="dxa"/>
            <w:left w:w="0" w:type="dxa"/>
            <w:bottom w:w="0" w:type="dxa"/>
            <w:right w:w="0" w:type="dxa"/>
          </w:tblCellMar>
        </w:tblPrEx>
        <w:trPr>
          <w:trHeight w:val="684" w:hRule="atLeast"/>
          <w:jc w:val="center"/>
        </w:trPr>
        <w:tc>
          <w:tcPr>
            <w:tcW w:w="1507" w:type="dxa"/>
            <w:tcBorders>
              <w:top w:val="nil"/>
              <w:left w:val="nil"/>
              <w:bottom w:val="single" w:color="auto" w:sz="8" w:space="0"/>
              <w:right w:val="nil"/>
            </w:tcBorders>
            <w:shd w:val="clear" w:color="auto" w:fill="auto"/>
            <w:tcMar>
              <w:top w:w="15" w:type="dxa"/>
              <w:left w:w="64" w:type="dxa"/>
              <w:bottom w:w="0" w:type="dxa"/>
              <w:right w:w="64" w:type="dxa"/>
            </w:tcMar>
            <w:vAlign w:val="center"/>
          </w:tcPr>
          <w:p>
            <w:pPr>
              <w:spacing w:line="360" w:lineRule="auto"/>
              <w:jc w:val="center"/>
              <w:rPr>
                <w:rFonts w:ascii="Arial" w:hAnsi="Arial" w:eastAsia="Arial Unicode MS" w:cs="Arial"/>
                <w:sz w:val="16"/>
                <w:szCs w:val="16"/>
                <w:lang w:val="en-US" w:eastAsia="zh-CN"/>
              </w:rPr>
            </w:pPr>
            <w:r>
              <w:rPr>
                <w:rFonts w:ascii="Arial" w:hAnsi="Arial" w:eastAsia="Arial Unicode MS" w:cs="Arial"/>
                <w:color w:val="000000"/>
                <w:kern w:val="2"/>
                <w:sz w:val="16"/>
                <w:szCs w:val="16"/>
                <w:lang w:val="en-US" w:eastAsia="zh-CN"/>
              </w:rPr>
              <w:t>ZnO/Al</w:t>
            </w:r>
            <w:r>
              <w:rPr>
                <w:rFonts w:ascii="Arial" w:hAnsi="Arial" w:eastAsia="Arial Unicode MS" w:cs="Arial"/>
                <w:color w:val="000000"/>
                <w:kern w:val="2"/>
                <w:sz w:val="16"/>
                <w:szCs w:val="16"/>
                <w:vertAlign w:val="subscript"/>
                <w:lang w:val="en-US" w:eastAsia="zh-CN"/>
              </w:rPr>
              <w:t>2</w:t>
            </w:r>
            <w:r>
              <w:rPr>
                <w:rFonts w:ascii="Arial" w:hAnsi="Arial" w:eastAsia="Arial Unicode MS" w:cs="Arial"/>
                <w:color w:val="000000"/>
                <w:kern w:val="2"/>
                <w:sz w:val="16"/>
                <w:szCs w:val="16"/>
                <w:lang w:val="en-US" w:eastAsia="zh-CN"/>
              </w:rPr>
              <w:t>O</w:t>
            </w:r>
            <w:r>
              <w:rPr>
                <w:rFonts w:ascii="Arial" w:hAnsi="Arial" w:eastAsia="Arial Unicode MS" w:cs="Arial"/>
                <w:color w:val="000000"/>
                <w:kern w:val="2"/>
                <w:sz w:val="16"/>
                <w:szCs w:val="16"/>
                <w:vertAlign w:val="subscript"/>
                <w:lang w:val="en-US" w:eastAsia="zh-CN"/>
              </w:rPr>
              <w:t>3</w:t>
            </w:r>
          </w:p>
        </w:tc>
        <w:tc>
          <w:tcPr>
            <w:tcW w:w="999" w:type="dxa"/>
            <w:tcBorders>
              <w:top w:val="nil"/>
              <w:left w:val="nil"/>
              <w:bottom w:val="single" w:color="auto" w:sz="8" w:space="0"/>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1.400</w:t>
            </w:r>
          </w:p>
        </w:tc>
        <w:tc>
          <w:tcPr>
            <w:tcW w:w="1000" w:type="dxa"/>
            <w:tcBorders>
              <w:top w:val="nil"/>
              <w:left w:val="nil"/>
              <w:bottom w:val="single" w:color="auto" w:sz="8" w:space="0"/>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1.334</w:t>
            </w:r>
          </w:p>
        </w:tc>
        <w:tc>
          <w:tcPr>
            <w:tcW w:w="1000" w:type="dxa"/>
            <w:tcBorders>
              <w:top w:val="nil"/>
              <w:left w:val="nil"/>
              <w:bottom w:val="single" w:color="auto" w:sz="8" w:space="0"/>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0.853</w:t>
            </w:r>
          </w:p>
        </w:tc>
        <w:tc>
          <w:tcPr>
            <w:tcW w:w="999" w:type="dxa"/>
            <w:tcBorders>
              <w:top w:val="nil"/>
              <w:left w:val="nil"/>
              <w:bottom w:val="single" w:color="auto" w:sz="8" w:space="0"/>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0.547</w:t>
            </w:r>
          </w:p>
        </w:tc>
        <w:tc>
          <w:tcPr>
            <w:tcW w:w="1000" w:type="dxa"/>
            <w:tcBorders>
              <w:top w:val="nil"/>
              <w:left w:val="nil"/>
              <w:bottom w:val="single" w:color="auto" w:sz="8" w:space="0"/>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0.246</w:t>
            </w:r>
          </w:p>
        </w:tc>
        <w:tc>
          <w:tcPr>
            <w:tcW w:w="1000" w:type="dxa"/>
            <w:tcBorders>
              <w:top w:val="nil"/>
              <w:left w:val="nil"/>
              <w:bottom w:val="single" w:color="auto" w:sz="8" w:space="0"/>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0.066</w:t>
            </w:r>
          </w:p>
        </w:tc>
        <w:tc>
          <w:tcPr>
            <w:tcW w:w="1000" w:type="dxa"/>
            <w:tcBorders>
              <w:top w:val="nil"/>
              <w:left w:val="nil"/>
              <w:bottom w:val="single" w:color="auto" w:sz="8" w:space="0"/>
              <w:right w:val="nil"/>
            </w:tcBorders>
            <w:shd w:val="clear" w:color="auto" w:fill="auto"/>
            <w:tcMar>
              <w:top w:w="8" w:type="dxa"/>
              <w:left w:w="8" w:type="dxa"/>
              <w:bottom w:w="0" w:type="dxa"/>
              <w:right w:w="8" w:type="dxa"/>
            </w:tcMar>
            <w:vAlign w:val="center"/>
          </w:tcPr>
          <w:p>
            <w:pPr>
              <w:spacing w:line="360" w:lineRule="auto"/>
              <w:jc w:val="center"/>
              <w:textAlignment w:val="center"/>
              <w:rPr>
                <w:rFonts w:ascii="Arial" w:hAnsi="Arial" w:eastAsia="Arial Unicode MS" w:cs="Arial"/>
                <w:sz w:val="16"/>
                <w:szCs w:val="16"/>
                <w:lang w:val="en-US" w:eastAsia="zh-CN"/>
              </w:rPr>
            </w:pPr>
            <w:r>
              <w:rPr>
                <w:rFonts w:ascii="Arial" w:hAnsi="Arial" w:eastAsia="Arial Unicode MS" w:cs="Arial"/>
                <w:color w:val="000000"/>
                <w:kern w:val="24"/>
                <w:sz w:val="16"/>
                <w:szCs w:val="16"/>
                <w:lang w:val="en-US" w:eastAsia="zh-CN"/>
              </w:rPr>
              <w:t>0.235</w:t>
            </w:r>
          </w:p>
        </w:tc>
      </w:tr>
    </w:tbl>
    <w:p>
      <w:pPr>
        <w:spacing w:line="440" w:lineRule="exact"/>
        <w:rPr>
          <w:rFonts w:eastAsia="等线"/>
          <w:kern w:val="2"/>
          <w:sz w:val="21"/>
          <w:szCs w:val="21"/>
          <w:lang w:val="en-US" w:eastAsia="zh-CN"/>
        </w:rPr>
      </w:pPr>
    </w:p>
    <w:p>
      <w:pPr>
        <w:rPr>
          <w:lang w:val="en-US"/>
        </w:rPr>
      </w:pPr>
    </w:p>
    <w:p>
      <w:pPr>
        <w:pStyle w:val="40"/>
        <w:rPr>
          <w:color w:val="FF0000"/>
        </w:rPr>
      </w:pPr>
    </w:p>
    <w:p>
      <w:pPr>
        <w:pStyle w:val="38"/>
        <w:spacing w:line="240" w:lineRule="auto"/>
      </w:pPr>
    </w:p>
    <w:p>
      <w:pPr>
        <w:pStyle w:val="31"/>
        <w:rPr>
          <w:i/>
        </w:rPr>
      </w:pPr>
      <w:r>
        <w:rPr>
          <w:b/>
        </w:rPr>
        <w:t>Supporting Information</w:t>
      </w:r>
      <w:r>
        <w:rPr>
          <w:i/>
        </w:rPr>
        <w:t xml:space="preserve"> </w:t>
      </w:r>
    </w:p>
    <w:p>
      <w:pPr>
        <w:pStyle w:val="31"/>
      </w:pPr>
      <w:r>
        <w:t>Supporting Information is available from the Wiley Online Library or from the author.</w:t>
      </w:r>
    </w:p>
    <w:p>
      <w:pPr>
        <w:pStyle w:val="38"/>
      </w:pPr>
    </w:p>
    <w:p>
      <w:pPr>
        <w:pStyle w:val="33"/>
      </w:pPr>
      <w:r>
        <w:t>Acknowledgements</w:t>
      </w:r>
    </w:p>
    <w:p>
      <w:pPr>
        <w:pStyle w:val="31"/>
      </w:pPr>
      <w:r>
        <w:t>The authors acknowledge financial support from National Natural Science Foundation of China (No. 21875106, 21850410456, 21875052</w:t>
      </w:r>
      <w:r>
        <w:rPr>
          <w:rFonts w:hint="eastAsia"/>
        </w:rPr>
        <w:t>, 51972172</w:t>
      </w:r>
      <w:r>
        <w:t xml:space="preserve">), the </w:t>
      </w:r>
      <w:r>
        <w:rPr>
          <w:rFonts w:hint="eastAsia"/>
        </w:rPr>
        <w:t xml:space="preserve">Strategic Priority Research Program of Chinese Academy of Sciences </w:t>
      </w:r>
      <w:r>
        <w:t>(</w:t>
      </w:r>
      <w:r>
        <w:rPr>
          <w:rFonts w:hint="eastAsia"/>
        </w:rPr>
        <w:t>Grant No. XDB36000000)</w:t>
      </w:r>
      <w:r>
        <w:t xml:space="preserve"> </w:t>
      </w:r>
      <w:r>
        <w:rPr>
          <w:rFonts w:hint="eastAsia"/>
        </w:rPr>
        <w:t xml:space="preserve">and Jiangsu </w:t>
      </w:r>
      <w:r>
        <w:t>Excellent</w:t>
      </w:r>
      <w:r>
        <w:rPr>
          <w:rFonts w:hint="eastAsia"/>
        </w:rPr>
        <w:t xml:space="preserve"> Postdoctoral Program</w:t>
      </w:r>
      <w:r>
        <w:t>.</w:t>
      </w:r>
    </w:p>
    <w:p>
      <w:pPr>
        <w:pStyle w:val="31"/>
        <w:rPr>
          <w:b/>
        </w:rPr>
      </w:pPr>
    </w:p>
    <w:p>
      <w:pPr>
        <w:pStyle w:val="35"/>
      </w:pPr>
      <w:r>
        <w:t>Received: (will be filled in by the editorial staff)</w:t>
      </w:r>
      <w:r>
        <w:br w:type="textWrapping"/>
      </w:r>
      <w:r>
        <w:t>Revised: (will be filled in by the editorial staff)</w:t>
      </w:r>
      <w:r>
        <w:br w:type="textWrapping"/>
      </w:r>
      <w:r>
        <w:t>Published online: (will be filled in by the editorial staff)</w:t>
      </w:r>
    </w:p>
    <w:p>
      <w:pPr>
        <w:rPr>
          <w:lang w:val="en-US"/>
        </w:rPr>
      </w:pPr>
    </w:p>
    <w:p>
      <w:pPr>
        <w:rPr>
          <w:rFonts w:hint="eastAsia"/>
          <w:lang w:val="en-US"/>
        </w:rPr>
      </w:pPr>
    </w:p>
    <w:p>
      <w:pPr>
        <w:pStyle w:val="38"/>
      </w:pPr>
      <w:r>
        <w:t>References</w:t>
      </w:r>
    </w:p>
    <w:p>
      <w:pPr>
        <w:pStyle w:val="57"/>
        <w:spacing w:line="480" w:lineRule="auto"/>
        <w:ind w:left="480" w:hanging="480" w:hangingChars="200"/>
      </w:pPr>
      <w:r>
        <w:t>[1]</w:t>
      </w:r>
      <w:r>
        <w:tab/>
      </w:r>
      <w:r>
        <w:t xml:space="preserve">K. Zhang, Z. Hu, C. Sun, Z. Wu, F. Huang, Y. Cao, </w:t>
      </w:r>
      <w:r>
        <w:rPr>
          <w:i/>
        </w:rPr>
        <w:t>Chem. Mater.</w:t>
      </w:r>
      <w:r>
        <w:t xml:space="preserve"> </w:t>
      </w:r>
      <w:r>
        <w:rPr>
          <w:b/>
        </w:rPr>
        <w:t>2017</w:t>
      </w:r>
      <w:r>
        <w:t xml:space="preserve">, </w:t>
      </w:r>
      <w:r>
        <w:rPr>
          <w:i/>
        </w:rPr>
        <w:t>29</w:t>
      </w:r>
      <w:r>
        <w:t>, 141.</w:t>
      </w:r>
    </w:p>
    <w:p>
      <w:pPr>
        <w:pStyle w:val="57"/>
        <w:spacing w:line="480" w:lineRule="auto"/>
        <w:ind w:left="480" w:hanging="480" w:hangingChars="200"/>
      </w:pPr>
      <w:r>
        <w:t>[2]</w:t>
      </w:r>
      <w:r>
        <w:tab/>
      </w:r>
      <w:r>
        <w:t xml:space="preserve">C. Li, J. Zhou, J. Song, J. Xu, H. Zhang, X. Zhang, J. Guo, L. Zhu, D. Wei, G. Han, J. Min, Y. Zhang, Z. Xie, Y. Yi, H. Yan, F. Gao, F. Liu, Y. Sun, </w:t>
      </w:r>
      <w:r>
        <w:rPr>
          <w:i/>
        </w:rPr>
        <w:t>Nat. Energy</w:t>
      </w:r>
      <w:r>
        <w:t xml:space="preserve"> </w:t>
      </w:r>
      <w:r>
        <w:rPr>
          <w:b/>
        </w:rPr>
        <w:t>2021</w:t>
      </w:r>
      <w:r>
        <w:t xml:space="preserve">, </w:t>
      </w:r>
      <w:r>
        <w:rPr>
          <w:i/>
        </w:rPr>
        <w:t>6</w:t>
      </w:r>
      <w:r>
        <w:t>, 605.</w:t>
      </w:r>
    </w:p>
    <w:p>
      <w:pPr>
        <w:pStyle w:val="57"/>
        <w:spacing w:line="480" w:lineRule="auto"/>
        <w:ind w:left="480" w:hanging="480" w:hangingChars="200"/>
      </w:pPr>
      <w:r>
        <w:t>[3]</w:t>
      </w:r>
      <w:r>
        <w:tab/>
      </w:r>
      <w:r>
        <w:t xml:space="preserve">C. An, Z. Zheng, J. Hou, </w:t>
      </w:r>
      <w:r>
        <w:rPr>
          <w:i/>
        </w:rPr>
        <w:t>Chem. Commun.</w:t>
      </w:r>
      <w:r>
        <w:t xml:space="preserve"> </w:t>
      </w:r>
      <w:r>
        <w:rPr>
          <w:b/>
        </w:rPr>
        <w:t>2020</w:t>
      </w:r>
      <w:r>
        <w:t xml:space="preserve">, </w:t>
      </w:r>
      <w:r>
        <w:rPr>
          <w:i/>
        </w:rPr>
        <w:t>56</w:t>
      </w:r>
      <w:r>
        <w:t>, 4750.</w:t>
      </w:r>
    </w:p>
    <w:p>
      <w:pPr>
        <w:pStyle w:val="57"/>
        <w:spacing w:line="480" w:lineRule="auto"/>
        <w:ind w:left="480" w:hanging="480" w:hangingChars="200"/>
      </w:pPr>
      <w:r>
        <w:t>[4]</w:t>
      </w:r>
      <w:r>
        <w:tab/>
      </w:r>
      <w:r>
        <w:t xml:space="preserve">D. Luo, W. Jang, D. D. Babu, M. S. Kim, D. H. Wang, A. K. K. Kyaw, </w:t>
      </w:r>
      <w:r>
        <w:rPr>
          <w:i/>
        </w:rPr>
        <w:t>J. Mater. Chem. A</w:t>
      </w:r>
      <w:r>
        <w:t xml:space="preserve"> </w:t>
      </w:r>
      <w:r>
        <w:rPr>
          <w:b/>
        </w:rPr>
        <w:t>2022</w:t>
      </w:r>
      <w:r>
        <w:t xml:space="preserve">, </w:t>
      </w:r>
      <w:r>
        <w:rPr>
          <w:i/>
        </w:rPr>
        <w:t>10</w:t>
      </w:r>
      <w:r>
        <w:t>, 3255.</w:t>
      </w:r>
    </w:p>
    <w:p>
      <w:pPr>
        <w:pStyle w:val="57"/>
        <w:spacing w:line="480" w:lineRule="auto"/>
        <w:ind w:left="480" w:hanging="480" w:hangingChars="200"/>
      </w:pPr>
      <w:r>
        <w:t>[5]</w:t>
      </w:r>
      <w:r>
        <w:tab/>
      </w:r>
      <w:r>
        <w:t xml:space="preserve">Q. Burlingame, M. Ball, Y.-L. Loo, </w:t>
      </w:r>
      <w:r>
        <w:rPr>
          <w:i/>
        </w:rPr>
        <w:t>Nat. Energy</w:t>
      </w:r>
      <w:r>
        <w:t xml:space="preserve"> </w:t>
      </w:r>
      <w:r>
        <w:rPr>
          <w:b/>
        </w:rPr>
        <w:t>2020</w:t>
      </w:r>
      <w:r>
        <w:t xml:space="preserve">, </w:t>
      </w:r>
      <w:r>
        <w:rPr>
          <w:i/>
        </w:rPr>
        <w:t>5</w:t>
      </w:r>
      <w:r>
        <w:t>, 947.</w:t>
      </w:r>
    </w:p>
    <w:p>
      <w:pPr>
        <w:pStyle w:val="57"/>
        <w:spacing w:line="480" w:lineRule="auto"/>
        <w:ind w:left="480" w:hanging="480" w:hangingChars="200"/>
      </w:pPr>
      <w:r>
        <w:t>[6]</w:t>
      </w:r>
      <w:r>
        <w:tab/>
      </w:r>
      <w:r>
        <w:t xml:space="preserve">H. Kang, G. Kim, J. Kim, S. Kwon, H. Kim, K. Lee, </w:t>
      </w:r>
      <w:r>
        <w:rPr>
          <w:i/>
        </w:rPr>
        <w:t>Adv. Mater.</w:t>
      </w:r>
      <w:r>
        <w:t xml:space="preserve"> </w:t>
      </w:r>
      <w:r>
        <w:rPr>
          <w:b/>
        </w:rPr>
        <w:t>2016</w:t>
      </w:r>
      <w:r>
        <w:t xml:space="preserve">, </w:t>
      </w:r>
      <w:r>
        <w:rPr>
          <w:i/>
        </w:rPr>
        <w:t>28</w:t>
      </w:r>
      <w:r>
        <w:t>, 7821.</w:t>
      </w:r>
    </w:p>
    <w:p>
      <w:pPr>
        <w:pStyle w:val="57"/>
        <w:spacing w:line="480" w:lineRule="auto"/>
        <w:ind w:left="480" w:hanging="480" w:hangingChars="200"/>
      </w:pPr>
      <w:r>
        <w:t>[7]</w:t>
      </w:r>
      <w:r>
        <w:tab/>
      </w:r>
      <w:r>
        <w:t xml:space="preserve">S.-H. Liao, H.-J. Jhuo, Y.-S. Cheng, S.-A. Chen, </w:t>
      </w:r>
      <w:r>
        <w:rPr>
          <w:i/>
        </w:rPr>
        <w:t>Adv. Mater.</w:t>
      </w:r>
      <w:r>
        <w:t xml:space="preserve"> </w:t>
      </w:r>
      <w:r>
        <w:rPr>
          <w:b/>
        </w:rPr>
        <w:t>2013</w:t>
      </w:r>
      <w:r>
        <w:t xml:space="preserve">, </w:t>
      </w:r>
      <w:r>
        <w:rPr>
          <w:i/>
        </w:rPr>
        <w:t>25</w:t>
      </w:r>
      <w:r>
        <w:t>, 4766.</w:t>
      </w:r>
    </w:p>
    <w:p>
      <w:pPr>
        <w:pStyle w:val="57"/>
        <w:spacing w:line="480" w:lineRule="auto"/>
        <w:ind w:left="480" w:hanging="480" w:hangingChars="200"/>
      </w:pPr>
      <w:r>
        <w:t>[8]</w:t>
      </w:r>
      <w:r>
        <w:tab/>
      </w:r>
      <w:r>
        <w:t xml:space="preserve">A. K. K. Kyaw, D. H. Wang, V. Gupta, J. Zhang, S. Chand, G. C. Bazan, A. J. Heeger, </w:t>
      </w:r>
      <w:r>
        <w:rPr>
          <w:i/>
        </w:rPr>
        <w:t>Adv. Mater.</w:t>
      </w:r>
      <w:r>
        <w:t xml:space="preserve"> </w:t>
      </w:r>
      <w:r>
        <w:rPr>
          <w:b/>
        </w:rPr>
        <w:t>2013</w:t>
      </w:r>
      <w:r>
        <w:t xml:space="preserve">, </w:t>
      </w:r>
      <w:r>
        <w:rPr>
          <w:i/>
        </w:rPr>
        <w:t>25</w:t>
      </w:r>
      <w:r>
        <w:t>, 2397.</w:t>
      </w:r>
    </w:p>
    <w:p>
      <w:pPr>
        <w:pStyle w:val="57"/>
        <w:spacing w:line="480" w:lineRule="auto"/>
        <w:ind w:left="480" w:hanging="480" w:hangingChars="200"/>
      </w:pPr>
      <w:r>
        <w:t>[9]</w:t>
      </w:r>
      <w:r>
        <w:tab/>
      </w:r>
      <w:r>
        <w:t xml:space="preserve">C. Biswas, Z. Ma, X. Zhu, T. Kawaharamura, K. L. Wang, </w:t>
      </w:r>
      <w:r>
        <w:rPr>
          <w:i/>
        </w:rPr>
        <w:t>Sol. Energy Mater. Sol. Cells</w:t>
      </w:r>
      <w:r>
        <w:t xml:space="preserve"> </w:t>
      </w:r>
      <w:r>
        <w:rPr>
          <w:b/>
        </w:rPr>
        <w:t>2016</w:t>
      </w:r>
      <w:r>
        <w:t xml:space="preserve">, </w:t>
      </w:r>
      <w:r>
        <w:rPr>
          <w:i/>
        </w:rPr>
        <w:t>157</w:t>
      </w:r>
      <w:r>
        <w:t>, 1048.</w:t>
      </w:r>
    </w:p>
    <w:p>
      <w:pPr>
        <w:pStyle w:val="57"/>
        <w:spacing w:line="480" w:lineRule="auto"/>
        <w:ind w:left="480" w:hanging="480" w:hangingChars="200"/>
      </w:pPr>
      <w:r>
        <w:t>[10]</w:t>
      </w:r>
      <w:r>
        <w:tab/>
      </w:r>
      <w:r>
        <w:t xml:space="preserve">D. H. Kim, F. T. A. Wibowo, D. Lee, N. V. Krishna, S. Park, S. Cho, S.-Y. Jang, </w:t>
      </w:r>
      <w:r>
        <w:rPr>
          <w:i/>
        </w:rPr>
        <w:t>Energy Environ. Mater.</w:t>
      </w:r>
      <w:r>
        <w:t xml:space="preserve"> </w:t>
      </w:r>
      <w:r>
        <w:rPr>
          <w:b/>
        </w:rPr>
        <w:t>2022</w:t>
      </w:r>
      <w:r>
        <w:t xml:space="preserve">, </w:t>
      </w:r>
      <w:r>
        <w:rPr>
          <w:i/>
        </w:rPr>
        <w:t>n/a</w:t>
      </w:r>
      <w:r>
        <w:t>.</w:t>
      </w:r>
    </w:p>
    <w:p>
      <w:pPr>
        <w:pStyle w:val="57"/>
        <w:spacing w:line="480" w:lineRule="auto"/>
        <w:ind w:left="480" w:hanging="480" w:hangingChars="200"/>
      </w:pPr>
      <w:r>
        <w:t>[11]</w:t>
      </w:r>
      <w:r>
        <w:tab/>
      </w:r>
      <w:r>
        <w:t xml:space="preserve">S. Chaisitsak, T. Sugiyama, A. Yamada, M. Konagai, </w:t>
      </w:r>
      <w:r>
        <w:rPr>
          <w:i/>
        </w:rPr>
        <w:t>Jpn. J. Appl. Phys.</w:t>
      </w:r>
      <w:r>
        <w:t xml:space="preserve"> </w:t>
      </w:r>
      <w:r>
        <w:rPr>
          <w:b/>
        </w:rPr>
        <w:t>1999</w:t>
      </w:r>
      <w:r>
        <w:t xml:space="preserve">, </w:t>
      </w:r>
      <w:r>
        <w:rPr>
          <w:i/>
        </w:rPr>
        <w:t>38</w:t>
      </w:r>
      <w:r>
        <w:t>, 4989.</w:t>
      </w:r>
    </w:p>
    <w:p>
      <w:pPr>
        <w:pStyle w:val="57"/>
        <w:spacing w:line="480" w:lineRule="auto"/>
        <w:ind w:left="480" w:hanging="480" w:hangingChars="200"/>
      </w:pPr>
      <w:r>
        <w:t>[12]</w:t>
      </w:r>
      <w:r>
        <w:tab/>
      </w:r>
      <w:r>
        <w:t xml:space="preserve">R. M. Hewlett, M. A. McLachlan, </w:t>
      </w:r>
      <w:r>
        <w:rPr>
          <w:i/>
        </w:rPr>
        <w:t>Adv. Mater.</w:t>
      </w:r>
      <w:r>
        <w:t xml:space="preserve"> </w:t>
      </w:r>
      <w:r>
        <w:rPr>
          <w:b/>
        </w:rPr>
        <w:t>2016</w:t>
      </w:r>
      <w:r>
        <w:t xml:space="preserve">, </w:t>
      </w:r>
      <w:r>
        <w:rPr>
          <w:i/>
        </w:rPr>
        <w:t>28</w:t>
      </w:r>
      <w:r>
        <w:t>, 3893.</w:t>
      </w:r>
    </w:p>
    <w:p>
      <w:pPr>
        <w:pStyle w:val="57"/>
        <w:spacing w:line="480" w:lineRule="auto"/>
        <w:ind w:left="480" w:hanging="480" w:hangingChars="200"/>
      </w:pPr>
      <w:r>
        <w:t>[13]</w:t>
      </w:r>
      <w:r>
        <w:tab/>
      </w:r>
      <w:r>
        <w:t xml:space="preserve">S. Trost, T. Becker, K. Zilberberg, A. Behrendt, A. Polywka, R. Heiderhoff, P. Görrn, T. Riedl, </w:t>
      </w:r>
      <w:r>
        <w:rPr>
          <w:i/>
        </w:rPr>
        <w:t>Sci. Rep.</w:t>
      </w:r>
      <w:r>
        <w:t xml:space="preserve"> </w:t>
      </w:r>
      <w:r>
        <w:rPr>
          <w:b/>
        </w:rPr>
        <w:t>2015</w:t>
      </w:r>
      <w:r>
        <w:t xml:space="preserve">, </w:t>
      </w:r>
      <w:r>
        <w:rPr>
          <w:i/>
        </w:rPr>
        <w:t>5</w:t>
      </w:r>
      <w:r>
        <w:t>, 7765.</w:t>
      </w:r>
    </w:p>
    <w:p>
      <w:pPr>
        <w:pStyle w:val="57"/>
        <w:spacing w:line="480" w:lineRule="auto"/>
        <w:ind w:left="480" w:hanging="480" w:hangingChars="200"/>
      </w:pPr>
      <w:r>
        <w:t>[14]</w:t>
      </w:r>
      <w:r>
        <w:tab/>
      </w:r>
      <w:r>
        <w:t xml:space="preserve">A. Janotti, C. G. Van de Walle, </w:t>
      </w:r>
      <w:r>
        <w:rPr>
          <w:i/>
        </w:rPr>
        <w:t>Appl. Phys. Lett.</w:t>
      </w:r>
      <w:r>
        <w:t xml:space="preserve"> </w:t>
      </w:r>
      <w:r>
        <w:rPr>
          <w:b/>
        </w:rPr>
        <w:t>2005</w:t>
      </w:r>
      <w:r>
        <w:t xml:space="preserve">, </w:t>
      </w:r>
      <w:r>
        <w:rPr>
          <w:i/>
        </w:rPr>
        <w:t>87</w:t>
      </w:r>
      <w:r>
        <w:t>, 122102.</w:t>
      </w:r>
    </w:p>
    <w:p>
      <w:pPr>
        <w:pStyle w:val="57"/>
        <w:spacing w:line="480" w:lineRule="auto"/>
        <w:ind w:left="480" w:hanging="480" w:hangingChars="200"/>
      </w:pPr>
      <w:r>
        <w:t>[15]</w:t>
      </w:r>
      <w:r>
        <w:tab/>
      </w:r>
      <w:r>
        <w:t xml:space="preserve">M. Prosa, M. Tessarolo, M. Bolognesi, O. Margeat, D. Gedefaw, M. Gaceur, C. Videlot-Ackermann, M. R. Andersson, M. Muccini, M. Seri, J. Ackermann, </w:t>
      </w:r>
      <w:r>
        <w:rPr>
          <w:i/>
        </w:rPr>
        <w:t>ACS Appl. Mater. Interfaces</w:t>
      </w:r>
      <w:r>
        <w:t xml:space="preserve"> </w:t>
      </w:r>
      <w:r>
        <w:rPr>
          <w:b/>
        </w:rPr>
        <w:t>2016</w:t>
      </w:r>
      <w:r>
        <w:t xml:space="preserve">, </w:t>
      </w:r>
      <w:r>
        <w:rPr>
          <w:i/>
        </w:rPr>
        <w:t>8</w:t>
      </w:r>
      <w:r>
        <w:t>, 1635.</w:t>
      </w:r>
    </w:p>
    <w:p>
      <w:pPr>
        <w:pStyle w:val="57"/>
        <w:spacing w:line="480" w:lineRule="auto"/>
        <w:ind w:left="480" w:hanging="480" w:hangingChars="200"/>
      </w:pPr>
      <w:r>
        <w:t>[16]</w:t>
      </w:r>
      <w:r>
        <w:tab/>
      </w:r>
      <w:r>
        <w:t xml:space="preserve">W.-Y. Jin, R. T. Ginting, S.-H. Jin, J.-W. Kang, </w:t>
      </w:r>
      <w:r>
        <w:rPr>
          <w:i/>
        </w:rPr>
        <w:t>J. Mater. Chem. A</w:t>
      </w:r>
      <w:r>
        <w:t xml:space="preserve"> </w:t>
      </w:r>
      <w:r>
        <w:rPr>
          <w:b/>
        </w:rPr>
        <w:t>2016</w:t>
      </w:r>
      <w:r>
        <w:t xml:space="preserve">, </w:t>
      </w:r>
      <w:r>
        <w:rPr>
          <w:i/>
        </w:rPr>
        <w:t>4</w:t>
      </w:r>
      <w:r>
        <w:t>, 3784.</w:t>
      </w:r>
    </w:p>
    <w:p>
      <w:pPr>
        <w:pStyle w:val="57"/>
        <w:spacing w:line="480" w:lineRule="auto"/>
        <w:ind w:left="480" w:hanging="480" w:hangingChars="200"/>
      </w:pPr>
      <w:r>
        <w:t>[17]</w:t>
      </w:r>
      <w:r>
        <w:tab/>
      </w:r>
      <w:r>
        <w:t xml:space="preserve">L. Wang, Y. Zheng, X. Li, W. Dong, W. Tang, B. Chen, C. Li, X. Li, T. Zhang, W. Xu, </w:t>
      </w:r>
      <w:r>
        <w:rPr>
          <w:i/>
        </w:rPr>
        <w:t>Thin Solid Films</w:t>
      </w:r>
      <w:r>
        <w:t xml:space="preserve"> </w:t>
      </w:r>
      <w:r>
        <w:rPr>
          <w:b/>
        </w:rPr>
        <w:t>2011</w:t>
      </w:r>
      <w:r>
        <w:t xml:space="preserve">, </w:t>
      </w:r>
      <w:r>
        <w:rPr>
          <w:i/>
        </w:rPr>
        <w:t>519</w:t>
      </w:r>
      <w:r>
        <w:t>, 5673.</w:t>
      </w:r>
    </w:p>
    <w:p>
      <w:pPr>
        <w:pStyle w:val="57"/>
        <w:spacing w:line="480" w:lineRule="auto"/>
        <w:ind w:left="480" w:hanging="480" w:hangingChars="200"/>
      </w:pPr>
      <w:r>
        <w:t>[18]</w:t>
      </w:r>
      <w:r>
        <w:tab/>
      </w:r>
      <w:r>
        <w:t xml:space="preserve">E. Polydorou, M. Botzakaki, C. Drivas, K. Seintis, I. Sakellis, A. Soultati, A. Kaltzoglou, T. Speliotis, M. Fakis, L. C. Palilis, S. Kennou, A. Fakharuddin, L. Schmidt-Mende, D. Davazoglou, P. Falaras, P. Argitis, C. A. Krontiras, S. N. Georga, M. Vasilopoulou, </w:t>
      </w:r>
      <w:r>
        <w:rPr>
          <w:i/>
        </w:rPr>
        <w:t>J. Mater. Chem. C</w:t>
      </w:r>
      <w:r>
        <w:t xml:space="preserve"> </w:t>
      </w:r>
      <w:r>
        <w:rPr>
          <w:b/>
        </w:rPr>
        <w:t>2018</w:t>
      </w:r>
      <w:r>
        <w:t xml:space="preserve">, </w:t>
      </w:r>
      <w:r>
        <w:rPr>
          <w:i/>
        </w:rPr>
        <w:t>6</w:t>
      </w:r>
      <w:r>
        <w:t>, 8051.</w:t>
      </w:r>
    </w:p>
    <w:p>
      <w:pPr>
        <w:pStyle w:val="57"/>
        <w:spacing w:line="480" w:lineRule="auto"/>
        <w:ind w:left="480" w:hanging="480" w:hangingChars="200"/>
      </w:pPr>
      <w:r>
        <w:t>[19]</w:t>
      </w:r>
      <w:r>
        <w:tab/>
      </w:r>
      <w:r>
        <w:t xml:space="preserve">Y. Jiang, L. Sun, F. Jiang, C. Xie, L. Hu, X. Dong, F. Qin, T. Liu, L. Hu, X. Jiang, Y. Zhou, </w:t>
      </w:r>
      <w:r>
        <w:rPr>
          <w:i/>
        </w:rPr>
        <w:t>Mater. Horiz.</w:t>
      </w:r>
      <w:r>
        <w:t xml:space="preserve"> </w:t>
      </w:r>
      <w:r>
        <w:rPr>
          <w:b/>
        </w:rPr>
        <w:t>2019</w:t>
      </w:r>
      <w:r>
        <w:t xml:space="preserve">, </w:t>
      </w:r>
      <w:r>
        <w:rPr>
          <w:i/>
        </w:rPr>
        <w:t>6</w:t>
      </w:r>
      <w:r>
        <w:t>, 1438.</w:t>
      </w:r>
    </w:p>
    <w:p>
      <w:pPr>
        <w:pStyle w:val="57"/>
        <w:spacing w:line="480" w:lineRule="auto"/>
        <w:ind w:left="480" w:hanging="480" w:hangingChars="200"/>
      </w:pPr>
      <w:r>
        <w:t>[20]</w:t>
      </w:r>
      <w:r>
        <w:tab/>
      </w:r>
      <w:r>
        <w:t xml:space="preserve">B. Liu, Y. Han, Z. Li, H. Gu, L. Yan, Y. Lin, Q. Luo, S. Yang, C.-Q. Ma, </w:t>
      </w:r>
      <w:r>
        <w:rPr>
          <w:i/>
        </w:rPr>
        <w:t>Sol. RRL</w:t>
      </w:r>
      <w:r>
        <w:t xml:space="preserve"> </w:t>
      </w:r>
      <w:r>
        <w:rPr>
          <w:b/>
        </w:rPr>
        <w:t>2021</w:t>
      </w:r>
      <w:r>
        <w:t xml:space="preserve">, </w:t>
      </w:r>
      <w:r>
        <w:rPr>
          <w:i/>
        </w:rPr>
        <w:t>5</w:t>
      </w:r>
      <w:r>
        <w:t>, 2000638.</w:t>
      </w:r>
    </w:p>
    <w:p>
      <w:pPr>
        <w:pStyle w:val="57"/>
        <w:spacing w:line="480" w:lineRule="auto"/>
        <w:ind w:left="480" w:hanging="480" w:hangingChars="200"/>
      </w:pPr>
      <w:r>
        <w:t>[21]</w:t>
      </w:r>
      <w:r>
        <w:tab/>
      </w:r>
      <w:r>
        <w:t xml:space="preserve">B. R. Lee, E. D. Jung, Y. S. Nam, M. Jung, J. S. Park, S. Lee, H. Choi, S.-J. Ko, N. R. Shin, Y.-K. Kim, S. O. Kim, J. Y. Kim, H.-J. Shin, S. Cho, M. H. Song, </w:t>
      </w:r>
      <w:r>
        <w:rPr>
          <w:i/>
        </w:rPr>
        <w:t>Adv. Mater.</w:t>
      </w:r>
      <w:r>
        <w:t xml:space="preserve"> </w:t>
      </w:r>
      <w:r>
        <w:rPr>
          <w:b/>
        </w:rPr>
        <w:t>2014</w:t>
      </w:r>
      <w:r>
        <w:t xml:space="preserve">, </w:t>
      </w:r>
      <w:r>
        <w:rPr>
          <w:i/>
        </w:rPr>
        <w:t>26</w:t>
      </w:r>
      <w:r>
        <w:t>, 494.</w:t>
      </w:r>
    </w:p>
    <w:p>
      <w:pPr>
        <w:pStyle w:val="57"/>
        <w:spacing w:line="480" w:lineRule="auto"/>
        <w:ind w:left="480" w:hanging="480" w:hangingChars="200"/>
      </w:pPr>
      <w:r>
        <w:t>[22]</w:t>
      </w:r>
      <w:r>
        <w:tab/>
      </w:r>
      <w:r>
        <w:t xml:space="preserve">Y. Han, H. Dong, W. Pan, B. Liu, X. Chen, R. Huang, Z. Li, F. Li, Q. Luo, J. Zhang, Z. Wei, C.-Q. Ma, </w:t>
      </w:r>
      <w:r>
        <w:rPr>
          <w:i/>
        </w:rPr>
        <w:t>ACS Appl. Mater. Interfaces</w:t>
      </w:r>
      <w:r>
        <w:t xml:space="preserve"> </w:t>
      </w:r>
      <w:r>
        <w:rPr>
          <w:b/>
        </w:rPr>
        <w:t>2021</w:t>
      </w:r>
      <w:r>
        <w:t xml:space="preserve">, </w:t>
      </w:r>
      <w:r>
        <w:rPr>
          <w:i/>
        </w:rPr>
        <w:t>13</w:t>
      </w:r>
      <w:r>
        <w:t>, 17869.</w:t>
      </w:r>
    </w:p>
    <w:p>
      <w:pPr>
        <w:pStyle w:val="57"/>
        <w:spacing w:line="480" w:lineRule="auto"/>
        <w:ind w:left="480" w:hanging="480" w:hangingChars="200"/>
      </w:pPr>
      <w:r>
        <w:t>[23]</w:t>
      </w:r>
      <w:r>
        <w:tab/>
      </w:r>
      <w:r>
        <w:t xml:space="preserve">V. Papamakarios, E. Polydorou, A. Soultati, N. Droseros, D. Tsikritzis, A. M. Douvas, L. Palilis, M. Fakis, S. Kennou, P. Argitis, M. Vasilopoulou, </w:t>
      </w:r>
      <w:r>
        <w:rPr>
          <w:i/>
        </w:rPr>
        <w:t>ACS Applied Materials &amp; Interfaces</w:t>
      </w:r>
      <w:r>
        <w:t xml:space="preserve"> </w:t>
      </w:r>
      <w:r>
        <w:rPr>
          <w:b/>
        </w:rPr>
        <w:t>2016</w:t>
      </w:r>
      <w:r>
        <w:t xml:space="preserve">, </w:t>
      </w:r>
      <w:r>
        <w:rPr>
          <w:i/>
        </w:rPr>
        <w:t>8</w:t>
      </w:r>
      <w:r>
        <w:t>, 1194.</w:t>
      </w:r>
    </w:p>
    <w:p>
      <w:pPr>
        <w:pStyle w:val="57"/>
        <w:spacing w:line="480" w:lineRule="auto"/>
        <w:ind w:left="480" w:hanging="480" w:hangingChars="200"/>
      </w:pPr>
      <w:r>
        <w:t>[24]</w:t>
      </w:r>
      <w:r>
        <w:tab/>
      </w:r>
      <w:r>
        <w:t xml:space="preserve">X. Liu, X. Li, Y. Li, C. Song, L. Zhu, W. Zhang, H.-Q. Wang, J. Fang, </w:t>
      </w:r>
      <w:r>
        <w:rPr>
          <w:i/>
        </w:rPr>
        <w:t>Adv. Mater.</w:t>
      </w:r>
      <w:r>
        <w:t xml:space="preserve"> </w:t>
      </w:r>
      <w:r>
        <w:rPr>
          <w:b/>
        </w:rPr>
        <w:t>2016</w:t>
      </w:r>
      <w:r>
        <w:t xml:space="preserve">, </w:t>
      </w:r>
      <w:r>
        <w:rPr>
          <w:i/>
        </w:rPr>
        <w:t>28</w:t>
      </w:r>
      <w:r>
        <w:t>, 7405.</w:t>
      </w:r>
    </w:p>
    <w:p>
      <w:pPr>
        <w:pStyle w:val="57"/>
        <w:spacing w:line="480" w:lineRule="auto"/>
        <w:ind w:left="480" w:hanging="480" w:hangingChars="200"/>
      </w:pPr>
      <w:r>
        <w:t>[25]</w:t>
      </w:r>
      <w:r>
        <w:tab/>
      </w:r>
      <w:r>
        <w:t xml:space="preserve">S. Herodotou, R. E. Treharne, K. Durose, G. J. Tatlock, R. J. Potter, </w:t>
      </w:r>
      <w:r>
        <w:rPr>
          <w:i/>
        </w:rPr>
        <w:t>Materials</w:t>
      </w:r>
      <w:r>
        <w:t xml:space="preserve"> </w:t>
      </w:r>
      <w:r>
        <w:rPr>
          <w:b/>
        </w:rPr>
        <w:t>2015</w:t>
      </w:r>
      <w:r>
        <w:t xml:space="preserve">, </w:t>
      </w:r>
      <w:r>
        <w:rPr>
          <w:i/>
        </w:rPr>
        <w:t>8</w:t>
      </w:r>
      <w:r>
        <w:t>, 7230.</w:t>
      </w:r>
    </w:p>
    <w:p>
      <w:pPr>
        <w:pStyle w:val="57"/>
        <w:spacing w:line="480" w:lineRule="auto"/>
        <w:ind w:left="480" w:hanging="480" w:hangingChars="200"/>
      </w:pPr>
      <w:r>
        <w:t>[26]</w:t>
      </w:r>
      <w:r>
        <w:tab/>
      </w:r>
      <w:r>
        <w:t xml:space="preserve">A. Puetz, T. Stubhan, M. Reinhard, O. Loesch, E. Hammarberg, S. Wolf, C. Feldmann, H. Kalt, A. Colsmann, U. Lemmer, </w:t>
      </w:r>
      <w:r>
        <w:rPr>
          <w:i/>
        </w:rPr>
        <w:t>Sol. Energy Mater. Sol. Cells</w:t>
      </w:r>
      <w:r>
        <w:t xml:space="preserve"> </w:t>
      </w:r>
      <w:r>
        <w:rPr>
          <w:b/>
        </w:rPr>
        <w:t>2011</w:t>
      </w:r>
      <w:r>
        <w:t xml:space="preserve">, </w:t>
      </w:r>
      <w:r>
        <w:rPr>
          <w:i/>
        </w:rPr>
        <w:t>95</w:t>
      </w:r>
      <w:r>
        <w:t>, 579.</w:t>
      </w:r>
    </w:p>
    <w:p>
      <w:pPr>
        <w:pStyle w:val="57"/>
        <w:spacing w:line="480" w:lineRule="auto"/>
        <w:ind w:left="480" w:hanging="480" w:hangingChars="200"/>
      </w:pPr>
      <w:r>
        <w:t>[27]</w:t>
      </w:r>
      <w:r>
        <w:tab/>
      </w:r>
      <w:r>
        <w:t xml:space="preserve">A. Soultati, A. Fakharuddin, E. Polydorou, C. Drivas, A. Kaltzoglou, M. I. Haider, F. Kournoutas, M. Fakis, L. C. Palilis, S. Kennou, D. Davazoglou, P. Falaras, P. Argitis, S. Gardelis, A. Kordatos, A. Chroneos, L. Schmidt-Mende, M. Vasilopoulou, </w:t>
      </w:r>
      <w:r>
        <w:rPr>
          <w:i/>
        </w:rPr>
        <w:t>ACS Appl. Energy Mater.</w:t>
      </w:r>
      <w:r>
        <w:t xml:space="preserve"> </w:t>
      </w:r>
      <w:r>
        <w:rPr>
          <w:b/>
        </w:rPr>
        <w:t>2019</w:t>
      </w:r>
      <w:r>
        <w:t xml:space="preserve">, </w:t>
      </w:r>
      <w:r>
        <w:rPr>
          <w:i/>
        </w:rPr>
        <w:t>2</w:t>
      </w:r>
      <w:r>
        <w:t>, 1663.</w:t>
      </w:r>
    </w:p>
    <w:p>
      <w:pPr>
        <w:pStyle w:val="57"/>
        <w:spacing w:line="480" w:lineRule="auto"/>
        <w:ind w:left="480" w:hanging="480" w:hangingChars="200"/>
      </w:pPr>
      <w:r>
        <w:t>[28]</w:t>
      </w:r>
      <w:r>
        <w:tab/>
      </w:r>
      <w:r>
        <w:t xml:space="preserve">Y. E. Ha, M. Y. Jo, J. Park, Y.-C. Kang, S. I. Yoo, J. H. Kim, </w:t>
      </w:r>
      <w:r>
        <w:rPr>
          <w:i/>
        </w:rPr>
        <w:t>J. Phys. Chem. C</w:t>
      </w:r>
      <w:r>
        <w:t xml:space="preserve"> </w:t>
      </w:r>
      <w:r>
        <w:rPr>
          <w:b/>
        </w:rPr>
        <w:t>2013</w:t>
      </w:r>
      <w:r>
        <w:t xml:space="preserve">, </w:t>
      </w:r>
      <w:r>
        <w:rPr>
          <w:i/>
        </w:rPr>
        <w:t>117</w:t>
      </w:r>
      <w:r>
        <w:t>, 2646.</w:t>
      </w:r>
    </w:p>
    <w:p>
      <w:pPr>
        <w:pStyle w:val="57"/>
        <w:spacing w:line="480" w:lineRule="auto"/>
        <w:ind w:left="480" w:hanging="480" w:hangingChars="200"/>
      </w:pPr>
      <w:r>
        <w:t>[29]</w:t>
      </w:r>
      <w:r>
        <w:tab/>
      </w:r>
      <w:r>
        <w:t xml:space="preserve">J. Liu, J. Li, G. Tu, </w:t>
      </w:r>
      <w:r>
        <w:rPr>
          <w:i/>
        </w:rPr>
        <w:t>Front. Optoelectron.</w:t>
      </w:r>
      <w:r>
        <w:t xml:space="preserve"> </w:t>
      </w:r>
      <w:r>
        <w:rPr>
          <w:b/>
        </w:rPr>
        <w:t>2018</w:t>
      </w:r>
      <w:r>
        <w:t xml:space="preserve">, </w:t>
      </w:r>
      <w:r>
        <w:rPr>
          <w:i/>
        </w:rPr>
        <w:t>11</w:t>
      </w:r>
      <w:r>
        <w:t>, 348.</w:t>
      </w:r>
    </w:p>
    <w:p>
      <w:pPr>
        <w:pStyle w:val="57"/>
        <w:spacing w:line="480" w:lineRule="auto"/>
        <w:ind w:left="480" w:hanging="480" w:hangingChars="200"/>
      </w:pPr>
      <w:r>
        <w:t>[30]</w:t>
      </w:r>
      <w:r>
        <w:tab/>
      </w:r>
      <w:r>
        <w:t xml:space="preserve">B. R. Lee, H. Choi, J. SunPark, H. J. Lee, S. O. Kim, J. Y. Kim, M. H. Song, </w:t>
      </w:r>
      <w:r>
        <w:rPr>
          <w:i/>
        </w:rPr>
        <w:t>J. Mater. Chem.</w:t>
      </w:r>
      <w:r>
        <w:t xml:space="preserve"> </w:t>
      </w:r>
      <w:r>
        <w:rPr>
          <w:b/>
        </w:rPr>
        <w:t>2011</w:t>
      </w:r>
      <w:r>
        <w:t xml:space="preserve">, </w:t>
      </w:r>
      <w:r>
        <w:rPr>
          <w:i/>
        </w:rPr>
        <w:t>21</w:t>
      </w:r>
      <w:r>
        <w:t>, 2051.</w:t>
      </w:r>
    </w:p>
    <w:p>
      <w:pPr>
        <w:pStyle w:val="57"/>
        <w:spacing w:line="480" w:lineRule="auto"/>
        <w:ind w:left="480" w:hanging="480" w:hangingChars="200"/>
      </w:pPr>
      <w:r>
        <w:t>[31]</w:t>
      </w:r>
      <w:r>
        <w:tab/>
      </w:r>
      <w:r>
        <w:t xml:space="preserve">T. Hu, F. Li, K. Yuan, Y. Chen, </w:t>
      </w:r>
      <w:r>
        <w:rPr>
          <w:i/>
        </w:rPr>
        <w:t>ACS Appl. Mater. Interfaces</w:t>
      </w:r>
      <w:r>
        <w:t xml:space="preserve"> </w:t>
      </w:r>
      <w:r>
        <w:rPr>
          <w:b/>
        </w:rPr>
        <w:t>2013</w:t>
      </w:r>
      <w:r>
        <w:t xml:space="preserve">, </w:t>
      </w:r>
      <w:r>
        <w:rPr>
          <w:i/>
        </w:rPr>
        <w:t>5</w:t>
      </w:r>
      <w:r>
        <w:t>, 5763.</w:t>
      </w:r>
    </w:p>
    <w:p>
      <w:pPr>
        <w:pStyle w:val="57"/>
        <w:spacing w:line="480" w:lineRule="auto"/>
        <w:ind w:left="480" w:hanging="480" w:hangingChars="200"/>
      </w:pPr>
      <w:r>
        <w:t>[32]</w:t>
      </w:r>
      <w:r>
        <w:tab/>
      </w:r>
      <w:r>
        <w:t xml:space="preserve">N. Li, I. McCulloch, C. J. Brabec, </w:t>
      </w:r>
      <w:r>
        <w:rPr>
          <w:i/>
        </w:rPr>
        <w:t>Energy Environ. Sci.</w:t>
      </w:r>
      <w:r>
        <w:t xml:space="preserve"> </w:t>
      </w:r>
      <w:r>
        <w:rPr>
          <w:b/>
        </w:rPr>
        <w:t>2018</w:t>
      </w:r>
      <w:r>
        <w:t xml:space="preserve">, </w:t>
      </w:r>
      <w:r>
        <w:rPr>
          <w:i/>
        </w:rPr>
        <w:t>11</w:t>
      </w:r>
      <w:r>
        <w:t>, 1355.</w:t>
      </w:r>
    </w:p>
    <w:p>
      <w:pPr>
        <w:pStyle w:val="57"/>
        <w:spacing w:line="480" w:lineRule="auto"/>
        <w:ind w:left="480" w:hanging="480" w:hangingChars="200"/>
      </w:pPr>
      <w:r>
        <w:t>[33]</w:t>
      </w:r>
      <w:r>
        <w:tab/>
      </w:r>
      <w:r>
        <w:t xml:space="preserve">M. A. Hossain, K. T. Khoo, X. Cui, G. K. Poduval, T. Zhang, X. Li, W. M. Li, B. Hoex, </w:t>
      </w:r>
      <w:r>
        <w:rPr>
          <w:i/>
        </w:rPr>
        <w:t>Nano Mater. Sci.</w:t>
      </w:r>
      <w:r>
        <w:t xml:space="preserve"> </w:t>
      </w:r>
      <w:r>
        <w:rPr>
          <w:b/>
        </w:rPr>
        <w:t>2020</w:t>
      </w:r>
      <w:r>
        <w:t xml:space="preserve">, </w:t>
      </w:r>
      <w:r>
        <w:rPr>
          <w:i/>
        </w:rPr>
        <w:t>2</w:t>
      </w:r>
      <w:r>
        <w:t>, 204.</w:t>
      </w:r>
    </w:p>
    <w:p>
      <w:pPr>
        <w:pStyle w:val="57"/>
        <w:spacing w:line="480" w:lineRule="auto"/>
        <w:ind w:left="480" w:hanging="480" w:hangingChars="200"/>
      </w:pPr>
      <w:r>
        <w:t>[34]</w:t>
      </w:r>
      <w:r>
        <w:tab/>
      </w:r>
      <w:r>
        <w:t xml:space="preserve">G. Dingemans, W. M. M. Kessels, </w:t>
      </w:r>
      <w:r>
        <w:rPr>
          <w:i/>
        </w:rPr>
        <w:t>J. Vac. Sci. Technol., A</w:t>
      </w:r>
      <w:r>
        <w:t xml:space="preserve"> </w:t>
      </w:r>
      <w:r>
        <w:rPr>
          <w:b/>
        </w:rPr>
        <w:t>2012</w:t>
      </w:r>
      <w:r>
        <w:t xml:space="preserve">, </w:t>
      </w:r>
      <w:r>
        <w:rPr>
          <w:i/>
        </w:rPr>
        <w:t>30</w:t>
      </w:r>
      <w:r>
        <w:t>, 040802.</w:t>
      </w:r>
    </w:p>
    <w:p>
      <w:pPr>
        <w:pStyle w:val="57"/>
        <w:spacing w:line="480" w:lineRule="auto"/>
        <w:ind w:left="480" w:hanging="480" w:hangingChars="200"/>
      </w:pPr>
      <w:r>
        <w:t>[35]</w:t>
      </w:r>
      <w:r>
        <w:tab/>
      </w:r>
      <w:r>
        <w:t xml:space="preserve">A. K. Chandiran, P. Comte, R. Humphry-Baker, F. Kessler, C. Yi, M. K. Nazeeruddin, M. Grätzel, </w:t>
      </w:r>
      <w:r>
        <w:rPr>
          <w:i/>
        </w:rPr>
        <w:t>Adv. Funct. Mater.</w:t>
      </w:r>
      <w:r>
        <w:t xml:space="preserve"> </w:t>
      </w:r>
      <w:r>
        <w:rPr>
          <w:b/>
        </w:rPr>
        <w:t>2013</w:t>
      </w:r>
      <w:r>
        <w:t xml:space="preserve">, </w:t>
      </w:r>
      <w:r>
        <w:rPr>
          <w:i/>
        </w:rPr>
        <w:t>23</w:t>
      </w:r>
      <w:r>
        <w:t>, 2775.</w:t>
      </w:r>
    </w:p>
    <w:p>
      <w:pPr>
        <w:pStyle w:val="57"/>
        <w:spacing w:line="480" w:lineRule="auto"/>
        <w:ind w:left="480" w:hanging="480" w:hangingChars="200"/>
      </w:pPr>
      <w:r>
        <w:t>[36]</w:t>
      </w:r>
      <w:r>
        <w:tab/>
      </w:r>
      <w:r>
        <w:t xml:space="preserve">Y. Lv, P. Xu, G. Ren, F. Chen, H. Nan, R. Liu, D. Wang, X. Tan, X. Liu, H. Zhang, Z.-K. Chen, </w:t>
      </w:r>
      <w:r>
        <w:rPr>
          <w:i/>
        </w:rPr>
        <w:t>ACS Appl. Mater. Interfaces</w:t>
      </w:r>
      <w:r>
        <w:t xml:space="preserve"> </w:t>
      </w:r>
      <w:r>
        <w:rPr>
          <w:b/>
        </w:rPr>
        <w:t>2018</w:t>
      </w:r>
      <w:r>
        <w:t xml:space="preserve">, </w:t>
      </w:r>
      <w:r>
        <w:rPr>
          <w:i/>
        </w:rPr>
        <w:t>10</w:t>
      </w:r>
      <w:r>
        <w:t>, 23928.</w:t>
      </w:r>
    </w:p>
    <w:p>
      <w:pPr>
        <w:pStyle w:val="57"/>
        <w:spacing w:line="480" w:lineRule="auto"/>
        <w:ind w:left="480" w:hanging="480" w:hangingChars="200"/>
      </w:pPr>
      <w:r>
        <w:t>[37]</w:t>
      </w:r>
      <w:r>
        <w:tab/>
      </w:r>
      <w:r>
        <w:t xml:space="preserve">L. Duan, B. Sang, M. He, Y. Zhang, M. A. Hossain, M. H. Rahaman, Q. Wei, Y. Zou, A. Uddin, B. Hoex, </w:t>
      </w:r>
      <w:r>
        <w:rPr>
          <w:i/>
        </w:rPr>
        <w:t>Sol. RRL</w:t>
      </w:r>
      <w:r>
        <w:t xml:space="preserve"> </w:t>
      </w:r>
      <w:r>
        <w:rPr>
          <w:b/>
        </w:rPr>
        <w:t>2020</w:t>
      </w:r>
      <w:r>
        <w:t xml:space="preserve">, </w:t>
      </w:r>
      <w:r>
        <w:rPr>
          <w:i/>
        </w:rPr>
        <w:t>4</w:t>
      </w:r>
      <w:r>
        <w:t>, 2000497.</w:t>
      </w:r>
    </w:p>
    <w:p>
      <w:pPr>
        <w:pStyle w:val="57"/>
        <w:spacing w:line="480" w:lineRule="auto"/>
        <w:ind w:left="480" w:hanging="480" w:hangingChars="200"/>
      </w:pPr>
      <w:r>
        <w:t>[38]</w:t>
      </w:r>
      <w:r>
        <w:tab/>
      </w:r>
      <w:r>
        <w:t xml:space="preserve">M. Vasilopoulou, D. G. Georgiadou, A. Soultati, N. Boukos, S. Gardelis, L. C. Palilis, M. Fakis, G. Skoulatakis, S. Kennou, M. Botzakaki, S. Georga, C. A. Krontiras, F. Auras, D. Fattakhova-Rohlfing, T. Bein, T. A. Papadopoulos, D. Davazoglou, P. Argitis, </w:t>
      </w:r>
      <w:r>
        <w:rPr>
          <w:i/>
        </w:rPr>
        <w:t>Adv. Energy Mater.</w:t>
      </w:r>
      <w:r>
        <w:t xml:space="preserve"> </w:t>
      </w:r>
      <w:r>
        <w:rPr>
          <w:b/>
        </w:rPr>
        <w:t>2014</w:t>
      </w:r>
      <w:r>
        <w:t xml:space="preserve">, </w:t>
      </w:r>
      <w:r>
        <w:rPr>
          <w:i/>
        </w:rPr>
        <w:t>4</w:t>
      </w:r>
      <w:r>
        <w:t>, 1400214.</w:t>
      </w:r>
    </w:p>
    <w:p>
      <w:pPr>
        <w:pStyle w:val="57"/>
        <w:spacing w:line="480" w:lineRule="auto"/>
        <w:ind w:left="480" w:hanging="480" w:hangingChars="200"/>
      </w:pPr>
      <w:r>
        <w:t>[39]</w:t>
      </w:r>
      <w:r>
        <w:tab/>
      </w:r>
      <w:r>
        <w:t xml:space="preserve">A. Lan, Y. Lv, J. Zhu, H. Lu, H. Do, Z.-K. Chen, J. Zhou, H. Wang, F. Chen, E. Zhou, </w:t>
      </w:r>
      <w:r>
        <w:rPr>
          <w:i/>
        </w:rPr>
        <w:t>ACS Energy Lett.</w:t>
      </w:r>
      <w:r>
        <w:t xml:space="preserve"> </w:t>
      </w:r>
      <w:r>
        <w:rPr>
          <w:b/>
        </w:rPr>
        <w:t>2022</w:t>
      </w:r>
      <w:r>
        <w:t xml:space="preserve">, </w:t>
      </w:r>
      <w:r>
        <w:rPr>
          <w:i/>
        </w:rPr>
        <w:t>7</w:t>
      </w:r>
      <w:r>
        <w:t>, 2845.</w:t>
      </w:r>
    </w:p>
    <w:p>
      <w:pPr>
        <w:pStyle w:val="57"/>
        <w:spacing w:line="480" w:lineRule="auto"/>
        <w:ind w:left="480" w:hanging="480" w:hangingChars="200"/>
      </w:pPr>
      <w:r>
        <w:t>[40]</w:t>
      </w:r>
      <w:r>
        <w:tab/>
      </w:r>
      <w:r>
        <w:t xml:space="preserve">F. C. Correia, N. Bundaleski, O. M. N. D. Teodoro, M. R. Correia, L. Rebouta, A. Mendes, C. J. Tavares, </w:t>
      </w:r>
      <w:r>
        <w:rPr>
          <w:i/>
        </w:rPr>
        <w:t>Appl. Surf. Sci.</w:t>
      </w:r>
      <w:r>
        <w:t xml:space="preserve"> </w:t>
      </w:r>
      <w:r>
        <w:rPr>
          <w:b/>
        </w:rPr>
        <w:t>2018</w:t>
      </w:r>
      <w:r>
        <w:t xml:space="preserve">, </w:t>
      </w:r>
      <w:r>
        <w:rPr>
          <w:i/>
        </w:rPr>
        <w:t>458</w:t>
      </w:r>
      <w:r>
        <w:t>, 1043.</w:t>
      </w:r>
    </w:p>
    <w:p>
      <w:pPr>
        <w:pStyle w:val="57"/>
        <w:spacing w:line="480" w:lineRule="auto"/>
        <w:ind w:left="480" w:hanging="480" w:hangingChars="200"/>
      </w:pPr>
      <w:r>
        <w:t>[41]</w:t>
      </w:r>
      <w:r>
        <w:tab/>
      </w:r>
      <w:r>
        <w:t xml:space="preserve">M. S. Abdel-wahab, A. Jilani, I. S. Yahia, A. A. Al-Ghamdi, </w:t>
      </w:r>
      <w:r>
        <w:rPr>
          <w:i/>
        </w:rPr>
        <w:t>Superlattices Microstruct.</w:t>
      </w:r>
      <w:r>
        <w:t xml:space="preserve"> </w:t>
      </w:r>
      <w:r>
        <w:rPr>
          <w:b/>
        </w:rPr>
        <w:t>2016</w:t>
      </w:r>
      <w:r>
        <w:t xml:space="preserve">, </w:t>
      </w:r>
      <w:r>
        <w:rPr>
          <w:i/>
        </w:rPr>
        <w:t>94</w:t>
      </w:r>
      <w:r>
        <w:t>, 108.</w:t>
      </w:r>
    </w:p>
    <w:p>
      <w:pPr>
        <w:pStyle w:val="57"/>
        <w:spacing w:line="480" w:lineRule="auto"/>
        <w:ind w:left="480" w:hanging="480" w:hangingChars="200"/>
      </w:pPr>
      <w:r>
        <w:t>[42]</w:t>
      </w:r>
      <w:r>
        <w:tab/>
      </w:r>
      <w:r>
        <w:t xml:space="preserve">J. Bao, X.-P. Wang, L.-J. Wang, M.-Y. Zhao, J.-Z. Wang, </w:t>
      </w:r>
      <w:r>
        <w:rPr>
          <w:i/>
        </w:rPr>
        <w:t>Vacuum</w:t>
      </w:r>
      <w:r>
        <w:t xml:space="preserve"> </w:t>
      </w:r>
      <w:r>
        <w:rPr>
          <w:b/>
        </w:rPr>
        <w:t>2022</w:t>
      </w:r>
      <w:r>
        <w:t xml:space="preserve">, </w:t>
      </w:r>
      <w:r>
        <w:rPr>
          <w:i/>
        </w:rPr>
        <w:t>201</w:t>
      </w:r>
      <w:r>
        <w:t>, 111080.</w:t>
      </w:r>
    </w:p>
    <w:p>
      <w:pPr>
        <w:pStyle w:val="57"/>
        <w:spacing w:line="480" w:lineRule="auto"/>
        <w:ind w:left="480" w:hanging="480" w:hangingChars="200"/>
      </w:pPr>
      <w:r>
        <w:t>[43]</w:t>
      </w:r>
      <w:r>
        <w:tab/>
      </w:r>
      <w:r>
        <w:t xml:space="preserve">M. Napari, T. N. Huq, D. J. Meeth, M. J. Heikkilä, K. M. Niang, H. Wang, T. Iivonen, H. Wang, M. Leskela, M. Ritala, </w:t>
      </w:r>
      <w:r>
        <w:rPr>
          <w:i/>
        </w:rPr>
        <w:t>ACS Appl. Mater. Interfaces</w:t>
      </w:r>
      <w:r>
        <w:t xml:space="preserve"> </w:t>
      </w:r>
      <w:r>
        <w:rPr>
          <w:b/>
        </w:rPr>
        <w:t>2021</w:t>
      </w:r>
      <w:r>
        <w:t xml:space="preserve">, </w:t>
      </w:r>
      <w:r>
        <w:rPr>
          <w:i/>
        </w:rPr>
        <w:t>13</w:t>
      </w:r>
      <w:r>
        <w:t>, 4156.</w:t>
      </w:r>
    </w:p>
    <w:p>
      <w:pPr>
        <w:pStyle w:val="57"/>
        <w:spacing w:line="480" w:lineRule="auto"/>
        <w:ind w:left="480" w:hanging="480" w:hangingChars="200"/>
      </w:pPr>
      <w:r>
        <w:t>[44]</w:t>
      </w:r>
      <w:r>
        <w:tab/>
      </w:r>
      <w:r>
        <w:t xml:space="preserve">C.-K. Wu, K. Sivashanmugan, T.-F. Guo, T.-C. Wen, </w:t>
      </w:r>
      <w:r>
        <w:rPr>
          <w:i/>
        </w:rPr>
        <w:t>Materials</w:t>
      </w:r>
      <w:r>
        <w:t xml:space="preserve"> </w:t>
      </w:r>
      <w:r>
        <w:rPr>
          <w:b/>
        </w:rPr>
        <w:t>2018</w:t>
      </w:r>
      <w:r>
        <w:t xml:space="preserve">, </w:t>
      </w:r>
      <w:r>
        <w:rPr>
          <w:i/>
        </w:rPr>
        <w:t>11</w:t>
      </w:r>
      <w:r>
        <w:t>.</w:t>
      </w:r>
    </w:p>
    <w:p>
      <w:pPr>
        <w:pStyle w:val="57"/>
        <w:spacing w:line="480" w:lineRule="auto"/>
        <w:ind w:left="480" w:hanging="480" w:hangingChars="200"/>
      </w:pPr>
      <w:r>
        <w:t>[45]</w:t>
      </w:r>
      <w:r>
        <w:tab/>
      </w:r>
      <w:r>
        <w:t xml:space="preserve">E. Polydorou, M. A. Botzakaki, I. Sakellis, A. Soultati, A. Kaltzoglou, T. A. Papadopoulos, J. Briscoe, C. Drivas, K. Seintis, M. Fakis, L. C. Palilis, S. N. Georga, C. A. Krontiras, S. Kennou, P. Falaras, N. Boukos, D. Davazoglou, P. Argitis, M. Vasilopoulou, </w:t>
      </w:r>
      <w:r>
        <w:rPr>
          <w:i/>
        </w:rPr>
        <w:t>Adv. Mater. Interfaces</w:t>
      </w:r>
      <w:r>
        <w:t xml:space="preserve"> </w:t>
      </w:r>
      <w:r>
        <w:rPr>
          <w:b/>
        </w:rPr>
        <w:t>2017</w:t>
      </w:r>
      <w:r>
        <w:t xml:space="preserve">, </w:t>
      </w:r>
      <w:r>
        <w:rPr>
          <w:i/>
        </w:rPr>
        <w:t>4</w:t>
      </w:r>
      <w:r>
        <w:t>, 1700231.</w:t>
      </w:r>
    </w:p>
    <w:p>
      <w:pPr>
        <w:pStyle w:val="57"/>
        <w:spacing w:line="480" w:lineRule="auto"/>
        <w:ind w:left="480" w:hanging="480" w:hangingChars="200"/>
      </w:pPr>
      <w:r>
        <w:t>[46]</w:t>
      </w:r>
      <w:r>
        <w:tab/>
      </w:r>
      <w:r>
        <w:t xml:space="preserve">A. M. Boehm, T. Liu, S. M. Park, A. Abtahi, K. R. Graham, </w:t>
      </w:r>
      <w:r>
        <w:rPr>
          <w:i/>
        </w:rPr>
        <w:t>ACS Appl. Mater. Interfaces</w:t>
      </w:r>
      <w:r>
        <w:t xml:space="preserve"> </w:t>
      </w:r>
      <w:r>
        <w:rPr>
          <w:b/>
        </w:rPr>
        <w:t>2020</w:t>
      </w:r>
      <w:r>
        <w:t xml:space="preserve">, </w:t>
      </w:r>
      <w:r>
        <w:rPr>
          <w:i/>
        </w:rPr>
        <w:t>12</w:t>
      </w:r>
      <w:r>
        <w:t>, 5209.</w:t>
      </w:r>
    </w:p>
    <w:p>
      <w:pPr>
        <w:pStyle w:val="57"/>
        <w:spacing w:line="480" w:lineRule="auto"/>
        <w:ind w:left="480" w:hanging="480" w:hangingChars="200"/>
      </w:pPr>
      <w:r>
        <w:t>[47]</w:t>
      </w:r>
      <w:r>
        <w:tab/>
      </w:r>
      <w:r>
        <w:t xml:space="preserve">M. A. Mahmud, N. K. Elumalai, M. B. Upama, D. Wang, F. Haque, M. Wright, C. Xu, A. Uddin, </w:t>
      </w:r>
      <w:r>
        <w:rPr>
          <w:i/>
        </w:rPr>
        <w:t>Sol. Energy Mater. Sol. Cells</w:t>
      </w:r>
      <w:r>
        <w:t xml:space="preserve"> </w:t>
      </w:r>
      <w:r>
        <w:rPr>
          <w:b/>
        </w:rPr>
        <w:t>2017</w:t>
      </w:r>
      <w:r>
        <w:t xml:space="preserve">, </w:t>
      </w:r>
      <w:r>
        <w:rPr>
          <w:i/>
        </w:rPr>
        <w:t>167</w:t>
      </w:r>
      <w:r>
        <w:t>, 70.</w:t>
      </w:r>
    </w:p>
    <w:p>
      <w:pPr>
        <w:pStyle w:val="57"/>
        <w:spacing w:line="480" w:lineRule="auto"/>
        <w:ind w:left="480" w:hanging="480" w:hangingChars="200"/>
      </w:pPr>
      <w:r>
        <w:t>[48]</w:t>
      </w:r>
      <w:r>
        <w:tab/>
      </w:r>
      <w:r>
        <w:t xml:space="preserve">A. K. Kyaw, D. H. Wang, D. Wynands, J. Zhang, T. Q. Nguyen, G. C. Bazan, A. J. Heeger, </w:t>
      </w:r>
      <w:r>
        <w:rPr>
          <w:i/>
        </w:rPr>
        <w:t>Nano Lett</w:t>
      </w:r>
      <w:r>
        <w:t xml:space="preserve"> </w:t>
      </w:r>
      <w:r>
        <w:rPr>
          <w:b/>
        </w:rPr>
        <w:t>2013</w:t>
      </w:r>
      <w:r>
        <w:t xml:space="preserve">, </w:t>
      </w:r>
      <w:r>
        <w:rPr>
          <w:i/>
        </w:rPr>
        <w:t>13</w:t>
      </w:r>
      <w:r>
        <w:t>, 3796.</w:t>
      </w:r>
    </w:p>
    <w:p>
      <w:pPr>
        <w:pStyle w:val="57"/>
        <w:spacing w:line="480" w:lineRule="auto"/>
        <w:ind w:left="480" w:hanging="480" w:hangingChars="200"/>
      </w:pPr>
      <w:r>
        <w:t>[49]</w:t>
      </w:r>
      <w:r>
        <w:tab/>
      </w:r>
      <w:r>
        <w:t xml:space="preserve">V. D. Mihailetchi, L. J. Koster, J. C. Hummelen, P. W. Blom, </w:t>
      </w:r>
      <w:r>
        <w:rPr>
          <w:i/>
        </w:rPr>
        <w:t>Phys Rev Lett</w:t>
      </w:r>
      <w:r>
        <w:t xml:space="preserve"> </w:t>
      </w:r>
      <w:r>
        <w:rPr>
          <w:b/>
        </w:rPr>
        <w:t>2004</w:t>
      </w:r>
      <w:r>
        <w:t xml:space="preserve">, </w:t>
      </w:r>
      <w:r>
        <w:rPr>
          <w:i/>
        </w:rPr>
        <w:t>93</w:t>
      </w:r>
      <w:r>
        <w:t>, 216601.</w:t>
      </w:r>
    </w:p>
    <w:p>
      <w:pPr>
        <w:pStyle w:val="57"/>
        <w:spacing w:line="480" w:lineRule="auto"/>
        <w:ind w:left="480" w:hanging="480" w:hangingChars="200"/>
      </w:pPr>
      <w:r>
        <w:t>[50]</w:t>
      </w:r>
      <w:r>
        <w:tab/>
      </w:r>
      <w:r>
        <w:t xml:space="preserve">M. M. Mandoc, F. B. Kooistra, J. C. Hummelen, B. de Boer, P. W. M. Blom, </w:t>
      </w:r>
      <w:r>
        <w:rPr>
          <w:i/>
        </w:rPr>
        <w:t>Applied Physics Letters</w:t>
      </w:r>
      <w:r>
        <w:t xml:space="preserve"> </w:t>
      </w:r>
      <w:r>
        <w:rPr>
          <w:b/>
        </w:rPr>
        <w:t>2007</w:t>
      </w:r>
      <w:r>
        <w:t xml:space="preserve">, </w:t>
      </w:r>
      <w:r>
        <w:rPr>
          <w:i/>
        </w:rPr>
        <w:t>91</w:t>
      </w:r>
      <w:r>
        <w:t>.</w:t>
      </w:r>
    </w:p>
    <w:p>
      <w:pPr>
        <w:pStyle w:val="57"/>
        <w:spacing w:line="480" w:lineRule="auto"/>
        <w:ind w:left="480" w:hanging="480" w:hangingChars="200"/>
      </w:pPr>
      <w:r>
        <w:t>[51]</w:t>
      </w:r>
      <w:r>
        <w:tab/>
      </w:r>
      <w:r>
        <w:t xml:space="preserve">I. Riedel, J. Parisi, V. Dyakonov, L. Lutsen, D. Vanderzande, J. C. Hummelen, </w:t>
      </w:r>
      <w:r>
        <w:rPr>
          <w:i/>
        </w:rPr>
        <w:t>Adv. Funct. Mater.</w:t>
      </w:r>
      <w:r>
        <w:t xml:space="preserve"> </w:t>
      </w:r>
      <w:r>
        <w:rPr>
          <w:b/>
        </w:rPr>
        <w:t>2004</w:t>
      </w:r>
      <w:r>
        <w:t xml:space="preserve">, </w:t>
      </w:r>
      <w:r>
        <w:rPr>
          <w:i/>
        </w:rPr>
        <w:t>14</w:t>
      </w:r>
      <w:r>
        <w:t>, 38.</w:t>
      </w:r>
    </w:p>
    <w:p>
      <w:pPr>
        <w:pStyle w:val="57"/>
        <w:spacing w:line="480" w:lineRule="auto"/>
        <w:ind w:left="480" w:hanging="480" w:hangingChars="200"/>
      </w:pPr>
      <w:r>
        <w:t>[52]</w:t>
      </w:r>
      <w:r>
        <w:tab/>
      </w:r>
      <w:r>
        <w:t xml:space="preserve">L. Zhang, N. Yi, W. Zhou, Z. Yu, F. Liu, Y. Chen, </w:t>
      </w:r>
      <w:r>
        <w:rPr>
          <w:i/>
        </w:rPr>
        <w:t>Adv Sci (Weinh)</w:t>
      </w:r>
      <w:r>
        <w:t xml:space="preserve"> </w:t>
      </w:r>
      <w:r>
        <w:rPr>
          <w:b/>
        </w:rPr>
        <w:t>2019</w:t>
      </w:r>
      <w:r>
        <w:t xml:space="preserve">, </w:t>
      </w:r>
      <w:r>
        <w:rPr>
          <w:i/>
        </w:rPr>
        <w:t>6</w:t>
      </w:r>
      <w:r>
        <w:t>, 1900565.</w:t>
      </w:r>
    </w:p>
    <w:p>
      <w:pPr>
        <w:pStyle w:val="57"/>
        <w:spacing w:line="480" w:lineRule="auto"/>
        <w:ind w:left="480" w:hanging="480" w:hangingChars="200"/>
      </w:pPr>
      <w:r>
        <w:t>[53]</w:t>
      </w:r>
      <w:r>
        <w:tab/>
      </w:r>
      <w:r>
        <w:t xml:space="preserve">R. A. Marcus, </w:t>
      </w:r>
      <w:r>
        <w:rPr>
          <w:i/>
        </w:rPr>
        <w:t>Annu. Rev. Phys. Chem.</w:t>
      </w:r>
      <w:r>
        <w:t xml:space="preserve"> </w:t>
      </w:r>
      <w:r>
        <w:rPr>
          <w:b/>
        </w:rPr>
        <w:t>1964</w:t>
      </w:r>
      <w:r>
        <w:t xml:space="preserve">, </w:t>
      </w:r>
      <w:r>
        <w:rPr>
          <w:i/>
        </w:rPr>
        <w:t>15</w:t>
      </w:r>
      <w:r>
        <w:t>, 155.</w:t>
      </w:r>
    </w:p>
    <w:p>
      <w:pPr>
        <w:pStyle w:val="57"/>
        <w:spacing w:line="480" w:lineRule="auto"/>
        <w:ind w:left="480" w:hanging="480" w:hangingChars="200"/>
      </w:pPr>
      <w:r>
        <w:t>[54]</w:t>
      </w:r>
      <w:r>
        <w:tab/>
      </w:r>
      <w:r>
        <w:t xml:space="preserve">A. Karki, J. Vollbrecht, A. J. Gillett, P. Selter, J. Lee, Z. Peng, N. Schopp, A. L. Dixon, M. Schrock, V. Nádaždy, F. Schauer, H. Ade, B. F. Chmelka, G. C. Bazan, R. H. Friend, T.-Q. Nguyen, </w:t>
      </w:r>
      <w:r>
        <w:rPr>
          <w:i/>
        </w:rPr>
        <w:t>Adv. Energy Mater.</w:t>
      </w:r>
      <w:r>
        <w:t xml:space="preserve"> </w:t>
      </w:r>
      <w:r>
        <w:rPr>
          <w:b/>
        </w:rPr>
        <w:t>2020</w:t>
      </w:r>
      <w:r>
        <w:t xml:space="preserve">, </w:t>
      </w:r>
      <w:r>
        <w:rPr>
          <w:i/>
        </w:rPr>
        <w:t>10</w:t>
      </w:r>
      <w:r>
        <w:t>, 2001203.</w:t>
      </w:r>
    </w:p>
    <w:p>
      <w:pPr>
        <w:pStyle w:val="57"/>
        <w:spacing w:line="480" w:lineRule="auto"/>
        <w:ind w:left="480" w:hanging="480" w:hangingChars="200"/>
      </w:pPr>
      <w:r>
        <w:t>[55]</w:t>
      </w:r>
      <w:r>
        <w:tab/>
      </w:r>
      <w:r>
        <w:t xml:space="preserve">H. Liu, M. Li, H. Wu, J. Wang, Z. Ma, Z. Tang, </w:t>
      </w:r>
      <w:r>
        <w:rPr>
          <w:i/>
        </w:rPr>
        <w:t>J. Mater. Chem. A</w:t>
      </w:r>
      <w:r>
        <w:t xml:space="preserve"> </w:t>
      </w:r>
      <w:r>
        <w:rPr>
          <w:b/>
        </w:rPr>
        <w:t>2021</w:t>
      </w:r>
      <w:r>
        <w:t xml:space="preserve">, </w:t>
      </w:r>
      <w:r>
        <w:rPr>
          <w:i/>
        </w:rPr>
        <w:t>9</w:t>
      </w:r>
      <w:r>
        <w:t>, 19770.</w:t>
      </w:r>
    </w:p>
    <w:p>
      <w:pPr>
        <w:pStyle w:val="57"/>
        <w:spacing w:line="480" w:lineRule="auto"/>
        <w:ind w:left="480" w:hanging="480" w:hangingChars="200"/>
      </w:pPr>
      <w:r>
        <w:t>[56]</w:t>
      </w:r>
      <w:r>
        <w:tab/>
      </w:r>
      <w:r>
        <w:t xml:space="preserve">Y. Xu, Y. Cui, H. Yao, T. Zhang, J. Zhang, L. Ma, J. Wang, Z. Wei, J. Hou, </w:t>
      </w:r>
      <w:r>
        <w:rPr>
          <w:i/>
        </w:rPr>
        <w:t>Adv. Mater.</w:t>
      </w:r>
      <w:r>
        <w:t xml:space="preserve"> </w:t>
      </w:r>
      <w:r>
        <w:rPr>
          <w:b/>
        </w:rPr>
        <w:t>2021</w:t>
      </w:r>
      <w:r>
        <w:t xml:space="preserve">, </w:t>
      </w:r>
      <w:r>
        <w:rPr>
          <w:i/>
        </w:rPr>
        <w:t>33</w:t>
      </w:r>
      <w:r>
        <w:t>, 2101090.</w:t>
      </w:r>
    </w:p>
    <w:p>
      <w:pPr>
        <w:pStyle w:val="57"/>
        <w:spacing w:line="480" w:lineRule="auto"/>
        <w:ind w:left="480" w:hanging="480" w:hangingChars="200"/>
      </w:pPr>
      <w:r>
        <w:t>[57]</w:t>
      </w:r>
      <w:r>
        <w:tab/>
      </w:r>
      <w:r>
        <w:t xml:space="preserve">Y. Wang, X. Wang, B. Lin, Z. Bi, X. Zhou, H. B. Naveed, K. Zhou, H. Yan, Z. Tang, W. Ma, </w:t>
      </w:r>
      <w:r>
        <w:rPr>
          <w:i/>
        </w:rPr>
        <w:t>Adv. Energy Mater.</w:t>
      </w:r>
      <w:r>
        <w:t xml:space="preserve"> </w:t>
      </w:r>
      <w:r>
        <w:rPr>
          <w:b/>
        </w:rPr>
        <w:t>2020</w:t>
      </w:r>
      <w:r>
        <w:t xml:space="preserve">, </w:t>
      </w:r>
      <w:r>
        <w:rPr>
          <w:i/>
        </w:rPr>
        <w:t>10</w:t>
      </w:r>
      <w:r>
        <w:t>, 2000826.</w:t>
      </w:r>
    </w:p>
    <w:p>
      <w:pPr>
        <w:pStyle w:val="57"/>
        <w:spacing w:line="480" w:lineRule="auto"/>
        <w:ind w:left="480" w:hanging="480" w:hangingChars="200"/>
      </w:pPr>
      <w:r>
        <w:t>[58]</w:t>
      </w:r>
      <w:r>
        <w:tab/>
      </w:r>
      <w:r>
        <w:t xml:space="preserve">Y. Li, Y. Cai, Y. Xie, J. Song, H. Wu, Z. Tang, J. Zhang, F. Huang, Y. Sun, </w:t>
      </w:r>
      <w:r>
        <w:rPr>
          <w:i/>
        </w:rPr>
        <w:t>Energy Environ. Sci.</w:t>
      </w:r>
      <w:r>
        <w:t xml:space="preserve"> </w:t>
      </w:r>
      <w:r>
        <w:rPr>
          <w:b/>
        </w:rPr>
        <w:t>2021</w:t>
      </w:r>
      <w:r>
        <w:t xml:space="preserve">, </w:t>
      </w:r>
      <w:r>
        <w:rPr>
          <w:i/>
        </w:rPr>
        <w:t>14</w:t>
      </w:r>
      <w:r>
        <w:t>, 5009.</w:t>
      </w:r>
    </w:p>
    <w:p>
      <w:pPr>
        <w:spacing w:line="480" w:lineRule="auto"/>
        <w:ind w:left="480" w:hanging="480" w:hangingChars="200"/>
        <w:jc w:val="both"/>
        <w:rPr>
          <w:lang w:val="en-US"/>
        </w:rPr>
      </w:pPr>
    </w:p>
    <w:p>
      <w:pPr>
        <w:rPr>
          <w:lang w:val="en-US"/>
        </w:rPr>
      </w:pPr>
      <w:r>
        <w:rPr>
          <w:lang w:val="en-US"/>
        </w:rPr>
        <w:br w:type="page"/>
      </w:r>
    </w:p>
    <w:p>
      <w:pPr>
        <w:pStyle w:val="39"/>
      </w:pPr>
    </w:p>
    <w:p>
      <w:pPr>
        <w:pStyle w:val="39"/>
      </w:pPr>
      <w:r>
        <w:t xml:space="preserve">ToC figure </w:t>
      </w:r>
    </w:p>
    <w:p>
      <w:pPr>
        <w:rPr>
          <w:lang w:val="en-US"/>
        </w:rPr>
      </w:pPr>
      <w:r>
        <w:drawing>
          <wp:anchor distT="0" distB="0" distL="114300" distR="114300" simplePos="0" relativeHeight="251665408" behindDoc="0" locked="0" layoutInCell="1" allowOverlap="1">
            <wp:simplePos x="0" y="0"/>
            <wp:positionH relativeFrom="column">
              <wp:posOffset>133985</wp:posOffset>
            </wp:positionH>
            <wp:positionV relativeFrom="paragraph">
              <wp:posOffset>605790</wp:posOffset>
            </wp:positionV>
            <wp:extent cx="4782820" cy="3954145"/>
            <wp:effectExtent l="0" t="0" r="0" b="8255"/>
            <wp:wrapTopAndBottom/>
            <wp:docPr id="8" name="图片 8" descr="图示, 示意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图示, 示意图&#10;&#10;描述已自动生成"/>
                    <pic:cNvPicPr>
                      <a:picLocks noChangeAspect="1" noChangeArrowheads="1"/>
                    </pic:cNvPicPr>
                  </pic:nvPicPr>
                  <pic:blipFill>
                    <a:blip r:embed="rId13" cstate="print">
                      <a:extLst>
                        <a:ext uri="{28A0092B-C50C-407E-A947-70E740481C1C}">
                          <a14:useLocalDpi xmlns:a14="http://schemas.microsoft.com/office/drawing/2010/main" val="0"/>
                        </a:ext>
                      </a:extLst>
                    </a:blip>
                    <a:srcRect l="6007" t="5948" r="11771" b="3451"/>
                    <a:stretch>
                      <a:fillRect/>
                    </a:stretch>
                  </pic:blipFill>
                  <pic:spPr>
                    <a:xfrm>
                      <a:off x="0" y="0"/>
                      <a:ext cx="4782820" cy="3954145"/>
                    </a:xfrm>
                    <a:prstGeom prst="rect">
                      <a:avLst/>
                    </a:prstGeom>
                    <a:noFill/>
                    <a:ln>
                      <a:noFill/>
                    </a:ln>
                  </pic:spPr>
                </pic:pic>
              </a:graphicData>
            </a:graphic>
          </wp:anchor>
        </w:drawing>
      </w:r>
      <w:r>
        <w:rPr>
          <w:lang w:val="en-US"/>
        </w:rPr>
        <w:t>Atomic layer</w:t>
      </w:r>
      <w:r>
        <w:rPr>
          <w:rFonts w:hint="eastAsia"/>
          <w:lang w:val="en-US"/>
        </w:rPr>
        <w:t xml:space="preserve"> </w:t>
      </w:r>
      <w:r>
        <w:rPr>
          <w:lang w:val="en-US"/>
        </w:rPr>
        <w:t xml:space="preserve">deposition (ALD) </w:t>
      </w:r>
      <w:r>
        <w:rPr>
          <w:rFonts w:hint="eastAsia"/>
          <w:lang w:val="en-US"/>
        </w:rPr>
        <w:t>fabricated</w:t>
      </w:r>
      <w:r>
        <w:rPr>
          <w:lang w:val="en-US"/>
        </w:rPr>
        <w:t xml:space="preserve"> ultrathin Al</w:t>
      </w:r>
      <w:r>
        <w:rPr>
          <w:vertAlign w:val="subscript"/>
          <w:lang w:val="en-US"/>
        </w:rPr>
        <w:t>2</w:t>
      </w:r>
      <w:r>
        <w:rPr>
          <w:lang w:val="en-US"/>
        </w:rPr>
        <w:t>O</w:t>
      </w:r>
      <w:r>
        <w:rPr>
          <w:vertAlign w:val="subscript"/>
          <w:lang w:val="en-US"/>
        </w:rPr>
        <w:t xml:space="preserve">3 </w:t>
      </w:r>
      <w:r>
        <w:rPr>
          <w:rFonts w:hint="eastAsia"/>
          <w:lang w:val="en-US"/>
        </w:rPr>
        <w:t>layer</w:t>
      </w:r>
      <w:r>
        <w:rPr>
          <w:lang w:val="en-US"/>
        </w:rPr>
        <w:t>s are applied to modify the ETLs</w:t>
      </w:r>
      <w:r>
        <w:rPr>
          <w:rFonts w:hint="eastAsia"/>
          <w:lang w:val="en-US"/>
        </w:rPr>
        <w:t>/a</w:t>
      </w:r>
      <w:r>
        <w:rPr>
          <w:lang w:val="en-US"/>
        </w:rPr>
        <w:t>ctive blends (PM6:BTP-BO-4F) interfaces of organic solar cells</w:t>
      </w:r>
      <w:r>
        <w:rPr>
          <w:rFonts w:hint="eastAsia"/>
          <w:lang w:val="en-US"/>
        </w:rPr>
        <w:t>,</w:t>
      </w:r>
      <w:r>
        <w:rPr>
          <w:lang w:val="en-US"/>
        </w:rPr>
        <w:t xml:space="preserve"> </w:t>
      </w:r>
      <w:r>
        <w:rPr>
          <w:rFonts w:hint="eastAsia"/>
          <w:lang w:val="en-US"/>
        </w:rPr>
        <w:t>thus</w:t>
      </w:r>
      <w:r>
        <w:rPr>
          <w:lang w:val="en-US"/>
        </w:rPr>
        <w:t xml:space="preserve"> improving the efficiency and stability of devices.</w:t>
      </w:r>
      <w:r>
        <w:rPr>
          <w:rFonts w:hint="eastAsia"/>
          <w:lang w:val="en-US"/>
        </w:rPr>
        <w:t xml:space="preserve"> </w:t>
      </w:r>
    </w:p>
    <w:sectPr>
      <w:headerReference r:id="rId3" w:type="default"/>
      <w:footerReference r:id="rId4" w:type="default"/>
      <w:pgSz w:w="11906" w:h="16838"/>
      <w:pgMar w:top="1417" w:right="1417" w:bottom="1134" w:left="1417" w:header="708" w:footer="708" w:gutter="0"/>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S Mincho">
    <w:altName w:val="Yu Gothic UI"/>
    <w:panose1 w:val="02020609040205080304"/>
    <w:charset w:val="80"/>
    <w:family w:val="modern"/>
    <w:pitch w:val="default"/>
    <w:sig w:usb0="00000000" w:usb1="00000000" w:usb2="08000012" w:usb3="00000000" w:csb0="0002009F" w:csb1="00000000"/>
  </w:font>
  <w:font w:name="Tahoma">
    <w:panose1 w:val="020B0604030504040204"/>
    <w:charset w:val="00"/>
    <w:family w:val="swiss"/>
    <w:pitch w:val="default"/>
    <w:sig w:usb0="E1002EFF" w:usb1="C000605B" w:usb2="00000029" w:usb3="00000000" w:csb0="200101FF" w:csb1="20280000"/>
  </w:font>
  <w:font w:name="Times">
    <w:altName w:val="Times New Roman"/>
    <w:panose1 w:val="02020603050405020304"/>
    <w:charset w:val="00"/>
    <w:family w:val="roman"/>
    <w:pitch w:val="default"/>
    <w:sig w:usb0="00000000" w:usb1="00000000" w:usb2="00000009" w:usb3="00000000" w:csb0="000001FF" w:csb1="00000000"/>
  </w:font>
  <w:font w:name="等线">
    <w:panose1 w:val="02010600030101010101"/>
    <w:charset w:val="86"/>
    <w:family w:val="auto"/>
    <w:pitch w:val="default"/>
    <w:sig w:usb0="A00002BF" w:usb1="38CF7CFA" w:usb2="00000016" w:usb3="00000000" w:csb0="0004000F" w:csb1="00000000"/>
  </w:font>
  <w:font w:name="MS Gothic">
    <w:panose1 w:val="020B0609070205080204"/>
    <w:charset w:val="80"/>
    <w:family w:val="modern"/>
    <w:pitch w:val="default"/>
    <w:sig w:usb0="E00002FF" w:usb1="6AC7FDFB" w:usb2="08000012" w:usb3="00000000" w:csb0="4002009F" w:csb1="DFD70000"/>
  </w:font>
  <w:font w:name="Cambria Math">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 w:name="Arial Unicode MS">
    <w:altName w:val="宋体"/>
    <w:panose1 w:val="020B0604020202020204"/>
    <w:charset w:val="86"/>
    <w:family w:val="swiss"/>
    <w:pitch w:val="default"/>
    <w:sig w:usb0="00000000" w:usb1="00000000" w:usb2="0000003F" w:usb3="00000000" w:csb0="003F01FF" w:csb1="00000000"/>
  </w:font>
  <w:font w:name="Yu Gothic UI">
    <w:panose1 w:val="020B0500000000000000"/>
    <w:charset w:val="80"/>
    <w:family w:val="auto"/>
    <w:pitch w:val="default"/>
    <w:sig w:usb0="E00002FF" w:usb1="2AC7FDFF" w:usb2="00000016" w:usb3="00000000" w:csb0="2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center"/>
    </w:pPr>
    <w:r>
      <w:fldChar w:fldCharType="begin"/>
    </w:r>
    <w:r>
      <w:instrText xml:space="preserve">PAGE   \* MERGEFORMAT</w:instrText>
    </w:r>
    <w:r>
      <w:fldChar w:fldCharType="separate"/>
    </w:r>
    <w:r>
      <w:t>6</w:t>
    </w:r>
    <w:r>
      <w:fldChar w:fldCharType="end"/>
    </w:r>
  </w:p>
  <w:p>
    <w:pPr>
      <w:pStyle w:val="5"/>
      <w:jc w:val="center"/>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6"/>
      <w:tabs>
        <w:tab w:val="left" w:pos="5003"/>
      </w:tabs>
      <w:jc w:val="right"/>
      <w:rPr>
        <w:lang w:val="en-US"/>
      </w:rPr>
    </w:pPr>
    <w:sdt>
      <w:sdtPr>
        <w:rPr>
          <w:lang w:val="en-US"/>
        </w:rPr>
        <w:id w:val="1704979692"/>
        <w:placeholder>
          <w:docPart w:val="76BB7FD55A43417AAAFFA91FCE3A7E0C"/>
        </w:placeholder>
        <w:temporary/>
        <w:showingPlcHdr/>
        <w15:appearance w15:val="hidden"/>
      </w:sdtPr>
      <w:sdtEndPr>
        <w:rPr>
          <w:lang w:val="en-US"/>
        </w:rPr>
      </w:sdtEndPr>
      <w:sdtContent>
        <w:r>
          <w:rPr>
            <w:lang w:val="en-US"/>
          </w:rPr>
          <w:t>[Type here]</w:t>
        </w:r>
      </w:sdtContent>
    </w:sdt>
    <w:r>
      <w:rPr>
        <w:lang w:val="en-US"/>
      </w:rPr>
      <w:ptab w:relativeTo="margin" w:alignment="center" w:leader="none"/>
    </w:r>
    <w:sdt>
      <w:sdtPr>
        <w:rPr>
          <w:lang w:val="en-US"/>
        </w:rPr>
        <w:id w:val="968859947"/>
        <w:placeholder>
          <w:docPart w:val="76BB7FD55A43417AAAFFA91FCE3A7E0C"/>
        </w:placeholder>
        <w:temporary/>
        <w:showingPlcHdr/>
        <w15:appearance w15:val="hidden"/>
      </w:sdtPr>
      <w:sdtEndPr>
        <w:rPr>
          <w:lang w:val="en-US"/>
        </w:rPr>
      </w:sdtEndPr>
      <w:sdtContent>
        <w:r>
          <w:rPr>
            <w:lang w:val="en-US"/>
          </w:rPr>
          <w:t>[Type here]</w:t>
        </w:r>
      </w:sdtContent>
    </w:sdt>
    <w:r>
      <w:rPr>
        <w:lang w:val="en-US"/>
      </w:rPr>
      <w:ptab w:relativeTo="margin" w:alignment="right" w:leader="none"/>
    </w:r>
    <w:r>
      <w:rPr>
        <w:lang w:val="en-US"/>
      </w:rPr>
      <w:drawing>
        <wp:inline distT="0" distB="0" distL="0" distR="0">
          <wp:extent cx="1026160" cy="41148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184802" cy="475155"/>
                  </a:xfrm>
                  <a:prstGeom prst="rect">
                    <a:avLst/>
                  </a:prstGeom>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hideSpellingErrors/>
  <w:hideGrammaticalError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attachedTemplate r:id="rId1"/>
  <w:documentProtection w:enforcement="0"/>
  <w:defaultTabStop w:val="708"/>
  <w:hyphenationZone w:val="425"/>
  <w:noPunctuationKerning w:val="1"/>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2MjCyNDezMDczsDQHMpR0lIJTi4sz8/NACoxrAQ5pkgEsAAAA"/>
    <w:docVar w:name="commondata" w:val="eyJoZGlkIjoiMjk3YjIyNjM2YzVmNmY5NmRkZmUzYTUyZTEyNzVhODAifQ=="/>
    <w:docVar w:name="EN.InstantFormat" w:val="&lt;ENInstantFormat&gt;&lt;Enabled&gt;1&lt;/Enabled&gt;&lt;ScanUnformatted&gt;1&lt;/ScanUnformatted&gt;&lt;ScanChanges&gt;1&lt;/ScanChanges&gt;&lt;Suspended&gt;0&lt;/Suspended&gt;&lt;/ENInstantFormat&gt;"/>
    <w:docVar w:name="EN.Layout" w:val="&lt;ENLayout&gt;&lt;Style&gt;220312-AM&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item db-id=&quot;aevr25wfc0sr0pewvvkxt0pnv20a2d2z2pdt&quot;&gt;我的EndNote库&lt;record-ids&gt;&lt;item&gt;4098&lt;/item&gt;&lt;item&gt;4099&lt;/item&gt;&lt;item&gt;4100&lt;/item&gt;&lt;item&gt;4102&lt;/item&gt;&lt;item&gt;4103&lt;/item&gt;&lt;item&gt;4111&lt;/item&gt;&lt;item&gt;4142&lt;/item&gt;&lt;item&gt;4143&lt;/item&gt;&lt;item&gt;4144&lt;/item&gt;&lt;item&gt;4145&lt;/item&gt;&lt;item&gt;4146&lt;/item&gt;&lt;item&gt;4147&lt;/item&gt;&lt;item&gt;4151&lt;/item&gt;&lt;item&gt;4163&lt;/item&gt;&lt;item&gt;4164&lt;/item&gt;&lt;item&gt;4165&lt;/item&gt;&lt;item&gt;4166&lt;/item&gt;&lt;item&gt;4168&lt;/item&gt;&lt;item&gt;4170&lt;/item&gt;&lt;item&gt;4171&lt;/item&gt;&lt;item&gt;4173&lt;/item&gt;&lt;item&gt;4175&lt;/item&gt;&lt;item&gt;4176&lt;/item&gt;&lt;item&gt;4177&lt;/item&gt;&lt;item&gt;4179&lt;/item&gt;&lt;item&gt;4181&lt;/item&gt;&lt;item&gt;4182&lt;/item&gt;&lt;item&gt;4183&lt;/item&gt;&lt;item&gt;4184&lt;/item&gt;&lt;item&gt;4186&lt;/item&gt;&lt;item&gt;4187&lt;/item&gt;&lt;item&gt;4190&lt;/item&gt;&lt;item&gt;4191&lt;/item&gt;&lt;item&gt;4192&lt;/item&gt;&lt;item&gt;4195&lt;/item&gt;&lt;item&gt;4197&lt;/item&gt;&lt;item&gt;4198&lt;/item&gt;&lt;item&gt;4199&lt;/item&gt;&lt;item&gt;4200&lt;/item&gt;&lt;item&gt;4201&lt;/item&gt;&lt;item&gt;4202&lt;/item&gt;&lt;item&gt;4203&lt;/item&gt;&lt;item&gt;4204&lt;/item&gt;&lt;item&gt;4205&lt;/item&gt;&lt;item&gt;4206&lt;/item&gt;&lt;item&gt;4207&lt;/item&gt;&lt;item&gt;4208&lt;/item&gt;&lt;item&gt;4209&lt;/item&gt;&lt;item&gt;4211&lt;/item&gt;&lt;item&gt;4233&lt;/item&gt;&lt;item&gt;4250&lt;/item&gt;&lt;item&gt;4251&lt;/item&gt;&lt;item&gt;4336&lt;/item&gt;&lt;item&gt;4337&lt;/item&gt;&lt;/record-ids&gt;&lt;/item&gt;&lt;/Libraries&gt;"/>
  </w:docVars>
  <w:rsids>
    <w:rsidRoot w:val="002D16A0"/>
    <w:rsid w:val="000003BB"/>
    <w:rsid w:val="0000374D"/>
    <w:rsid w:val="00004A23"/>
    <w:rsid w:val="00006A0A"/>
    <w:rsid w:val="0000703E"/>
    <w:rsid w:val="000112FC"/>
    <w:rsid w:val="000118B0"/>
    <w:rsid w:val="00011F40"/>
    <w:rsid w:val="0001454A"/>
    <w:rsid w:val="0001683C"/>
    <w:rsid w:val="000172E7"/>
    <w:rsid w:val="000214A8"/>
    <w:rsid w:val="00023F64"/>
    <w:rsid w:val="00027FB5"/>
    <w:rsid w:val="000314D2"/>
    <w:rsid w:val="0003318F"/>
    <w:rsid w:val="0004094E"/>
    <w:rsid w:val="00040B7B"/>
    <w:rsid w:val="000437F7"/>
    <w:rsid w:val="00050985"/>
    <w:rsid w:val="0005501E"/>
    <w:rsid w:val="00055883"/>
    <w:rsid w:val="0006044D"/>
    <w:rsid w:val="00062324"/>
    <w:rsid w:val="00063C0E"/>
    <w:rsid w:val="00072EA7"/>
    <w:rsid w:val="00076EAD"/>
    <w:rsid w:val="0008287E"/>
    <w:rsid w:val="00083031"/>
    <w:rsid w:val="0008740B"/>
    <w:rsid w:val="000904D3"/>
    <w:rsid w:val="0009309C"/>
    <w:rsid w:val="00093F1B"/>
    <w:rsid w:val="000A1F4B"/>
    <w:rsid w:val="000A21A9"/>
    <w:rsid w:val="000A3E93"/>
    <w:rsid w:val="000A472C"/>
    <w:rsid w:val="000A5773"/>
    <w:rsid w:val="000A682F"/>
    <w:rsid w:val="000A706F"/>
    <w:rsid w:val="000B05A0"/>
    <w:rsid w:val="000B33EE"/>
    <w:rsid w:val="000B4293"/>
    <w:rsid w:val="000C259E"/>
    <w:rsid w:val="000C3E0C"/>
    <w:rsid w:val="000C6252"/>
    <w:rsid w:val="000C6F8A"/>
    <w:rsid w:val="000D2D4B"/>
    <w:rsid w:val="000D45F4"/>
    <w:rsid w:val="000D5AB4"/>
    <w:rsid w:val="000D66DB"/>
    <w:rsid w:val="000D7EBA"/>
    <w:rsid w:val="000E788B"/>
    <w:rsid w:val="000E7A5B"/>
    <w:rsid w:val="000E7BBA"/>
    <w:rsid w:val="000F512F"/>
    <w:rsid w:val="001013F4"/>
    <w:rsid w:val="001054D4"/>
    <w:rsid w:val="0010686C"/>
    <w:rsid w:val="00107C5F"/>
    <w:rsid w:val="00107CCC"/>
    <w:rsid w:val="00110011"/>
    <w:rsid w:val="001105BD"/>
    <w:rsid w:val="00116C82"/>
    <w:rsid w:val="00120E85"/>
    <w:rsid w:val="00123ADA"/>
    <w:rsid w:val="00125573"/>
    <w:rsid w:val="0012642A"/>
    <w:rsid w:val="00126D17"/>
    <w:rsid w:val="001305BF"/>
    <w:rsid w:val="00131D58"/>
    <w:rsid w:val="001370B1"/>
    <w:rsid w:val="001377CA"/>
    <w:rsid w:val="00140B94"/>
    <w:rsid w:val="001450FB"/>
    <w:rsid w:val="0014658A"/>
    <w:rsid w:val="00147DB8"/>
    <w:rsid w:val="00151683"/>
    <w:rsid w:val="0015392F"/>
    <w:rsid w:val="0015563E"/>
    <w:rsid w:val="00155F66"/>
    <w:rsid w:val="0016390D"/>
    <w:rsid w:val="00164057"/>
    <w:rsid w:val="00165B37"/>
    <w:rsid w:val="00170369"/>
    <w:rsid w:val="00173757"/>
    <w:rsid w:val="00174176"/>
    <w:rsid w:val="00181D92"/>
    <w:rsid w:val="001823B6"/>
    <w:rsid w:val="001848EB"/>
    <w:rsid w:val="00187DB9"/>
    <w:rsid w:val="0019077D"/>
    <w:rsid w:val="0019194D"/>
    <w:rsid w:val="001A0100"/>
    <w:rsid w:val="001A4240"/>
    <w:rsid w:val="001A6821"/>
    <w:rsid w:val="001A734D"/>
    <w:rsid w:val="001B4224"/>
    <w:rsid w:val="001B7472"/>
    <w:rsid w:val="001C10AC"/>
    <w:rsid w:val="001C55FB"/>
    <w:rsid w:val="001D12BC"/>
    <w:rsid w:val="001D561D"/>
    <w:rsid w:val="001E18CC"/>
    <w:rsid w:val="001E3D2D"/>
    <w:rsid w:val="001E4605"/>
    <w:rsid w:val="001E5F4E"/>
    <w:rsid w:val="001F2689"/>
    <w:rsid w:val="001F2AB7"/>
    <w:rsid w:val="001F3C9B"/>
    <w:rsid w:val="001F3E77"/>
    <w:rsid w:val="001F4BD1"/>
    <w:rsid w:val="001F5110"/>
    <w:rsid w:val="001F5702"/>
    <w:rsid w:val="001F65A2"/>
    <w:rsid w:val="002002FC"/>
    <w:rsid w:val="00201F71"/>
    <w:rsid w:val="00203934"/>
    <w:rsid w:val="0020446B"/>
    <w:rsid w:val="00204BA7"/>
    <w:rsid w:val="002072AB"/>
    <w:rsid w:val="00210140"/>
    <w:rsid w:val="00211942"/>
    <w:rsid w:val="00214D95"/>
    <w:rsid w:val="00215531"/>
    <w:rsid w:val="002162B2"/>
    <w:rsid w:val="00220933"/>
    <w:rsid w:val="00220C72"/>
    <w:rsid w:val="0022540C"/>
    <w:rsid w:val="00226AA4"/>
    <w:rsid w:val="00233C8A"/>
    <w:rsid w:val="00236036"/>
    <w:rsid w:val="00240D90"/>
    <w:rsid w:val="00253CB1"/>
    <w:rsid w:val="002543F9"/>
    <w:rsid w:val="00257ADD"/>
    <w:rsid w:val="00263723"/>
    <w:rsid w:val="00263CF8"/>
    <w:rsid w:val="00265635"/>
    <w:rsid w:val="00266389"/>
    <w:rsid w:val="002675F7"/>
    <w:rsid w:val="002725A5"/>
    <w:rsid w:val="0027314F"/>
    <w:rsid w:val="0028289F"/>
    <w:rsid w:val="00284157"/>
    <w:rsid w:val="00285631"/>
    <w:rsid w:val="00290D94"/>
    <w:rsid w:val="0029203C"/>
    <w:rsid w:val="00294873"/>
    <w:rsid w:val="002A4A81"/>
    <w:rsid w:val="002A73A2"/>
    <w:rsid w:val="002A7CE8"/>
    <w:rsid w:val="002B0671"/>
    <w:rsid w:val="002B262F"/>
    <w:rsid w:val="002B3553"/>
    <w:rsid w:val="002B5E06"/>
    <w:rsid w:val="002C0CFF"/>
    <w:rsid w:val="002D09B9"/>
    <w:rsid w:val="002D16A0"/>
    <w:rsid w:val="002D2930"/>
    <w:rsid w:val="002D2DFF"/>
    <w:rsid w:val="002D5BF8"/>
    <w:rsid w:val="002D7ECC"/>
    <w:rsid w:val="002E1B8F"/>
    <w:rsid w:val="002E2DEF"/>
    <w:rsid w:val="002E4E3E"/>
    <w:rsid w:val="002E76B2"/>
    <w:rsid w:val="002E79A2"/>
    <w:rsid w:val="002F4F4B"/>
    <w:rsid w:val="002F55FD"/>
    <w:rsid w:val="002F594C"/>
    <w:rsid w:val="00301984"/>
    <w:rsid w:val="00301B0B"/>
    <w:rsid w:val="00301E84"/>
    <w:rsid w:val="00302E7A"/>
    <w:rsid w:val="00303D1B"/>
    <w:rsid w:val="003046B7"/>
    <w:rsid w:val="00317A57"/>
    <w:rsid w:val="00320A99"/>
    <w:rsid w:val="0032144B"/>
    <w:rsid w:val="00322D5B"/>
    <w:rsid w:val="00325AC2"/>
    <w:rsid w:val="00326A1C"/>
    <w:rsid w:val="00327FDC"/>
    <w:rsid w:val="003360E3"/>
    <w:rsid w:val="003371D5"/>
    <w:rsid w:val="003376CD"/>
    <w:rsid w:val="003452C3"/>
    <w:rsid w:val="003501A7"/>
    <w:rsid w:val="0035048A"/>
    <w:rsid w:val="0036263B"/>
    <w:rsid w:val="00363B62"/>
    <w:rsid w:val="003645B0"/>
    <w:rsid w:val="00364B2C"/>
    <w:rsid w:val="003664F1"/>
    <w:rsid w:val="00367E3F"/>
    <w:rsid w:val="00377EA5"/>
    <w:rsid w:val="00377F77"/>
    <w:rsid w:val="00383073"/>
    <w:rsid w:val="0038438F"/>
    <w:rsid w:val="00387C67"/>
    <w:rsid w:val="00387D98"/>
    <w:rsid w:val="00390B0F"/>
    <w:rsid w:val="00390B38"/>
    <w:rsid w:val="00390B6B"/>
    <w:rsid w:val="00391CFE"/>
    <w:rsid w:val="0039353B"/>
    <w:rsid w:val="00394F9E"/>
    <w:rsid w:val="00395426"/>
    <w:rsid w:val="00395B91"/>
    <w:rsid w:val="00396615"/>
    <w:rsid w:val="0039700D"/>
    <w:rsid w:val="00397089"/>
    <w:rsid w:val="003978A8"/>
    <w:rsid w:val="003A0F30"/>
    <w:rsid w:val="003A4C44"/>
    <w:rsid w:val="003A5AD0"/>
    <w:rsid w:val="003A6CE3"/>
    <w:rsid w:val="003A7899"/>
    <w:rsid w:val="003B15EE"/>
    <w:rsid w:val="003B517D"/>
    <w:rsid w:val="003B60EC"/>
    <w:rsid w:val="003C00ED"/>
    <w:rsid w:val="003C1C0A"/>
    <w:rsid w:val="003C35DF"/>
    <w:rsid w:val="003C4A68"/>
    <w:rsid w:val="003C554F"/>
    <w:rsid w:val="003C61DD"/>
    <w:rsid w:val="003D63E7"/>
    <w:rsid w:val="003E05F1"/>
    <w:rsid w:val="003E113B"/>
    <w:rsid w:val="003E5092"/>
    <w:rsid w:val="003E715D"/>
    <w:rsid w:val="003F103E"/>
    <w:rsid w:val="003F2E48"/>
    <w:rsid w:val="003F440C"/>
    <w:rsid w:val="003F525A"/>
    <w:rsid w:val="003F7BE6"/>
    <w:rsid w:val="004006A9"/>
    <w:rsid w:val="004052AE"/>
    <w:rsid w:val="004118A5"/>
    <w:rsid w:val="00413672"/>
    <w:rsid w:val="00414041"/>
    <w:rsid w:val="00414465"/>
    <w:rsid w:val="00414729"/>
    <w:rsid w:val="00414C80"/>
    <w:rsid w:val="00414F4B"/>
    <w:rsid w:val="00415EF9"/>
    <w:rsid w:val="00416629"/>
    <w:rsid w:val="00417DA1"/>
    <w:rsid w:val="00423478"/>
    <w:rsid w:val="00425B76"/>
    <w:rsid w:val="004260A2"/>
    <w:rsid w:val="00426FC6"/>
    <w:rsid w:val="004273BC"/>
    <w:rsid w:val="00427C5F"/>
    <w:rsid w:val="004507E5"/>
    <w:rsid w:val="004519AD"/>
    <w:rsid w:val="0045459A"/>
    <w:rsid w:val="004545DB"/>
    <w:rsid w:val="0045786A"/>
    <w:rsid w:val="00460F76"/>
    <w:rsid w:val="00462F12"/>
    <w:rsid w:val="00463050"/>
    <w:rsid w:val="0046340F"/>
    <w:rsid w:val="00466168"/>
    <w:rsid w:val="004714D4"/>
    <w:rsid w:val="00475712"/>
    <w:rsid w:val="00480CCE"/>
    <w:rsid w:val="00482FAA"/>
    <w:rsid w:val="0049075F"/>
    <w:rsid w:val="00492DA8"/>
    <w:rsid w:val="004A0888"/>
    <w:rsid w:val="004A3B48"/>
    <w:rsid w:val="004A43B6"/>
    <w:rsid w:val="004A70EE"/>
    <w:rsid w:val="004A774E"/>
    <w:rsid w:val="004A7D3E"/>
    <w:rsid w:val="004A7FF9"/>
    <w:rsid w:val="004B379D"/>
    <w:rsid w:val="004B5F0C"/>
    <w:rsid w:val="004B6031"/>
    <w:rsid w:val="004C046E"/>
    <w:rsid w:val="004C1609"/>
    <w:rsid w:val="004C216B"/>
    <w:rsid w:val="004C5DD3"/>
    <w:rsid w:val="004D30F9"/>
    <w:rsid w:val="004D4A32"/>
    <w:rsid w:val="004D64AB"/>
    <w:rsid w:val="004E7CE8"/>
    <w:rsid w:val="004F271D"/>
    <w:rsid w:val="004F5114"/>
    <w:rsid w:val="004F756C"/>
    <w:rsid w:val="005001FA"/>
    <w:rsid w:val="005019AF"/>
    <w:rsid w:val="0050488D"/>
    <w:rsid w:val="00504D12"/>
    <w:rsid w:val="0050527A"/>
    <w:rsid w:val="0050535A"/>
    <w:rsid w:val="00511192"/>
    <w:rsid w:val="005118AD"/>
    <w:rsid w:val="00512353"/>
    <w:rsid w:val="005220C2"/>
    <w:rsid w:val="00522E88"/>
    <w:rsid w:val="00523369"/>
    <w:rsid w:val="0052398F"/>
    <w:rsid w:val="00532960"/>
    <w:rsid w:val="00545A73"/>
    <w:rsid w:val="00546DEB"/>
    <w:rsid w:val="00546F0F"/>
    <w:rsid w:val="0054711B"/>
    <w:rsid w:val="005477E7"/>
    <w:rsid w:val="00550159"/>
    <w:rsid w:val="00551897"/>
    <w:rsid w:val="00551FFD"/>
    <w:rsid w:val="00552A0F"/>
    <w:rsid w:val="005551ED"/>
    <w:rsid w:val="00556419"/>
    <w:rsid w:val="005572B4"/>
    <w:rsid w:val="005572DD"/>
    <w:rsid w:val="00560564"/>
    <w:rsid w:val="00562E2B"/>
    <w:rsid w:val="00564668"/>
    <w:rsid w:val="00570353"/>
    <w:rsid w:val="005715F5"/>
    <w:rsid w:val="0057171E"/>
    <w:rsid w:val="00571EEC"/>
    <w:rsid w:val="00572666"/>
    <w:rsid w:val="0057267E"/>
    <w:rsid w:val="005726BD"/>
    <w:rsid w:val="00574A5A"/>
    <w:rsid w:val="005753B8"/>
    <w:rsid w:val="00583ED5"/>
    <w:rsid w:val="00587437"/>
    <w:rsid w:val="00592678"/>
    <w:rsid w:val="00594644"/>
    <w:rsid w:val="0059526F"/>
    <w:rsid w:val="00596F36"/>
    <w:rsid w:val="005A1741"/>
    <w:rsid w:val="005A235F"/>
    <w:rsid w:val="005A751F"/>
    <w:rsid w:val="005A7719"/>
    <w:rsid w:val="005A77C2"/>
    <w:rsid w:val="005B291B"/>
    <w:rsid w:val="005B73E2"/>
    <w:rsid w:val="005B76C5"/>
    <w:rsid w:val="005B7AF0"/>
    <w:rsid w:val="005B7B8A"/>
    <w:rsid w:val="005C09C6"/>
    <w:rsid w:val="005C458D"/>
    <w:rsid w:val="005C491E"/>
    <w:rsid w:val="005C5E0A"/>
    <w:rsid w:val="005C6C0C"/>
    <w:rsid w:val="005D2276"/>
    <w:rsid w:val="005D25FD"/>
    <w:rsid w:val="005D2808"/>
    <w:rsid w:val="005E0858"/>
    <w:rsid w:val="005E2794"/>
    <w:rsid w:val="005E3CBF"/>
    <w:rsid w:val="005E6F9D"/>
    <w:rsid w:val="005E7B5A"/>
    <w:rsid w:val="005F01FC"/>
    <w:rsid w:val="005F0C89"/>
    <w:rsid w:val="005F3701"/>
    <w:rsid w:val="005F41DF"/>
    <w:rsid w:val="005F4521"/>
    <w:rsid w:val="005F5478"/>
    <w:rsid w:val="006006FC"/>
    <w:rsid w:val="006045BA"/>
    <w:rsid w:val="0060583A"/>
    <w:rsid w:val="00611649"/>
    <w:rsid w:val="00611A0E"/>
    <w:rsid w:val="00614154"/>
    <w:rsid w:val="00614BD3"/>
    <w:rsid w:val="006164B8"/>
    <w:rsid w:val="00623A77"/>
    <w:rsid w:val="006256F5"/>
    <w:rsid w:val="0063097B"/>
    <w:rsid w:val="006364B8"/>
    <w:rsid w:val="00636A64"/>
    <w:rsid w:val="00636B93"/>
    <w:rsid w:val="00640550"/>
    <w:rsid w:val="0064326A"/>
    <w:rsid w:val="00644D5D"/>
    <w:rsid w:val="00646DC7"/>
    <w:rsid w:val="006511FB"/>
    <w:rsid w:val="00651A9D"/>
    <w:rsid w:val="00656092"/>
    <w:rsid w:val="0065741C"/>
    <w:rsid w:val="00660B85"/>
    <w:rsid w:val="00662DCE"/>
    <w:rsid w:val="006637AD"/>
    <w:rsid w:val="00664F6D"/>
    <w:rsid w:val="006650B8"/>
    <w:rsid w:val="00666329"/>
    <w:rsid w:val="006672EE"/>
    <w:rsid w:val="0067011F"/>
    <w:rsid w:val="0067015E"/>
    <w:rsid w:val="00675370"/>
    <w:rsid w:val="00680453"/>
    <w:rsid w:val="00682526"/>
    <w:rsid w:val="00683555"/>
    <w:rsid w:val="00686F1D"/>
    <w:rsid w:val="00692F7A"/>
    <w:rsid w:val="00695E06"/>
    <w:rsid w:val="00696315"/>
    <w:rsid w:val="006A0D51"/>
    <w:rsid w:val="006A1C05"/>
    <w:rsid w:val="006A225B"/>
    <w:rsid w:val="006A30D2"/>
    <w:rsid w:val="006A5A6A"/>
    <w:rsid w:val="006A5FE3"/>
    <w:rsid w:val="006B1B07"/>
    <w:rsid w:val="006B23B2"/>
    <w:rsid w:val="006B4845"/>
    <w:rsid w:val="006B635C"/>
    <w:rsid w:val="006C1708"/>
    <w:rsid w:val="006C1C29"/>
    <w:rsid w:val="006C3782"/>
    <w:rsid w:val="006C3CDE"/>
    <w:rsid w:val="006C4745"/>
    <w:rsid w:val="006D0EE8"/>
    <w:rsid w:val="006D3162"/>
    <w:rsid w:val="006D37E7"/>
    <w:rsid w:val="006D5146"/>
    <w:rsid w:val="006D59D6"/>
    <w:rsid w:val="006D5C04"/>
    <w:rsid w:val="006D7508"/>
    <w:rsid w:val="006E0F2F"/>
    <w:rsid w:val="006E19D7"/>
    <w:rsid w:val="006E71B9"/>
    <w:rsid w:val="006F39B2"/>
    <w:rsid w:val="006F5384"/>
    <w:rsid w:val="006F6604"/>
    <w:rsid w:val="006F71D8"/>
    <w:rsid w:val="006F7D1A"/>
    <w:rsid w:val="0070346C"/>
    <w:rsid w:val="007051A0"/>
    <w:rsid w:val="00706496"/>
    <w:rsid w:val="00711A12"/>
    <w:rsid w:val="00711F11"/>
    <w:rsid w:val="007154C4"/>
    <w:rsid w:val="00715DB9"/>
    <w:rsid w:val="007218A0"/>
    <w:rsid w:val="007238AF"/>
    <w:rsid w:val="00726908"/>
    <w:rsid w:val="007270C7"/>
    <w:rsid w:val="00730F3A"/>
    <w:rsid w:val="00735F34"/>
    <w:rsid w:val="00736944"/>
    <w:rsid w:val="00741200"/>
    <w:rsid w:val="00741333"/>
    <w:rsid w:val="00742FF2"/>
    <w:rsid w:val="00744D6A"/>
    <w:rsid w:val="00746138"/>
    <w:rsid w:val="0074620A"/>
    <w:rsid w:val="00751D50"/>
    <w:rsid w:val="007527D5"/>
    <w:rsid w:val="00752F3C"/>
    <w:rsid w:val="007561FC"/>
    <w:rsid w:val="00761D34"/>
    <w:rsid w:val="00762D2D"/>
    <w:rsid w:val="00764622"/>
    <w:rsid w:val="00764CAD"/>
    <w:rsid w:val="00770FA1"/>
    <w:rsid w:val="00773884"/>
    <w:rsid w:val="007740A1"/>
    <w:rsid w:val="00774813"/>
    <w:rsid w:val="0078052A"/>
    <w:rsid w:val="007812FB"/>
    <w:rsid w:val="00784032"/>
    <w:rsid w:val="00786E79"/>
    <w:rsid w:val="00787925"/>
    <w:rsid w:val="00790E31"/>
    <w:rsid w:val="00793B87"/>
    <w:rsid w:val="0079566E"/>
    <w:rsid w:val="00796509"/>
    <w:rsid w:val="0079691E"/>
    <w:rsid w:val="00797723"/>
    <w:rsid w:val="007B1EEE"/>
    <w:rsid w:val="007B249B"/>
    <w:rsid w:val="007B6D4D"/>
    <w:rsid w:val="007B7A09"/>
    <w:rsid w:val="007C0F7A"/>
    <w:rsid w:val="007D24A9"/>
    <w:rsid w:val="007D27FA"/>
    <w:rsid w:val="007D30B5"/>
    <w:rsid w:val="007D6218"/>
    <w:rsid w:val="007D6699"/>
    <w:rsid w:val="007D7E30"/>
    <w:rsid w:val="007E6419"/>
    <w:rsid w:val="007F6815"/>
    <w:rsid w:val="007F6BA8"/>
    <w:rsid w:val="0080681B"/>
    <w:rsid w:val="0080738C"/>
    <w:rsid w:val="00810B77"/>
    <w:rsid w:val="00817436"/>
    <w:rsid w:val="0082542D"/>
    <w:rsid w:val="00827834"/>
    <w:rsid w:val="00832835"/>
    <w:rsid w:val="00835110"/>
    <w:rsid w:val="008351FC"/>
    <w:rsid w:val="00841F50"/>
    <w:rsid w:val="00843A0E"/>
    <w:rsid w:val="00845DFE"/>
    <w:rsid w:val="00846E17"/>
    <w:rsid w:val="00850AE0"/>
    <w:rsid w:val="00854283"/>
    <w:rsid w:val="008573E3"/>
    <w:rsid w:val="00861E81"/>
    <w:rsid w:val="008645FF"/>
    <w:rsid w:val="00866D42"/>
    <w:rsid w:val="0087030E"/>
    <w:rsid w:val="00870AAC"/>
    <w:rsid w:val="00870E79"/>
    <w:rsid w:val="008734F7"/>
    <w:rsid w:val="00874E9F"/>
    <w:rsid w:val="00877842"/>
    <w:rsid w:val="008806F8"/>
    <w:rsid w:val="008808E2"/>
    <w:rsid w:val="00881456"/>
    <w:rsid w:val="00881ACB"/>
    <w:rsid w:val="00885FC9"/>
    <w:rsid w:val="00891328"/>
    <w:rsid w:val="00891A47"/>
    <w:rsid w:val="00892809"/>
    <w:rsid w:val="0089370F"/>
    <w:rsid w:val="008939AF"/>
    <w:rsid w:val="00893FED"/>
    <w:rsid w:val="0089449A"/>
    <w:rsid w:val="00895E48"/>
    <w:rsid w:val="00896687"/>
    <w:rsid w:val="008971F4"/>
    <w:rsid w:val="008A0E7D"/>
    <w:rsid w:val="008A3023"/>
    <w:rsid w:val="008A403F"/>
    <w:rsid w:val="008A6815"/>
    <w:rsid w:val="008B1031"/>
    <w:rsid w:val="008B2303"/>
    <w:rsid w:val="008B34A0"/>
    <w:rsid w:val="008B5740"/>
    <w:rsid w:val="008B6099"/>
    <w:rsid w:val="008C0B84"/>
    <w:rsid w:val="008C41DA"/>
    <w:rsid w:val="008C553A"/>
    <w:rsid w:val="008C588E"/>
    <w:rsid w:val="008C7226"/>
    <w:rsid w:val="008D7B80"/>
    <w:rsid w:val="008E4184"/>
    <w:rsid w:val="008E549F"/>
    <w:rsid w:val="008E6301"/>
    <w:rsid w:val="008F10BC"/>
    <w:rsid w:val="008F2052"/>
    <w:rsid w:val="008F26ED"/>
    <w:rsid w:val="008F2A38"/>
    <w:rsid w:val="008F3012"/>
    <w:rsid w:val="008F592B"/>
    <w:rsid w:val="00901D14"/>
    <w:rsid w:val="00903775"/>
    <w:rsid w:val="009109F7"/>
    <w:rsid w:val="0091152C"/>
    <w:rsid w:val="00912137"/>
    <w:rsid w:val="00915BED"/>
    <w:rsid w:val="00916B64"/>
    <w:rsid w:val="0092145D"/>
    <w:rsid w:val="009245DE"/>
    <w:rsid w:val="00930762"/>
    <w:rsid w:val="00930C0C"/>
    <w:rsid w:val="00936B81"/>
    <w:rsid w:val="00940C2B"/>
    <w:rsid w:val="00944701"/>
    <w:rsid w:val="00950ED1"/>
    <w:rsid w:val="00952A7A"/>
    <w:rsid w:val="0095444E"/>
    <w:rsid w:val="00955C67"/>
    <w:rsid w:val="00957B65"/>
    <w:rsid w:val="00960AFF"/>
    <w:rsid w:val="00963F62"/>
    <w:rsid w:val="00965EFC"/>
    <w:rsid w:val="009762D2"/>
    <w:rsid w:val="009762F1"/>
    <w:rsid w:val="0097692D"/>
    <w:rsid w:val="009776D2"/>
    <w:rsid w:val="00977EA8"/>
    <w:rsid w:val="0098140D"/>
    <w:rsid w:val="00981CED"/>
    <w:rsid w:val="00987225"/>
    <w:rsid w:val="00990870"/>
    <w:rsid w:val="00990DCF"/>
    <w:rsid w:val="009920F5"/>
    <w:rsid w:val="00992B56"/>
    <w:rsid w:val="00992CDA"/>
    <w:rsid w:val="00993342"/>
    <w:rsid w:val="00996CE4"/>
    <w:rsid w:val="009A0FB3"/>
    <w:rsid w:val="009A3F36"/>
    <w:rsid w:val="009A48D8"/>
    <w:rsid w:val="009A6C59"/>
    <w:rsid w:val="009A7878"/>
    <w:rsid w:val="009B0888"/>
    <w:rsid w:val="009B33DF"/>
    <w:rsid w:val="009B4270"/>
    <w:rsid w:val="009B44CC"/>
    <w:rsid w:val="009B5651"/>
    <w:rsid w:val="009B62E4"/>
    <w:rsid w:val="009C4319"/>
    <w:rsid w:val="009D0238"/>
    <w:rsid w:val="009D109E"/>
    <w:rsid w:val="009D1CD9"/>
    <w:rsid w:val="009D1F28"/>
    <w:rsid w:val="009D4830"/>
    <w:rsid w:val="009D797A"/>
    <w:rsid w:val="009E026A"/>
    <w:rsid w:val="009E3B56"/>
    <w:rsid w:val="009E3CE3"/>
    <w:rsid w:val="009E49B5"/>
    <w:rsid w:val="009E551E"/>
    <w:rsid w:val="009E7066"/>
    <w:rsid w:val="009F1EF8"/>
    <w:rsid w:val="009F4604"/>
    <w:rsid w:val="009F4B78"/>
    <w:rsid w:val="009F606B"/>
    <w:rsid w:val="009F6E66"/>
    <w:rsid w:val="00A02AC3"/>
    <w:rsid w:val="00A06840"/>
    <w:rsid w:val="00A06EAD"/>
    <w:rsid w:val="00A1293C"/>
    <w:rsid w:val="00A14F9B"/>
    <w:rsid w:val="00A167F1"/>
    <w:rsid w:val="00A2085F"/>
    <w:rsid w:val="00A20EC0"/>
    <w:rsid w:val="00A2150B"/>
    <w:rsid w:val="00A215D9"/>
    <w:rsid w:val="00A2292C"/>
    <w:rsid w:val="00A23F7E"/>
    <w:rsid w:val="00A23FC3"/>
    <w:rsid w:val="00A25F1B"/>
    <w:rsid w:val="00A3288D"/>
    <w:rsid w:val="00A329DC"/>
    <w:rsid w:val="00A41135"/>
    <w:rsid w:val="00A41FEB"/>
    <w:rsid w:val="00A44DA6"/>
    <w:rsid w:val="00A50921"/>
    <w:rsid w:val="00A5160D"/>
    <w:rsid w:val="00A56CA4"/>
    <w:rsid w:val="00A65F04"/>
    <w:rsid w:val="00A65F2E"/>
    <w:rsid w:val="00A71AD5"/>
    <w:rsid w:val="00A8073E"/>
    <w:rsid w:val="00A80883"/>
    <w:rsid w:val="00A81BED"/>
    <w:rsid w:val="00A82FC6"/>
    <w:rsid w:val="00A92270"/>
    <w:rsid w:val="00AA10AE"/>
    <w:rsid w:val="00AA329F"/>
    <w:rsid w:val="00AA7B6A"/>
    <w:rsid w:val="00AB593E"/>
    <w:rsid w:val="00AB5D37"/>
    <w:rsid w:val="00AB683F"/>
    <w:rsid w:val="00AC4A2E"/>
    <w:rsid w:val="00AC53D0"/>
    <w:rsid w:val="00AD1885"/>
    <w:rsid w:val="00AD326E"/>
    <w:rsid w:val="00AD50BA"/>
    <w:rsid w:val="00AE02E7"/>
    <w:rsid w:val="00AE0F75"/>
    <w:rsid w:val="00AE319E"/>
    <w:rsid w:val="00AE3B2C"/>
    <w:rsid w:val="00AE3B4E"/>
    <w:rsid w:val="00AE676F"/>
    <w:rsid w:val="00AE709C"/>
    <w:rsid w:val="00AE7DD9"/>
    <w:rsid w:val="00AF2B38"/>
    <w:rsid w:val="00B004C1"/>
    <w:rsid w:val="00B0168B"/>
    <w:rsid w:val="00B03458"/>
    <w:rsid w:val="00B04B8E"/>
    <w:rsid w:val="00B1072F"/>
    <w:rsid w:val="00B15820"/>
    <w:rsid w:val="00B215D8"/>
    <w:rsid w:val="00B2218A"/>
    <w:rsid w:val="00B246ED"/>
    <w:rsid w:val="00B26DD0"/>
    <w:rsid w:val="00B338C8"/>
    <w:rsid w:val="00B341CC"/>
    <w:rsid w:val="00B35321"/>
    <w:rsid w:val="00B35505"/>
    <w:rsid w:val="00B35CB3"/>
    <w:rsid w:val="00B35E0A"/>
    <w:rsid w:val="00B40124"/>
    <w:rsid w:val="00B40B86"/>
    <w:rsid w:val="00B42E03"/>
    <w:rsid w:val="00B443E2"/>
    <w:rsid w:val="00B46222"/>
    <w:rsid w:val="00B54092"/>
    <w:rsid w:val="00B5444C"/>
    <w:rsid w:val="00B5568B"/>
    <w:rsid w:val="00B557BF"/>
    <w:rsid w:val="00B55BD6"/>
    <w:rsid w:val="00B56147"/>
    <w:rsid w:val="00B5720A"/>
    <w:rsid w:val="00B604A0"/>
    <w:rsid w:val="00B60761"/>
    <w:rsid w:val="00B61BAE"/>
    <w:rsid w:val="00B620A5"/>
    <w:rsid w:val="00B62BB1"/>
    <w:rsid w:val="00B63559"/>
    <w:rsid w:val="00B73979"/>
    <w:rsid w:val="00B751B0"/>
    <w:rsid w:val="00B762E0"/>
    <w:rsid w:val="00B83E87"/>
    <w:rsid w:val="00B86C54"/>
    <w:rsid w:val="00B874C4"/>
    <w:rsid w:val="00B8751C"/>
    <w:rsid w:val="00B97AA2"/>
    <w:rsid w:val="00B97B8E"/>
    <w:rsid w:val="00BA00A8"/>
    <w:rsid w:val="00BA0378"/>
    <w:rsid w:val="00BA37A4"/>
    <w:rsid w:val="00BA4FB0"/>
    <w:rsid w:val="00BA6138"/>
    <w:rsid w:val="00BB1930"/>
    <w:rsid w:val="00BB3478"/>
    <w:rsid w:val="00BC2247"/>
    <w:rsid w:val="00BC5572"/>
    <w:rsid w:val="00BD497C"/>
    <w:rsid w:val="00BD57EE"/>
    <w:rsid w:val="00BE4E8A"/>
    <w:rsid w:val="00BF2A79"/>
    <w:rsid w:val="00BF375F"/>
    <w:rsid w:val="00C02372"/>
    <w:rsid w:val="00C044C3"/>
    <w:rsid w:val="00C10453"/>
    <w:rsid w:val="00C13BCA"/>
    <w:rsid w:val="00C141B9"/>
    <w:rsid w:val="00C158CF"/>
    <w:rsid w:val="00C16518"/>
    <w:rsid w:val="00C1787D"/>
    <w:rsid w:val="00C20F14"/>
    <w:rsid w:val="00C22B7C"/>
    <w:rsid w:val="00C23B8E"/>
    <w:rsid w:val="00C3184D"/>
    <w:rsid w:val="00C331FD"/>
    <w:rsid w:val="00C34DCB"/>
    <w:rsid w:val="00C36D0C"/>
    <w:rsid w:val="00C3708D"/>
    <w:rsid w:val="00C4138A"/>
    <w:rsid w:val="00C440B4"/>
    <w:rsid w:val="00C446F9"/>
    <w:rsid w:val="00C462CB"/>
    <w:rsid w:val="00C46F39"/>
    <w:rsid w:val="00C47AFE"/>
    <w:rsid w:val="00C5067F"/>
    <w:rsid w:val="00C515C3"/>
    <w:rsid w:val="00C51AA2"/>
    <w:rsid w:val="00C52E43"/>
    <w:rsid w:val="00C56CD4"/>
    <w:rsid w:val="00C609C3"/>
    <w:rsid w:val="00C60E16"/>
    <w:rsid w:val="00C65E4E"/>
    <w:rsid w:val="00C66610"/>
    <w:rsid w:val="00C66648"/>
    <w:rsid w:val="00C66FEF"/>
    <w:rsid w:val="00C70CB4"/>
    <w:rsid w:val="00C727A7"/>
    <w:rsid w:val="00C728D5"/>
    <w:rsid w:val="00C75119"/>
    <w:rsid w:val="00C76DD6"/>
    <w:rsid w:val="00C90B62"/>
    <w:rsid w:val="00C91C08"/>
    <w:rsid w:val="00C97F0E"/>
    <w:rsid w:val="00CA06AC"/>
    <w:rsid w:val="00CA1D9E"/>
    <w:rsid w:val="00CA242A"/>
    <w:rsid w:val="00CA27BD"/>
    <w:rsid w:val="00CA2AB6"/>
    <w:rsid w:val="00CA4BCC"/>
    <w:rsid w:val="00CB01D6"/>
    <w:rsid w:val="00CB1A70"/>
    <w:rsid w:val="00CB311E"/>
    <w:rsid w:val="00CB71E1"/>
    <w:rsid w:val="00CC0ED3"/>
    <w:rsid w:val="00CC1894"/>
    <w:rsid w:val="00CC2EE2"/>
    <w:rsid w:val="00CC3D03"/>
    <w:rsid w:val="00CC45DB"/>
    <w:rsid w:val="00CC73FF"/>
    <w:rsid w:val="00CD141E"/>
    <w:rsid w:val="00CD45DA"/>
    <w:rsid w:val="00CE1C8E"/>
    <w:rsid w:val="00CE2EA4"/>
    <w:rsid w:val="00CE5714"/>
    <w:rsid w:val="00CE6138"/>
    <w:rsid w:val="00CE6F59"/>
    <w:rsid w:val="00CE7AAB"/>
    <w:rsid w:val="00CF2673"/>
    <w:rsid w:val="00CF2DA1"/>
    <w:rsid w:val="00CF43B1"/>
    <w:rsid w:val="00D0614B"/>
    <w:rsid w:val="00D06AD1"/>
    <w:rsid w:val="00D17549"/>
    <w:rsid w:val="00D24D97"/>
    <w:rsid w:val="00D275F5"/>
    <w:rsid w:val="00D376F1"/>
    <w:rsid w:val="00D43CA8"/>
    <w:rsid w:val="00D4523D"/>
    <w:rsid w:val="00D4593F"/>
    <w:rsid w:val="00D45BD4"/>
    <w:rsid w:val="00D4775B"/>
    <w:rsid w:val="00D47AB8"/>
    <w:rsid w:val="00D55D94"/>
    <w:rsid w:val="00D56566"/>
    <w:rsid w:val="00D647A4"/>
    <w:rsid w:val="00D6487A"/>
    <w:rsid w:val="00D648BB"/>
    <w:rsid w:val="00D64E04"/>
    <w:rsid w:val="00D65A5E"/>
    <w:rsid w:val="00D669D1"/>
    <w:rsid w:val="00D7049A"/>
    <w:rsid w:val="00D704F6"/>
    <w:rsid w:val="00D722B1"/>
    <w:rsid w:val="00D74A82"/>
    <w:rsid w:val="00D753F6"/>
    <w:rsid w:val="00D7737D"/>
    <w:rsid w:val="00D80897"/>
    <w:rsid w:val="00D81375"/>
    <w:rsid w:val="00D8540E"/>
    <w:rsid w:val="00D85C4D"/>
    <w:rsid w:val="00D8730B"/>
    <w:rsid w:val="00D9072A"/>
    <w:rsid w:val="00D94852"/>
    <w:rsid w:val="00DA039C"/>
    <w:rsid w:val="00DA10B4"/>
    <w:rsid w:val="00DA6EBE"/>
    <w:rsid w:val="00DB27CC"/>
    <w:rsid w:val="00DB2A54"/>
    <w:rsid w:val="00DB4EF9"/>
    <w:rsid w:val="00DC29FE"/>
    <w:rsid w:val="00DC430C"/>
    <w:rsid w:val="00DC60FB"/>
    <w:rsid w:val="00DC7319"/>
    <w:rsid w:val="00DC742E"/>
    <w:rsid w:val="00DD38DC"/>
    <w:rsid w:val="00DD63FF"/>
    <w:rsid w:val="00DF1BBF"/>
    <w:rsid w:val="00DF3145"/>
    <w:rsid w:val="00DF4B0E"/>
    <w:rsid w:val="00E01E4B"/>
    <w:rsid w:val="00E062B0"/>
    <w:rsid w:val="00E0711E"/>
    <w:rsid w:val="00E0770C"/>
    <w:rsid w:val="00E14DFA"/>
    <w:rsid w:val="00E17EA5"/>
    <w:rsid w:val="00E229DB"/>
    <w:rsid w:val="00E2571A"/>
    <w:rsid w:val="00E26EDC"/>
    <w:rsid w:val="00E2713C"/>
    <w:rsid w:val="00E30B42"/>
    <w:rsid w:val="00E342D7"/>
    <w:rsid w:val="00E35C26"/>
    <w:rsid w:val="00E410EA"/>
    <w:rsid w:val="00E41D5C"/>
    <w:rsid w:val="00E437F7"/>
    <w:rsid w:val="00E4471E"/>
    <w:rsid w:val="00E529F9"/>
    <w:rsid w:val="00E55017"/>
    <w:rsid w:val="00E55416"/>
    <w:rsid w:val="00E557D1"/>
    <w:rsid w:val="00E56282"/>
    <w:rsid w:val="00E616BF"/>
    <w:rsid w:val="00E658AA"/>
    <w:rsid w:val="00E6656A"/>
    <w:rsid w:val="00E70D30"/>
    <w:rsid w:val="00E716BA"/>
    <w:rsid w:val="00E75977"/>
    <w:rsid w:val="00E76431"/>
    <w:rsid w:val="00E7686D"/>
    <w:rsid w:val="00E813BA"/>
    <w:rsid w:val="00E8590C"/>
    <w:rsid w:val="00E85F76"/>
    <w:rsid w:val="00E927CC"/>
    <w:rsid w:val="00E93590"/>
    <w:rsid w:val="00E94506"/>
    <w:rsid w:val="00E95A7B"/>
    <w:rsid w:val="00E969E9"/>
    <w:rsid w:val="00EA01A0"/>
    <w:rsid w:val="00EA155A"/>
    <w:rsid w:val="00EA24D4"/>
    <w:rsid w:val="00EA2851"/>
    <w:rsid w:val="00EA3515"/>
    <w:rsid w:val="00EA55FE"/>
    <w:rsid w:val="00EB0B4F"/>
    <w:rsid w:val="00EB1B59"/>
    <w:rsid w:val="00EB4384"/>
    <w:rsid w:val="00EB6065"/>
    <w:rsid w:val="00EC0826"/>
    <w:rsid w:val="00EC4E99"/>
    <w:rsid w:val="00ED3A21"/>
    <w:rsid w:val="00ED54F9"/>
    <w:rsid w:val="00ED6982"/>
    <w:rsid w:val="00EE0218"/>
    <w:rsid w:val="00EE0E54"/>
    <w:rsid w:val="00EE1033"/>
    <w:rsid w:val="00EF24BB"/>
    <w:rsid w:val="00EF2B90"/>
    <w:rsid w:val="00EF32F6"/>
    <w:rsid w:val="00EF4114"/>
    <w:rsid w:val="00EF448F"/>
    <w:rsid w:val="00EF4634"/>
    <w:rsid w:val="00EF472E"/>
    <w:rsid w:val="00EF4A5A"/>
    <w:rsid w:val="00EF4EC4"/>
    <w:rsid w:val="00EF66A9"/>
    <w:rsid w:val="00EF74D8"/>
    <w:rsid w:val="00F01898"/>
    <w:rsid w:val="00F05EE0"/>
    <w:rsid w:val="00F06985"/>
    <w:rsid w:val="00F07DE8"/>
    <w:rsid w:val="00F156B3"/>
    <w:rsid w:val="00F15FD8"/>
    <w:rsid w:val="00F21A1A"/>
    <w:rsid w:val="00F22813"/>
    <w:rsid w:val="00F22FC8"/>
    <w:rsid w:val="00F27F36"/>
    <w:rsid w:val="00F32B8C"/>
    <w:rsid w:val="00F33383"/>
    <w:rsid w:val="00F33D5B"/>
    <w:rsid w:val="00F4030B"/>
    <w:rsid w:val="00F42F65"/>
    <w:rsid w:val="00F444F5"/>
    <w:rsid w:val="00F4602E"/>
    <w:rsid w:val="00F46BCF"/>
    <w:rsid w:val="00F515AF"/>
    <w:rsid w:val="00F53E05"/>
    <w:rsid w:val="00F5550A"/>
    <w:rsid w:val="00F55A56"/>
    <w:rsid w:val="00F56088"/>
    <w:rsid w:val="00F6031D"/>
    <w:rsid w:val="00F61303"/>
    <w:rsid w:val="00F65606"/>
    <w:rsid w:val="00F66614"/>
    <w:rsid w:val="00F67764"/>
    <w:rsid w:val="00F71232"/>
    <w:rsid w:val="00F74722"/>
    <w:rsid w:val="00F75F45"/>
    <w:rsid w:val="00F82957"/>
    <w:rsid w:val="00F83BD2"/>
    <w:rsid w:val="00F857CA"/>
    <w:rsid w:val="00F86025"/>
    <w:rsid w:val="00F92C2B"/>
    <w:rsid w:val="00F94241"/>
    <w:rsid w:val="00F945CD"/>
    <w:rsid w:val="00F95ECF"/>
    <w:rsid w:val="00F9792C"/>
    <w:rsid w:val="00F97AAA"/>
    <w:rsid w:val="00FA4AD8"/>
    <w:rsid w:val="00FB3597"/>
    <w:rsid w:val="00FB53CA"/>
    <w:rsid w:val="00FC3750"/>
    <w:rsid w:val="00FC487C"/>
    <w:rsid w:val="00FC51A5"/>
    <w:rsid w:val="00FD0B36"/>
    <w:rsid w:val="00FD168A"/>
    <w:rsid w:val="00FD3643"/>
    <w:rsid w:val="00FD553C"/>
    <w:rsid w:val="00FD6F5E"/>
    <w:rsid w:val="00FE087D"/>
    <w:rsid w:val="00FE133D"/>
    <w:rsid w:val="00FE2090"/>
    <w:rsid w:val="00FE359D"/>
    <w:rsid w:val="00FE47EA"/>
    <w:rsid w:val="00FE4D5F"/>
    <w:rsid w:val="00FE7BC4"/>
    <w:rsid w:val="00FF29D4"/>
    <w:rsid w:val="00FF388D"/>
    <w:rsid w:val="00FF4CEC"/>
    <w:rsid w:val="43D33600"/>
    <w:rsid w:val="6F7A46CB"/>
  </w:rsids>
  <m:mathPr>
    <m:mathFont m:val="Cambria Math"/>
    <m:brkBin m:val="before"/>
    <m:brkBinSub m:val="--"/>
    <m:smallFrac m:val="0"/>
    <m:dispDef/>
    <m:lMargin m:val="0"/>
    <m:rMargin m:val="0"/>
    <m:defJc m:val="centerGroup"/>
    <m:wrapIndent m:val="1440"/>
    <m:intLim m:val="subSup"/>
    <m:naryLim m:val="undOvr"/>
  </m:mathPr>
  <w:themeFontLang w:val="en-GB"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MS Mincho"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name="footnote text"/>
    <w:lsdException w:qFormat="1"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nhideWhenUsed="0" w:uiPriority="0"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rPr>
      <w:rFonts w:ascii="Times New Roman" w:hAnsi="Times New Roman" w:eastAsia="MS Mincho" w:cs="Times New Roman"/>
      <w:sz w:val="24"/>
      <w:szCs w:val="24"/>
      <w:lang w:val="de-DE" w:eastAsia="ja-JP" w:bidi="ar-SA"/>
    </w:rPr>
  </w:style>
  <w:style w:type="paragraph" w:styleId="2">
    <w:name w:val="heading 1"/>
    <w:basedOn w:val="1"/>
    <w:next w:val="1"/>
    <w:link w:val="59"/>
    <w:qFormat/>
    <w:uiPriority w:val="9"/>
    <w:pPr>
      <w:keepNext/>
      <w:keepLines/>
      <w:spacing w:before="340" w:after="330" w:line="578" w:lineRule="auto"/>
      <w:outlineLvl w:val="0"/>
    </w:pPr>
    <w:rPr>
      <w:b/>
      <w:bCs/>
      <w:kern w:val="44"/>
      <w:sz w:val="44"/>
      <w:szCs w:val="44"/>
    </w:rPr>
  </w:style>
  <w:style w:type="character" w:default="1" w:styleId="10">
    <w:name w:val="Default Paragraph Font"/>
    <w:unhideWhenUsed/>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3">
    <w:name w:val="annotation text"/>
    <w:basedOn w:val="1"/>
    <w:link w:val="49"/>
    <w:semiHidden/>
    <w:unhideWhenUsed/>
    <w:qFormat/>
    <w:uiPriority w:val="99"/>
    <w:rPr>
      <w:sz w:val="20"/>
      <w:szCs w:val="20"/>
      <w:lang w:val="zh-CN"/>
    </w:rPr>
  </w:style>
  <w:style w:type="paragraph" w:styleId="4">
    <w:name w:val="Balloon Text"/>
    <w:basedOn w:val="1"/>
    <w:semiHidden/>
    <w:uiPriority w:val="0"/>
    <w:rPr>
      <w:rFonts w:ascii="Tahoma" w:hAnsi="Tahoma" w:cs="Tahoma"/>
      <w:sz w:val="16"/>
      <w:szCs w:val="16"/>
    </w:rPr>
  </w:style>
  <w:style w:type="paragraph" w:styleId="5">
    <w:name w:val="footer"/>
    <w:basedOn w:val="1"/>
    <w:link w:val="51"/>
    <w:qFormat/>
    <w:uiPriority w:val="99"/>
    <w:pPr>
      <w:tabs>
        <w:tab w:val="center" w:pos="4536"/>
        <w:tab w:val="right" w:pos="9072"/>
      </w:tabs>
    </w:pPr>
  </w:style>
  <w:style w:type="paragraph" w:styleId="6">
    <w:name w:val="header"/>
    <w:basedOn w:val="1"/>
    <w:link w:val="48"/>
    <w:qFormat/>
    <w:uiPriority w:val="0"/>
    <w:pPr>
      <w:tabs>
        <w:tab w:val="center" w:pos="4536"/>
        <w:tab w:val="right" w:pos="9072"/>
      </w:tabs>
    </w:pPr>
    <w:rPr>
      <w:lang w:val="zh-CN"/>
    </w:rPr>
  </w:style>
  <w:style w:type="paragraph" w:styleId="7">
    <w:name w:val="footnote text"/>
    <w:basedOn w:val="1"/>
    <w:semiHidden/>
    <w:qFormat/>
    <w:uiPriority w:val="0"/>
    <w:pPr>
      <w:keepLines/>
      <w:widowControl w:val="0"/>
      <w:jc w:val="both"/>
    </w:pPr>
    <w:rPr>
      <w:rFonts w:eastAsia="Times New Roman"/>
      <w:sz w:val="20"/>
      <w:szCs w:val="20"/>
      <w:lang w:val="en-GB" w:eastAsia="ro-RO"/>
    </w:rPr>
  </w:style>
  <w:style w:type="paragraph" w:styleId="8">
    <w:name w:val="annotation subject"/>
    <w:basedOn w:val="3"/>
    <w:next w:val="3"/>
    <w:link w:val="50"/>
    <w:semiHidden/>
    <w:unhideWhenUsed/>
    <w:qFormat/>
    <w:uiPriority w:val="99"/>
    <w:rPr>
      <w:b/>
      <w:bCs/>
    </w:rPr>
  </w:style>
  <w:style w:type="character" w:styleId="11">
    <w:name w:val="Hyperlink"/>
    <w:basedOn w:val="10"/>
    <w:unhideWhenUsed/>
    <w:qFormat/>
    <w:uiPriority w:val="99"/>
    <w:rPr>
      <w:color w:val="0563C1" w:themeColor="hyperlink"/>
      <w:u w:val="single"/>
      <w14:textFill>
        <w14:solidFill>
          <w14:schemeClr w14:val="hlink"/>
        </w14:solidFill>
      </w14:textFill>
    </w:rPr>
  </w:style>
  <w:style w:type="character" w:styleId="12">
    <w:name w:val="annotation reference"/>
    <w:semiHidden/>
    <w:unhideWhenUsed/>
    <w:qFormat/>
    <w:uiPriority w:val="99"/>
    <w:rPr>
      <w:sz w:val="16"/>
      <w:szCs w:val="16"/>
    </w:rPr>
  </w:style>
  <w:style w:type="paragraph" w:customStyle="1" w:styleId="13">
    <w:name w:val="History"/>
    <w:basedOn w:val="1"/>
    <w:qFormat/>
    <w:uiPriority w:val="0"/>
    <w:pPr>
      <w:spacing w:before="230" w:after="460" w:line="180" w:lineRule="exact"/>
      <w:jc w:val="right"/>
    </w:pPr>
    <w:rPr>
      <w:rFonts w:ascii="Arial" w:hAnsi="Arial"/>
      <w:sz w:val="14"/>
      <w:szCs w:val="16"/>
    </w:rPr>
  </w:style>
  <w:style w:type="paragraph" w:customStyle="1" w:styleId="14">
    <w:name w:val="References"/>
    <w:basedOn w:val="1"/>
    <w:qFormat/>
    <w:uiPriority w:val="0"/>
    <w:pPr>
      <w:spacing w:line="200" w:lineRule="exact"/>
      <w:ind w:left="425" w:hanging="425"/>
      <w:jc w:val="both"/>
    </w:pPr>
    <w:rPr>
      <w:sz w:val="15"/>
      <w:szCs w:val="14"/>
      <w:lang w:val="en-GB"/>
    </w:rPr>
  </w:style>
  <w:style w:type="paragraph" w:customStyle="1" w:styleId="15">
    <w:name w:val="HExperimental_Section"/>
    <w:basedOn w:val="1"/>
    <w:qFormat/>
    <w:uiPriority w:val="0"/>
    <w:pPr>
      <w:spacing w:before="460" w:after="230" w:line="230" w:lineRule="atLeast"/>
    </w:pPr>
    <w:rPr>
      <w:i/>
      <w:szCs w:val="20"/>
    </w:rPr>
  </w:style>
  <w:style w:type="paragraph" w:customStyle="1" w:styleId="16">
    <w:name w:val="ExperimentalSection"/>
    <w:basedOn w:val="1"/>
    <w:qFormat/>
    <w:uiPriority w:val="0"/>
    <w:pPr>
      <w:spacing w:after="240" w:line="200" w:lineRule="exact"/>
      <w:ind w:firstLine="170"/>
      <w:jc w:val="both"/>
    </w:pPr>
    <w:rPr>
      <w:sz w:val="16"/>
      <w:szCs w:val="14"/>
      <w:lang w:val="en-GB"/>
    </w:rPr>
  </w:style>
  <w:style w:type="paragraph" w:customStyle="1" w:styleId="17">
    <w:name w:val="FNB"/>
    <w:basedOn w:val="1"/>
    <w:link w:val="18"/>
    <w:qFormat/>
    <w:uiPriority w:val="0"/>
    <w:pPr>
      <w:widowControl w:val="0"/>
      <w:spacing w:after="40" w:line="160" w:lineRule="exact"/>
      <w:ind w:left="567" w:right="4434" w:hanging="567"/>
      <w:jc w:val="both"/>
    </w:pPr>
    <w:rPr>
      <w:rFonts w:ascii="Times" w:hAnsi="Times"/>
      <w:sz w:val="14"/>
      <w:szCs w:val="3276"/>
      <w:lang w:val="en-GB" w:eastAsia="de-DE"/>
    </w:rPr>
  </w:style>
  <w:style w:type="character" w:customStyle="1" w:styleId="18">
    <w:name w:val="FNB Char"/>
    <w:link w:val="17"/>
    <w:qFormat/>
    <w:uiPriority w:val="0"/>
    <w:rPr>
      <w:rFonts w:ascii="Times" w:hAnsi="Times"/>
      <w:sz w:val="14"/>
      <w:szCs w:val="3276"/>
      <w:lang w:val="en-GB" w:eastAsia="de-DE" w:bidi="ar-SA"/>
    </w:rPr>
  </w:style>
  <w:style w:type="paragraph" w:customStyle="1" w:styleId="19">
    <w:name w:val="Ack"/>
    <w:basedOn w:val="1"/>
    <w:qFormat/>
    <w:uiPriority w:val="0"/>
  </w:style>
  <w:style w:type="paragraph" w:customStyle="1" w:styleId="20">
    <w:name w:val="TableCaption"/>
    <w:basedOn w:val="1"/>
    <w:qFormat/>
    <w:uiPriority w:val="0"/>
    <w:pPr>
      <w:spacing w:after="120" w:line="190" w:lineRule="exact"/>
      <w:jc w:val="both"/>
    </w:pPr>
    <w:rPr>
      <w:rFonts w:ascii="Arial" w:hAnsi="Arial"/>
      <w:sz w:val="16"/>
      <w:szCs w:val="14"/>
      <w:lang w:val="en-GB"/>
    </w:rPr>
  </w:style>
  <w:style w:type="paragraph" w:customStyle="1" w:styleId="21">
    <w:name w:val="TableHead"/>
    <w:basedOn w:val="20"/>
    <w:qFormat/>
    <w:uiPriority w:val="0"/>
    <w:pPr>
      <w:pBdr>
        <w:top w:val="single" w:color="FFFFFF" w:sz="4" w:space="4"/>
        <w:left w:val="single" w:color="FFFFFF" w:sz="4" w:space="4"/>
        <w:bottom w:val="single" w:color="FFFFFF" w:sz="4" w:space="4"/>
        <w:right w:val="single" w:color="FFFFFF" w:sz="4" w:space="4"/>
      </w:pBdr>
      <w:spacing w:after="0"/>
    </w:pPr>
  </w:style>
  <w:style w:type="paragraph" w:customStyle="1" w:styleId="22">
    <w:name w:val="TableBody"/>
    <w:basedOn w:val="21"/>
    <w:qFormat/>
    <w:uiPriority w:val="0"/>
  </w:style>
  <w:style w:type="paragraph" w:customStyle="1" w:styleId="23">
    <w:name w:val="TableFoot"/>
    <w:basedOn w:val="22"/>
    <w:qFormat/>
    <w:uiPriority w:val="0"/>
    <w:pPr>
      <w:spacing w:before="60" w:after="60"/>
    </w:pPr>
  </w:style>
  <w:style w:type="paragraph" w:customStyle="1" w:styleId="24">
    <w:name w:val="SchemeCaption"/>
    <w:basedOn w:val="1"/>
    <w:qFormat/>
    <w:uiPriority w:val="0"/>
    <w:pPr>
      <w:spacing w:before="230" w:after="460" w:line="190" w:lineRule="exact"/>
      <w:jc w:val="both"/>
    </w:pPr>
    <w:rPr>
      <w:rFonts w:ascii="Arial" w:hAnsi="Arial"/>
      <w:sz w:val="16"/>
      <w:szCs w:val="14"/>
      <w:lang w:val="en-GB"/>
    </w:rPr>
  </w:style>
  <w:style w:type="paragraph" w:customStyle="1" w:styleId="25">
    <w:name w:val="STOE"/>
    <w:basedOn w:val="1"/>
    <w:link w:val="26"/>
    <w:qFormat/>
    <w:uiPriority w:val="0"/>
    <w:pPr>
      <w:widowControl w:val="0"/>
      <w:spacing w:line="236" w:lineRule="exact"/>
      <w:ind w:right="4434"/>
      <w:jc w:val="both"/>
    </w:pPr>
    <w:rPr>
      <w:rFonts w:ascii="Times" w:hAnsi="Times"/>
      <w:sz w:val="18"/>
      <w:szCs w:val="3276"/>
      <w:lang w:val="en-GB" w:eastAsia="de-DE"/>
    </w:rPr>
  </w:style>
  <w:style w:type="character" w:customStyle="1" w:styleId="26">
    <w:name w:val="STOE Char1"/>
    <w:link w:val="25"/>
    <w:qFormat/>
    <w:uiPriority w:val="0"/>
    <w:rPr>
      <w:rFonts w:ascii="Times" w:hAnsi="Times"/>
      <w:sz w:val="18"/>
      <w:szCs w:val="3276"/>
      <w:lang w:val="en-GB" w:eastAsia="de-DE" w:bidi="ar-SA"/>
    </w:rPr>
  </w:style>
  <w:style w:type="paragraph" w:customStyle="1" w:styleId="27">
    <w:name w:val="Title1"/>
    <w:basedOn w:val="1"/>
    <w:qFormat/>
    <w:uiPriority w:val="0"/>
    <w:rPr>
      <w:b/>
      <w:lang w:val="en-US"/>
    </w:rPr>
  </w:style>
  <w:style w:type="paragraph" w:customStyle="1" w:styleId="28">
    <w:name w:val="Authors Full"/>
    <w:basedOn w:val="1"/>
    <w:qFormat/>
    <w:uiPriority w:val="0"/>
    <w:rPr>
      <w:i/>
      <w:lang w:val="en-US"/>
    </w:rPr>
  </w:style>
  <w:style w:type="paragraph" w:customStyle="1" w:styleId="29">
    <w:name w:val="dedication"/>
    <w:basedOn w:val="1"/>
    <w:qFormat/>
    <w:uiPriority w:val="0"/>
    <w:rPr>
      <w:i/>
      <w:lang w:val="en-US"/>
    </w:rPr>
  </w:style>
  <w:style w:type="paragraph" w:customStyle="1" w:styleId="30">
    <w:name w:val="Addresses"/>
    <w:basedOn w:val="1"/>
    <w:qFormat/>
    <w:uiPriority w:val="0"/>
    <w:rPr>
      <w:lang w:val="en-US"/>
    </w:rPr>
  </w:style>
  <w:style w:type="paragraph" w:customStyle="1" w:styleId="31">
    <w:name w:val="Acknowledgements"/>
    <w:basedOn w:val="1"/>
    <w:qFormat/>
    <w:uiPriority w:val="0"/>
    <w:rPr>
      <w:lang w:val="en-US"/>
    </w:rPr>
  </w:style>
  <w:style w:type="paragraph" w:customStyle="1" w:styleId="32">
    <w:name w:val="Abstract"/>
    <w:basedOn w:val="1"/>
    <w:qFormat/>
    <w:uiPriority w:val="0"/>
    <w:pPr>
      <w:spacing w:line="480" w:lineRule="auto"/>
      <w:ind w:firstLine="480" w:firstLineChars="200"/>
    </w:pPr>
    <w:rPr>
      <w:lang w:val="en-US"/>
    </w:rPr>
  </w:style>
  <w:style w:type="paragraph" w:customStyle="1" w:styleId="33">
    <w:name w:val="Head 1"/>
    <w:basedOn w:val="1"/>
    <w:qFormat/>
    <w:uiPriority w:val="0"/>
    <w:pPr>
      <w:spacing w:line="480" w:lineRule="auto"/>
    </w:pPr>
    <w:rPr>
      <w:b/>
      <w:lang w:val="en-US"/>
    </w:rPr>
  </w:style>
  <w:style w:type="paragraph" w:customStyle="1" w:styleId="34">
    <w:name w:val="Head 2"/>
    <w:basedOn w:val="1"/>
    <w:qFormat/>
    <w:uiPriority w:val="0"/>
    <w:pPr>
      <w:spacing w:line="360" w:lineRule="auto"/>
    </w:pPr>
    <w:rPr>
      <w:i/>
      <w:lang w:val="en-US"/>
    </w:rPr>
  </w:style>
  <w:style w:type="paragraph" w:customStyle="1" w:styleId="35">
    <w:name w:val="dates"/>
    <w:basedOn w:val="1"/>
    <w:qFormat/>
    <w:uiPriority w:val="0"/>
    <w:pPr>
      <w:jc w:val="right"/>
    </w:pPr>
    <w:rPr>
      <w:lang w:val="en-US"/>
    </w:rPr>
  </w:style>
  <w:style w:type="paragraph" w:customStyle="1" w:styleId="36">
    <w:name w:val="Literature"/>
    <w:basedOn w:val="1"/>
    <w:link w:val="55"/>
    <w:qFormat/>
    <w:uiPriority w:val="0"/>
    <w:pPr>
      <w:spacing w:line="480" w:lineRule="auto"/>
    </w:pPr>
  </w:style>
  <w:style w:type="paragraph" w:customStyle="1" w:styleId="37">
    <w:name w:val="Legend"/>
    <w:basedOn w:val="1"/>
    <w:qFormat/>
    <w:uiPriority w:val="0"/>
    <w:rPr>
      <w:lang w:val="en-US"/>
    </w:rPr>
  </w:style>
  <w:style w:type="paragraph" w:customStyle="1" w:styleId="38">
    <w:name w:val="Main Text"/>
    <w:basedOn w:val="1"/>
    <w:link w:val="42"/>
    <w:qFormat/>
    <w:uiPriority w:val="0"/>
    <w:pPr>
      <w:spacing w:line="480" w:lineRule="auto"/>
    </w:pPr>
    <w:rPr>
      <w:lang w:val="en-US"/>
    </w:rPr>
  </w:style>
  <w:style w:type="paragraph" w:customStyle="1" w:styleId="39">
    <w:name w:val="Table of contents"/>
    <w:basedOn w:val="1"/>
    <w:qFormat/>
    <w:uiPriority w:val="0"/>
    <w:pPr>
      <w:jc w:val="both"/>
    </w:pPr>
    <w:rPr>
      <w:b/>
      <w:bCs/>
      <w:lang w:val="en-US"/>
    </w:rPr>
  </w:style>
  <w:style w:type="paragraph" w:customStyle="1" w:styleId="40">
    <w:name w:val="Experimental Text"/>
    <w:basedOn w:val="1"/>
    <w:link w:val="41"/>
    <w:qFormat/>
    <w:uiPriority w:val="0"/>
    <w:pPr>
      <w:spacing w:line="480" w:lineRule="auto"/>
    </w:pPr>
    <w:rPr>
      <w:lang w:val="en-US"/>
    </w:rPr>
  </w:style>
  <w:style w:type="character" w:customStyle="1" w:styleId="41">
    <w:name w:val="Experimental Text Char"/>
    <w:link w:val="40"/>
    <w:qFormat/>
    <w:uiPriority w:val="0"/>
    <w:rPr>
      <w:rFonts w:eastAsia="MS Mincho"/>
      <w:sz w:val="24"/>
      <w:szCs w:val="24"/>
      <w:lang w:val="en-US" w:eastAsia="ja-JP" w:bidi="ar-SA"/>
    </w:rPr>
  </w:style>
  <w:style w:type="character" w:customStyle="1" w:styleId="42">
    <w:name w:val="Main Text Char"/>
    <w:link w:val="38"/>
    <w:qFormat/>
    <w:uiPriority w:val="0"/>
    <w:rPr>
      <w:rFonts w:eastAsia="MS Mincho"/>
      <w:sz w:val="24"/>
      <w:szCs w:val="24"/>
      <w:lang w:val="en-US" w:eastAsia="ja-JP" w:bidi="ar-SA"/>
    </w:rPr>
  </w:style>
  <w:style w:type="paragraph" w:customStyle="1" w:styleId="43">
    <w:name w:val="Title2"/>
    <w:basedOn w:val="1"/>
    <w:qFormat/>
    <w:uiPriority w:val="0"/>
    <w:rPr>
      <w:b/>
      <w:lang w:val="en-US"/>
    </w:rPr>
  </w:style>
  <w:style w:type="paragraph" w:customStyle="1" w:styleId="44">
    <w:name w:val="Dedication"/>
    <w:basedOn w:val="1"/>
    <w:qFormat/>
    <w:uiPriority w:val="0"/>
    <w:rPr>
      <w:lang w:val="en-US"/>
    </w:rPr>
  </w:style>
  <w:style w:type="paragraph" w:customStyle="1" w:styleId="45">
    <w:name w:val="Main text"/>
    <w:basedOn w:val="1"/>
    <w:link w:val="46"/>
    <w:qFormat/>
    <w:uiPriority w:val="0"/>
    <w:pPr>
      <w:spacing w:line="480" w:lineRule="auto"/>
    </w:pPr>
    <w:rPr>
      <w:lang w:val="en-US"/>
    </w:rPr>
  </w:style>
  <w:style w:type="character" w:customStyle="1" w:styleId="46">
    <w:name w:val="Main text Char"/>
    <w:link w:val="45"/>
    <w:qFormat/>
    <w:uiPriority w:val="0"/>
    <w:rPr>
      <w:sz w:val="24"/>
      <w:szCs w:val="24"/>
      <w:lang w:val="en-US" w:eastAsia="ja-JP"/>
    </w:rPr>
  </w:style>
  <w:style w:type="paragraph" w:customStyle="1" w:styleId="47">
    <w:name w:val="Biography"/>
    <w:basedOn w:val="1"/>
    <w:qFormat/>
    <w:uiPriority w:val="0"/>
    <w:rPr>
      <w:i/>
      <w:lang w:val="en-US"/>
    </w:rPr>
  </w:style>
  <w:style w:type="character" w:customStyle="1" w:styleId="48">
    <w:name w:val="页眉 字符"/>
    <w:link w:val="6"/>
    <w:qFormat/>
    <w:uiPriority w:val="0"/>
    <w:rPr>
      <w:sz w:val="24"/>
      <w:szCs w:val="24"/>
      <w:lang w:eastAsia="ja-JP"/>
    </w:rPr>
  </w:style>
  <w:style w:type="character" w:customStyle="1" w:styleId="49">
    <w:name w:val="批注文字 字符"/>
    <w:link w:val="3"/>
    <w:semiHidden/>
    <w:qFormat/>
    <w:uiPriority w:val="99"/>
    <w:rPr>
      <w:lang w:eastAsia="ja-JP"/>
    </w:rPr>
  </w:style>
  <w:style w:type="character" w:customStyle="1" w:styleId="50">
    <w:name w:val="批注主题 字符"/>
    <w:link w:val="8"/>
    <w:semiHidden/>
    <w:qFormat/>
    <w:uiPriority w:val="99"/>
    <w:rPr>
      <w:b/>
      <w:bCs/>
      <w:lang w:eastAsia="ja-JP"/>
    </w:rPr>
  </w:style>
  <w:style w:type="character" w:customStyle="1" w:styleId="51">
    <w:name w:val="页脚 字符"/>
    <w:link w:val="5"/>
    <w:qFormat/>
    <w:uiPriority w:val="99"/>
    <w:rPr>
      <w:sz w:val="24"/>
      <w:szCs w:val="24"/>
      <w:lang w:eastAsia="ja-JP"/>
    </w:rPr>
  </w:style>
  <w:style w:type="character" w:customStyle="1" w:styleId="52">
    <w:name w:val="Unresolved Mention"/>
    <w:basedOn w:val="10"/>
    <w:semiHidden/>
    <w:unhideWhenUsed/>
    <w:qFormat/>
    <w:uiPriority w:val="99"/>
    <w:rPr>
      <w:color w:val="605E5C"/>
      <w:shd w:val="clear" w:color="auto" w:fill="E1DFDD"/>
    </w:rPr>
  </w:style>
  <w:style w:type="paragraph" w:styleId="53">
    <w:name w:val="List Paragraph"/>
    <w:basedOn w:val="1"/>
    <w:qFormat/>
    <w:uiPriority w:val="34"/>
    <w:pPr>
      <w:widowControl w:val="0"/>
      <w:ind w:firstLine="420" w:firstLineChars="200"/>
      <w:jc w:val="both"/>
    </w:pPr>
    <w:rPr>
      <w:rFonts w:asciiTheme="minorHAnsi" w:hAnsiTheme="minorHAnsi" w:eastAsiaTheme="minorEastAsia" w:cstheme="minorBidi"/>
      <w:kern w:val="2"/>
      <w:sz w:val="21"/>
      <w:szCs w:val="22"/>
      <w:lang w:val="en-US" w:eastAsia="zh-CN"/>
    </w:rPr>
  </w:style>
  <w:style w:type="paragraph" w:customStyle="1" w:styleId="54">
    <w:name w:val="EndNote Bibliography Title"/>
    <w:basedOn w:val="1"/>
    <w:link w:val="56"/>
    <w:qFormat/>
    <w:uiPriority w:val="0"/>
    <w:pPr>
      <w:jc w:val="center"/>
    </w:pPr>
  </w:style>
  <w:style w:type="character" w:customStyle="1" w:styleId="55">
    <w:name w:val="Literature 字符"/>
    <w:basedOn w:val="10"/>
    <w:link w:val="36"/>
    <w:qFormat/>
    <w:uiPriority w:val="0"/>
    <w:rPr>
      <w:sz w:val="24"/>
      <w:szCs w:val="24"/>
      <w:lang w:val="de-DE" w:eastAsia="ja-JP"/>
    </w:rPr>
  </w:style>
  <w:style w:type="character" w:customStyle="1" w:styleId="56">
    <w:name w:val="EndNote Bibliography Title 字符"/>
    <w:basedOn w:val="55"/>
    <w:link w:val="54"/>
    <w:qFormat/>
    <w:uiPriority w:val="0"/>
    <w:rPr>
      <w:sz w:val="24"/>
      <w:szCs w:val="24"/>
      <w:lang w:val="de-DE" w:eastAsia="ja-JP"/>
    </w:rPr>
  </w:style>
  <w:style w:type="paragraph" w:customStyle="1" w:styleId="57">
    <w:name w:val="EndNote Bibliography"/>
    <w:basedOn w:val="1"/>
    <w:link w:val="58"/>
    <w:qFormat/>
    <w:uiPriority w:val="0"/>
  </w:style>
  <w:style w:type="character" w:customStyle="1" w:styleId="58">
    <w:name w:val="EndNote Bibliography 字符"/>
    <w:basedOn w:val="55"/>
    <w:link w:val="57"/>
    <w:qFormat/>
    <w:uiPriority w:val="0"/>
    <w:rPr>
      <w:sz w:val="24"/>
      <w:szCs w:val="24"/>
      <w:lang w:val="de-DE" w:eastAsia="ja-JP"/>
    </w:rPr>
  </w:style>
  <w:style w:type="character" w:customStyle="1" w:styleId="59">
    <w:name w:val="标题 1 字符"/>
    <w:basedOn w:val="10"/>
    <w:link w:val="2"/>
    <w:qFormat/>
    <w:uiPriority w:val="9"/>
    <w:rPr>
      <w:b/>
      <w:bCs/>
      <w:kern w:val="44"/>
      <w:sz w:val="44"/>
      <w:szCs w:val="44"/>
      <w:lang w:val="de-DE" w:eastAsia="ja-JP"/>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glossaryDocument" Target="glossary/document.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9.jpeg"/><Relationship Id="rId12" Type="http://schemas.openxmlformats.org/officeDocument/2006/relationships/image" Target="media/image8.jpeg"/><Relationship Id="rId11" Type="http://schemas.openxmlformats.org/officeDocument/2006/relationships/image" Target="media/image7.jpeg"/><Relationship Id="rId10" Type="http://schemas.openxmlformats.org/officeDocument/2006/relationships/image" Target="media/image6.jpe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LWylie\Lokale%20Einstellungen\Anwendungsdaten\Chemistry%20Add-in%20for%20Word\Chemistry%20Gallery\Chem4Word.dotx" TargetMode="External"/></Relationships>
</file>

<file path=word/glossary/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76BB7FD55A43417AAAFFA91FCE3A7E0C"/>
        <w:style w:val=""/>
        <w:category>
          <w:name w:val="General"/>
          <w:gallery w:val="placeholder"/>
        </w:category>
        <w:types>
          <w:type w:val="bbPlcHdr"/>
        </w:types>
        <w:behaviors>
          <w:behavior w:val="content"/>
        </w:behaviors>
        <w:description w:val=""/>
        <w:guid w:val="{80C89FE8-853C-49E1-8D70-EEFC90E5054D}"/>
      </w:docPartPr>
      <w:docPartBody>
        <w:p>
          <w:pPr>
            <w:pStyle w:val="4"/>
          </w:pPr>
          <w:r>
            <w:t>[Type here]</w:t>
          </w:r>
        </w:p>
      </w:docPartBody>
    </w:docPart>
  </w:docParts>
</w:glossaryDocument>
</file>

<file path=word/glossary/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glossary/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59" w:lineRule="auto"/>
      </w:pPr>
      <w:r>
        <w:separator/>
      </w:r>
    </w:p>
  </w:footnote>
  <w:footnote w:type="continuationSeparator" w:id="1">
    <w:p>
      <w:pPr>
        <w:spacing w:before="0" w:after="0" w:line="259" w:lineRule="auto"/>
      </w:pPr>
      <w:r>
        <w:continuationSeparator/>
      </w:r>
    </w:p>
  </w:footnote>
</w:footnote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720"/>
  <w:characterSpacingControl w:val="doNotCompress"/>
  <w:footnotePr>
    <w:footnote w:id="0"/>
    <w:footnote w:id="1"/>
  </w:footnotePr>
  <w:endnotePr>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5611"/>
    <w:rsid w:val="002220BA"/>
    <w:rsid w:val="00440969"/>
    <w:rsid w:val="00505E43"/>
    <w:rsid w:val="00904167"/>
    <w:rsid w:val="00C25611"/>
    <w:rsid w:val="00C93C37"/>
    <w:rsid w:val="00E93EDE"/>
  </w:rsids>
  <m:mathPr>
    <m:mathFont m:val="Cambria Math"/>
    <m:brkBin m:val="before"/>
    <m:brkBinSub m:val="--"/>
    <m:smallFrac m:val="0"/>
    <m:dispDef/>
    <m:lMargin m:val="0"/>
    <m:rMargin m:val="0"/>
    <m:defJc m:val="centerGroup"/>
    <m:wrapIndent m:val="1440"/>
    <m:intLim m:val="subSup"/>
    <m:naryLim m:val="undOvr"/>
  </m:mathPr>
  <w:themeFontLang w:val="en-SG"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qFormat="1" w:uiPriority="99" w:name="Normal Table"/>
  </w:latentStyles>
  <w:style w:type="paragraph" w:default="1" w:styleId="1">
    <w:name w:val="Normal"/>
    <w:qFormat/>
    <w:uiPriority w:val="0"/>
    <w:pPr>
      <w:spacing w:after="160" w:line="259" w:lineRule="auto"/>
    </w:pPr>
    <w:rPr>
      <w:rFonts w:asciiTheme="minorHAnsi" w:hAnsiTheme="minorHAnsi" w:eastAsiaTheme="minorEastAsia" w:cstheme="minorBidi"/>
      <w:sz w:val="22"/>
      <w:szCs w:val="22"/>
      <w:lang w:val="en-SG" w:eastAsia="en-SG" w:bidi="ar-SA"/>
    </w:rPr>
  </w:style>
  <w:style w:type="character" w:default="1" w:styleId="2">
    <w:name w:val="Default Paragraph Font"/>
    <w:semiHidden/>
    <w:unhideWhenUsed/>
    <w:qFormat/>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paragraph" w:customStyle="1" w:styleId="4">
    <w:name w:val="76BB7FD55A43417AAAFFA91FCE3A7E0C"/>
    <w:qFormat/>
    <w:uiPriority w:val="0"/>
    <w:pPr>
      <w:spacing w:after="160" w:line="259" w:lineRule="auto"/>
    </w:pPr>
    <w:rPr>
      <w:rFonts w:asciiTheme="minorHAnsi" w:hAnsiTheme="minorHAnsi" w:eastAsiaTheme="minorEastAsia" w:cstheme="minorBidi"/>
      <w:sz w:val="22"/>
      <w:szCs w:val="22"/>
      <w:lang w:val="en-SG" w:eastAsia="en-SG" w:bidi="ar-SA"/>
    </w:rPr>
  </w:style>
</w:styl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ntrolsStorage xmlns="urn:schemas-microsoft-com.VSTO2008Demos.ControlsStorage">
  <Controls>AAEAAAD/////AQAAAAAAAAAMAgAAAEVDaGVtNFdvcmQuQ29yZSwgVmVyc2lvbj0xLjAuMC4wLCBDdWx0dXJlPW5ldXRyYWwsIFB1YmxpY0tleVRva2VuPW51bGwHAQAAAAABAAAAAAAAAAQgQ2hlbTRXb3JkLkNvcmUuQ29udHJvbFByb3BlcnRpZXMCAAAACw==</Controls>
</ControlsStorage>
</file>

<file path=customXml/itemProps1.xml><?xml version="1.0" encoding="utf-8"?>
<ds:datastoreItem xmlns:ds="http://schemas.openxmlformats.org/officeDocument/2006/customXml" ds:itemID="{E3F19EBF-8207-4BE7-AD18-240ED1895C11}">
  <ds:schemaRefs/>
</ds:datastoreItem>
</file>

<file path=docProps/app.xml><?xml version="1.0" encoding="utf-8"?>
<Properties xmlns="http://schemas.openxmlformats.org/officeDocument/2006/extended-properties" xmlns:vt="http://schemas.openxmlformats.org/officeDocument/2006/docPropsVTypes">
  <Template>Chem4Word.dotx</Template>
  <Company>WILEY-VCH Verlag GmbH &amp; Co. KGaA</Company>
  <Pages>23</Pages>
  <Words>5902</Words>
  <Characters>31990</Characters>
  <Lines>888</Lines>
  <Paragraphs>462</Paragraphs>
  <TotalTime>316</TotalTime>
  <ScaleCrop>false</ScaleCrop>
  <LinksUpToDate>false</LinksUpToDate>
  <CharactersWithSpaces>37430</CharactersWithSpaces>
  <Application>WPS Office_11.1.0.13703_F1E327BC-269C-435d-A152-05C5408002CA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2018-10-25T12:48:00Z</dcterms:created>
  <dc:creator>ABoeer</dc:creator>
  <cp:lastModifiedBy>吕宜璠</cp:lastModifiedBy>
  <cp:lastPrinted>2010-04-21T15:22:00Z</cp:lastPrinted>
  <dcterms:modified xsi:type="dcterms:W3CDTF">2023-02-08T14:23:35Z</dcterms:modified>
  <dc:title>DOI: 10</dc:title>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5e9eb6866cf44416b087fb548f3f7ceaaa1d8425a91f8860b3b4886be938888c</vt:lpwstr>
  </property>
  <property fmtid="{D5CDD505-2E9C-101B-9397-08002B2CF9AE}" pid="3" name="KSOProductBuildVer">
    <vt:lpwstr>2052-11.1.0.13703</vt:lpwstr>
  </property>
  <property fmtid="{D5CDD505-2E9C-101B-9397-08002B2CF9AE}" pid="4" name="ICV">
    <vt:lpwstr>EAF861FF37664CD2951DD2AEECE1A1E2</vt:lpwstr>
  </property>
</Properties>
</file>